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bookmarkStart w:id="0" w:name="_GoBack"/>
      <w:bookmarkEnd w:id="0"/>
      <w:r w:rsidRPr="00563D3C">
        <w:rPr>
          <w:b/>
        </w:rPr>
        <w:t>Ministru kabineta noteikumu projekta</w:t>
      </w:r>
    </w:p>
    <w:p w14:paraId="49B69D54" w14:textId="7D8BF662" w:rsidR="00D274B8" w:rsidRDefault="00D274B8" w:rsidP="005325B8">
      <w:pPr>
        <w:jc w:val="center"/>
        <w:rPr>
          <w:b/>
        </w:rPr>
      </w:pPr>
      <w:r w:rsidRPr="00563D3C">
        <w:rPr>
          <w:b/>
        </w:rPr>
        <w:t>„Grozījumi Ministru kabineta</w:t>
      </w:r>
      <w:r w:rsidR="005325B8">
        <w:rPr>
          <w:b/>
        </w:rPr>
        <w:t xml:space="preserve"> 2011.</w:t>
      </w:r>
      <w:r w:rsidR="002966AD">
        <w:rPr>
          <w:b/>
        </w:rPr>
        <w:t> </w:t>
      </w:r>
      <w:r w:rsidR="00957711">
        <w:rPr>
          <w:b/>
        </w:rPr>
        <w:t>gada 24.maija</w:t>
      </w:r>
      <w:r w:rsidR="005325B8">
        <w:rPr>
          <w:b/>
        </w:rPr>
        <w:t xml:space="preserve"> noteikumos Nr.</w:t>
      </w:r>
      <w:r w:rsidR="002966AD">
        <w:rPr>
          <w:b/>
        </w:rPr>
        <w:t> </w:t>
      </w:r>
      <w:r w:rsidR="00957711">
        <w:rPr>
          <w:b/>
        </w:rPr>
        <w:t>401</w:t>
      </w:r>
      <w:r w:rsidR="005325B8">
        <w:rPr>
          <w:b/>
        </w:rPr>
        <w:t xml:space="preserve"> “</w:t>
      </w:r>
      <w:r w:rsidR="00AA07F0" w:rsidRPr="00AA07F0">
        <w:rPr>
          <w:b/>
        </w:rPr>
        <w:t>Prasības atkritumu sadedzināšanai un atkritumu sadedzināšanas iekārtu darbībai</w:t>
      </w:r>
      <w:r w:rsidRPr="00563D3C">
        <w:rPr>
          <w:b/>
        </w:rPr>
        <w:t>””</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22AE83D" w14:textId="77777777" w:rsidR="00B227DD" w:rsidRDefault="00B227DD" w:rsidP="00D274B8">
      <w:pPr>
        <w:jc w:val="center"/>
        <w:rPr>
          <w:b/>
        </w:rPr>
      </w:pPr>
    </w:p>
    <w:p w14:paraId="6C7AFBB1" w14:textId="77777777" w:rsidR="00D274B8" w:rsidRDefault="00D274B8" w:rsidP="00D274B8">
      <w:pPr>
        <w:rPr>
          <w:b/>
        </w:rPr>
      </w:pPr>
    </w:p>
    <w:tbl>
      <w:tblPr>
        <w:tblStyle w:val="TableGrid"/>
        <w:tblW w:w="0" w:type="auto"/>
        <w:tblInd w:w="0" w:type="dxa"/>
        <w:tblLook w:val="04A0" w:firstRow="1" w:lastRow="0" w:firstColumn="1" w:lastColumn="0" w:noHBand="0" w:noVBand="1"/>
      </w:tblPr>
      <w:tblGrid>
        <w:gridCol w:w="3256"/>
        <w:gridCol w:w="5805"/>
      </w:tblGrid>
      <w:tr w:rsidR="00DC48BF" w14:paraId="1307C026" w14:textId="77777777" w:rsidTr="00980521">
        <w:tc>
          <w:tcPr>
            <w:tcW w:w="9061" w:type="dxa"/>
            <w:gridSpan w:val="2"/>
          </w:tcPr>
          <w:p w14:paraId="3B3FA0C7" w14:textId="0E790152" w:rsidR="00DC48BF" w:rsidRPr="00D062F9" w:rsidRDefault="00DC48BF" w:rsidP="00D062F9">
            <w:pPr>
              <w:jc w:val="center"/>
              <w:rPr>
                <w:b/>
              </w:rPr>
            </w:pPr>
            <w:r w:rsidRPr="00D062F9">
              <w:rPr>
                <w:b/>
              </w:rPr>
              <w:t>Tiesību akta anotācijas kopsavilkums</w:t>
            </w:r>
          </w:p>
        </w:tc>
      </w:tr>
      <w:tr w:rsidR="00DC48BF" w14:paraId="1522A7D3" w14:textId="77777777" w:rsidTr="00DC48BF">
        <w:tc>
          <w:tcPr>
            <w:tcW w:w="3256" w:type="dxa"/>
          </w:tcPr>
          <w:p w14:paraId="2B631AB8" w14:textId="077BD92E" w:rsidR="00DC48BF" w:rsidRPr="00DC48BF" w:rsidRDefault="00DC48BF" w:rsidP="00D274B8">
            <w:r>
              <w:t>Mērķis, risinājums un projekta spēkā stāšanās laiks (500 zīmes bez atstarpēm)</w:t>
            </w:r>
          </w:p>
        </w:tc>
        <w:tc>
          <w:tcPr>
            <w:tcW w:w="5805" w:type="dxa"/>
          </w:tcPr>
          <w:p w14:paraId="1404BF11" w14:textId="12CF7E1C" w:rsidR="00DC48BF" w:rsidRPr="00DC48BF" w:rsidRDefault="00DC48BF" w:rsidP="00D274B8">
            <w:r w:rsidRPr="00DC48BF">
              <w:t>Nav attiecināms.</w:t>
            </w:r>
          </w:p>
        </w:tc>
      </w:tr>
    </w:tbl>
    <w:p w14:paraId="48F5D4C8" w14:textId="77777777" w:rsidR="00DC48BF" w:rsidRDefault="00DC48BF" w:rsidP="00D274B8">
      <w:pPr>
        <w:rPr>
          <w:b/>
        </w:rPr>
      </w:pPr>
    </w:p>
    <w:p w14:paraId="19F0D2FA" w14:textId="77777777" w:rsidR="00DC48BF" w:rsidRPr="00FB41DC" w:rsidRDefault="00DC48BF"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9"/>
        <w:gridCol w:w="1743"/>
        <w:gridCol w:w="6721"/>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116B5D6B" w14:textId="563AF523" w:rsidR="00D274B8" w:rsidRPr="009C4E9A" w:rsidRDefault="007B6CB1" w:rsidP="0028273A">
            <w:pPr>
              <w:ind w:right="135"/>
              <w:jc w:val="both"/>
              <w:rPr>
                <w:bCs/>
                <w:szCs w:val="28"/>
              </w:rPr>
            </w:pPr>
            <w:r>
              <w:rPr>
                <w:bCs/>
                <w:szCs w:val="28"/>
              </w:rPr>
              <w:t xml:space="preserve">Ministru kabineta noteikumu </w:t>
            </w:r>
            <w:r w:rsidR="00EE56D9">
              <w:rPr>
                <w:bCs/>
                <w:szCs w:val="28"/>
              </w:rPr>
              <w:t xml:space="preserve">projekts </w:t>
            </w:r>
            <w:r w:rsidR="00AA07F0">
              <w:rPr>
                <w:bCs/>
                <w:szCs w:val="28"/>
              </w:rPr>
              <w:t>“</w:t>
            </w:r>
            <w:r w:rsidR="00AA07F0" w:rsidRPr="00AA07F0">
              <w:t>Grozījumi Ministru kabineta 2011. gada 24.maija noteikumos Nr. 401</w:t>
            </w:r>
            <w:r w:rsidRPr="00D062F9">
              <w:rPr>
                <w:bCs/>
                <w:szCs w:val="28"/>
              </w:rPr>
              <w:t>„</w:t>
            </w:r>
            <w:r w:rsidR="00AA07F0">
              <w:t>Prasības atkritumu sadedzināšanai un atkritumu sadedzināšanas iekārtu darbībai</w:t>
            </w:r>
            <w:r w:rsidRPr="00D062F9">
              <w:rPr>
                <w:bCs/>
                <w:szCs w:val="28"/>
              </w:rPr>
              <w:t xml:space="preserve">”” (turpmāk – noteikumu projekts) </w:t>
            </w:r>
            <w:r w:rsidR="00EE56D9">
              <w:rPr>
                <w:bCs/>
                <w:szCs w:val="28"/>
              </w:rPr>
              <w:t xml:space="preserve">ir sagatavots, lai </w:t>
            </w:r>
            <w:r w:rsidR="0028273A">
              <w:rPr>
                <w:bCs/>
                <w:szCs w:val="28"/>
              </w:rPr>
              <w:t xml:space="preserve">pilnībā nodrošinātu  </w:t>
            </w:r>
            <w:r w:rsidR="00504560" w:rsidRPr="007D1DA3">
              <w:t xml:space="preserve">Eiropas Parlamenta un Padomes 2010. gada 24. novembra </w:t>
            </w:r>
            <w:r w:rsidR="002B2FF1">
              <w:t>d</w:t>
            </w:r>
            <w:r w:rsidR="00504560" w:rsidRPr="007D1DA3">
              <w:t>irektīva</w:t>
            </w:r>
            <w:r w:rsidR="002B2FF1">
              <w:t>i</w:t>
            </w:r>
            <w:r w:rsidR="00504560" w:rsidRPr="007D1DA3">
              <w:t xml:space="preserve"> 2010/75/ES par rūpnieciskajām emisijām (piesārņojuma integrēta novēršana un kontrole</w:t>
            </w:r>
            <w:r w:rsidR="005A0D40">
              <w:t>) (</w:t>
            </w:r>
            <w:r w:rsidR="00504560" w:rsidRPr="00802827">
              <w:t>turpmāk – Direktīva 2010/75/ES)</w:t>
            </w:r>
            <w:r w:rsidR="0028273A">
              <w:t xml:space="preserve"> prasību pārņemšanu attiecībā uz atkritumu sadedzināšanas un </w:t>
            </w:r>
            <w:proofErr w:type="spellStart"/>
            <w:r w:rsidR="0028273A">
              <w:t>līdzsadedzināšanas</w:t>
            </w:r>
            <w:proofErr w:type="spellEnd"/>
            <w:r w:rsidR="0028273A">
              <w:t xml:space="preserve"> iekārtu darbību, to ietekmētās vides monitoringu un emisiju robežvērtībām. </w:t>
            </w:r>
            <w:r w:rsidR="002B2FF1">
              <w:t xml:space="preserve"> </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48B2BC43" w14:textId="56C08804" w:rsidR="00DF6FCD" w:rsidRPr="006D5F36" w:rsidRDefault="00DF6FCD" w:rsidP="00D062F9">
            <w:pPr>
              <w:pStyle w:val="tv2131"/>
              <w:spacing w:line="240" w:lineRule="auto"/>
              <w:ind w:right="135" w:firstLine="720"/>
              <w:jc w:val="both"/>
              <w:rPr>
                <w:color w:val="auto"/>
                <w:sz w:val="24"/>
                <w:szCs w:val="24"/>
                <w:lang w:val="lv-LV"/>
              </w:rPr>
            </w:pPr>
            <w:r w:rsidRPr="006D5F36">
              <w:rPr>
                <w:color w:val="auto"/>
                <w:sz w:val="24"/>
                <w:szCs w:val="24"/>
                <w:lang w:val="lv-LV"/>
              </w:rPr>
              <w:t>2.1.Pašreizējā situ</w:t>
            </w:r>
            <w:r w:rsidR="004560FC" w:rsidRPr="006D5F36">
              <w:rPr>
                <w:color w:val="auto"/>
                <w:sz w:val="24"/>
                <w:szCs w:val="24"/>
                <w:lang w:val="lv-LV"/>
              </w:rPr>
              <w:t xml:space="preserve">ācija un </w:t>
            </w:r>
            <w:r w:rsidRPr="006D5F36">
              <w:rPr>
                <w:color w:val="auto"/>
                <w:sz w:val="24"/>
                <w:szCs w:val="24"/>
                <w:lang w:val="lv-LV"/>
              </w:rPr>
              <w:t>problēmas, kuru risināšanai tiesību akta projekts izstrādāts:</w:t>
            </w:r>
          </w:p>
          <w:p w14:paraId="5BFB5199" w14:textId="0E7653B7" w:rsidR="00D274B8" w:rsidRPr="00C973BC" w:rsidRDefault="00A0584C" w:rsidP="00D062F9">
            <w:pPr>
              <w:pStyle w:val="tv2131"/>
              <w:numPr>
                <w:ilvl w:val="2"/>
                <w:numId w:val="6"/>
              </w:numPr>
              <w:spacing w:line="240" w:lineRule="auto"/>
              <w:ind w:left="0" w:right="135" w:firstLine="720"/>
              <w:jc w:val="both"/>
              <w:rPr>
                <w:color w:val="auto"/>
                <w:sz w:val="24"/>
                <w:szCs w:val="24"/>
                <w:lang w:val="lv-LV"/>
              </w:rPr>
            </w:pPr>
            <w:r w:rsidRPr="006D5F36">
              <w:rPr>
                <w:color w:val="auto"/>
                <w:sz w:val="24"/>
                <w:szCs w:val="24"/>
                <w:lang w:val="lv-LV"/>
              </w:rPr>
              <w:t>p</w:t>
            </w:r>
            <w:r w:rsidR="00676472" w:rsidRPr="006D5F36">
              <w:rPr>
                <w:color w:val="auto"/>
                <w:sz w:val="24"/>
                <w:szCs w:val="24"/>
                <w:lang w:val="lv-LV"/>
              </w:rPr>
              <w:t>ašreiz spēkā esošajos Ministru kabineta 2011.</w:t>
            </w:r>
            <w:r w:rsidR="00387BF8">
              <w:rPr>
                <w:color w:val="auto"/>
                <w:sz w:val="24"/>
                <w:szCs w:val="24"/>
                <w:lang w:val="lv-LV"/>
              </w:rPr>
              <w:t> </w:t>
            </w:r>
            <w:r w:rsidR="00676472" w:rsidRPr="006D5F36">
              <w:rPr>
                <w:color w:val="auto"/>
                <w:sz w:val="24"/>
                <w:szCs w:val="24"/>
                <w:lang w:val="lv-LV"/>
              </w:rPr>
              <w:t xml:space="preserve">gada </w:t>
            </w:r>
            <w:r w:rsidR="0097164D">
              <w:rPr>
                <w:color w:val="auto"/>
                <w:sz w:val="24"/>
                <w:szCs w:val="24"/>
                <w:lang w:val="lv-LV"/>
              </w:rPr>
              <w:t>24. maija</w:t>
            </w:r>
            <w:r w:rsidR="00387BF8" w:rsidRPr="005A44F7">
              <w:rPr>
                <w:color w:val="auto"/>
                <w:sz w:val="24"/>
                <w:szCs w:val="24"/>
                <w:lang w:val="lv-LV"/>
              </w:rPr>
              <w:t xml:space="preserve"> </w:t>
            </w:r>
            <w:r w:rsidR="00676472" w:rsidRPr="006D5F36">
              <w:rPr>
                <w:color w:val="auto"/>
                <w:sz w:val="24"/>
                <w:szCs w:val="24"/>
                <w:lang w:val="lv-LV"/>
              </w:rPr>
              <w:t>noteikumos Nr.</w:t>
            </w:r>
            <w:r w:rsidR="00387BF8">
              <w:rPr>
                <w:color w:val="auto"/>
                <w:sz w:val="24"/>
                <w:szCs w:val="24"/>
                <w:lang w:val="lv-LV"/>
              </w:rPr>
              <w:t> </w:t>
            </w:r>
            <w:r w:rsidR="0097164D">
              <w:rPr>
                <w:color w:val="auto"/>
                <w:sz w:val="24"/>
                <w:szCs w:val="24"/>
                <w:lang w:val="lv-LV"/>
              </w:rPr>
              <w:t>401</w:t>
            </w:r>
            <w:r w:rsidR="00676472" w:rsidRPr="006D5F36">
              <w:rPr>
                <w:color w:val="auto"/>
                <w:sz w:val="24"/>
                <w:szCs w:val="24"/>
                <w:lang w:val="lv-LV"/>
              </w:rPr>
              <w:t xml:space="preserve"> “</w:t>
            </w:r>
            <w:r w:rsidR="0097164D" w:rsidRPr="0097164D">
              <w:rPr>
                <w:color w:val="auto"/>
                <w:sz w:val="24"/>
                <w:lang w:val="lv-LV"/>
              </w:rPr>
              <w:t>Prasības atkritumu sadedzināšanai un atkritumu sadedzināšanas iekārtu darbībai</w:t>
            </w:r>
            <w:r w:rsidR="00676472" w:rsidRPr="006D5F36">
              <w:rPr>
                <w:color w:val="auto"/>
                <w:sz w:val="24"/>
                <w:szCs w:val="24"/>
                <w:lang w:val="lv-LV"/>
              </w:rPr>
              <w:t xml:space="preserve">” </w:t>
            </w:r>
            <w:r w:rsidRPr="006D5F36">
              <w:rPr>
                <w:color w:val="auto"/>
                <w:sz w:val="24"/>
                <w:szCs w:val="24"/>
                <w:lang w:val="lv-LV"/>
              </w:rPr>
              <w:t>(turpmāk – MK noteikumi Nr.</w:t>
            </w:r>
            <w:r w:rsidR="00387BF8">
              <w:rPr>
                <w:color w:val="auto"/>
                <w:sz w:val="24"/>
                <w:szCs w:val="24"/>
                <w:lang w:val="lv-LV"/>
              </w:rPr>
              <w:t> </w:t>
            </w:r>
            <w:r w:rsidR="0097164D">
              <w:rPr>
                <w:color w:val="auto"/>
                <w:sz w:val="24"/>
                <w:szCs w:val="24"/>
                <w:lang w:val="lv-LV"/>
              </w:rPr>
              <w:t>401</w:t>
            </w:r>
            <w:r w:rsidRPr="006D5F36">
              <w:rPr>
                <w:color w:val="auto"/>
                <w:sz w:val="24"/>
                <w:szCs w:val="24"/>
                <w:lang w:val="lv-LV"/>
              </w:rPr>
              <w:t xml:space="preserve">) </w:t>
            </w:r>
            <w:r w:rsidR="00676472" w:rsidRPr="006D5F36">
              <w:rPr>
                <w:color w:val="auto"/>
                <w:sz w:val="24"/>
                <w:szCs w:val="24"/>
                <w:lang w:val="lv-LV"/>
              </w:rPr>
              <w:t>ir noteiktas prasības</w:t>
            </w:r>
            <w:r w:rsidR="0097164D">
              <w:rPr>
                <w:color w:val="auto"/>
                <w:sz w:val="24"/>
                <w:szCs w:val="24"/>
                <w:lang w:val="lv-LV"/>
              </w:rPr>
              <w:t xml:space="preserve"> atkritumu sadedzināšanai un atkritumu sadedzināšanas iekārtu darbībai</w:t>
            </w:r>
            <w:r w:rsidR="00676472" w:rsidRPr="006D5F36">
              <w:rPr>
                <w:color w:val="auto"/>
                <w:sz w:val="24"/>
                <w:szCs w:val="24"/>
                <w:lang w:val="lv-LV"/>
              </w:rPr>
              <w:t xml:space="preserve">. Lai pilnībā </w:t>
            </w:r>
            <w:r w:rsidR="00504560">
              <w:rPr>
                <w:color w:val="auto"/>
                <w:sz w:val="24"/>
                <w:szCs w:val="24"/>
                <w:lang w:val="lv-LV"/>
              </w:rPr>
              <w:t xml:space="preserve">nodrošinātu </w:t>
            </w:r>
            <w:r w:rsidR="00286115" w:rsidRPr="006D5F36">
              <w:rPr>
                <w:color w:val="auto"/>
                <w:sz w:val="24"/>
                <w:szCs w:val="24"/>
                <w:lang w:val="lv-LV"/>
              </w:rPr>
              <w:t>Direktīva</w:t>
            </w:r>
            <w:r w:rsidR="00504560">
              <w:rPr>
                <w:color w:val="auto"/>
                <w:sz w:val="24"/>
                <w:szCs w:val="24"/>
                <w:lang w:val="lv-LV"/>
              </w:rPr>
              <w:t>s</w:t>
            </w:r>
            <w:r w:rsidR="00286115" w:rsidRPr="006D5F36">
              <w:rPr>
                <w:color w:val="auto"/>
                <w:sz w:val="24"/>
                <w:szCs w:val="24"/>
                <w:lang w:val="lv-LV"/>
              </w:rPr>
              <w:t xml:space="preserve"> 2010/75/ES</w:t>
            </w:r>
            <w:r w:rsidR="00676472" w:rsidRPr="006D5F36">
              <w:rPr>
                <w:color w:val="auto"/>
                <w:sz w:val="24"/>
                <w:szCs w:val="24"/>
                <w:lang w:val="lv-LV"/>
              </w:rPr>
              <w:t xml:space="preserve"> prasību transponēšanu Latvijas normatīvajos aktos, ir nepieciešams noteikt prasības titāna dioksīda ražoš</w:t>
            </w:r>
            <w:r w:rsidRPr="006D5F36">
              <w:rPr>
                <w:color w:val="auto"/>
                <w:sz w:val="24"/>
                <w:szCs w:val="24"/>
                <w:lang w:val="lv-LV"/>
              </w:rPr>
              <w:t>anas iekārtu radīto emisiju ierobežošanai, kontrolei un monitoringam, izdarot grozījumus MK noteikumos Nr.</w:t>
            </w:r>
            <w:r w:rsidR="00387BF8">
              <w:rPr>
                <w:color w:val="auto"/>
                <w:sz w:val="24"/>
                <w:szCs w:val="24"/>
                <w:lang w:val="lv-LV"/>
              </w:rPr>
              <w:t> </w:t>
            </w:r>
            <w:r w:rsidR="00BB6911">
              <w:rPr>
                <w:color w:val="auto"/>
                <w:sz w:val="24"/>
                <w:szCs w:val="24"/>
                <w:lang w:val="lv-LV"/>
              </w:rPr>
              <w:t>401</w:t>
            </w:r>
            <w:r w:rsidRPr="006D5F36">
              <w:rPr>
                <w:color w:val="auto"/>
                <w:sz w:val="24"/>
                <w:szCs w:val="24"/>
                <w:lang w:val="lv-LV"/>
              </w:rPr>
              <w:t xml:space="preserve">. </w:t>
            </w:r>
          </w:p>
          <w:p w14:paraId="7C330048" w14:textId="26A07357" w:rsidR="00DF6FCD" w:rsidRPr="005A44F7" w:rsidRDefault="00DF6FCD" w:rsidP="00D062F9">
            <w:pPr>
              <w:pStyle w:val="tv2131"/>
              <w:numPr>
                <w:ilvl w:val="1"/>
                <w:numId w:val="6"/>
              </w:numPr>
              <w:spacing w:line="240" w:lineRule="auto"/>
              <w:ind w:left="0" w:right="135" w:firstLine="720"/>
              <w:jc w:val="both"/>
              <w:rPr>
                <w:color w:val="auto"/>
                <w:sz w:val="24"/>
                <w:szCs w:val="24"/>
                <w:lang w:val="lv-LV"/>
              </w:rPr>
            </w:pPr>
            <w:r w:rsidRPr="005A44F7">
              <w:rPr>
                <w:color w:val="auto"/>
                <w:sz w:val="24"/>
                <w:szCs w:val="24"/>
                <w:lang w:val="lv-LV"/>
              </w:rPr>
              <w:t>tiesiskā regulējuma mērķis un būtība</w:t>
            </w:r>
            <w:r w:rsidR="0062550E" w:rsidRPr="005A44F7">
              <w:rPr>
                <w:color w:val="auto"/>
                <w:sz w:val="24"/>
                <w:szCs w:val="24"/>
                <w:lang w:val="lv-LV"/>
              </w:rPr>
              <w:t>:</w:t>
            </w:r>
          </w:p>
          <w:p w14:paraId="04473898" w14:textId="09143372" w:rsidR="0062550E" w:rsidRDefault="006A1B91" w:rsidP="00BB6911">
            <w:pPr>
              <w:pStyle w:val="tv2131"/>
              <w:spacing w:line="240" w:lineRule="auto"/>
              <w:ind w:right="135" w:firstLine="0"/>
              <w:jc w:val="both"/>
              <w:rPr>
                <w:color w:val="auto"/>
                <w:sz w:val="24"/>
                <w:szCs w:val="24"/>
                <w:lang w:val="lv-LV"/>
              </w:rPr>
            </w:pPr>
            <w:r>
              <w:rPr>
                <w:color w:val="auto"/>
                <w:sz w:val="24"/>
                <w:szCs w:val="24"/>
                <w:lang w:val="lv-LV"/>
              </w:rPr>
              <w:t xml:space="preserve">2.2.1. precizētas prasības atkritumu pieņemšanai atkritumu sadedzināšanas vai </w:t>
            </w:r>
            <w:proofErr w:type="spellStart"/>
            <w:r>
              <w:rPr>
                <w:color w:val="auto"/>
                <w:sz w:val="24"/>
                <w:szCs w:val="24"/>
                <w:lang w:val="lv-LV"/>
              </w:rPr>
              <w:t>līdzsadedzināšanas</w:t>
            </w:r>
            <w:proofErr w:type="spellEnd"/>
            <w:r>
              <w:rPr>
                <w:color w:val="auto"/>
                <w:sz w:val="24"/>
                <w:szCs w:val="24"/>
                <w:lang w:val="lv-LV"/>
              </w:rPr>
              <w:t xml:space="preserve"> iekārtās, </w:t>
            </w:r>
          </w:p>
          <w:p w14:paraId="3C2CE690" w14:textId="77777777" w:rsidR="006A1B91" w:rsidRDefault="006A1B91" w:rsidP="00BB6911">
            <w:pPr>
              <w:pStyle w:val="tv2131"/>
              <w:spacing w:line="240" w:lineRule="auto"/>
              <w:ind w:right="135" w:firstLine="0"/>
              <w:jc w:val="both"/>
              <w:rPr>
                <w:color w:val="auto"/>
                <w:sz w:val="24"/>
                <w:szCs w:val="24"/>
                <w:lang w:val="lv-LV"/>
              </w:rPr>
            </w:pPr>
            <w:r>
              <w:rPr>
                <w:color w:val="auto"/>
                <w:sz w:val="24"/>
                <w:szCs w:val="24"/>
                <w:lang w:val="lv-LV"/>
              </w:rPr>
              <w:t xml:space="preserve">2.2.2. precizētas prasības atkritumu sadedzināšanas vai </w:t>
            </w:r>
            <w:proofErr w:type="spellStart"/>
            <w:r>
              <w:rPr>
                <w:color w:val="auto"/>
                <w:sz w:val="24"/>
                <w:szCs w:val="24"/>
                <w:lang w:val="lv-LV"/>
              </w:rPr>
              <w:t>līdzsadedzināšanas</w:t>
            </w:r>
            <w:proofErr w:type="spellEnd"/>
            <w:r>
              <w:rPr>
                <w:color w:val="auto"/>
                <w:sz w:val="24"/>
                <w:szCs w:val="24"/>
                <w:lang w:val="lv-LV"/>
              </w:rPr>
              <w:t xml:space="preserve"> iekārtu emisiju monitoringa veikšanai, kā arī monitoringa veikšanai izmantojamā aprīkojuma kalibrēšanai;</w:t>
            </w:r>
          </w:p>
          <w:p w14:paraId="7F1EE377" w14:textId="2021639E" w:rsidR="006A1B91" w:rsidRPr="00C973BC" w:rsidRDefault="006A1B91" w:rsidP="00BB6911">
            <w:pPr>
              <w:pStyle w:val="tv2131"/>
              <w:spacing w:line="240" w:lineRule="auto"/>
              <w:ind w:right="135" w:firstLine="0"/>
              <w:jc w:val="both"/>
              <w:rPr>
                <w:color w:val="auto"/>
                <w:sz w:val="24"/>
                <w:szCs w:val="24"/>
                <w:lang w:val="lv-LV"/>
              </w:rPr>
            </w:pPr>
            <w:r>
              <w:rPr>
                <w:color w:val="auto"/>
                <w:sz w:val="24"/>
                <w:szCs w:val="24"/>
                <w:lang w:val="lv-LV"/>
              </w:rPr>
              <w:t xml:space="preserve">2.2.3. </w:t>
            </w:r>
            <w:r w:rsidR="00FF7D35">
              <w:rPr>
                <w:color w:val="auto"/>
                <w:sz w:val="24"/>
                <w:szCs w:val="24"/>
                <w:lang w:val="lv-LV"/>
              </w:rPr>
              <w:t xml:space="preserve">precizētas robežvērtības emisijām gaisā no atkritumu </w:t>
            </w:r>
            <w:proofErr w:type="spellStart"/>
            <w:r w:rsidR="00FF7D35">
              <w:rPr>
                <w:color w:val="auto"/>
                <w:sz w:val="24"/>
                <w:szCs w:val="24"/>
                <w:lang w:val="lv-LV"/>
              </w:rPr>
              <w:t>līdzsadedzināšanas</w:t>
            </w:r>
            <w:proofErr w:type="spellEnd"/>
            <w:r w:rsidR="00FF7D35">
              <w:rPr>
                <w:color w:val="auto"/>
                <w:sz w:val="24"/>
                <w:szCs w:val="24"/>
                <w:lang w:val="lv-LV"/>
              </w:rPr>
              <w:t xml:space="preserve"> iekārtām. </w:t>
            </w:r>
          </w:p>
        </w:tc>
      </w:tr>
      <w:tr w:rsidR="00366FBF" w:rsidRPr="00FB41DC" w14:paraId="01D20790" w14:textId="77777777" w:rsidTr="00B227DD">
        <w:tc>
          <w:tcPr>
            <w:tcW w:w="720" w:type="dxa"/>
          </w:tcPr>
          <w:p w14:paraId="0397F219" w14:textId="2195F97E" w:rsidR="00D274B8" w:rsidRPr="00FB41DC" w:rsidRDefault="00D274B8" w:rsidP="00B227DD">
            <w:pPr>
              <w:jc w:val="center"/>
            </w:pPr>
            <w:r>
              <w:t>3</w:t>
            </w:r>
            <w:r w:rsidRPr="00FB41DC">
              <w:t>.</w:t>
            </w:r>
          </w:p>
        </w:tc>
        <w:tc>
          <w:tcPr>
            <w:tcW w:w="1445" w:type="dxa"/>
          </w:tcPr>
          <w:p w14:paraId="772F6120" w14:textId="4CF1A81D" w:rsidR="00D274B8" w:rsidRPr="00FB41DC" w:rsidRDefault="00323FC6" w:rsidP="00B227DD">
            <w:r>
              <w:t>Projekta izstrādē iesaistītās institūcijas un publiskas personas kapitālsabiedrības</w:t>
            </w:r>
          </w:p>
        </w:tc>
        <w:tc>
          <w:tcPr>
            <w:tcW w:w="7194" w:type="dxa"/>
          </w:tcPr>
          <w:p w14:paraId="6FAE03BB" w14:textId="24B83157" w:rsidR="00D274B8" w:rsidRPr="00FB41DC" w:rsidRDefault="00CD148D" w:rsidP="00B227DD">
            <w:pPr>
              <w:pStyle w:val="naiskr"/>
              <w:jc w:val="both"/>
            </w:pPr>
            <w:r>
              <w:t>Vides aizsardzības un reģionālās attīstības ministrija, Valsts vides dienests</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4BE920C9"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lastRenderedPageBreak/>
              <w:t>II.</w:t>
            </w:r>
            <w:r>
              <w:rPr>
                <w:b/>
              </w:rPr>
              <w:t> </w:t>
            </w:r>
            <w:r w:rsidRPr="00FB41DC">
              <w:rPr>
                <w:b/>
              </w:rPr>
              <w:t>Tiesību akta projekta ietekme uz sabiedrību</w:t>
            </w:r>
          </w:p>
        </w:tc>
      </w:tr>
      <w:tr w:rsidR="00C65024"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758568D8" w14:textId="28C6E8CA" w:rsidR="00C65024" w:rsidRPr="00C65024" w:rsidRDefault="00A86764" w:rsidP="004B665C">
            <w:pPr>
              <w:pStyle w:val="ListParagraph"/>
              <w:tabs>
                <w:tab w:val="left" w:pos="720"/>
              </w:tabs>
              <w:suppressAutoHyphens/>
              <w:ind w:left="0"/>
              <w:jc w:val="both"/>
            </w:pPr>
            <w:r>
              <w:t>1. </w:t>
            </w:r>
            <w:r w:rsidR="00BB6911" w:rsidRPr="00C65024">
              <w:t xml:space="preserve">Operatori (komersanti), kuri veic atkritumu sadedzināšanas vai </w:t>
            </w:r>
            <w:proofErr w:type="spellStart"/>
            <w:r w:rsidR="00BB6911" w:rsidRPr="00C65024">
              <w:t>līdzsadedzināšanas</w:t>
            </w:r>
            <w:proofErr w:type="spellEnd"/>
            <w:r w:rsidR="00BB6911" w:rsidRPr="00C65024">
              <w:t xml:space="preserve"> darbības; </w:t>
            </w:r>
          </w:p>
          <w:p w14:paraId="732233C7" w14:textId="736EC8A2" w:rsidR="00C65024" w:rsidRPr="00C65024" w:rsidRDefault="00A86764" w:rsidP="004B665C">
            <w:pPr>
              <w:pStyle w:val="ListParagraph"/>
              <w:tabs>
                <w:tab w:val="left" w:pos="720"/>
              </w:tabs>
              <w:suppressAutoHyphens/>
              <w:ind w:left="0"/>
              <w:jc w:val="both"/>
            </w:pPr>
            <w:r>
              <w:t>2. V</w:t>
            </w:r>
            <w:r w:rsidR="00BB6911" w:rsidRPr="00C65024">
              <w:t xml:space="preserve">ides </w:t>
            </w:r>
            <w:r w:rsidR="00C65024" w:rsidRPr="00C65024">
              <w:t xml:space="preserve">aizsardzības </w:t>
            </w:r>
            <w:r w:rsidR="00BB6911" w:rsidRPr="00C65024">
              <w:t>instit</w:t>
            </w:r>
            <w:r w:rsidR="00C65024">
              <w:t>ūcijas – Valsts vides dienests;</w:t>
            </w:r>
          </w:p>
          <w:p w14:paraId="495B89F2" w14:textId="7C13D281" w:rsidR="006D5F36" w:rsidRPr="00FB41DC" w:rsidRDefault="00A86764" w:rsidP="004B665C">
            <w:pPr>
              <w:pStyle w:val="ListParagraph"/>
              <w:tabs>
                <w:tab w:val="left" w:pos="720"/>
              </w:tabs>
              <w:suppressAutoHyphens/>
              <w:ind w:left="0"/>
              <w:jc w:val="both"/>
            </w:pPr>
            <w:r>
              <w:t>3. Noteikumu projekta</w:t>
            </w:r>
            <w:r w:rsidR="00BB6911" w:rsidRPr="00C65024">
              <w:t xml:space="preserve"> prasības netiešā veidā attiecināmas uz sabiedrību, kuras ieguvums būs kvalitatīvas vides nodrošinājums</w:t>
            </w:r>
            <w:proofErr w:type="gramStart"/>
            <w:r w:rsidR="00BB6911" w:rsidRPr="00C65024">
              <w:t xml:space="preserve"> atbilstošā veidā apsaimniekojot</w:t>
            </w:r>
            <w:proofErr w:type="gramEnd"/>
            <w:r w:rsidR="00BB6911" w:rsidRPr="00C65024">
              <w:t xml:space="preserve"> (sadedzinot), tai skaitā, arī tās radītos atkritumus.</w:t>
            </w:r>
          </w:p>
        </w:tc>
      </w:tr>
      <w:tr w:rsidR="00C65024"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t>Nav paredzams, ka noteikumu projekta prasības radīs būtisku ietekmi</w:t>
            </w:r>
            <w:r w:rsidR="006D3ABB">
              <w:t xml:space="preserve"> uz uzņēmējdarbības vidi un maziem, vidējiem uzņēmumiem, mi</w:t>
            </w:r>
            <w:r>
              <w:t xml:space="preserve">krouzņēmumiem un </w:t>
            </w:r>
            <w:proofErr w:type="spellStart"/>
            <w:r>
              <w:t>jaunuzņēmumiem</w:t>
            </w:r>
            <w:proofErr w:type="spellEnd"/>
            <w:r>
              <w:t>.</w:t>
            </w:r>
          </w:p>
          <w:p w14:paraId="00F863CA" w14:textId="3BCD2455" w:rsidR="006D3ABB" w:rsidRDefault="0064594B" w:rsidP="00A31E9A">
            <w:pPr>
              <w:pStyle w:val="tv213"/>
              <w:jc w:val="both"/>
            </w:pPr>
            <w:r>
              <w:t xml:space="preserve">Noteikumu projekta prasības neattiecas </w:t>
            </w:r>
            <w:r w:rsidR="006D3ABB">
              <w:t xml:space="preserve">uz Nacionālā attīstības plāna </w:t>
            </w:r>
            <w:r w:rsidR="008F60BC">
              <w:t>2014.</w:t>
            </w:r>
            <w:r w:rsidR="00B25CDE">
              <w:t xml:space="preserve"> – </w:t>
            </w:r>
            <w:r w:rsidR="008F60BC">
              <w:t>2020.</w:t>
            </w:r>
            <w:r w:rsidR="00B25CDE">
              <w:t> </w:t>
            </w:r>
            <w:r w:rsidR="008F60BC">
              <w:t>gadam</w:t>
            </w:r>
            <w:r w:rsidR="009C6C28">
              <w:t xml:space="preserve"> un provizoriski – Nacionālā attīstības plāna 2021. – 2027. gadam</w:t>
            </w:r>
            <w:r w:rsidR="008F60BC">
              <w:t xml:space="preserve"> </w:t>
            </w:r>
            <w:r w:rsidR="006D3ABB">
              <w:t>rādītāj</w:t>
            </w:r>
            <w:r>
              <w:t xml:space="preserve">iem </w:t>
            </w:r>
            <w:proofErr w:type="spellStart"/>
            <w:r>
              <w:t>mikrolīmenī</w:t>
            </w:r>
            <w:proofErr w:type="spellEnd"/>
            <w:r>
              <w:t xml:space="preserve"> vai makrolīmenī.</w:t>
            </w:r>
          </w:p>
          <w:p w14:paraId="5418EC69" w14:textId="77777777" w:rsidR="006D3ABB" w:rsidRDefault="0064594B" w:rsidP="00A31E9A">
            <w:pPr>
              <w:pStyle w:val="tv213"/>
              <w:jc w:val="both"/>
            </w:pPr>
            <w:r>
              <w:t>Noteikumu projekta prasības neattiecas uz konkurenci.</w:t>
            </w:r>
          </w:p>
          <w:p w14:paraId="5B32628B" w14:textId="558BD918" w:rsidR="006D3ABB" w:rsidRDefault="0064594B" w:rsidP="00A31E9A">
            <w:pPr>
              <w:pStyle w:val="tv213"/>
              <w:jc w:val="both"/>
            </w:pPr>
            <w:r>
              <w:t>Noteikumu projekta ietekme uz vidi ir vērtējama pozitīvi, tā kā tiek noteiktas</w:t>
            </w:r>
            <w:r w:rsidR="00983832">
              <w:t xml:space="preserve"> </w:t>
            </w:r>
            <w:r w:rsidR="00C65024">
              <w:t xml:space="preserve">atkritumu sadedzināšanas un </w:t>
            </w:r>
            <w:proofErr w:type="spellStart"/>
            <w:r w:rsidR="00C65024">
              <w:t>līdzsadedzināšanas</w:t>
            </w:r>
            <w:proofErr w:type="spellEnd"/>
            <w:r w:rsidR="00C65024">
              <w:t xml:space="preserve"> </w:t>
            </w:r>
            <w:r w:rsidR="00983832" w:rsidRPr="006D5F36">
              <w:t>iekārtu radīto emisiju ierobežošanai, kontrolei un monitoringam</w:t>
            </w:r>
            <w:r>
              <w:t xml:space="preserve">.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C65024" w:rsidRPr="00FB41DC" w14:paraId="270C8E56" w14:textId="77777777" w:rsidTr="00B227DD">
        <w:tc>
          <w:tcPr>
            <w:tcW w:w="648" w:type="dxa"/>
          </w:tcPr>
          <w:p w14:paraId="6AD76514" w14:textId="77777777" w:rsidR="00D274B8" w:rsidRPr="00FB41DC" w:rsidRDefault="00D274B8" w:rsidP="00B227DD">
            <w:pPr>
              <w:jc w:val="center"/>
            </w:pPr>
            <w:r>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1F7F8F2F" w:rsidR="00D274B8" w:rsidRPr="00FB41DC" w:rsidRDefault="009C6C28" w:rsidP="00B227DD">
            <w:r>
              <w:t>Noteikumu p</w:t>
            </w:r>
            <w:r w:rsidR="00983832">
              <w:t xml:space="preserve">rojekts šo jomu neskar. </w:t>
            </w:r>
          </w:p>
        </w:tc>
      </w:tr>
      <w:tr w:rsidR="00C65024"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BA4BC56" w:rsidR="006D3ABB" w:rsidRDefault="009C6C28" w:rsidP="00B227DD">
            <w:r>
              <w:t>Noteikumu p</w:t>
            </w:r>
            <w:r w:rsidR="00A31E9A">
              <w:t>rojekts šo jomu neskar.</w:t>
            </w:r>
          </w:p>
        </w:tc>
      </w:tr>
      <w:tr w:rsidR="00C65024"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9DA2D45" w:rsidR="00D274B8" w:rsidRPr="00FB41DC" w:rsidRDefault="00D274B8" w:rsidP="00B227DD">
            <w:pPr>
              <w:jc w:val="both"/>
            </w:pPr>
            <w:r>
              <w:t>Nav</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42079DFD" w:rsidR="00D274B8" w:rsidRDefault="009C6C28" w:rsidP="00B227DD">
            <w:pPr>
              <w:jc w:val="center"/>
            </w:pPr>
            <w:r>
              <w:t>Noteikumu p</w:t>
            </w:r>
            <w:r w:rsidR="00D274B8">
              <w:t>rojekts šo jomu neskar.</w:t>
            </w:r>
          </w:p>
        </w:tc>
      </w:tr>
    </w:tbl>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3944B85F" w:rsidR="00D274B8" w:rsidRDefault="009C6C28" w:rsidP="00B227DD">
            <w:pPr>
              <w:jc w:val="center"/>
            </w:pPr>
            <w:r>
              <w:t>Noteikumu p</w:t>
            </w:r>
            <w:r w:rsidR="00D274B8">
              <w:t>rojekts šo jomu neskar.</w:t>
            </w:r>
          </w:p>
        </w:tc>
      </w:tr>
    </w:tbl>
    <w:p w14:paraId="3A96AFFB" w14:textId="77777777" w:rsidR="00D274B8"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lastRenderedPageBreak/>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2BA93EED" w14:textId="77777777" w:rsidR="00A31E9A" w:rsidRDefault="00983832" w:rsidP="00826F4B">
            <w:pPr>
              <w:pStyle w:val="naisc"/>
              <w:spacing w:before="0" w:after="0"/>
              <w:jc w:val="both"/>
            </w:pPr>
            <w:r>
              <w:t>Direktīva 2010/75/ES (OV L 334, 17.12.2010., 17. lpp.)</w:t>
            </w:r>
          </w:p>
          <w:p w14:paraId="4B61EAB9" w14:textId="34A42DA5" w:rsidR="00983832" w:rsidRPr="00483F49" w:rsidRDefault="00983832" w:rsidP="00826F4B">
            <w:pPr>
              <w:pStyle w:val="naisc"/>
              <w:spacing w:before="0" w:after="0"/>
              <w:jc w:val="both"/>
            </w:pPr>
          </w:p>
        </w:tc>
      </w:tr>
      <w:tr w:rsidR="00D274B8" w:rsidRPr="00FB41DC" w14:paraId="6EEBE583" w14:textId="77777777" w:rsidTr="00B227DD">
        <w:trPr>
          <w:jc w:val="center"/>
        </w:trPr>
        <w:tc>
          <w:tcPr>
            <w:tcW w:w="523" w:type="dxa"/>
          </w:tcPr>
          <w:p w14:paraId="0D2FAB52" w14:textId="16DFE12B" w:rsidR="00D274B8" w:rsidRPr="00FB41DC" w:rsidRDefault="00D274B8" w:rsidP="00B227DD">
            <w:pPr>
              <w:pStyle w:val="naiskr"/>
              <w:tabs>
                <w:tab w:val="left" w:pos="2628"/>
              </w:tabs>
              <w:spacing w:before="0" w:after="0"/>
              <w:jc w:val="both"/>
            </w:pPr>
            <w:r w:rsidRPr="00FB41DC">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1C61D69A" w:rsidR="00D274B8" w:rsidRPr="00FB41DC" w:rsidRDefault="00D90254" w:rsidP="00B227DD">
            <w:pPr>
              <w:pStyle w:val="naiskr"/>
              <w:tabs>
                <w:tab w:val="left" w:pos="2628"/>
              </w:tabs>
              <w:spacing w:before="0" w:after="0"/>
              <w:jc w:val="both"/>
            </w:pPr>
            <w:r>
              <w:t>Noteikumu p</w:t>
            </w:r>
            <w:r w:rsidR="00D274B8">
              <w:t>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646"/>
        <w:gridCol w:w="1843"/>
        <w:gridCol w:w="3931"/>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A71F90">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8F60BC" w:rsidRDefault="00D274B8" w:rsidP="008F60BC">
            <w:pPr>
              <w:pStyle w:val="naiskr"/>
              <w:spacing w:before="0" w:after="0"/>
              <w:ind w:hanging="10"/>
              <w:rPr>
                <w:b/>
              </w:rPr>
            </w:pPr>
            <w:r w:rsidRPr="008F60BC">
              <w:rPr>
                <w:b/>
              </w:rPr>
              <w:t>Attiecīgā ES tiesību akta datums, numurs un nosaukums</w:t>
            </w:r>
          </w:p>
        </w:tc>
        <w:tc>
          <w:tcPr>
            <w:tcW w:w="7420" w:type="dxa"/>
            <w:gridSpan w:val="3"/>
            <w:vAlign w:val="center"/>
          </w:tcPr>
          <w:p w14:paraId="25E35999" w14:textId="64249132" w:rsidR="00D274B8" w:rsidRPr="008F60BC" w:rsidRDefault="0004464E" w:rsidP="00B227DD">
            <w:pPr>
              <w:pStyle w:val="naisc"/>
              <w:spacing w:before="0" w:after="0"/>
              <w:jc w:val="both"/>
              <w:rPr>
                <w:b/>
              </w:rPr>
            </w:pPr>
            <w:r w:rsidRPr="00196710">
              <w:rPr>
                <w:rStyle w:val="Strong"/>
              </w:rPr>
              <w:t xml:space="preserve"> </w:t>
            </w:r>
            <w:r w:rsidR="00983832" w:rsidRPr="008F60BC">
              <w:rPr>
                <w:rStyle w:val="Strong"/>
              </w:rPr>
              <w:t>Direktīva 2010/75/ES</w:t>
            </w:r>
          </w:p>
        </w:tc>
      </w:tr>
      <w:tr w:rsidR="00D274B8" w:rsidRPr="00FB41DC" w14:paraId="2D29186C" w14:textId="77777777" w:rsidTr="006241FF">
        <w:trPr>
          <w:trHeight w:val="165"/>
          <w:jc w:val="center"/>
        </w:trPr>
        <w:tc>
          <w:tcPr>
            <w:tcW w:w="2035" w:type="dxa"/>
            <w:vAlign w:val="center"/>
          </w:tcPr>
          <w:p w14:paraId="43A5E662" w14:textId="77777777" w:rsidR="00D274B8" w:rsidRPr="00FB41DC" w:rsidRDefault="00D274B8" w:rsidP="008F60BC">
            <w:pPr>
              <w:pStyle w:val="naiskr"/>
              <w:spacing w:before="0" w:after="0"/>
              <w:jc w:val="center"/>
            </w:pPr>
            <w:r w:rsidRPr="00FB41DC">
              <w:t>A</w:t>
            </w:r>
          </w:p>
        </w:tc>
        <w:tc>
          <w:tcPr>
            <w:tcW w:w="1646" w:type="dxa"/>
            <w:vAlign w:val="center"/>
          </w:tcPr>
          <w:p w14:paraId="4E841D36" w14:textId="77777777" w:rsidR="00D274B8" w:rsidRPr="00FB41DC" w:rsidRDefault="00D274B8" w:rsidP="008F60BC">
            <w:pPr>
              <w:pStyle w:val="naiskr"/>
              <w:spacing w:before="0" w:after="0"/>
              <w:jc w:val="center"/>
            </w:pPr>
            <w:r w:rsidRPr="00FB41DC">
              <w:t>B</w:t>
            </w:r>
          </w:p>
        </w:tc>
        <w:tc>
          <w:tcPr>
            <w:tcW w:w="1843" w:type="dxa"/>
            <w:vAlign w:val="center"/>
          </w:tcPr>
          <w:p w14:paraId="3D6171C4" w14:textId="77777777" w:rsidR="00D274B8" w:rsidRPr="00FB41DC" w:rsidRDefault="00D274B8" w:rsidP="008F60BC">
            <w:pPr>
              <w:pStyle w:val="naiskr"/>
              <w:spacing w:before="0" w:after="0"/>
              <w:jc w:val="center"/>
            </w:pPr>
            <w:r w:rsidRPr="00FB41DC">
              <w:t>C</w:t>
            </w:r>
          </w:p>
        </w:tc>
        <w:tc>
          <w:tcPr>
            <w:tcW w:w="3931" w:type="dxa"/>
            <w:vAlign w:val="center"/>
          </w:tcPr>
          <w:p w14:paraId="5E563B2D" w14:textId="77777777" w:rsidR="00D274B8" w:rsidRPr="00FB41DC" w:rsidRDefault="00D274B8" w:rsidP="008F60BC">
            <w:pPr>
              <w:pStyle w:val="naiskr"/>
              <w:spacing w:before="0" w:after="0"/>
              <w:jc w:val="center"/>
            </w:pPr>
            <w:r w:rsidRPr="00FB41DC">
              <w:t>D</w:t>
            </w:r>
          </w:p>
        </w:tc>
      </w:tr>
      <w:tr w:rsidR="00352CFB" w:rsidRPr="00FB41DC" w14:paraId="6C24B8AA" w14:textId="77777777" w:rsidTr="006241FF">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Attiecīgā ES tiesību akta panta numurs (uzskaitot katru tiesību akta vienību – pantu, daļu, punktu, apakšpunktu)</w:t>
            </w:r>
          </w:p>
        </w:tc>
        <w:tc>
          <w:tcPr>
            <w:tcW w:w="1646" w:type="dxa"/>
          </w:tcPr>
          <w:p w14:paraId="756CC469" w14:textId="77777777" w:rsidR="00352CFB" w:rsidRPr="00C76D9A" w:rsidRDefault="00352CFB" w:rsidP="00352CFB">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843" w:type="dxa"/>
          </w:tcPr>
          <w:p w14:paraId="68B7EE2C" w14:textId="77777777" w:rsidR="00352CFB" w:rsidRPr="00C76D9A" w:rsidRDefault="00352CFB" w:rsidP="00352CFB">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931" w:type="dxa"/>
          </w:tcPr>
          <w:p w14:paraId="7338FBE7" w14:textId="77777777" w:rsidR="00352CFB" w:rsidRPr="00C76D9A" w:rsidRDefault="00352CFB" w:rsidP="00352CFB">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B6531A" w14:paraId="27A903EE" w14:textId="77777777" w:rsidTr="006241FF">
        <w:trPr>
          <w:trHeight w:val="313"/>
          <w:jc w:val="center"/>
        </w:trPr>
        <w:tc>
          <w:tcPr>
            <w:tcW w:w="2035" w:type="dxa"/>
          </w:tcPr>
          <w:p w14:paraId="57CD3363" w14:textId="751A1BBD" w:rsidR="00B6531A" w:rsidRPr="006241FF" w:rsidRDefault="00B6531A" w:rsidP="00B6531A">
            <w:pPr>
              <w:pStyle w:val="naiskr"/>
              <w:spacing w:before="0" w:after="0"/>
              <w:jc w:val="both"/>
            </w:pPr>
            <w:proofErr w:type="gramStart"/>
            <w:r w:rsidRPr="006241FF">
              <w:t>3.panta</w:t>
            </w:r>
            <w:proofErr w:type="gramEnd"/>
            <w:r w:rsidRPr="006241FF">
              <w:t xml:space="preserve"> 41.punkts</w:t>
            </w:r>
          </w:p>
        </w:tc>
        <w:tc>
          <w:tcPr>
            <w:tcW w:w="1646" w:type="dxa"/>
          </w:tcPr>
          <w:p w14:paraId="763950E0" w14:textId="4E86D7FC" w:rsidR="00B6531A" w:rsidRDefault="008B367B" w:rsidP="00B6531A">
            <w:pPr>
              <w:pStyle w:val="naiskr"/>
              <w:spacing w:before="0" w:after="0"/>
              <w:jc w:val="both"/>
            </w:pPr>
            <w:r>
              <w:t>3</w:t>
            </w:r>
            <w:r w:rsidR="00537A75">
              <w:t>.punkts</w:t>
            </w:r>
            <w:r w:rsidR="00A61B13">
              <w:t xml:space="preserve"> </w:t>
            </w:r>
          </w:p>
        </w:tc>
        <w:tc>
          <w:tcPr>
            <w:tcW w:w="1843" w:type="dxa"/>
          </w:tcPr>
          <w:p w14:paraId="0FE0A181" w14:textId="4593DF06" w:rsidR="00B6531A" w:rsidRDefault="006241FF" w:rsidP="00B6531A">
            <w:pPr>
              <w:pStyle w:val="naiskr"/>
              <w:spacing w:before="0" w:after="0"/>
              <w:jc w:val="both"/>
            </w:pPr>
            <w:r>
              <w:t>Pārņemts pilnībā.</w:t>
            </w:r>
          </w:p>
        </w:tc>
        <w:tc>
          <w:tcPr>
            <w:tcW w:w="3931" w:type="dxa"/>
          </w:tcPr>
          <w:p w14:paraId="37A09CB8" w14:textId="77777777" w:rsidR="00B6531A" w:rsidRDefault="00B6531A" w:rsidP="00B6531A">
            <w:pPr>
              <w:pStyle w:val="naiskr"/>
              <w:spacing w:before="0" w:after="0"/>
              <w:jc w:val="both"/>
            </w:pPr>
            <w:r>
              <w:t>Netiek noteiktas stingrākas prasības.</w:t>
            </w:r>
          </w:p>
        </w:tc>
      </w:tr>
      <w:tr w:rsidR="00B6531A" w14:paraId="2253EDEF" w14:textId="77777777" w:rsidTr="006241FF">
        <w:trPr>
          <w:trHeight w:val="313"/>
          <w:jc w:val="center"/>
        </w:trPr>
        <w:tc>
          <w:tcPr>
            <w:tcW w:w="2035" w:type="dxa"/>
          </w:tcPr>
          <w:p w14:paraId="1A088712" w14:textId="05A727B6" w:rsidR="00B6531A" w:rsidRPr="006241FF" w:rsidRDefault="00B6531A" w:rsidP="00B6531A">
            <w:pPr>
              <w:pStyle w:val="naiskr"/>
              <w:spacing w:before="0" w:after="0"/>
              <w:jc w:val="both"/>
            </w:pPr>
            <w:proofErr w:type="gramStart"/>
            <w:r w:rsidRPr="006241FF">
              <w:t>42.panta</w:t>
            </w:r>
            <w:proofErr w:type="gramEnd"/>
            <w:r w:rsidRPr="006241FF">
              <w:t xml:space="preserve"> 1.punkta 2.rindkopa</w:t>
            </w:r>
          </w:p>
        </w:tc>
        <w:tc>
          <w:tcPr>
            <w:tcW w:w="1646" w:type="dxa"/>
          </w:tcPr>
          <w:p w14:paraId="54328D90" w14:textId="1F4C49C8" w:rsidR="00B6531A" w:rsidRPr="007F4BB3" w:rsidRDefault="008B367B" w:rsidP="00B6531A">
            <w:pPr>
              <w:pStyle w:val="naiskr"/>
              <w:spacing w:before="0" w:after="0"/>
              <w:jc w:val="both"/>
            </w:pPr>
            <w:r>
              <w:t>4</w:t>
            </w:r>
            <w:r w:rsidR="00537A75">
              <w:t>.punkts</w:t>
            </w:r>
          </w:p>
        </w:tc>
        <w:tc>
          <w:tcPr>
            <w:tcW w:w="1843" w:type="dxa"/>
          </w:tcPr>
          <w:p w14:paraId="326DA6DA" w14:textId="3A73DF4E" w:rsidR="00B6531A" w:rsidRDefault="006241FF" w:rsidP="00B6531A">
            <w:pPr>
              <w:pStyle w:val="naiskr"/>
              <w:spacing w:before="0" w:after="0"/>
              <w:jc w:val="both"/>
            </w:pPr>
            <w:r>
              <w:t>Pārņemts pilnībā.</w:t>
            </w:r>
          </w:p>
        </w:tc>
        <w:tc>
          <w:tcPr>
            <w:tcW w:w="3931" w:type="dxa"/>
          </w:tcPr>
          <w:p w14:paraId="33A6D55C" w14:textId="77777777" w:rsidR="00B6531A" w:rsidRDefault="00B6531A" w:rsidP="00B6531A">
            <w:pPr>
              <w:pStyle w:val="naiskr"/>
              <w:spacing w:before="0" w:after="0"/>
              <w:jc w:val="both"/>
            </w:pPr>
            <w:r>
              <w:t>Netiek noteiktas stingrākas prasības.</w:t>
            </w:r>
          </w:p>
        </w:tc>
      </w:tr>
      <w:tr w:rsidR="00B6531A" w14:paraId="79CAF8BA" w14:textId="77777777" w:rsidTr="006241FF">
        <w:trPr>
          <w:trHeight w:val="313"/>
          <w:jc w:val="center"/>
        </w:trPr>
        <w:tc>
          <w:tcPr>
            <w:tcW w:w="2035" w:type="dxa"/>
          </w:tcPr>
          <w:p w14:paraId="08DBB68E" w14:textId="78AB22F1" w:rsidR="00B6531A" w:rsidRPr="006241FF" w:rsidRDefault="00B6531A" w:rsidP="00B6531A">
            <w:pPr>
              <w:pStyle w:val="naiskr"/>
              <w:spacing w:before="0" w:after="0"/>
              <w:jc w:val="both"/>
            </w:pPr>
            <w:proofErr w:type="gramStart"/>
            <w:r w:rsidRPr="006241FF">
              <w:t>44.panta</w:t>
            </w:r>
            <w:proofErr w:type="gramEnd"/>
            <w:r w:rsidRPr="006241FF">
              <w:t xml:space="preserve"> c)punkts</w:t>
            </w:r>
          </w:p>
        </w:tc>
        <w:tc>
          <w:tcPr>
            <w:tcW w:w="1646" w:type="dxa"/>
          </w:tcPr>
          <w:p w14:paraId="6FF7190F" w14:textId="2FB01FCD" w:rsidR="00B6531A" w:rsidRDefault="008B367B" w:rsidP="00B6531A">
            <w:pPr>
              <w:pStyle w:val="naiskr"/>
              <w:spacing w:before="0" w:after="0"/>
              <w:jc w:val="both"/>
            </w:pPr>
            <w:r>
              <w:t>6</w:t>
            </w:r>
            <w:r w:rsidR="00537A75">
              <w:t>.punkts</w:t>
            </w:r>
          </w:p>
        </w:tc>
        <w:tc>
          <w:tcPr>
            <w:tcW w:w="1843" w:type="dxa"/>
          </w:tcPr>
          <w:p w14:paraId="75894C7B" w14:textId="0A4A8CA7" w:rsidR="00B6531A" w:rsidRDefault="006241FF" w:rsidP="00B6531A">
            <w:pPr>
              <w:pStyle w:val="naiskr"/>
              <w:spacing w:before="0" w:after="0"/>
              <w:jc w:val="both"/>
            </w:pPr>
            <w:r>
              <w:t>Pārņemts pilnībā.</w:t>
            </w:r>
          </w:p>
        </w:tc>
        <w:tc>
          <w:tcPr>
            <w:tcW w:w="3931" w:type="dxa"/>
          </w:tcPr>
          <w:p w14:paraId="2F480A96" w14:textId="77777777" w:rsidR="00B6531A" w:rsidRDefault="00B6531A" w:rsidP="00B6531A">
            <w:pPr>
              <w:pStyle w:val="naiskr"/>
              <w:spacing w:before="0" w:after="0"/>
              <w:jc w:val="both"/>
            </w:pPr>
            <w:r>
              <w:t>Netiek noteiktas stingrākas prasības.</w:t>
            </w:r>
          </w:p>
        </w:tc>
      </w:tr>
      <w:tr w:rsidR="00B6531A" w14:paraId="2F95D500" w14:textId="77777777" w:rsidTr="006241FF">
        <w:trPr>
          <w:trHeight w:val="313"/>
          <w:jc w:val="center"/>
        </w:trPr>
        <w:tc>
          <w:tcPr>
            <w:tcW w:w="2035" w:type="dxa"/>
          </w:tcPr>
          <w:p w14:paraId="7AB4E869" w14:textId="58686FBC" w:rsidR="00B6531A" w:rsidRPr="006241FF" w:rsidRDefault="00B6531A" w:rsidP="00B6531A">
            <w:pPr>
              <w:pStyle w:val="naiskr"/>
              <w:spacing w:before="0" w:after="0"/>
              <w:jc w:val="both"/>
            </w:pPr>
            <w:r w:rsidRPr="006241FF">
              <w:t>46.panta 3.punkts</w:t>
            </w:r>
          </w:p>
        </w:tc>
        <w:tc>
          <w:tcPr>
            <w:tcW w:w="1646" w:type="dxa"/>
          </w:tcPr>
          <w:p w14:paraId="0944F344" w14:textId="0B7387D9" w:rsidR="00B6531A" w:rsidRDefault="00537A75" w:rsidP="00B6531A">
            <w:pPr>
              <w:pStyle w:val="naiskr"/>
              <w:spacing w:before="0" w:after="0"/>
              <w:jc w:val="both"/>
            </w:pPr>
            <w:r>
              <w:t>1</w:t>
            </w:r>
            <w:r w:rsidR="008B367B">
              <w:t>3</w:t>
            </w:r>
            <w:r>
              <w:t>.punkts</w:t>
            </w:r>
          </w:p>
        </w:tc>
        <w:tc>
          <w:tcPr>
            <w:tcW w:w="1843" w:type="dxa"/>
          </w:tcPr>
          <w:p w14:paraId="35353991" w14:textId="6902A9EC" w:rsidR="00B6531A" w:rsidRDefault="006241FF" w:rsidP="00B6531A">
            <w:pPr>
              <w:pStyle w:val="naiskr"/>
              <w:spacing w:before="0" w:after="0"/>
              <w:jc w:val="both"/>
            </w:pPr>
            <w:r>
              <w:t>Pārņemts pilnībā.</w:t>
            </w:r>
          </w:p>
        </w:tc>
        <w:tc>
          <w:tcPr>
            <w:tcW w:w="3931" w:type="dxa"/>
          </w:tcPr>
          <w:p w14:paraId="55EE3C8D" w14:textId="77777777" w:rsidR="00B6531A" w:rsidRDefault="00B6531A" w:rsidP="00B6531A">
            <w:pPr>
              <w:pStyle w:val="naiskr"/>
              <w:spacing w:before="0" w:after="0"/>
              <w:jc w:val="both"/>
            </w:pPr>
            <w:r>
              <w:t>Netiek noteiktas stingrākas prasības.</w:t>
            </w:r>
          </w:p>
        </w:tc>
      </w:tr>
      <w:tr w:rsidR="00B6531A" w14:paraId="60619B7D" w14:textId="77777777" w:rsidTr="006241FF">
        <w:trPr>
          <w:trHeight w:val="313"/>
          <w:jc w:val="center"/>
        </w:trPr>
        <w:tc>
          <w:tcPr>
            <w:tcW w:w="2035" w:type="dxa"/>
          </w:tcPr>
          <w:p w14:paraId="22192A6F" w14:textId="399366A0" w:rsidR="00B6531A" w:rsidRPr="006241FF" w:rsidRDefault="00B6531A" w:rsidP="00B6531A">
            <w:pPr>
              <w:pStyle w:val="naiskr"/>
              <w:spacing w:before="0" w:after="0"/>
              <w:jc w:val="both"/>
            </w:pPr>
            <w:r w:rsidRPr="006241FF">
              <w:t>46.panta 4.punkta otrā daļa</w:t>
            </w:r>
          </w:p>
        </w:tc>
        <w:tc>
          <w:tcPr>
            <w:tcW w:w="1646" w:type="dxa"/>
          </w:tcPr>
          <w:p w14:paraId="3A7D981A" w14:textId="34B70288" w:rsidR="00B6531A" w:rsidRDefault="00537A75" w:rsidP="00B6531A">
            <w:pPr>
              <w:pStyle w:val="naiskr"/>
              <w:spacing w:before="0" w:after="0"/>
              <w:jc w:val="both"/>
            </w:pPr>
            <w:r>
              <w:t>1</w:t>
            </w:r>
            <w:r w:rsidR="008B367B">
              <w:t>4</w:t>
            </w:r>
            <w:r>
              <w:t>.punkts</w:t>
            </w:r>
          </w:p>
        </w:tc>
        <w:tc>
          <w:tcPr>
            <w:tcW w:w="1843" w:type="dxa"/>
          </w:tcPr>
          <w:p w14:paraId="7F40E4A0" w14:textId="263DB8F9" w:rsidR="00B6531A" w:rsidRDefault="006241FF" w:rsidP="00B6531A">
            <w:pPr>
              <w:pStyle w:val="naiskr"/>
              <w:spacing w:before="0" w:after="0"/>
              <w:jc w:val="both"/>
            </w:pPr>
            <w:r>
              <w:t>Pārņemts pilnībā.</w:t>
            </w:r>
          </w:p>
        </w:tc>
        <w:tc>
          <w:tcPr>
            <w:tcW w:w="3931" w:type="dxa"/>
          </w:tcPr>
          <w:p w14:paraId="778FBD64" w14:textId="77777777" w:rsidR="00B6531A" w:rsidRDefault="00B6531A" w:rsidP="00B6531A">
            <w:pPr>
              <w:pStyle w:val="naiskr"/>
              <w:spacing w:before="0" w:after="0"/>
              <w:jc w:val="both"/>
            </w:pPr>
            <w:r>
              <w:t>Netiek noteiktas stingrākas prasības.</w:t>
            </w:r>
          </w:p>
        </w:tc>
      </w:tr>
      <w:tr w:rsidR="00B6531A" w14:paraId="78DBE5D0" w14:textId="77777777" w:rsidTr="006241FF">
        <w:trPr>
          <w:trHeight w:val="313"/>
          <w:jc w:val="center"/>
        </w:trPr>
        <w:tc>
          <w:tcPr>
            <w:tcW w:w="2035" w:type="dxa"/>
          </w:tcPr>
          <w:p w14:paraId="1B96F57C" w14:textId="66D4CE1B" w:rsidR="00B6531A" w:rsidRPr="006241FF" w:rsidRDefault="00B6531A" w:rsidP="00B6531A">
            <w:pPr>
              <w:pStyle w:val="naiskr"/>
              <w:spacing w:before="0" w:after="0"/>
              <w:jc w:val="both"/>
            </w:pPr>
            <w:r w:rsidRPr="006241FF">
              <w:t>46.panta 6.punkts</w:t>
            </w:r>
          </w:p>
        </w:tc>
        <w:tc>
          <w:tcPr>
            <w:tcW w:w="1646" w:type="dxa"/>
          </w:tcPr>
          <w:p w14:paraId="09545F2E" w14:textId="6346215C" w:rsidR="00B6531A" w:rsidRDefault="004B665C" w:rsidP="00B6531A">
            <w:pPr>
              <w:pStyle w:val="naiskr"/>
              <w:spacing w:before="0" w:after="0"/>
              <w:jc w:val="both"/>
            </w:pPr>
            <w:r>
              <w:t>2</w:t>
            </w:r>
            <w:r w:rsidR="008B367B">
              <w:t>2</w:t>
            </w:r>
            <w:r w:rsidR="00537A75">
              <w:t>.punkts</w:t>
            </w:r>
          </w:p>
        </w:tc>
        <w:tc>
          <w:tcPr>
            <w:tcW w:w="1843" w:type="dxa"/>
          </w:tcPr>
          <w:p w14:paraId="04D425FB" w14:textId="28EDF410" w:rsidR="00B6531A" w:rsidRDefault="006241FF" w:rsidP="00B6531A">
            <w:pPr>
              <w:pStyle w:val="naiskr"/>
              <w:spacing w:before="0" w:after="0"/>
              <w:jc w:val="both"/>
            </w:pPr>
            <w:r>
              <w:t>Pārņemts pilnībā.</w:t>
            </w:r>
          </w:p>
        </w:tc>
        <w:tc>
          <w:tcPr>
            <w:tcW w:w="3931" w:type="dxa"/>
          </w:tcPr>
          <w:p w14:paraId="59C1BF7C" w14:textId="77777777" w:rsidR="00B6531A" w:rsidRDefault="00B6531A" w:rsidP="00B6531A">
            <w:pPr>
              <w:pStyle w:val="naiskr"/>
              <w:spacing w:before="0" w:after="0"/>
              <w:jc w:val="both"/>
            </w:pPr>
            <w:r>
              <w:t>Netiek noteiktas stingrākas prasības.</w:t>
            </w:r>
          </w:p>
        </w:tc>
      </w:tr>
      <w:tr w:rsidR="00B6531A" w14:paraId="348B7D59" w14:textId="77777777" w:rsidTr="006241FF">
        <w:trPr>
          <w:trHeight w:val="313"/>
          <w:jc w:val="center"/>
        </w:trPr>
        <w:tc>
          <w:tcPr>
            <w:tcW w:w="2035" w:type="dxa"/>
          </w:tcPr>
          <w:p w14:paraId="270C60BD" w14:textId="0CF3D4AD" w:rsidR="00B6531A" w:rsidRPr="006241FF" w:rsidRDefault="00B6531A" w:rsidP="00B6531A">
            <w:pPr>
              <w:pStyle w:val="naiskr"/>
              <w:spacing w:before="0" w:after="0"/>
              <w:jc w:val="both"/>
            </w:pPr>
            <w:r w:rsidRPr="006241FF">
              <w:t>47.pants</w:t>
            </w:r>
          </w:p>
        </w:tc>
        <w:tc>
          <w:tcPr>
            <w:tcW w:w="1646" w:type="dxa"/>
          </w:tcPr>
          <w:p w14:paraId="20E7F606" w14:textId="40547126" w:rsidR="00B6531A" w:rsidRDefault="004B665C" w:rsidP="00B6531A">
            <w:pPr>
              <w:pStyle w:val="naiskr"/>
              <w:spacing w:before="0" w:after="0"/>
              <w:jc w:val="both"/>
            </w:pPr>
            <w:r>
              <w:t>2</w:t>
            </w:r>
            <w:r w:rsidR="008B367B">
              <w:t>1</w:t>
            </w:r>
            <w:r w:rsidR="00537A75">
              <w:t>.punkts</w:t>
            </w:r>
          </w:p>
        </w:tc>
        <w:tc>
          <w:tcPr>
            <w:tcW w:w="1843" w:type="dxa"/>
          </w:tcPr>
          <w:p w14:paraId="7DD602F7" w14:textId="4BB8C7DA" w:rsidR="00B6531A" w:rsidRDefault="006241FF" w:rsidP="00B6531A">
            <w:pPr>
              <w:pStyle w:val="naiskr"/>
              <w:spacing w:before="0" w:after="0"/>
              <w:jc w:val="both"/>
            </w:pPr>
            <w:r>
              <w:t>Pārņemts pilnībā.</w:t>
            </w:r>
          </w:p>
        </w:tc>
        <w:tc>
          <w:tcPr>
            <w:tcW w:w="3931" w:type="dxa"/>
          </w:tcPr>
          <w:p w14:paraId="163CC62E" w14:textId="0D2265B9" w:rsidR="00B6531A" w:rsidRDefault="00B6531A" w:rsidP="00B6531A">
            <w:pPr>
              <w:pStyle w:val="naiskr"/>
              <w:spacing w:before="0" w:after="0"/>
              <w:jc w:val="both"/>
            </w:pPr>
            <w:r>
              <w:t>Netiek noteiktas stingrākas prasības.</w:t>
            </w:r>
          </w:p>
        </w:tc>
      </w:tr>
      <w:tr w:rsidR="00B6531A" w14:paraId="485E2E14" w14:textId="77777777" w:rsidTr="006241FF">
        <w:trPr>
          <w:trHeight w:val="313"/>
          <w:jc w:val="center"/>
        </w:trPr>
        <w:tc>
          <w:tcPr>
            <w:tcW w:w="2035" w:type="dxa"/>
          </w:tcPr>
          <w:p w14:paraId="65D990B5" w14:textId="117497B2" w:rsidR="00B6531A" w:rsidRPr="006241FF" w:rsidRDefault="00B6531A" w:rsidP="00B6531A">
            <w:pPr>
              <w:pStyle w:val="naiskr"/>
              <w:spacing w:before="0" w:after="0"/>
              <w:jc w:val="both"/>
            </w:pPr>
            <w:r w:rsidRPr="006241FF">
              <w:t>48.panta 2.punkts</w:t>
            </w:r>
          </w:p>
        </w:tc>
        <w:tc>
          <w:tcPr>
            <w:tcW w:w="1646" w:type="dxa"/>
          </w:tcPr>
          <w:p w14:paraId="66914A7D" w14:textId="1B89B9E1" w:rsidR="00B6531A" w:rsidRDefault="008B367B" w:rsidP="00B6531A">
            <w:pPr>
              <w:pStyle w:val="naiskr"/>
              <w:spacing w:before="0" w:after="0"/>
              <w:jc w:val="both"/>
            </w:pPr>
            <w:r>
              <w:t>15</w:t>
            </w:r>
            <w:r w:rsidR="00537A75">
              <w:t xml:space="preserve">., </w:t>
            </w:r>
            <w:r>
              <w:t>16</w:t>
            </w:r>
            <w:r w:rsidR="00537A75">
              <w:t xml:space="preserve">.un </w:t>
            </w:r>
            <w:r>
              <w:t>17</w:t>
            </w:r>
            <w:r w:rsidR="00537A75">
              <w:t>.punkts</w:t>
            </w:r>
          </w:p>
        </w:tc>
        <w:tc>
          <w:tcPr>
            <w:tcW w:w="1843" w:type="dxa"/>
          </w:tcPr>
          <w:p w14:paraId="6EE39C56" w14:textId="0AD7DF53" w:rsidR="00B6531A" w:rsidRDefault="006241FF" w:rsidP="00B6531A">
            <w:pPr>
              <w:pStyle w:val="naiskr"/>
              <w:spacing w:before="0" w:after="0"/>
              <w:jc w:val="both"/>
            </w:pPr>
            <w:r>
              <w:t>Pārņemts pilnībā.</w:t>
            </w:r>
          </w:p>
        </w:tc>
        <w:tc>
          <w:tcPr>
            <w:tcW w:w="3931" w:type="dxa"/>
          </w:tcPr>
          <w:p w14:paraId="2CF183E8" w14:textId="6467DA81" w:rsidR="00B6531A" w:rsidRDefault="00B6531A" w:rsidP="00B6531A">
            <w:pPr>
              <w:pStyle w:val="naiskr"/>
              <w:spacing w:before="0" w:after="0"/>
              <w:jc w:val="both"/>
            </w:pPr>
            <w:r>
              <w:t>Netiek noteiktas stingrākas prasības.</w:t>
            </w:r>
          </w:p>
        </w:tc>
      </w:tr>
      <w:tr w:rsidR="00B6531A" w14:paraId="7757A5CD" w14:textId="77777777" w:rsidTr="006241FF">
        <w:trPr>
          <w:trHeight w:val="313"/>
          <w:jc w:val="center"/>
        </w:trPr>
        <w:tc>
          <w:tcPr>
            <w:tcW w:w="2035" w:type="dxa"/>
          </w:tcPr>
          <w:p w14:paraId="739B1A87" w14:textId="7C714948" w:rsidR="00B6531A" w:rsidRPr="006241FF" w:rsidRDefault="00B6531A" w:rsidP="00B6531A">
            <w:pPr>
              <w:pStyle w:val="naiskr"/>
              <w:spacing w:before="0" w:after="0"/>
              <w:jc w:val="both"/>
            </w:pPr>
            <w:r w:rsidRPr="006241FF">
              <w:t>50.panta 3.punkta otrā daļa</w:t>
            </w:r>
          </w:p>
        </w:tc>
        <w:tc>
          <w:tcPr>
            <w:tcW w:w="1646" w:type="dxa"/>
          </w:tcPr>
          <w:p w14:paraId="2055AF7F" w14:textId="3448BB9C" w:rsidR="00B6531A" w:rsidRDefault="00537A75" w:rsidP="00B6531A">
            <w:pPr>
              <w:pStyle w:val="naiskr"/>
              <w:spacing w:before="0" w:after="0"/>
              <w:jc w:val="both"/>
            </w:pPr>
            <w:r>
              <w:t>1</w:t>
            </w:r>
            <w:r w:rsidR="008B367B">
              <w:t>1</w:t>
            </w:r>
            <w:r>
              <w:t>.punkts</w:t>
            </w:r>
          </w:p>
        </w:tc>
        <w:tc>
          <w:tcPr>
            <w:tcW w:w="1843" w:type="dxa"/>
          </w:tcPr>
          <w:p w14:paraId="123A57C2" w14:textId="169F2090" w:rsidR="00B6531A" w:rsidRDefault="006241FF" w:rsidP="00B6531A">
            <w:pPr>
              <w:pStyle w:val="naiskr"/>
              <w:spacing w:before="0" w:after="0"/>
              <w:jc w:val="both"/>
            </w:pPr>
            <w:r>
              <w:t>Pārņemts pilnībā.</w:t>
            </w:r>
          </w:p>
        </w:tc>
        <w:tc>
          <w:tcPr>
            <w:tcW w:w="3931" w:type="dxa"/>
          </w:tcPr>
          <w:p w14:paraId="63455EED" w14:textId="3114C86F" w:rsidR="00B6531A" w:rsidRDefault="006241FF" w:rsidP="00B6531A">
            <w:pPr>
              <w:pStyle w:val="naiskr"/>
              <w:spacing w:before="0" w:after="0"/>
              <w:jc w:val="both"/>
            </w:pPr>
            <w:r>
              <w:t>Netiek noteiktas stingrākas prasības.</w:t>
            </w:r>
          </w:p>
        </w:tc>
      </w:tr>
      <w:tr w:rsidR="00B6531A" w14:paraId="2100F5A8" w14:textId="77777777" w:rsidTr="006241FF">
        <w:trPr>
          <w:trHeight w:val="313"/>
          <w:jc w:val="center"/>
        </w:trPr>
        <w:tc>
          <w:tcPr>
            <w:tcW w:w="2035" w:type="dxa"/>
          </w:tcPr>
          <w:p w14:paraId="0A002DE4" w14:textId="2889F372" w:rsidR="00B6531A" w:rsidRPr="006241FF" w:rsidRDefault="00B6531A" w:rsidP="00B6531A">
            <w:pPr>
              <w:pStyle w:val="naiskr"/>
              <w:spacing w:before="0" w:after="0"/>
              <w:jc w:val="both"/>
            </w:pPr>
            <w:r w:rsidRPr="006241FF">
              <w:t>51.panta 3.punkta otrā daļa</w:t>
            </w:r>
          </w:p>
        </w:tc>
        <w:tc>
          <w:tcPr>
            <w:tcW w:w="1646" w:type="dxa"/>
          </w:tcPr>
          <w:p w14:paraId="43ED4B16" w14:textId="1840E41B" w:rsidR="00B6531A" w:rsidRDefault="00BA2F11" w:rsidP="00B6531A">
            <w:pPr>
              <w:pStyle w:val="naiskr"/>
              <w:spacing w:before="0" w:after="0"/>
              <w:jc w:val="both"/>
            </w:pPr>
            <w:r>
              <w:t>1</w:t>
            </w:r>
            <w:r w:rsidR="008B367B">
              <w:t>2</w:t>
            </w:r>
            <w:r>
              <w:t>.punkts</w:t>
            </w:r>
          </w:p>
        </w:tc>
        <w:tc>
          <w:tcPr>
            <w:tcW w:w="1843" w:type="dxa"/>
          </w:tcPr>
          <w:p w14:paraId="01665ADF" w14:textId="71B0EAA2" w:rsidR="00B6531A" w:rsidRDefault="006241FF" w:rsidP="00B6531A">
            <w:pPr>
              <w:pStyle w:val="naiskr"/>
              <w:spacing w:before="0" w:after="0"/>
              <w:jc w:val="both"/>
            </w:pPr>
            <w:r>
              <w:t>Pārņemts pilnībā.</w:t>
            </w:r>
          </w:p>
        </w:tc>
        <w:tc>
          <w:tcPr>
            <w:tcW w:w="3931" w:type="dxa"/>
          </w:tcPr>
          <w:p w14:paraId="4EB8C240" w14:textId="055A1DB9" w:rsidR="00B6531A" w:rsidRDefault="006241FF" w:rsidP="00B6531A">
            <w:pPr>
              <w:pStyle w:val="naiskr"/>
              <w:spacing w:before="0" w:after="0"/>
              <w:jc w:val="both"/>
            </w:pPr>
            <w:r>
              <w:t>Netiek noteiktas stingrākas prasības.</w:t>
            </w:r>
          </w:p>
        </w:tc>
      </w:tr>
      <w:tr w:rsidR="00B6531A" w14:paraId="0BE6E402" w14:textId="77777777" w:rsidTr="006241FF">
        <w:trPr>
          <w:trHeight w:val="313"/>
          <w:jc w:val="center"/>
        </w:trPr>
        <w:tc>
          <w:tcPr>
            <w:tcW w:w="2035" w:type="dxa"/>
          </w:tcPr>
          <w:p w14:paraId="71CCC740" w14:textId="5F6C55B1" w:rsidR="00B6531A" w:rsidRPr="006241FF" w:rsidRDefault="00B6531A" w:rsidP="00B6531A">
            <w:pPr>
              <w:pStyle w:val="naiskr"/>
              <w:spacing w:before="0" w:after="0"/>
              <w:jc w:val="both"/>
            </w:pPr>
            <w:proofErr w:type="gramStart"/>
            <w:r w:rsidRPr="006241FF">
              <w:t>52.panta</w:t>
            </w:r>
            <w:proofErr w:type="gramEnd"/>
            <w:r w:rsidRPr="006241FF">
              <w:t xml:space="preserve"> 1.punkts</w:t>
            </w:r>
          </w:p>
        </w:tc>
        <w:tc>
          <w:tcPr>
            <w:tcW w:w="1646" w:type="dxa"/>
          </w:tcPr>
          <w:p w14:paraId="5804E932" w14:textId="7E212E6B" w:rsidR="00B6531A" w:rsidRDefault="008B367B" w:rsidP="00B6531A">
            <w:pPr>
              <w:pStyle w:val="naiskr"/>
              <w:spacing w:before="0" w:after="0"/>
              <w:jc w:val="both"/>
            </w:pPr>
            <w:r>
              <w:t>8</w:t>
            </w:r>
            <w:r w:rsidR="00BA2F11">
              <w:t>.punkts</w:t>
            </w:r>
          </w:p>
        </w:tc>
        <w:tc>
          <w:tcPr>
            <w:tcW w:w="1843" w:type="dxa"/>
          </w:tcPr>
          <w:p w14:paraId="4F73023F" w14:textId="2B263D24" w:rsidR="00B6531A" w:rsidRDefault="006241FF" w:rsidP="00B6531A">
            <w:pPr>
              <w:pStyle w:val="naiskr"/>
              <w:spacing w:before="0" w:after="0"/>
              <w:jc w:val="both"/>
            </w:pPr>
            <w:r>
              <w:t>Pārņemts pilnībā.</w:t>
            </w:r>
          </w:p>
        </w:tc>
        <w:tc>
          <w:tcPr>
            <w:tcW w:w="3931" w:type="dxa"/>
          </w:tcPr>
          <w:p w14:paraId="0A2A17FC" w14:textId="6D32FC0D" w:rsidR="00B6531A" w:rsidRDefault="006241FF" w:rsidP="00B6531A">
            <w:pPr>
              <w:pStyle w:val="naiskr"/>
              <w:spacing w:before="0" w:after="0"/>
              <w:jc w:val="both"/>
            </w:pPr>
            <w:r>
              <w:t>Netiek noteiktas stingrākas prasības.</w:t>
            </w:r>
          </w:p>
        </w:tc>
      </w:tr>
      <w:tr w:rsidR="00B6531A" w14:paraId="095823B5" w14:textId="77777777" w:rsidTr="006241FF">
        <w:trPr>
          <w:trHeight w:val="313"/>
          <w:jc w:val="center"/>
        </w:trPr>
        <w:tc>
          <w:tcPr>
            <w:tcW w:w="2035" w:type="dxa"/>
          </w:tcPr>
          <w:p w14:paraId="0A3B861C" w14:textId="5A204004" w:rsidR="00B6531A" w:rsidRPr="006241FF" w:rsidRDefault="00B6531A" w:rsidP="00B6531A">
            <w:pPr>
              <w:pStyle w:val="naiskr"/>
              <w:spacing w:before="0" w:after="0"/>
              <w:jc w:val="both"/>
            </w:pPr>
            <w:proofErr w:type="gramStart"/>
            <w:r w:rsidRPr="006241FF">
              <w:t>52.panta</w:t>
            </w:r>
            <w:proofErr w:type="gramEnd"/>
            <w:r w:rsidRPr="006241FF">
              <w:t xml:space="preserve"> 3.punkts</w:t>
            </w:r>
          </w:p>
        </w:tc>
        <w:tc>
          <w:tcPr>
            <w:tcW w:w="1646" w:type="dxa"/>
          </w:tcPr>
          <w:p w14:paraId="28948FE7" w14:textId="1B87FE00" w:rsidR="00B6531A" w:rsidRDefault="008B367B" w:rsidP="00B6531A">
            <w:pPr>
              <w:pStyle w:val="naiskr"/>
              <w:spacing w:before="0" w:after="0"/>
              <w:jc w:val="both"/>
            </w:pPr>
            <w:r>
              <w:t>9</w:t>
            </w:r>
            <w:r w:rsidR="00BA2F11">
              <w:t>.punkts</w:t>
            </w:r>
          </w:p>
        </w:tc>
        <w:tc>
          <w:tcPr>
            <w:tcW w:w="1843" w:type="dxa"/>
          </w:tcPr>
          <w:p w14:paraId="66615F71" w14:textId="75046451" w:rsidR="00B6531A" w:rsidRDefault="006241FF" w:rsidP="00B6531A">
            <w:pPr>
              <w:pStyle w:val="naiskr"/>
              <w:spacing w:before="0" w:after="0"/>
              <w:jc w:val="both"/>
            </w:pPr>
            <w:r>
              <w:t>Pārņemts pilnībā.</w:t>
            </w:r>
          </w:p>
        </w:tc>
        <w:tc>
          <w:tcPr>
            <w:tcW w:w="3931" w:type="dxa"/>
          </w:tcPr>
          <w:p w14:paraId="409759AD" w14:textId="57FC6141" w:rsidR="00B6531A" w:rsidRDefault="006241FF" w:rsidP="00B6531A">
            <w:pPr>
              <w:pStyle w:val="naiskr"/>
              <w:spacing w:before="0" w:after="0"/>
              <w:jc w:val="both"/>
            </w:pPr>
            <w:r>
              <w:t>Netiek noteiktas stingrākas prasības.</w:t>
            </w:r>
          </w:p>
        </w:tc>
      </w:tr>
      <w:tr w:rsidR="00B6531A" w14:paraId="3002D07C" w14:textId="77777777" w:rsidTr="006241FF">
        <w:trPr>
          <w:trHeight w:val="313"/>
          <w:jc w:val="center"/>
        </w:trPr>
        <w:tc>
          <w:tcPr>
            <w:tcW w:w="2035" w:type="dxa"/>
          </w:tcPr>
          <w:p w14:paraId="7CA0CDEE" w14:textId="2244B5B1" w:rsidR="00B6531A" w:rsidRPr="006241FF" w:rsidRDefault="00B6531A" w:rsidP="00B6531A">
            <w:pPr>
              <w:pStyle w:val="naiskr"/>
              <w:spacing w:before="0" w:after="0"/>
              <w:jc w:val="both"/>
            </w:pPr>
            <w:proofErr w:type="gramStart"/>
            <w:r w:rsidRPr="006241FF">
              <w:t>52.panta</w:t>
            </w:r>
            <w:proofErr w:type="gramEnd"/>
            <w:r w:rsidRPr="006241FF">
              <w:t xml:space="preserve"> 4.apakšpunkts</w:t>
            </w:r>
          </w:p>
        </w:tc>
        <w:tc>
          <w:tcPr>
            <w:tcW w:w="1646" w:type="dxa"/>
          </w:tcPr>
          <w:p w14:paraId="40090CF6" w14:textId="5B3B0538" w:rsidR="00B6531A" w:rsidRDefault="008B367B" w:rsidP="00B6531A">
            <w:pPr>
              <w:pStyle w:val="naiskr"/>
              <w:spacing w:before="0" w:after="0"/>
              <w:jc w:val="both"/>
            </w:pPr>
            <w:r>
              <w:t>10</w:t>
            </w:r>
            <w:r w:rsidR="00BA2F11">
              <w:t>.punkts</w:t>
            </w:r>
          </w:p>
        </w:tc>
        <w:tc>
          <w:tcPr>
            <w:tcW w:w="1843" w:type="dxa"/>
          </w:tcPr>
          <w:p w14:paraId="3643099E" w14:textId="44897A40" w:rsidR="00B6531A" w:rsidRDefault="006241FF" w:rsidP="00B6531A">
            <w:pPr>
              <w:pStyle w:val="naiskr"/>
              <w:spacing w:before="0" w:after="0"/>
              <w:jc w:val="both"/>
            </w:pPr>
            <w:r>
              <w:t>Pārņemts pilnībā.</w:t>
            </w:r>
          </w:p>
        </w:tc>
        <w:tc>
          <w:tcPr>
            <w:tcW w:w="3931" w:type="dxa"/>
          </w:tcPr>
          <w:p w14:paraId="44D4BA7B" w14:textId="082BCF10" w:rsidR="00B6531A" w:rsidRDefault="006241FF" w:rsidP="00B6531A">
            <w:pPr>
              <w:pStyle w:val="naiskr"/>
              <w:spacing w:before="0" w:after="0"/>
              <w:jc w:val="both"/>
            </w:pPr>
            <w:r>
              <w:t>Netiek noteiktas stingrākas prasības.</w:t>
            </w:r>
          </w:p>
        </w:tc>
      </w:tr>
      <w:tr w:rsidR="00B6531A" w14:paraId="258C508F" w14:textId="77777777" w:rsidTr="006241FF">
        <w:trPr>
          <w:trHeight w:val="313"/>
          <w:jc w:val="center"/>
        </w:trPr>
        <w:tc>
          <w:tcPr>
            <w:tcW w:w="2035" w:type="dxa"/>
          </w:tcPr>
          <w:p w14:paraId="7E4E0F7C" w14:textId="40FB11C8" w:rsidR="00B6531A" w:rsidRPr="006241FF" w:rsidRDefault="00B6531A" w:rsidP="00B6531A">
            <w:pPr>
              <w:pStyle w:val="naiskr"/>
              <w:spacing w:before="0" w:after="0"/>
              <w:jc w:val="both"/>
            </w:pPr>
            <w:proofErr w:type="gramStart"/>
            <w:r w:rsidRPr="006241FF">
              <w:t>52.panta</w:t>
            </w:r>
            <w:proofErr w:type="gramEnd"/>
            <w:r w:rsidRPr="006241FF">
              <w:t xml:space="preserve"> 4.punkta 2.teikums</w:t>
            </w:r>
          </w:p>
        </w:tc>
        <w:tc>
          <w:tcPr>
            <w:tcW w:w="1646" w:type="dxa"/>
          </w:tcPr>
          <w:p w14:paraId="13B4FAD7" w14:textId="09B39C7B" w:rsidR="00B6531A" w:rsidRDefault="008B367B" w:rsidP="00B6531A">
            <w:pPr>
              <w:pStyle w:val="naiskr"/>
              <w:spacing w:before="0" w:after="0"/>
              <w:jc w:val="both"/>
            </w:pPr>
            <w:r>
              <w:t>10</w:t>
            </w:r>
            <w:r w:rsidR="00BA2F11">
              <w:t>.punkts</w:t>
            </w:r>
          </w:p>
        </w:tc>
        <w:tc>
          <w:tcPr>
            <w:tcW w:w="1843" w:type="dxa"/>
          </w:tcPr>
          <w:p w14:paraId="2107C813" w14:textId="6923C8C8" w:rsidR="00B6531A" w:rsidRDefault="006241FF" w:rsidP="00B6531A">
            <w:pPr>
              <w:pStyle w:val="naiskr"/>
              <w:spacing w:before="0" w:after="0"/>
              <w:jc w:val="both"/>
            </w:pPr>
            <w:r>
              <w:t>Pārņemts pilnībā.</w:t>
            </w:r>
          </w:p>
        </w:tc>
        <w:tc>
          <w:tcPr>
            <w:tcW w:w="3931" w:type="dxa"/>
          </w:tcPr>
          <w:p w14:paraId="42933CB2" w14:textId="13B34121" w:rsidR="00B6531A" w:rsidRDefault="006241FF" w:rsidP="00B6531A">
            <w:pPr>
              <w:pStyle w:val="naiskr"/>
              <w:spacing w:before="0" w:after="0"/>
              <w:jc w:val="both"/>
            </w:pPr>
            <w:r>
              <w:t>Netiek noteiktas stingrākas prasības.</w:t>
            </w:r>
          </w:p>
        </w:tc>
      </w:tr>
      <w:tr w:rsidR="00B6531A" w14:paraId="5597884C" w14:textId="77777777" w:rsidTr="006241FF">
        <w:trPr>
          <w:trHeight w:val="313"/>
          <w:jc w:val="center"/>
        </w:trPr>
        <w:tc>
          <w:tcPr>
            <w:tcW w:w="2035" w:type="dxa"/>
          </w:tcPr>
          <w:p w14:paraId="272646DD" w14:textId="1A4161A2" w:rsidR="00B6531A" w:rsidRPr="006241FF" w:rsidRDefault="00B6531A" w:rsidP="00B6531A">
            <w:pPr>
              <w:pStyle w:val="naiskr"/>
              <w:spacing w:before="0" w:after="0"/>
              <w:jc w:val="both"/>
            </w:pPr>
            <w:proofErr w:type="gramStart"/>
            <w:r w:rsidRPr="006241FF">
              <w:t>54.pants</w:t>
            </w:r>
            <w:proofErr w:type="gramEnd"/>
          </w:p>
        </w:tc>
        <w:tc>
          <w:tcPr>
            <w:tcW w:w="1646" w:type="dxa"/>
          </w:tcPr>
          <w:p w14:paraId="027962D5" w14:textId="308604BA" w:rsidR="00B6531A" w:rsidRDefault="008B367B" w:rsidP="00B6531A">
            <w:pPr>
              <w:pStyle w:val="naiskr"/>
              <w:spacing w:before="0" w:after="0"/>
              <w:jc w:val="both"/>
            </w:pPr>
            <w:r>
              <w:t>7</w:t>
            </w:r>
            <w:r w:rsidR="00BA2F11">
              <w:t>.punkts</w:t>
            </w:r>
          </w:p>
        </w:tc>
        <w:tc>
          <w:tcPr>
            <w:tcW w:w="1843" w:type="dxa"/>
          </w:tcPr>
          <w:p w14:paraId="05D130FE" w14:textId="1CDA9133" w:rsidR="00B6531A" w:rsidRDefault="006241FF" w:rsidP="00B6531A">
            <w:pPr>
              <w:pStyle w:val="naiskr"/>
              <w:spacing w:before="0" w:after="0"/>
              <w:jc w:val="both"/>
            </w:pPr>
            <w:r>
              <w:t>Pārņemts pilnībā.</w:t>
            </w:r>
          </w:p>
        </w:tc>
        <w:tc>
          <w:tcPr>
            <w:tcW w:w="3931" w:type="dxa"/>
          </w:tcPr>
          <w:p w14:paraId="455128D0" w14:textId="5ED637D3" w:rsidR="00B6531A" w:rsidRDefault="006241FF" w:rsidP="00B6531A">
            <w:pPr>
              <w:pStyle w:val="naiskr"/>
              <w:spacing w:before="0" w:after="0"/>
              <w:jc w:val="both"/>
            </w:pPr>
            <w:r>
              <w:t>Netiek noteiktas stingrākas prasības.</w:t>
            </w:r>
          </w:p>
        </w:tc>
      </w:tr>
      <w:tr w:rsidR="00B6531A" w14:paraId="2AAD0F8E" w14:textId="77777777" w:rsidTr="006241FF">
        <w:trPr>
          <w:trHeight w:val="313"/>
          <w:jc w:val="center"/>
        </w:trPr>
        <w:tc>
          <w:tcPr>
            <w:tcW w:w="2035" w:type="dxa"/>
          </w:tcPr>
          <w:p w14:paraId="22D0A2AC" w14:textId="594B456A" w:rsidR="00B6531A" w:rsidRPr="006241FF" w:rsidRDefault="00B6531A" w:rsidP="00B6531A">
            <w:pPr>
              <w:pStyle w:val="naiskr"/>
              <w:spacing w:before="0" w:after="0"/>
              <w:jc w:val="both"/>
            </w:pPr>
            <w:r w:rsidRPr="006241FF">
              <w:lastRenderedPageBreak/>
              <w:t>55.panta 1.punkts</w:t>
            </w:r>
          </w:p>
        </w:tc>
        <w:tc>
          <w:tcPr>
            <w:tcW w:w="1646" w:type="dxa"/>
          </w:tcPr>
          <w:p w14:paraId="38FD6BA3" w14:textId="06A293D3" w:rsidR="00B6531A" w:rsidRDefault="004B665C" w:rsidP="00B6531A">
            <w:pPr>
              <w:pStyle w:val="naiskr"/>
              <w:spacing w:before="0" w:after="0"/>
              <w:jc w:val="both"/>
            </w:pPr>
            <w:r>
              <w:t>2</w:t>
            </w:r>
            <w:r w:rsidR="008B367B">
              <w:t>3</w:t>
            </w:r>
            <w:r w:rsidR="00BA2F11">
              <w:t>.punkts</w:t>
            </w:r>
          </w:p>
        </w:tc>
        <w:tc>
          <w:tcPr>
            <w:tcW w:w="1843" w:type="dxa"/>
          </w:tcPr>
          <w:p w14:paraId="6D172D2B" w14:textId="080124A0" w:rsidR="00B6531A" w:rsidRDefault="006241FF" w:rsidP="00B6531A">
            <w:pPr>
              <w:pStyle w:val="naiskr"/>
              <w:spacing w:before="0" w:after="0"/>
              <w:jc w:val="both"/>
            </w:pPr>
            <w:r>
              <w:t>Pārņemts pilnībā.</w:t>
            </w:r>
          </w:p>
        </w:tc>
        <w:tc>
          <w:tcPr>
            <w:tcW w:w="3931" w:type="dxa"/>
          </w:tcPr>
          <w:p w14:paraId="2D2CCC79" w14:textId="5B287344" w:rsidR="00B6531A" w:rsidRDefault="006241FF" w:rsidP="00B6531A">
            <w:pPr>
              <w:pStyle w:val="naiskr"/>
              <w:spacing w:before="0" w:after="0"/>
              <w:jc w:val="both"/>
            </w:pPr>
            <w:r>
              <w:t>Netiek noteiktas stingrākas prasības.</w:t>
            </w:r>
          </w:p>
        </w:tc>
      </w:tr>
      <w:tr w:rsidR="00B6531A" w14:paraId="3DE2BCCE" w14:textId="77777777" w:rsidTr="006241FF">
        <w:trPr>
          <w:trHeight w:val="313"/>
          <w:jc w:val="center"/>
        </w:trPr>
        <w:tc>
          <w:tcPr>
            <w:tcW w:w="2035" w:type="dxa"/>
          </w:tcPr>
          <w:p w14:paraId="59D1CCE5" w14:textId="37B2CAE0" w:rsidR="00B6531A" w:rsidRPr="006241FF" w:rsidRDefault="00B6531A" w:rsidP="00B6531A">
            <w:pPr>
              <w:pStyle w:val="naiskr"/>
              <w:spacing w:before="0" w:after="0"/>
              <w:jc w:val="both"/>
            </w:pPr>
            <w:r w:rsidRPr="006241FF">
              <w:t>VI pielikuma 3.daļas 1.punkts</w:t>
            </w:r>
          </w:p>
        </w:tc>
        <w:tc>
          <w:tcPr>
            <w:tcW w:w="1646" w:type="dxa"/>
          </w:tcPr>
          <w:p w14:paraId="60AE5DF5" w14:textId="79A62016" w:rsidR="00B6531A" w:rsidRDefault="008B367B" w:rsidP="00B6531A">
            <w:pPr>
              <w:pStyle w:val="naiskr"/>
              <w:spacing w:before="0" w:after="0"/>
              <w:jc w:val="both"/>
            </w:pPr>
            <w:r>
              <w:t>24</w:t>
            </w:r>
            <w:r w:rsidR="00BA2F11">
              <w:t>.punkts</w:t>
            </w:r>
          </w:p>
        </w:tc>
        <w:tc>
          <w:tcPr>
            <w:tcW w:w="1843" w:type="dxa"/>
          </w:tcPr>
          <w:p w14:paraId="1C576802" w14:textId="2EE6D276" w:rsidR="00B6531A" w:rsidRDefault="006241FF" w:rsidP="00B6531A">
            <w:pPr>
              <w:pStyle w:val="naiskr"/>
              <w:spacing w:before="0" w:after="0"/>
              <w:jc w:val="both"/>
            </w:pPr>
            <w:r>
              <w:t>Pārņemts pilnībā.</w:t>
            </w:r>
          </w:p>
        </w:tc>
        <w:tc>
          <w:tcPr>
            <w:tcW w:w="3931" w:type="dxa"/>
          </w:tcPr>
          <w:p w14:paraId="603DCCB2" w14:textId="39DADAD5" w:rsidR="00B6531A" w:rsidRDefault="006241FF" w:rsidP="00B6531A">
            <w:pPr>
              <w:pStyle w:val="naiskr"/>
              <w:spacing w:before="0" w:after="0"/>
              <w:jc w:val="both"/>
            </w:pPr>
            <w:r>
              <w:t>Netiek noteiktas stingrākas prasības.</w:t>
            </w:r>
          </w:p>
        </w:tc>
      </w:tr>
      <w:tr w:rsidR="00B6531A" w14:paraId="5D3B795B" w14:textId="77777777" w:rsidTr="006241FF">
        <w:trPr>
          <w:trHeight w:val="313"/>
          <w:jc w:val="center"/>
        </w:trPr>
        <w:tc>
          <w:tcPr>
            <w:tcW w:w="2035" w:type="dxa"/>
          </w:tcPr>
          <w:p w14:paraId="1A991595" w14:textId="5D1839EF" w:rsidR="00B6531A" w:rsidRPr="006241FF" w:rsidRDefault="00B6531A" w:rsidP="00B6531A">
            <w:pPr>
              <w:pStyle w:val="naiskr"/>
              <w:spacing w:before="0" w:after="0"/>
              <w:jc w:val="both"/>
            </w:pPr>
            <w:r w:rsidRPr="006241FF">
              <w:t>VI pielikuma 4.daļas 1.punkts</w:t>
            </w:r>
          </w:p>
        </w:tc>
        <w:tc>
          <w:tcPr>
            <w:tcW w:w="1646" w:type="dxa"/>
          </w:tcPr>
          <w:p w14:paraId="7DDDA6A7" w14:textId="61EA27D8" w:rsidR="00B6531A" w:rsidRDefault="008B367B" w:rsidP="00B6531A">
            <w:pPr>
              <w:pStyle w:val="naiskr"/>
              <w:spacing w:before="0" w:after="0"/>
              <w:jc w:val="both"/>
            </w:pPr>
            <w:r>
              <w:t>24</w:t>
            </w:r>
            <w:r w:rsidR="00BA2F11">
              <w:t>.punkts</w:t>
            </w:r>
          </w:p>
        </w:tc>
        <w:tc>
          <w:tcPr>
            <w:tcW w:w="1843" w:type="dxa"/>
          </w:tcPr>
          <w:p w14:paraId="3B4F5758" w14:textId="6824C584" w:rsidR="00B6531A" w:rsidRDefault="006241FF" w:rsidP="00B6531A">
            <w:pPr>
              <w:pStyle w:val="naiskr"/>
              <w:spacing w:before="0" w:after="0"/>
              <w:jc w:val="both"/>
            </w:pPr>
            <w:r>
              <w:t>Pārņemts pilnībā.</w:t>
            </w:r>
          </w:p>
        </w:tc>
        <w:tc>
          <w:tcPr>
            <w:tcW w:w="3931" w:type="dxa"/>
          </w:tcPr>
          <w:p w14:paraId="6DD69C6A" w14:textId="1C0A0322" w:rsidR="00B6531A" w:rsidRDefault="006241FF" w:rsidP="00B6531A">
            <w:pPr>
              <w:pStyle w:val="naiskr"/>
              <w:spacing w:before="0" w:after="0"/>
              <w:jc w:val="both"/>
            </w:pPr>
            <w:r>
              <w:t>Netiek noteiktas stingrākas prasības.</w:t>
            </w:r>
          </w:p>
        </w:tc>
      </w:tr>
      <w:tr w:rsidR="00B6531A" w14:paraId="1A448028" w14:textId="77777777" w:rsidTr="006241FF">
        <w:trPr>
          <w:trHeight w:val="313"/>
          <w:jc w:val="center"/>
        </w:trPr>
        <w:tc>
          <w:tcPr>
            <w:tcW w:w="2035" w:type="dxa"/>
          </w:tcPr>
          <w:p w14:paraId="53C49BB2" w14:textId="05736DC1" w:rsidR="00B6531A" w:rsidRPr="006241FF" w:rsidRDefault="00B6531A" w:rsidP="00B6531A">
            <w:pPr>
              <w:pStyle w:val="naiskr"/>
              <w:spacing w:before="0" w:after="0"/>
              <w:jc w:val="both"/>
            </w:pPr>
            <w:r w:rsidRPr="006241FF">
              <w:t>VI pielikuma 4.daļas 2.1.punkts</w:t>
            </w:r>
          </w:p>
        </w:tc>
        <w:tc>
          <w:tcPr>
            <w:tcW w:w="1646" w:type="dxa"/>
          </w:tcPr>
          <w:p w14:paraId="3895DBCC" w14:textId="0BA1868B" w:rsidR="00B6531A" w:rsidRDefault="008B367B" w:rsidP="00B6531A">
            <w:pPr>
              <w:pStyle w:val="naiskr"/>
              <w:spacing w:before="0" w:after="0"/>
              <w:jc w:val="both"/>
            </w:pPr>
            <w:r>
              <w:t>24</w:t>
            </w:r>
            <w:r w:rsidR="00BA2F11">
              <w:t>.punkts</w:t>
            </w:r>
          </w:p>
        </w:tc>
        <w:tc>
          <w:tcPr>
            <w:tcW w:w="1843" w:type="dxa"/>
          </w:tcPr>
          <w:p w14:paraId="681DFCAB" w14:textId="65BA522F" w:rsidR="00B6531A" w:rsidRDefault="006241FF" w:rsidP="00B6531A">
            <w:pPr>
              <w:pStyle w:val="naiskr"/>
              <w:spacing w:before="0" w:after="0"/>
              <w:jc w:val="both"/>
            </w:pPr>
            <w:r>
              <w:t>Pārņemts pilnībā.</w:t>
            </w:r>
          </w:p>
        </w:tc>
        <w:tc>
          <w:tcPr>
            <w:tcW w:w="3931" w:type="dxa"/>
          </w:tcPr>
          <w:p w14:paraId="61732AF9" w14:textId="4726FC74" w:rsidR="00B6531A" w:rsidRDefault="006241FF" w:rsidP="00B6531A">
            <w:pPr>
              <w:pStyle w:val="naiskr"/>
              <w:spacing w:before="0" w:after="0"/>
              <w:jc w:val="both"/>
            </w:pPr>
            <w:r>
              <w:t>Netiek noteiktas stingrākas prasības.</w:t>
            </w:r>
          </w:p>
        </w:tc>
      </w:tr>
      <w:tr w:rsidR="00B6531A" w14:paraId="687F3B89" w14:textId="77777777" w:rsidTr="006241FF">
        <w:trPr>
          <w:trHeight w:val="313"/>
          <w:jc w:val="center"/>
        </w:trPr>
        <w:tc>
          <w:tcPr>
            <w:tcW w:w="2035" w:type="dxa"/>
          </w:tcPr>
          <w:p w14:paraId="28F62AAF" w14:textId="1760F7DC" w:rsidR="00B6531A" w:rsidRPr="006241FF" w:rsidRDefault="00B6531A" w:rsidP="00B6531A">
            <w:pPr>
              <w:pStyle w:val="naiskr"/>
              <w:spacing w:before="0" w:after="0"/>
              <w:jc w:val="both"/>
            </w:pPr>
            <w:r w:rsidRPr="006241FF">
              <w:t xml:space="preserve">VI pielikuma 4.daļas 3.1.punkts </w:t>
            </w:r>
          </w:p>
        </w:tc>
        <w:tc>
          <w:tcPr>
            <w:tcW w:w="1646" w:type="dxa"/>
          </w:tcPr>
          <w:p w14:paraId="06D05737" w14:textId="4E46CAD1" w:rsidR="00B6531A" w:rsidRDefault="008B367B" w:rsidP="00B6531A">
            <w:pPr>
              <w:pStyle w:val="naiskr"/>
              <w:spacing w:before="0" w:after="0"/>
              <w:jc w:val="both"/>
            </w:pPr>
            <w:r>
              <w:t>24</w:t>
            </w:r>
            <w:r w:rsidR="00BA2F11">
              <w:t>.punkts</w:t>
            </w:r>
          </w:p>
        </w:tc>
        <w:tc>
          <w:tcPr>
            <w:tcW w:w="1843" w:type="dxa"/>
          </w:tcPr>
          <w:p w14:paraId="01AE9214" w14:textId="37EFD13B" w:rsidR="00B6531A" w:rsidRDefault="006241FF" w:rsidP="00B6531A">
            <w:pPr>
              <w:pStyle w:val="naiskr"/>
              <w:spacing w:before="0" w:after="0"/>
              <w:jc w:val="both"/>
            </w:pPr>
            <w:r>
              <w:t>Pārņemts pilnībā.</w:t>
            </w:r>
          </w:p>
        </w:tc>
        <w:tc>
          <w:tcPr>
            <w:tcW w:w="3931" w:type="dxa"/>
          </w:tcPr>
          <w:p w14:paraId="2126CC7A" w14:textId="3DAFC475" w:rsidR="00B6531A" w:rsidRDefault="006241FF" w:rsidP="00B6531A">
            <w:pPr>
              <w:pStyle w:val="naiskr"/>
              <w:spacing w:before="0" w:after="0"/>
              <w:jc w:val="both"/>
            </w:pPr>
            <w:r>
              <w:t>Netiek noteiktas stingrākas prasības.</w:t>
            </w:r>
          </w:p>
        </w:tc>
      </w:tr>
      <w:tr w:rsidR="00B6531A" w14:paraId="4080A90D" w14:textId="77777777" w:rsidTr="006241FF">
        <w:trPr>
          <w:trHeight w:val="313"/>
          <w:jc w:val="center"/>
        </w:trPr>
        <w:tc>
          <w:tcPr>
            <w:tcW w:w="2035" w:type="dxa"/>
          </w:tcPr>
          <w:p w14:paraId="30DD0748" w14:textId="7E117FCB" w:rsidR="00B6531A" w:rsidRPr="006241FF" w:rsidRDefault="00B6531A" w:rsidP="00B6531A">
            <w:pPr>
              <w:pStyle w:val="naiskr"/>
              <w:spacing w:before="0" w:after="0"/>
              <w:jc w:val="both"/>
            </w:pPr>
            <w:r w:rsidRPr="006241FF">
              <w:t>VI pielikuma 4.daļas 3.2.1.punkts</w:t>
            </w:r>
          </w:p>
        </w:tc>
        <w:tc>
          <w:tcPr>
            <w:tcW w:w="1646" w:type="dxa"/>
          </w:tcPr>
          <w:p w14:paraId="2A6D1B37" w14:textId="761DB795" w:rsidR="00B6531A" w:rsidRDefault="008B367B" w:rsidP="00B6531A">
            <w:pPr>
              <w:pStyle w:val="naiskr"/>
              <w:spacing w:before="0" w:after="0"/>
              <w:jc w:val="both"/>
            </w:pPr>
            <w:r>
              <w:t>24</w:t>
            </w:r>
            <w:r w:rsidR="00BA2F11">
              <w:t>.punkts</w:t>
            </w:r>
          </w:p>
        </w:tc>
        <w:tc>
          <w:tcPr>
            <w:tcW w:w="1843" w:type="dxa"/>
          </w:tcPr>
          <w:p w14:paraId="36B9E074" w14:textId="063A9D74" w:rsidR="00B6531A" w:rsidRDefault="006241FF" w:rsidP="00B6531A">
            <w:pPr>
              <w:pStyle w:val="naiskr"/>
              <w:spacing w:before="0" w:after="0"/>
              <w:jc w:val="both"/>
            </w:pPr>
            <w:r>
              <w:t>Pārņemts pilnībā.</w:t>
            </w:r>
          </w:p>
        </w:tc>
        <w:tc>
          <w:tcPr>
            <w:tcW w:w="3931" w:type="dxa"/>
          </w:tcPr>
          <w:p w14:paraId="13E482F5" w14:textId="1B109FF0" w:rsidR="00B6531A" w:rsidRDefault="006241FF" w:rsidP="00B6531A">
            <w:pPr>
              <w:pStyle w:val="naiskr"/>
              <w:spacing w:before="0" w:after="0"/>
              <w:jc w:val="both"/>
            </w:pPr>
            <w:r>
              <w:t>Netiek noteiktas stingrākas prasības.</w:t>
            </w:r>
          </w:p>
        </w:tc>
      </w:tr>
      <w:tr w:rsidR="00B6531A" w14:paraId="6DCCB5EF" w14:textId="77777777" w:rsidTr="006241FF">
        <w:trPr>
          <w:trHeight w:val="313"/>
          <w:jc w:val="center"/>
        </w:trPr>
        <w:tc>
          <w:tcPr>
            <w:tcW w:w="2035" w:type="dxa"/>
          </w:tcPr>
          <w:p w14:paraId="5436802B" w14:textId="00609CE4" w:rsidR="00B6531A" w:rsidRPr="006241FF" w:rsidRDefault="00B6531A" w:rsidP="00B6531A">
            <w:pPr>
              <w:pStyle w:val="naiskr"/>
              <w:spacing w:before="0" w:after="0"/>
              <w:jc w:val="both"/>
            </w:pPr>
            <w:r w:rsidRPr="006241FF">
              <w:t>VI pielikuma 4.daļas 3.2.2.punkts</w:t>
            </w:r>
          </w:p>
        </w:tc>
        <w:tc>
          <w:tcPr>
            <w:tcW w:w="1646" w:type="dxa"/>
          </w:tcPr>
          <w:p w14:paraId="49DFD1C1" w14:textId="683EEB02" w:rsidR="00B6531A" w:rsidRDefault="008B367B" w:rsidP="00B6531A">
            <w:pPr>
              <w:pStyle w:val="naiskr"/>
              <w:spacing w:before="0" w:after="0"/>
              <w:jc w:val="both"/>
            </w:pPr>
            <w:r>
              <w:t>24</w:t>
            </w:r>
            <w:r w:rsidR="00BA2F11">
              <w:t>.punkts</w:t>
            </w:r>
          </w:p>
        </w:tc>
        <w:tc>
          <w:tcPr>
            <w:tcW w:w="1843" w:type="dxa"/>
          </w:tcPr>
          <w:p w14:paraId="2A7EB4AD" w14:textId="11B71687" w:rsidR="00B6531A" w:rsidRDefault="006241FF" w:rsidP="00B6531A">
            <w:pPr>
              <w:pStyle w:val="naiskr"/>
              <w:spacing w:before="0" w:after="0"/>
              <w:jc w:val="both"/>
            </w:pPr>
            <w:r>
              <w:t>Pārņemts pilnībā.</w:t>
            </w:r>
          </w:p>
        </w:tc>
        <w:tc>
          <w:tcPr>
            <w:tcW w:w="3931" w:type="dxa"/>
          </w:tcPr>
          <w:p w14:paraId="59E62956" w14:textId="67D46F16" w:rsidR="00B6531A" w:rsidRDefault="006241FF" w:rsidP="00B6531A">
            <w:pPr>
              <w:pStyle w:val="naiskr"/>
              <w:spacing w:before="0" w:after="0"/>
              <w:jc w:val="both"/>
            </w:pPr>
            <w:r>
              <w:t>Netiek noteiktas stingrākas prasības.</w:t>
            </w:r>
          </w:p>
        </w:tc>
      </w:tr>
      <w:tr w:rsidR="00B6531A" w14:paraId="688347D6" w14:textId="77777777" w:rsidTr="006241FF">
        <w:trPr>
          <w:trHeight w:val="313"/>
          <w:jc w:val="center"/>
        </w:trPr>
        <w:tc>
          <w:tcPr>
            <w:tcW w:w="2035" w:type="dxa"/>
          </w:tcPr>
          <w:p w14:paraId="3F4300DB" w14:textId="156F79F9" w:rsidR="00B6531A" w:rsidRPr="006241FF" w:rsidRDefault="00B6531A" w:rsidP="00B6531A">
            <w:pPr>
              <w:pStyle w:val="naiskr"/>
              <w:spacing w:before="0" w:after="0"/>
              <w:jc w:val="both"/>
            </w:pPr>
            <w:r w:rsidRPr="006241FF">
              <w:t>VI pielikuma 4.daļas 3.3.punkts</w:t>
            </w:r>
          </w:p>
        </w:tc>
        <w:tc>
          <w:tcPr>
            <w:tcW w:w="1646" w:type="dxa"/>
          </w:tcPr>
          <w:p w14:paraId="0884AC9A" w14:textId="0797B924" w:rsidR="00B6531A" w:rsidRDefault="008B367B" w:rsidP="00B6531A">
            <w:pPr>
              <w:pStyle w:val="naiskr"/>
              <w:spacing w:before="0" w:after="0"/>
              <w:jc w:val="both"/>
            </w:pPr>
            <w:r>
              <w:t>24</w:t>
            </w:r>
            <w:r w:rsidR="00BA2F11">
              <w:t>.punkts</w:t>
            </w:r>
          </w:p>
        </w:tc>
        <w:tc>
          <w:tcPr>
            <w:tcW w:w="1843" w:type="dxa"/>
          </w:tcPr>
          <w:p w14:paraId="64DE37A8" w14:textId="37E7F30A" w:rsidR="00B6531A" w:rsidRDefault="006241FF" w:rsidP="00B6531A">
            <w:pPr>
              <w:pStyle w:val="naiskr"/>
              <w:spacing w:before="0" w:after="0"/>
              <w:jc w:val="both"/>
            </w:pPr>
            <w:r>
              <w:t>Pārņemts pilnībā.</w:t>
            </w:r>
          </w:p>
        </w:tc>
        <w:tc>
          <w:tcPr>
            <w:tcW w:w="3931" w:type="dxa"/>
          </w:tcPr>
          <w:p w14:paraId="3C0A0C36" w14:textId="5BB681F9" w:rsidR="00B6531A" w:rsidRDefault="006241FF" w:rsidP="00B6531A">
            <w:pPr>
              <w:pStyle w:val="naiskr"/>
              <w:spacing w:before="0" w:after="0"/>
              <w:jc w:val="both"/>
            </w:pPr>
            <w:r>
              <w:t>Netiek noteiktas stingrākas prasības.</w:t>
            </w:r>
          </w:p>
        </w:tc>
      </w:tr>
      <w:tr w:rsidR="00B6531A" w14:paraId="239D9719" w14:textId="77777777" w:rsidTr="006241FF">
        <w:trPr>
          <w:trHeight w:val="313"/>
          <w:jc w:val="center"/>
        </w:trPr>
        <w:tc>
          <w:tcPr>
            <w:tcW w:w="2035" w:type="dxa"/>
          </w:tcPr>
          <w:p w14:paraId="305CFC57" w14:textId="70A70033" w:rsidR="00B6531A" w:rsidRPr="006241FF" w:rsidRDefault="00B6531A" w:rsidP="00B6531A">
            <w:pPr>
              <w:pStyle w:val="naiskr"/>
              <w:spacing w:before="0" w:after="0"/>
              <w:jc w:val="both"/>
            </w:pPr>
            <w:r w:rsidRPr="006241FF">
              <w:t>VI pielikuma 4.daļas 3.4.punkts</w:t>
            </w:r>
          </w:p>
        </w:tc>
        <w:tc>
          <w:tcPr>
            <w:tcW w:w="1646" w:type="dxa"/>
          </w:tcPr>
          <w:p w14:paraId="7A495D15" w14:textId="2075D836" w:rsidR="00B6531A" w:rsidRDefault="008B367B" w:rsidP="00B6531A">
            <w:pPr>
              <w:pStyle w:val="naiskr"/>
              <w:spacing w:before="0" w:after="0"/>
              <w:jc w:val="both"/>
            </w:pPr>
            <w:r>
              <w:t>24</w:t>
            </w:r>
            <w:r w:rsidR="00BA2F11">
              <w:t>.punkts</w:t>
            </w:r>
          </w:p>
        </w:tc>
        <w:tc>
          <w:tcPr>
            <w:tcW w:w="1843" w:type="dxa"/>
          </w:tcPr>
          <w:p w14:paraId="6B84F9C5" w14:textId="586390BC" w:rsidR="00B6531A" w:rsidRDefault="006241FF" w:rsidP="00B6531A">
            <w:pPr>
              <w:pStyle w:val="naiskr"/>
              <w:spacing w:before="0" w:after="0"/>
              <w:jc w:val="both"/>
            </w:pPr>
            <w:r>
              <w:t>Pārņemts pilnībā.</w:t>
            </w:r>
          </w:p>
        </w:tc>
        <w:tc>
          <w:tcPr>
            <w:tcW w:w="3931" w:type="dxa"/>
          </w:tcPr>
          <w:p w14:paraId="676EE03E" w14:textId="03A50547" w:rsidR="00B6531A" w:rsidRDefault="006241FF" w:rsidP="00B6531A">
            <w:pPr>
              <w:pStyle w:val="naiskr"/>
              <w:spacing w:before="0" w:after="0"/>
              <w:jc w:val="both"/>
            </w:pPr>
            <w:r>
              <w:t>Netiek noteiktas stingrākas prasības.</w:t>
            </w:r>
          </w:p>
        </w:tc>
      </w:tr>
      <w:tr w:rsidR="00B6531A" w14:paraId="21C1BE98" w14:textId="77777777" w:rsidTr="006241FF">
        <w:trPr>
          <w:trHeight w:val="313"/>
          <w:jc w:val="center"/>
        </w:trPr>
        <w:tc>
          <w:tcPr>
            <w:tcW w:w="2035" w:type="dxa"/>
          </w:tcPr>
          <w:p w14:paraId="1BB82102" w14:textId="1C3AE992" w:rsidR="00B6531A" w:rsidRPr="006241FF" w:rsidRDefault="00B6531A" w:rsidP="00B6531A">
            <w:pPr>
              <w:pStyle w:val="naiskr"/>
              <w:spacing w:before="0" w:after="0"/>
              <w:jc w:val="both"/>
            </w:pPr>
            <w:r w:rsidRPr="006241FF">
              <w:t>VI pielikuma 6.daļas 1.3.punkts</w:t>
            </w:r>
          </w:p>
        </w:tc>
        <w:tc>
          <w:tcPr>
            <w:tcW w:w="1646" w:type="dxa"/>
          </w:tcPr>
          <w:p w14:paraId="01D70CB7" w14:textId="4BB24997" w:rsidR="00B6531A" w:rsidRPr="006241FF" w:rsidRDefault="008B367B" w:rsidP="00B6531A">
            <w:pPr>
              <w:pStyle w:val="naiskr"/>
              <w:spacing w:before="0" w:after="0"/>
              <w:jc w:val="both"/>
            </w:pPr>
            <w:r>
              <w:t>15</w:t>
            </w:r>
            <w:r w:rsidR="00BA2F11" w:rsidRPr="006241FF">
              <w:t xml:space="preserve">., </w:t>
            </w:r>
            <w:r>
              <w:t>16</w:t>
            </w:r>
            <w:r w:rsidR="00BA2F11" w:rsidRPr="006241FF">
              <w:t xml:space="preserve">., </w:t>
            </w:r>
            <w:r>
              <w:t>17</w:t>
            </w:r>
            <w:r w:rsidR="00BA2F11" w:rsidRPr="006241FF">
              <w:t>. punkts</w:t>
            </w:r>
          </w:p>
        </w:tc>
        <w:tc>
          <w:tcPr>
            <w:tcW w:w="1843" w:type="dxa"/>
          </w:tcPr>
          <w:p w14:paraId="320F8ACB" w14:textId="7EB46EC9" w:rsidR="00B6531A" w:rsidRDefault="006241FF" w:rsidP="00B6531A">
            <w:pPr>
              <w:pStyle w:val="naiskr"/>
              <w:spacing w:before="0" w:after="0"/>
              <w:jc w:val="both"/>
            </w:pPr>
            <w:r>
              <w:t>Pārņemts pilnībā.</w:t>
            </w:r>
          </w:p>
        </w:tc>
        <w:tc>
          <w:tcPr>
            <w:tcW w:w="3931" w:type="dxa"/>
          </w:tcPr>
          <w:p w14:paraId="194C5E13" w14:textId="6CC823C5" w:rsidR="00B6531A" w:rsidRDefault="006241FF" w:rsidP="00B6531A">
            <w:pPr>
              <w:pStyle w:val="naiskr"/>
              <w:spacing w:before="0" w:after="0"/>
              <w:jc w:val="both"/>
            </w:pPr>
            <w:r>
              <w:t>Netiek noteiktas stingrākas prasības.</w:t>
            </w:r>
          </w:p>
        </w:tc>
      </w:tr>
      <w:tr w:rsidR="00B6531A" w14:paraId="1D083679" w14:textId="77777777" w:rsidTr="006241FF">
        <w:trPr>
          <w:trHeight w:val="313"/>
          <w:jc w:val="center"/>
        </w:trPr>
        <w:tc>
          <w:tcPr>
            <w:tcW w:w="2035" w:type="dxa"/>
          </w:tcPr>
          <w:p w14:paraId="54B7EEB4" w14:textId="1B1F54A4" w:rsidR="00B6531A" w:rsidRPr="006241FF" w:rsidRDefault="00B6531A" w:rsidP="00B6531A">
            <w:pPr>
              <w:pStyle w:val="naiskr"/>
              <w:spacing w:before="0" w:after="0"/>
              <w:jc w:val="both"/>
            </w:pPr>
            <w:r w:rsidRPr="006241FF">
              <w:t>VI pielikuma 6.daļas 2.7.punkts</w:t>
            </w:r>
          </w:p>
        </w:tc>
        <w:tc>
          <w:tcPr>
            <w:tcW w:w="1646" w:type="dxa"/>
          </w:tcPr>
          <w:p w14:paraId="2F4D5CB6" w14:textId="05589649" w:rsidR="00B6531A" w:rsidRDefault="008B367B" w:rsidP="00B6531A">
            <w:pPr>
              <w:pStyle w:val="naiskr"/>
              <w:spacing w:before="0" w:after="0"/>
              <w:jc w:val="both"/>
            </w:pPr>
            <w:r>
              <w:t>18</w:t>
            </w:r>
            <w:r w:rsidR="00A814B5">
              <w:t xml:space="preserve">.un </w:t>
            </w:r>
            <w:r>
              <w:t>19</w:t>
            </w:r>
            <w:r w:rsidR="00A814B5">
              <w:t>.punkts</w:t>
            </w:r>
          </w:p>
        </w:tc>
        <w:tc>
          <w:tcPr>
            <w:tcW w:w="1843" w:type="dxa"/>
          </w:tcPr>
          <w:p w14:paraId="45EA8C7B" w14:textId="6B0B03D6" w:rsidR="00B6531A" w:rsidRDefault="006241FF" w:rsidP="00B6531A">
            <w:pPr>
              <w:pStyle w:val="naiskr"/>
              <w:spacing w:before="0" w:after="0"/>
              <w:jc w:val="both"/>
            </w:pPr>
            <w:r>
              <w:t>Pārņemts pilnībā.</w:t>
            </w:r>
          </w:p>
        </w:tc>
        <w:tc>
          <w:tcPr>
            <w:tcW w:w="3931" w:type="dxa"/>
          </w:tcPr>
          <w:p w14:paraId="521C26C5" w14:textId="5511387F" w:rsidR="00B6531A" w:rsidRDefault="006241FF" w:rsidP="00B6531A">
            <w:pPr>
              <w:pStyle w:val="naiskr"/>
              <w:spacing w:before="0" w:after="0"/>
              <w:jc w:val="both"/>
            </w:pPr>
            <w:r>
              <w:t>Netiek noteiktas stingrākas prasības.</w:t>
            </w:r>
          </w:p>
        </w:tc>
      </w:tr>
      <w:tr w:rsidR="00B6531A" w14:paraId="05F9DB55" w14:textId="77777777" w:rsidTr="006241FF">
        <w:trPr>
          <w:trHeight w:val="313"/>
          <w:jc w:val="center"/>
        </w:trPr>
        <w:tc>
          <w:tcPr>
            <w:tcW w:w="3681" w:type="dxa"/>
            <w:gridSpan w:val="2"/>
          </w:tcPr>
          <w:p w14:paraId="715707AD" w14:textId="77777777" w:rsidR="00B6531A" w:rsidRPr="006C4B9F" w:rsidRDefault="00B6531A" w:rsidP="00B6531A">
            <w:pPr>
              <w:pStyle w:val="naiskr"/>
              <w:spacing w:before="0" w:after="0"/>
              <w:jc w:val="both"/>
            </w:pPr>
            <w:r w:rsidRPr="006C4B9F">
              <w:t>Kā ir izmantota ES tiesību aktā paredzētā rīcības brīvība dalībvalstij pārņemt vai ieviest noteiktas ES tiesību akta normas.</w:t>
            </w:r>
          </w:p>
          <w:p w14:paraId="50C05DC6" w14:textId="32CE720F" w:rsidR="00B6531A" w:rsidRDefault="00B6531A" w:rsidP="00B6531A">
            <w:pPr>
              <w:pStyle w:val="naiskr"/>
              <w:spacing w:before="0" w:after="0"/>
              <w:jc w:val="both"/>
            </w:pPr>
            <w:r w:rsidRPr="006C4B9F">
              <w:t>Kādēļ?</w:t>
            </w:r>
          </w:p>
        </w:tc>
        <w:tc>
          <w:tcPr>
            <w:tcW w:w="5774" w:type="dxa"/>
            <w:gridSpan w:val="2"/>
          </w:tcPr>
          <w:p w14:paraId="19379FCB" w14:textId="395DB5C4" w:rsidR="00B6531A" w:rsidRDefault="00D90254" w:rsidP="00B6531A">
            <w:pPr>
              <w:pStyle w:val="naiskr"/>
              <w:spacing w:before="0" w:after="0"/>
              <w:jc w:val="both"/>
            </w:pPr>
            <w:r>
              <w:t>Noteikumu p</w:t>
            </w:r>
            <w:r w:rsidR="006241FF">
              <w:t xml:space="preserve">rojekts šo jomu neskar. </w:t>
            </w:r>
          </w:p>
        </w:tc>
      </w:tr>
      <w:tr w:rsidR="00B6531A" w14:paraId="760444A6" w14:textId="77777777" w:rsidTr="006241FF">
        <w:trPr>
          <w:trHeight w:val="313"/>
          <w:jc w:val="center"/>
        </w:trPr>
        <w:tc>
          <w:tcPr>
            <w:tcW w:w="3681" w:type="dxa"/>
            <w:gridSpan w:val="2"/>
          </w:tcPr>
          <w:p w14:paraId="6386C6CB" w14:textId="6044B01A" w:rsidR="00B6531A" w:rsidRDefault="00AC392E" w:rsidP="00B6531A">
            <w:pPr>
              <w:pStyle w:val="naiskr"/>
              <w:spacing w:before="0" w:after="0"/>
              <w:jc w:val="both"/>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774" w:type="dxa"/>
            <w:gridSpan w:val="2"/>
          </w:tcPr>
          <w:p w14:paraId="45D0CAE3" w14:textId="5B12F219" w:rsidR="00B6531A" w:rsidRDefault="00D90254" w:rsidP="00B6531A">
            <w:pPr>
              <w:pStyle w:val="naiskr"/>
              <w:spacing w:before="0" w:after="0"/>
              <w:jc w:val="both"/>
            </w:pPr>
            <w:r>
              <w:t>Noteikumu p</w:t>
            </w:r>
            <w:r w:rsidR="00B6531A">
              <w:t>rojekts šo jomu neskar.</w:t>
            </w:r>
          </w:p>
        </w:tc>
      </w:tr>
      <w:tr w:rsidR="00B6531A" w14:paraId="50065E69" w14:textId="77777777" w:rsidTr="006241FF">
        <w:trPr>
          <w:trHeight w:val="313"/>
          <w:jc w:val="center"/>
        </w:trPr>
        <w:tc>
          <w:tcPr>
            <w:tcW w:w="3681" w:type="dxa"/>
            <w:gridSpan w:val="2"/>
          </w:tcPr>
          <w:p w14:paraId="19B638D3" w14:textId="7AF9F9E3" w:rsidR="00B6531A" w:rsidRDefault="00B6531A" w:rsidP="00B6531A">
            <w:pPr>
              <w:pStyle w:val="naiskr"/>
              <w:spacing w:before="0" w:after="0"/>
              <w:jc w:val="both"/>
            </w:pPr>
            <w:r w:rsidRPr="006C4B9F">
              <w:t>Cita informācija</w:t>
            </w:r>
          </w:p>
        </w:tc>
        <w:tc>
          <w:tcPr>
            <w:tcW w:w="5774" w:type="dxa"/>
            <w:gridSpan w:val="2"/>
          </w:tcPr>
          <w:p w14:paraId="0F2315C2" w14:textId="76622619" w:rsidR="00B6531A" w:rsidRDefault="00B6531A" w:rsidP="00AC392E">
            <w:pPr>
              <w:pStyle w:val="naiskr"/>
              <w:spacing w:before="0" w:after="0"/>
              <w:jc w:val="both"/>
            </w:pPr>
            <w:r>
              <w:t xml:space="preserve">Informācija par Direktīvas 2010/75/ES citu </w:t>
            </w:r>
            <w:r w:rsidR="00D90254">
              <w:t>ES sekundāro tiesību aktu prasību pārņemšanu</w:t>
            </w:r>
            <w:r>
              <w:t xml:space="preserve"> ir pieejama </w:t>
            </w:r>
            <w:r w:rsidR="00AC392E">
              <w:t>likumprojekta “Grozījumi likumā</w:t>
            </w:r>
            <w:r>
              <w:t xml:space="preserve"> “Par piesārņojumu”</w:t>
            </w:r>
            <w:r w:rsidR="00AC392E">
              <w:t>”</w:t>
            </w:r>
            <w:r>
              <w:t xml:space="preserve"> anotācijā.</w:t>
            </w:r>
            <w:r>
              <w:rPr>
                <w:rStyle w:val="FootnoteReference"/>
              </w:rPr>
              <w:footnoteReference w:id="2"/>
            </w:r>
          </w:p>
        </w:tc>
      </w:tr>
    </w:tbl>
    <w:p w14:paraId="2183A4EA" w14:textId="489004B8" w:rsidR="00D274B8" w:rsidRDefault="00D274B8" w:rsidP="00D274B8">
      <w:pPr>
        <w:pStyle w:val="naisf"/>
        <w:spacing w:before="0" w:after="0"/>
        <w:ind w:firstLine="0"/>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D274B8" w14:paraId="773FB1AF" w14:textId="77777777" w:rsidTr="005A44F7">
        <w:tc>
          <w:tcPr>
            <w:tcW w:w="9469"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5A44F7">
        <w:tc>
          <w:tcPr>
            <w:tcW w:w="9469" w:type="dxa"/>
            <w:tcBorders>
              <w:top w:val="single" w:sz="4" w:space="0" w:color="auto"/>
              <w:left w:val="single" w:sz="4" w:space="0" w:color="auto"/>
              <w:bottom w:val="single" w:sz="4" w:space="0" w:color="auto"/>
              <w:right w:val="single" w:sz="4" w:space="0" w:color="auto"/>
            </w:tcBorders>
          </w:tcPr>
          <w:p w14:paraId="61908F04" w14:textId="7ECBF454" w:rsidR="00EA67D7" w:rsidRPr="00FF72C6" w:rsidRDefault="000F02E7" w:rsidP="00B227DD">
            <w:pPr>
              <w:spacing w:line="256" w:lineRule="auto"/>
              <w:jc w:val="center"/>
              <w:rPr>
                <w:lang w:eastAsia="en-US"/>
              </w:rPr>
            </w:pPr>
            <w:r>
              <w:rPr>
                <w:lang w:eastAsia="en-US"/>
              </w:rPr>
              <w:t>Noteikumu 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lastRenderedPageBreak/>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6B7A0D3A" w:rsidR="00A0110F" w:rsidRPr="00FB41DC" w:rsidRDefault="000F02E7" w:rsidP="004B665C">
            <w:pPr>
              <w:ind w:left="57" w:right="57"/>
              <w:jc w:val="both"/>
            </w:pPr>
            <w:r>
              <w:t>Noteikumu projekts un tā sākotnējās ietekmes novērtējuma zi</w:t>
            </w:r>
            <w:r w:rsidR="00FE3C72">
              <w:t>ņojums (anotācija) 2020. gada 9</w:t>
            </w:r>
            <w:r>
              <w:t xml:space="preserve">. septembrī publicēts Vides aizsardzības un reģionālās attīstības ministrijas tīmekļvietnē </w:t>
            </w:r>
            <w:hyperlink r:id="rId8" w:history="1">
              <w:r>
                <w:rPr>
                  <w:rStyle w:val="Hyperlink"/>
                </w:rPr>
                <w:t>www.varam.gov.lv</w:t>
              </w:r>
            </w:hyperlink>
            <w:r>
              <w:t xml:space="preserve"> </w:t>
            </w:r>
            <w:proofErr w:type="gramStart"/>
            <w:r>
              <w:t>un</w:t>
            </w:r>
            <w:proofErr w:type="gramEnd"/>
            <w:r>
              <w:t xml:space="preserve"> </w:t>
            </w:r>
            <w:r>
              <w:rPr>
                <w:shd w:val="clear" w:color="auto" w:fill="FFFFFF"/>
              </w:rPr>
              <w:t xml:space="preserve">iesniegts Valsts kancelejā publicēšanai tās </w:t>
            </w:r>
            <w:r>
              <w:t>tīmekļvietnē, līdz ar to ieinteresētajām personām ir iespēja izteikt viedokli un sniegt priekšlikumus.</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F09FFA3" w14:textId="32996A0C" w:rsidR="00354ECA" w:rsidRDefault="00354ECA" w:rsidP="00616F0A">
            <w:pPr>
              <w:pStyle w:val="naiskr"/>
              <w:spacing w:before="0" w:after="0"/>
              <w:ind w:right="57"/>
              <w:jc w:val="both"/>
              <w:rPr>
                <w:szCs w:val="22"/>
              </w:rPr>
            </w:pPr>
            <w:r>
              <w:rPr>
                <w:szCs w:val="22"/>
              </w:rPr>
              <w:t>Par noteikumu projektu un tā anotāciju ir saņemti šādi priekšlikumi:</w:t>
            </w:r>
          </w:p>
          <w:p w14:paraId="4ADB11DC" w14:textId="77777777" w:rsidR="00D274B8" w:rsidRPr="00FE3C72" w:rsidRDefault="00354ECA" w:rsidP="00354ECA">
            <w:pPr>
              <w:pStyle w:val="naiskr"/>
              <w:numPr>
                <w:ilvl w:val="0"/>
                <w:numId w:val="11"/>
              </w:numPr>
              <w:spacing w:before="0" w:after="0"/>
              <w:ind w:right="57"/>
              <w:jc w:val="both"/>
              <w:rPr>
                <w:u w:val="single"/>
              </w:rPr>
            </w:pPr>
            <w:r w:rsidRPr="00FE3C72">
              <w:rPr>
                <w:szCs w:val="22"/>
                <w:u w:val="single"/>
              </w:rPr>
              <w:t>SCHWENK Latvija SIA (reģistrācijas Nr. 40003386821, juridiskā adrese</w:t>
            </w:r>
            <w:proofErr w:type="gramStart"/>
            <w:r w:rsidRPr="00FE3C72">
              <w:rPr>
                <w:szCs w:val="22"/>
                <w:u w:val="single"/>
              </w:rPr>
              <w:t xml:space="preserve">  </w:t>
            </w:r>
            <w:proofErr w:type="gramEnd"/>
            <w:r w:rsidRPr="00FE3C72">
              <w:rPr>
                <w:szCs w:val="22"/>
                <w:u w:val="single"/>
              </w:rPr>
              <w:t xml:space="preserve">Lielirbes iela 17A-28, Rīga, LV-1046) 2020.gada 16.septembra vēstule Nr. Iz. 248/09/2020: </w:t>
            </w:r>
          </w:p>
          <w:p w14:paraId="35628FF9" w14:textId="77777777" w:rsidR="00354ECA" w:rsidRPr="00AC3296" w:rsidRDefault="00354ECA" w:rsidP="00354ECA">
            <w:pPr>
              <w:spacing w:line="276" w:lineRule="auto"/>
              <w:jc w:val="both"/>
              <w:rPr>
                <w:szCs w:val="22"/>
              </w:rPr>
            </w:pPr>
            <w:r w:rsidRPr="00AC3296">
              <w:rPr>
                <w:szCs w:val="22"/>
              </w:rPr>
              <w:t>Uzņēmums lūdz tiesību akta projekta 44. punktu precizēt atbilstoši Eiropas Parlamenta un</w:t>
            </w:r>
            <w:proofErr w:type="gramStart"/>
            <w:r w:rsidRPr="00AC3296">
              <w:rPr>
                <w:szCs w:val="22"/>
              </w:rPr>
              <w:t xml:space="preserve">  </w:t>
            </w:r>
            <w:proofErr w:type="gramEnd"/>
            <w:r w:rsidRPr="00AC3296">
              <w:rPr>
                <w:szCs w:val="22"/>
              </w:rPr>
              <w:t>padomes direktīvas 2010/75/ES par rūpnieciskajām emisijām (piesārņojuma integrēta novēršana un kontrole) 6. daļas “Emisiju monitorings” 1.2. apakšpunktam, izsakot attiecīgo punktu tādējādi, ka automātiskās mērīšanas sistēmas jāpārbauda, vismaz reizi gadā veicot paralēlus mērījumus pēc references metodēm.</w:t>
            </w:r>
          </w:p>
          <w:p w14:paraId="4664F6C3" w14:textId="45896B8E" w:rsidR="00354ECA" w:rsidRDefault="00E0213A" w:rsidP="00354ECA">
            <w:pPr>
              <w:pStyle w:val="naiskr"/>
              <w:spacing w:before="0" w:after="0"/>
              <w:ind w:right="57"/>
              <w:jc w:val="both"/>
            </w:pPr>
            <w:r>
              <w:rPr>
                <w:b/>
                <w:u w:val="single"/>
              </w:rPr>
              <w:t xml:space="preserve">VARAM viedoklis: </w:t>
            </w:r>
            <w:r w:rsidR="00354ECA" w:rsidRPr="00E0213A">
              <w:t xml:space="preserve">Priekšlikums ir ņemts vērā. </w:t>
            </w:r>
          </w:p>
          <w:p w14:paraId="7249BC5F" w14:textId="77777777" w:rsidR="00104398" w:rsidRDefault="00104398" w:rsidP="00354ECA">
            <w:pPr>
              <w:pStyle w:val="naiskr"/>
              <w:spacing w:before="0" w:after="0"/>
              <w:ind w:right="57"/>
              <w:jc w:val="both"/>
              <w:rPr>
                <w:b/>
                <w:u w:val="single"/>
              </w:rPr>
            </w:pPr>
          </w:p>
          <w:p w14:paraId="4CD8E435" w14:textId="11CC771C" w:rsidR="00B82EED" w:rsidRPr="00104398" w:rsidRDefault="00B82EED" w:rsidP="00B82EED">
            <w:pPr>
              <w:tabs>
                <w:tab w:val="right" w:pos="1560"/>
                <w:tab w:val="left" w:pos="1701"/>
                <w:tab w:val="left" w:pos="2268"/>
              </w:tabs>
              <w:rPr>
                <w:b/>
                <w:noProof/>
                <w:u w:val="single"/>
              </w:rPr>
            </w:pPr>
            <w:r w:rsidRPr="00104398">
              <w:rPr>
                <w:b/>
                <w:u w:val="single"/>
              </w:rPr>
              <w:t xml:space="preserve">Valsts vides dienesta </w:t>
            </w:r>
            <w:proofErr w:type="gramStart"/>
            <w:r w:rsidRPr="00104398">
              <w:rPr>
                <w:b/>
                <w:u w:val="single"/>
              </w:rPr>
              <w:t>2020.gada</w:t>
            </w:r>
            <w:proofErr w:type="gramEnd"/>
            <w:r w:rsidRPr="00104398">
              <w:rPr>
                <w:b/>
                <w:u w:val="single"/>
              </w:rPr>
              <w:t xml:space="preserve"> 28.septembra vēstule Nr.</w:t>
            </w:r>
            <w:r w:rsidRPr="00104398">
              <w:rPr>
                <w:b/>
              </w:rPr>
              <w:tab/>
            </w:r>
            <w:r w:rsidRPr="00104398">
              <w:rPr>
                <w:b/>
                <w:noProof/>
                <w:u w:val="single"/>
              </w:rPr>
              <w:t xml:space="preserve">2.1/CS/2206/2020: </w:t>
            </w:r>
          </w:p>
          <w:p w14:paraId="7468DAD0" w14:textId="7C4DE393" w:rsidR="00E0213A" w:rsidRPr="00A97DDD" w:rsidRDefault="00A97DDD" w:rsidP="00A97DDD">
            <w:pPr>
              <w:tabs>
                <w:tab w:val="right" w:pos="1418"/>
                <w:tab w:val="left" w:pos="1701"/>
              </w:tabs>
              <w:jc w:val="both"/>
              <w:rPr>
                <w:bCs/>
                <w:noProof/>
              </w:rPr>
            </w:pPr>
            <w:r>
              <w:rPr>
                <w:bCs/>
                <w:noProof/>
              </w:rPr>
              <w:t>1.</w:t>
            </w:r>
            <w:r w:rsidR="00E0213A" w:rsidRPr="00A97DDD">
              <w:rPr>
                <w:bCs/>
                <w:noProof/>
              </w:rPr>
              <w:t>Ministru kabineta 2011. gada 24. maija noteikumu Nr. 401 “Prasības atkritumu sadedzināšanai un atkritumu sadedzināšanas iekārtu darbībai” (turpmāk – noteikumi) 2.1. apakšpunkta pirmā teikuma beigu daļā norādīts: “… kā arī citiem atkritumu termiskās pārstrādes veidiem (tai skaitā pirolīzei, gazifikācijai, plazmas procesiem), ja pēc pārstrādes radušās vielas pēc tam tiek sadedzinātas”. Projekta 2. punktā norādīts, ka noteikumu 2.2. apakšpunktu izsaka šādi: “…</w:t>
            </w:r>
            <w:r w:rsidR="00E0213A" w:rsidRPr="00403EAB">
              <w:t xml:space="preserve"> </w:t>
            </w:r>
            <w:r w:rsidR="00E0213A" w:rsidRPr="00A97DDD">
              <w:rPr>
                <w:bCs/>
                <w:noProof/>
              </w:rPr>
              <w:t xml:space="preserve">kā arī ar citiem termiskās apstrādes procesiem, piemēram, pirolīzi, gazificēšanu vai plazmas procesiem, ja šādā apstrādē radušās vielas pēc tam sadedzina …”. Nav izprotams vai ar terminu “pēc tam sadedzina” domāts, ka sadedzina atkritumu sadedzināšanas iekārtā, kas saistīta ar pirolīzes, gazifikācijas iekārtu, jeb tā ir cita nesaistīta sadedzināšanas iekārta. Dienests ierosina 2.1. un 2.2. apakšpunktā frāzi par sadezināšanu izteikt šādi: “radušās vielas pēc tam tiek sadedzinātas tai pašā atkritumu </w:t>
            </w:r>
            <w:r w:rsidR="00E0213A" w:rsidRPr="00A97DDD">
              <w:rPr>
                <w:bCs/>
                <w:noProof/>
              </w:rPr>
              <w:lastRenderedPageBreak/>
              <w:t>sadedzināšanas iekārtā, nepiemērojot atkritumu statusa izbeigšanu šīm vielām”;</w:t>
            </w:r>
          </w:p>
          <w:p w14:paraId="793F1A73" w14:textId="77777777" w:rsidR="0046420D" w:rsidRDefault="009F7FC8" w:rsidP="0046420D">
            <w:pPr>
              <w:tabs>
                <w:tab w:val="right" w:pos="1418"/>
                <w:tab w:val="left" w:pos="1701"/>
              </w:tabs>
              <w:jc w:val="both"/>
            </w:pPr>
            <w:r w:rsidRPr="009F7FC8">
              <w:rPr>
                <w:b/>
                <w:bCs/>
                <w:noProof/>
                <w:u w:val="single"/>
              </w:rPr>
              <w:t xml:space="preserve">VARAM viedoklis: </w:t>
            </w:r>
            <w:r>
              <w:rPr>
                <w:bCs/>
                <w:noProof/>
              </w:rPr>
              <w:t>Priekšlikums ir ņemts vērā daļēji. VARAM paskaidro, ka atkritumu statusa izbeigšanas kritēriji ir noteikti MK 2011.gada 19.aprīļa noteikumu Nr.302 “</w:t>
            </w:r>
            <w:r>
              <w:t xml:space="preserve">Noteikumi par atkritumu klasifikatoru un īpašībām, kuras padara atkritumus bīstamus” 6.punktā. VARAM ieskatā ir jānodrošina arī citu atkritumu statusa izbeigšanas kritēriju izpilde, lai </w:t>
            </w:r>
            <w:r w:rsidR="0046420D">
              <w:t xml:space="preserve">noteiktu, ka atkritumu pirolīzes pārpalikumi tiem atbilst. </w:t>
            </w:r>
          </w:p>
          <w:p w14:paraId="6C02248B" w14:textId="77777777" w:rsidR="00104398" w:rsidRDefault="00104398" w:rsidP="0046420D">
            <w:pPr>
              <w:tabs>
                <w:tab w:val="right" w:pos="1418"/>
                <w:tab w:val="left" w:pos="1701"/>
              </w:tabs>
              <w:jc w:val="both"/>
            </w:pPr>
          </w:p>
          <w:p w14:paraId="759F60E9" w14:textId="220A4205" w:rsidR="00E0213A" w:rsidRDefault="00A97DDD" w:rsidP="0046420D">
            <w:pPr>
              <w:tabs>
                <w:tab w:val="right" w:pos="1418"/>
                <w:tab w:val="left" w:pos="1701"/>
              </w:tabs>
              <w:jc w:val="both"/>
              <w:rPr>
                <w:bCs/>
                <w:noProof/>
              </w:rPr>
            </w:pPr>
            <w:r>
              <w:t xml:space="preserve">2. </w:t>
            </w:r>
            <w:r w:rsidR="00E0213A">
              <w:rPr>
                <w:bCs/>
                <w:noProof/>
              </w:rPr>
              <w:t>noteikumu 3.1.4. apakšpunkts izteikts šādi: “</w:t>
            </w:r>
            <w:r w:rsidR="00E0213A" w:rsidRPr="00E41795">
              <w:rPr>
                <w:bCs/>
                <w:noProof/>
              </w:rPr>
              <w:t>koksnes atkritumus, izņemot tādus koksnes atkritumus, kuros pēc pārstrādes ir vai var būt halogēnus saturoši organiski savienojumi vai smagie metāli</w:t>
            </w:r>
            <w:r w:rsidR="00E0213A">
              <w:rPr>
                <w:bCs/>
                <w:noProof/>
              </w:rPr>
              <w:t>”. Ņemot vērā to, ka pašlaik tiek izstrādāti noteikumi koksnes atkritumu statusa izbeigšanas piemērošanai ar iekļautām piesārņojošo vielu koncentrāciju robežvērtībām, ierosinām šo apakšpunktu izteikt šādi: “koksnes atkritumus, izņemot tādus koksnes atkritumus, kuriem atbilstoši normatīviem aktiem par kārtību</w:t>
            </w:r>
            <w:r w:rsidR="00E0213A" w:rsidRPr="00E41795">
              <w:rPr>
                <w:bCs/>
                <w:noProof/>
              </w:rPr>
              <w:t>, kādā izbeidz piemērot atkritumu statusu šķeldai, skaidām un putekļiem, kas iegūti no koksnes iepakojuma vai noteikta veida koksnes būvniecības atkritumiem</w:t>
            </w:r>
            <w:r w:rsidR="00E0213A">
              <w:rPr>
                <w:bCs/>
                <w:noProof/>
              </w:rPr>
              <w:t xml:space="preserve"> ir izbeigts piemērot atkritumu statusu;”. Ja šādu atsauksmi nav iespējams iekļaut vai </w:t>
            </w:r>
            <w:r w:rsidR="00E0213A" w:rsidRPr="00AD1272">
              <w:rPr>
                <w:bCs/>
                <w:noProof/>
              </w:rPr>
              <w:t>noteikum</w:t>
            </w:r>
            <w:r w:rsidR="00E0213A">
              <w:rPr>
                <w:bCs/>
                <w:noProof/>
              </w:rPr>
              <w:t>os</w:t>
            </w:r>
            <w:r w:rsidR="00E0213A" w:rsidRPr="00AD1272">
              <w:rPr>
                <w:bCs/>
                <w:noProof/>
              </w:rPr>
              <w:t xml:space="preserve"> koksnes atkritumu statusa izbeigšanas piemērošanai iekļautā</w:t>
            </w:r>
            <w:r w:rsidR="00E0213A">
              <w:rPr>
                <w:bCs/>
                <w:noProof/>
              </w:rPr>
              <w:t>s</w:t>
            </w:r>
            <w:r w:rsidR="00E0213A" w:rsidRPr="00AD1272">
              <w:rPr>
                <w:bCs/>
                <w:noProof/>
              </w:rPr>
              <w:t xml:space="preserve"> piesārņojošo vielu koncentrāciju robežvēr</w:t>
            </w:r>
            <w:r w:rsidR="00E0213A">
              <w:rPr>
                <w:bCs/>
                <w:noProof/>
              </w:rPr>
              <w:t>t</w:t>
            </w:r>
            <w:r w:rsidR="00E0213A" w:rsidRPr="00AD1272">
              <w:rPr>
                <w:bCs/>
                <w:noProof/>
              </w:rPr>
              <w:t>īb</w:t>
            </w:r>
            <w:r w:rsidR="00E0213A">
              <w:rPr>
                <w:bCs/>
                <w:noProof/>
              </w:rPr>
              <w:t>as atšķiras no tām ar kādām koksnes atkritumi būtu jāsadedzina noteikumiem atbilstošā atkritumu sadedzināšanas iekārtā, ierosinām noteikumos iekļaut nepieciešamās koncentrāciju robežvērtības;</w:t>
            </w:r>
          </w:p>
          <w:p w14:paraId="207FDD36" w14:textId="55250229" w:rsidR="0045691C" w:rsidRDefault="0046420D" w:rsidP="0045691C">
            <w:pPr>
              <w:spacing w:after="160" w:line="252" w:lineRule="auto"/>
              <w:contextualSpacing/>
              <w:jc w:val="both"/>
            </w:pPr>
            <w:r w:rsidRPr="0045691C">
              <w:rPr>
                <w:b/>
                <w:bCs/>
                <w:noProof/>
                <w:u w:val="single"/>
              </w:rPr>
              <w:t>VARAM viedoklis:</w:t>
            </w:r>
            <w:r>
              <w:rPr>
                <w:bCs/>
                <w:noProof/>
              </w:rPr>
              <w:t xml:space="preserve"> priekšlikums nav ņemts vērā. VARAM paskaidro, ka noteikumu Nr.401 3.punktā ir noteikti izņēmumi noteikumu piemērošanai, tāpēc MK noteikumi Nr.401 neattiecas uz tādām iekārtām, kurās tiek sadedzināti </w:t>
            </w:r>
            <w:r w:rsidRPr="00E41795">
              <w:rPr>
                <w:bCs/>
                <w:noProof/>
              </w:rPr>
              <w:t>koksnes atkritumus, izņemot tādus koksnes atkritumus, kuros pēc pārstrādes ir vai var būt halogēnus saturoši organiski savienojumi vai smagie metāli</w:t>
            </w:r>
            <w:r>
              <w:rPr>
                <w:bCs/>
                <w:noProof/>
              </w:rPr>
              <w:t>, tāpēc arī nav pamata šajos noteikumos iekļaut nepieciešamās koncentrācijas robežvērtības. Nav arī pamata iekļaut atsauci uz MK noteikumu projektu “</w:t>
            </w:r>
            <w:r w:rsidR="0045691C">
              <w:t xml:space="preserve">“Kārtība, kādā izbeidz piemērot atkritumu statusu </w:t>
            </w:r>
            <w:r w:rsidR="0045691C">
              <w:rPr>
                <w:b/>
                <w:bCs/>
              </w:rPr>
              <w:t>šķeldai, skaidām un putekļiem</w:t>
            </w:r>
            <w:r w:rsidR="0045691C">
              <w:t>, kas iegūti no koksnes iepakojuma vai noteikta veida koksnes būvniecības atkritumiem” projekts (VSS-755, izsludināts</w:t>
            </w:r>
            <w:proofErr w:type="gramStart"/>
            <w:r w:rsidR="0045691C">
              <w:t xml:space="preserve">  </w:t>
            </w:r>
            <w:proofErr w:type="gramEnd"/>
            <w:r w:rsidR="0045691C">
              <w:t>26.07.2018 (protokols Nr.29, 24.</w:t>
            </w:r>
            <w:r w:rsidR="0045691C">
              <w:rPr>
                <w:rFonts w:ascii="Calibri" w:hAnsi="Calibri"/>
              </w:rPr>
              <w:t>§</w:t>
            </w:r>
            <w:r w:rsidR="0045691C">
              <w:t>)), tā kā normatīvais akts vēl nav spēkā.</w:t>
            </w:r>
          </w:p>
          <w:p w14:paraId="65417104" w14:textId="77777777" w:rsidR="0045691C" w:rsidRDefault="0045691C" w:rsidP="0045691C">
            <w:pPr>
              <w:tabs>
                <w:tab w:val="right" w:pos="1418"/>
                <w:tab w:val="left" w:pos="1701"/>
              </w:tabs>
              <w:jc w:val="both"/>
              <w:rPr>
                <w:bCs/>
                <w:noProof/>
              </w:rPr>
            </w:pPr>
          </w:p>
          <w:p w14:paraId="7E55B484" w14:textId="35C23FAD" w:rsidR="00E0213A" w:rsidRDefault="00104398" w:rsidP="0045691C">
            <w:pPr>
              <w:tabs>
                <w:tab w:val="right" w:pos="1418"/>
                <w:tab w:val="left" w:pos="1701"/>
              </w:tabs>
              <w:jc w:val="both"/>
              <w:rPr>
                <w:bCs/>
                <w:noProof/>
              </w:rPr>
            </w:pPr>
            <w:r>
              <w:rPr>
                <w:bCs/>
                <w:noProof/>
              </w:rPr>
              <w:t>3</w:t>
            </w:r>
            <w:r w:rsidR="00A97DDD">
              <w:rPr>
                <w:bCs/>
                <w:noProof/>
              </w:rPr>
              <w:t xml:space="preserve">. </w:t>
            </w:r>
            <w:r w:rsidR="00E0213A" w:rsidRPr="0045691C">
              <w:rPr>
                <w:bCs/>
                <w:noProof/>
              </w:rPr>
              <w:t xml:space="preserve">Lai netiktu dublēta frāze “Valsts vides dienesta”, ierosinām projekta 4. punktu izteikt šādi: “4. punktā aizstāt vārdus “Valsts vides dienesta reģionālajā vides pārvaldē” ar vārdiem “Valsts vides dienestā”; </w:t>
            </w:r>
          </w:p>
          <w:p w14:paraId="30802B57" w14:textId="3EDCE67D" w:rsidR="0045691C" w:rsidRDefault="0045691C" w:rsidP="0045691C">
            <w:pPr>
              <w:tabs>
                <w:tab w:val="right" w:pos="1418"/>
                <w:tab w:val="left" w:pos="1701"/>
              </w:tabs>
              <w:jc w:val="both"/>
              <w:rPr>
                <w:bCs/>
                <w:noProof/>
              </w:rPr>
            </w:pPr>
            <w:r w:rsidRPr="0045691C">
              <w:rPr>
                <w:b/>
                <w:bCs/>
                <w:noProof/>
                <w:u w:val="single"/>
              </w:rPr>
              <w:lastRenderedPageBreak/>
              <w:t>VARAM viedoklis:</w:t>
            </w:r>
            <w:r>
              <w:rPr>
                <w:bCs/>
                <w:noProof/>
              </w:rPr>
              <w:t xml:space="preserve"> priekšlikums ir ņemts vērā noteikumu projekta 1.punktā. </w:t>
            </w:r>
          </w:p>
          <w:p w14:paraId="78119920" w14:textId="77777777" w:rsidR="00104398" w:rsidRPr="0045691C" w:rsidRDefault="00104398" w:rsidP="0045691C">
            <w:pPr>
              <w:tabs>
                <w:tab w:val="right" w:pos="1418"/>
                <w:tab w:val="left" w:pos="1701"/>
              </w:tabs>
              <w:jc w:val="both"/>
              <w:rPr>
                <w:bCs/>
                <w:noProof/>
              </w:rPr>
            </w:pPr>
          </w:p>
          <w:p w14:paraId="38FB1F1E" w14:textId="2FF11E37" w:rsidR="00E0213A" w:rsidRDefault="00A97DDD" w:rsidP="0045691C">
            <w:pPr>
              <w:tabs>
                <w:tab w:val="right" w:pos="1418"/>
                <w:tab w:val="left" w:pos="1701"/>
              </w:tabs>
              <w:jc w:val="both"/>
              <w:rPr>
                <w:bCs/>
                <w:noProof/>
              </w:rPr>
            </w:pPr>
            <w:r>
              <w:rPr>
                <w:bCs/>
                <w:noProof/>
              </w:rPr>
              <w:t>4.</w:t>
            </w:r>
            <w:r w:rsidR="00E0213A">
              <w:rPr>
                <w:bCs/>
                <w:noProof/>
              </w:rPr>
              <w:t xml:space="preserve"> Dienests ierosina noteikumus papildināt ar 4.</w:t>
            </w:r>
            <w:r w:rsidR="00E0213A" w:rsidRPr="00E64287">
              <w:rPr>
                <w:bCs/>
                <w:noProof/>
                <w:vertAlign w:val="superscript"/>
              </w:rPr>
              <w:t>1</w:t>
            </w:r>
            <w:r w:rsidR="00E0213A">
              <w:rPr>
                <w:bCs/>
                <w:noProof/>
              </w:rPr>
              <w:t xml:space="preserve"> punktu, kurā ievietotu ceturto rindkopu no </w:t>
            </w:r>
            <w:r w:rsidR="00E0213A" w:rsidRPr="00E64287">
              <w:rPr>
                <w:bCs/>
                <w:noProof/>
              </w:rPr>
              <w:t>Eiropas Parlamenta un Padomes 24.11.2010. direktīva</w:t>
            </w:r>
            <w:r w:rsidR="00E0213A">
              <w:rPr>
                <w:bCs/>
                <w:noProof/>
              </w:rPr>
              <w:t>s</w:t>
            </w:r>
            <w:r w:rsidR="00E0213A" w:rsidRPr="00E64287">
              <w:rPr>
                <w:bCs/>
                <w:noProof/>
              </w:rPr>
              <w:t xml:space="preserve"> Nr.2010/75/ES par rūpnieciskajām emisijām</w:t>
            </w:r>
            <w:r w:rsidR="00E0213A">
              <w:rPr>
                <w:bCs/>
                <w:noProof/>
              </w:rPr>
              <w:t xml:space="preserve"> (turpmāk – Direktīva)</w:t>
            </w:r>
            <w:r w:rsidR="00E0213A" w:rsidRPr="00E64287">
              <w:rPr>
                <w:bCs/>
                <w:noProof/>
              </w:rPr>
              <w:t xml:space="preserve"> IV nodaļa</w:t>
            </w:r>
            <w:r w:rsidR="00E0213A">
              <w:rPr>
                <w:bCs/>
                <w:noProof/>
              </w:rPr>
              <w:t>s</w:t>
            </w:r>
            <w:r w:rsidR="00E0213A" w:rsidRPr="00E64287">
              <w:rPr>
                <w:bCs/>
                <w:noProof/>
              </w:rPr>
              <w:t xml:space="preserve"> </w:t>
            </w:r>
            <w:r w:rsidR="00E0213A">
              <w:rPr>
                <w:bCs/>
                <w:noProof/>
              </w:rPr>
              <w:t>“</w:t>
            </w:r>
            <w:r w:rsidR="00E0213A" w:rsidRPr="00E64287">
              <w:rPr>
                <w:bCs/>
                <w:noProof/>
              </w:rPr>
              <w:t>Īpaši noteikumi par atkritumu sadedzināšanas un līdzsadedzināšanas iekārtām”</w:t>
            </w:r>
            <w:r w:rsidR="00E0213A">
              <w:rPr>
                <w:bCs/>
                <w:noProof/>
              </w:rPr>
              <w:t xml:space="preserve"> 42. panta 1. punkta: ”</w:t>
            </w:r>
            <w:r w:rsidR="00E0213A" w:rsidRPr="00E64287">
              <w:rPr>
                <w:bCs/>
                <w:noProof/>
              </w:rPr>
              <w:t xml:space="preserve">Ja atkritumu termiskai apstrādei izmanto citus procesus, nevis oksidāciju, piemēram, pirolīzi, gazifikāciju vai plazmas procesu, atkritumu sadedzināšanas vai līdzsadedzināšanas iekārtā iekļauj gan termiskās apstrādes, gan arī </w:t>
            </w:r>
            <w:r w:rsidR="00E0213A">
              <w:rPr>
                <w:bCs/>
                <w:noProof/>
              </w:rPr>
              <w:t>tai sekojošo</w:t>
            </w:r>
            <w:r w:rsidR="00E0213A" w:rsidRPr="00E64287">
              <w:rPr>
                <w:bCs/>
                <w:noProof/>
              </w:rPr>
              <w:t xml:space="preserve"> sadedzināšanas procesu</w:t>
            </w:r>
            <w:r w:rsidR="00E0213A">
              <w:rPr>
                <w:bCs/>
                <w:noProof/>
              </w:rPr>
              <w:t>.”;</w:t>
            </w:r>
          </w:p>
          <w:p w14:paraId="144543AC" w14:textId="713C790B" w:rsidR="0045691C" w:rsidRDefault="0045691C" w:rsidP="0045691C">
            <w:pPr>
              <w:tabs>
                <w:tab w:val="right" w:pos="1418"/>
                <w:tab w:val="left" w:pos="1701"/>
              </w:tabs>
              <w:jc w:val="both"/>
              <w:rPr>
                <w:bCs/>
                <w:noProof/>
              </w:rPr>
            </w:pPr>
            <w:r w:rsidRPr="0045691C">
              <w:rPr>
                <w:b/>
                <w:bCs/>
                <w:noProof/>
                <w:u w:val="single"/>
              </w:rPr>
              <w:t>VARAM viedoklis</w:t>
            </w:r>
            <w:r>
              <w:rPr>
                <w:bCs/>
                <w:noProof/>
              </w:rPr>
              <w:t xml:space="preserve">: priekšlikums ir ņemts vērā. </w:t>
            </w:r>
          </w:p>
          <w:p w14:paraId="562C5330" w14:textId="77777777" w:rsidR="00104398" w:rsidRDefault="00104398" w:rsidP="0045691C">
            <w:pPr>
              <w:tabs>
                <w:tab w:val="right" w:pos="1418"/>
                <w:tab w:val="left" w:pos="1701"/>
              </w:tabs>
              <w:jc w:val="both"/>
              <w:rPr>
                <w:bCs/>
                <w:noProof/>
              </w:rPr>
            </w:pPr>
          </w:p>
          <w:p w14:paraId="14E5A2C9" w14:textId="1B6E81B5" w:rsidR="00E0213A" w:rsidRDefault="00A97DDD" w:rsidP="00667E8D">
            <w:pPr>
              <w:tabs>
                <w:tab w:val="right" w:pos="1418"/>
                <w:tab w:val="left" w:pos="1701"/>
              </w:tabs>
              <w:jc w:val="both"/>
              <w:rPr>
                <w:bCs/>
                <w:noProof/>
              </w:rPr>
            </w:pPr>
            <w:r>
              <w:rPr>
                <w:bCs/>
                <w:noProof/>
              </w:rPr>
              <w:t>5.</w:t>
            </w:r>
            <w:r w:rsidR="00E0213A">
              <w:rPr>
                <w:bCs/>
                <w:noProof/>
              </w:rPr>
              <w:t xml:space="preserve"> noteikumu 5. punkta pirmajā teikumā norādīts: “n</w:t>
            </w:r>
            <w:r w:rsidR="00E0213A" w:rsidRPr="008A68DA">
              <w:rPr>
                <w:bCs/>
                <w:noProof/>
              </w:rPr>
              <w:t>oteikumu papildu prasības bīstamajiem atkritumiem neattiecas uz šķidriem atkritumiem</w:t>
            </w:r>
            <w:r w:rsidR="00E0213A">
              <w:rPr>
                <w:bCs/>
                <w:noProof/>
              </w:rPr>
              <w:t>…”. Lai būt lābāk izprotams par kādām papildu prasībām tiek runāts, Dienests ierosina noteikumu 5. punktā dod atsauci uz konkrētiem noteikumu punktiem ar papildu prasībām vai arī šīs papildu prasības apkopot atsevišķā noteikumu nodaļā ar virsrakstu “Papildu prasības bīstamajiem atkritumiem”;</w:t>
            </w:r>
          </w:p>
          <w:p w14:paraId="2ACBB44D" w14:textId="1FD2C04E" w:rsidR="00667E8D" w:rsidRDefault="00667E8D" w:rsidP="00667E8D">
            <w:pPr>
              <w:tabs>
                <w:tab w:val="right" w:pos="1418"/>
                <w:tab w:val="left" w:pos="1701"/>
              </w:tabs>
              <w:jc w:val="both"/>
              <w:rPr>
                <w:bCs/>
                <w:noProof/>
              </w:rPr>
            </w:pPr>
            <w:r w:rsidRPr="00667E8D">
              <w:rPr>
                <w:b/>
                <w:bCs/>
                <w:noProof/>
                <w:u w:val="single"/>
              </w:rPr>
              <w:t>VARAM viedoklis:</w:t>
            </w:r>
            <w:r w:rsidR="001F60AD">
              <w:rPr>
                <w:bCs/>
                <w:noProof/>
              </w:rPr>
              <w:t xml:space="preserve"> priekšlikums nav ņemts vērā, tā kā noteikumu punktos ir iekļautas prasības, kuras ir jāpiemēro bīstamo atkritumu sadedzināšanai. </w:t>
            </w:r>
          </w:p>
          <w:p w14:paraId="7D804E4C" w14:textId="77777777" w:rsidR="00104398" w:rsidRDefault="00104398" w:rsidP="00667E8D">
            <w:pPr>
              <w:tabs>
                <w:tab w:val="right" w:pos="1418"/>
                <w:tab w:val="left" w:pos="1701"/>
              </w:tabs>
              <w:jc w:val="both"/>
              <w:rPr>
                <w:bCs/>
                <w:noProof/>
              </w:rPr>
            </w:pPr>
          </w:p>
          <w:p w14:paraId="48A2A72D" w14:textId="7972B938" w:rsidR="00E0213A" w:rsidRDefault="00A97DDD" w:rsidP="00A97DDD">
            <w:pPr>
              <w:tabs>
                <w:tab w:val="right" w:pos="1418"/>
                <w:tab w:val="left" w:pos="1701"/>
              </w:tabs>
              <w:jc w:val="both"/>
              <w:rPr>
                <w:bCs/>
                <w:noProof/>
              </w:rPr>
            </w:pPr>
            <w:r>
              <w:rPr>
                <w:bCs/>
                <w:noProof/>
              </w:rPr>
              <w:t>6.</w:t>
            </w:r>
            <w:r w:rsidR="00E0213A">
              <w:rPr>
                <w:bCs/>
                <w:noProof/>
              </w:rPr>
              <w:t xml:space="preserve"> noteikumu 6.3. </w:t>
            </w:r>
            <w:r w:rsidR="00E0213A" w:rsidRPr="00E64287">
              <w:rPr>
                <w:bCs/>
                <w:noProof/>
              </w:rPr>
              <w:t>apakšpunktā un 15. punktā norādīts, ka “… kopējais oglekļa saturs pelnos un izdedžos nepārsniegtu 3 % vai zudumi sadedzināšanas procesā nepārsniegtu 5 % no materiāla sausā svara…”. Lai labāk varētu izprast prasību</w:t>
            </w:r>
            <w:r w:rsidR="00E0213A">
              <w:rPr>
                <w:bCs/>
                <w:noProof/>
              </w:rPr>
              <w:t xml:space="preserve"> un tā atbilstu Direktīvas 50. panta 1. punkta redakcijai</w:t>
            </w:r>
            <w:r w:rsidR="00E0213A" w:rsidRPr="00E64287">
              <w:rPr>
                <w:bCs/>
                <w:noProof/>
              </w:rPr>
              <w:t>, izmantojot par analoģiju  Ministru kabineta 2011. gada 27. decembra noteikumu Nr.1032 “Atkritumu poligonu ierīkošanas, atkritumu poligonu un izgāztuvju apsaimniekošanas, slēgšanas un rekultivācijas noteikumi” 8. pielikuma II daļu, ierosinām 6.3. apakšpunktā un 15. punktā frāzi par zudumiem izteikt šādi: “kopējais oglekļa saturs pelnos un izdedžos nepārsniegtu 3 % vai to masas zudumi sadedzināšanas procesā (LOI) nepārsniegtu 5 % no materiāla sausā svara”;</w:t>
            </w:r>
          </w:p>
          <w:p w14:paraId="58524BA1" w14:textId="682C550C" w:rsidR="00492ACD" w:rsidRDefault="00492ACD" w:rsidP="00A97DDD">
            <w:pPr>
              <w:tabs>
                <w:tab w:val="right" w:pos="1418"/>
                <w:tab w:val="left" w:pos="1701"/>
              </w:tabs>
              <w:jc w:val="both"/>
              <w:rPr>
                <w:bCs/>
                <w:noProof/>
              </w:rPr>
            </w:pPr>
            <w:r>
              <w:rPr>
                <w:bCs/>
                <w:noProof/>
              </w:rPr>
              <w:t>VARAM viedoklis:</w:t>
            </w:r>
          </w:p>
          <w:p w14:paraId="3E48AF19" w14:textId="77777777" w:rsidR="00104398" w:rsidRDefault="00104398" w:rsidP="00A97DDD">
            <w:pPr>
              <w:tabs>
                <w:tab w:val="right" w:pos="1418"/>
                <w:tab w:val="left" w:pos="1701"/>
              </w:tabs>
              <w:jc w:val="both"/>
              <w:rPr>
                <w:bCs/>
                <w:noProof/>
              </w:rPr>
            </w:pPr>
          </w:p>
          <w:p w14:paraId="22F43EFE" w14:textId="127FCF91" w:rsidR="00E0213A" w:rsidRDefault="00A97DDD" w:rsidP="00A97DDD">
            <w:pPr>
              <w:tabs>
                <w:tab w:val="right" w:pos="1418"/>
                <w:tab w:val="left" w:pos="1701"/>
              </w:tabs>
              <w:jc w:val="both"/>
              <w:rPr>
                <w:bCs/>
                <w:noProof/>
              </w:rPr>
            </w:pPr>
            <w:r>
              <w:rPr>
                <w:bCs/>
                <w:noProof/>
              </w:rPr>
              <w:t>7.</w:t>
            </w:r>
            <w:r w:rsidR="00E0213A">
              <w:rPr>
                <w:bCs/>
                <w:noProof/>
              </w:rPr>
              <w:t xml:space="preserve"> Lai operatoram nebūtu jānodrošina, ka jās</w:t>
            </w:r>
            <w:r w:rsidR="00E0213A" w:rsidRPr="00C57BD2">
              <w:rPr>
                <w:bCs/>
                <w:noProof/>
              </w:rPr>
              <w:t>amazin</w:t>
            </w:r>
            <w:r w:rsidR="00E0213A">
              <w:rPr>
                <w:bCs/>
                <w:noProof/>
              </w:rPr>
              <w:t>a</w:t>
            </w:r>
            <w:r w:rsidR="00E0213A" w:rsidRPr="00C57BD2">
              <w:rPr>
                <w:bCs/>
                <w:noProof/>
              </w:rPr>
              <w:t xml:space="preserve"> atkritumu sadedzināšanas atlikumu daudzums un bīstamība, un </w:t>
            </w:r>
            <w:r w:rsidR="00E0213A">
              <w:rPr>
                <w:bCs/>
                <w:noProof/>
              </w:rPr>
              <w:t>jā</w:t>
            </w:r>
            <w:r w:rsidR="00E0213A" w:rsidRPr="00C57BD2">
              <w:rPr>
                <w:bCs/>
                <w:noProof/>
              </w:rPr>
              <w:t>nodrošināta to pārstrāde</w:t>
            </w:r>
            <w:r w:rsidR="00E0213A">
              <w:rPr>
                <w:bCs/>
                <w:noProof/>
              </w:rPr>
              <w:t>, neatkarīgi no tā vai to ir teorētiski iespējams veikt un ņemot vērā Direktīvas 53. panta 1. punkta anglisko versiju (</w:t>
            </w:r>
            <w:r w:rsidR="00E0213A" w:rsidRPr="00C57BD2">
              <w:rPr>
                <w:bCs/>
                <w:i/>
                <w:iCs/>
                <w:noProof/>
              </w:rPr>
              <w:t>Residues shall be minimised in their amount and harmfulness. Residues shall be recycled, where appropriate, directly in the plant or outside</w:t>
            </w:r>
            <w:r w:rsidR="00E0213A">
              <w:rPr>
                <w:bCs/>
                <w:noProof/>
              </w:rPr>
              <w:t>), Dienests ierosina noteikumu 6.3.</w:t>
            </w:r>
            <w:r w:rsidR="00E0213A" w:rsidRPr="009D3A5F">
              <w:rPr>
                <w:bCs/>
                <w:noProof/>
                <w:vertAlign w:val="superscript"/>
              </w:rPr>
              <w:t>1</w:t>
            </w:r>
            <w:r w:rsidR="00E0213A">
              <w:rPr>
                <w:bCs/>
                <w:noProof/>
              </w:rPr>
              <w:t xml:space="preserve"> punktu izteikt šādi: “tiks sasniegts </w:t>
            </w:r>
            <w:r w:rsidR="00E0213A">
              <w:rPr>
                <w:bCs/>
                <w:noProof/>
              </w:rPr>
              <w:lastRenderedPageBreak/>
              <w:t xml:space="preserve">pēc iespējas mazāks atkritumu sadedzināšanas atlikumu daudzums un bīstamība, un, kur piemērojams, </w:t>
            </w:r>
            <w:r>
              <w:rPr>
                <w:bCs/>
                <w:noProof/>
              </w:rPr>
              <w:t>tiks nodrošināta to pārstrāde;”</w:t>
            </w:r>
          </w:p>
          <w:p w14:paraId="4C4AA366" w14:textId="02F0AAF4" w:rsidR="00A97DDD" w:rsidRDefault="00A97DDD" w:rsidP="00A97DDD">
            <w:pPr>
              <w:tabs>
                <w:tab w:val="right" w:pos="1418"/>
                <w:tab w:val="left" w:pos="1701"/>
              </w:tabs>
              <w:jc w:val="both"/>
              <w:rPr>
                <w:bCs/>
                <w:noProof/>
              </w:rPr>
            </w:pPr>
            <w:r w:rsidRPr="00A97DDD">
              <w:rPr>
                <w:b/>
                <w:bCs/>
                <w:noProof/>
                <w:u w:val="single"/>
              </w:rPr>
              <w:t>VARAM viedoklis:</w:t>
            </w:r>
            <w:r>
              <w:rPr>
                <w:bCs/>
                <w:noProof/>
              </w:rPr>
              <w:t xml:space="preserve"> priekšlikums ir ņemts vērā.</w:t>
            </w:r>
          </w:p>
          <w:p w14:paraId="057224BB" w14:textId="77777777" w:rsidR="00104398" w:rsidRDefault="00104398" w:rsidP="00A97DDD">
            <w:pPr>
              <w:tabs>
                <w:tab w:val="right" w:pos="1418"/>
                <w:tab w:val="left" w:pos="1701"/>
              </w:tabs>
              <w:jc w:val="both"/>
              <w:rPr>
                <w:bCs/>
                <w:noProof/>
              </w:rPr>
            </w:pPr>
          </w:p>
          <w:p w14:paraId="0F21615B" w14:textId="1C7C8BC6" w:rsidR="00E0213A" w:rsidRDefault="00A97DDD" w:rsidP="00A97DDD">
            <w:pPr>
              <w:tabs>
                <w:tab w:val="right" w:pos="1418"/>
                <w:tab w:val="left" w:pos="1701"/>
              </w:tabs>
              <w:jc w:val="both"/>
              <w:rPr>
                <w:bCs/>
                <w:noProof/>
              </w:rPr>
            </w:pPr>
            <w:r>
              <w:rPr>
                <w:bCs/>
                <w:noProof/>
              </w:rPr>
              <w:t>8.</w:t>
            </w:r>
            <w:r w:rsidR="00E0213A">
              <w:rPr>
                <w:bCs/>
                <w:noProof/>
              </w:rPr>
              <w:t xml:space="preserve"> Lai saprotamāk izveidotu teikumu, ierosinām 7.</w:t>
            </w:r>
            <w:r w:rsidR="00E0213A" w:rsidRPr="009D3A5F">
              <w:rPr>
                <w:bCs/>
                <w:noProof/>
                <w:vertAlign w:val="superscript"/>
              </w:rPr>
              <w:t>1</w:t>
            </w:r>
            <w:r w:rsidR="00E0213A">
              <w:rPr>
                <w:bCs/>
                <w:noProof/>
              </w:rPr>
              <w:t xml:space="preserve"> punktu izteikt šādi: “</w:t>
            </w:r>
            <w:r w:rsidR="00E0213A" w:rsidRPr="009D3A5F">
              <w:rPr>
                <w:bCs/>
                <w:noProof/>
              </w:rPr>
              <w:t>Iekārtas darbības veida maiņu, kas saistīta ar bīstamo atkritumu sadedzināšanu</w:t>
            </w:r>
            <w:r w:rsidR="00E0213A">
              <w:rPr>
                <w:bCs/>
                <w:noProof/>
              </w:rPr>
              <w:t xml:space="preserve"> atkritumu sadezināšanas</w:t>
            </w:r>
            <w:r w:rsidR="00E0213A" w:rsidRPr="009D3A5F">
              <w:rPr>
                <w:bCs/>
                <w:noProof/>
              </w:rPr>
              <w:t xml:space="preserve"> vai līdzsadedzināšan</w:t>
            </w:r>
            <w:r w:rsidR="00E0213A">
              <w:rPr>
                <w:bCs/>
                <w:noProof/>
              </w:rPr>
              <w:t>as</w:t>
            </w:r>
            <w:r w:rsidR="00E0213A" w:rsidRPr="009D3A5F">
              <w:rPr>
                <w:bCs/>
                <w:noProof/>
              </w:rPr>
              <w:t xml:space="preserve"> iekārtās, kas ir tādu iekārtu daļa, kuru darbībai ir izdota A kategorijas piesārņojošas darbības atļauja un kurās dedzina tikai nebīstamus atkritumus, uzskata par būtisku izmaiņu atbilstoši normatīvajiem aktiem par piesārņojumu</w:t>
            </w:r>
            <w:r w:rsidR="00E0213A">
              <w:rPr>
                <w:bCs/>
                <w:noProof/>
              </w:rPr>
              <w:t>.”;</w:t>
            </w:r>
          </w:p>
          <w:p w14:paraId="3E820166" w14:textId="1D50BCD8" w:rsidR="00A97DDD" w:rsidRDefault="00A97DDD" w:rsidP="00A97DDD">
            <w:pPr>
              <w:tabs>
                <w:tab w:val="right" w:pos="1418"/>
                <w:tab w:val="left" w:pos="1701"/>
              </w:tabs>
              <w:jc w:val="both"/>
              <w:rPr>
                <w:bCs/>
                <w:noProof/>
              </w:rPr>
            </w:pPr>
            <w:r w:rsidRPr="00A97DDD">
              <w:rPr>
                <w:b/>
                <w:bCs/>
                <w:noProof/>
                <w:u w:val="single"/>
              </w:rPr>
              <w:t>VARAM viedoklis:</w:t>
            </w:r>
            <w:r>
              <w:rPr>
                <w:bCs/>
                <w:noProof/>
              </w:rPr>
              <w:t xml:space="preserve"> priekšlikums ir ņemts vērā.</w:t>
            </w:r>
          </w:p>
          <w:p w14:paraId="06F7DAD3" w14:textId="77777777" w:rsidR="00104398" w:rsidRDefault="00104398" w:rsidP="00A97DDD">
            <w:pPr>
              <w:tabs>
                <w:tab w:val="right" w:pos="1418"/>
                <w:tab w:val="left" w:pos="1701"/>
              </w:tabs>
              <w:jc w:val="both"/>
              <w:rPr>
                <w:bCs/>
                <w:noProof/>
              </w:rPr>
            </w:pPr>
          </w:p>
          <w:p w14:paraId="0EA093B0" w14:textId="329F6D67" w:rsidR="00E0213A" w:rsidRDefault="009A38FD" w:rsidP="009A38FD">
            <w:pPr>
              <w:tabs>
                <w:tab w:val="right" w:pos="1418"/>
                <w:tab w:val="left" w:pos="1701"/>
              </w:tabs>
              <w:jc w:val="both"/>
              <w:rPr>
                <w:bCs/>
                <w:noProof/>
              </w:rPr>
            </w:pPr>
            <w:r>
              <w:rPr>
                <w:bCs/>
                <w:noProof/>
              </w:rPr>
              <w:t>9.</w:t>
            </w:r>
            <w:r w:rsidR="00E0213A">
              <w:rPr>
                <w:bCs/>
                <w:noProof/>
              </w:rPr>
              <w:t xml:space="preserve"> Dienests iesaka precizēt noteikumu 17. punkta otro teikumu, lai tas atbilstu Direktīvas 50. panta 3. punkta trešajam teikumam un izteikt to šādi: “</w:t>
            </w:r>
            <w:r w:rsidR="00E0213A" w:rsidRPr="0086293E">
              <w:rPr>
                <w:bCs/>
                <w:noProof/>
              </w:rPr>
              <w:t>Papildu degļus izmanto</w:t>
            </w:r>
            <w:r w:rsidR="00E0213A">
              <w:rPr>
                <w:bCs/>
                <w:noProof/>
              </w:rPr>
              <w:t xml:space="preserve"> arī</w:t>
            </w:r>
            <w:r w:rsidR="00E0213A" w:rsidRPr="0086293E">
              <w:rPr>
                <w:bCs/>
                <w:noProof/>
              </w:rPr>
              <w:t xml:space="preserve"> atkritumu sadedzināšanas iekārtas iedarbināšanas un izslēgšanas laikā, lai sadedzināšanas kamerā nodrošinātu temperatūru</w:t>
            </w:r>
            <w:r w:rsidR="00E0213A">
              <w:rPr>
                <w:bCs/>
                <w:noProof/>
              </w:rPr>
              <w:t xml:space="preserve"> attiecīgi virs</w:t>
            </w:r>
            <w:r w:rsidR="00E0213A" w:rsidRPr="0086293E">
              <w:rPr>
                <w:bCs/>
                <w:noProof/>
              </w:rPr>
              <w:t xml:space="preserve"> 850 °C </w:t>
            </w:r>
            <w:r w:rsidR="00E0213A">
              <w:rPr>
                <w:bCs/>
                <w:noProof/>
              </w:rPr>
              <w:t xml:space="preserve">vai </w:t>
            </w:r>
            <w:r w:rsidR="00E0213A" w:rsidRPr="0086293E">
              <w:rPr>
                <w:bCs/>
                <w:noProof/>
              </w:rPr>
              <w:t>1100 °C</w:t>
            </w:r>
            <w:r w:rsidR="00E0213A" w:rsidRPr="005D7A29">
              <w:t xml:space="preserve"> </w:t>
            </w:r>
            <w:r w:rsidR="00E0213A">
              <w:rPr>
                <w:bCs/>
                <w:noProof/>
              </w:rPr>
              <w:t xml:space="preserve">šo procedūru </w:t>
            </w:r>
            <w:r w:rsidR="00E0213A" w:rsidRPr="005D7A29">
              <w:rPr>
                <w:bCs/>
                <w:noProof/>
              </w:rPr>
              <w:t>laikā</w:t>
            </w:r>
            <w:r w:rsidR="00E0213A">
              <w:rPr>
                <w:bCs/>
                <w:noProof/>
              </w:rPr>
              <w:t xml:space="preserve"> un līdz brīdim</w:t>
            </w:r>
            <w:r w:rsidR="00E0213A" w:rsidRPr="0086293E">
              <w:rPr>
                <w:bCs/>
                <w:noProof/>
              </w:rPr>
              <w:t>, kamēr tajā atrodas nesadedzināti atkritumi</w:t>
            </w:r>
            <w:r w:rsidR="00E0213A">
              <w:rPr>
                <w:bCs/>
                <w:noProof/>
              </w:rPr>
              <w:t>.”;</w:t>
            </w:r>
          </w:p>
          <w:p w14:paraId="6D928FAA" w14:textId="44E14AF5" w:rsidR="00104398" w:rsidRDefault="00104398" w:rsidP="009A38FD">
            <w:pPr>
              <w:tabs>
                <w:tab w:val="right" w:pos="1418"/>
                <w:tab w:val="left" w:pos="1701"/>
              </w:tabs>
              <w:jc w:val="both"/>
              <w:rPr>
                <w:bCs/>
                <w:noProof/>
              </w:rPr>
            </w:pPr>
            <w:r w:rsidRPr="008B367B">
              <w:rPr>
                <w:b/>
                <w:bCs/>
                <w:noProof/>
                <w:u w:val="single"/>
              </w:rPr>
              <w:t>VARAM viedoklis:</w:t>
            </w:r>
            <w:r>
              <w:rPr>
                <w:bCs/>
                <w:noProof/>
              </w:rPr>
              <w:t xml:space="preserve"> </w:t>
            </w:r>
            <w:r w:rsidR="008B367B">
              <w:rPr>
                <w:bCs/>
                <w:noProof/>
              </w:rPr>
              <w:t xml:space="preserve">Priekšlikums ir ņemts vērā. </w:t>
            </w:r>
          </w:p>
          <w:p w14:paraId="5C11A3E6" w14:textId="77777777" w:rsidR="00492ACD" w:rsidRDefault="00492ACD" w:rsidP="009A38FD">
            <w:pPr>
              <w:tabs>
                <w:tab w:val="right" w:pos="1418"/>
                <w:tab w:val="left" w:pos="1701"/>
              </w:tabs>
              <w:jc w:val="both"/>
              <w:rPr>
                <w:bCs/>
                <w:noProof/>
              </w:rPr>
            </w:pPr>
          </w:p>
          <w:p w14:paraId="414E802F" w14:textId="2934DD50" w:rsidR="00E0213A" w:rsidRDefault="009A38FD" w:rsidP="009A38FD">
            <w:pPr>
              <w:tabs>
                <w:tab w:val="right" w:pos="1418"/>
                <w:tab w:val="left" w:pos="1701"/>
              </w:tabs>
              <w:jc w:val="both"/>
              <w:rPr>
                <w:bCs/>
                <w:noProof/>
              </w:rPr>
            </w:pPr>
            <w:r>
              <w:rPr>
                <w:bCs/>
                <w:noProof/>
              </w:rPr>
              <w:t>10.</w:t>
            </w:r>
            <w:r w:rsidR="00E0213A">
              <w:rPr>
                <w:bCs/>
                <w:noProof/>
              </w:rPr>
              <w:t xml:space="preserve"> Dienests ierosina svītrot noteikumu 18. punktu, jo tas dublē projekta 10. punktā norādīto;</w:t>
            </w:r>
          </w:p>
          <w:p w14:paraId="624600F4" w14:textId="2C288C9D" w:rsidR="009A38FD" w:rsidRDefault="00492ACD" w:rsidP="009A38FD">
            <w:pPr>
              <w:tabs>
                <w:tab w:val="right" w:pos="1418"/>
                <w:tab w:val="left" w:pos="1701"/>
              </w:tabs>
              <w:jc w:val="both"/>
              <w:rPr>
                <w:bCs/>
                <w:noProof/>
              </w:rPr>
            </w:pPr>
            <w:r w:rsidRPr="00492ACD">
              <w:rPr>
                <w:b/>
                <w:bCs/>
                <w:noProof/>
                <w:u w:val="single"/>
              </w:rPr>
              <w:t>VARAM viedoklis:</w:t>
            </w:r>
            <w:r>
              <w:rPr>
                <w:bCs/>
                <w:noProof/>
              </w:rPr>
              <w:t xml:space="preserve"> priekšlikums nav ņemts vērā. MK noteikumu Nr.401 punkts 17.punkts nosaka regulējumu papilddegļiem, kamēr MK noteikumu 18.punkts attiecas uz visa veida degļu darbību. </w:t>
            </w:r>
          </w:p>
          <w:p w14:paraId="19655AF3" w14:textId="77777777" w:rsidR="00104398" w:rsidRDefault="00104398" w:rsidP="009A38FD">
            <w:pPr>
              <w:tabs>
                <w:tab w:val="right" w:pos="1418"/>
                <w:tab w:val="left" w:pos="1701"/>
              </w:tabs>
              <w:jc w:val="both"/>
              <w:rPr>
                <w:bCs/>
                <w:noProof/>
              </w:rPr>
            </w:pPr>
          </w:p>
          <w:p w14:paraId="7C0D8B0A" w14:textId="6C1B182E" w:rsidR="00354ECA" w:rsidRDefault="009A38FD" w:rsidP="009A38FD">
            <w:pPr>
              <w:tabs>
                <w:tab w:val="right" w:pos="1418"/>
                <w:tab w:val="left" w:pos="1701"/>
              </w:tabs>
              <w:jc w:val="both"/>
              <w:rPr>
                <w:bCs/>
                <w:noProof/>
              </w:rPr>
            </w:pPr>
            <w:r>
              <w:rPr>
                <w:bCs/>
                <w:noProof/>
              </w:rPr>
              <w:t xml:space="preserve">11. </w:t>
            </w:r>
            <w:r w:rsidR="00E0213A">
              <w:rPr>
                <w:bCs/>
                <w:noProof/>
              </w:rPr>
              <w:t xml:space="preserve">Dienests iesaka precizēt projekta </w:t>
            </w:r>
            <w:r w:rsidR="00E0213A" w:rsidRPr="007F7FBD">
              <w:rPr>
                <w:bCs/>
                <w:noProof/>
              </w:rPr>
              <w:t xml:space="preserve">22. </w:t>
            </w:r>
            <w:r w:rsidR="00E0213A">
              <w:rPr>
                <w:bCs/>
                <w:noProof/>
              </w:rPr>
              <w:t>punktu šādi: “</w:t>
            </w:r>
            <w:r w:rsidR="00E0213A" w:rsidRPr="007F7FBD">
              <w:rPr>
                <w:bCs/>
                <w:noProof/>
              </w:rPr>
              <w:t>Izteikt 70.</w:t>
            </w:r>
            <w:r w:rsidR="00E0213A">
              <w:rPr>
                <w:bCs/>
                <w:noProof/>
              </w:rPr>
              <w:t xml:space="preserve"> </w:t>
            </w:r>
            <w:r w:rsidR="00E0213A" w:rsidRPr="007F7FBD">
              <w:rPr>
                <w:bCs/>
                <w:noProof/>
              </w:rPr>
              <w:t>punkta pirmo teikumu šādā redakcijā:</w:t>
            </w:r>
            <w:r w:rsidR="00E0213A">
              <w:rPr>
                <w:bCs/>
                <w:noProof/>
              </w:rPr>
              <w:t xml:space="preserve"> “</w:t>
            </w:r>
            <w:r w:rsidR="00E0213A" w:rsidRPr="007F7FBD">
              <w:rPr>
                <w:bCs/>
                <w:noProof/>
              </w:rPr>
              <w:t>Ja iekārtas nominālā jauda (atkritumu sadedzināšanas iekārtas visu jaudu summa atbilstoši iekārtas konstrukcijai saskaņā ar iekārtas ražotāja tehnisko dokumentāciju ir atbilstoša atkritumu siltumietilpībai un daudzumam, ko var sadedzināt stundas laikā) ir vai pārsniedz divas tonna stundā, operators katru gadu iesniedz pārskatu centram</w:t>
            </w:r>
            <w:r w:rsidR="00E0213A">
              <w:rPr>
                <w:bCs/>
                <w:noProof/>
              </w:rPr>
              <w:t>.”.</w:t>
            </w:r>
          </w:p>
          <w:p w14:paraId="2785BF85" w14:textId="705BBA35" w:rsidR="00E0213A" w:rsidRPr="00E0213A" w:rsidRDefault="00E0213A" w:rsidP="00E0213A">
            <w:pPr>
              <w:tabs>
                <w:tab w:val="right" w:pos="1418"/>
                <w:tab w:val="left" w:pos="1701"/>
              </w:tabs>
              <w:jc w:val="both"/>
              <w:rPr>
                <w:bCs/>
                <w:noProof/>
              </w:rPr>
            </w:pPr>
            <w:r w:rsidRPr="00E0213A">
              <w:rPr>
                <w:b/>
                <w:bCs/>
                <w:noProof/>
                <w:u w:val="single"/>
              </w:rPr>
              <w:t>VARAM viedoklis:</w:t>
            </w:r>
            <w:r>
              <w:rPr>
                <w:bCs/>
                <w:noProof/>
              </w:rPr>
              <w:t xml:space="preserve"> priekšlikums ir ņemts vērā.</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666B62F5" w:rsidR="00D274B8" w:rsidRPr="00FB41DC" w:rsidRDefault="00D274B8" w:rsidP="00B227DD">
            <w:pPr>
              <w:pStyle w:val="naiskr"/>
              <w:spacing w:before="0" w:after="0"/>
              <w:ind w:left="57" w:right="57"/>
              <w:rPr>
                <w:bCs/>
              </w:rPr>
            </w:pPr>
            <w:r>
              <w:rPr>
                <w:bCs/>
              </w:rPr>
              <w:lastRenderedPageBreak/>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716936AB" w:rsidR="00D274B8" w:rsidRPr="00563D3C" w:rsidRDefault="00196710" w:rsidP="007F526C">
            <w:pPr>
              <w:pStyle w:val="naisc"/>
              <w:spacing w:before="0" w:after="0"/>
              <w:jc w:val="both"/>
            </w:pPr>
            <w:r>
              <w:t>V</w:t>
            </w:r>
            <w:r w:rsidR="000F02E7">
              <w:t>ides aizsardzības un reģionālās attīstības ministrija</w:t>
            </w:r>
            <w:r w:rsidR="00D274B8" w:rsidRPr="00563D3C">
              <w:t>,</w:t>
            </w:r>
            <w:r w:rsidR="007F526C">
              <w:t xml:space="preserve"> Valsts vides dienests</w:t>
            </w:r>
            <w:r w:rsidR="00D274B8" w:rsidRPr="00563D3C">
              <w:t>.</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4017CEE9" w:rsidR="00AC392E" w:rsidRPr="00FB41DC" w:rsidRDefault="00AC392E" w:rsidP="00AC392E">
            <w:pPr>
              <w:pStyle w:val="naisf"/>
              <w:spacing w:before="0" w:after="0"/>
              <w:ind w:right="57" w:firstLine="0"/>
              <w:jc w:val="left"/>
            </w:pPr>
            <w:r>
              <w:t>Projekta izpildes ietekme uz pārvaldes funkcijām un institucionālo struktūru.</w:t>
            </w:r>
            <w:r>
              <w:br/>
            </w:r>
            <w:r>
              <w:lastRenderedPageBreak/>
              <w:t>Jaunu institūciju izveide, esošu institūciju likvidācija vai reorganizācija, to ietekme uz institūcijas cilvēkresursiem</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lastRenderedPageBreak/>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lastRenderedPageBreak/>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3F622E34" w:rsidR="00D274B8" w:rsidRDefault="00D274B8" w:rsidP="00D274B8">
      <w:r>
        <w:t>reģionālās attīstības ministrs</w:t>
      </w:r>
      <w:r>
        <w:tab/>
      </w:r>
      <w:r>
        <w:tab/>
      </w:r>
      <w:r>
        <w:tab/>
      </w:r>
      <w:r>
        <w:tab/>
      </w:r>
      <w:r>
        <w:tab/>
      </w:r>
      <w:r w:rsidR="00926F65">
        <w:t>Juris Pūce</w:t>
      </w:r>
    </w:p>
    <w:p w14:paraId="785C5BCA" w14:textId="77777777" w:rsidR="00D274B8" w:rsidRDefault="00D274B8" w:rsidP="00D274B8"/>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30DC72D" w14:textId="363E0931" w:rsidR="00D274B8" w:rsidRPr="00563D3C" w:rsidRDefault="0047034E" w:rsidP="00D274B8">
      <w:pPr>
        <w:rPr>
          <w:sz w:val="20"/>
          <w:szCs w:val="20"/>
        </w:rPr>
      </w:pPr>
      <w:hyperlink r:id="rId9" w:history="1">
        <w:r w:rsidR="000F02E7">
          <w:rPr>
            <w:rStyle w:val="Hyperlink"/>
            <w:sz w:val="20"/>
            <w:szCs w:val="20"/>
          </w:rPr>
          <w:t>I</w:t>
        </w:r>
        <w:r w:rsidR="00D274B8" w:rsidRPr="00055928">
          <w:rPr>
            <w:rStyle w:val="Hyperlink"/>
            <w:sz w:val="20"/>
            <w:szCs w:val="20"/>
          </w:rPr>
          <w:t>lze.</w:t>
        </w:r>
        <w:r w:rsidR="000F02E7">
          <w:rPr>
            <w:rStyle w:val="Hyperlink"/>
            <w:sz w:val="20"/>
            <w:szCs w:val="20"/>
          </w:rPr>
          <w:t>D</w:t>
        </w:r>
        <w:r w:rsidR="00D274B8" w:rsidRPr="00055928">
          <w:rPr>
            <w:rStyle w:val="Hyperlink"/>
            <w:sz w:val="20"/>
            <w:szCs w:val="20"/>
          </w:rPr>
          <w:t>onina@varam.gov.lv</w:t>
        </w:r>
      </w:hyperlink>
    </w:p>
    <w:p w14:paraId="229EF6E5" w14:textId="77777777" w:rsidR="000D6C3A" w:rsidRDefault="000D6C3A"/>
    <w:sectPr w:rsidR="000D6C3A"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E9D9" w14:textId="77777777" w:rsidR="0047034E" w:rsidRDefault="0047034E" w:rsidP="00EF735B">
      <w:r>
        <w:separator/>
      </w:r>
    </w:p>
  </w:endnote>
  <w:endnote w:type="continuationSeparator" w:id="0">
    <w:p w14:paraId="3519469B" w14:textId="77777777" w:rsidR="0047034E" w:rsidRDefault="0047034E" w:rsidP="00EF735B">
      <w:r>
        <w:continuationSeparator/>
      </w:r>
    </w:p>
  </w:endnote>
  <w:endnote w:type="continuationNotice" w:id="1">
    <w:p w14:paraId="64166FB6" w14:textId="77777777" w:rsidR="0047034E" w:rsidRDefault="00470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559BD" w14:textId="48E37FFF" w:rsidR="00980521" w:rsidRPr="003C4EBC" w:rsidRDefault="00980521" w:rsidP="003175F9">
    <w:pPr>
      <w:jc w:val="both"/>
    </w:pPr>
    <w:r w:rsidRPr="002F2520">
      <w:rPr>
        <w:sz w:val="20"/>
        <w:szCs w:val="20"/>
      </w:rPr>
      <w:t>VARAMAnot_</w:t>
    </w:r>
    <w:r w:rsidR="0074255A">
      <w:rPr>
        <w:sz w:val="20"/>
        <w:szCs w:val="20"/>
      </w:rPr>
      <w:t>08</w:t>
    </w:r>
    <w:r w:rsidR="006241FF">
      <w:rPr>
        <w:sz w:val="20"/>
        <w:szCs w:val="20"/>
      </w:rPr>
      <w:t>0920_groz401</w:t>
    </w:r>
  </w:p>
  <w:p w14:paraId="73CB76B8" w14:textId="77777777" w:rsidR="00980521" w:rsidRPr="00DA6AC0" w:rsidRDefault="00980521"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461AD9E3" w:rsidR="00980521" w:rsidRPr="003C4EBC" w:rsidRDefault="00980521" w:rsidP="00B227DD">
    <w:pPr>
      <w:jc w:val="both"/>
    </w:pPr>
    <w:r w:rsidRPr="002F2520">
      <w:rPr>
        <w:sz w:val="20"/>
        <w:szCs w:val="20"/>
      </w:rPr>
      <w:t>VARAMAnot_</w:t>
    </w:r>
    <w:r w:rsidR="0074255A">
      <w:rPr>
        <w:sz w:val="20"/>
        <w:szCs w:val="20"/>
      </w:rPr>
      <w:t>08</w:t>
    </w:r>
    <w:r w:rsidR="006241FF">
      <w:rPr>
        <w:sz w:val="20"/>
        <w:szCs w:val="20"/>
      </w:rPr>
      <w:t>0920_groz401</w:t>
    </w:r>
  </w:p>
  <w:p w14:paraId="2DD658B0" w14:textId="77777777" w:rsidR="00980521" w:rsidRPr="0091577B" w:rsidRDefault="00980521" w:rsidP="00B227DD">
    <w:pPr>
      <w:pStyle w:val="Title"/>
      <w:jc w:val="both"/>
      <w:rPr>
        <w:b w:val="0"/>
        <w:bCs w:val="0"/>
      </w:rPr>
    </w:pPr>
  </w:p>
  <w:p w14:paraId="13151A8D" w14:textId="77777777" w:rsidR="00980521" w:rsidRPr="00503A61" w:rsidRDefault="00980521"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3C62" w14:textId="77777777" w:rsidR="0047034E" w:rsidRDefault="0047034E" w:rsidP="00EF735B">
      <w:r>
        <w:separator/>
      </w:r>
    </w:p>
  </w:footnote>
  <w:footnote w:type="continuationSeparator" w:id="0">
    <w:p w14:paraId="484082ED" w14:textId="77777777" w:rsidR="0047034E" w:rsidRDefault="0047034E" w:rsidP="00EF735B">
      <w:r>
        <w:continuationSeparator/>
      </w:r>
    </w:p>
  </w:footnote>
  <w:footnote w:type="continuationNotice" w:id="1">
    <w:p w14:paraId="028F7F98" w14:textId="77777777" w:rsidR="0047034E" w:rsidRDefault="0047034E"/>
  </w:footnote>
  <w:footnote w:id="2">
    <w:p w14:paraId="29655926" w14:textId="77777777" w:rsidR="00B6531A" w:rsidRDefault="00B6531A" w:rsidP="00BD3CB7">
      <w:pPr>
        <w:pStyle w:val="FootnoteText"/>
      </w:pPr>
      <w:r>
        <w:rPr>
          <w:rStyle w:val="FootnoteReference"/>
        </w:rPr>
        <w:footnoteRef/>
      </w:r>
      <w:r>
        <w:t xml:space="preserve"> </w:t>
      </w:r>
      <w:hyperlink r:id="rId1" w:history="1">
        <w:r w:rsidRPr="00171AA9">
          <w:rPr>
            <w:rStyle w:val="Hyperlink"/>
          </w:rPr>
          <w:t>http://titania.saeima.lv/LIVS11/SaeimaLIVS11.nsf/0/159521E4B11B3C12C2257AC5002BCB6B?OpenDocument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874A56F" w:rsidR="00980521" w:rsidRDefault="0098052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8B367B">
      <w:rPr>
        <w:rStyle w:val="PageNumber"/>
        <w:noProof/>
      </w:rPr>
      <w:t>9</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141"/>
    <w:multiLevelType w:val="hybridMultilevel"/>
    <w:tmpl w:val="0BEA6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27DEC"/>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020"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2" w15:restartNumberingAfterBreak="0">
    <w:nsid w:val="19383E18"/>
    <w:multiLevelType w:val="hybridMultilevel"/>
    <w:tmpl w:val="4156154C"/>
    <w:lvl w:ilvl="0" w:tplc="8252152A">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45376A"/>
    <w:multiLevelType w:val="hybridMultilevel"/>
    <w:tmpl w:val="62CE10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C77F40"/>
    <w:multiLevelType w:val="hybridMultilevel"/>
    <w:tmpl w:val="C04CD9F8"/>
    <w:lvl w:ilvl="0" w:tplc="F5822FF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4FCE4E3F"/>
    <w:multiLevelType w:val="hybridMultilevel"/>
    <w:tmpl w:val="1356390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F96609"/>
    <w:multiLevelType w:val="hybridMultilevel"/>
    <w:tmpl w:val="88EEA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A5625B"/>
    <w:multiLevelType w:val="multilevel"/>
    <w:tmpl w:val="0184806A"/>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i w:val="0"/>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13" w15:restartNumberingAfterBreak="0">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10"/>
  </w:num>
  <w:num w:numId="2">
    <w:abstractNumId w:val="9"/>
  </w:num>
  <w:num w:numId="3">
    <w:abstractNumId w:val="6"/>
  </w:num>
  <w:num w:numId="4">
    <w:abstractNumId w:val="7"/>
  </w:num>
  <w:num w:numId="5">
    <w:abstractNumId w:val="2"/>
  </w:num>
  <w:num w:numId="6">
    <w:abstractNumId w:val="12"/>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0264A"/>
    <w:rsid w:val="00006B9C"/>
    <w:rsid w:val="00020154"/>
    <w:rsid w:val="00033540"/>
    <w:rsid w:val="00034BE2"/>
    <w:rsid w:val="0004464E"/>
    <w:rsid w:val="00045E59"/>
    <w:rsid w:val="00046202"/>
    <w:rsid w:val="00051119"/>
    <w:rsid w:val="00052EF6"/>
    <w:rsid w:val="00054B9B"/>
    <w:rsid w:val="00074F55"/>
    <w:rsid w:val="000820CF"/>
    <w:rsid w:val="00091406"/>
    <w:rsid w:val="00091748"/>
    <w:rsid w:val="0009233F"/>
    <w:rsid w:val="00094354"/>
    <w:rsid w:val="000C673D"/>
    <w:rsid w:val="000D424E"/>
    <w:rsid w:val="000D6C3A"/>
    <w:rsid w:val="000E4A56"/>
    <w:rsid w:val="000F02E7"/>
    <w:rsid w:val="000F0A45"/>
    <w:rsid w:val="00104398"/>
    <w:rsid w:val="001308B3"/>
    <w:rsid w:val="001346E0"/>
    <w:rsid w:val="001635E6"/>
    <w:rsid w:val="001818CD"/>
    <w:rsid w:val="00192170"/>
    <w:rsid w:val="00196710"/>
    <w:rsid w:val="001B0354"/>
    <w:rsid w:val="001E3FC4"/>
    <w:rsid w:val="001E5278"/>
    <w:rsid w:val="001E782A"/>
    <w:rsid w:val="001F4652"/>
    <w:rsid w:val="001F60AD"/>
    <w:rsid w:val="00220954"/>
    <w:rsid w:val="00221A00"/>
    <w:rsid w:val="002244C6"/>
    <w:rsid w:val="002414D6"/>
    <w:rsid w:val="00280DEC"/>
    <w:rsid w:val="002822E0"/>
    <w:rsid w:val="0028273A"/>
    <w:rsid w:val="00286115"/>
    <w:rsid w:val="002966AD"/>
    <w:rsid w:val="002A5F38"/>
    <w:rsid w:val="002B2FF1"/>
    <w:rsid w:val="002C0145"/>
    <w:rsid w:val="002C78B5"/>
    <w:rsid w:val="002F3F53"/>
    <w:rsid w:val="003056A4"/>
    <w:rsid w:val="003068CC"/>
    <w:rsid w:val="00315242"/>
    <w:rsid w:val="003175F9"/>
    <w:rsid w:val="00323FC6"/>
    <w:rsid w:val="00325461"/>
    <w:rsid w:val="003255DA"/>
    <w:rsid w:val="00352CFB"/>
    <w:rsid w:val="00354ECA"/>
    <w:rsid w:val="00361126"/>
    <w:rsid w:val="00364CB1"/>
    <w:rsid w:val="003663E8"/>
    <w:rsid w:val="00366FBF"/>
    <w:rsid w:val="003856F6"/>
    <w:rsid w:val="00387BF8"/>
    <w:rsid w:val="003925B8"/>
    <w:rsid w:val="003D2006"/>
    <w:rsid w:val="003E3E2D"/>
    <w:rsid w:val="003F34FA"/>
    <w:rsid w:val="00400094"/>
    <w:rsid w:val="00405D88"/>
    <w:rsid w:val="0041258C"/>
    <w:rsid w:val="004126D2"/>
    <w:rsid w:val="004245AA"/>
    <w:rsid w:val="00440130"/>
    <w:rsid w:val="00442785"/>
    <w:rsid w:val="00444376"/>
    <w:rsid w:val="00447C76"/>
    <w:rsid w:val="004560FC"/>
    <w:rsid w:val="0045691C"/>
    <w:rsid w:val="004579A2"/>
    <w:rsid w:val="0046420D"/>
    <w:rsid w:val="0047034E"/>
    <w:rsid w:val="00474F69"/>
    <w:rsid w:val="00491ED9"/>
    <w:rsid w:val="00492ACD"/>
    <w:rsid w:val="004A3701"/>
    <w:rsid w:val="004A7BAF"/>
    <w:rsid w:val="004A7BC6"/>
    <w:rsid w:val="004B0327"/>
    <w:rsid w:val="004B6329"/>
    <w:rsid w:val="004B665C"/>
    <w:rsid w:val="004D31AE"/>
    <w:rsid w:val="004D5BB1"/>
    <w:rsid w:val="004D6748"/>
    <w:rsid w:val="004E34EC"/>
    <w:rsid w:val="004F25DB"/>
    <w:rsid w:val="005036E2"/>
    <w:rsid w:val="00504560"/>
    <w:rsid w:val="00517020"/>
    <w:rsid w:val="005207DE"/>
    <w:rsid w:val="005313C5"/>
    <w:rsid w:val="00531B92"/>
    <w:rsid w:val="005325B8"/>
    <w:rsid w:val="0053435D"/>
    <w:rsid w:val="00537A75"/>
    <w:rsid w:val="00577B9F"/>
    <w:rsid w:val="005A0D40"/>
    <w:rsid w:val="005A44F7"/>
    <w:rsid w:val="005E71C4"/>
    <w:rsid w:val="00610796"/>
    <w:rsid w:val="00616F0A"/>
    <w:rsid w:val="006231D5"/>
    <w:rsid w:val="006241FF"/>
    <w:rsid w:val="0062550E"/>
    <w:rsid w:val="0062609D"/>
    <w:rsid w:val="0064594B"/>
    <w:rsid w:val="00646324"/>
    <w:rsid w:val="00646F3E"/>
    <w:rsid w:val="006634D5"/>
    <w:rsid w:val="006671E0"/>
    <w:rsid w:val="00667E8D"/>
    <w:rsid w:val="00670130"/>
    <w:rsid w:val="0067573B"/>
    <w:rsid w:val="00676472"/>
    <w:rsid w:val="00682594"/>
    <w:rsid w:val="00691973"/>
    <w:rsid w:val="00691EF4"/>
    <w:rsid w:val="006A011D"/>
    <w:rsid w:val="006A04DA"/>
    <w:rsid w:val="006A1B91"/>
    <w:rsid w:val="006C4750"/>
    <w:rsid w:val="006D0CE2"/>
    <w:rsid w:val="006D3ABB"/>
    <w:rsid w:val="006D49B4"/>
    <w:rsid w:val="006D5F36"/>
    <w:rsid w:val="006D6047"/>
    <w:rsid w:val="006E745E"/>
    <w:rsid w:val="006F528D"/>
    <w:rsid w:val="00715F69"/>
    <w:rsid w:val="00722D4B"/>
    <w:rsid w:val="0074255A"/>
    <w:rsid w:val="00743586"/>
    <w:rsid w:val="00764146"/>
    <w:rsid w:val="00767293"/>
    <w:rsid w:val="00770BB4"/>
    <w:rsid w:val="0077346B"/>
    <w:rsid w:val="00774D45"/>
    <w:rsid w:val="00777210"/>
    <w:rsid w:val="00780124"/>
    <w:rsid w:val="00787FC6"/>
    <w:rsid w:val="00795006"/>
    <w:rsid w:val="007A00DE"/>
    <w:rsid w:val="007A5FE3"/>
    <w:rsid w:val="007A7DC2"/>
    <w:rsid w:val="007B6CB1"/>
    <w:rsid w:val="007C3EAF"/>
    <w:rsid w:val="007D1DA3"/>
    <w:rsid w:val="007E6360"/>
    <w:rsid w:val="007E7429"/>
    <w:rsid w:val="007F4BB3"/>
    <w:rsid w:val="007F526C"/>
    <w:rsid w:val="00802827"/>
    <w:rsid w:val="008141BE"/>
    <w:rsid w:val="00815AC3"/>
    <w:rsid w:val="008168F4"/>
    <w:rsid w:val="00823058"/>
    <w:rsid w:val="00826F4B"/>
    <w:rsid w:val="00831A3A"/>
    <w:rsid w:val="008343C6"/>
    <w:rsid w:val="00835504"/>
    <w:rsid w:val="00883FFD"/>
    <w:rsid w:val="0088608A"/>
    <w:rsid w:val="008944DF"/>
    <w:rsid w:val="00897274"/>
    <w:rsid w:val="008A0AF2"/>
    <w:rsid w:val="008A7E24"/>
    <w:rsid w:val="008B367B"/>
    <w:rsid w:val="008D7474"/>
    <w:rsid w:val="008F60BC"/>
    <w:rsid w:val="008F6C3D"/>
    <w:rsid w:val="0090479B"/>
    <w:rsid w:val="00913D66"/>
    <w:rsid w:val="00926F65"/>
    <w:rsid w:val="00940FD3"/>
    <w:rsid w:val="009533B2"/>
    <w:rsid w:val="00957277"/>
    <w:rsid w:val="00957711"/>
    <w:rsid w:val="0097164D"/>
    <w:rsid w:val="00976207"/>
    <w:rsid w:val="00980521"/>
    <w:rsid w:val="00981027"/>
    <w:rsid w:val="00983832"/>
    <w:rsid w:val="009855C9"/>
    <w:rsid w:val="009A38FD"/>
    <w:rsid w:val="009B2422"/>
    <w:rsid w:val="009B585D"/>
    <w:rsid w:val="009C4E9A"/>
    <w:rsid w:val="009C6C28"/>
    <w:rsid w:val="009D41CF"/>
    <w:rsid w:val="009E09F8"/>
    <w:rsid w:val="009E3289"/>
    <w:rsid w:val="009F26CF"/>
    <w:rsid w:val="009F4CBC"/>
    <w:rsid w:val="009F6441"/>
    <w:rsid w:val="009F7FC8"/>
    <w:rsid w:val="00A0110F"/>
    <w:rsid w:val="00A0584C"/>
    <w:rsid w:val="00A31E9A"/>
    <w:rsid w:val="00A37214"/>
    <w:rsid w:val="00A377BF"/>
    <w:rsid w:val="00A61B13"/>
    <w:rsid w:val="00A71F90"/>
    <w:rsid w:val="00A814B5"/>
    <w:rsid w:val="00A86764"/>
    <w:rsid w:val="00A97DDD"/>
    <w:rsid w:val="00AA07F0"/>
    <w:rsid w:val="00AA096B"/>
    <w:rsid w:val="00AC392E"/>
    <w:rsid w:val="00AC7CED"/>
    <w:rsid w:val="00AD3131"/>
    <w:rsid w:val="00AD5A43"/>
    <w:rsid w:val="00AE6B54"/>
    <w:rsid w:val="00AF7BD7"/>
    <w:rsid w:val="00B014EF"/>
    <w:rsid w:val="00B227DD"/>
    <w:rsid w:val="00B25CDE"/>
    <w:rsid w:val="00B27E79"/>
    <w:rsid w:val="00B3288C"/>
    <w:rsid w:val="00B51C4A"/>
    <w:rsid w:val="00B53536"/>
    <w:rsid w:val="00B6531A"/>
    <w:rsid w:val="00B82EED"/>
    <w:rsid w:val="00B94610"/>
    <w:rsid w:val="00BA2F11"/>
    <w:rsid w:val="00BB358F"/>
    <w:rsid w:val="00BB436E"/>
    <w:rsid w:val="00BB6911"/>
    <w:rsid w:val="00BD148F"/>
    <w:rsid w:val="00BD379B"/>
    <w:rsid w:val="00BD3CB7"/>
    <w:rsid w:val="00BD4738"/>
    <w:rsid w:val="00BF3728"/>
    <w:rsid w:val="00C16EF8"/>
    <w:rsid w:val="00C25854"/>
    <w:rsid w:val="00C4444C"/>
    <w:rsid w:val="00C65024"/>
    <w:rsid w:val="00C76D9A"/>
    <w:rsid w:val="00C973BC"/>
    <w:rsid w:val="00CA6E33"/>
    <w:rsid w:val="00CD148D"/>
    <w:rsid w:val="00CD4423"/>
    <w:rsid w:val="00D03FEC"/>
    <w:rsid w:val="00D062F9"/>
    <w:rsid w:val="00D12C60"/>
    <w:rsid w:val="00D274B8"/>
    <w:rsid w:val="00D44E12"/>
    <w:rsid w:val="00D4582B"/>
    <w:rsid w:val="00D50F9B"/>
    <w:rsid w:val="00D51B01"/>
    <w:rsid w:val="00D5234F"/>
    <w:rsid w:val="00D543B2"/>
    <w:rsid w:val="00D554C3"/>
    <w:rsid w:val="00D76DB4"/>
    <w:rsid w:val="00D83996"/>
    <w:rsid w:val="00D86A14"/>
    <w:rsid w:val="00D90254"/>
    <w:rsid w:val="00D910DD"/>
    <w:rsid w:val="00D96A39"/>
    <w:rsid w:val="00D97720"/>
    <w:rsid w:val="00DB4CB2"/>
    <w:rsid w:val="00DC48BF"/>
    <w:rsid w:val="00DC742E"/>
    <w:rsid w:val="00DD34CD"/>
    <w:rsid w:val="00DF6FCD"/>
    <w:rsid w:val="00E0213A"/>
    <w:rsid w:val="00E046FC"/>
    <w:rsid w:val="00E109B2"/>
    <w:rsid w:val="00E40CFD"/>
    <w:rsid w:val="00E51158"/>
    <w:rsid w:val="00E51473"/>
    <w:rsid w:val="00E86596"/>
    <w:rsid w:val="00E971B3"/>
    <w:rsid w:val="00EA67D7"/>
    <w:rsid w:val="00EB1386"/>
    <w:rsid w:val="00EB3DC8"/>
    <w:rsid w:val="00EB70A9"/>
    <w:rsid w:val="00EC09B1"/>
    <w:rsid w:val="00EC6677"/>
    <w:rsid w:val="00EE56D9"/>
    <w:rsid w:val="00EF6C5D"/>
    <w:rsid w:val="00EF735B"/>
    <w:rsid w:val="00F01DE0"/>
    <w:rsid w:val="00F13ABF"/>
    <w:rsid w:val="00F13F2F"/>
    <w:rsid w:val="00F1514C"/>
    <w:rsid w:val="00F161B3"/>
    <w:rsid w:val="00F4478B"/>
    <w:rsid w:val="00F50F1E"/>
    <w:rsid w:val="00F55792"/>
    <w:rsid w:val="00F61A5C"/>
    <w:rsid w:val="00F72528"/>
    <w:rsid w:val="00F76D38"/>
    <w:rsid w:val="00F80A9F"/>
    <w:rsid w:val="00F85041"/>
    <w:rsid w:val="00F90460"/>
    <w:rsid w:val="00F93C2F"/>
    <w:rsid w:val="00F943BF"/>
    <w:rsid w:val="00FA2BD4"/>
    <w:rsid w:val="00FD1B09"/>
    <w:rsid w:val="00FE3C72"/>
    <w:rsid w:val="00FE5783"/>
    <w:rsid w:val="00FF72C6"/>
    <w:rsid w:val="00FF7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475269018">
      <w:bodyDiv w:val="1"/>
      <w:marLeft w:val="0"/>
      <w:marRight w:val="0"/>
      <w:marTop w:val="0"/>
      <w:marBottom w:val="0"/>
      <w:divBdr>
        <w:top w:val="none" w:sz="0" w:space="0" w:color="auto"/>
        <w:left w:val="none" w:sz="0" w:space="0" w:color="auto"/>
        <w:bottom w:val="none" w:sz="0" w:space="0" w:color="auto"/>
        <w:right w:val="none" w:sz="0" w:space="0" w:color="auto"/>
      </w:divBdr>
    </w:div>
    <w:div w:id="1165127629">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530297988">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1847860762">
      <w:bodyDiv w:val="1"/>
      <w:marLeft w:val="0"/>
      <w:marRight w:val="0"/>
      <w:marTop w:val="0"/>
      <w:marBottom w:val="0"/>
      <w:divBdr>
        <w:top w:val="none" w:sz="0" w:space="0" w:color="auto"/>
        <w:left w:val="none" w:sz="0" w:space="0" w:color="auto"/>
        <w:bottom w:val="none" w:sz="0" w:space="0" w:color="auto"/>
        <w:right w:val="none" w:sz="0" w:space="0" w:color="auto"/>
      </w:divBdr>
    </w:div>
    <w:div w:id="1897661581">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159521E4B11B3C12C2257AC5002BCB6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3849-F48D-46DC-8602-61B871FC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12464</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 proj. „Grozījumi MK 2011. gada 21. jūnija noteikumos Nr. 485 “Atsevišķu veidu bīstamo atkritumu apsaimniekošanas kārtība”” anotācija</vt:lpstr>
    </vt:vector>
  </TitlesOfParts>
  <Company>VARAM</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 „Grozījumi MK 2011. gada 21. jūnija noteikumos Nr. 485 “Atsevišķu veidu bīstamo atkritumu apsaimniekošanas kārtība”” anotācija</dc:title>
  <dc:subject>Anotācija</dc:subject>
  <dc:creator>Ilze Doniņa</dc:creator>
  <cp:keywords/>
  <dc:description>67026515, ilze.donina@varam.gov.lv</dc:description>
  <cp:lastModifiedBy>Ilze Doniņa</cp:lastModifiedBy>
  <cp:revision>2</cp:revision>
  <cp:lastPrinted>2020-09-08T12:48:00Z</cp:lastPrinted>
  <dcterms:created xsi:type="dcterms:W3CDTF">2020-10-12T08:48:00Z</dcterms:created>
  <dcterms:modified xsi:type="dcterms:W3CDTF">2020-10-12T08:48:00Z</dcterms:modified>
</cp:coreProperties>
</file>