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C782" w14:textId="77777777" w:rsidR="008E31FE" w:rsidRPr="00193837" w:rsidRDefault="008E31FE" w:rsidP="004E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OLE_LINK2"/>
      <w:bookmarkStart w:id="1" w:name="OLE_LINK11"/>
      <w:bookmarkStart w:id="2" w:name="OLE_LINK12"/>
      <w:bookmarkStart w:id="3" w:name="OLE_LINK1"/>
      <w:r w:rsidRPr="001938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Ministru kabineta rīkojuma projekta </w:t>
      </w:r>
    </w:p>
    <w:p w14:paraId="0ADCB234" w14:textId="7CCD2DE9" w:rsidR="008E31FE" w:rsidRPr="00D9777C" w:rsidRDefault="00B8281B" w:rsidP="004E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8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“Grozījums Ministru kabineta 2020. gada 12. jūnija rīkojumā Nr. 316 “Par finanšu līdzekļu piešķiršanu no valsts budžeta programmas “Līdzekļi neparedzētiem gadījumiem”””</w:t>
      </w:r>
      <w:r w:rsidRPr="00B828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End w:id="0"/>
      <w:r w:rsidR="008E31FE" w:rsidRPr="00D9777C">
        <w:rPr>
          <w:rFonts w:ascii="Times New Roman" w:eastAsia="Times New Roman" w:hAnsi="Times New Roman" w:cs="Times New Roman"/>
          <w:b/>
          <w:sz w:val="28"/>
          <w:szCs w:val="28"/>
        </w:rPr>
        <w:t xml:space="preserve">sākotnējās ietekmes novērtējuma </w:t>
      </w:r>
    </w:p>
    <w:p w14:paraId="559A2649" w14:textId="7A3A64A3" w:rsidR="005118A7" w:rsidRPr="00193837" w:rsidRDefault="008E31FE" w:rsidP="00193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837">
        <w:rPr>
          <w:rFonts w:ascii="Times New Roman" w:eastAsia="Times New Roman" w:hAnsi="Times New Roman" w:cs="Times New Roman"/>
          <w:b/>
          <w:sz w:val="28"/>
          <w:szCs w:val="28"/>
        </w:rPr>
        <w:t>ziņojums (anotācija)</w:t>
      </w:r>
    </w:p>
    <w:bookmarkEnd w:id="1"/>
    <w:bookmarkEnd w:id="2"/>
    <w:bookmarkEnd w:id="3"/>
    <w:p w14:paraId="03B8F09B" w14:textId="77777777" w:rsidR="00385FF0" w:rsidRPr="00193837" w:rsidRDefault="00385FF0">
      <w:pPr>
        <w:pStyle w:val="Paraststmeklis"/>
        <w:spacing w:before="0" w:beforeAutospacing="0" w:after="0" w:afterAutospacing="0"/>
        <w:rPr>
          <w:bCs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3113"/>
        <w:gridCol w:w="5948"/>
      </w:tblGrid>
      <w:tr w:rsidR="00193837" w:rsidRPr="00193837" w14:paraId="51ADBAFC" w14:textId="77777777" w:rsidTr="008E31FE">
        <w:tc>
          <w:tcPr>
            <w:tcW w:w="0" w:type="auto"/>
            <w:gridSpan w:val="2"/>
            <w:hideMark/>
          </w:tcPr>
          <w:p w14:paraId="68F31D08" w14:textId="77777777" w:rsidR="00655F2C" w:rsidRPr="00193837" w:rsidRDefault="00E53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38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193837" w:rsidRPr="00193837" w14:paraId="5323151B" w14:textId="77777777" w:rsidTr="00F028D5">
        <w:tc>
          <w:tcPr>
            <w:tcW w:w="1718" w:type="pct"/>
            <w:hideMark/>
          </w:tcPr>
          <w:p w14:paraId="10EB31C9" w14:textId="77777777" w:rsidR="00E5323B" w:rsidRPr="00193837" w:rsidRDefault="00E5323B" w:rsidP="004E4D2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193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3282" w:type="pct"/>
            <w:hideMark/>
          </w:tcPr>
          <w:p w14:paraId="29E1B680" w14:textId="7C2F74B5" w:rsidR="00C8501D" w:rsidRPr="00193837" w:rsidRDefault="00EF32B1" w:rsidP="00AC6BDC">
            <w:pPr>
              <w:ind w:firstLine="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03ED8707" w14:textId="77777777" w:rsidR="00E5323B" w:rsidRPr="00193837" w:rsidRDefault="00E5323B" w:rsidP="004E4D2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431"/>
        <w:gridCol w:w="2458"/>
        <w:gridCol w:w="6172"/>
      </w:tblGrid>
      <w:tr w:rsidR="00193837" w:rsidRPr="00193837" w14:paraId="22F5E4AA" w14:textId="77777777" w:rsidTr="008E31FE">
        <w:tc>
          <w:tcPr>
            <w:tcW w:w="0" w:type="auto"/>
            <w:gridSpan w:val="3"/>
            <w:hideMark/>
          </w:tcPr>
          <w:p w14:paraId="4A61BF54" w14:textId="77777777" w:rsidR="00655F2C" w:rsidRPr="00193837" w:rsidRDefault="00E5323B" w:rsidP="00193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38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93837" w:rsidRPr="00193837" w14:paraId="2F11CF3B" w14:textId="77777777" w:rsidTr="003B338B">
        <w:tc>
          <w:tcPr>
            <w:tcW w:w="300" w:type="pct"/>
            <w:hideMark/>
          </w:tcPr>
          <w:p w14:paraId="4E521DDB" w14:textId="77777777" w:rsidR="00655F2C" w:rsidRPr="00193837" w:rsidRDefault="00E5323B" w:rsidP="004E4D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3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18" w:type="pct"/>
            <w:hideMark/>
          </w:tcPr>
          <w:p w14:paraId="3F503B11" w14:textId="77777777" w:rsidR="00E5323B" w:rsidRPr="00193837" w:rsidRDefault="00E5323B" w:rsidP="001938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3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82" w:type="pct"/>
            <w:hideMark/>
          </w:tcPr>
          <w:p w14:paraId="03F6D338" w14:textId="1F1DCE7D" w:rsidR="00C8501D" w:rsidRPr="00193837" w:rsidRDefault="00DE1CB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3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Zemkopības ministrijas </w:t>
            </w:r>
            <w:r w:rsidR="00B756AA" w:rsidRPr="00193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iniciatīva</w:t>
            </w:r>
          </w:p>
        </w:tc>
      </w:tr>
      <w:tr w:rsidR="00193837" w:rsidRPr="00193837" w14:paraId="0521EFAA" w14:textId="77777777" w:rsidTr="003B338B">
        <w:tc>
          <w:tcPr>
            <w:tcW w:w="300" w:type="pct"/>
            <w:hideMark/>
          </w:tcPr>
          <w:p w14:paraId="5947D3A3" w14:textId="77777777" w:rsidR="009D02CA" w:rsidRPr="00193837" w:rsidRDefault="009D02CA" w:rsidP="004E4D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3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18" w:type="pct"/>
            <w:hideMark/>
          </w:tcPr>
          <w:p w14:paraId="6D9DDCE3" w14:textId="77777777" w:rsidR="009D02CA" w:rsidRDefault="009D02CA" w:rsidP="001938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3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15569D7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0FA614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E29155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472B6D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B9C540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99A0DA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D96E1C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843AD4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72A1A8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F02EF5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F1C008B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A207E1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E00A5F0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904157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51DD41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EF5CFA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B7D3A7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E23CB06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DF2781" w14:textId="77777777" w:rsidR="00EB00B7" w:rsidRDefault="00EB00B7" w:rsidP="00EB00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8A890E5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36CD63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9CD81F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F7E83C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39CC70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E143613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74F31F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2C1D5B" w14:textId="77777777" w:rsidR="00EB00B7" w:rsidRDefault="00EB00B7" w:rsidP="00EB00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1613659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AB8B5A" w14:textId="77777777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7AD24A" w14:textId="77777777" w:rsidR="00EB00B7" w:rsidRDefault="00EB00B7" w:rsidP="00EB00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38EFFD0" w14:textId="3C0DDA41" w:rsidR="00EB00B7" w:rsidRPr="00EB00B7" w:rsidRDefault="00EB00B7" w:rsidP="00EB0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82" w:type="pct"/>
          </w:tcPr>
          <w:p w14:paraId="556A2C01" w14:textId="0438985F" w:rsidR="0065630A" w:rsidRDefault="0065630A" w:rsidP="001F50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 </w:t>
            </w:r>
            <w:r w:rsidRPr="0065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2020. gada 12. jūnija rīkojum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5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316 “Par finanšu līdzekļu piešķiršanu no valsts budžeta programmas “Līdzekļi neparedzētiem gadījumiem””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</w:t>
            </w:r>
            <w:r w:rsidRPr="0065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rīkojums Nr. 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="00733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ministrijai tika piešķirti 125 085 </w:t>
            </w:r>
            <w:proofErr w:type="spellStart"/>
            <w:r w:rsidR="00733E73" w:rsidRPr="00733E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733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</w:t>
            </w:r>
            <w:r w:rsidR="00EF32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Pārtikas un veterinārais dienests (turpmāk – PVD) </w:t>
            </w:r>
            <w:r w:rsidR="00733E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nodrošinātu pastiprinātu Ukrainas izcelsmes olu un olu produktu kontroli.</w:t>
            </w:r>
          </w:p>
          <w:p w14:paraId="3D9EA074" w14:textId="67BE5A13" w:rsidR="00486FA1" w:rsidRDefault="00553DCA" w:rsidP="00486F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Lēmums </w:t>
            </w:r>
            <w:r w:rsidR="00F3129F">
              <w:rPr>
                <w:rFonts w:ascii="Times New Roman" w:hAnsi="Times New Roman" w:cs="Times New Roman"/>
                <w:bCs/>
                <w:sz w:val="24"/>
                <w:szCs w:val="24"/>
              </w:rPr>
              <w:t>par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pastiprinātu kontroli tika pieņemts, </w:t>
            </w:r>
            <w:r w:rsidRPr="001F5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novērstu iespēju </w:t>
            </w:r>
            <w:r w:rsidRPr="001F5054">
              <w:rPr>
                <w:rFonts w:ascii="Times New Roman" w:hAnsi="Times New Roman" w:cs="Times New Roman"/>
                <w:bCs/>
                <w:sz w:val="24"/>
                <w:szCs w:val="24"/>
              </w:rPr>
              <w:t>patērētāj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iem saslimt ar</w:t>
            </w:r>
            <w:r w:rsidRPr="001F5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bīstam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1F5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pārtikas infekcij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1F5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salmoneloz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i, ņemot vērā palielināto </w:t>
            </w:r>
            <w:r w:rsidRPr="001F5054">
              <w:rPr>
                <w:rFonts w:ascii="Times New Roman" w:hAnsi="Times New Roman" w:cs="Times New Roman"/>
                <w:bCs/>
                <w:sz w:val="24"/>
                <w:szCs w:val="24"/>
              </w:rPr>
              <w:t>importēto olu un olu produktu apjom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1F5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Ukrainas un konstatēt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</w:t>
            </w:r>
            <w:r w:rsidRPr="001F5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50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Salmonella </w:t>
            </w:r>
            <w:proofErr w:type="spellStart"/>
            <w:r w:rsidRPr="001F50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spp</w:t>
            </w:r>
            <w:proofErr w:type="spellEnd"/>
            <w:r w:rsidRPr="001F50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1F5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piesārņojuma gadījum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r w:rsidRPr="001F5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661FB6BA" w14:textId="2C4814F1" w:rsidR="00553DCA" w:rsidRPr="00E266DE" w:rsidRDefault="00F3129F" w:rsidP="00553D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Ievērojot</w:t>
            </w:r>
            <w:r w:rsidR="00486FA1" w:rsidRPr="00D71BA2">
              <w:rPr>
                <w:rFonts w:ascii="Times New Roman" w:hAnsi="Times New Roman" w:cs="Times New Roman"/>
                <w:sz w:val="24"/>
                <w:szCs w:val="24"/>
              </w:rPr>
              <w:t xml:space="preserve"> Ukrainas sniegt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486FA1" w:rsidRPr="00D71BA2">
              <w:rPr>
                <w:rFonts w:ascii="Times New Roman" w:hAnsi="Times New Roman" w:cs="Times New Roman"/>
                <w:sz w:val="24"/>
                <w:szCs w:val="24"/>
              </w:rPr>
              <w:t xml:space="preserve"> garantij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486FA1" w:rsidRPr="00D71BA2">
              <w:rPr>
                <w:rFonts w:ascii="Times New Roman" w:hAnsi="Times New Roman" w:cs="Times New Roman"/>
                <w:sz w:val="24"/>
                <w:szCs w:val="24"/>
              </w:rPr>
              <w:t xml:space="preserve"> veterināro </w:t>
            </w:r>
            <w:r w:rsidR="00486FA1" w:rsidRPr="00AC6BDC">
              <w:rPr>
                <w:rFonts w:ascii="Times New Roman" w:hAnsi="Times New Roman" w:cs="Times New Roman"/>
                <w:sz w:val="24"/>
                <w:szCs w:val="24"/>
              </w:rPr>
              <w:t xml:space="preserve">zāļu atliekvielu pārraudzības plāna izpildē un </w:t>
            </w:r>
            <w:r w:rsidR="00486FA1" w:rsidRPr="00193837">
              <w:rPr>
                <w:rFonts w:ascii="Times New Roman" w:hAnsi="Times New Roman" w:cs="Times New Roman"/>
                <w:sz w:val="24"/>
                <w:szCs w:val="24"/>
              </w:rPr>
              <w:t xml:space="preserve">Komisijas 2011. gada 16. marta Lēmuma 2011/163/ES, </w:t>
            </w:r>
            <w:r w:rsidR="00486FA1" w:rsidRPr="001F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 ko apstiprina plānus, ko saskaņā ar Padomes Direktīvas 96/23/EK 29. pantu iesniegušas trešās valstis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86FA1" w:rsidRPr="0019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FA1" w:rsidRPr="00126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</w:t>
            </w:r>
            <w:r w:rsidR="00486FA1" w:rsidRPr="00193837">
              <w:rPr>
                <w:rFonts w:ascii="Times New Roman" w:hAnsi="Times New Roman" w:cs="Times New Roman"/>
                <w:sz w:val="24"/>
                <w:szCs w:val="24"/>
              </w:rPr>
              <w:t xml:space="preserve">elikumā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doto</w:t>
            </w:r>
            <w:r w:rsidRPr="00DC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A1" w:rsidRPr="00DC2E86">
              <w:rPr>
                <w:rFonts w:ascii="Times New Roman" w:hAnsi="Times New Roman" w:cs="Times New Roman"/>
                <w:sz w:val="24"/>
                <w:szCs w:val="24"/>
              </w:rPr>
              <w:t>trešo valstu sarakst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86FA1" w:rsidRPr="00DC2E86">
              <w:rPr>
                <w:rFonts w:ascii="Times New Roman" w:hAnsi="Times New Roman" w:cs="Times New Roman"/>
                <w:sz w:val="24"/>
                <w:szCs w:val="24"/>
              </w:rPr>
              <w:t xml:space="preserve">, kurā Ukraina ietverta kā valsts, kas izpilda ES prasības,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kā arī</w:t>
            </w:r>
            <w:r w:rsidR="00486FA1" w:rsidRPr="00DC2E86">
              <w:rPr>
                <w:rFonts w:ascii="Times New Roman" w:hAnsi="Times New Roman" w:cs="Times New Roman"/>
                <w:sz w:val="24"/>
                <w:szCs w:val="24"/>
              </w:rPr>
              <w:t xml:space="preserve"> riska analīzi, </w:t>
            </w:r>
            <w:r w:rsidR="00EF32B1">
              <w:rPr>
                <w:rFonts w:ascii="Times New Roman" w:hAnsi="Times New Roman" w:cs="Times New Roman"/>
                <w:sz w:val="24"/>
                <w:szCs w:val="24"/>
              </w:rPr>
              <w:t>PVD</w:t>
            </w:r>
            <w:r w:rsidR="00486FA1" w:rsidRPr="00DC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jā</w:t>
            </w:r>
            <w:r w:rsidR="00486FA1" w:rsidRPr="00DC2E86">
              <w:rPr>
                <w:rFonts w:ascii="Times New Roman" w:hAnsi="Times New Roman" w:cs="Times New Roman"/>
                <w:sz w:val="24"/>
                <w:szCs w:val="24"/>
              </w:rPr>
              <w:t xml:space="preserve">izvērtē arī </w:t>
            </w:r>
            <w:proofErr w:type="spellStart"/>
            <w:r w:rsidR="00486FA1" w:rsidRPr="00DC2E86">
              <w:rPr>
                <w:rFonts w:ascii="Times New Roman" w:hAnsi="Times New Roman" w:cs="Times New Roman"/>
                <w:sz w:val="24"/>
                <w:szCs w:val="24"/>
              </w:rPr>
              <w:t>kokcidiostatisko</w:t>
            </w:r>
            <w:proofErr w:type="spellEnd"/>
            <w:r w:rsidR="00486FA1" w:rsidRPr="00DC2E86">
              <w:rPr>
                <w:rFonts w:ascii="Times New Roman" w:hAnsi="Times New Roman" w:cs="Times New Roman"/>
                <w:sz w:val="24"/>
                <w:szCs w:val="24"/>
              </w:rPr>
              <w:t xml:space="preserve"> līdzekļu un nitrozamīnu izmantošan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6FA1" w:rsidRPr="00DC2E86">
              <w:rPr>
                <w:rFonts w:ascii="Times New Roman" w:hAnsi="Times New Roman" w:cs="Times New Roman"/>
                <w:sz w:val="24"/>
                <w:szCs w:val="24"/>
              </w:rPr>
              <w:t xml:space="preserve"> Ukrainas izcelsmes olās un olu produktos, noņemot </w:t>
            </w:r>
            <w:r w:rsidR="00486FA1" w:rsidRPr="00E266DE">
              <w:rPr>
                <w:rFonts w:ascii="Times New Roman" w:hAnsi="Times New Roman" w:cs="Times New Roman"/>
                <w:sz w:val="24"/>
                <w:szCs w:val="24"/>
              </w:rPr>
              <w:t xml:space="preserve">paraugus uz veterināro zāļu atliekvielām. </w:t>
            </w:r>
          </w:p>
          <w:p w14:paraId="73C5300E" w14:textId="14B85D95" w:rsidR="00E24EC6" w:rsidRPr="00C03CBE" w:rsidRDefault="00F3129F" w:rsidP="00A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DE">
              <w:rPr>
                <w:rFonts w:ascii="Times New Roman" w:hAnsi="Times New Roman" w:cs="Times New Roman"/>
                <w:sz w:val="24"/>
                <w:szCs w:val="24"/>
              </w:rPr>
              <w:t>No p</w:t>
            </w:r>
            <w:r w:rsidR="00A855DE" w:rsidRPr="00E266DE">
              <w:rPr>
                <w:rFonts w:ascii="Times New Roman" w:hAnsi="Times New Roman" w:cs="Times New Roman"/>
                <w:sz w:val="24"/>
                <w:szCs w:val="24"/>
              </w:rPr>
              <w:t>iešķirt</w:t>
            </w:r>
            <w:r w:rsidRPr="00E266DE">
              <w:rPr>
                <w:rFonts w:ascii="Times New Roman" w:hAnsi="Times New Roman" w:cs="Times New Roman"/>
                <w:sz w:val="24"/>
                <w:szCs w:val="24"/>
              </w:rPr>
              <w:t>ajiem</w:t>
            </w:r>
            <w:r w:rsidR="00A855DE" w:rsidRPr="00E266DE">
              <w:rPr>
                <w:rFonts w:ascii="Times New Roman" w:hAnsi="Times New Roman" w:cs="Times New Roman"/>
                <w:sz w:val="24"/>
                <w:szCs w:val="24"/>
              </w:rPr>
              <w:t xml:space="preserve"> budžeta līdzekļ</w:t>
            </w:r>
            <w:r w:rsidRPr="00E266DE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A855DE" w:rsidRPr="00E266DE">
              <w:rPr>
                <w:rFonts w:ascii="Times New Roman" w:hAnsi="Times New Roman" w:cs="Times New Roman"/>
                <w:sz w:val="24"/>
                <w:szCs w:val="24"/>
              </w:rPr>
              <w:t xml:space="preserve"> bija plānots Pārtikas drošības, dzīvnieku veselības un vides zinātniskajā institūtā “BIOR” </w:t>
            </w:r>
            <w:r w:rsidR="00046F60" w:rsidRPr="00E266DE">
              <w:rPr>
                <w:rFonts w:ascii="Times New Roman" w:hAnsi="Times New Roman" w:cs="Times New Roman"/>
                <w:sz w:val="24"/>
                <w:szCs w:val="24"/>
              </w:rPr>
              <w:t xml:space="preserve">(turpmāk – BIOR) </w:t>
            </w:r>
            <w:r w:rsidR="00A855DE" w:rsidRPr="00E266DE">
              <w:rPr>
                <w:rFonts w:ascii="Times New Roman" w:hAnsi="Times New Roman" w:cs="Times New Roman"/>
                <w:sz w:val="24"/>
                <w:szCs w:val="24"/>
              </w:rPr>
              <w:t xml:space="preserve">veikt </w:t>
            </w:r>
            <w:r w:rsidR="00AD26EE" w:rsidRPr="00E266DE">
              <w:rPr>
                <w:rFonts w:ascii="Times New Roman" w:hAnsi="Times New Roman" w:cs="Times New Roman"/>
                <w:sz w:val="24"/>
                <w:szCs w:val="24"/>
              </w:rPr>
              <w:t xml:space="preserve">640 </w:t>
            </w:r>
            <w:r w:rsidR="002714EB" w:rsidRPr="00E266DE">
              <w:rPr>
                <w:rFonts w:ascii="Times New Roman" w:hAnsi="Times New Roman" w:cs="Times New Roman"/>
                <w:sz w:val="24"/>
                <w:szCs w:val="24"/>
              </w:rPr>
              <w:t xml:space="preserve">paraugu </w:t>
            </w:r>
            <w:r w:rsidR="00A855DE" w:rsidRPr="00E266DE">
              <w:rPr>
                <w:rFonts w:ascii="Times New Roman" w:hAnsi="Times New Roman" w:cs="Times New Roman"/>
                <w:sz w:val="24"/>
                <w:szCs w:val="24"/>
              </w:rPr>
              <w:t>laboratoriskos iz</w:t>
            </w:r>
            <w:r w:rsidR="00A855DE" w:rsidRPr="00C03CBE">
              <w:rPr>
                <w:rFonts w:ascii="Times New Roman" w:hAnsi="Times New Roman" w:cs="Times New Roman"/>
                <w:sz w:val="24"/>
                <w:szCs w:val="24"/>
              </w:rPr>
              <w:t>meklējumus</w:t>
            </w:r>
            <w:r w:rsidR="007B1D4F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4F" w:rsidRPr="00C03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="007B1D4F" w:rsidRPr="00C03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spp</w:t>
            </w:r>
            <w:proofErr w:type="spellEnd"/>
            <w:r w:rsidR="007B1D4F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. mikroorganismu </w:t>
            </w:r>
            <w:r w:rsidR="000B24F8" w:rsidRPr="00C03CBE">
              <w:rPr>
                <w:rFonts w:ascii="Times New Roman" w:hAnsi="Times New Roman" w:cs="Times New Roman"/>
                <w:sz w:val="24"/>
                <w:szCs w:val="24"/>
              </w:rPr>
              <w:t>(320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24F8" w:rsidRPr="00C03CBE">
              <w:rPr>
                <w:rFonts w:ascii="Times New Roman" w:hAnsi="Times New Roman" w:cs="Times New Roman"/>
                <w:sz w:val="24"/>
                <w:szCs w:val="24"/>
              </w:rPr>
              <w:t>paraug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0B24F8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B1D4F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un veterināro zāļu atliekvielu </w:t>
            </w:r>
            <w:r w:rsidR="000B24F8" w:rsidRPr="00C03CBE">
              <w:rPr>
                <w:rFonts w:ascii="Times New Roman" w:hAnsi="Times New Roman" w:cs="Times New Roman"/>
                <w:sz w:val="24"/>
                <w:szCs w:val="24"/>
              </w:rPr>
              <w:t>(320 paraugi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0B24F8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B1D4F" w:rsidRPr="00C03CBE">
              <w:rPr>
                <w:rFonts w:ascii="Times New Roman" w:hAnsi="Times New Roman" w:cs="Times New Roman"/>
                <w:sz w:val="24"/>
                <w:szCs w:val="24"/>
              </w:rPr>
              <w:t>klātbūtn</w:t>
            </w: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B1D4F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F32B1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olās un olu </w:t>
            </w:r>
            <w:r w:rsidR="007B1D4F" w:rsidRPr="00C03CBE">
              <w:rPr>
                <w:rFonts w:ascii="Times New Roman" w:hAnsi="Times New Roman" w:cs="Times New Roman"/>
                <w:sz w:val="24"/>
                <w:szCs w:val="24"/>
              </w:rPr>
              <w:t>produktos.</w:t>
            </w:r>
            <w:r w:rsidR="00EF32B1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254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Patlaban ir </w:t>
            </w:r>
            <w:r w:rsidR="004B0D79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noņemti 325 produktu paraugi </w:t>
            </w:r>
            <w:r w:rsidR="000B24F8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(114 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B24F8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r w:rsidR="000B24F8" w:rsidRPr="00C03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="000B24F8" w:rsidRPr="00C03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spp</w:t>
            </w:r>
            <w:proofErr w:type="spellEnd"/>
            <w:r w:rsidR="000B24F8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., 211 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B24F8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uz dažādām atliekvielām) </w:t>
            </w:r>
            <w:r w:rsidR="004B0D79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D06E3F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kopā </w:t>
            </w:r>
            <w:r w:rsidR="006E4254" w:rsidRPr="00C03CBE">
              <w:rPr>
                <w:rFonts w:ascii="Times New Roman" w:hAnsi="Times New Roman" w:cs="Times New Roman"/>
                <w:sz w:val="24"/>
                <w:szCs w:val="24"/>
              </w:rPr>
              <w:t>veikt</w:t>
            </w:r>
            <w:r w:rsidR="00D06E3F" w:rsidRPr="00C03CBE">
              <w:rPr>
                <w:rFonts w:ascii="Times New Roman" w:hAnsi="Times New Roman" w:cs="Times New Roman"/>
                <w:sz w:val="24"/>
                <w:szCs w:val="24"/>
              </w:rPr>
              <w:t>s 851</w:t>
            </w:r>
            <w:r w:rsidR="006E4254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E3F" w:rsidRPr="00C03CBE">
              <w:rPr>
                <w:rFonts w:ascii="Times New Roman" w:hAnsi="Times New Roman" w:cs="Times New Roman"/>
                <w:sz w:val="24"/>
                <w:szCs w:val="24"/>
              </w:rPr>
              <w:t>laboratoriskais izmeklējums (</w:t>
            </w:r>
            <w:r w:rsidR="00BE1B69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560 laboratoriskie izmeklējumi uz </w:t>
            </w:r>
            <w:r w:rsidR="00BE1B69" w:rsidRPr="00C03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="00BE1B69" w:rsidRPr="00C03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spp</w:t>
            </w:r>
            <w:proofErr w:type="spellEnd"/>
            <w:r w:rsidR="00BE1B69" w:rsidRPr="00C03CBE">
              <w:rPr>
                <w:rFonts w:ascii="Times New Roman" w:hAnsi="Times New Roman" w:cs="Times New Roman"/>
                <w:sz w:val="24"/>
                <w:szCs w:val="24"/>
              </w:rPr>
              <w:t>. un 291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1B69" w:rsidRPr="00C03CBE">
              <w:rPr>
                <w:rFonts w:ascii="Times New Roman" w:hAnsi="Times New Roman" w:cs="Times New Roman"/>
                <w:sz w:val="24"/>
                <w:szCs w:val="24"/>
              </w:rPr>
              <w:t>izmeklējums uz veterināro zāļu atliekvielām</w:t>
            </w:r>
            <w:r w:rsidR="00D06E3F" w:rsidRPr="00C03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4EC6" w:rsidRPr="00C0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C73B4E" w14:textId="075B98E2" w:rsidR="0023119A" w:rsidRPr="00C03CBE" w:rsidRDefault="00E24EC6" w:rsidP="002311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E1B69" w:rsidRPr="00C03CBE">
              <w:rPr>
                <w:rFonts w:ascii="Times New Roman" w:hAnsi="Times New Roman" w:cs="Times New Roman"/>
                <w:sz w:val="24"/>
                <w:szCs w:val="24"/>
              </w:rPr>
              <w:t>iešķirt</w:t>
            </w: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ais </w:t>
            </w:r>
            <w:r w:rsidR="00BE1B69" w:rsidRPr="00C03CBE">
              <w:rPr>
                <w:rFonts w:ascii="Times New Roman" w:hAnsi="Times New Roman" w:cs="Times New Roman"/>
                <w:sz w:val="24"/>
                <w:szCs w:val="24"/>
              </w:rPr>
              <w:t>finansējum</w:t>
            </w: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>s 125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085 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="00F3129F" w:rsidRPr="00C03CBE">
              <w:rPr>
                <w:rFonts w:ascii="Times New Roman" w:hAnsi="Times New Roman" w:cs="Times New Roman"/>
                <w:sz w:val="24"/>
                <w:szCs w:val="24"/>
              </w:rPr>
              <w:t>izlieto</w:t>
            </w: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="00F3129F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114" w:rsidRPr="00C03C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E1B69" w:rsidRPr="00C03CBE">
              <w:rPr>
                <w:rFonts w:ascii="Times New Roman" w:hAnsi="Times New Roman" w:cs="Times New Roman"/>
                <w:sz w:val="24"/>
                <w:szCs w:val="24"/>
              </w:rPr>
              <w:t>% apmērā</w:t>
            </w: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>, t.i.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9A" w:rsidRPr="00C0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0B24F8" w:rsidRPr="00C0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3119A" w:rsidRPr="00C0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741,6</w:t>
            </w:r>
            <w:r w:rsidR="00853D25" w:rsidRPr="00C0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>EUR,</w:t>
            </w:r>
            <w:r w:rsidR="008F0E7F" w:rsidRPr="00C0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3D25" w:rsidRPr="00C0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t.sk.:</w:t>
            </w:r>
          </w:p>
          <w:p w14:paraId="78B8A75A" w14:textId="0FCA6B25" w:rsidR="0023119A" w:rsidRPr="00C03CBE" w:rsidRDefault="00853D25" w:rsidP="002311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1) no </w:t>
            </w:r>
            <w:r w:rsidR="00046F60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BIOR laboratoriskajiem izmeklējumiem </w:t>
            </w: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>piešķirtā finansējuma 105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>izlietot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9A" w:rsidRPr="00C0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0B24F8" w:rsidRPr="00C0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3119A" w:rsidRPr="00C0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878,1</w:t>
            </w:r>
            <w:r w:rsidRPr="00C0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C14527" w:rsidRPr="00C0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3B9AE92" w14:textId="38DD5CFE" w:rsidR="00E24EC6" w:rsidRPr="00C03CBE" w:rsidRDefault="00853D25" w:rsidP="00A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no PVD </w:t>
            </w: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piešķirtā finansējuma </w:t>
            </w:r>
            <w:r w:rsidR="00C14527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paraugu noņemšanas nodrošināšanai un transportēšanai </w:t>
            </w: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920 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>izlietot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9A" w:rsidRPr="00C0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9863,5</w:t>
            </w:r>
            <w:r w:rsidR="00C14527" w:rsidRPr="00C0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F0E7F" w:rsidRPr="00C03CB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C14527" w:rsidRPr="00C0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A225EC" w14:textId="5985E965" w:rsidR="00553DCA" w:rsidRPr="003004F7" w:rsidRDefault="00EC6C31" w:rsidP="00AC6BDC">
            <w:pPr>
              <w:pStyle w:val="mt-translation"/>
              <w:spacing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Līdz šim veiktajos </w:t>
            </w:r>
            <w:r w:rsidRPr="00233114">
              <w:rPr>
                <w:lang w:val="lv-LV"/>
              </w:rPr>
              <w:t xml:space="preserve">laboratoriskajos izmeklējumos </w:t>
            </w:r>
            <w:r w:rsidR="00924619" w:rsidRPr="00233114">
              <w:rPr>
                <w:lang w:val="lv-LV"/>
              </w:rPr>
              <w:t>t</w:t>
            </w:r>
            <w:r w:rsidR="00924619" w:rsidRPr="001264E1">
              <w:rPr>
                <w:lang w:val="lv-LV"/>
              </w:rPr>
              <w:t>ikai vienā gadījumā ir</w:t>
            </w:r>
            <w:r w:rsidRPr="00233114">
              <w:rPr>
                <w:lang w:val="lv-LV"/>
              </w:rPr>
              <w:t xml:space="preserve"> konstatēt</w:t>
            </w:r>
            <w:r w:rsidR="00924619" w:rsidRPr="00233114">
              <w:rPr>
                <w:lang w:val="lv-LV"/>
              </w:rPr>
              <w:t>s</w:t>
            </w:r>
            <w:r>
              <w:rPr>
                <w:lang w:val="lv-LV"/>
              </w:rPr>
              <w:t xml:space="preserve"> normatīvajos aktos noteikto normu pārkāpum</w:t>
            </w:r>
            <w:r w:rsidR="00924619">
              <w:rPr>
                <w:lang w:val="lv-LV"/>
              </w:rPr>
              <w:t>s (konstatētas salmonellas olu produktā)</w:t>
            </w:r>
            <w:r>
              <w:rPr>
                <w:lang w:val="lv-LV"/>
              </w:rPr>
              <w:t>, tāpēc nebūtu lietderīgi turpināt tieši no Ukrainas ievesto olu un olu produktu pastiprinātu kontroli</w:t>
            </w:r>
            <w:r w:rsidR="00F3129F">
              <w:rPr>
                <w:lang w:val="lv-LV"/>
              </w:rPr>
              <w:t>, t</w:t>
            </w:r>
            <w:r w:rsidR="008C0C3E">
              <w:rPr>
                <w:lang w:val="lv-LV"/>
              </w:rPr>
              <w:t>omēr</w:t>
            </w:r>
            <w:r w:rsidR="00F3129F">
              <w:rPr>
                <w:lang w:val="lv-LV"/>
              </w:rPr>
              <w:t>,</w:t>
            </w:r>
            <w:r w:rsidR="008C0C3E">
              <w:rPr>
                <w:lang w:val="lv-LV"/>
              </w:rPr>
              <w:t xml:space="preserve"> pamatojoties uz PVD uzraudzības un kontroles rezultātiem, nepieciešams pastiprināt kontroli visiem Latvijā ievestajiem putnkopības </w:t>
            </w:r>
            <w:r w:rsidR="00AE415C">
              <w:rPr>
                <w:lang w:val="lv-LV"/>
              </w:rPr>
              <w:t xml:space="preserve">nozares </w:t>
            </w:r>
            <w:r w:rsidR="008C0C3E">
              <w:rPr>
                <w:lang w:val="lv-LV"/>
              </w:rPr>
              <w:t>produktiem.</w:t>
            </w:r>
          </w:p>
          <w:p w14:paraId="5E72F85A" w14:textId="0157BDB5" w:rsidR="00926BA5" w:rsidRPr="003004F7" w:rsidRDefault="00F3129F" w:rsidP="0030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Īstenojot</w:t>
            </w:r>
            <w:r w:rsidR="003004F7">
              <w:rPr>
                <w:rFonts w:ascii="Times New Roman" w:hAnsi="Times New Roman" w:cs="Times New Roman"/>
                <w:sz w:val="24"/>
                <w:szCs w:val="24"/>
              </w:rPr>
              <w:t xml:space="preserve"> uzraudzības pasākumus 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8C0C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004F7">
              <w:rPr>
                <w:rFonts w:ascii="Times New Roman" w:hAnsi="Times New Roman" w:cs="Times New Roman"/>
                <w:sz w:val="24"/>
                <w:szCs w:val="24"/>
              </w:rPr>
              <w:t>adā</w:t>
            </w:r>
            <w:r w:rsidR="008C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C3E">
              <w:rPr>
                <w:rFonts w:ascii="Times New Roman" w:hAnsi="Times New Roman" w:cs="Times New Roman"/>
                <w:sz w:val="24"/>
                <w:szCs w:val="24"/>
              </w:rPr>
              <w:t xml:space="preserve">PVD </w:t>
            </w:r>
            <w:r w:rsidR="003004F7">
              <w:rPr>
                <w:rFonts w:ascii="Times New Roman" w:hAnsi="Times New Roman" w:cs="Times New Roman"/>
                <w:sz w:val="24"/>
                <w:szCs w:val="24"/>
              </w:rPr>
              <w:t xml:space="preserve">vairākkārt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>konstatē</w:t>
            </w:r>
            <w:r w:rsidR="003004F7">
              <w:rPr>
                <w:rFonts w:ascii="Times New Roman" w:hAnsi="Times New Roman" w:cs="Times New Roman"/>
                <w:sz w:val="24"/>
                <w:szCs w:val="24"/>
              </w:rPr>
              <w:t>jis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 xml:space="preserve"> salmonell</w:t>
            </w:r>
            <w:r w:rsidR="003004F7">
              <w:rPr>
                <w:rFonts w:ascii="Times New Roman" w:hAnsi="Times New Roman" w:cs="Times New Roman"/>
                <w:sz w:val="24"/>
                <w:szCs w:val="24"/>
              </w:rPr>
              <w:t>u klātbūtni ievestajā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 xml:space="preserve"> putnu gaļā:</w:t>
            </w:r>
          </w:p>
          <w:p w14:paraId="7BAE83E3" w14:textId="1F4555AA" w:rsidR="00926BA5" w:rsidRPr="003004F7" w:rsidRDefault="003004F7" w:rsidP="0030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26BA5" w:rsidRPr="00300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="00926BA5" w:rsidRPr="00300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enteritidis</w:t>
            </w:r>
            <w:proofErr w:type="spellEnd"/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 xml:space="preserve"> – broileru ceturtdaļ</w:t>
            </w:r>
            <w:r w:rsidR="00F3129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(izcelsmes valsts</w:t>
            </w:r>
            <w:r w:rsidR="008F0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>Polija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004F7">
              <w:rPr>
                <w:rFonts w:ascii="Times New Roman" w:hAnsi="Times New Roman" w:cs="Times New Roman"/>
                <w:sz w:val="24"/>
                <w:szCs w:val="24"/>
              </w:rPr>
              <w:t>saldēt</w:t>
            </w:r>
            <w:r w:rsidR="00F3129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3004F7">
              <w:rPr>
                <w:rFonts w:ascii="Times New Roman" w:hAnsi="Times New Roman" w:cs="Times New Roman"/>
                <w:sz w:val="24"/>
                <w:szCs w:val="24"/>
              </w:rPr>
              <w:t xml:space="preserve"> putnu gaļ</w:t>
            </w:r>
            <w:r w:rsidR="00F3129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129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3004F7">
              <w:rPr>
                <w:rFonts w:ascii="Times New Roman" w:hAnsi="Times New Roman" w:cs="Times New Roman"/>
                <w:sz w:val="24"/>
                <w:szCs w:val="24"/>
              </w:rPr>
              <w:t>Rumānija</w:t>
            </w:r>
            <w:r w:rsidR="00F312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004F7">
              <w:rPr>
                <w:rFonts w:ascii="Times New Roman" w:hAnsi="Times New Roman" w:cs="Times New Roman"/>
                <w:sz w:val="24"/>
                <w:szCs w:val="24"/>
              </w:rPr>
              <w:t>vistas gaļas šašlik</w:t>
            </w:r>
            <w:r w:rsidR="00F3129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30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129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3004F7">
              <w:rPr>
                <w:rFonts w:ascii="Times New Roman" w:hAnsi="Times New Roman" w:cs="Times New Roman"/>
                <w:sz w:val="24"/>
                <w:szCs w:val="24"/>
              </w:rPr>
              <w:t>Polija</w:t>
            </w:r>
            <w:r w:rsidR="00F312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1068A95" w14:textId="3DF5B304" w:rsidR="00926BA5" w:rsidRPr="003004F7" w:rsidRDefault="003004F7" w:rsidP="0030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26BA5" w:rsidRPr="00300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="00926BA5" w:rsidRPr="00300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Hadar</w:t>
            </w:r>
            <w:proofErr w:type="spellEnd"/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 xml:space="preserve"> – tītaru gaļas kotlešu mas</w:t>
            </w:r>
            <w:r w:rsidR="00F3129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129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>Polija</w:t>
            </w:r>
            <w:r w:rsidR="00F312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C8E1C43" w14:textId="15E16ADC" w:rsidR="00926BA5" w:rsidRPr="003004F7" w:rsidRDefault="003004F7" w:rsidP="0030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26BA5" w:rsidRPr="008C0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="00926BA5" w:rsidRPr="008C0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typhimurium</w:t>
            </w:r>
            <w:proofErr w:type="spellEnd"/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 xml:space="preserve"> vistu šķiņķ</w:t>
            </w:r>
            <w:r w:rsidR="00F3129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129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>Polija</w:t>
            </w:r>
            <w:r w:rsidR="00F312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F3738" w14:textId="173F5715" w:rsidR="00926BA5" w:rsidRPr="003004F7" w:rsidRDefault="00926BA5" w:rsidP="008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F7">
              <w:rPr>
                <w:rFonts w:ascii="Times New Roman" w:hAnsi="Times New Roman" w:cs="Times New Roman"/>
                <w:sz w:val="24"/>
                <w:szCs w:val="24"/>
              </w:rPr>
              <w:t>Savukārt</w:t>
            </w:r>
            <w:r w:rsidR="008C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C3E" w:rsidRPr="00193837">
              <w:rPr>
                <w:rFonts w:ascii="Times New Roman" w:hAnsi="Times New Roman" w:cs="Times New Roman"/>
                <w:sz w:val="24"/>
                <w:szCs w:val="24"/>
              </w:rPr>
              <w:t xml:space="preserve">Ātrās brīdināšanas </w:t>
            </w:r>
            <w:r w:rsidR="008C0C3E" w:rsidRPr="001F5054">
              <w:rPr>
                <w:rStyle w:val="Izclum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sistēmā</w:t>
            </w:r>
            <w:r w:rsidR="008C0C3E" w:rsidRPr="00193837">
              <w:rPr>
                <w:rFonts w:ascii="Times New Roman" w:hAnsi="Times New Roman" w:cs="Times New Roman"/>
                <w:sz w:val="24"/>
                <w:szCs w:val="24"/>
              </w:rPr>
              <w:t xml:space="preserve"> pārtikas un barības jomā (</w:t>
            </w:r>
            <w:r w:rsidR="008C0C3E" w:rsidRPr="001F5054">
              <w:rPr>
                <w:rStyle w:val="Izclum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RASFF</w:t>
            </w:r>
            <w:r w:rsidR="008C0C3E" w:rsidRPr="00193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04F7">
              <w:rPr>
                <w:rFonts w:ascii="Times New Roman" w:hAnsi="Times New Roman" w:cs="Times New Roman"/>
                <w:sz w:val="24"/>
                <w:szCs w:val="24"/>
              </w:rPr>
              <w:t xml:space="preserve"> šogad </w:t>
            </w:r>
            <w:r w:rsidR="008C0C3E">
              <w:rPr>
                <w:rFonts w:ascii="Times New Roman" w:hAnsi="Times New Roman" w:cs="Times New Roman"/>
                <w:sz w:val="24"/>
                <w:szCs w:val="24"/>
              </w:rPr>
              <w:t>ievietoti 15</w:t>
            </w:r>
            <w:r w:rsidRPr="003004F7">
              <w:rPr>
                <w:rFonts w:ascii="Times New Roman" w:hAnsi="Times New Roman" w:cs="Times New Roman"/>
                <w:sz w:val="24"/>
                <w:szCs w:val="24"/>
              </w:rPr>
              <w:t xml:space="preserve"> ziņojumi</w:t>
            </w:r>
            <w:r w:rsidR="008C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4F7">
              <w:rPr>
                <w:rFonts w:ascii="Times New Roman" w:hAnsi="Times New Roman" w:cs="Times New Roman"/>
                <w:sz w:val="24"/>
                <w:szCs w:val="24"/>
              </w:rPr>
              <w:t>par putnu gaļā konstatētajām salmonellām (ziņoja citas valstis</w:t>
            </w:r>
            <w:r w:rsidR="008C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04F7">
              <w:rPr>
                <w:rFonts w:ascii="Times New Roman" w:hAnsi="Times New Roman" w:cs="Times New Roman"/>
                <w:sz w:val="24"/>
                <w:szCs w:val="24"/>
              </w:rPr>
              <w:t xml:space="preserve"> gaļa izplatīta arī Latvijā) – 13 ziņojumi par Polijas izcelsmes putnu gaļu</w:t>
            </w:r>
            <w:r w:rsidR="008C0C3E">
              <w:rPr>
                <w:rFonts w:ascii="Times New Roman" w:hAnsi="Times New Roman" w:cs="Times New Roman"/>
                <w:sz w:val="24"/>
                <w:szCs w:val="24"/>
              </w:rPr>
              <w:t xml:space="preserve">, viens </w:t>
            </w:r>
            <w:r w:rsidRPr="003004F7">
              <w:rPr>
                <w:rFonts w:ascii="Times New Roman" w:hAnsi="Times New Roman" w:cs="Times New Roman"/>
                <w:sz w:val="24"/>
                <w:szCs w:val="24"/>
              </w:rPr>
              <w:t>ziņojums par Rumānijas izcelsmes putnu gaļu</w:t>
            </w:r>
            <w:r w:rsidR="008C0C3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30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C3E">
              <w:rPr>
                <w:rFonts w:ascii="Times New Roman" w:hAnsi="Times New Roman" w:cs="Times New Roman"/>
                <w:sz w:val="24"/>
                <w:szCs w:val="24"/>
              </w:rPr>
              <w:t>viens</w:t>
            </w:r>
            <w:r w:rsidRPr="003004F7">
              <w:rPr>
                <w:rFonts w:ascii="Times New Roman" w:hAnsi="Times New Roman" w:cs="Times New Roman"/>
                <w:sz w:val="24"/>
                <w:szCs w:val="24"/>
              </w:rPr>
              <w:t xml:space="preserve"> ziņojums par Ungārijas izcelsmes putnu gaļu.</w:t>
            </w:r>
          </w:p>
          <w:p w14:paraId="7D65B623" w14:textId="5FEBB0F3" w:rsidR="00926BA5" w:rsidRPr="003004F7" w:rsidRDefault="00765982" w:rsidP="0076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Līdzīgas problēmas ievestajos putnkopīb</w:t>
            </w:r>
            <w:r w:rsidR="00AE41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E415C">
              <w:rPr>
                <w:rFonts w:ascii="Times New Roman" w:hAnsi="Times New Roman" w:cs="Times New Roman"/>
                <w:sz w:val="24"/>
                <w:szCs w:val="24"/>
              </w:rPr>
              <w:t xml:space="preserve">nozares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produktos konstatētas arī 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r w:rsidR="00F312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>almonellas tika izdalītas no 22</w:t>
            </w:r>
            <w:r w:rsidR="008F0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>Polijas izcelsmes putnu gaļas paraugiem (kopā noņemti 103</w:t>
            </w:r>
            <w:r w:rsidR="008F0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>paraugi no Polijas izcelsmes putnu gaļas, neatbilstoši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paraugi</w:t>
            </w:r>
            <w:r w:rsidR="008F0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6BA5" w:rsidRPr="003004F7">
              <w:rPr>
                <w:rFonts w:ascii="Times New Roman" w:hAnsi="Times New Roman" w:cs="Times New Roman"/>
                <w:sz w:val="24"/>
                <w:szCs w:val="24"/>
              </w:rPr>
              <w:t>– 21%).</w:t>
            </w:r>
          </w:p>
          <w:p w14:paraId="48325AE9" w14:textId="7264586B" w:rsidR="00486FA1" w:rsidRDefault="003E5108" w:rsidP="00060141">
            <w:pPr>
              <w:pStyle w:val="mt-translation"/>
              <w:spacing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>L</w:t>
            </w:r>
            <w:r w:rsidR="00AC38D0" w:rsidRPr="00AC38D0">
              <w:rPr>
                <w:lang w:val="lv-LV"/>
              </w:rPr>
              <w:t xml:space="preserve">ai nepieļautu Latvijas patērētāju veselības apdraudējumu, būtu lietderīgi ar </w:t>
            </w:r>
            <w:r w:rsidR="00AC38D0" w:rsidRPr="00AC38D0">
              <w:rPr>
                <w:lang w:val="lv-LV" w:eastAsia="lv-LV"/>
              </w:rPr>
              <w:t>rīkojumu Nr. 316</w:t>
            </w:r>
            <w:r w:rsidR="00AC38D0">
              <w:rPr>
                <w:lang w:val="lv-LV" w:eastAsia="lv-LV"/>
              </w:rPr>
              <w:t xml:space="preserve"> </w:t>
            </w:r>
            <w:r w:rsidR="00AC38D0" w:rsidRPr="00060141">
              <w:rPr>
                <w:lang w:val="lv-LV" w:eastAsia="lv-LV"/>
              </w:rPr>
              <w:t>piešķirto, bet vēl ne</w:t>
            </w:r>
            <w:r w:rsidR="00F3129F">
              <w:rPr>
                <w:lang w:val="lv-LV" w:eastAsia="lv-LV"/>
              </w:rPr>
              <w:t>izlieto</w:t>
            </w:r>
            <w:r w:rsidR="00AC38D0" w:rsidRPr="00060141">
              <w:rPr>
                <w:lang w:val="lv-LV" w:eastAsia="lv-LV"/>
              </w:rPr>
              <w:t xml:space="preserve">to finansējumu novirzīt </w:t>
            </w:r>
            <w:r w:rsidR="00060141" w:rsidRPr="00060141">
              <w:rPr>
                <w:lang w:val="lv-LV" w:eastAsia="lv-LV"/>
              </w:rPr>
              <w:t xml:space="preserve">pastiprinātai Latvijā ievesto putnkopības </w:t>
            </w:r>
            <w:r w:rsidR="00AE415C">
              <w:rPr>
                <w:lang w:val="lv-LV" w:eastAsia="lv-LV"/>
              </w:rPr>
              <w:t xml:space="preserve">nozares </w:t>
            </w:r>
            <w:r w:rsidR="00060141" w:rsidRPr="00060141">
              <w:rPr>
                <w:lang w:val="lv-LV" w:eastAsia="lv-LV"/>
              </w:rPr>
              <w:t>produktu kontrolei</w:t>
            </w:r>
            <w:r w:rsidR="008E31FE" w:rsidRPr="00060141">
              <w:rPr>
                <w:lang w:val="lv-LV"/>
              </w:rPr>
              <w:t xml:space="preserve"> uz </w:t>
            </w:r>
            <w:r w:rsidR="008E31FE" w:rsidRPr="00060141">
              <w:rPr>
                <w:i/>
                <w:lang w:val="lv-LV"/>
              </w:rPr>
              <w:t xml:space="preserve">Salmonella </w:t>
            </w:r>
            <w:proofErr w:type="spellStart"/>
            <w:r w:rsidR="008E31FE" w:rsidRPr="00060141">
              <w:rPr>
                <w:i/>
                <w:lang w:val="lv-LV"/>
              </w:rPr>
              <w:t>spp</w:t>
            </w:r>
            <w:proofErr w:type="spellEnd"/>
            <w:r w:rsidR="008E31FE" w:rsidRPr="00060141">
              <w:rPr>
                <w:i/>
                <w:lang w:val="lv-LV"/>
              </w:rPr>
              <w:t>.</w:t>
            </w:r>
            <w:r w:rsidR="008E31FE" w:rsidRPr="00060141">
              <w:rPr>
                <w:lang w:val="lv-LV"/>
              </w:rPr>
              <w:t xml:space="preserve"> mikroorganismiem</w:t>
            </w:r>
            <w:r w:rsidR="00C36F3D">
              <w:rPr>
                <w:lang w:val="lv-LV"/>
              </w:rPr>
              <w:t>, attiecīgi grozot rīkojum</w:t>
            </w:r>
            <w:r w:rsidR="00E52A34">
              <w:rPr>
                <w:lang w:val="lv-LV"/>
              </w:rPr>
              <w:t>ā</w:t>
            </w:r>
            <w:r w:rsidR="00C36F3D">
              <w:rPr>
                <w:lang w:val="lv-LV"/>
              </w:rPr>
              <w:t xml:space="preserve"> Nr. 316</w:t>
            </w:r>
            <w:r w:rsidR="00E52A34">
              <w:rPr>
                <w:lang w:val="lv-LV"/>
              </w:rPr>
              <w:t xml:space="preserve"> noteikto finansējuma piešķiršanas mērķi</w:t>
            </w:r>
            <w:r w:rsidR="00C36F3D">
              <w:rPr>
                <w:lang w:val="lv-LV"/>
              </w:rPr>
              <w:t>.</w:t>
            </w:r>
          </w:p>
          <w:p w14:paraId="4C51CC4A" w14:textId="6FF03B28" w:rsidR="00C14527" w:rsidRPr="00C03CBE" w:rsidRDefault="00C14527" w:rsidP="00060141">
            <w:pPr>
              <w:pStyle w:val="mt-translation"/>
              <w:spacing w:after="0" w:afterAutospacing="0"/>
              <w:jc w:val="both"/>
              <w:rPr>
                <w:lang w:val="lv-LV"/>
              </w:rPr>
            </w:pPr>
            <w:r w:rsidRPr="00C03CBE">
              <w:rPr>
                <w:lang w:val="lv-LV"/>
              </w:rPr>
              <w:t xml:space="preserve">Finansējumu </w:t>
            </w:r>
            <w:r w:rsidR="00EB37B6" w:rsidRPr="00C03CBE">
              <w:rPr>
                <w:lang w:val="lv-LV"/>
              </w:rPr>
              <w:t>62 169,</w:t>
            </w:r>
            <w:r w:rsidR="008A61C8" w:rsidRPr="00C03CBE">
              <w:rPr>
                <w:lang w:val="lv-LV"/>
              </w:rPr>
              <w:t>4</w:t>
            </w:r>
            <w:r w:rsidR="00EB37B6" w:rsidRPr="00C03CBE">
              <w:rPr>
                <w:lang w:val="lv-LV"/>
              </w:rPr>
              <w:t>9</w:t>
            </w:r>
            <w:r w:rsidRPr="00C03CBE">
              <w:rPr>
                <w:lang w:val="lv-LV"/>
              </w:rPr>
              <w:t xml:space="preserve"> </w:t>
            </w:r>
            <w:r w:rsidR="008F0E7F" w:rsidRPr="00C03CBE">
              <w:rPr>
                <w:lang w:val="lv-LV"/>
              </w:rPr>
              <w:t xml:space="preserve">EUR </w:t>
            </w:r>
            <w:r w:rsidRPr="00C03CBE">
              <w:rPr>
                <w:lang w:val="lv-LV"/>
              </w:rPr>
              <w:t>plānots izlietot:</w:t>
            </w:r>
          </w:p>
          <w:p w14:paraId="1F99EA54" w14:textId="52CB42AC" w:rsidR="00E25B4C" w:rsidRPr="00C03CBE" w:rsidRDefault="00F15676" w:rsidP="00060141">
            <w:pPr>
              <w:pStyle w:val="mt-translation"/>
              <w:spacing w:after="0" w:afterAutospacing="0"/>
              <w:jc w:val="both"/>
              <w:rPr>
                <w:lang w:val="lv-LV"/>
              </w:rPr>
            </w:pPr>
            <w:r w:rsidRPr="00C03CBE">
              <w:rPr>
                <w:lang w:val="lv-LV"/>
              </w:rPr>
              <w:t xml:space="preserve">1) </w:t>
            </w:r>
            <w:r w:rsidR="00D6260F" w:rsidRPr="00C03CBE">
              <w:rPr>
                <w:lang w:val="lv-LV"/>
              </w:rPr>
              <w:t>BIOR laboratoriskajiem izmeklējumiem</w:t>
            </w:r>
            <w:r w:rsidR="00E25B4C" w:rsidRPr="00C03CBE">
              <w:rPr>
                <w:lang w:val="lv-LV"/>
              </w:rPr>
              <w:t>: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1530"/>
              <w:gridCol w:w="1443"/>
              <w:gridCol w:w="1483"/>
              <w:gridCol w:w="1490"/>
            </w:tblGrid>
            <w:tr w:rsidR="00EB37B6" w:rsidRPr="00C03CBE" w14:paraId="1DD35ADD" w14:textId="77777777" w:rsidTr="00CF551D">
              <w:tc>
                <w:tcPr>
                  <w:tcW w:w="1430" w:type="dxa"/>
                  <w:shd w:val="clear" w:color="auto" w:fill="auto"/>
                  <w:vAlign w:val="center"/>
                </w:tcPr>
                <w:p w14:paraId="6975D48F" w14:textId="3B76836A" w:rsidR="00EB37B6" w:rsidRPr="00C03CBE" w:rsidRDefault="00EB37B6" w:rsidP="00265B6D">
                  <w:pPr>
                    <w:pStyle w:val="mt-translation"/>
                    <w:spacing w:after="0" w:afterAutospacing="0"/>
                    <w:jc w:val="center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Izmeklējums</w:t>
                  </w:r>
                </w:p>
              </w:tc>
              <w:tc>
                <w:tcPr>
                  <w:tcW w:w="1430" w:type="dxa"/>
                  <w:shd w:val="clear" w:color="auto" w:fill="auto"/>
                  <w:vAlign w:val="center"/>
                </w:tcPr>
                <w:p w14:paraId="68685F1E" w14:textId="48706EFC" w:rsidR="00EB37B6" w:rsidRPr="00C03CBE" w:rsidRDefault="00EB37B6" w:rsidP="00265B6D">
                  <w:pPr>
                    <w:pStyle w:val="mt-translation"/>
                    <w:spacing w:after="0" w:afterAutospacing="0"/>
                    <w:jc w:val="center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Paraugu skaits</w:t>
                  </w:r>
                </w:p>
              </w:tc>
              <w:tc>
                <w:tcPr>
                  <w:tcW w:w="1431" w:type="dxa"/>
                  <w:shd w:val="clear" w:color="auto" w:fill="auto"/>
                  <w:vAlign w:val="center"/>
                </w:tcPr>
                <w:p w14:paraId="0715F4B1" w14:textId="0E869A7B" w:rsidR="00EB37B6" w:rsidRPr="00C03CBE" w:rsidRDefault="00EB37B6" w:rsidP="00265B6D">
                  <w:pPr>
                    <w:pStyle w:val="mt-translation"/>
                    <w:spacing w:after="0" w:afterAutospacing="0"/>
                    <w:jc w:val="center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Izmeklējumu skaits</w:t>
                  </w:r>
                </w:p>
              </w:tc>
              <w:tc>
                <w:tcPr>
                  <w:tcW w:w="1431" w:type="dxa"/>
                  <w:shd w:val="clear" w:color="auto" w:fill="auto"/>
                  <w:vAlign w:val="center"/>
                </w:tcPr>
                <w:p w14:paraId="7058E844" w14:textId="25A1A6FE" w:rsidR="00EB37B6" w:rsidRPr="00C03CBE" w:rsidRDefault="00EB37B6" w:rsidP="00265B6D">
                  <w:pPr>
                    <w:pStyle w:val="mt-translation"/>
                    <w:spacing w:after="0" w:afterAutospacing="0"/>
                    <w:jc w:val="center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Finansējums, EUR</w:t>
                  </w:r>
                </w:p>
              </w:tc>
            </w:tr>
            <w:tr w:rsidR="00EB37B6" w:rsidRPr="00C03CBE" w14:paraId="01B0250C" w14:textId="77777777" w:rsidTr="00CF551D">
              <w:tc>
                <w:tcPr>
                  <w:tcW w:w="1430" w:type="dxa"/>
                  <w:shd w:val="clear" w:color="auto" w:fill="auto"/>
                </w:tcPr>
                <w:p w14:paraId="505181F6" w14:textId="5DE78950" w:rsidR="00EB37B6" w:rsidRPr="00C03CBE" w:rsidRDefault="00750FDE" w:rsidP="00265B6D">
                  <w:pPr>
                    <w:pStyle w:val="mt-translation"/>
                    <w:spacing w:after="0" w:afterAutospacing="0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*</w:t>
                  </w:r>
                  <w:r w:rsidR="008F0E7F" w:rsidRPr="00C03CBE">
                    <w:rPr>
                      <w:lang w:val="lv-LV"/>
                    </w:rPr>
                    <w:t> </w:t>
                  </w:r>
                  <w:r w:rsidR="00EB37B6" w:rsidRPr="00C03CBE">
                    <w:rPr>
                      <w:lang w:val="lv-LV"/>
                    </w:rPr>
                    <w:t>salmonellas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61F3A49D" w14:textId="2D2562F0" w:rsidR="00EB37B6" w:rsidRPr="00C03CBE" w:rsidRDefault="00EB37B6" w:rsidP="00265B6D">
                  <w:pPr>
                    <w:pStyle w:val="mt-translation"/>
                    <w:spacing w:after="0" w:afterAutospacing="0"/>
                    <w:jc w:val="center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151</w:t>
                  </w:r>
                </w:p>
              </w:tc>
              <w:tc>
                <w:tcPr>
                  <w:tcW w:w="1431" w:type="dxa"/>
                  <w:shd w:val="clear" w:color="auto" w:fill="auto"/>
                </w:tcPr>
                <w:p w14:paraId="5AFF0A9A" w14:textId="796EE2A1" w:rsidR="00EB37B6" w:rsidRPr="00C03CBE" w:rsidRDefault="00EB37B6" w:rsidP="00265B6D">
                  <w:pPr>
                    <w:pStyle w:val="mt-translation"/>
                    <w:spacing w:after="0" w:afterAutospacing="0"/>
                    <w:jc w:val="center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715</w:t>
                  </w:r>
                </w:p>
              </w:tc>
              <w:tc>
                <w:tcPr>
                  <w:tcW w:w="1431" w:type="dxa"/>
                  <w:shd w:val="clear" w:color="auto" w:fill="auto"/>
                </w:tcPr>
                <w:p w14:paraId="0546A18C" w14:textId="1D80CE34" w:rsidR="00EB37B6" w:rsidRPr="00C03CBE" w:rsidRDefault="00EB37B6" w:rsidP="00265B6D">
                  <w:pPr>
                    <w:pStyle w:val="mt-translation"/>
                    <w:spacing w:after="0" w:afterAutospacing="0"/>
                    <w:jc w:val="center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13 706,55</w:t>
                  </w:r>
                </w:p>
              </w:tc>
            </w:tr>
            <w:tr w:rsidR="00EB37B6" w:rsidRPr="00C03CBE" w14:paraId="056B8C3B" w14:textId="77777777" w:rsidTr="00CF551D">
              <w:tc>
                <w:tcPr>
                  <w:tcW w:w="1430" w:type="dxa"/>
                  <w:shd w:val="clear" w:color="auto" w:fill="auto"/>
                </w:tcPr>
                <w:p w14:paraId="5D52D688" w14:textId="168BB00F" w:rsidR="00EB37B6" w:rsidRPr="00C03CBE" w:rsidRDefault="00750FDE" w:rsidP="00265B6D">
                  <w:pPr>
                    <w:pStyle w:val="mt-translation"/>
                    <w:spacing w:after="0" w:afterAutospacing="0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*</w:t>
                  </w:r>
                  <w:r w:rsidR="008F0E7F" w:rsidRPr="00C03CBE">
                    <w:rPr>
                      <w:lang w:val="lv-LV"/>
                    </w:rPr>
                    <w:t> </w:t>
                  </w:r>
                  <w:proofErr w:type="spellStart"/>
                  <w:r w:rsidR="00EB37B6" w:rsidRPr="00C03CBE">
                    <w:rPr>
                      <w:lang w:val="lv-LV"/>
                    </w:rPr>
                    <w:t>listērijas</w:t>
                  </w:r>
                  <w:proofErr w:type="spellEnd"/>
                </w:p>
              </w:tc>
              <w:tc>
                <w:tcPr>
                  <w:tcW w:w="1430" w:type="dxa"/>
                  <w:shd w:val="clear" w:color="auto" w:fill="auto"/>
                </w:tcPr>
                <w:p w14:paraId="4DFCF726" w14:textId="2A83EC16" w:rsidR="00EB37B6" w:rsidRPr="00C03CBE" w:rsidRDefault="00EB37B6" w:rsidP="00060141">
                  <w:pPr>
                    <w:pStyle w:val="mt-translation"/>
                    <w:spacing w:after="0" w:afterAutospacing="0"/>
                    <w:jc w:val="both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15 paraugos, kas noņemti uz arī uz salmonellām</w:t>
                  </w:r>
                </w:p>
              </w:tc>
              <w:tc>
                <w:tcPr>
                  <w:tcW w:w="1431" w:type="dxa"/>
                  <w:shd w:val="clear" w:color="auto" w:fill="auto"/>
                </w:tcPr>
                <w:p w14:paraId="7CA23B2D" w14:textId="61F9163A" w:rsidR="00EB37B6" w:rsidRPr="00C03CBE" w:rsidRDefault="0086683E" w:rsidP="00265B6D">
                  <w:pPr>
                    <w:pStyle w:val="mt-translation"/>
                    <w:spacing w:after="0" w:afterAutospacing="0"/>
                    <w:jc w:val="center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7</w:t>
                  </w:r>
                  <w:r w:rsidR="00EB37B6" w:rsidRPr="00C03CBE">
                    <w:rPr>
                      <w:lang w:val="lv-LV"/>
                    </w:rPr>
                    <w:t>5</w:t>
                  </w:r>
                </w:p>
              </w:tc>
              <w:tc>
                <w:tcPr>
                  <w:tcW w:w="1431" w:type="dxa"/>
                  <w:shd w:val="clear" w:color="auto" w:fill="auto"/>
                </w:tcPr>
                <w:p w14:paraId="76C52D66" w14:textId="7EA2CFCB" w:rsidR="00EB37B6" w:rsidRPr="00C03CBE" w:rsidRDefault="00EB37B6" w:rsidP="00265B6D">
                  <w:pPr>
                    <w:pStyle w:val="mt-translation"/>
                    <w:spacing w:after="0" w:afterAutospacing="0"/>
                    <w:jc w:val="center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1 512,00</w:t>
                  </w:r>
                </w:p>
              </w:tc>
            </w:tr>
            <w:tr w:rsidR="00EB37B6" w:rsidRPr="00C03CBE" w14:paraId="08FCB4E4" w14:textId="77777777" w:rsidTr="00750FDE">
              <w:tc>
                <w:tcPr>
                  <w:tcW w:w="1430" w:type="dxa"/>
                  <w:shd w:val="clear" w:color="auto" w:fill="auto"/>
                </w:tcPr>
                <w:p w14:paraId="0762BA6D" w14:textId="07EDFBCE" w:rsidR="00EB37B6" w:rsidRPr="00C03CBE" w:rsidRDefault="00750FDE" w:rsidP="00265B6D">
                  <w:pPr>
                    <w:pStyle w:val="mt-translation"/>
                    <w:spacing w:after="0" w:afterAutospacing="0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*</w:t>
                  </w:r>
                  <w:r w:rsidR="008F0E7F" w:rsidRPr="00C03CBE">
                    <w:rPr>
                      <w:lang w:val="lv-LV"/>
                    </w:rPr>
                    <w:t> </w:t>
                  </w:r>
                  <w:r w:rsidR="00EB37B6" w:rsidRPr="00C03CBE">
                    <w:rPr>
                      <w:lang w:val="lv-LV"/>
                    </w:rPr>
                    <w:t>atliekvielas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719698D3" w14:textId="636F9418" w:rsidR="00EB37B6" w:rsidRPr="00C03CBE" w:rsidRDefault="00EB37B6" w:rsidP="00265B6D">
                  <w:pPr>
                    <w:pStyle w:val="mt-translation"/>
                    <w:spacing w:after="0" w:afterAutospacing="0"/>
                    <w:jc w:val="center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164</w:t>
                  </w:r>
                </w:p>
              </w:tc>
              <w:tc>
                <w:tcPr>
                  <w:tcW w:w="1431" w:type="dxa"/>
                  <w:shd w:val="clear" w:color="auto" w:fill="auto"/>
                </w:tcPr>
                <w:p w14:paraId="3971BD74" w14:textId="0326EC57" w:rsidR="00EB37B6" w:rsidRPr="00C03CBE" w:rsidRDefault="00EB37B6" w:rsidP="00265B6D">
                  <w:pPr>
                    <w:pStyle w:val="mt-translation"/>
                    <w:spacing w:after="0" w:afterAutospacing="0"/>
                    <w:jc w:val="center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332</w:t>
                  </w:r>
                </w:p>
              </w:tc>
              <w:tc>
                <w:tcPr>
                  <w:tcW w:w="1431" w:type="dxa"/>
                  <w:shd w:val="clear" w:color="auto" w:fill="auto"/>
                </w:tcPr>
                <w:p w14:paraId="5B7DED12" w14:textId="20678EAE" w:rsidR="00EB37B6" w:rsidRPr="00C03CBE" w:rsidRDefault="00EB37B6" w:rsidP="00265B6D">
                  <w:pPr>
                    <w:pStyle w:val="mt-translation"/>
                    <w:spacing w:after="0" w:afterAutospacing="0"/>
                    <w:jc w:val="center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3</w:t>
                  </w:r>
                  <w:r w:rsidR="00CF551D" w:rsidRPr="00C03CBE">
                    <w:rPr>
                      <w:lang w:val="lv-LV"/>
                    </w:rPr>
                    <w:t>6</w:t>
                  </w:r>
                  <w:r w:rsidRPr="00C03CBE">
                    <w:rPr>
                      <w:lang w:val="lv-LV"/>
                    </w:rPr>
                    <w:t> 8</w:t>
                  </w:r>
                  <w:r w:rsidR="00CF551D" w:rsidRPr="00C03CBE">
                    <w:rPr>
                      <w:lang w:val="lv-LV"/>
                    </w:rPr>
                    <w:t>94</w:t>
                  </w:r>
                  <w:r w:rsidRPr="00C03CBE">
                    <w:rPr>
                      <w:lang w:val="lv-LV"/>
                    </w:rPr>
                    <w:t>,</w:t>
                  </w:r>
                  <w:r w:rsidR="00CF551D" w:rsidRPr="00C03CBE">
                    <w:rPr>
                      <w:lang w:val="lv-LV"/>
                    </w:rPr>
                    <w:t>44</w:t>
                  </w:r>
                </w:p>
              </w:tc>
            </w:tr>
            <w:tr w:rsidR="00EB37B6" w:rsidRPr="00C03CBE" w14:paraId="399EE693" w14:textId="77777777" w:rsidTr="00CF551D">
              <w:tc>
                <w:tcPr>
                  <w:tcW w:w="1430" w:type="dxa"/>
                  <w:shd w:val="clear" w:color="auto" w:fill="auto"/>
                </w:tcPr>
                <w:p w14:paraId="432FB245" w14:textId="04EC8A07" w:rsidR="00EB37B6" w:rsidRPr="00C03CBE" w:rsidRDefault="00EB37B6" w:rsidP="00BF25F0">
                  <w:pPr>
                    <w:pStyle w:val="mt-translation"/>
                    <w:spacing w:after="0" w:afterAutospacing="0"/>
                    <w:jc w:val="right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Kopā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17D6D6A3" w14:textId="39E6CB0D" w:rsidR="00EB37B6" w:rsidRPr="00C03CBE" w:rsidRDefault="00EB37B6" w:rsidP="00265B6D">
                  <w:pPr>
                    <w:pStyle w:val="mt-translation"/>
                    <w:spacing w:after="0" w:afterAutospacing="0"/>
                    <w:jc w:val="center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315</w:t>
                  </w:r>
                </w:p>
              </w:tc>
              <w:tc>
                <w:tcPr>
                  <w:tcW w:w="1431" w:type="dxa"/>
                  <w:shd w:val="clear" w:color="auto" w:fill="auto"/>
                </w:tcPr>
                <w:p w14:paraId="27F4EF54" w14:textId="2BE38940" w:rsidR="00EB37B6" w:rsidRPr="00C03CBE" w:rsidRDefault="00EB37B6" w:rsidP="00265B6D">
                  <w:pPr>
                    <w:pStyle w:val="mt-translation"/>
                    <w:spacing w:after="0" w:afterAutospacing="0"/>
                    <w:jc w:val="center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1 122</w:t>
                  </w:r>
                </w:p>
              </w:tc>
              <w:tc>
                <w:tcPr>
                  <w:tcW w:w="1431" w:type="dxa"/>
                  <w:shd w:val="clear" w:color="auto" w:fill="auto"/>
                </w:tcPr>
                <w:p w14:paraId="7A8E2142" w14:textId="23CB8C1F" w:rsidR="00EB37B6" w:rsidRPr="00C03CBE" w:rsidRDefault="00EB37B6" w:rsidP="00265B6D">
                  <w:pPr>
                    <w:pStyle w:val="mt-translation"/>
                    <w:spacing w:after="0" w:afterAutospacing="0"/>
                    <w:jc w:val="center"/>
                    <w:rPr>
                      <w:lang w:val="lv-LV"/>
                    </w:rPr>
                  </w:pPr>
                  <w:r w:rsidRPr="00C03CBE">
                    <w:rPr>
                      <w:lang w:val="lv-LV"/>
                    </w:rPr>
                    <w:t>52 112,99</w:t>
                  </w:r>
                </w:p>
              </w:tc>
            </w:tr>
          </w:tbl>
          <w:p w14:paraId="208D8416" w14:textId="6E1A6869" w:rsidR="00D6260F" w:rsidRPr="00C03CBE" w:rsidRDefault="00D6260F" w:rsidP="00060141">
            <w:pPr>
              <w:pStyle w:val="mt-translation"/>
              <w:spacing w:after="0" w:afterAutospacing="0"/>
              <w:jc w:val="both"/>
              <w:rPr>
                <w:lang w:val="lv-LV"/>
              </w:rPr>
            </w:pPr>
            <w:r w:rsidRPr="00C03CBE">
              <w:rPr>
                <w:lang w:val="lv-LV"/>
              </w:rPr>
              <w:t xml:space="preserve">2) PVD </w:t>
            </w:r>
            <w:r w:rsidR="0085007D" w:rsidRPr="00C03CBE">
              <w:rPr>
                <w:lang w:val="lv-LV"/>
              </w:rPr>
              <w:t xml:space="preserve">paraugu noņemšanas nodrošināšanai un transportēšanai </w:t>
            </w:r>
            <w:r w:rsidR="008F0E7F" w:rsidRPr="00C03CBE">
              <w:rPr>
                <w:lang w:val="lv-LV"/>
              </w:rPr>
              <w:t xml:space="preserve">– </w:t>
            </w:r>
            <w:r w:rsidR="0085007D" w:rsidRPr="00C03CBE">
              <w:rPr>
                <w:lang w:val="lv-LV"/>
              </w:rPr>
              <w:t>10 056,50</w:t>
            </w:r>
            <w:r w:rsidR="008F0E7F" w:rsidRPr="00C03CBE">
              <w:rPr>
                <w:lang w:val="lv-LV"/>
              </w:rPr>
              <w:t xml:space="preserve"> EUR</w:t>
            </w:r>
            <w:r w:rsidR="009F693E" w:rsidRPr="00C03CBE">
              <w:rPr>
                <w:lang w:val="lv-LV"/>
              </w:rPr>
              <w:t>:</w:t>
            </w:r>
          </w:p>
          <w:p w14:paraId="4B669625" w14:textId="7A38E1BE" w:rsidR="009F693E" w:rsidRPr="00C03CBE" w:rsidRDefault="009F693E" w:rsidP="00060141">
            <w:pPr>
              <w:pStyle w:val="mt-translation"/>
              <w:spacing w:after="0" w:afterAutospacing="0"/>
              <w:jc w:val="both"/>
              <w:rPr>
                <w:lang w:val="lv-LV"/>
              </w:rPr>
            </w:pPr>
            <w:r w:rsidRPr="00C03CBE">
              <w:rPr>
                <w:lang w:val="lv-LV"/>
              </w:rPr>
              <w:t xml:space="preserve">a) piemaksas inspektoriem </w:t>
            </w:r>
            <w:r w:rsidR="008F0E7F" w:rsidRPr="00C03CBE">
              <w:rPr>
                <w:lang w:val="lv-LV"/>
              </w:rPr>
              <w:t>–</w:t>
            </w:r>
            <w:r w:rsidRPr="00C03CBE">
              <w:rPr>
                <w:lang w:val="lv-LV"/>
              </w:rPr>
              <w:t xml:space="preserve">27,30 </w:t>
            </w:r>
            <w:r w:rsidR="008F0E7F" w:rsidRPr="00C03CBE">
              <w:rPr>
                <w:lang w:val="lv-LV"/>
              </w:rPr>
              <w:t xml:space="preserve">EUR </w:t>
            </w:r>
            <w:r w:rsidRPr="00C03CBE">
              <w:rPr>
                <w:lang w:val="lv-LV"/>
              </w:rPr>
              <w:t>x 315 paraug</w:t>
            </w:r>
            <w:r w:rsidR="008F0E7F" w:rsidRPr="00C03CBE">
              <w:rPr>
                <w:lang w:val="lv-LV"/>
              </w:rPr>
              <w:t>u</w:t>
            </w:r>
            <w:r w:rsidRPr="00C03CBE">
              <w:rPr>
                <w:lang w:val="lv-LV"/>
              </w:rPr>
              <w:t xml:space="preserve"> = 8 599,50</w:t>
            </w:r>
            <w:r w:rsidR="008F0E7F" w:rsidRPr="00C03CBE">
              <w:rPr>
                <w:lang w:val="lv-LV"/>
              </w:rPr>
              <w:t xml:space="preserve"> EUR</w:t>
            </w:r>
            <w:r w:rsidRPr="00C03CBE">
              <w:rPr>
                <w:lang w:val="lv-LV"/>
              </w:rPr>
              <w:t>;</w:t>
            </w:r>
          </w:p>
          <w:p w14:paraId="019560F1" w14:textId="1C1EEBF5" w:rsidR="009F693E" w:rsidRPr="00C03CBE" w:rsidRDefault="009F693E" w:rsidP="00060141">
            <w:pPr>
              <w:pStyle w:val="mt-translation"/>
              <w:spacing w:after="0" w:afterAutospacing="0"/>
              <w:jc w:val="both"/>
              <w:rPr>
                <w:lang w:val="lv-LV"/>
              </w:rPr>
            </w:pPr>
            <w:r w:rsidRPr="00C03CBE">
              <w:rPr>
                <w:lang w:val="lv-LV"/>
              </w:rPr>
              <w:t xml:space="preserve">b) maisiņi, nodrošinājumi, etiķetes </w:t>
            </w:r>
            <w:r w:rsidR="008F0E7F" w:rsidRPr="00C03CBE">
              <w:rPr>
                <w:lang w:val="lv-LV"/>
              </w:rPr>
              <w:t xml:space="preserve">– </w:t>
            </w:r>
            <w:r w:rsidRPr="00C03CBE">
              <w:rPr>
                <w:lang w:val="lv-LV"/>
              </w:rPr>
              <w:t xml:space="preserve">2,32 </w:t>
            </w:r>
            <w:r w:rsidR="008F0E7F" w:rsidRPr="00C03CBE">
              <w:rPr>
                <w:lang w:val="lv-LV"/>
              </w:rPr>
              <w:t xml:space="preserve">EUR </w:t>
            </w:r>
            <w:r w:rsidRPr="00C03CBE">
              <w:rPr>
                <w:lang w:val="lv-LV"/>
              </w:rPr>
              <w:t>x 315 paraug</w:t>
            </w:r>
            <w:r w:rsidR="008F0E7F" w:rsidRPr="00C03CBE">
              <w:rPr>
                <w:lang w:val="lv-LV"/>
              </w:rPr>
              <w:t>u</w:t>
            </w:r>
            <w:r w:rsidRPr="00C03CBE">
              <w:rPr>
                <w:lang w:val="lv-LV"/>
              </w:rPr>
              <w:t xml:space="preserve"> = 730,80</w:t>
            </w:r>
            <w:r w:rsidR="008F0E7F" w:rsidRPr="00C03CBE">
              <w:rPr>
                <w:lang w:val="lv-LV"/>
              </w:rPr>
              <w:t xml:space="preserve"> EUR</w:t>
            </w:r>
            <w:r w:rsidRPr="00C03CBE">
              <w:rPr>
                <w:lang w:val="lv-LV"/>
              </w:rPr>
              <w:t>;</w:t>
            </w:r>
          </w:p>
          <w:p w14:paraId="242E685B" w14:textId="32B661C9" w:rsidR="009F693E" w:rsidRPr="00C03CBE" w:rsidRDefault="009F693E" w:rsidP="00060141">
            <w:pPr>
              <w:pStyle w:val="mt-translation"/>
              <w:spacing w:after="0" w:afterAutospacing="0"/>
              <w:jc w:val="both"/>
              <w:rPr>
                <w:lang w:val="lv-LV"/>
              </w:rPr>
            </w:pPr>
            <w:r w:rsidRPr="00C03CBE">
              <w:rPr>
                <w:lang w:val="lv-LV"/>
              </w:rPr>
              <w:t xml:space="preserve">c) dezinfekcijas šķīdums </w:t>
            </w:r>
            <w:r w:rsidR="008F0E7F" w:rsidRPr="00C03CBE">
              <w:rPr>
                <w:lang w:val="lv-LV"/>
              </w:rPr>
              <w:t xml:space="preserve">– </w:t>
            </w:r>
            <w:r w:rsidRPr="00C03CBE">
              <w:rPr>
                <w:lang w:val="lv-LV"/>
              </w:rPr>
              <w:t>315 paraug</w:t>
            </w:r>
            <w:r w:rsidR="008F0E7F" w:rsidRPr="00C03CBE">
              <w:rPr>
                <w:lang w:val="lv-LV"/>
              </w:rPr>
              <w:t>u</w:t>
            </w:r>
            <w:r w:rsidRPr="00C03CBE">
              <w:rPr>
                <w:lang w:val="lv-LV"/>
              </w:rPr>
              <w:t>/50 (50 paraugiem 1</w:t>
            </w:r>
            <w:r w:rsidR="008F0E7F" w:rsidRPr="00C03CBE">
              <w:rPr>
                <w:lang w:val="lv-LV"/>
              </w:rPr>
              <w:t> </w:t>
            </w:r>
            <w:r w:rsidRPr="00C03CBE">
              <w:rPr>
                <w:lang w:val="lv-LV"/>
              </w:rPr>
              <w:t xml:space="preserve">litrs šķīduma) x 4,93 </w:t>
            </w:r>
            <w:r w:rsidR="008F0E7F" w:rsidRPr="00C03CBE">
              <w:rPr>
                <w:lang w:val="lv-LV"/>
              </w:rPr>
              <w:t xml:space="preserve">EUR </w:t>
            </w:r>
            <w:r w:rsidRPr="00C03CBE">
              <w:rPr>
                <w:lang w:val="lv-LV"/>
              </w:rPr>
              <w:t>= 31,06</w:t>
            </w:r>
            <w:r w:rsidR="008F0E7F" w:rsidRPr="00C03CBE">
              <w:rPr>
                <w:lang w:val="lv-LV"/>
              </w:rPr>
              <w:t xml:space="preserve"> EUR</w:t>
            </w:r>
            <w:r w:rsidRPr="00C03CBE">
              <w:rPr>
                <w:lang w:val="lv-LV"/>
              </w:rPr>
              <w:t>;</w:t>
            </w:r>
          </w:p>
          <w:p w14:paraId="55E57538" w14:textId="19D23CE8" w:rsidR="009F693E" w:rsidRPr="00C03CBE" w:rsidRDefault="009F693E" w:rsidP="00060141">
            <w:pPr>
              <w:pStyle w:val="mt-translation"/>
              <w:spacing w:after="0" w:afterAutospacing="0"/>
              <w:jc w:val="both"/>
              <w:rPr>
                <w:lang w:val="lv-LV"/>
              </w:rPr>
            </w:pPr>
            <w:r w:rsidRPr="00C03CBE">
              <w:rPr>
                <w:lang w:val="lv-LV"/>
              </w:rPr>
              <w:lastRenderedPageBreak/>
              <w:t xml:space="preserve">d) </w:t>
            </w:r>
            <w:r w:rsidR="002A38D6" w:rsidRPr="00C03CBE">
              <w:rPr>
                <w:lang w:val="lv-LV"/>
              </w:rPr>
              <w:t xml:space="preserve">paraugu transportēšana </w:t>
            </w:r>
            <w:r w:rsidR="008F0E7F" w:rsidRPr="00C03CBE">
              <w:rPr>
                <w:lang w:val="lv-LV"/>
              </w:rPr>
              <w:t>–</w:t>
            </w:r>
            <w:r w:rsidR="002A38D6" w:rsidRPr="00C03CBE">
              <w:rPr>
                <w:lang w:val="lv-LV"/>
              </w:rPr>
              <w:t xml:space="preserve">695,14 </w:t>
            </w:r>
            <w:r w:rsidR="008F0E7F" w:rsidRPr="00C03CBE">
              <w:rPr>
                <w:lang w:val="lv-LV"/>
              </w:rPr>
              <w:t xml:space="preserve">EUR </w:t>
            </w:r>
            <w:r w:rsidR="002A38D6" w:rsidRPr="00C03CBE">
              <w:rPr>
                <w:lang w:val="lv-LV"/>
              </w:rPr>
              <w:t xml:space="preserve">(izmaksas atkarīgas no paraugu ņemšanas biežuma un uzņēmuma </w:t>
            </w:r>
            <w:r w:rsidR="00B23F05" w:rsidRPr="00C03CBE">
              <w:rPr>
                <w:lang w:val="lv-LV"/>
              </w:rPr>
              <w:t>atrašanās</w:t>
            </w:r>
            <w:r w:rsidR="002A38D6" w:rsidRPr="00C03CBE">
              <w:rPr>
                <w:lang w:val="lv-LV"/>
              </w:rPr>
              <w:t xml:space="preserve"> vietas)</w:t>
            </w:r>
            <w:r w:rsidR="007E1D2F" w:rsidRPr="00C03CBE">
              <w:rPr>
                <w:lang w:val="lv-LV"/>
              </w:rPr>
              <w:t>.</w:t>
            </w:r>
          </w:p>
          <w:p w14:paraId="7D2A61C6" w14:textId="5D4E313E" w:rsidR="002A38D6" w:rsidRPr="00C03CBE" w:rsidRDefault="00BF25F0" w:rsidP="00DB1F16">
            <w:pPr>
              <w:pStyle w:val="mt-translation"/>
              <w:spacing w:after="0" w:afterAutospacing="0"/>
              <w:jc w:val="both"/>
              <w:rPr>
                <w:lang w:val="lv-LV"/>
              </w:rPr>
            </w:pPr>
            <w:r w:rsidRPr="00C03CBE">
              <w:rPr>
                <w:lang w:val="lv-LV"/>
              </w:rPr>
              <w:t xml:space="preserve">Finansējums </w:t>
            </w:r>
            <w:r w:rsidRPr="00C03CBE">
              <w:rPr>
                <w:color w:val="000000"/>
                <w:lang w:val="lv-LV"/>
              </w:rPr>
              <w:t>11 173,91</w:t>
            </w:r>
            <w:r w:rsidR="008F0E7F" w:rsidRPr="00C03CBE">
              <w:rPr>
                <w:color w:val="000000"/>
                <w:lang w:val="lv-LV"/>
              </w:rPr>
              <w:t> </w:t>
            </w:r>
            <w:r w:rsidR="008F0E7F" w:rsidRPr="00C03CBE">
              <w:rPr>
                <w:lang w:val="lv-LV"/>
              </w:rPr>
              <w:t>EUR</w:t>
            </w:r>
            <w:r w:rsidR="008F0E7F" w:rsidRPr="00C03CBE">
              <w:rPr>
                <w:color w:val="000000"/>
                <w:lang w:val="lv-LV"/>
              </w:rPr>
              <w:t xml:space="preserve"> </w:t>
            </w:r>
            <w:r w:rsidRPr="00C03CBE">
              <w:rPr>
                <w:color w:val="000000"/>
                <w:lang w:val="lv-LV"/>
              </w:rPr>
              <w:t>uzskatāms par indikatīvu atlikumu, kas veidojas, jo</w:t>
            </w:r>
            <w:r w:rsidR="008F0E7F" w:rsidRPr="00C03CBE">
              <w:rPr>
                <w:color w:val="000000"/>
                <w:lang w:val="lv-LV"/>
              </w:rPr>
              <w:t>,</w:t>
            </w:r>
            <w:r w:rsidRPr="00C03CBE">
              <w:rPr>
                <w:color w:val="000000"/>
                <w:lang w:val="lv-LV"/>
              </w:rPr>
              <w:t xml:space="preserve"> </w:t>
            </w:r>
            <w:r w:rsidR="00AF0470" w:rsidRPr="00C03CBE">
              <w:rPr>
                <w:color w:val="000000"/>
                <w:lang w:val="lv-LV"/>
              </w:rPr>
              <w:t>saglabājot sākotnēji plānoto paraugu skaitu, tiek mainīti veicamie laboratoriskie izmeklējumi</w:t>
            </w:r>
            <w:r w:rsidR="003535C1" w:rsidRPr="00C03CBE">
              <w:rPr>
                <w:color w:val="000000"/>
                <w:lang w:val="lv-LV"/>
              </w:rPr>
              <w:t xml:space="preserve"> atbilstoši iepriekšējo izmeklējumu rezultātiem un konstatētajiem pārkāpumiem ievesto pārtikas apritē.</w:t>
            </w:r>
            <w:r w:rsidR="00AF0470" w:rsidRPr="00C03CBE">
              <w:rPr>
                <w:color w:val="000000"/>
                <w:lang w:val="lv-LV"/>
              </w:rPr>
              <w:t xml:space="preserve"> </w:t>
            </w:r>
            <w:r w:rsidR="003535C1" w:rsidRPr="00C03CBE">
              <w:rPr>
                <w:color w:val="000000"/>
                <w:lang w:val="lv-LV"/>
              </w:rPr>
              <w:t>Turpmāk plānotajiem izmeklējumiem kopumā būs</w:t>
            </w:r>
            <w:r w:rsidR="006E0FE7" w:rsidRPr="00C03CBE">
              <w:rPr>
                <w:color w:val="000000"/>
                <w:lang w:val="lv-LV"/>
              </w:rPr>
              <w:t xml:space="preserve"> m</w:t>
            </w:r>
            <w:r w:rsidR="008F0E7F" w:rsidRPr="00C03CBE">
              <w:rPr>
                <w:color w:val="000000"/>
                <w:lang w:val="lv-LV"/>
              </w:rPr>
              <w:t>az</w:t>
            </w:r>
            <w:r w:rsidR="006E0FE7" w:rsidRPr="00C03CBE">
              <w:rPr>
                <w:color w:val="000000"/>
                <w:lang w:val="lv-LV"/>
              </w:rPr>
              <w:t>ākas izmaksas</w:t>
            </w:r>
            <w:r w:rsidR="00AF0470" w:rsidRPr="00C03CBE">
              <w:rPr>
                <w:color w:val="000000"/>
                <w:lang w:val="lv-LV"/>
              </w:rPr>
              <w:t xml:space="preserve">, tāpēc </w:t>
            </w:r>
            <w:r w:rsidR="003535C1" w:rsidRPr="00C03CBE">
              <w:rPr>
                <w:color w:val="000000"/>
                <w:lang w:val="lv-LV"/>
              </w:rPr>
              <w:t>samazinās</w:t>
            </w:r>
            <w:r w:rsidR="00AF0470" w:rsidRPr="00C03CBE">
              <w:rPr>
                <w:color w:val="000000"/>
                <w:lang w:val="lv-LV"/>
              </w:rPr>
              <w:t xml:space="preserve"> arī darbību veikšanai nepieciešamā fina</w:t>
            </w:r>
            <w:r w:rsidR="00CA505A" w:rsidRPr="00C03CBE">
              <w:rPr>
                <w:color w:val="000000"/>
                <w:lang w:val="lv-LV"/>
              </w:rPr>
              <w:t>n</w:t>
            </w:r>
            <w:r w:rsidR="00AF0470" w:rsidRPr="00C03CBE">
              <w:rPr>
                <w:color w:val="000000"/>
                <w:lang w:val="lv-LV"/>
              </w:rPr>
              <w:t>sējuma ap</w:t>
            </w:r>
            <w:r w:rsidR="008F0E7F" w:rsidRPr="00C03CBE">
              <w:rPr>
                <w:color w:val="000000"/>
                <w:lang w:val="lv-LV"/>
              </w:rPr>
              <w:t>mērs</w:t>
            </w:r>
            <w:r w:rsidR="00AF0470" w:rsidRPr="00C03CBE">
              <w:rPr>
                <w:color w:val="000000"/>
                <w:lang w:val="lv-LV"/>
              </w:rPr>
              <w:t>.</w:t>
            </w:r>
            <w:r w:rsidR="00CA505A" w:rsidRPr="00C03CBE">
              <w:rPr>
                <w:color w:val="000000"/>
                <w:lang w:val="lv-LV"/>
              </w:rPr>
              <w:t xml:space="preserve"> Piešķirtie līdzekļi tika pārskaitīti BIOR, lai operatīvi </w:t>
            </w:r>
            <w:r w:rsidR="008F0E7F" w:rsidRPr="00C03CBE">
              <w:rPr>
                <w:color w:val="000000"/>
                <w:lang w:val="lv-LV"/>
              </w:rPr>
              <w:t>īsteno</w:t>
            </w:r>
            <w:r w:rsidR="00CA505A" w:rsidRPr="00C03CBE">
              <w:rPr>
                <w:color w:val="000000"/>
                <w:lang w:val="lv-LV"/>
              </w:rPr>
              <w:t xml:space="preserve">tu nepieciešamās darbības (piemēram, </w:t>
            </w:r>
            <w:r w:rsidR="008F0E7F" w:rsidRPr="00C03CBE">
              <w:rPr>
                <w:color w:val="000000"/>
                <w:lang w:val="lv-LV"/>
              </w:rPr>
              <w:t>laikus iegādātos</w:t>
            </w:r>
            <w:r w:rsidR="00CA505A" w:rsidRPr="00C03CBE">
              <w:rPr>
                <w:color w:val="000000"/>
                <w:lang w:val="lv-LV"/>
              </w:rPr>
              <w:t xml:space="preserve"> materiāl</w:t>
            </w:r>
            <w:r w:rsidR="008F0E7F" w:rsidRPr="00C03CBE">
              <w:rPr>
                <w:color w:val="000000"/>
                <w:lang w:val="lv-LV"/>
              </w:rPr>
              <w:t>us</w:t>
            </w:r>
            <w:r w:rsidR="00CA505A" w:rsidRPr="00C03CBE">
              <w:rPr>
                <w:color w:val="000000"/>
                <w:lang w:val="lv-LV"/>
              </w:rPr>
              <w:t xml:space="preserve">), </w:t>
            </w:r>
            <w:r w:rsidR="008F0E7F" w:rsidRPr="00C03CBE">
              <w:rPr>
                <w:color w:val="000000"/>
                <w:lang w:val="lv-LV"/>
              </w:rPr>
              <w:t xml:space="preserve">un </w:t>
            </w:r>
            <w:r w:rsidR="00CA505A" w:rsidRPr="00C03CBE">
              <w:rPr>
                <w:color w:val="000000"/>
                <w:lang w:val="lv-LV"/>
              </w:rPr>
              <w:t xml:space="preserve">neizlietotais finansējums tiks </w:t>
            </w:r>
            <w:r w:rsidR="00B23F05" w:rsidRPr="00C03CBE">
              <w:rPr>
                <w:lang w:val="lv-LV"/>
              </w:rPr>
              <w:t>pārskaitīt</w:t>
            </w:r>
            <w:r w:rsidR="00CA505A" w:rsidRPr="00C03CBE">
              <w:rPr>
                <w:lang w:val="lv-LV"/>
              </w:rPr>
              <w:t>s</w:t>
            </w:r>
            <w:r w:rsidR="00B23F05" w:rsidRPr="00C03CBE">
              <w:rPr>
                <w:lang w:val="lv-LV"/>
              </w:rPr>
              <w:t xml:space="preserve"> atpakaļ </w:t>
            </w:r>
            <w:r w:rsidR="00CA505A" w:rsidRPr="00C03CBE">
              <w:rPr>
                <w:lang w:val="lv-LV"/>
              </w:rPr>
              <w:t>Zemkopības ministrijai</w:t>
            </w:r>
            <w:r w:rsidR="00B23F05" w:rsidRPr="00C03CBE">
              <w:rPr>
                <w:lang w:val="lv-LV"/>
              </w:rPr>
              <w:t>.</w:t>
            </w:r>
          </w:p>
          <w:p w14:paraId="2614C04C" w14:textId="716EDDFB" w:rsidR="00C8501D" w:rsidRPr="00EF32B1" w:rsidRDefault="00EF32B1" w:rsidP="00DB1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B1">
              <w:rPr>
                <w:rFonts w:ascii="Times New Roman" w:hAnsi="Times New Roman" w:cs="Times New Roman"/>
                <w:bCs/>
                <w:sz w:val="24"/>
                <w:szCs w:val="24"/>
              </w:rPr>
              <w:t>Ņemot vērā minēto</w:t>
            </w:r>
            <w:r w:rsidR="00F3129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F3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sagatavots </w:t>
            </w:r>
            <w:r w:rsidRPr="00EF3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rīkojuma projekt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Pr="00EF3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“Grozījums Ministru kabineta 2020. gada 12. jūnija rīkojumā Nr. 316 “Par finanšu līdzekļu piešķiršanu no valsts budžeta programmas “Līdzekļi neparedzētiem gadījumiem””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”.</w:t>
            </w:r>
          </w:p>
        </w:tc>
      </w:tr>
      <w:tr w:rsidR="00193837" w:rsidRPr="00193837" w14:paraId="6A52C9AE" w14:textId="77777777" w:rsidTr="003B338B">
        <w:tc>
          <w:tcPr>
            <w:tcW w:w="300" w:type="pct"/>
            <w:hideMark/>
          </w:tcPr>
          <w:p w14:paraId="01F40E40" w14:textId="77777777" w:rsidR="009D02CA" w:rsidRPr="00193837" w:rsidRDefault="009D02CA" w:rsidP="004E4D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3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418" w:type="pct"/>
            <w:hideMark/>
          </w:tcPr>
          <w:p w14:paraId="0AD3574A" w14:textId="77777777" w:rsidR="009D02CA" w:rsidRPr="00193837" w:rsidRDefault="009D02CA" w:rsidP="001938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3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282" w:type="pct"/>
            <w:hideMark/>
          </w:tcPr>
          <w:p w14:paraId="68C8618A" w14:textId="4E5A40ED" w:rsidR="00C8501D" w:rsidRPr="00AC6BDC" w:rsidRDefault="00E13F39" w:rsidP="00AC6B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3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</w:t>
            </w:r>
            <w:r w:rsidR="009074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Pr="00734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67CEA" w:rsidRPr="00734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Pārtikas un veterinārais dienests</w:t>
            </w:r>
          </w:p>
        </w:tc>
      </w:tr>
      <w:tr w:rsidR="00193837" w:rsidRPr="00193837" w14:paraId="7E4B943B" w14:textId="77777777" w:rsidTr="003B338B">
        <w:tc>
          <w:tcPr>
            <w:tcW w:w="300" w:type="pct"/>
            <w:hideMark/>
          </w:tcPr>
          <w:p w14:paraId="051011F9" w14:textId="77777777" w:rsidR="009D02CA" w:rsidRPr="00193837" w:rsidRDefault="009D02CA" w:rsidP="004E4D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3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18" w:type="pct"/>
            <w:hideMark/>
          </w:tcPr>
          <w:p w14:paraId="548E374D" w14:textId="77777777" w:rsidR="009D02CA" w:rsidRPr="00193837" w:rsidRDefault="009D02CA" w:rsidP="001938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3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hideMark/>
          </w:tcPr>
          <w:p w14:paraId="6EEC6780" w14:textId="7708383D" w:rsidR="00C8501D" w:rsidRPr="00AC6BDC" w:rsidRDefault="009D02CA" w:rsidP="00AC6B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3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734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48289A7" w14:textId="77777777" w:rsidR="00E5323B" w:rsidRPr="00193837" w:rsidRDefault="00E5323B" w:rsidP="004E4D2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Reatabula"/>
        <w:tblW w:w="5004" w:type="pct"/>
        <w:tblLook w:val="04A0" w:firstRow="1" w:lastRow="0" w:firstColumn="1" w:lastColumn="0" w:noHBand="0" w:noVBand="1"/>
      </w:tblPr>
      <w:tblGrid>
        <w:gridCol w:w="414"/>
        <w:gridCol w:w="2700"/>
        <w:gridCol w:w="5954"/>
      </w:tblGrid>
      <w:tr w:rsidR="00193837" w:rsidRPr="00193837" w14:paraId="68E4B0F7" w14:textId="77777777" w:rsidTr="008E31FE">
        <w:tc>
          <w:tcPr>
            <w:tcW w:w="0" w:type="auto"/>
            <w:gridSpan w:val="3"/>
            <w:hideMark/>
          </w:tcPr>
          <w:p w14:paraId="0EE7AD01" w14:textId="77777777" w:rsidR="007F3C25" w:rsidRPr="00193837" w:rsidRDefault="007F3C25" w:rsidP="00193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38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93837" w:rsidRPr="00193837" w14:paraId="74236B61" w14:textId="77777777" w:rsidTr="00F028D5">
        <w:tc>
          <w:tcPr>
            <w:tcW w:w="228" w:type="pct"/>
          </w:tcPr>
          <w:p w14:paraId="371DDCBB" w14:textId="77777777" w:rsidR="00B528AA" w:rsidRPr="00193837" w:rsidRDefault="00B528AA" w:rsidP="004E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9383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89" w:type="pct"/>
          </w:tcPr>
          <w:p w14:paraId="0FA9C901" w14:textId="77777777" w:rsidR="00B528AA" w:rsidRPr="00193837" w:rsidRDefault="00B528AA" w:rsidP="0019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7">
              <w:rPr>
                <w:rFonts w:ascii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83" w:type="pct"/>
          </w:tcPr>
          <w:p w14:paraId="7F90E162" w14:textId="02A7D4CF" w:rsidR="00B528AA" w:rsidRPr="007340CB" w:rsidRDefault="00BE7955" w:rsidP="00AA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7">
              <w:rPr>
                <w:rFonts w:ascii="Times New Roman" w:hAnsi="Times New Roman" w:cs="Times New Roman"/>
                <w:sz w:val="24"/>
                <w:szCs w:val="24"/>
              </w:rPr>
              <w:t xml:space="preserve">Uzņēmēji, kas </w:t>
            </w:r>
            <w:r w:rsidR="001921AF">
              <w:rPr>
                <w:rFonts w:ascii="Times New Roman" w:hAnsi="Times New Roman" w:cs="Times New Roman"/>
                <w:sz w:val="24"/>
                <w:szCs w:val="24"/>
              </w:rPr>
              <w:t xml:space="preserve">Latvijā </w:t>
            </w:r>
            <w:r w:rsidRPr="00193837">
              <w:rPr>
                <w:rFonts w:ascii="Times New Roman" w:hAnsi="Times New Roman" w:cs="Times New Roman"/>
                <w:sz w:val="24"/>
                <w:szCs w:val="24"/>
              </w:rPr>
              <w:t xml:space="preserve">ieved </w:t>
            </w:r>
            <w:r w:rsidR="001921AF">
              <w:rPr>
                <w:rFonts w:ascii="Times New Roman" w:hAnsi="Times New Roman" w:cs="Times New Roman"/>
                <w:sz w:val="24"/>
                <w:szCs w:val="24"/>
              </w:rPr>
              <w:t xml:space="preserve">putnkopības </w:t>
            </w:r>
            <w:r w:rsidR="00AE415C">
              <w:rPr>
                <w:rFonts w:ascii="Times New Roman" w:hAnsi="Times New Roman" w:cs="Times New Roman"/>
                <w:sz w:val="24"/>
                <w:szCs w:val="24"/>
              </w:rPr>
              <w:t xml:space="preserve">nozares </w:t>
            </w:r>
            <w:r w:rsidRPr="00193837">
              <w:rPr>
                <w:rFonts w:ascii="Times New Roman" w:hAnsi="Times New Roman" w:cs="Times New Roman"/>
                <w:sz w:val="24"/>
                <w:szCs w:val="24"/>
              </w:rPr>
              <w:t xml:space="preserve">produktus, Pārtikas un veterinārais dienests, </w:t>
            </w:r>
            <w:r w:rsidRPr="00193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Pārtikas drošības, dzīvnieku veselības un vides zinātniska</w:t>
            </w:r>
            <w:r w:rsidR="002E41FD" w:rsidRPr="00193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is</w:t>
            </w:r>
            <w:r w:rsidRPr="00193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institūts “BIOR”</w:t>
            </w:r>
            <w:r w:rsidR="00734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Pr="00734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patēr</w:t>
            </w:r>
            <w:r w:rsidR="002E41FD" w:rsidRPr="00734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ētā</w:t>
            </w:r>
            <w:r w:rsidRPr="00734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ji</w:t>
            </w:r>
          </w:p>
        </w:tc>
      </w:tr>
      <w:tr w:rsidR="00193837" w:rsidRPr="00193837" w14:paraId="731D72C1" w14:textId="77777777" w:rsidTr="00F028D5">
        <w:tc>
          <w:tcPr>
            <w:tcW w:w="228" w:type="pct"/>
          </w:tcPr>
          <w:p w14:paraId="0DDB4EF8" w14:textId="77777777" w:rsidR="00B528AA" w:rsidRPr="00193837" w:rsidRDefault="00B528AA" w:rsidP="004E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9383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89" w:type="pct"/>
          </w:tcPr>
          <w:p w14:paraId="317134C5" w14:textId="77777777" w:rsidR="00B528AA" w:rsidRPr="00193837" w:rsidRDefault="00B528AA" w:rsidP="001938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7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83" w:type="pct"/>
          </w:tcPr>
          <w:p w14:paraId="5F0237A4" w14:textId="3852ADC2" w:rsidR="00B528AA" w:rsidRPr="00193837" w:rsidRDefault="00EC601A" w:rsidP="00AC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93837" w:rsidRPr="00193837" w14:paraId="4DEDB3F9" w14:textId="77777777" w:rsidTr="00F028D5">
        <w:tc>
          <w:tcPr>
            <w:tcW w:w="228" w:type="pct"/>
          </w:tcPr>
          <w:p w14:paraId="4BC850B2" w14:textId="77777777" w:rsidR="00B528AA" w:rsidRPr="00193837" w:rsidRDefault="00B528AA" w:rsidP="004E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9383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89" w:type="pct"/>
          </w:tcPr>
          <w:p w14:paraId="5ECC9CCC" w14:textId="77777777" w:rsidR="00B528AA" w:rsidRPr="00193837" w:rsidRDefault="00B528AA" w:rsidP="00193837">
            <w:pPr>
              <w:pStyle w:val="Paraststmeklis"/>
              <w:spacing w:before="0" w:beforeAutospacing="0" w:after="0" w:afterAutospacing="0"/>
              <w:jc w:val="both"/>
            </w:pPr>
            <w:r w:rsidRPr="00193837">
              <w:t>Administratīvo izmaksu monetārs novērtējums</w:t>
            </w:r>
          </w:p>
        </w:tc>
        <w:tc>
          <w:tcPr>
            <w:tcW w:w="3283" w:type="pct"/>
          </w:tcPr>
          <w:p w14:paraId="6AA819AB" w14:textId="77777777" w:rsidR="00B528AA" w:rsidRPr="00193837" w:rsidRDefault="005A22F3" w:rsidP="00AC6B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9383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93837" w:rsidRPr="00193837" w14:paraId="07EA97D2" w14:textId="77777777" w:rsidTr="00F028D5">
        <w:tc>
          <w:tcPr>
            <w:tcW w:w="228" w:type="pct"/>
          </w:tcPr>
          <w:p w14:paraId="331E4527" w14:textId="77777777" w:rsidR="00B528AA" w:rsidRPr="00193837" w:rsidRDefault="00B528AA" w:rsidP="004E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9383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89" w:type="pct"/>
          </w:tcPr>
          <w:p w14:paraId="2B4FC003" w14:textId="77777777" w:rsidR="00B528AA" w:rsidRPr="00193837" w:rsidRDefault="00B528AA" w:rsidP="00193837">
            <w:pPr>
              <w:pStyle w:val="Paraststmeklis"/>
              <w:spacing w:before="0" w:beforeAutospacing="0" w:after="0" w:afterAutospacing="0"/>
              <w:jc w:val="both"/>
            </w:pPr>
            <w:r w:rsidRPr="00193837">
              <w:t>Atbilstības izmaksu monetārs novērtējums</w:t>
            </w:r>
          </w:p>
        </w:tc>
        <w:tc>
          <w:tcPr>
            <w:tcW w:w="3283" w:type="pct"/>
          </w:tcPr>
          <w:p w14:paraId="2D85FA93" w14:textId="77777777" w:rsidR="00B528AA" w:rsidRPr="00193837" w:rsidRDefault="005A22F3" w:rsidP="00AC6B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9383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93837" w:rsidRPr="00193837" w14:paraId="61DAAD43" w14:textId="77777777" w:rsidTr="00F028D5">
        <w:tc>
          <w:tcPr>
            <w:tcW w:w="228" w:type="pct"/>
          </w:tcPr>
          <w:p w14:paraId="4DCF1287" w14:textId="77777777" w:rsidR="00B528AA" w:rsidRPr="00193837" w:rsidRDefault="00B528AA" w:rsidP="004E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9383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89" w:type="pct"/>
          </w:tcPr>
          <w:p w14:paraId="1C06AA93" w14:textId="77777777" w:rsidR="00B528AA" w:rsidRPr="00193837" w:rsidRDefault="00B528AA" w:rsidP="0019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7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83" w:type="pct"/>
          </w:tcPr>
          <w:p w14:paraId="46CA8199" w14:textId="06531B43" w:rsidR="00C8501D" w:rsidRPr="00AA78F6" w:rsidRDefault="005A22F3" w:rsidP="002F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7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AA7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D35C5A6" w14:textId="77777777" w:rsidR="007F3C25" w:rsidRPr="00193837" w:rsidRDefault="007F3C25" w:rsidP="004E4D2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193837" w:rsidRPr="00193837" w14:paraId="6D9F4469" w14:textId="77777777" w:rsidTr="008E31FE">
        <w:tc>
          <w:tcPr>
            <w:tcW w:w="0" w:type="auto"/>
            <w:hideMark/>
          </w:tcPr>
          <w:p w14:paraId="2A17C9A3" w14:textId="77777777" w:rsidR="00655F2C" w:rsidRPr="00193837" w:rsidRDefault="00E5323B" w:rsidP="00AC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38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B8281B" w:rsidRPr="00791DEA" w14:paraId="2BB2057F" w14:textId="77777777" w:rsidTr="00B8281B">
        <w:tc>
          <w:tcPr>
            <w:tcW w:w="5000" w:type="pct"/>
          </w:tcPr>
          <w:p w14:paraId="05D08604" w14:textId="471E7864" w:rsidR="00B8281B" w:rsidRPr="00791DEA" w:rsidRDefault="00B8281B" w:rsidP="00B8281B">
            <w:pPr>
              <w:tabs>
                <w:tab w:val="center" w:pos="4153"/>
                <w:tab w:val="right" w:pos="8460"/>
              </w:tabs>
              <w:ind w:right="-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7E33ED8" w14:textId="77777777" w:rsidR="00F71E69" w:rsidRPr="00791DEA" w:rsidRDefault="00F71E69" w:rsidP="004E4D2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193837" w:rsidRPr="00791DEA" w14:paraId="617EE526" w14:textId="77777777" w:rsidTr="008E31FE">
        <w:tc>
          <w:tcPr>
            <w:tcW w:w="0" w:type="auto"/>
            <w:hideMark/>
          </w:tcPr>
          <w:p w14:paraId="33EE8C08" w14:textId="77777777" w:rsidR="003013D3" w:rsidRPr="00791DEA" w:rsidRDefault="003013D3" w:rsidP="00193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93837" w:rsidRPr="00791DEA" w14:paraId="489B7316" w14:textId="77777777" w:rsidTr="008E31FE">
        <w:trPr>
          <w:trHeight w:val="268"/>
        </w:trPr>
        <w:tc>
          <w:tcPr>
            <w:tcW w:w="4967" w:type="pct"/>
            <w:hideMark/>
          </w:tcPr>
          <w:p w14:paraId="5C29BF44" w14:textId="7B9BB9F9" w:rsidR="0047103D" w:rsidRPr="00791DEA" w:rsidRDefault="003013D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E9AF59A" w14:textId="77777777" w:rsidR="003013D3" w:rsidRPr="00791DEA" w:rsidRDefault="003013D3" w:rsidP="004E4D2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193837" w:rsidRPr="00791DEA" w14:paraId="706B2651" w14:textId="77777777" w:rsidTr="008E31FE">
        <w:tc>
          <w:tcPr>
            <w:tcW w:w="0" w:type="auto"/>
            <w:hideMark/>
          </w:tcPr>
          <w:p w14:paraId="69CCC9EB" w14:textId="77777777" w:rsidR="00655F2C" w:rsidRPr="00791DEA" w:rsidRDefault="00E5323B" w:rsidP="00193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93837" w:rsidRPr="00791DEA" w14:paraId="66BBC9D6" w14:textId="77777777" w:rsidTr="008E31FE">
        <w:tc>
          <w:tcPr>
            <w:tcW w:w="4967" w:type="pct"/>
            <w:hideMark/>
          </w:tcPr>
          <w:p w14:paraId="59A9EB7C" w14:textId="203A8F2E" w:rsidR="0047103D" w:rsidRPr="00791DEA" w:rsidRDefault="00C565C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4F4B3D" w:rsidRPr="00791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D3B161F" w14:textId="7779952B" w:rsidR="00E5323B" w:rsidRDefault="00E5323B" w:rsidP="004E4D2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0E5C80FE" w14:textId="77777777" w:rsidR="00907491" w:rsidRPr="00791DEA" w:rsidRDefault="00907491" w:rsidP="004E4D2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193837" w:rsidRPr="00791DEA" w14:paraId="34B1AE16" w14:textId="77777777" w:rsidTr="008E31FE">
        <w:tc>
          <w:tcPr>
            <w:tcW w:w="0" w:type="auto"/>
            <w:hideMark/>
          </w:tcPr>
          <w:p w14:paraId="6ECC7502" w14:textId="77777777" w:rsidR="00655F2C" w:rsidRPr="00791DEA" w:rsidRDefault="00E5323B" w:rsidP="00193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bookmarkStart w:id="4" w:name="_GoBack" w:colFirst="0" w:colLast="0"/>
            <w:r w:rsidRPr="00791D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193837" w:rsidRPr="00791DEA" w14:paraId="3229E6F4" w14:textId="77777777" w:rsidTr="008E31FE">
        <w:tc>
          <w:tcPr>
            <w:tcW w:w="4967" w:type="pct"/>
            <w:hideMark/>
          </w:tcPr>
          <w:p w14:paraId="1F704C40" w14:textId="01939CB9" w:rsidR="0047103D" w:rsidRPr="00791DEA" w:rsidRDefault="009A26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4F4B3D" w:rsidRPr="00791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bookmarkEnd w:id="4"/>
    </w:tbl>
    <w:p w14:paraId="0C8DDEDC" w14:textId="77777777" w:rsidR="00E5323B" w:rsidRPr="00791DEA" w:rsidRDefault="00E5323B" w:rsidP="004E4D2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544"/>
        <w:gridCol w:w="2854"/>
        <w:gridCol w:w="5663"/>
      </w:tblGrid>
      <w:tr w:rsidR="00193837" w:rsidRPr="00791DEA" w14:paraId="7A72FDD7" w14:textId="77777777" w:rsidTr="008E31FE">
        <w:tc>
          <w:tcPr>
            <w:tcW w:w="0" w:type="auto"/>
            <w:gridSpan w:val="3"/>
            <w:hideMark/>
          </w:tcPr>
          <w:p w14:paraId="39AB4496" w14:textId="77777777" w:rsidR="00655F2C" w:rsidRPr="00791DEA" w:rsidRDefault="00E5323B" w:rsidP="00193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93837" w:rsidRPr="00791DEA" w14:paraId="4A4F5B5D" w14:textId="77777777" w:rsidTr="003B338B">
        <w:tc>
          <w:tcPr>
            <w:tcW w:w="300" w:type="pct"/>
            <w:hideMark/>
          </w:tcPr>
          <w:p w14:paraId="288108A8" w14:textId="77777777" w:rsidR="00655F2C" w:rsidRPr="00791DEA" w:rsidRDefault="00E5323B" w:rsidP="004E4D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75" w:type="pct"/>
            <w:hideMark/>
          </w:tcPr>
          <w:p w14:paraId="7935F011" w14:textId="77777777" w:rsidR="00E5323B" w:rsidRPr="00791DEA" w:rsidRDefault="00E5323B" w:rsidP="001938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25" w:type="pct"/>
            <w:hideMark/>
          </w:tcPr>
          <w:p w14:paraId="2547B09E" w14:textId="159C0FFB" w:rsidR="00C8501D" w:rsidRPr="00791DEA" w:rsidRDefault="00E13F39" w:rsidP="00791DE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ministrija, Pārtikas un veterinārais dienests, Pārtikas drošības, dzīvnieku veselības un vides zinātniskais institūts “BIOR”</w:t>
            </w:r>
          </w:p>
        </w:tc>
      </w:tr>
      <w:tr w:rsidR="00193837" w:rsidRPr="00791DEA" w14:paraId="585AEB48" w14:textId="77777777" w:rsidTr="003B338B">
        <w:tc>
          <w:tcPr>
            <w:tcW w:w="300" w:type="pct"/>
            <w:hideMark/>
          </w:tcPr>
          <w:p w14:paraId="6170E0F1" w14:textId="77777777" w:rsidR="00655F2C" w:rsidRPr="00791DEA" w:rsidRDefault="00E5323B" w:rsidP="004E4D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75" w:type="pct"/>
            <w:hideMark/>
          </w:tcPr>
          <w:p w14:paraId="42725571" w14:textId="77777777" w:rsidR="003E0DBF" w:rsidRPr="00791DEA" w:rsidRDefault="00E5323B" w:rsidP="001938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3744AC5D" w14:textId="77777777" w:rsidR="00E5323B" w:rsidRPr="00791DEA" w:rsidRDefault="00E5323B" w:rsidP="00791D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125" w:type="pct"/>
            <w:hideMark/>
          </w:tcPr>
          <w:p w14:paraId="60953D3B" w14:textId="77777777" w:rsidR="00E5323B" w:rsidRPr="00791DEA" w:rsidRDefault="009A262D" w:rsidP="00791D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93837" w:rsidRPr="00791DEA" w14:paraId="2CB1A49C" w14:textId="77777777" w:rsidTr="003B338B">
        <w:tc>
          <w:tcPr>
            <w:tcW w:w="300" w:type="pct"/>
            <w:hideMark/>
          </w:tcPr>
          <w:p w14:paraId="330103BF" w14:textId="77777777" w:rsidR="00655F2C" w:rsidRPr="00791DEA" w:rsidRDefault="00E5323B" w:rsidP="004E4D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75" w:type="pct"/>
            <w:hideMark/>
          </w:tcPr>
          <w:p w14:paraId="48F98104" w14:textId="77777777" w:rsidR="00E5323B" w:rsidRPr="00791DEA" w:rsidRDefault="00E5323B" w:rsidP="0019383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5" w:type="pct"/>
            <w:hideMark/>
          </w:tcPr>
          <w:p w14:paraId="26D74CFF" w14:textId="77777777" w:rsidR="00E5323B" w:rsidRPr="00791DEA" w:rsidRDefault="009A262D" w:rsidP="00791D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1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3604C393" w14:textId="77777777" w:rsidR="00C25B49" w:rsidRPr="00791DEA" w:rsidRDefault="00C25B49" w:rsidP="004E4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F9C24" w14:textId="5E7BADF5" w:rsidR="00E5323B" w:rsidRDefault="00E5323B" w:rsidP="00193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D7B87" w14:textId="77777777" w:rsidR="00D73DFB" w:rsidRPr="00791DEA" w:rsidRDefault="00D73DFB" w:rsidP="00193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26E58" w14:textId="77777777" w:rsidR="0047103D" w:rsidRPr="00791DEA" w:rsidRDefault="0047103D" w:rsidP="0079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E4747" w14:textId="4852BDAA" w:rsidR="005118A7" w:rsidRPr="00193837" w:rsidRDefault="0047103D" w:rsidP="001F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DE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118A7" w:rsidRPr="00791DEA">
        <w:rPr>
          <w:rFonts w:ascii="Times New Roman" w:hAnsi="Times New Roman" w:cs="Times New Roman"/>
          <w:sz w:val="28"/>
          <w:szCs w:val="28"/>
        </w:rPr>
        <w:t>Zemkopības ministr</w:t>
      </w:r>
      <w:r w:rsidR="001C5EE5" w:rsidRPr="00791DEA">
        <w:rPr>
          <w:rFonts w:ascii="Times New Roman" w:hAnsi="Times New Roman" w:cs="Times New Roman"/>
          <w:sz w:val="28"/>
          <w:szCs w:val="28"/>
        </w:rPr>
        <w:t>s</w:t>
      </w:r>
      <w:r w:rsidR="005118A7" w:rsidRPr="00193837">
        <w:rPr>
          <w:rFonts w:ascii="Times New Roman" w:hAnsi="Times New Roman" w:cs="Times New Roman"/>
          <w:sz w:val="28"/>
          <w:szCs w:val="28"/>
        </w:rPr>
        <w:tab/>
      </w:r>
      <w:r w:rsidR="005118A7" w:rsidRPr="00193837">
        <w:rPr>
          <w:rFonts w:ascii="Times New Roman" w:hAnsi="Times New Roman" w:cs="Times New Roman"/>
          <w:sz w:val="28"/>
          <w:szCs w:val="28"/>
        </w:rPr>
        <w:tab/>
      </w:r>
      <w:r w:rsidR="005118A7" w:rsidRPr="00193837">
        <w:rPr>
          <w:rFonts w:ascii="Times New Roman" w:hAnsi="Times New Roman" w:cs="Times New Roman"/>
          <w:sz w:val="28"/>
          <w:szCs w:val="28"/>
        </w:rPr>
        <w:tab/>
      </w:r>
      <w:r w:rsidR="005118A7" w:rsidRPr="00193837">
        <w:rPr>
          <w:rFonts w:ascii="Times New Roman" w:hAnsi="Times New Roman" w:cs="Times New Roman"/>
          <w:sz w:val="28"/>
          <w:szCs w:val="28"/>
        </w:rPr>
        <w:tab/>
      </w:r>
      <w:r w:rsidR="005118A7" w:rsidRPr="00193837">
        <w:rPr>
          <w:rFonts w:ascii="Times New Roman" w:hAnsi="Times New Roman" w:cs="Times New Roman"/>
          <w:sz w:val="28"/>
          <w:szCs w:val="28"/>
        </w:rPr>
        <w:tab/>
      </w:r>
      <w:r w:rsidR="005118A7" w:rsidRPr="00193837">
        <w:rPr>
          <w:rFonts w:ascii="Times New Roman" w:hAnsi="Times New Roman" w:cs="Times New Roman"/>
          <w:sz w:val="28"/>
          <w:szCs w:val="28"/>
        </w:rPr>
        <w:tab/>
      </w:r>
      <w:r w:rsidR="001C5EE5" w:rsidRPr="00193837">
        <w:rPr>
          <w:rFonts w:ascii="Times New Roman" w:hAnsi="Times New Roman" w:cs="Times New Roman"/>
          <w:sz w:val="28"/>
          <w:szCs w:val="28"/>
        </w:rPr>
        <w:t>K. Gerhards</w:t>
      </w:r>
    </w:p>
    <w:p w14:paraId="7A75BD1F" w14:textId="77777777" w:rsidR="00EC601A" w:rsidRPr="00193837" w:rsidRDefault="00EC601A" w:rsidP="004E4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5434E" w14:textId="77777777" w:rsidR="00EC601A" w:rsidRPr="00193837" w:rsidRDefault="00EC601A" w:rsidP="00193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3B053" w14:textId="0562702F" w:rsidR="00EC601A" w:rsidRPr="00193837" w:rsidRDefault="00EC601A" w:rsidP="00AC6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3DF30" w14:textId="77777777" w:rsidR="0047103D" w:rsidRPr="00193837" w:rsidRDefault="004710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438613E5" w14:textId="77777777" w:rsidR="0047103D" w:rsidRPr="00193837" w:rsidRDefault="004710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0A9D32A9" w14:textId="4BAD2FF9" w:rsidR="00466475" w:rsidRDefault="004664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4E162E3C" w14:textId="28DAF049" w:rsidR="00466475" w:rsidRDefault="004664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7240F7CF" w14:textId="416FB17E" w:rsidR="00750FDE" w:rsidRDefault="00750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74F8FAD3" w14:textId="0EBB5882" w:rsidR="00750FDE" w:rsidRDefault="00750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443F1D69" w14:textId="44582919" w:rsidR="00750FDE" w:rsidRDefault="00750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052D89C3" w14:textId="3F0AC3F9" w:rsidR="00750FDE" w:rsidRDefault="00750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1B0D01E6" w14:textId="5D0E913F" w:rsidR="00750FDE" w:rsidRDefault="00750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12E6FCAD" w14:textId="427823B5" w:rsidR="00750FDE" w:rsidRDefault="00750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15FEACB3" w14:textId="66340F9D" w:rsidR="00750FDE" w:rsidRDefault="00750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7647E9E6" w14:textId="3FE52406" w:rsidR="00750FDE" w:rsidRDefault="00750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54A3E39A" w14:textId="2E5F7A97" w:rsidR="00750FDE" w:rsidRDefault="00750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1FEEBF0F" w14:textId="252471E0" w:rsidR="00750FDE" w:rsidRDefault="00750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02316689" w14:textId="3C37462C" w:rsidR="00750FDE" w:rsidRDefault="00750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2F8BECDD" w14:textId="260AB3D4" w:rsidR="00750FDE" w:rsidRDefault="00750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03A181D1" w14:textId="65FDF26F" w:rsidR="00750FDE" w:rsidRDefault="00750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5A4A7F6A" w14:textId="77777777" w:rsidR="00750FDE" w:rsidRDefault="00750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4333A90C" w14:textId="2FE90D99" w:rsidR="00F028D5" w:rsidRDefault="00F028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5F0D5215" w14:textId="1D12E425" w:rsidR="00F028D5" w:rsidRDefault="00F028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78C72439" w14:textId="0AC5952C" w:rsidR="00F028D5" w:rsidRPr="00D73DFB" w:rsidRDefault="00F028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5C69737E" w14:textId="421298C6" w:rsidR="00F04955" w:rsidRPr="00D73DFB" w:rsidRDefault="00F04955" w:rsidP="00F04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FB">
        <w:rPr>
          <w:rFonts w:ascii="Times New Roman" w:hAnsi="Times New Roman" w:cs="Times New Roman"/>
          <w:sz w:val="24"/>
          <w:szCs w:val="24"/>
        </w:rPr>
        <w:t>Gurecka</w:t>
      </w:r>
      <w:r w:rsidR="00D73DFB" w:rsidRPr="00D73DFB">
        <w:rPr>
          <w:rFonts w:ascii="Times New Roman" w:hAnsi="Times New Roman" w:cs="Times New Roman"/>
          <w:sz w:val="24"/>
          <w:szCs w:val="24"/>
        </w:rPr>
        <w:t xml:space="preserve"> </w:t>
      </w:r>
      <w:r w:rsidRPr="00D73DFB">
        <w:rPr>
          <w:rFonts w:ascii="Times New Roman" w:hAnsi="Times New Roman" w:cs="Times New Roman"/>
          <w:sz w:val="24"/>
          <w:szCs w:val="24"/>
        </w:rPr>
        <w:t>26614495</w:t>
      </w:r>
    </w:p>
    <w:p w14:paraId="79CCE97B" w14:textId="4D737D44" w:rsidR="00EC601A" w:rsidRPr="00D73DFB" w:rsidRDefault="00D73DFB" w:rsidP="00F04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04955" w:rsidRPr="00D73DFB">
          <w:rPr>
            <w:rStyle w:val="Hipersaite"/>
            <w:rFonts w:ascii="Times New Roman" w:hAnsi="Times New Roman" w:cs="Times New Roman"/>
            <w:sz w:val="24"/>
            <w:szCs w:val="24"/>
          </w:rPr>
          <w:t>Linda.Gurecka@zm.gov.lv</w:t>
        </w:r>
      </w:hyperlink>
    </w:p>
    <w:sectPr w:rsidR="00EC601A" w:rsidRPr="00D73DFB" w:rsidSect="00D73DF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EDEA" w14:textId="77777777" w:rsidR="009A678D" w:rsidRDefault="009A678D" w:rsidP="00894C55">
      <w:pPr>
        <w:spacing w:after="0" w:line="240" w:lineRule="auto"/>
      </w:pPr>
      <w:r>
        <w:separator/>
      </w:r>
    </w:p>
  </w:endnote>
  <w:endnote w:type="continuationSeparator" w:id="0">
    <w:p w14:paraId="7D73509B" w14:textId="77777777" w:rsidR="009A678D" w:rsidRDefault="009A67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F55D" w14:textId="29C857E5" w:rsidR="00AC7FD2" w:rsidRPr="00D73DFB" w:rsidRDefault="00D73DFB" w:rsidP="00D73DFB">
    <w:pPr>
      <w:pStyle w:val="Kjene"/>
    </w:pPr>
    <w:r w:rsidRPr="00D73DFB">
      <w:rPr>
        <w:rFonts w:ascii="Times New Roman" w:hAnsi="Times New Roman" w:cs="Times New Roman"/>
        <w:sz w:val="20"/>
        <w:szCs w:val="20"/>
      </w:rPr>
      <w:t>ZManot_020920_LNGgroz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7128" w14:textId="43A45F7F" w:rsidR="00AC7FD2" w:rsidRPr="00D73DFB" w:rsidRDefault="00D73DFB" w:rsidP="00D73DFB">
    <w:pPr>
      <w:pStyle w:val="Kjene"/>
    </w:pPr>
    <w:r w:rsidRPr="00D73DFB">
      <w:rPr>
        <w:rFonts w:ascii="Times New Roman" w:hAnsi="Times New Roman" w:cs="Times New Roman"/>
        <w:sz w:val="20"/>
        <w:szCs w:val="20"/>
      </w:rPr>
      <w:t>ZManot_020920_LNGgroz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1853A" w14:textId="77777777" w:rsidR="009A678D" w:rsidRDefault="009A678D" w:rsidP="00894C55">
      <w:pPr>
        <w:spacing w:after="0" w:line="240" w:lineRule="auto"/>
      </w:pPr>
      <w:r>
        <w:separator/>
      </w:r>
    </w:p>
  </w:footnote>
  <w:footnote w:type="continuationSeparator" w:id="0">
    <w:p w14:paraId="336CF64F" w14:textId="77777777" w:rsidR="009A678D" w:rsidRDefault="009A67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99FE7A9" w14:textId="2FD380CC" w:rsidR="00AC7FD2" w:rsidRPr="00D73DFB" w:rsidRDefault="00521E5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3D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7FD2" w:rsidRPr="00D73D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3D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0E7F" w:rsidRPr="00D73DF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73D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3723"/>
    <w:multiLevelType w:val="hybridMultilevel"/>
    <w:tmpl w:val="FBE41BBC"/>
    <w:lvl w:ilvl="0" w:tplc="4FE0C6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5A2F"/>
    <w:multiLevelType w:val="hybridMultilevel"/>
    <w:tmpl w:val="18AE09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43F8"/>
    <w:multiLevelType w:val="hybridMultilevel"/>
    <w:tmpl w:val="81B6B5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0320D"/>
    <w:multiLevelType w:val="hybridMultilevel"/>
    <w:tmpl w:val="2AC4EEDC"/>
    <w:lvl w:ilvl="0" w:tplc="EE2819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F93778"/>
    <w:multiLevelType w:val="multilevel"/>
    <w:tmpl w:val="8F1A6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3455E6"/>
    <w:multiLevelType w:val="hybridMultilevel"/>
    <w:tmpl w:val="4B988854"/>
    <w:lvl w:ilvl="0" w:tplc="0426000F">
      <w:start w:val="1"/>
      <w:numFmt w:val="decimal"/>
      <w:lvlText w:val="%1."/>
      <w:lvlJc w:val="left"/>
      <w:pPr>
        <w:ind w:left="1665" w:hanging="360"/>
      </w:pPr>
    </w:lvl>
    <w:lvl w:ilvl="1" w:tplc="04260019">
      <w:start w:val="1"/>
      <w:numFmt w:val="lowerLetter"/>
      <w:lvlText w:val="%2."/>
      <w:lvlJc w:val="left"/>
      <w:pPr>
        <w:ind w:left="2385" w:hanging="360"/>
      </w:pPr>
    </w:lvl>
    <w:lvl w:ilvl="2" w:tplc="0426001B">
      <w:start w:val="1"/>
      <w:numFmt w:val="lowerRoman"/>
      <w:lvlText w:val="%3."/>
      <w:lvlJc w:val="right"/>
      <w:pPr>
        <w:ind w:left="3105" w:hanging="180"/>
      </w:pPr>
    </w:lvl>
    <w:lvl w:ilvl="3" w:tplc="0426000F">
      <w:start w:val="1"/>
      <w:numFmt w:val="decimal"/>
      <w:lvlText w:val="%4."/>
      <w:lvlJc w:val="left"/>
      <w:pPr>
        <w:ind w:left="3825" w:hanging="360"/>
      </w:pPr>
    </w:lvl>
    <w:lvl w:ilvl="4" w:tplc="04260019">
      <w:start w:val="1"/>
      <w:numFmt w:val="lowerLetter"/>
      <w:lvlText w:val="%5."/>
      <w:lvlJc w:val="left"/>
      <w:pPr>
        <w:ind w:left="4545" w:hanging="360"/>
      </w:pPr>
    </w:lvl>
    <w:lvl w:ilvl="5" w:tplc="0426001B">
      <w:start w:val="1"/>
      <w:numFmt w:val="lowerRoman"/>
      <w:lvlText w:val="%6."/>
      <w:lvlJc w:val="right"/>
      <w:pPr>
        <w:ind w:left="5265" w:hanging="180"/>
      </w:pPr>
    </w:lvl>
    <w:lvl w:ilvl="6" w:tplc="0426000F">
      <w:start w:val="1"/>
      <w:numFmt w:val="decimal"/>
      <w:lvlText w:val="%7."/>
      <w:lvlJc w:val="left"/>
      <w:pPr>
        <w:ind w:left="5985" w:hanging="360"/>
      </w:pPr>
    </w:lvl>
    <w:lvl w:ilvl="7" w:tplc="04260019">
      <w:start w:val="1"/>
      <w:numFmt w:val="lowerLetter"/>
      <w:lvlText w:val="%8."/>
      <w:lvlJc w:val="left"/>
      <w:pPr>
        <w:ind w:left="6705" w:hanging="360"/>
      </w:pPr>
    </w:lvl>
    <w:lvl w:ilvl="8" w:tplc="0426001B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59AD08E3"/>
    <w:multiLevelType w:val="hybridMultilevel"/>
    <w:tmpl w:val="3740FC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833DA"/>
    <w:multiLevelType w:val="hybridMultilevel"/>
    <w:tmpl w:val="FF4EE8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86653"/>
    <w:multiLevelType w:val="hybridMultilevel"/>
    <w:tmpl w:val="76FC2C68"/>
    <w:lvl w:ilvl="0" w:tplc="3D1E0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D17A03"/>
    <w:multiLevelType w:val="hybridMultilevel"/>
    <w:tmpl w:val="F06613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73225"/>
    <w:multiLevelType w:val="hybridMultilevel"/>
    <w:tmpl w:val="5D2019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33CE"/>
    <w:multiLevelType w:val="hybridMultilevel"/>
    <w:tmpl w:val="D4E05672"/>
    <w:lvl w:ilvl="0" w:tplc="900EDC4C">
      <w:start w:val="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14CB1"/>
    <w:rsid w:val="00017104"/>
    <w:rsid w:val="000239AE"/>
    <w:rsid w:val="00026C65"/>
    <w:rsid w:val="00037942"/>
    <w:rsid w:val="00040092"/>
    <w:rsid w:val="00046F60"/>
    <w:rsid w:val="0005654A"/>
    <w:rsid w:val="00060141"/>
    <w:rsid w:val="0006076D"/>
    <w:rsid w:val="00064611"/>
    <w:rsid w:val="00071BDA"/>
    <w:rsid w:val="00074813"/>
    <w:rsid w:val="0009022A"/>
    <w:rsid w:val="000922BC"/>
    <w:rsid w:val="000A63EC"/>
    <w:rsid w:val="000B24F8"/>
    <w:rsid w:val="000B657C"/>
    <w:rsid w:val="000C2A3A"/>
    <w:rsid w:val="000D6FC9"/>
    <w:rsid w:val="000D6FD3"/>
    <w:rsid w:val="000E5635"/>
    <w:rsid w:val="000E61BA"/>
    <w:rsid w:val="000F138A"/>
    <w:rsid w:val="000F1A9E"/>
    <w:rsid w:val="00103C22"/>
    <w:rsid w:val="00104028"/>
    <w:rsid w:val="001104F1"/>
    <w:rsid w:val="00111B8D"/>
    <w:rsid w:val="001124E6"/>
    <w:rsid w:val="0011540F"/>
    <w:rsid w:val="00115A02"/>
    <w:rsid w:val="00124917"/>
    <w:rsid w:val="001264E1"/>
    <w:rsid w:val="00126B8B"/>
    <w:rsid w:val="00126BA5"/>
    <w:rsid w:val="0014136B"/>
    <w:rsid w:val="001432AA"/>
    <w:rsid w:val="0014484F"/>
    <w:rsid w:val="001479F6"/>
    <w:rsid w:val="00152046"/>
    <w:rsid w:val="0015771A"/>
    <w:rsid w:val="0016119A"/>
    <w:rsid w:val="00166CCD"/>
    <w:rsid w:val="00170F97"/>
    <w:rsid w:val="001818C5"/>
    <w:rsid w:val="00184EFF"/>
    <w:rsid w:val="00191798"/>
    <w:rsid w:val="001921AF"/>
    <w:rsid w:val="00193837"/>
    <w:rsid w:val="001C3358"/>
    <w:rsid w:val="001C59B7"/>
    <w:rsid w:val="001C5A2A"/>
    <w:rsid w:val="001C5EE5"/>
    <w:rsid w:val="001D24E3"/>
    <w:rsid w:val="001E3426"/>
    <w:rsid w:val="001E47E7"/>
    <w:rsid w:val="001F0DD4"/>
    <w:rsid w:val="001F5054"/>
    <w:rsid w:val="001F6634"/>
    <w:rsid w:val="002011A3"/>
    <w:rsid w:val="00206B33"/>
    <w:rsid w:val="002071E6"/>
    <w:rsid w:val="00221CF8"/>
    <w:rsid w:val="00224688"/>
    <w:rsid w:val="002254EB"/>
    <w:rsid w:val="00227420"/>
    <w:rsid w:val="0023119A"/>
    <w:rsid w:val="00233114"/>
    <w:rsid w:val="0023313D"/>
    <w:rsid w:val="00243426"/>
    <w:rsid w:val="002471AB"/>
    <w:rsid w:val="00247F7D"/>
    <w:rsid w:val="00256091"/>
    <w:rsid w:val="002603D7"/>
    <w:rsid w:val="0026588C"/>
    <w:rsid w:val="00265B6D"/>
    <w:rsid w:val="002714EB"/>
    <w:rsid w:val="00271D8D"/>
    <w:rsid w:val="0027515C"/>
    <w:rsid w:val="00280CD6"/>
    <w:rsid w:val="002878C8"/>
    <w:rsid w:val="00292A56"/>
    <w:rsid w:val="002A0783"/>
    <w:rsid w:val="002A38D6"/>
    <w:rsid w:val="002A3A9F"/>
    <w:rsid w:val="002A524F"/>
    <w:rsid w:val="002B1BFE"/>
    <w:rsid w:val="002B325C"/>
    <w:rsid w:val="002B5C48"/>
    <w:rsid w:val="002C5DF5"/>
    <w:rsid w:val="002D4570"/>
    <w:rsid w:val="002D5084"/>
    <w:rsid w:val="002E058D"/>
    <w:rsid w:val="002E1C05"/>
    <w:rsid w:val="002E2AD6"/>
    <w:rsid w:val="002E41FD"/>
    <w:rsid w:val="002F3B85"/>
    <w:rsid w:val="002F3EBC"/>
    <w:rsid w:val="002F5FC4"/>
    <w:rsid w:val="002F7A5C"/>
    <w:rsid w:val="003004F7"/>
    <w:rsid w:val="00300D2C"/>
    <w:rsid w:val="003013D3"/>
    <w:rsid w:val="00303D11"/>
    <w:rsid w:val="0030699D"/>
    <w:rsid w:val="003103CD"/>
    <w:rsid w:val="00322AEC"/>
    <w:rsid w:val="00324756"/>
    <w:rsid w:val="003431EC"/>
    <w:rsid w:val="00351926"/>
    <w:rsid w:val="00352FE4"/>
    <w:rsid w:val="003535C1"/>
    <w:rsid w:val="00353F93"/>
    <w:rsid w:val="003729A6"/>
    <w:rsid w:val="003757C3"/>
    <w:rsid w:val="003805BB"/>
    <w:rsid w:val="003811EC"/>
    <w:rsid w:val="00384E26"/>
    <w:rsid w:val="00385FF0"/>
    <w:rsid w:val="003A1046"/>
    <w:rsid w:val="003A1BF0"/>
    <w:rsid w:val="003B0BF9"/>
    <w:rsid w:val="003B338B"/>
    <w:rsid w:val="003B7D1A"/>
    <w:rsid w:val="003C0081"/>
    <w:rsid w:val="003C0381"/>
    <w:rsid w:val="003C1D11"/>
    <w:rsid w:val="003C31E2"/>
    <w:rsid w:val="003C5459"/>
    <w:rsid w:val="003C70CC"/>
    <w:rsid w:val="003D0230"/>
    <w:rsid w:val="003D13D7"/>
    <w:rsid w:val="003D6E15"/>
    <w:rsid w:val="003E0791"/>
    <w:rsid w:val="003E0DBF"/>
    <w:rsid w:val="003E5108"/>
    <w:rsid w:val="003E55B2"/>
    <w:rsid w:val="003E603C"/>
    <w:rsid w:val="003F28AC"/>
    <w:rsid w:val="00403BB0"/>
    <w:rsid w:val="00404470"/>
    <w:rsid w:val="004163DA"/>
    <w:rsid w:val="00417EB2"/>
    <w:rsid w:val="00421CD0"/>
    <w:rsid w:val="00427EB6"/>
    <w:rsid w:val="0043145D"/>
    <w:rsid w:val="00434EE4"/>
    <w:rsid w:val="00436F90"/>
    <w:rsid w:val="00441406"/>
    <w:rsid w:val="00443DC9"/>
    <w:rsid w:val="004454FE"/>
    <w:rsid w:val="004552B0"/>
    <w:rsid w:val="00456E40"/>
    <w:rsid w:val="00461579"/>
    <w:rsid w:val="00463FAF"/>
    <w:rsid w:val="004653A7"/>
    <w:rsid w:val="00466475"/>
    <w:rsid w:val="0047103D"/>
    <w:rsid w:val="00471F27"/>
    <w:rsid w:val="00472098"/>
    <w:rsid w:val="00475DCD"/>
    <w:rsid w:val="00477C8E"/>
    <w:rsid w:val="0048093B"/>
    <w:rsid w:val="0048650E"/>
    <w:rsid w:val="00486592"/>
    <w:rsid w:val="004868B3"/>
    <w:rsid w:val="00486FA1"/>
    <w:rsid w:val="004A4995"/>
    <w:rsid w:val="004A6D1D"/>
    <w:rsid w:val="004B0D79"/>
    <w:rsid w:val="004B2557"/>
    <w:rsid w:val="004B44D8"/>
    <w:rsid w:val="004B67EB"/>
    <w:rsid w:val="004C076A"/>
    <w:rsid w:val="004C7F03"/>
    <w:rsid w:val="004E4D2D"/>
    <w:rsid w:val="004E5758"/>
    <w:rsid w:val="004E7799"/>
    <w:rsid w:val="004F4B3D"/>
    <w:rsid w:val="004F4C30"/>
    <w:rsid w:val="004F7719"/>
    <w:rsid w:val="005012C2"/>
    <w:rsid w:val="0050178F"/>
    <w:rsid w:val="00506D69"/>
    <w:rsid w:val="005118A7"/>
    <w:rsid w:val="00516D64"/>
    <w:rsid w:val="00521E59"/>
    <w:rsid w:val="00524853"/>
    <w:rsid w:val="005442D9"/>
    <w:rsid w:val="00553BCA"/>
    <w:rsid w:val="00553DCA"/>
    <w:rsid w:val="00555B57"/>
    <w:rsid w:val="00567820"/>
    <w:rsid w:val="00567CEA"/>
    <w:rsid w:val="00573CA6"/>
    <w:rsid w:val="00573DF9"/>
    <w:rsid w:val="005764E2"/>
    <w:rsid w:val="00576768"/>
    <w:rsid w:val="00594723"/>
    <w:rsid w:val="00596B5A"/>
    <w:rsid w:val="005A22F3"/>
    <w:rsid w:val="005A6E92"/>
    <w:rsid w:val="005C005B"/>
    <w:rsid w:val="005C2152"/>
    <w:rsid w:val="005C39CF"/>
    <w:rsid w:val="005C6084"/>
    <w:rsid w:val="005C79EA"/>
    <w:rsid w:val="005D33EA"/>
    <w:rsid w:val="005F6A65"/>
    <w:rsid w:val="005F78C1"/>
    <w:rsid w:val="006029E3"/>
    <w:rsid w:val="00607BA5"/>
    <w:rsid w:val="00610171"/>
    <w:rsid w:val="00614D18"/>
    <w:rsid w:val="00615F90"/>
    <w:rsid w:val="006212B8"/>
    <w:rsid w:val="00625AD2"/>
    <w:rsid w:val="006267D4"/>
    <w:rsid w:val="00627917"/>
    <w:rsid w:val="006453CC"/>
    <w:rsid w:val="00652978"/>
    <w:rsid w:val="00655F2C"/>
    <w:rsid w:val="0065630A"/>
    <w:rsid w:val="00664800"/>
    <w:rsid w:val="006648BC"/>
    <w:rsid w:val="00670B2C"/>
    <w:rsid w:val="00670C9D"/>
    <w:rsid w:val="00675C3A"/>
    <w:rsid w:val="006915D8"/>
    <w:rsid w:val="00693CD5"/>
    <w:rsid w:val="006949DD"/>
    <w:rsid w:val="00697F51"/>
    <w:rsid w:val="006A1991"/>
    <w:rsid w:val="006A2010"/>
    <w:rsid w:val="006A760E"/>
    <w:rsid w:val="006B0BAB"/>
    <w:rsid w:val="006B3A42"/>
    <w:rsid w:val="006B6BC2"/>
    <w:rsid w:val="006C04A6"/>
    <w:rsid w:val="006C5A75"/>
    <w:rsid w:val="006C5CC9"/>
    <w:rsid w:val="006D2701"/>
    <w:rsid w:val="006D796C"/>
    <w:rsid w:val="006E0FE7"/>
    <w:rsid w:val="006E1081"/>
    <w:rsid w:val="006E16E6"/>
    <w:rsid w:val="006E23A2"/>
    <w:rsid w:val="006E4254"/>
    <w:rsid w:val="006F123F"/>
    <w:rsid w:val="006F21E2"/>
    <w:rsid w:val="006F77C0"/>
    <w:rsid w:val="00702281"/>
    <w:rsid w:val="007064FD"/>
    <w:rsid w:val="0070691F"/>
    <w:rsid w:val="00710014"/>
    <w:rsid w:val="00711625"/>
    <w:rsid w:val="007152A0"/>
    <w:rsid w:val="00720585"/>
    <w:rsid w:val="00724325"/>
    <w:rsid w:val="00727DB9"/>
    <w:rsid w:val="00733E73"/>
    <w:rsid w:val="007340CB"/>
    <w:rsid w:val="00736AF6"/>
    <w:rsid w:val="00736DBD"/>
    <w:rsid w:val="00737339"/>
    <w:rsid w:val="00741207"/>
    <w:rsid w:val="007431CC"/>
    <w:rsid w:val="00746592"/>
    <w:rsid w:val="00750364"/>
    <w:rsid w:val="00750FDE"/>
    <w:rsid w:val="00752F89"/>
    <w:rsid w:val="0075684C"/>
    <w:rsid w:val="00760AD7"/>
    <w:rsid w:val="00761F46"/>
    <w:rsid w:val="00765982"/>
    <w:rsid w:val="00773AF6"/>
    <w:rsid w:val="00773C3A"/>
    <w:rsid w:val="007748AA"/>
    <w:rsid w:val="0077497D"/>
    <w:rsid w:val="00791DEA"/>
    <w:rsid w:val="00795F71"/>
    <w:rsid w:val="007A380A"/>
    <w:rsid w:val="007B017C"/>
    <w:rsid w:val="007B1D4F"/>
    <w:rsid w:val="007C03F1"/>
    <w:rsid w:val="007D36CD"/>
    <w:rsid w:val="007D427A"/>
    <w:rsid w:val="007D77B0"/>
    <w:rsid w:val="007E1128"/>
    <w:rsid w:val="007E1D2F"/>
    <w:rsid w:val="007E3ED8"/>
    <w:rsid w:val="007E5F7A"/>
    <w:rsid w:val="007E6088"/>
    <w:rsid w:val="007E73AB"/>
    <w:rsid w:val="007F32E7"/>
    <w:rsid w:val="007F3C25"/>
    <w:rsid w:val="007F63EB"/>
    <w:rsid w:val="007F728B"/>
    <w:rsid w:val="008016BA"/>
    <w:rsid w:val="008063D8"/>
    <w:rsid w:val="0081208E"/>
    <w:rsid w:val="008139BF"/>
    <w:rsid w:val="00816C11"/>
    <w:rsid w:val="0082731D"/>
    <w:rsid w:val="00835F6F"/>
    <w:rsid w:val="00837AFE"/>
    <w:rsid w:val="00843A4F"/>
    <w:rsid w:val="0085007D"/>
    <w:rsid w:val="0085324F"/>
    <w:rsid w:val="00853D25"/>
    <w:rsid w:val="0086683E"/>
    <w:rsid w:val="00867B3D"/>
    <w:rsid w:val="00867E36"/>
    <w:rsid w:val="008773D0"/>
    <w:rsid w:val="0087755B"/>
    <w:rsid w:val="00894C55"/>
    <w:rsid w:val="00895BFA"/>
    <w:rsid w:val="008A61C8"/>
    <w:rsid w:val="008A7D74"/>
    <w:rsid w:val="008B0767"/>
    <w:rsid w:val="008B7B5C"/>
    <w:rsid w:val="008C0C3E"/>
    <w:rsid w:val="008D0C3A"/>
    <w:rsid w:val="008D35C5"/>
    <w:rsid w:val="008E02B4"/>
    <w:rsid w:val="008E3087"/>
    <w:rsid w:val="008E31FE"/>
    <w:rsid w:val="008E3F33"/>
    <w:rsid w:val="008F0E7F"/>
    <w:rsid w:val="008F161E"/>
    <w:rsid w:val="008F599A"/>
    <w:rsid w:val="009014E8"/>
    <w:rsid w:val="0090632A"/>
    <w:rsid w:val="009069F8"/>
    <w:rsid w:val="00907491"/>
    <w:rsid w:val="00911B82"/>
    <w:rsid w:val="00916E21"/>
    <w:rsid w:val="00921BC2"/>
    <w:rsid w:val="00924619"/>
    <w:rsid w:val="00925934"/>
    <w:rsid w:val="00926BA5"/>
    <w:rsid w:val="00942CC4"/>
    <w:rsid w:val="009470D3"/>
    <w:rsid w:val="00954ED9"/>
    <w:rsid w:val="00955250"/>
    <w:rsid w:val="00960EA3"/>
    <w:rsid w:val="009624CC"/>
    <w:rsid w:val="009671A3"/>
    <w:rsid w:val="009753BE"/>
    <w:rsid w:val="009763AD"/>
    <w:rsid w:val="009774C7"/>
    <w:rsid w:val="009805A9"/>
    <w:rsid w:val="00984D07"/>
    <w:rsid w:val="0098512B"/>
    <w:rsid w:val="00987CA7"/>
    <w:rsid w:val="009902DC"/>
    <w:rsid w:val="0099161A"/>
    <w:rsid w:val="009A262D"/>
    <w:rsid w:val="009A2654"/>
    <w:rsid w:val="009A678D"/>
    <w:rsid w:val="009B54B1"/>
    <w:rsid w:val="009B69FE"/>
    <w:rsid w:val="009C72AC"/>
    <w:rsid w:val="009D02CA"/>
    <w:rsid w:val="009D1BEC"/>
    <w:rsid w:val="009D4CB0"/>
    <w:rsid w:val="009F1602"/>
    <w:rsid w:val="009F45AF"/>
    <w:rsid w:val="009F5DC2"/>
    <w:rsid w:val="009F693E"/>
    <w:rsid w:val="00A00422"/>
    <w:rsid w:val="00A042F3"/>
    <w:rsid w:val="00A07359"/>
    <w:rsid w:val="00A10FC3"/>
    <w:rsid w:val="00A1129D"/>
    <w:rsid w:val="00A23D78"/>
    <w:rsid w:val="00A25615"/>
    <w:rsid w:val="00A3306C"/>
    <w:rsid w:val="00A349D4"/>
    <w:rsid w:val="00A3733C"/>
    <w:rsid w:val="00A401FE"/>
    <w:rsid w:val="00A456BD"/>
    <w:rsid w:val="00A54349"/>
    <w:rsid w:val="00A6073E"/>
    <w:rsid w:val="00A6199A"/>
    <w:rsid w:val="00A62C86"/>
    <w:rsid w:val="00A6461C"/>
    <w:rsid w:val="00A67BC0"/>
    <w:rsid w:val="00A75C48"/>
    <w:rsid w:val="00A77397"/>
    <w:rsid w:val="00A8367D"/>
    <w:rsid w:val="00A855DE"/>
    <w:rsid w:val="00A86AFB"/>
    <w:rsid w:val="00A92C58"/>
    <w:rsid w:val="00A932BA"/>
    <w:rsid w:val="00A963C0"/>
    <w:rsid w:val="00A97030"/>
    <w:rsid w:val="00AA05AF"/>
    <w:rsid w:val="00AA420F"/>
    <w:rsid w:val="00AA78F6"/>
    <w:rsid w:val="00AC2917"/>
    <w:rsid w:val="00AC38D0"/>
    <w:rsid w:val="00AC6BDC"/>
    <w:rsid w:val="00AC77FC"/>
    <w:rsid w:val="00AC7FD2"/>
    <w:rsid w:val="00AD26EE"/>
    <w:rsid w:val="00AE0B40"/>
    <w:rsid w:val="00AE38A3"/>
    <w:rsid w:val="00AE415C"/>
    <w:rsid w:val="00AE5567"/>
    <w:rsid w:val="00AE63DF"/>
    <w:rsid w:val="00AF0470"/>
    <w:rsid w:val="00AF1239"/>
    <w:rsid w:val="00AF4920"/>
    <w:rsid w:val="00AF58C9"/>
    <w:rsid w:val="00AF6B7B"/>
    <w:rsid w:val="00AF7437"/>
    <w:rsid w:val="00B006B8"/>
    <w:rsid w:val="00B023F9"/>
    <w:rsid w:val="00B03771"/>
    <w:rsid w:val="00B10472"/>
    <w:rsid w:val="00B16480"/>
    <w:rsid w:val="00B2165C"/>
    <w:rsid w:val="00B23E5D"/>
    <w:rsid w:val="00B23F05"/>
    <w:rsid w:val="00B25AB6"/>
    <w:rsid w:val="00B26016"/>
    <w:rsid w:val="00B353F6"/>
    <w:rsid w:val="00B437A7"/>
    <w:rsid w:val="00B528AA"/>
    <w:rsid w:val="00B55C69"/>
    <w:rsid w:val="00B66BF0"/>
    <w:rsid w:val="00B742EE"/>
    <w:rsid w:val="00B756AA"/>
    <w:rsid w:val="00B76743"/>
    <w:rsid w:val="00B8281B"/>
    <w:rsid w:val="00BA1AD6"/>
    <w:rsid w:val="00BA20AA"/>
    <w:rsid w:val="00BA3AA5"/>
    <w:rsid w:val="00BA4F71"/>
    <w:rsid w:val="00BB194F"/>
    <w:rsid w:val="00BB67FB"/>
    <w:rsid w:val="00BC3114"/>
    <w:rsid w:val="00BD0AAA"/>
    <w:rsid w:val="00BD4425"/>
    <w:rsid w:val="00BD56DA"/>
    <w:rsid w:val="00BD6B9E"/>
    <w:rsid w:val="00BD76AD"/>
    <w:rsid w:val="00BE1892"/>
    <w:rsid w:val="00BE1A19"/>
    <w:rsid w:val="00BE1B69"/>
    <w:rsid w:val="00BE7955"/>
    <w:rsid w:val="00BE7F3C"/>
    <w:rsid w:val="00BF25F0"/>
    <w:rsid w:val="00BF46D9"/>
    <w:rsid w:val="00C03CBE"/>
    <w:rsid w:val="00C14527"/>
    <w:rsid w:val="00C1612C"/>
    <w:rsid w:val="00C2598E"/>
    <w:rsid w:val="00C25B49"/>
    <w:rsid w:val="00C275FA"/>
    <w:rsid w:val="00C36F3D"/>
    <w:rsid w:val="00C4075B"/>
    <w:rsid w:val="00C45C39"/>
    <w:rsid w:val="00C45F34"/>
    <w:rsid w:val="00C565CE"/>
    <w:rsid w:val="00C57B0B"/>
    <w:rsid w:val="00C62D6C"/>
    <w:rsid w:val="00C64B86"/>
    <w:rsid w:val="00C70618"/>
    <w:rsid w:val="00C70E1E"/>
    <w:rsid w:val="00C77AE7"/>
    <w:rsid w:val="00C80373"/>
    <w:rsid w:val="00C8501D"/>
    <w:rsid w:val="00CA1F59"/>
    <w:rsid w:val="00CA505A"/>
    <w:rsid w:val="00CA645B"/>
    <w:rsid w:val="00CA685F"/>
    <w:rsid w:val="00CB6029"/>
    <w:rsid w:val="00CB7139"/>
    <w:rsid w:val="00CC0D2D"/>
    <w:rsid w:val="00CD67A8"/>
    <w:rsid w:val="00CD7FEA"/>
    <w:rsid w:val="00CE1691"/>
    <w:rsid w:val="00CE2082"/>
    <w:rsid w:val="00CE5657"/>
    <w:rsid w:val="00CF551D"/>
    <w:rsid w:val="00CF7820"/>
    <w:rsid w:val="00D03D3A"/>
    <w:rsid w:val="00D055C0"/>
    <w:rsid w:val="00D06E3F"/>
    <w:rsid w:val="00D07768"/>
    <w:rsid w:val="00D10967"/>
    <w:rsid w:val="00D12E3C"/>
    <w:rsid w:val="00D133F8"/>
    <w:rsid w:val="00D14A3E"/>
    <w:rsid w:val="00D21951"/>
    <w:rsid w:val="00D2207E"/>
    <w:rsid w:val="00D22963"/>
    <w:rsid w:val="00D26A3B"/>
    <w:rsid w:val="00D270BE"/>
    <w:rsid w:val="00D350F5"/>
    <w:rsid w:val="00D41A98"/>
    <w:rsid w:val="00D515B3"/>
    <w:rsid w:val="00D57DCD"/>
    <w:rsid w:val="00D6260F"/>
    <w:rsid w:val="00D634F1"/>
    <w:rsid w:val="00D654E3"/>
    <w:rsid w:val="00D71BA2"/>
    <w:rsid w:val="00D72F13"/>
    <w:rsid w:val="00D73DFB"/>
    <w:rsid w:val="00D77E38"/>
    <w:rsid w:val="00D90B52"/>
    <w:rsid w:val="00D958AE"/>
    <w:rsid w:val="00D9777C"/>
    <w:rsid w:val="00DA1F7E"/>
    <w:rsid w:val="00DA2DC0"/>
    <w:rsid w:val="00DB1F16"/>
    <w:rsid w:val="00DC0541"/>
    <w:rsid w:val="00DC2E86"/>
    <w:rsid w:val="00DC37F5"/>
    <w:rsid w:val="00DE1CBF"/>
    <w:rsid w:val="00DE52CC"/>
    <w:rsid w:val="00DF4383"/>
    <w:rsid w:val="00DF4FB8"/>
    <w:rsid w:val="00DF54B7"/>
    <w:rsid w:val="00E0334F"/>
    <w:rsid w:val="00E0650B"/>
    <w:rsid w:val="00E1219D"/>
    <w:rsid w:val="00E12499"/>
    <w:rsid w:val="00E13F39"/>
    <w:rsid w:val="00E15495"/>
    <w:rsid w:val="00E157F2"/>
    <w:rsid w:val="00E20E77"/>
    <w:rsid w:val="00E24EC6"/>
    <w:rsid w:val="00E25B4C"/>
    <w:rsid w:val="00E266DE"/>
    <w:rsid w:val="00E31950"/>
    <w:rsid w:val="00E35E84"/>
    <w:rsid w:val="00E3716B"/>
    <w:rsid w:val="00E37FEF"/>
    <w:rsid w:val="00E40B38"/>
    <w:rsid w:val="00E436C3"/>
    <w:rsid w:val="00E52A34"/>
    <w:rsid w:val="00E5323B"/>
    <w:rsid w:val="00E56024"/>
    <w:rsid w:val="00E679F7"/>
    <w:rsid w:val="00E8082D"/>
    <w:rsid w:val="00E83D66"/>
    <w:rsid w:val="00E85251"/>
    <w:rsid w:val="00E86D7A"/>
    <w:rsid w:val="00E8749E"/>
    <w:rsid w:val="00E90C01"/>
    <w:rsid w:val="00E926C0"/>
    <w:rsid w:val="00E96BED"/>
    <w:rsid w:val="00EA219A"/>
    <w:rsid w:val="00EA486E"/>
    <w:rsid w:val="00EA7E51"/>
    <w:rsid w:val="00EB00B7"/>
    <w:rsid w:val="00EB37B6"/>
    <w:rsid w:val="00EB4564"/>
    <w:rsid w:val="00EC601A"/>
    <w:rsid w:val="00EC6C31"/>
    <w:rsid w:val="00ED0A7B"/>
    <w:rsid w:val="00EE2AF0"/>
    <w:rsid w:val="00EE4181"/>
    <w:rsid w:val="00EE46EE"/>
    <w:rsid w:val="00EE7D96"/>
    <w:rsid w:val="00EF32B1"/>
    <w:rsid w:val="00EF5183"/>
    <w:rsid w:val="00EF596D"/>
    <w:rsid w:val="00F028D5"/>
    <w:rsid w:val="00F045E5"/>
    <w:rsid w:val="00F04955"/>
    <w:rsid w:val="00F11290"/>
    <w:rsid w:val="00F15676"/>
    <w:rsid w:val="00F17F88"/>
    <w:rsid w:val="00F275F3"/>
    <w:rsid w:val="00F3129F"/>
    <w:rsid w:val="00F32239"/>
    <w:rsid w:val="00F379A0"/>
    <w:rsid w:val="00F41573"/>
    <w:rsid w:val="00F50DFD"/>
    <w:rsid w:val="00F536C3"/>
    <w:rsid w:val="00F53DAC"/>
    <w:rsid w:val="00F57B0C"/>
    <w:rsid w:val="00F63C56"/>
    <w:rsid w:val="00F70EF7"/>
    <w:rsid w:val="00F71E69"/>
    <w:rsid w:val="00F74877"/>
    <w:rsid w:val="00F75FAE"/>
    <w:rsid w:val="00F80B22"/>
    <w:rsid w:val="00F83E17"/>
    <w:rsid w:val="00F90738"/>
    <w:rsid w:val="00F91AF6"/>
    <w:rsid w:val="00FA168D"/>
    <w:rsid w:val="00FA3190"/>
    <w:rsid w:val="00FA3840"/>
    <w:rsid w:val="00FA71D0"/>
    <w:rsid w:val="00FB01B0"/>
    <w:rsid w:val="00FB4C1C"/>
    <w:rsid w:val="00FB6699"/>
    <w:rsid w:val="00FC21C3"/>
    <w:rsid w:val="00FC223A"/>
    <w:rsid w:val="00FC2683"/>
    <w:rsid w:val="00FC6D87"/>
    <w:rsid w:val="00FD5322"/>
    <w:rsid w:val="00FE2700"/>
    <w:rsid w:val="00FE464B"/>
    <w:rsid w:val="00FE595B"/>
    <w:rsid w:val="00FE7F13"/>
    <w:rsid w:val="00FF05E7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23F90"/>
  <w15:docId w15:val="{8F808D05-959C-4D7A-9386-1129D11F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06B33"/>
    <w:pPr>
      <w:spacing w:before="161" w:after="0" w:line="240" w:lineRule="auto"/>
      <w:outlineLvl w:val="0"/>
    </w:pPr>
    <w:rPr>
      <w:rFonts w:ascii="Helvetica" w:eastAsia="Times New Roman" w:hAnsi="Helvetica" w:cs="Times New Roman"/>
      <w:b/>
      <w:bCs/>
      <w:kern w:val="36"/>
      <w:sz w:val="48"/>
      <w:szCs w:val="48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206B33"/>
    <w:pPr>
      <w:spacing w:before="100" w:beforeAutospacing="1" w:after="0" w:line="240" w:lineRule="auto"/>
      <w:outlineLvl w:val="3"/>
    </w:pPr>
    <w:rPr>
      <w:rFonts w:ascii="Helvetica" w:eastAsia="Times New Roman" w:hAnsi="Helvetica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teiksmgs">
    <w:name w:val="Strong"/>
    <w:uiPriority w:val="22"/>
    <w:qFormat/>
    <w:rsid w:val="00A401FE"/>
    <w:rPr>
      <w:b/>
      <w:bCs/>
    </w:rPr>
  </w:style>
  <w:style w:type="paragraph" w:styleId="Bezatstarpm">
    <w:name w:val="No Spacing"/>
    <w:uiPriority w:val="1"/>
    <w:qFormat/>
    <w:rsid w:val="006915D8"/>
    <w:pPr>
      <w:spacing w:after="0" w:line="240" w:lineRule="auto"/>
    </w:pPr>
  </w:style>
  <w:style w:type="paragraph" w:customStyle="1" w:styleId="naisf">
    <w:name w:val="naisf"/>
    <w:basedOn w:val="Parasts"/>
    <w:rsid w:val="0082731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82731D"/>
    <w:pPr>
      <w:overflowPunct w:val="0"/>
      <w:autoSpaceDE w:val="0"/>
      <w:autoSpaceDN w:val="0"/>
      <w:adjustRightInd w:val="0"/>
      <w:spacing w:after="120" w:line="240" w:lineRule="auto"/>
      <w:ind w:left="720" w:firstLine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82731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talic">
    <w:name w:val="Body text + Italic"/>
    <w:rsid w:val="008273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">
    <w:name w:val="Body text (11)_"/>
    <w:basedOn w:val="Noklusjumarindkopasfonts"/>
    <w:link w:val="Bodytext110"/>
    <w:rsid w:val="009624CC"/>
    <w:rPr>
      <w:sz w:val="21"/>
      <w:szCs w:val="21"/>
      <w:shd w:val="clear" w:color="auto" w:fill="FFFFFF"/>
    </w:rPr>
  </w:style>
  <w:style w:type="paragraph" w:customStyle="1" w:styleId="Bodytext110">
    <w:name w:val="Body text (11)"/>
    <w:basedOn w:val="Parasts"/>
    <w:link w:val="Bodytext11"/>
    <w:rsid w:val="009624CC"/>
    <w:pPr>
      <w:shd w:val="clear" w:color="auto" w:fill="FFFFFF"/>
      <w:spacing w:after="0" w:line="274" w:lineRule="exact"/>
      <w:ind w:hanging="360"/>
      <w:jc w:val="right"/>
    </w:pPr>
    <w:rPr>
      <w:sz w:val="21"/>
      <w:szCs w:val="21"/>
    </w:rPr>
  </w:style>
  <w:style w:type="table" w:styleId="Reatabula">
    <w:name w:val="Table Grid"/>
    <w:basedOn w:val="Parastatabula"/>
    <w:uiPriority w:val="59"/>
    <w:rsid w:val="00CA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206B33"/>
    <w:rPr>
      <w:rFonts w:ascii="Helvetica" w:eastAsia="Times New Roman" w:hAnsi="Helvetica" w:cs="Times New Roman"/>
      <w:b/>
      <w:bCs/>
      <w:kern w:val="36"/>
      <w:sz w:val="48"/>
      <w:szCs w:val="4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206B33"/>
    <w:rPr>
      <w:rFonts w:ascii="Helvetica" w:eastAsia="Times New Roman" w:hAnsi="Helvetica" w:cs="Times New Roman"/>
      <w:b/>
      <w:bCs/>
      <w:sz w:val="24"/>
      <w:szCs w:val="24"/>
      <w:lang w:eastAsia="lv-LV"/>
    </w:rPr>
  </w:style>
  <w:style w:type="paragraph" w:customStyle="1" w:styleId="Default">
    <w:name w:val="Default"/>
    <w:rsid w:val="00CA1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Noklusjumarindkopasfonts"/>
    <w:link w:val="Pamatteksts1"/>
    <w:rsid w:val="005C79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basedOn w:val="Noklusjumarindkopasfonts"/>
    <w:link w:val="Bodytext40"/>
    <w:rsid w:val="005C79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Pamatteksts1">
    <w:name w:val="Pamatteksts1"/>
    <w:basedOn w:val="Parasts"/>
    <w:link w:val="Bodytext"/>
    <w:rsid w:val="005C79EA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Parasts"/>
    <w:link w:val="Bodytext4"/>
    <w:rsid w:val="005C79EA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8">
    <w:name w:val="Body text (8)_"/>
    <w:basedOn w:val="Noklusjumarindkopasfonts"/>
    <w:rsid w:val="00472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0">
    <w:name w:val="Body text (8)"/>
    <w:basedOn w:val="Bodytext8"/>
    <w:rsid w:val="00472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hrase">
    <w:name w:val="phrase"/>
    <w:basedOn w:val="Noklusjumarindkopasfonts"/>
    <w:rsid w:val="00D22963"/>
  </w:style>
  <w:style w:type="character" w:customStyle="1" w:styleId="word">
    <w:name w:val="word"/>
    <w:basedOn w:val="Noklusjumarindkopasfonts"/>
    <w:rsid w:val="00D22963"/>
  </w:style>
  <w:style w:type="paragraph" w:styleId="Komentrateksts">
    <w:name w:val="annotation text"/>
    <w:basedOn w:val="Parasts"/>
    <w:link w:val="KomentratekstsRakstz"/>
    <w:uiPriority w:val="99"/>
    <w:semiHidden/>
    <w:rsid w:val="00760AD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60AD7"/>
    <w:rPr>
      <w:rFonts w:ascii="Calibri" w:eastAsia="Calibri" w:hAnsi="Calibri" w:cs="Times New Roman"/>
      <w:sz w:val="20"/>
      <w:szCs w:val="20"/>
    </w:rPr>
  </w:style>
  <w:style w:type="paragraph" w:customStyle="1" w:styleId="mt-translation">
    <w:name w:val="mt-translation"/>
    <w:basedOn w:val="Parasts"/>
    <w:rsid w:val="00760AD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Izclums">
    <w:name w:val="Emphasis"/>
    <w:uiPriority w:val="20"/>
    <w:qFormat/>
    <w:rsid w:val="00F045E5"/>
    <w:rPr>
      <w:i/>
      <w:iCs/>
    </w:rPr>
  </w:style>
  <w:style w:type="character" w:styleId="Komentraatsauce">
    <w:name w:val="annotation reference"/>
    <w:basedOn w:val="Noklusjumarindkopasfonts"/>
    <w:uiPriority w:val="99"/>
    <w:semiHidden/>
    <w:unhideWhenUsed/>
    <w:rsid w:val="00271D8D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71D8D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71D8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66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urecka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4586A-51C0-42AE-863A-7206E63B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4</Pages>
  <Words>5034</Words>
  <Characters>2870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rīkojuma projektu</vt:lpstr>
      <vt:lpstr>Par Ministru kabineta rīkojuma projektu</vt:lpstr>
    </vt:vector>
  </TitlesOfParts>
  <Company>Zemkopības ministrija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</dc:title>
  <dc:subject>Anotācija</dc:subject>
  <dc:creator>Linda Gurecka</dc:creator>
  <dc:description>Gurecka 26614495_x000d_
Linda.Gurecka@zm.gov.lv</dc:description>
  <cp:lastModifiedBy>Sanita Papinova</cp:lastModifiedBy>
  <cp:revision>82</cp:revision>
  <cp:lastPrinted>2018-01-17T13:27:00Z</cp:lastPrinted>
  <dcterms:created xsi:type="dcterms:W3CDTF">2020-05-11T14:54:00Z</dcterms:created>
  <dcterms:modified xsi:type="dcterms:W3CDTF">2020-09-02T11:17:00Z</dcterms:modified>
</cp:coreProperties>
</file>