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F50" w:rsidRPr="00CA0354" w:rsidRDefault="00053F50" w:rsidP="00053F50">
      <w:pPr>
        <w:tabs>
          <w:tab w:val="left" w:pos="6663"/>
        </w:tabs>
        <w:jc w:val="right"/>
        <w:rPr>
          <w:sz w:val="28"/>
          <w:szCs w:val="28"/>
        </w:rPr>
      </w:pPr>
      <w:bookmarkStart w:id="0" w:name="_GoBack"/>
      <w:bookmarkEnd w:id="0"/>
      <w:r w:rsidRPr="00CA0354">
        <w:rPr>
          <w:sz w:val="28"/>
          <w:szCs w:val="28"/>
        </w:rPr>
        <w:t>Likumprojekts</w:t>
      </w:r>
    </w:p>
    <w:p w:rsidR="00053F50" w:rsidRPr="00CA0354" w:rsidRDefault="00053F50" w:rsidP="00053F50">
      <w:pPr>
        <w:tabs>
          <w:tab w:val="left" w:pos="6663"/>
        </w:tabs>
        <w:jc w:val="center"/>
        <w:rPr>
          <w:b/>
          <w:sz w:val="28"/>
          <w:szCs w:val="28"/>
        </w:rPr>
      </w:pPr>
    </w:p>
    <w:p w:rsidR="00053F50" w:rsidRPr="00CA0354" w:rsidRDefault="00053F50" w:rsidP="00053F50">
      <w:pPr>
        <w:tabs>
          <w:tab w:val="left" w:pos="6663"/>
        </w:tabs>
        <w:jc w:val="center"/>
        <w:rPr>
          <w:b/>
          <w:sz w:val="28"/>
          <w:szCs w:val="28"/>
        </w:rPr>
      </w:pPr>
      <w:r w:rsidRPr="00CA0354">
        <w:rPr>
          <w:b/>
          <w:sz w:val="28"/>
          <w:szCs w:val="28"/>
        </w:rPr>
        <w:t>Grozījum</w:t>
      </w:r>
      <w:r w:rsidR="00DF051D">
        <w:rPr>
          <w:b/>
          <w:sz w:val="28"/>
          <w:szCs w:val="28"/>
        </w:rPr>
        <w:t>i</w:t>
      </w:r>
      <w:r w:rsidRPr="00CA0354">
        <w:rPr>
          <w:b/>
          <w:sz w:val="28"/>
          <w:szCs w:val="28"/>
        </w:rPr>
        <w:t xml:space="preserve"> Latvijas Republikas Zemessardzes likumā</w:t>
      </w:r>
    </w:p>
    <w:p w:rsidR="00053F50" w:rsidRPr="00CA0354" w:rsidRDefault="00053F50" w:rsidP="00053F50">
      <w:pPr>
        <w:tabs>
          <w:tab w:val="left" w:pos="6663"/>
        </w:tabs>
        <w:jc w:val="center"/>
        <w:rPr>
          <w:b/>
          <w:sz w:val="28"/>
          <w:szCs w:val="28"/>
        </w:rPr>
      </w:pPr>
    </w:p>
    <w:p w:rsidR="00053F50" w:rsidRPr="00CA0354" w:rsidRDefault="00053F50" w:rsidP="00053F50">
      <w:pPr>
        <w:tabs>
          <w:tab w:val="left" w:pos="6663"/>
        </w:tabs>
        <w:ind w:firstLine="720"/>
        <w:jc w:val="both"/>
        <w:rPr>
          <w:sz w:val="28"/>
          <w:szCs w:val="28"/>
        </w:rPr>
      </w:pPr>
      <w:r w:rsidRPr="00CA0354">
        <w:rPr>
          <w:sz w:val="28"/>
          <w:szCs w:val="28"/>
        </w:rPr>
        <w:t>Izdarīt Latvijas Republikas Zemessardzes likumā (Latvijas Vēstnesis, 2010, 82., 205. nr.; 2012, 189., 203. nr.; 2014, 108. nr.; 2016, 223. nr.; 2017, 132. nr.</w:t>
      </w:r>
      <w:r w:rsidR="001B6AF7" w:rsidRPr="00CA0354">
        <w:rPr>
          <w:sz w:val="28"/>
          <w:szCs w:val="28"/>
        </w:rPr>
        <w:t>; 2019, 57. nr.</w:t>
      </w:r>
      <w:r w:rsidRPr="00CA0354">
        <w:rPr>
          <w:sz w:val="28"/>
          <w:szCs w:val="28"/>
        </w:rPr>
        <w:t>) šādu</w:t>
      </w:r>
      <w:r w:rsidR="00DF051D">
        <w:rPr>
          <w:sz w:val="28"/>
          <w:szCs w:val="28"/>
        </w:rPr>
        <w:t>s</w:t>
      </w:r>
      <w:r w:rsidRPr="00CA0354">
        <w:rPr>
          <w:sz w:val="28"/>
          <w:szCs w:val="28"/>
        </w:rPr>
        <w:t xml:space="preserve"> grozījumu</w:t>
      </w:r>
      <w:r w:rsidR="00DF051D">
        <w:rPr>
          <w:sz w:val="28"/>
          <w:szCs w:val="28"/>
        </w:rPr>
        <w:t>s</w:t>
      </w:r>
      <w:r w:rsidRPr="00CA0354">
        <w:rPr>
          <w:sz w:val="28"/>
          <w:szCs w:val="28"/>
        </w:rPr>
        <w:t xml:space="preserve">: </w:t>
      </w:r>
    </w:p>
    <w:p w:rsidR="00053F50" w:rsidRPr="00CA0354" w:rsidRDefault="00053F50" w:rsidP="00053F50">
      <w:pPr>
        <w:tabs>
          <w:tab w:val="left" w:pos="6663"/>
        </w:tabs>
        <w:ind w:firstLine="720"/>
        <w:jc w:val="both"/>
        <w:rPr>
          <w:sz w:val="28"/>
          <w:szCs w:val="28"/>
        </w:rPr>
      </w:pPr>
    </w:p>
    <w:p w:rsidR="00DF051D" w:rsidRPr="00DF051D" w:rsidRDefault="00DF051D" w:rsidP="00DF051D">
      <w:pPr>
        <w:ind w:firstLine="567"/>
        <w:jc w:val="both"/>
        <w:rPr>
          <w:sz w:val="28"/>
          <w:szCs w:val="28"/>
        </w:rPr>
      </w:pPr>
      <w:r>
        <w:rPr>
          <w:sz w:val="28"/>
          <w:szCs w:val="28"/>
        </w:rPr>
        <w:t>1.</w:t>
      </w:r>
      <w:r w:rsidRPr="00DF051D">
        <w:t xml:space="preserve"> </w:t>
      </w:r>
      <w:r w:rsidRPr="00DF051D">
        <w:rPr>
          <w:sz w:val="28"/>
          <w:szCs w:val="28"/>
        </w:rPr>
        <w:t>Papildināt 4. pantu ar sesto un septīto daļu šādā redakcijā:</w:t>
      </w:r>
    </w:p>
    <w:p w:rsidR="00DF051D" w:rsidRPr="00DF051D" w:rsidRDefault="00DF051D" w:rsidP="00DF051D">
      <w:pPr>
        <w:ind w:firstLine="567"/>
        <w:jc w:val="both"/>
        <w:rPr>
          <w:sz w:val="28"/>
          <w:szCs w:val="28"/>
        </w:rPr>
      </w:pPr>
    </w:p>
    <w:p w:rsidR="00DF051D" w:rsidRPr="00DF051D" w:rsidRDefault="00DF051D" w:rsidP="00DF051D">
      <w:pPr>
        <w:ind w:firstLine="567"/>
        <w:jc w:val="both"/>
        <w:rPr>
          <w:sz w:val="28"/>
          <w:szCs w:val="28"/>
        </w:rPr>
      </w:pPr>
      <w:r w:rsidRPr="00DF051D">
        <w:rPr>
          <w:sz w:val="28"/>
          <w:szCs w:val="28"/>
        </w:rPr>
        <w:t xml:space="preserve">“(6) Zemessargi </w:t>
      </w:r>
      <w:r w:rsidR="00640EA2">
        <w:rPr>
          <w:sz w:val="28"/>
          <w:szCs w:val="28"/>
        </w:rPr>
        <w:t xml:space="preserve">to </w:t>
      </w:r>
      <w:r w:rsidRPr="00DF051D">
        <w:rPr>
          <w:sz w:val="28"/>
          <w:szCs w:val="28"/>
        </w:rPr>
        <w:t>mobilizācijas gadījumā tiek ieskaitīti aktīvajā dienestā. Kārtību, kādā zemessargus ieskaita aktīvajā dienestā mobilizācijas gadījumā nosaka aizsardzības ministrs.</w:t>
      </w:r>
    </w:p>
    <w:p w:rsidR="00DF051D" w:rsidRPr="00DF051D" w:rsidRDefault="00DF051D" w:rsidP="00DF051D">
      <w:pPr>
        <w:ind w:firstLine="567"/>
        <w:jc w:val="both"/>
        <w:rPr>
          <w:sz w:val="28"/>
          <w:szCs w:val="28"/>
        </w:rPr>
      </w:pPr>
    </w:p>
    <w:p w:rsidR="00DF051D" w:rsidRDefault="00DF051D" w:rsidP="00DF051D">
      <w:pPr>
        <w:ind w:firstLine="567"/>
        <w:jc w:val="both"/>
        <w:rPr>
          <w:sz w:val="28"/>
          <w:szCs w:val="28"/>
        </w:rPr>
      </w:pPr>
      <w:r w:rsidRPr="00DF051D">
        <w:rPr>
          <w:sz w:val="28"/>
          <w:szCs w:val="28"/>
        </w:rPr>
        <w:t>(7) Daļējas zemessargu mobilizācijas gadījumā, pārējie zemessargi var tikt pakļauti paaugstinātas gatavības režīmam. Kārtību kādā Zemessardzes vienības tiek turētas paaugstinātas gatavības režīmā, nosaka aizsardzības ministrs.”</w:t>
      </w:r>
    </w:p>
    <w:p w:rsidR="00DF051D" w:rsidRDefault="00DF051D" w:rsidP="00DF051D">
      <w:pPr>
        <w:ind w:firstLine="567"/>
        <w:jc w:val="both"/>
        <w:rPr>
          <w:sz w:val="28"/>
          <w:szCs w:val="28"/>
        </w:rPr>
      </w:pPr>
    </w:p>
    <w:p w:rsidR="00DF051D" w:rsidRPr="00DF051D" w:rsidRDefault="00DF051D" w:rsidP="00DF051D">
      <w:pPr>
        <w:ind w:firstLine="567"/>
        <w:jc w:val="both"/>
        <w:rPr>
          <w:sz w:val="28"/>
          <w:szCs w:val="28"/>
        </w:rPr>
      </w:pPr>
      <w:r>
        <w:rPr>
          <w:sz w:val="28"/>
          <w:szCs w:val="28"/>
        </w:rPr>
        <w:t xml:space="preserve">2. </w:t>
      </w:r>
      <w:r w:rsidRPr="00DF051D">
        <w:rPr>
          <w:sz w:val="28"/>
          <w:szCs w:val="28"/>
        </w:rPr>
        <w:t>Papildināt likumu ar 4.ˡ pantu šādā redakcijā:</w:t>
      </w:r>
    </w:p>
    <w:p w:rsidR="00DF051D" w:rsidRPr="00DF051D" w:rsidRDefault="00DF051D" w:rsidP="00DF051D">
      <w:pPr>
        <w:ind w:firstLine="567"/>
        <w:jc w:val="both"/>
        <w:rPr>
          <w:sz w:val="28"/>
          <w:szCs w:val="28"/>
        </w:rPr>
      </w:pPr>
      <w:r w:rsidRPr="00DF051D">
        <w:rPr>
          <w:sz w:val="28"/>
          <w:szCs w:val="28"/>
        </w:rPr>
        <w:t xml:space="preserve">“4.1 pants. Izņēmumi no zemessargu mobilizācijas noteikumiem </w:t>
      </w:r>
    </w:p>
    <w:p w:rsidR="00DF051D" w:rsidRPr="00DF051D" w:rsidRDefault="00DF051D" w:rsidP="00DF051D">
      <w:pPr>
        <w:ind w:firstLine="567"/>
        <w:jc w:val="both"/>
        <w:rPr>
          <w:sz w:val="28"/>
          <w:szCs w:val="28"/>
        </w:rPr>
      </w:pPr>
      <w:r w:rsidRPr="00DF051D">
        <w:rPr>
          <w:sz w:val="28"/>
          <w:szCs w:val="28"/>
        </w:rPr>
        <w:t>(1) Šā likuma 4. panta sestās un septītās daļas noteikumus neattiecina uz šādām personām:</w:t>
      </w:r>
    </w:p>
    <w:p w:rsidR="00DF051D" w:rsidRPr="00DF051D" w:rsidRDefault="00DF051D" w:rsidP="00DF051D">
      <w:pPr>
        <w:ind w:firstLine="567"/>
        <w:jc w:val="both"/>
        <w:rPr>
          <w:sz w:val="28"/>
          <w:szCs w:val="28"/>
        </w:rPr>
      </w:pPr>
      <w:r w:rsidRPr="00DF051D">
        <w:rPr>
          <w:sz w:val="28"/>
          <w:szCs w:val="28"/>
        </w:rPr>
        <w:t>1) Valsts prezidents un Valsts prezidenta kancelejas amatpersonas;</w:t>
      </w:r>
    </w:p>
    <w:p w:rsidR="00DF051D" w:rsidRPr="00DF051D" w:rsidRDefault="00DF051D" w:rsidP="00DF051D">
      <w:pPr>
        <w:ind w:firstLine="567"/>
        <w:jc w:val="both"/>
        <w:rPr>
          <w:sz w:val="28"/>
          <w:szCs w:val="28"/>
        </w:rPr>
      </w:pPr>
      <w:r w:rsidRPr="00DF051D">
        <w:rPr>
          <w:sz w:val="28"/>
          <w:szCs w:val="28"/>
        </w:rPr>
        <w:t>2) Saeimas deputāts;</w:t>
      </w:r>
    </w:p>
    <w:p w:rsidR="00DF051D" w:rsidRPr="00DF051D" w:rsidRDefault="00DF051D" w:rsidP="00DF051D">
      <w:pPr>
        <w:ind w:firstLine="567"/>
        <w:jc w:val="both"/>
        <w:rPr>
          <w:sz w:val="28"/>
          <w:szCs w:val="28"/>
        </w:rPr>
      </w:pPr>
      <w:r w:rsidRPr="00DF051D">
        <w:rPr>
          <w:sz w:val="28"/>
          <w:szCs w:val="28"/>
        </w:rPr>
        <w:t>3) Eiropas Parlamenta deputāts;</w:t>
      </w:r>
    </w:p>
    <w:p w:rsidR="00DF051D" w:rsidRPr="00DF051D" w:rsidRDefault="00DF051D" w:rsidP="00DF051D">
      <w:pPr>
        <w:ind w:firstLine="567"/>
        <w:jc w:val="both"/>
        <w:rPr>
          <w:sz w:val="28"/>
          <w:szCs w:val="28"/>
        </w:rPr>
      </w:pPr>
      <w:r w:rsidRPr="00DF051D">
        <w:rPr>
          <w:sz w:val="28"/>
          <w:szCs w:val="28"/>
        </w:rPr>
        <w:t>4) Eiropas Savienības komisārs;</w:t>
      </w:r>
    </w:p>
    <w:p w:rsidR="00DF051D" w:rsidRPr="00DF051D" w:rsidRDefault="00DF051D" w:rsidP="00DF051D">
      <w:pPr>
        <w:ind w:firstLine="567"/>
        <w:jc w:val="both"/>
        <w:rPr>
          <w:sz w:val="28"/>
          <w:szCs w:val="28"/>
        </w:rPr>
      </w:pPr>
      <w:r w:rsidRPr="00DF051D">
        <w:rPr>
          <w:sz w:val="28"/>
          <w:szCs w:val="28"/>
        </w:rPr>
        <w:t>5) Ministru kabineta loceklis;</w:t>
      </w:r>
    </w:p>
    <w:p w:rsidR="00DF051D" w:rsidRPr="00DF051D" w:rsidRDefault="00DF051D" w:rsidP="00DF051D">
      <w:pPr>
        <w:ind w:firstLine="567"/>
        <w:jc w:val="both"/>
        <w:rPr>
          <w:sz w:val="28"/>
          <w:szCs w:val="28"/>
        </w:rPr>
      </w:pPr>
      <w:r w:rsidRPr="00DF051D">
        <w:rPr>
          <w:sz w:val="28"/>
          <w:szCs w:val="28"/>
        </w:rPr>
        <w:t>6) ministrijas valsts sekretārs;</w:t>
      </w:r>
    </w:p>
    <w:p w:rsidR="00DF051D" w:rsidRPr="00DF051D" w:rsidRDefault="00DF051D" w:rsidP="00DF051D">
      <w:pPr>
        <w:ind w:firstLine="567"/>
        <w:jc w:val="both"/>
        <w:rPr>
          <w:sz w:val="28"/>
          <w:szCs w:val="28"/>
        </w:rPr>
      </w:pPr>
      <w:r w:rsidRPr="00DF051D">
        <w:rPr>
          <w:sz w:val="28"/>
          <w:szCs w:val="28"/>
        </w:rPr>
        <w:t>7) Valsts kancelejas direktors;</w:t>
      </w:r>
    </w:p>
    <w:p w:rsidR="00DF051D" w:rsidRPr="00DF051D" w:rsidRDefault="00DF051D" w:rsidP="00DF051D">
      <w:pPr>
        <w:ind w:firstLine="567"/>
        <w:jc w:val="both"/>
        <w:rPr>
          <w:sz w:val="28"/>
          <w:szCs w:val="28"/>
        </w:rPr>
      </w:pPr>
      <w:r w:rsidRPr="00DF051D">
        <w:rPr>
          <w:sz w:val="28"/>
          <w:szCs w:val="28"/>
        </w:rPr>
        <w:t>8) Valsts ieņēmumu dienesta ģenerāldirektors;</w:t>
      </w:r>
    </w:p>
    <w:p w:rsidR="00DF051D" w:rsidRPr="00DF051D" w:rsidRDefault="00DF051D" w:rsidP="00DF051D">
      <w:pPr>
        <w:ind w:firstLine="567"/>
        <w:jc w:val="both"/>
        <w:rPr>
          <w:sz w:val="28"/>
          <w:szCs w:val="28"/>
        </w:rPr>
      </w:pPr>
      <w:r w:rsidRPr="00DF051D">
        <w:rPr>
          <w:sz w:val="28"/>
          <w:szCs w:val="28"/>
        </w:rPr>
        <w:t>9) Valsts kases pārvaldnieks;</w:t>
      </w:r>
    </w:p>
    <w:p w:rsidR="00DF051D" w:rsidRPr="00DF051D" w:rsidRDefault="00DF051D" w:rsidP="00DF051D">
      <w:pPr>
        <w:ind w:firstLine="567"/>
        <w:jc w:val="both"/>
        <w:rPr>
          <w:sz w:val="28"/>
          <w:szCs w:val="28"/>
        </w:rPr>
      </w:pPr>
      <w:r w:rsidRPr="00DF051D">
        <w:rPr>
          <w:sz w:val="28"/>
          <w:szCs w:val="28"/>
        </w:rPr>
        <w:t>10) tiesībsargs;</w:t>
      </w:r>
    </w:p>
    <w:p w:rsidR="00DF051D" w:rsidRPr="00DF051D" w:rsidRDefault="00DF051D" w:rsidP="00DF051D">
      <w:pPr>
        <w:ind w:firstLine="567"/>
        <w:jc w:val="both"/>
        <w:rPr>
          <w:sz w:val="28"/>
          <w:szCs w:val="28"/>
        </w:rPr>
      </w:pPr>
      <w:r w:rsidRPr="00DF051D">
        <w:rPr>
          <w:sz w:val="28"/>
          <w:szCs w:val="28"/>
        </w:rPr>
        <w:t>11) Latvijas Bankas prezidents, prezidenta vietnieks un padomes locekļi;</w:t>
      </w:r>
    </w:p>
    <w:p w:rsidR="00DF051D" w:rsidRPr="00DF051D" w:rsidRDefault="00DF051D" w:rsidP="00DF051D">
      <w:pPr>
        <w:ind w:firstLine="567"/>
        <w:jc w:val="both"/>
        <w:rPr>
          <w:sz w:val="28"/>
          <w:szCs w:val="28"/>
        </w:rPr>
      </w:pPr>
      <w:r w:rsidRPr="00DF051D">
        <w:rPr>
          <w:sz w:val="28"/>
          <w:szCs w:val="28"/>
        </w:rPr>
        <w:t>12) valsts kontrolieris un Valsts kontroles padomes loceklis;</w:t>
      </w:r>
    </w:p>
    <w:p w:rsidR="00DF051D" w:rsidRPr="00DF051D" w:rsidRDefault="00DF051D" w:rsidP="00DF051D">
      <w:pPr>
        <w:ind w:firstLine="567"/>
        <w:jc w:val="both"/>
        <w:rPr>
          <w:sz w:val="28"/>
          <w:szCs w:val="28"/>
        </w:rPr>
      </w:pPr>
      <w:r w:rsidRPr="00DF051D">
        <w:rPr>
          <w:sz w:val="28"/>
          <w:szCs w:val="28"/>
        </w:rPr>
        <w:t>13) Finanšu un kapitāla tirgus komisijas priekšsēdētājs un padomes loceklis;</w:t>
      </w:r>
    </w:p>
    <w:p w:rsidR="00DF051D" w:rsidRPr="00DF051D" w:rsidRDefault="00DF051D" w:rsidP="00DF051D">
      <w:pPr>
        <w:ind w:firstLine="567"/>
        <w:jc w:val="both"/>
        <w:rPr>
          <w:sz w:val="28"/>
          <w:szCs w:val="28"/>
        </w:rPr>
      </w:pPr>
      <w:r w:rsidRPr="00DF051D">
        <w:rPr>
          <w:sz w:val="28"/>
          <w:szCs w:val="28"/>
        </w:rPr>
        <w:t>14) Nacionālās elektronisko plašsaziņas līdzekļu padomes priekšsēdētājs, priekšsēdētāja vietnieks un padomes loceklis;</w:t>
      </w:r>
    </w:p>
    <w:p w:rsidR="00DF051D" w:rsidRPr="00DF051D" w:rsidRDefault="00DF051D" w:rsidP="00DF051D">
      <w:pPr>
        <w:ind w:firstLine="567"/>
        <w:jc w:val="both"/>
        <w:rPr>
          <w:sz w:val="28"/>
          <w:szCs w:val="28"/>
        </w:rPr>
      </w:pPr>
      <w:r w:rsidRPr="00DF051D">
        <w:rPr>
          <w:sz w:val="28"/>
          <w:szCs w:val="28"/>
        </w:rPr>
        <w:t>15) Sabiedrisko pakalpojumu regulēšanas komisijas padomes priekšsēdētājs un padomes loceklis;</w:t>
      </w:r>
    </w:p>
    <w:p w:rsidR="00DF051D" w:rsidRPr="00DF051D" w:rsidRDefault="00DF051D" w:rsidP="00DF051D">
      <w:pPr>
        <w:ind w:firstLine="567"/>
        <w:jc w:val="both"/>
        <w:rPr>
          <w:sz w:val="28"/>
          <w:szCs w:val="28"/>
        </w:rPr>
      </w:pPr>
      <w:r w:rsidRPr="00DF051D">
        <w:rPr>
          <w:sz w:val="28"/>
          <w:szCs w:val="28"/>
        </w:rPr>
        <w:t>16) Satversmes tiesas tiesnesis;</w:t>
      </w:r>
    </w:p>
    <w:p w:rsidR="00DF051D" w:rsidRPr="00DF051D" w:rsidRDefault="00DF051D" w:rsidP="00DF051D">
      <w:pPr>
        <w:ind w:firstLine="567"/>
        <w:jc w:val="both"/>
        <w:rPr>
          <w:sz w:val="28"/>
          <w:szCs w:val="28"/>
        </w:rPr>
      </w:pPr>
      <w:r w:rsidRPr="00DF051D">
        <w:rPr>
          <w:sz w:val="28"/>
          <w:szCs w:val="28"/>
        </w:rPr>
        <w:t xml:space="preserve">17) Augstākās tiesas tiesnesis; </w:t>
      </w:r>
    </w:p>
    <w:p w:rsidR="00DF051D" w:rsidRPr="00DF051D" w:rsidRDefault="00DF051D" w:rsidP="00DF051D">
      <w:pPr>
        <w:ind w:firstLine="567"/>
        <w:jc w:val="both"/>
        <w:rPr>
          <w:sz w:val="28"/>
          <w:szCs w:val="28"/>
        </w:rPr>
      </w:pPr>
      <w:r w:rsidRPr="00DF051D">
        <w:rPr>
          <w:sz w:val="28"/>
          <w:szCs w:val="28"/>
        </w:rPr>
        <w:lastRenderedPageBreak/>
        <w:t>18) apgabaltiesas tiesnesis;</w:t>
      </w:r>
    </w:p>
    <w:p w:rsidR="00DF051D" w:rsidRPr="00DF051D" w:rsidRDefault="00DF051D" w:rsidP="00DF051D">
      <w:pPr>
        <w:ind w:firstLine="567"/>
        <w:jc w:val="both"/>
        <w:rPr>
          <w:sz w:val="28"/>
          <w:szCs w:val="28"/>
        </w:rPr>
      </w:pPr>
      <w:r w:rsidRPr="00DF051D">
        <w:rPr>
          <w:sz w:val="28"/>
          <w:szCs w:val="28"/>
        </w:rPr>
        <w:t xml:space="preserve">19) rajona (pilsētas) tiesas tiesnesis; </w:t>
      </w:r>
    </w:p>
    <w:p w:rsidR="00DF051D" w:rsidRPr="00DF051D" w:rsidRDefault="00DF051D" w:rsidP="00DF051D">
      <w:pPr>
        <w:ind w:firstLine="567"/>
        <w:jc w:val="both"/>
        <w:rPr>
          <w:sz w:val="28"/>
          <w:szCs w:val="28"/>
        </w:rPr>
      </w:pPr>
      <w:r w:rsidRPr="00DF051D">
        <w:rPr>
          <w:sz w:val="28"/>
          <w:szCs w:val="28"/>
        </w:rPr>
        <w:t>20) advokāts, kas norīkots darbam karatiesā;</w:t>
      </w:r>
    </w:p>
    <w:p w:rsidR="00DF051D" w:rsidRPr="00DF051D" w:rsidRDefault="00DF051D" w:rsidP="00DF051D">
      <w:pPr>
        <w:ind w:firstLine="567"/>
        <w:jc w:val="both"/>
        <w:rPr>
          <w:sz w:val="28"/>
          <w:szCs w:val="28"/>
        </w:rPr>
      </w:pPr>
      <w:r w:rsidRPr="00DF051D">
        <w:rPr>
          <w:sz w:val="28"/>
          <w:szCs w:val="28"/>
        </w:rPr>
        <w:t>21) Latvijas Republikas diplomātisko un konsulāro pārstāvniecību ārvalstīs darbinieks;</w:t>
      </w:r>
    </w:p>
    <w:p w:rsidR="00DF051D" w:rsidRPr="00DF051D" w:rsidRDefault="00DF051D" w:rsidP="00DF051D">
      <w:pPr>
        <w:ind w:firstLine="567"/>
        <w:jc w:val="both"/>
        <w:rPr>
          <w:sz w:val="28"/>
          <w:szCs w:val="28"/>
        </w:rPr>
      </w:pPr>
      <w:r w:rsidRPr="00DF051D">
        <w:rPr>
          <w:sz w:val="28"/>
          <w:szCs w:val="28"/>
        </w:rPr>
        <w:t>22) pašvaldības deputāts;</w:t>
      </w:r>
    </w:p>
    <w:p w:rsidR="00DF051D" w:rsidRPr="00DF051D" w:rsidRDefault="00DF051D" w:rsidP="00DF051D">
      <w:pPr>
        <w:ind w:firstLine="567"/>
        <w:jc w:val="both"/>
        <w:rPr>
          <w:sz w:val="28"/>
          <w:szCs w:val="28"/>
        </w:rPr>
      </w:pPr>
      <w:r w:rsidRPr="00DF051D">
        <w:rPr>
          <w:sz w:val="28"/>
          <w:szCs w:val="28"/>
        </w:rPr>
        <w:t xml:space="preserve">23) pašvaldības izpilddirektors. </w:t>
      </w:r>
    </w:p>
    <w:p w:rsidR="00DF051D" w:rsidRPr="00DF051D" w:rsidRDefault="00DF051D" w:rsidP="00DF051D">
      <w:pPr>
        <w:ind w:firstLine="567"/>
        <w:jc w:val="both"/>
        <w:rPr>
          <w:sz w:val="28"/>
          <w:szCs w:val="28"/>
        </w:rPr>
      </w:pPr>
      <w:r w:rsidRPr="00DF051D">
        <w:rPr>
          <w:sz w:val="28"/>
          <w:szCs w:val="28"/>
        </w:rPr>
        <w:t>(2) Ministru kabinets atkarībā no valsts apdraudējuma veida, tā intensitātes un rakstura var lemt par izņēmumu attiecināšanu uz citām valsts un pašvaldības institūciju amatpersonām vai darbiniekiem vai personām, kuras atrodas darba tiesiskajās attiecībās ar personām, kas nodrošina kritiskās infrastruktūras vai kritisko finanšu nozares pakalpojumu darbības nepārtrauktību.</w:t>
      </w:r>
    </w:p>
    <w:p w:rsidR="00DF051D" w:rsidRDefault="00DF051D" w:rsidP="00DF051D">
      <w:pPr>
        <w:ind w:firstLine="567"/>
        <w:jc w:val="both"/>
        <w:rPr>
          <w:sz w:val="28"/>
          <w:szCs w:val="28"/>
        </w:rPr>
      </w:pPr>
      <w:r w:rsidRPr="00DF051D">
        <w:rPr>
          <w:sz w:val="28"/>
          <w:szCs w:val="28"/>
        </w:rPr>
        <w:t>(3) Ministru kabinets nosaka kārtību, kādā šā panta otrajā daļā minētajām personām piemēro izņēmumus ieskaitīšanai aktīvajā dienestā, kā arī kārtību, kādā Zemessardzi informē par šā panta pirmajā un otrajā daļā minētajām personām.”</w:t>
      </w:r>
    </w:p>
    <w:p w:rsidR="00DF051D" w:rsidRDefault="00DF051D" w:rsidP="00734EBC">
      <w:pPr>
        <w:ind w:firstLine="567"/>
        <w:jc w:val="both"/>
        <w:rPr>
          <w:sz w:val="28"/>
          <w:szCs w:val="28"/>
        </w:rPr>
      </w:pPr>
    </w:p>
    <w:p w:rsidR="00734EBC" w:rsidRDefault="00DF051D" w:rsidP="00734EBC">
      <w:pPr>
        <w:ind w:firstLine="567"/>
        <w:jc w:val="both"/>
        <w:rPr>
          <w:sz w:val="28"/>
          <w:szCs w:val="28"/>
        </w:rPr>
      </w:pPr>
      <w:r>
        <w:rPr>
          <w:sz w:val="28"/>
          <w:szCs w:val="28"/>
        </w:rPr>
        <w:t xml:space="preserve">3. </w:t>
      </w:r>
      <w:r w:rsidR="00734EBC" w:rsidRPr="00734EBC">
        <w:rPr>
          <w:sz w:val="28"/>
          <w:szCs w:val="28"/>
        </w:rPr>
        <w:t>6. pantā:</w:t>
      </w:r>
    </w:p>
    <w:p w:rsidR="003F7277" w:rsidRPr="00734EBC" w:rsidRDefault="003F7277" w:rsidP="00734EBC">
      <w:pPr>
        <w:ind w:firstLine="567"/>
        <w:jc w:val="both"/>
        <w:rPr>
          <w:sz w:val="28"/>
          <w:szCs w:val="28"/>
        </w:rPr>
      </w:pPr>
    </w:p>
    <w:p w:rsidR="00734EBC" w:rsidRPr="00734EBC" w:rsidRDefault="00734EBC" w:rsidP="00734EBC">
      <w:pPr>
        <w:ind w:firstLine="567"/>
        <w:jc w:val="both"/>
        <w:rPr>
          <w:sz w:val="28"/>
          <w:szCs w:val="28"/>
        </w:rPr>
      </w:pPr>
      <w:r w:rsidRPr="00734EBC">
        <w:rPr>
          <w:sz w:val="28"/>
          <w:szCs w:val="28"/>
        </w:rPr>
        <w:t>papildināt trešo daļu ar 4. punktu šādā redakcijā:</w:t>
      </w:r>
    </w:p>
    <w:p w:rsidR="00734EBC" w:rsidRDefault="00734EBC" w:rsidP="00734EBC">
      <w:pPr>
        <w:ind w:firstLine="567"/>
        <w:jc w:val="both"/>
        <w:rPr>
          <w:sz w:val="28"/>
          <w:szCs w:val="28"/>
        </w:rPr>
      </w:pPr>
      <w:r w:rsidRPr="00734EBC">
        <w:rPr>
          <w:sz w:val="28"/>
          <w:szCs w:val="28"/>
        </w:rPr>
        <w:t>“4. dalībai Ministru kabineta rīkotajās kaujas gatavības pārbaud</w:t>
      </w:r>
      <w:r w:rsidR="005755D7">
        <w:rPr>
          <w:sz w:val="28"/>
          <w:szCs w:val="28"/>
        </w:rPr>
        <w:t>ē</w:t>
      </w:r>
      <w:r w:rsidRPr="00734EBC">
        <w:rPr>
          <w:sz w:val="28"/>
          <w:szCs w:val="28"/>
        </w:rPr>
        <w:t>s</w:t>
      </w:r>
      <w:r w:rsidR="005755D7">
        <w:rPr>
          <w:sz w:val="28"/>
          <w:szCs w:val="28"/>
        </w:rPr>
        <w:t>.</w:t>
      </w:r>
      <w:r w:rsidRPr="00734EBC">
        <w:rPr>
          <w:sz w:val="28"/>
          <w:szCs w:val="28"/>
        </w:rPr>
        <w:t xml:space="preserve">” </w:t>
      </w:r>
    </w:p>
    <w:p w:rsidR="003F7277" w:rsidRPr="00734EBC" w:rsidRDefault="003F7277" w:rsidP="00734EBC">
      <w:pPr>
        <w:ind w:firstLine="567"/>
        <w:jc w:val="both"/>
        <w:rPr>
          <w:sz w:val="28"/>
          <w:szCs w:val="28"/>
        </w:rPr>
      </w:pPr>
    </w:p>
    <w:p w:rsidR="00734EBC" w:rsidRPr="00734EBC" w:rsidRDefault="00734EBC" w:rsidP="00734EBC">
      <w:pPr>
        <w:ind w:firstLine="567"/>
        <w:jc w:val="both"/>
        <w:rPr>
          <w:sz w:val="28"/>
          <w:szCs w:val="28"/>
        </w:rPr>
      </w:pPr>
      <w:r w:rsidRPr="00734EBC">
        <w:rPr>
          <w:sz w:val="28"/>
          <w:szCs w:val="28"/>
        </w:rPr>
        <w:t>papildināt ceturto daļu ar 5.punktu šādā redakcijā:</w:t>
      </w:r>
    </w:p>
    <w:p w:rsidR="00734EBC" w:rsidRDefault="00734EBC" w:rsidP="00734EBC">
      <w:pPr>
        <w:ind w:firstLine="567"/>
        <w:jc w:val="both"/>
        <w:rPr>
          <w:sz w:val="28"/>
          <w:szCs w:val="28"/>
        </w:rPr>
      </w:pPr>
      <w:r w:rsidRPr="00734EBC">
        <w:rPr>
          <w:sz w:val="28"/>
          <w:szCs w:val="28"/>
        </w:rPr>
        <w:t xml:space="preserve">“5) līdz 72 stundām reizi divos gados – dalībai Ministru kabineta rīkotajās kaujas gatavības pārbaudēs.” </w:t>
      </w:r>
    </w:p>
    <w:p w:rsidR="003F7277" w:rsidRPr="00734EBC" w:rsidRDefault="003F7277" w:rsidP="00734EBC">
      <w:pPr>
        <w:ind w:firstLine="567"/>
        <w:jc w:val="both"/>
        <w:rPr>
          <w:sz w:val="28"/>
          <w:szCs w:val="28"/>
        </w:rPr>
      </w:pPr>
    </w:p>
    <w:p w:rsidR="00734EBC" w:rsidRPr="00734EBC" w:rsidRDefault="00734EBC" w:rsidP="00734EBC">
      <w:pPr>
        <w:ind w:firstLine="567"/>
        <w:jc w:val="both"/>
        <w:rPr>
          <w:sz w:val="28"/>
          <w:szCs w:val="28"/>
        </w:rPr>
      </w:pPr>
      <w:r w:rsidRPr="00734EBC">
        <w:rPr>
          <w:sz w:val="28"/>
          <w:szCs w:val="28"/>
        </w:rPr>
        <w:t xml:space="preserve">papildināt 4.¹ daļu ar 4. </w:t>
      </w:r>
      <w:r w:rsidR="00DF051D">
        <w:rPr>
          <w:sz w:val="28"/>
          <w:szCs w:val="28"/>
        </w:rPr>
        <w:t>un 5.</w:t>
      </w:r>
      <w:r w:rsidRPr="00734EBC">
        <w:rPr>
          <w:sz w:val="28"/>
          <w:szCs w:val="28"/>
        </w:rPr>
        <w:t>punktu šādā redakcijā:</w:t>
      </w:r>
    </w:p>
    <w:p w:rsidR="00DF051D" w:rsidRDefault="00734EBC" w:rsidP="00734EBC">
      <w:pPr>
        <w:ind w:firstLine="567"/>
        <w:jc w:val="both"/>
        <w:rPr>
          <w:sz w:val="28"/>
          <w:szCs w:val="28"/>
        </w:rPr>
      </w:pPr>
      <w:r w:rsidRPr="00734EBC">
        <w:rPr>
          <w:sz w:val="28"/>
          <w:szCs w:val="28"/>
        </w:rPr>
        <w:t>“</w:t>
      </w:r>
      <w:r w:rsidR="00DF051D" w:rsidRPr="00DF051D">
        <w:rPr>
          <w:sz w:val="28"/>
          <w:szCs w:val="28"/>
        </w:rPr>
        <w:t>4. zemessargu mobilizācijas gadījumā, ja nav izsludināts izņēmuma stāvoklis – līdz Ministru kabineta lēmuma atcelšanai vai spēka zaudēšanai.”</w:t>
      </w:r>
    </w:p>
    <w:p w:rsidR="00734EBC" w:rsidRDefault="00DF051D" w:rsidP="00734EBC">
      <w:pPr>
        <w:ind w:firstLine="567"/>
        <w:jc w:val="both"/>
        <w:rPr>
          <w:sz w:val="28"/>
          <w:szCs w:val="28"/>
        </w:rPr>
      </w:pPr>
      <w:r>
        <w:rPr>
          <w:sz w:val="28"/>
          <w:szCs w:val="28"/>
        </w:rPr>
        <w:t>5</w:t>
      </w:r>
      <w:r w:rsidR="00734EBC" w:rsidRPr="00734EBC">
        <w:rPr>
          <w:sz w:val="28"/>
          <w:szCs w:val="28"/>
        </w:rPr>
        <w:t>) līdz 72 stundām reizi divos gados – dalībai Ministru kabineta rīkotajās kaujas gatavības pārbaudēs.”;</w:t>
      </w:r>
    </w:p>
    <w:p w:rsidR="003F7277" w:rsidRPr="00734EBC" w:rsidRDefault="003F7277" w:rsidP="00734EBC">
      <w:pPr>
        <w:ind w:firstLine="567"/>
        <w:jc w:val="both"/>
        <w:rPr>
          <w:sz w:val="28"/>
          <w:szCs w:val="28"/>
        </w:rPr>
      </w:pPr>
    </w:p>
    <w:p w:rsidR="00DE7AAE" w:rsidRPr="00DE7AAE" w:rsidRDefault="00DE7AAE" w:rsidP="00DE7AAE">
      <w:pPr>
        <w:ind w:firstLine="567"/>
        <w:jc w:val="both"/>
        <w:rPr>
          <w:sz w:val="28"/>
          <w:szCs w:val="28"/>
        </w:rPr>
      </w:pPr>
      <w:r w:rsidRPr="00DE7AAE">
        <w:rPr>
          <w:sz w:val="28"/>
          <w:szCs w:val="28"/>
        </w:rPr>
        <w:t>papildināt pantu ar devīto daļu šādā redakcijā:</w:t>
      </w:r>
    </w:p>
    <w:p w:rsidR="00DE7AAE" w:rsidRPr="00DE7AAE" w:rsidRDefault="00DE7AAE" w:rsidP="00DE7AAE">
      <w:pPr>
        <w:ind w:firstLine="567"/>
        <w:jc w:val="both"/>
        <w:rPr>
          <w:sz w:val="28"/>
          <w:szCs w:val="28"/>
        </w:rPr>
      </w:pPr>
      <w:r w:rsidRPr="00DE7AAE">
        <w:rPr>
          <w:sz w:val="28"/>
          <w:szCs w:val="28"/>
        </w:rPr>
        <w:t>“(9) Paaugstinātās gatavības režīmam pakļautajam zemessargam ir pienākums:</w:t>
      </w:r>
    </w:p>
    <w:p w:rsidR="00DE7AAE" w:rsidRPr="00DE7AAE" w:rsidRDefault="00DE7AAE" w:rsidP="00DE7AAE">
      <w:pPr>
        <w:tabs>
          <w:tab w:val="left" w:pos="851"/>
        </w:tabs>
        <w:ind w:firstLine="567"/>
        <w:jc w:val="both"/>
        <w:rPr>
          <w:sz w:val="28"/>
          <w:szCs w:val="28"/>
        </w:rPr>
      </w:pPr>
      <w:r w:rsidRPr="00DE7AAE">
        <w:rPr>
          <w:sz w:val="28"/>
          <w:szCs w:val="28"/>
        </w:rPr>
        <w:t>1)</w:t>
      </w:r>
      <w:r w:rsidRPr="00DE7AAE">
        <w:rPr>
          <w:sz w:val="28"/>
          <w:szCs w:val="28"/>
        </w:rPr>
        <w:tab/>
        <w:t xml:space="preserve">būt sasniedzamam sešu stundu laikā kopš paaugstinātas gatavības režīma spēkā stāšanās, vienībai sazinoties ar zemessargu pa viņa norādīto tālruni vai oficiālo elektronisko adresi; </w:t>
      </w:r>
    </w:p>
    <w:p w:rsidR="00DE7AAE" w:rsidRPr="00DE7AAE" w:rsidRDefault="00DE7AAE" w:rsidP="00DE7AAE">
      <w:pPr>
        <w:tabs>
          <w:tab w:val="left" w:pos="851"/>
        </w:tabs>
        <w:ind w:firstLine="567"/>
        <w:jc w:val="both"/>
        <w:rPr>
          <w:sz w:val="28"/>
          <w:szCs w:val="28"/>
        </w:rPr>
      </w:pPr>
      <w:r w:rsidRPr="00DE7AAE">
        <w:rPr>
          <w:sz w:val="28"/>
          <w:szCs w:val="28"/>
        </w:rPr>
        <w:t>2)</w:t>
      </w:r>
      <w:r w:rsidRPr="00DE7AAE">
        <w:rPr>
          <w:sz w:val="28"/>
          <w:szCs w:val="28"/>
        </w:rPr>
        <w:tab/>
        <w:t xml:space="preserve">uzturēties vai, gadījumā, ja zemessargs atrodas ārpus Latvijas Republikas, nekavējoties informēt Zemessardzes vienību par atgriezšanās iespēju un rīkoties atbilstoši turpmākiem Zemessardzes norādījumiem; </w:t>
      </w:r>
    </w:p>
    <w:p w:rsidR="00DE7AAE" w:rsidRDefault="00DE7AAE" w:rsidP="00DE7AAE">
      <w:pPr>
        <w:tabs>
          <w:tab w:val="left" w:pos="851"/>
        </w:tabs>
        <w:ind w:firstLine="567"/>
        <w:jc w:val="both"/>
        <w:rPr>
          <w:sz w:val="28"/>
          <w:szCs w:val="28"/>
        </w:rPr>
      </w:pPr>
      <w:r w:rsidRPr="00DE7AAE">
        <w:rPr>
          <w:sz w:val="28"/>
          <w:szCs w:val="28"/>
        </w:rPr>
        <w:lastRenderedPageBreak/>
        <w:t>3)</w:t>
      </w:r>
      <w:r w:rsidRPr="00DE7AAE">
        <w:rPr>
          <w:sz w:val="28"/>
          <w:szCs w:val="28"/>
        </w:rPr>
        <w:tab/>
        <w:t>nekavējoties ierasties attiecīgajā vienībā un pildīt komandiera pavēlēs noteiktos uzdevumus.”</w:t>
      </w:r>
      <w:r w:rsidR="006A4F94">
        <w:rPr>
          <w:sz w:val="28"/>
          <w:szCs w:val="28"/>
        </w:rPr>
        <w:t>.</w:t>
      </w:r>
    </w:p>
    <w:p w:rsidR="006A4F94" w:rsidRDefault="006A4F94" w:rsidP="00DE7AAE">
      <w:pPr>
        <w:tabs>
          <w:tab w:val="left" w:pos="851"/>
        </w:tabs>
        <w:ind w:firstLine="567"/>
        <w:jc w:val="both"/>
        <w:rPr>
          <w:sz w:val="28"/>
          <w:szCs w:val="28"/>
        </w:rPr>
      </w:pPr>
    </w:p>
    <w:p w:rsidR="006A4F94" w:rsidRPr="006A4F94" w:rsidRDefault="006A4F94" w:rsidP="006A4F94">
      <w:pPr>
        <w:tabs>
          <w:tab w:val="left" w:pos="851"/>
        </w:tabs>
        <w:ind w:firstLine="567"/>
        <w:jc w:val="both"/>
        <w:rPr>
          <w:sz w:val="28"/>
          <w:szCs w:val="28"/>
        </w:rPr>
      </w:pPr>
      <w:r>
        <w:rPr>
          <w:sz w:val="28"/>
          <w:szCs w:val="28"/>
        </w:rPr>
        <w:t xml:space="preserve">4. </w:t>
      </w:r>
      <w:r w:rsidRPr="006A4F94">
        <w:rPr>
          <w:sz w:val="28"/>
          <w:szCs w:val="28"/>
        </w:rPr>
        <w:t>Papildināt likumu ar XII nodaļu šādā redakcijā:</w:t>
      </w:r>
    </w:p>
    <w:p w:rsidR="006A4F94" w:rsidRPr="006A4F94" w:rsidRDefault="006A4F94" w:rsidP="006A4F94">
      <w:pPr>
        <w:tabs>
          <w:tab w:val="left" w:pos="851"/>
        </w:tabs>
        <w:ind w:firstLine="567"/>
        <w:jc w:val="center"/>
        <w:rPr>
          <w:b/>
          <w:sz w:val="28"/>
          <w:szCs w:val="28"/>
        </w:rPr>
      </w:pPr>
      <w:r w:rsidRPr="006A4F94">
        <w:rPr>
          <w:sz w:val="28"/>
          <w:szCs w:val="28"/>
        </w:rPr>
        <w:t>“</w:t>
      </w:r>
      <w:r w:rsidRPr="006A4F94">
        <w:rPr>
          <w:b/>
          <w:sz w:val="28"/>
          <w:szCs w:val="28"/>
        </w:rPr>
        <w:t>XII nodaļa</w:t>
      </w:r>
    </w:p>
    <w:p w:rsidR="006A4F94" w:rsidRPr="006A4F94" w:rsidRDefault="006A4F94" w:rsidP="006A4F94">
      <w:pPr>
        <w:tabs>
          <w:tab w:val="left" w:pos="851"/>
        </w:tabs>
        <w:ind w:firstLine="567"/>
        <w:jc w:val="center"/>
        <w:rPr>
          <w:sz w:val="28"/>
          <w:szCs w:val="28"/>
        </w:rPr>
      </w:pPr>
      <w:r w:rsidRPr="006A4F94">
        <w:rPr>
          <w:b/>
          <w:sz w:val="28"/>
          <w:szCs w:val="28"/>
        </w:rPr>
        <w:t>Administratīvie pārkāpumi dienesta Zemessardzē izpildes jomā un kompetence administratīvo pārkāpumu procesā</w:t>
      </w:r>
    </w:p>
    <w:p w:rsidR="006A4F94" w:rsidRDefault="006A4F94" w:rsidP="006A4F94">
      <w:pPr>
        <w:tabs>
          <w:tab w:val="left" w:pos="851"/>
        </w:tabs>
        <w:ind w:firstLine="567"/>
        <w:jc w:val="both"/>
        <w:rPr>
          <w:sz w:val="28"/>
          <w:szCs w:val="28"/>
        </w:rPr>
      </w:pPr>
    </w:p>
    <w:p w:rsidR="006A4F94" w:rsidRPr="006A4F94" w:rsidRDefault="006A4F94" w:rsidP="006A4F94">
      <w:pPr>
        <w:tabs>
          <w:tab w:val="left" w:pos="851"/>
        </w:tabs>
        <w:ind w:firstLine="567"/>
        <w:jc w:val="both"/>
        <w:rPr>
          <w:sz w:val="28"/>
          <w:szCs w:val="28"/>
        </w:rPr>
      </w:pPr>
      <w:r w:rsidRPr="006A4F94">
        <w:rPr>
          <w:sz w:val="28"/>
          <w:szCs w:val="28"/>
        </w:rPr>
        <w:t>46. pants. Izvairīšanās no paaugstinātas gatavības režīma nosacījumu vai uzdevumu izpildes</w:t>
      </w:r>
    </w:p>
    <w:p w:rsidR="006A4F94" w:rsidRPr="006A4F94" w:rsidRDefault="006A4F94" w:rsidP="006A4F94">
      <w:pPr>
        <w:tabs>
          <w:tab w:val="left" w:pos="851"/>
        </w:tabs>
        <w:ind w:firstLine="567"/>
        <w:jc w:val="both"/>
        <w:rPr>
          <w:sz w:val="28"/>
          <w:szCs w:val="28"/>
        </w:rPr>
      </w:pPr>
    </w:p>
    <w:p w:rsidR="006A4F94" w:rsidRPr="006A4F94" w:rsidRDefault="006A4F94" w:rsidP="006A4F94">
      <w:pPr>
        <w:tabs>
          <w:tab w:val="left" w:pos="851"/>
        </w:tabs>
        <w:ind w:firstLine="567"/>
        <w:jc w:val="both"/>
        <w:rPr>
          <w:sz w:val="28"/>
          <w:szCs w:val="28"/>
        </w:rPr>
      </w:pPr>
      <w:r w:rsidRPr="006A4F94">
        <w:rPr>
          <w:sz w:val="28"/>
          <w:szCs w:val="28"/>
        </w:rPr>
        <w:t>Par paaugstinātās gatavības režīmam pakļautā zemessarga izvairīšanos no paaugstinātas gatavības režīma nosacījumu vai uzdevumu izpildes piemēro naudas sodu līdz septiņdesmit naudas soda vienībām.”</w:t>
      </w:r>
    </w:p>
    <w:p w:rsidR="006A4F94" w:rsidRPr="006A4F94" w:rsidRDefault="006A4F94" w:rsidP="006A4F94">
      <w:pPr>
        <w:tabs>
          <w:tab w:val="left" w:pos="851"/>
        </w:tabs>
        <w:ind w:firstLine="567"/>
        <w:jc w:val="both"/>
        <w:rPr>
          <w:sz w:val="28"/>
          <w:szCs w:val="28"/>
        </w:rPr>
      </w:pPr>
    </w:p>
    <w:p w:rsidR="006A4F94" w:rsidRPr="006A4F94" w:rsidRDefault="006A4F94" w:rsidP="006A4F94">
      <w:pPr>
        <w:tabs>
          <w:tab w:val="left" w:pos="851"/>
        </w:tabs>
        <w:ind w:firstLine="567"/>
        <w:jc w:val="both"/>
        <w:rPr>
          <w:sz w:val="28"/>
          <w:szCs w:val="28"/>
        </w:rPr>
      </w:pPr>
      <w:r w:rsidRPr="006A4F94">
        <w:rPr>
          <w:sz w:val="28"/>
          <w:szCs w:val="28"/>
        </w:rPr>
        <w:t>47. pants. Kompetence administratīvo pārkāpumu procesā</w:t>
      </w:r>
    </w:p>
    <w:p w:rsidR="006A4F94" w:rsidRPr="006A4F94" w:rsidRDefault="006A4F94" w:rsidP="006A4F94">
      <w:pPr>
        <w:tabs>
          <w:tab w:val="left" w:pos="851"/>
        </w:tabs>
        <w:ind w:firstLine="567"/>
        <w:jc w:val="both"/>
        <w:rPr>
          <w:sz w:val="28"/>
          <w:szCs w:val="28"/>
        </w:rPr>
      </w:pPr>
    </w:p>
    <w:p w:rsidR="006A4F94" w:rsidRDefault="006A4F94" w:rsidP="006A4F94">
      <w:pPr>
        <w:tabs>
          <w:tab w:val="left" w:pos="851"/>
        </w:tabs>
        <w:ind w:firstLine="567"/>
        <w:jc w:val="both"/>
        <w:rPr>
          <w:sz w:val="28"/>
          <w:szCs w:val="28"/>
        </w:rPr>
      </w:pPr>
      <w:r w:rsidRPr="006A4F94">
        <w:rPr>
          <w:sz w:val="28"/>
          <w:szCs w:val="28"/>
        </w:rPr>
        <w:t>Administratīvā pārkāpuma procesu par šajā nodaļā minēto pārkāpumu veic Militārā policija.</w:t>
      </w:r>
    </w:p>
    <w:p w:rsidR="003F7277" w:rsidRPr="00734EBC" w:rsidRDefault="003F7277" w:rsidP="00734EBC">
      <w:pPr>
        <w:ind w:firstLine="567"/>
        <w:jc w:val="both"/>
        <w:rPr>
          <w:sz w:val="28"/>
          <w:szCs w:val="28"/>
        </w:rPr>
      </w:pPr>
    </w:p>
    <w:p w:rsidR="00734EBC" w:rsidRPr="00734EBC" w:rsidRDefault="00734EBC" w:rsidP="00734EBC">
      <w:pPr>
        <w:ind w:firstLine="567"/>
        <w:jc w:val="both"/>
        <w:rPr>
          <w:spacing w:val="11"/>
          <w:sz w:val="28"/>
          <w:szCs w:val="28"/>
        </w:rPr>
      </w:pPr>
    </w:p>
    <w:p w:rsidR="00FF6FB1" w:rsidRPr="00734EBC" w:rsidRDefault="00FF6FB1" w:rsidP="00B11CFD">
      <w:pPr>
        <w:tabs>
          <w:tab w:val="left" w:pos="5954"/>
        </w:tabs>
        <w:spacing w:after="160" w:line="259" w:lineRule="auto"/>
        <w:rPr>
          <w:sz w:val="28"/>
          <w:szCs w:val="28"/>
        </w:rPr>
      </w:pPr>
    </w:p>
    <w:p w:rsidR="00FF6FB1" w:rsidRPr="00FE52EC" w:rsidRDefault="00FF6FB1" w:rsidP="00FF6FB1">
      <w:pPr>
        <w:jc w:val="both"/>
        <w:rPr>
          <w:sz w:val="28"/>
          <w:szCs w:val="28"/>
        </w:rPr>
      </w:pPr>
      <w:r w:rsidRPr="00FE52EC">
        <w:rPr>
          <w:sz w:val="28"/>
          <w:szCs w:val="28"/>
        </w:rPr>
        <w:t xml:space="preserve">Ministru prezidenta biedrs, </w:t>
      </w:r>
    </w:p>
    <w:p w:rsidR="00B11CFD" w:rsidRPr="00CA0354" w:rsidRDefault="00FF6FB1" w:rsidP="00B11CFD">
      <w:pPr>
        <w:tabs>
          <w:tab w:val="left" w:pos="5954"/>
        </w:tabs>
        <w:spacing w:after="160" w:line="259" w:lineRule="auto"/>
        <w:rPr>
          <w:sz w:val="28"/>
          <w:szCs w:val="28"/>
        </w:rPr>
      </w:pPr>
      <w:r>
        <w:rPr>
          <w:sz w:val="28"/>
          <w:szCs w:val="28"/>
        </w:rPr>
        <w:t>a</w:t>
      </w:r>
      <w:r w:rsidR="00B11CFD" w:rsidRPr="00CA0354">
        <w:rPr>
          <w:sz w:val="28"/>
          <w:szCs w:val="28"/>
        </w:rPr>
        <w:t>izsardzības ministrs</w:t>
      </w:r>
      <w:r w:rsidR="00B11CFD" w:rsidRPr="00CA0354">
        <w:rPr>
          <w:sz w:val="28"/>
          <w:szCs w:val="28"/>
        </w:rPr>
        <w:tab/>
        <w:t>Artis Pabriks</w:t>
      </w:r>
    </w:p>
    <w:p w:rsidR="00E673CF" w:rsidRDefault="00E673CF" w:rsidP="00355F85">
      <w:pPr>
        <w:tabs>
          <w:tab w:val="left" w:pos="6237"/>
        </w:tabs>
        <w:rPr>
          <w:color w:val="000000" w:themeColor="text1"/>
          <w:sz w:val="20"/>
          <w:szCs w:val="20"/>
        </w:rPr>
      </w:pPr>
    </w:p>
    <w:p w:rsidR="00BF1389" w:rsidRDefault="00BF1389" w:rsidP="00355F85">
      <w:pPr>
        <w:tabs>
          <w:tab w:val="left" w:pos="6237"/>
        </w:tabs>
        <w:rPr>
          <w:color w:val="000000" w:themeColor="text1"/>
          <w:sz w:val="20"/>
          <w:szCs w:val="20"/>
        </w:rPr>
      </w:pPr>
    </w:p>
    <w:p w:rsidR="00BF1389" w:rsidRDefault="00BF1389" w:rsidP="00355F85">
      <w:pPr>
        <w:tabs>
          <w:tab w:val="left" w:pos="6237"/>
        </w:tabs>
        <w:rPr>
          <w:color w:val="000000" w:themeColor="text1"/>
          <w:sz w:val="20"/>
          <w:szCs w:val="20"/>
        </w:rPr>
      </w:pPr>
    </w:p>
    <w:p w:rsidR="00355F85" w:rsidRPr="003F7277" w:rsidRDefault="00355F85" w:rsidP="00355F85">
      <w:pPr>
        <w:tabs>
          <w:tab w:val="left" w:pos="6237"/>
        </w:tabs>
        <w:rPr>
          <w:color w:val="000000" w:themeColor="text1"/>
          <w:sz w:val="16"/>
          <w:szCs w:val="16"/>
        </w:rPr>
      </w:pPr>
      <w:r w:rsidRPr="003F7277">
        <w:rPr>
          <w:color w:val="000000" w:themeColor="text1"/>
          <w:sz w:val="16"/>
          <w:szCs w:val="16"/>
        </w:rPr>
        <w:t>V.Upeniece 67335241</w:t>
      </w:r>
    </w:p>
    <w:p w:rsidR="00355F85" w:rsidRPr="00B47297" w:rsidRDefault="00EF05C7" w:rsidP="009F7372">
      <w:pPr>
        <w:tabs>
          <w:tab w:val="left" w:pos="6237"/>
        </w:tabs>
        <w:rPr>
          <w:sz w:val="20"/>
          <w:szCs w:val="20"/>
        </w:rPr>
      </w:pPr>
      <w:hyperlink r:id="rId8" w:history="1">
        <w:r w:rsidR="00355F85" w:rsidRPr="003F7277">
          <w:rPr>
            <w:rStyle w:val="Hyperlink"/>
            <w:color w:val="000000" w:themeColor="text1"/>
            <w:sz w:val="16"/>
            <w:szCs w:val="16"/>
            <w:u w:val="none"/>
          </w:rPr>
          <w:t>Vita.Upeniece@mod.gov.lv</w:t>
        </w:r>
      </w:hyperlink>
      <w:r w:rsidR="00B47297">
        <w:rPr>
          <w:sz w:val="20"/>
          <w:szCs w:val="20"/>
        </w:rPr>
        <w:tab/>
      </w:r>
    </w:p>
    <w:sectPr w:rsidR="00355F85" w:rsidRPr="00B47297" w:rsidSect="003F7277">
      <w:headerReference w:type="even" r:id="rId9"/>
      <w:headerReference w:type="default" r:id="rId10"/>
      <w:footerReference w:type="even" r:id="rId11"/>
      <w:footerReference w:type="default" r:id="rId12"/>
      <w:headerReference w:type="first" r:id="rId13"/>
      <w:footerReference w:type="first" r:id="rId14"/>
      <w:pgSz w:w="11906" w:h="16838"/>
      <w:pgMar w:top="1134" w:right="1800"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F50" w:rsidRDefault="00053F50" w:rsidP="00053F50">
      <w:r>
        <w:separator/>
      </w:r>
    </w:p>
  </w:endnote>
  <w:endnote w:type="continuationSeparator" w:id="0">
    <w:p w:rsidR="00053F50" w:rsidRDefault="00053F50" w:rsidP="00053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C1E" w:rsidRDefault="00754C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F50" w:rsidRPr="009A1791" w:rsidRDefault="00053F50" w:rsidP="00053F50">
    <w:pPr>
      <w:pStyle w:val="Footer"/>
    </w:pPr>
    <w:r>
      <w:rPr>
        <w:noProof/>
      </w:rPr>
      <w:fldChar w:fldCharType="begin"/>
    </w:r>
    <w:r>
      <w:rPr>
        <w:noProof/>
      </w:rPr>
      <w:instrText xml:space="preserve"> FILENAME   \* MERGEFORMAT </w:instrText>
    </w:r>
    <w:r>
      <w:rPr>
        <w:noProof/>
      </w:rPr>
      <w:fldChar w:fldCharType="separate"/>
    </w:r>
    <w:r w:rsidR="00C60048">
      <w:rPr>
        <w:noProof/>
      </w:rPr>
      <w:t>AiMlik</w:t>
    </w:r>
    <w:r>
      <w:rPr>
        <w:noProof/>
      </w:rPr>
      <w:t>_</w:t>
    </w:r>
    <w:r w:rsidR="00754C1E">
      <w:rPr>
        <w:noProof/>
      </w:rPr>
      <w:t>20</w:t>
    </w:r>
    <w:r w:rsidR="00A20A58">
      <w:rPr>
        <w:noProof/>
      </w:rPr>
      <w:t>10</w:t>
    </w:r>
    <w:r w:rsidR="00C60048">
      <w:rPr>
        <w:noProof/>
      </w:rPr>
      <w:t>20_ZSL</w:t>
    </w:r>
    <w:r>
      <w:rPr>
        <w:noProof/>
      </w:rPr>
      <w:t xml:space="preserve"> </w:t>
    </w:r>
    <w:r>
      <w:rPr>
        <w:noProof/>
      </w:rPr>
      <w:fldChar w:fldCharType="end"/>
    </w:r>
  </w:p>
  <w:p w:rsidR="00053F50" w:rsidRDefault="00053F50">
    <w:pPr>
      <w:pStyle w:val="Footer"/>
    </w:pPr>
  </w:p>
  <w:p w:rsidR="00053F50" w:rsidRDefault="00053F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C1E" w:rsidRDefault="00754C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F50" w:rsidRDefault="00053F50" w:rsidP="00053F50">
      <w:r>
        <w:separator/>
      </w:r>
    </w:p>
  </w:footnote>
  <w:footnote w:type="continuationSeparator" w:id="0">
    <w:p w:rsidR="00053F50" w:rsidRDefault="00053F50" w:rsidP="00053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C1E" w:rsidRDefault="00754C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C1E" w:rsidRDefault="00754C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C1E" w:rsidRDefault="00754C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96537"/>
    <w:multiLevelType w:val="hybridMultilevel"/>
    <w:tmpl w:val="1636726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4A7C424E"/>
    <w:multiLevelType w:val="hybridMultilevel"/>
    <w:tmpl w:val="22A0C464"/>
    <w:lvl w:ilvl="0" w:tplc="0C58D1B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7B2B78B1"/>
    <w:multiLevelType w:val="multilevel"/>
    <w:tmpl w:val="F02C7C2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50"/>
    <w:rsid w:val="0002491D"/>
    <w:rsid w:val="00053F50"/>
    <w:rsid w:val="000633C8"/>
    <w:rsid w:val="0006760D"/>
    <w:rsid w:val="00071E69"/>
    <w:rsid w:val="0007554B"/>
    <w:rsid w:val="00080CD5"/>
    <w:rsid w:val="00086CF4"/>
    <w:rsid w:val="00087CFC"/>
    <w:rsid w:val="00091B36"/>
    <w:rsid w:val="000A72DD"/>
    <w:rsid w:val="000B3328"/>
    <w:rsid w:val="000B586D"/>
    <w:rsid w:val="000D021D"/>
    <w:rsid w:val="000D1DFB"/>
    <w:rsid w:val="000D772E"/>
    <w:rsid w:val="000E3F04"/>
    <w:rsid w:val="001134D6"/>
    <w:rsid w:val="0012559B"/>
    <w:rsid w:val="00157395"/>
    <w:rsid w:val="00170958"/>
    <w:rsid w:val="001856DF"/>
    <w:rsid w:val="00192892"/>
    <w:rsid w:val="001929CF"/>
    <w:rsid w:val="00197469"/>
    <w:rsid w:val="001B12FF"/>
    <w:rsid w:val="001B6AF7"/>
    <w:rsid w:val="001B78E1"/>
    <w:rsid w:val="001C00E2"/>
    <w:rsid w:val="001C17B0"/>
    <w:rsid w:val="001C3DA9"/>
    <w:rsid w:val="001D64D7"/>
    <w:rsid w:val="001D6F1A"/>
    <w:rsid w:val="001F18B1"/>
    <w:rsid w:val="001F78AD"/>
    <w:rsid w:val="002108A4"/>
    <w:rsid w:val="00224C44"/>
    <w:rsid w:val="002474CF"/>
    <w:rsid w:val="00257A0C"/>
    <w:rsid w:val="00293076"/>
    <w:rsid w:val="002D6BFF"/>
    <w:rsid w:val="002E5F95"/>
    <w:rsid w:val="002E60DE"/>
    <w:rsid w:val="00304661"/>
    <w:rsid w:val="00316AEA"/>
    <w:rsid w:val="00323998"/>
    <w:rsid w:val="003245F6"/>
    <w:rsid w:val="00355F85"/>
    <w:rsid w:val="00380F6D"/>
    <w:rsid w:val="00387AE1"/>
    <w:rsid w:val="00394145"/>
    <w:rsid w:val="00396964"/>
    <w:rsid w:val="003B07CA"/>
    <w:rsid w:val="003E0526"/>
    <w:rsid w:val="003E1717"/>
    <w:rsid w:val="003F28A0"/>
    <w:rsid w:val="003F5BBB"/>
    <w:rsid w:val="003F7277"/>
    <w:rsid w:val="00404892"/>
    <w:rsid w:val="0042044C"/>
    <w:rsid w:val="00462AFD"/>
    <w:rsid w:val="004733C2"/>
    <w:rsid w:val="004C0FBE"/>
    <w:rsid w:val="004C5864"/>
    <w:rsid w:val="004D2414"/>
    <w:rsid w:val="004E5B88"/>
    <w:rsid w:val="004E68B0"/>
    <w:rsid w:val="004F35C4"/>
    <w:rsid w:val="004F53D0"/>
    <w:rsid w:val="004F6965"/>
    <w:rsid w:val="004F6F00"/>
    <w:rsid w:val="00500091"/>
    <w:rsid w:val="005034F1"/>
    <w:rsid w:val="00541CA6"/>
    <w:rsid w:val="0055151C"/>
    <w:rsid w:val="0056106F"/>
    <w:rsid w:val="005755D7"/>
    <w:rsid w:val="005A46AC"/>
    <w:rsid w:val="005C1004"/>
    <w:rsid w:val="005C17D1"/>
    <w:rsid w:val="005C1DFD"/>
    <w:rsid w:val="005E08D5"/>
    <w:rsid w:val="005E5CFA"/>
    <w:rsid w:val="005E64AC"/>
    <w:rsid w:val="005F1D53"/>
    <w:rsid w:val="005F3F89"/>
    <w:rsid w:val="005F4198"/>
    <w:rsid w:val="00616486"/>
    <w:rsid w:val="00631DE1"/>
    <w:rsid w:val="00634F4D"/>
    <w:rsid w:val="00640EA2"/>
    <w:rsid w:val="00650626"/>
    <w:rsid w:val="0065081B"/>
    <w:rsid w:val="006649F1"/>
    <w:rsid w:val="006855E8"/>
    <w:rsid w:val="006A4F94"/>
    <w:rsid w:val="006B3DA1"/>
    <w:rsid w:val="006C55B0"/>
    <w:rsid w:val="006D0947"/>
    <w:rsid w:val="006E677E"/>
    <w:rsid w:val="006F30A4"/>
    <w:rsid w:val="007043E3"/>
    <w:rsid w:val="00723CBF"/>
    <w:rsid w:val="00734EBC"/>
    <w:rsid w:val="00743913"/>
    <w:rsid w:val="00745F46"/>
    <w:rsid w:val="00745F78"/>
    <w:rsid w:val="007511B0"/>
    <w:rsid w:val="00753D34"/>
    <w:rsid w:val="00754C1E"/>
    <w:rsid w:val="00761941"/>
    <w:rsid w:val="00770082"/>
    <w:rsid w:val="0077158F"/>
    <w:rsid w:val="00784F3A"/>
    <w:rsid w:val="00795870"/>
    <w:rsid w:val="00797198"/>
    <w:rsid w:val="007A5390"/>
    <w:rsid w:val="007B2BD7"/>
    <w:rsid w:val="007B4557"/>
    <w:rsid w:val="007E5B12"/>
    <w:rsid w:val="007F24E1"/>
    <w:rsid w:val="008025C5"/>
    <w:rsid w:val="008117D5"/>
    <w:rsid w:val="0081250C"/>
    <w:rsid w:val="0081520F"/>
    <w:rsid w:val="00815B8E"/>
    <w:rsid w:val="0083107B"/>
    <w:rsid w:val="00846DF1"/>
    <w:rsid w:val="0086506C"/>
    <w:rsid w:val="0087148B"/>
    <w:rsid w:val="0088639F"/>
    <w:rsid w:val="008B595F"/>
    <w:rsid w:val="008C2737"/>
    <w:rsid w:val="008D5337"/>
    <w:rsid w:val="008F0D4F"/>
    <w:rsid w:val="009014A2"/>
    <w:rsid w:val="00921C11"/>
    <w:rsid w:val="00956FFA"/>
    <w:rsid w:val="009605D4"/>
    <w:rsid w:val="00961413"/>
    <w:rsid w:val="009644F8"/>
    <w:rsid w:val="0099467D"/>
    <w:rsid w:val="009964D7"/>
    <w:rsid w:val="009A3E25"/>
    <w:rsid w:val="009B5E7A"/>
    <w:rsid w:val="009C43CC"/>
    <w:rsid w:val="009D1E18"/>
    <w:rsid w:val="009D679C"/>
    <w:rsid w:val="009D71BB"/>
    <w:rsid w:val="009E1D2C"/>
    <w:rsid w:val="009E47F0"/>
    <w:rsid w:val="009F7372"/>
    <w:rsid w:val="00A20A58"/>
    <w:rsid w:val="00A23044"/>
    <w:rsid w:val="00A40EDF"/>
    <w:rsid w:val="00A51651"/>
    <w:rsid w:val="00A54271"/>
    <w:rsid w:val="00A54C2A"/>
    <w:rsid w:val="00A61336"/>
    <w:rsid w:val="00A61BB1"/>
    <w:rsid w:val="00A70F2B"/>
    <w:rsid w:val="00A83126"/>
    <w:rsid w:val="00AB0D93"/>
    <w:rsid w:val="00AB11AD"/>
    <w:rsid w:val="00AB293F"/>
    <w:rsid w:val="00AD1FB8"/>
    <w:rsid w:val="00AD4D7A"/>
    <w:rsid w:val="00AD66F4"/>
    <w:rsid w:val="00B05360"/>
    <w:rsid w:val="00B11CFD"/>
    <w:rsid w:val="00B47297"/>
    <w:rsid w:val="00B63C7E"/>
    <w:rsid w:val="00B7067A"/>
    <w:rsid w:val="00B70C83"/>
    <w:rsid w:val="00B81CA6"/>
    <w:rsid w:val="00B85F34"/>
    <w:rsid w:val="00BC1DC9"/>
    <w:rsid w:val="00BC43FA"/>
    <w:rsid w:val="00BF047F"/>
    <w:rsid w:val="00BF1389"/>
    <w:rsid w:val="00BF3A3D"/>
    <w:rsid w:val="00C022BC"/>
    <w:rsid w:val="00C04F2C"/>
    <w:rsid w:val="00C0751E"/>
    <w:rsid w:val="00C16294"/>
    <w:rsid w:val="00C3060B"/>
    <w:rsid w:val="00C4317A"/>
    <w:rsid w:val="00C54B3D"/>
    <w:rsid w:val="00C60048"/>
    <w:rsid w:val="00C71648"/>
    <w:rsid w:val="00C8786C"/>
    <w:rsid w:val="00C95B0A"/>
    <w:rsid w:val="00CA0354"/>
    <w:rsid w:val="00CA4F6A"/>
    <w:rsid w:val="00CB023D"/>
    <w:rsid w:val="00CB7E01"/>
    <w:rsid w:val="00CC4990"/>
    <w:rsid w:val="00D03953"/>
    <w:rsid w:val="00D16460"/>
    <w:rsid w:val="00D417B1"/>
    <w:rsid w:val="00D41B5E"/>
    <w:rsid w:val="00D540AE"/>
    <w:rsid w:val="00D54313"/>
    <w:rsid w:val="00D65556"/>
    <w:rsid w:val="00D80580"/>
    <w:rsid w:val="00D8351D"/>
    <w:rsid w:val="00D867E1"/>
    <w:rsid w:val="00D9045E"/>
    <w:rsid w:val="00D923A6"/>
    <w:rsid w:val="00DA2BC1"/>
    <w:rsid w:val="00DA6FFA"/>
    <w:rsid w:val="00DE1E2F"/>
    <w:rsid w:val="00DE2C4E"/>
    <w:rsid w:val="00DE7AAE"/>
    <w:rsid w:val="00DF041B"/>
    <w:rsid w:val="00DF051D"/>
    <w:rsid w:val="00DF386B"/>
    <w:rsid w:val="00DF53EE"/>
    <w:rsid w:val="00E00615"/>
    <w:rsid w:val="00E16B48"/>
    <w:rsid w:val="00E21A57"/>
    <w:rsid w:val="00E2269E"/>
    <w:rsid w:val="00E34731"/>
    <w:rsid w:val="00E42B6C"/>
    <w:rsid w:val="00E47B45"/>
    <w:rsid w:val="00E673CF"/>
    <w:rsid w:val="00E7588D"/>
    <w:rsid w:val="00E773C9"/>
    <w:rsid w:val="00E86A04"/>
    <w:rsid w:val="00E90CE9"/>
    <w:rsid w:val="00EA7518"/>
    <w:rsid w:val="00EB02EE"/>
    <w:rsid w:val="00EB3E74"/>
    <w:rsid w:val="00EB5A57"/>
    <w:rsid w:val="00EB768C"/>
    <w:rsid w:val="00ED4D97"/>
    <w:rsid w:val="00EF05C7"/>
    <w:rsid w:val="00EF782B"/>
    <w:rsid w:val="00F01674"/>
    <w:rsid w:val="00F324B8"/>
    <w:rsid w:val="00F62F38"/>
    <w:rsid w:val="00F71A01"/>
    <w:rsid w:val="00F774C4"/>
    <w:rsid w:val="00F81114"/>
    <w:rsid w:val="00F90929"/>
    <w:rsid w:val="00FA36CE"/>
    <w:rsid w:val="00FC0F6E"/>
    <w:rsid w:val="00FC68D4"/>
    <w:rsid w:val="00FD620B"/>
    <w:rsid w:val="00FE1F94"/>
    <w:rsid w:val="00FE72B3"/>
    <w:rsid w:val="00FF6F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5:docId w15:val="{4216B8CF-1C3E-4750-B25D-E81D57FFD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F5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3F50"/>
    <w:pPr>
      <w:tabs>
        <w:tab w:val="center" w:pos="4153"/>
        <w:tab w:val="right" w:pos="8306"/>
      </w:tabs>
    </w:pPr>
  </w:style>
  <w:style w:type="character" w:customStyle="1" w:styleId="HeaderChar">
    <w:name w:val="Header Char"/>
    <w:basedOn w:val="DefaultParagraphFont"/>
    <w:link w:val="Header"/>
    <w:uiPriority w:val="99"/>
    <w:rsid w:val="00053F5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053F50"/>
    <w:pPr>
      <w:tabs>
        <w:tab w:val="center" w:pos="4153"/>
        <w:tab w:val="right" w:pos="8306"/>
      </w:tabs>
    </w:pPr>
  </w:style>
  <w:style w:type="character" w:customStyle="1" w:styleId="FooterChar">
    <w:name w:val="Footer Char"/>
    <w:basedOn w:val="DefaultParagraphFont"/>
    <w:link w:val="Footer"/>
    <w:uiPriority w:val="99"/>
    <w:rsid w:val="00053F5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053F50"/>
    <w:rPr>
      <w:rFonts w:ascii="Tahoma" w:hAnsi="Tahoma" w:cs="Tahoma"/>
      <w:sz w:val="16"/>
      <w:szCs w:val="16"/>
    </w:rPr>
  </w:style>
  <w:style w:type="character" w:customStyle="1" w:styleId="BalloonTextChar">
    <w:name w:val="Balloon Text Char"/>
    <w:basedOn w:val="DefaultParagraphFont"/>
    <w:link w:val="BalloonText"/>
    <w:uiPriority w:val="99"/>
    <w:semiHidden/>
    <w:rsid w:val="00053F50"/>
    <w:rPr>
      <w:rFonts w:ascii="Tahoma" w:eastAsia="Times New Roman" w:hAnsi="Tahoma" w:cs="Tahoma"/>
      <w:sz w:val="16"/>
      <w:szCs w:val="16"/>
      <w:lang w:eastAsia="lv-LV"/>
    </w:rPr>
  </w:style>
  <w:style w:type="character" w:styleId="PlaceholderText">
    <w:name w:val="Placeholder Text"/>
    <w:basedOn w:val="DefaultParagraphFont"/>
    <w:uiPriority w:val="99"/>
    <w:semiHidden/>
    <w:rsid w:val="00AD66F4"/>
    <w:rPr>
      <w:color w:val="808080"/>
    </w:rPr>
  </w:style>
  <w:style w:type="character" w:styleId="Emphasis">
    <w:name w:val="Emphasis"/>
    <w:basedOn w:val="DefaultParagraphFont"/>
    <w:uiPriority w:val="20"/>
    <w:qFormat/>
    <w:rsid w:val="00C4317A"/>
    <w:rPr>
      <w:b/>
      <w:bCs/>
      <w:i w:val="0"/>
      <w:iCs w:val="0"/>
    </w:rPr>
  </w:style>
  <w:style w:type="character" w:customStyle="1" w:styleId="st1">
    <w:name w:val="st1"/>
    <w:basedOn w:val="DefaultParagraphFont"/>
    <w:rsid w:val="00C4317A"/>
  </w:style>
  <w:style w:type="paragraph" w:styleId="ListParagraph">
    <w:name w:val="List Paragraph"/>
    <w:basedOn w:val="Normal"/>
    <w:qFormat/>
    <w:rsid w:val="00DF386B"/>
    <w:pPr>
      <w:ind w:left="720"/>
      <w:contextualSpacing/>
    </w:pPr>
  </w:style>
  <w:style w:type="character" w:styleId="Hyperlink">
    <w:name w:val="Hyperlink"/>
    <w:basedOn w:val="DefaultParagraphFont"/>
    <w:uiPriority w:val="99"/>
    <w:unhideWhenUsed/>
    <w:rsid w:val="00355F85"/>
    <w:rPr>
      <w:color w:val="0000FF" w:themeColor="hyperlink"/>
      <w:u w:val="single"/>
    </w:rPr>
  </w:style>
  <w:style w:type="paragraph" w:customStyle="1" w:styleId="tv213">
    <w:name w:val="tv213"/>
    <w:basedOn w:val="Normal"/>
    <w:rsid w:val="00E86A04"/>
    <w:pPr>
      <w:spacing w:before="100" w:beforeAutospacing="1" w:after="100" w:afterAutospacing="1"/>
    </w:pPr>
  </w:style>
  <w:style w:type="character" w:customStyle="1" w:styleId="st">
    <w:name w:val="st"/>
    <w:basedOn w:val="DefaultParagraphFont"/>
    <w:rsid w:val="00E86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365708">
      <w:bodyDiv w:val="1"/>
      <w:marLeft w:val="0"/>
      <w:marRight w:val="0"/>
      <w:marTop w:val="0"/>
      <w:marBottom w:val="0"/>
      <w:divBdr>
        <w:top w:val="none" w:sz="0" w:space="0" w:color="auto"/>
        <w:left w:val="none" w:sz="0" w:space="0" w:color="auto"/>
        <w:bottom w:val="none" w:sz="0" w:space="0" w:color="auto"/>
        <w:right w:val="none" w:sz="0" w:space="0" w:color="auto"/>
      </w:divBdr>
      <w:divsChild>
        <w:div w:id="1298486336">
          <w:marLeft w:val="0"/>
          <w:marRight w:val="0"/>
          <w:marTop w:val="0"/>
          <w:marBottom w:val="0"/>
          <w:divBdr>
            <w:top w:val="none" w:sz="0" w:space="0" w:color="auto"/>
            <w:left w:val="none" w:sz="0" w:space="0" w:color="auto"/>
            <w:bottom w:val="none" w:sz="0" w:space="0" w:color="auto"/>
            <w:right w:val="none" w:sz="0" w:space="0" w:color="auto"/>
          </w:divBdr>
          <w:divsChild>
            <w:div w:id="174286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245267">
      <w:bodyDiv w:val="1"/>
      <w:marLeft w:val="0"/>
      <w:marRight w:val="0"/>
      <w:marTop w:val="0"/>
      <w:marBottom w:val="0"/>
      <w:divBdr>
        <w:top w:val="none" w:sz="0" w:space="0" w:color="auto"/>
        <w:left w:val="none" w:sz="0" w:space="0" w:color="auto"/>
        <w:bottom w:val="none" w:sz="0" w:space="0" w:color="auto"/>
        <w:right w:val="none" w:sz="0" w:space="0" w:color="auto"/>
      </w:divBdr>
      <w:divsChild>
        <w:div w:id="1632594869">
          <w:marLeft w:val="0"/>
          <w:marRight w:val="0"/>
          <w:marTop w:val="0"/>
          <w:marBottom w:val="0"/>
          <w:divBdr>
            <w:top w:val="none" w:sz="0" w:space="0" w:color="auto"/>
            <w:left w:val="none" w:sz="0" w:space="0" w:color="auto"/>
            <w:bottom w:val="none" w:sz="0" w:space="0" w:color="auto"/>
            <w:right w:val="none" w:sz="0" w:space="0" w:color="auto"/>
          </w:divBdr>
          <w:divsChild>
            <w:div w:id="166600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03135">
      <w:bodyDiv w:val="1"/>
      <w:marLeft w:val="0"/>
      <w:marRight w:val="0"/>
      <w:marTop w:val="0"/>
      <w:marBottom w:val="0"/>
      <w:divBdr>
        <w:top w:val="none" w:sz="0" w:space="0" w:color="auto"/>
        <w:left w:val="none" w:sz="0" w:space="0" w:color="auto"/>
        <w:bottom w:val="none" w:sz="0" w:space="0" w:color="auto"/>
        <w:right w:val="none" w:sz="0" w:space="0" w:color="auto"/>
      </w:divBdr>
    </w:div>
    <w:div w:id="1432312838">
      <w:bodyDiv w:val="1"/>
      <w:marLeft w:val="0"/>
      <w:marRight w:val="0"/>
      <w:marTop w:val="0"/>
      <w:marBottom w:val="0"/>
      <w:divBdr>
        <w:top w:val="none" w:sz="0" w:space="0" w:color="auto"/>
        <w:left w:val="none" w:sz="0" w:space="0" w:color="auto"/>
        <w:bottom w:val="none" w:sz="0" w:space="0" w:color="auto"/>
        <w:right w:val="none" w:sz="0" w:space="0" w:color="auto"/>
      </w:divBdr>
      <w:divsChild>
        <w:div w:id="2108454075">
          <w:marLeft w:val="0"/>
          <w:marRight w:val="0"/>
          <w:marTop w:val="0"/>
          <w:marBottom w:val="0"/>
          <w:divBdr>
            <w:top w:val="none" w:sz="0" w:space="0" w:color="auto"/>
            <w:left w:val="none" w:sz="0" w:space="0" w:color="auto"/>
            <w:bottom w:val="none" w:sz="0" w:space="0" w:color="auto"/>
            <w:right w:val="none" w:sz="0" w:space="0" w:color="auto"/>
          </w:divBdr>
          <w:divsChild>
            <w:div w:id="61787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049096">
      <w:bodyDiv w:val="1"/>
      <w:marLeft w:val="0"/>
      <w:marRight w:val="0"/>
      <w:marTop w:val="0"/>
      <w:marBottom w:val="0"/>
      <w:divBdr>
        <w:top w:val="none" w:sz="0" w:space="0" w:color="auto"/>
        <w:left w:val="none" w:sz="0" w:space="0" w:color="auto"/>
        <w:bottom w:val="none" w:sz="0" w:space="0" w:color="auto"/>
        <w:right w:val="none" w:sz="0" w:space="0" w:color="auto"/>
      </w:divBdr>
      <w:divsChild>
        <w:div w:id="247083088">
          <w:marLeft w:val="0"/>
          <w:marRight w:val="0"/>
          <w:marTop w:val="0"/>
          <w:marBottom w:val="0"/>
          <w:divBdr>
            <w:top w:val="none" w:sz="0" w:space="0" w:color="auto"/>
            <w:left w:val="none" w:sz="0" w:space="0" w:color="auto"/>
            <w:bottom w:val="none" w:sz="0" w:space="0" w:color="auto"/>
            <w:right w:val="none" w:sz="0" w:space="0" w:color="auto"/>
          </w:divBdr>
          <w:divsChild>
            <w:div w:id="20742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ta.Upeniece@mod.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5C912-9956-4B35-9411-DDACFACD3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2947</Words>
  <Characters>1680</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likumprojekts "Grozījums Latvijas Republikas Zemessardzes likumā"</vt:lpstr>
    </vt:vector>
  </TitlesOfParts>
  <Manager>AiM JD</Manager>
  <Company>AiM</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"Grozījums Latvijas Republikas Zemessardzes likumā"</dc:title>
  <dc:subject>likumprojekts</dc:subject>
  <dc:creator>Vita Upeniece</dc:creator>
  <cp:lastModifiedBy>Rasa Lubarte</cp:lastModifiedBy>
  <cp:revision>2</cp:revision>
  <dcterms:created xsi:type="dcterms:W3CDTF">2020-11-17T08:09:00Z</dcterms:created>
  <dcterms:modified xsi:type="dcterms:W3CDTF">2020-11-17T08:09:00Z</dcterms:modified>
</cp:coreProperties>
</file>