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F22B" w14:textId="77777777" w:rsidR="00640F94" w:rsidRDefault="00640F94" w:rsidP="00640F94">
      <w:pPr>
        <w:spacing w:after="0" w:line="240" w:lineRule="auto"/>
        <w:ind w:right="-1"/>
        <w:contextualSpacing/>
        <w:jc w:val="center"/>
        <w:rPr>
          <w:rFonts w:ascii="Times New Roman" w:hAnsi="Times New Roman"/>
          <w:b/>
          <w:bCs/>
          <w:color w:val="414142"/>
          <w:sz w:val="24"/>
          <w:szCs w:val="24"/>
          <w:shd w:val="clear" w:color="auto" w:fill="FFFFFF"/>
        </w:rPr>
      </w:pPr>
      <w:r>
        <w:rPr>
          <w:rFonts w:ascii="Times New Roman" w:eastAsia="Times New Roman" w:hAnsi="Times New Roman"/>
          <w:b/>
          <w:sz w:val="24"/>
          <w:szCs w:val="24"/>
          <w:lang w:eastAsia="lv-LV"/>
        </w:rPr>
        <w:t xml:space="preserve">Ministru kabineta noteikumu projekta </w:t>
      </w:r>
      <w:bookmarkStart w:id="0" w:name="OLE_LINK1"/>
      <w:bookmarkStart w:id="1" w:name="OLE_LINK2"/>
      <w:bookmarkStart w:id="2" w:name="OLE_LINK10"/>
      <w:bookmarkStart w:id="3" w:name="OLE_LINK7"/>
      <w:r>
        <w:rPr>
          <w:rFonts w:ascii="Times New Roman" w:eastAsia="Times New Roman" w:hAnsi="Times New Roman"/>
          <w:b/>
          <w:sz w:val="24"/>
          <w:szCs w:val="24"/>
          <w:lang w:eastAsia="lv-LV"/>
        </w:rPr>
        <w:t>“</w:t>
      </w:r>
      <w:bookmarkEnd w:id="0"/>
      <w:bookmarkEnd w:id="1"/>
      <w:bookmarkEnd w:id="2"/>
      <w:bookmarkEnd w:id="3"/>
      <w:r>
        <w:rPr>
          <w:rFonts w:ascii="Times New Roman" w:eastAsia="Times New Roman" w:hAnsi="Times New Roman"/>
          <w:b/>
          <w:sz w:val="24"/>
          <w:szCs w:val="24"/>
          <w:lang w:eastAsia="lv-LV"/>
        </w:rPr>
        <w:t>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53D40B33" w14:textId="77777777" w:rsidR="00640F94" w:rsidRDefault="00640F94" w:rsidP="00640F94">
      <w:pPr>
        <w:spacing w:after="0" w:line="240" w:lineRule="auto"/>
        <w:ind w:right="-1"/>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sākotnējās ietekmes novērtējuma ziņojums (anotācija)</w:t>
      </w:r>
    </w:p>
    <w:p w14:paraId="08BE8A7C" w14:textId="77777777" w:rsidR="00640F94" w:rsidRDefault="00640F94" w:rsidP="00640F94">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812"/>
      </w:tblGrid>
      <w:tr w:rsidR="00640F94" w14:paraId="1737C48C" w14:textId="77777777" w:rsidTr="00640F94">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0D35A31" w14:textId="77777777" w:rsidR="00640F94" w:rsidRDefault="00640F94">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Tiesību akta projekta anotācijas kopsavilkums</w:t>
            </w:r>
          </w:p>
        </w:tc>
      </w:tr>
      <w:tr w:rsidR="00640F94" w14:paraId="794F0174" w14:textId="77777777" w:rsidTr="00640F94">
        <w:tc>
          <w:tcPr>
            <w:tcW w:w="3544" w:type="dxa"/>
            <w:tcBorders>
              <w:top w:val="single" w:sz="4" w:space="0" w:color="auto"/>
              <w:left w:val="single" w:sz="4" w:space="0" w:color="auto"/>
              <w:bottom w:val="single" w:sz="4" w:space="0" w:color="auto"/>
              <w:right w:val="single" w:sz="4" w:space="0" w:color="auto"/>
            </w:tcBorders>
            <w:hideMark/>
          </w:tcPr>
          <w:p w14:paraId="517BF1EB"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5812" w:type="dxa"/>
            <w:tcBorders>
              <w:top w:val="single" w:sz="4" w:space="0" w:color="auto"/>
              <w:left w:val="single" w:sz="4" w:space="0" w:color="auto"/>
              <w:bottom w:val="single" w:sz="4" w:space="0" w:color="auto"/>
              <w:right w:val="single" w:sz="4" w:space="0" w:color="auto"/>
            </w:tcBorders>
            <w:hideMark/>
          </w:tcPr>
          <w:p w14:paraId="1AFCB404" w14:textId="77777777" w:rsidR="00640F94" w:rsidRDefault="00640F94">
            <w:pPr>
              <w:spacing w:after="0" w:line="240" w:lineRule="auto"/>
              <w:ind w:left="130" w:right="130"/>
              <w:contextualSpacing/>
              <w:jc w:val="both"/>
              <w:rPr>
                <w:rFonts w:ascii="Times New Roman" w:hAnsi="Times New Roman"/>
                <w:sz w:val="24"/>
                <w:szCs w:val="24"/>
              </w:rPr>
            </w:pPr>
            <w:bookmarkStart w:id="4" w:name="_Hlk7529406"/>
            <w:r>
              <w:rPr>
                <w:rFonts w:ascii="Times New Roman" w:hAnsi="Times New Roman"/>
                <w:sz w:val="24"/>
                <w:szCs w:val="24"/>
              </w:rPr>
              <w:t>Noteikumu projekta mērķis ir darbības programmas “Izaugsme un nodarbinātība” 4.1.1. specifiskā atbalsta mērķa “Veicināt efektīvu energoresursu izmantošanu, enerģijas patēriņa samazināšanu un pāreju uz AER apstrādes rūpniecības nozarē” (turpmāk – 4.1.1. SAM) trešās projektu iesniegumu atlases kārtas ietvaros skaidri noteikt atbalsta intensitātes apmēru atsevišķām projektos plānotajām darbībām.</w:t>
            </w:r>
            <w:bookmarkEnd w:id="4"/>
          </w:p>
          <w:p w14:paraId="6B92C9A7" w14:textId="77777777" w:rsidR="00640F94" w:rsidRDefault="00640F94">
            <w:pPr>
              <w:spacing w:after="0" w:line="240" w:lineRule="auto"/>
              <w:ind w:left="133" w:right="130"/>
              <w:contextualSpacing/>
              <w:jc w:val="both"/>
              <w:rPr>
                <w:rFonts w:ascii="Times New Roman" w:hAnsi="Times New Roman"/>
                <w:sz w:val="24"/>
                <w:szCs w:val="24"/>
              </w:rPr>
            </w:pPr>
            <w:r>
              <w:rPr>
                <w:rFonts w:ascii="Times New Roman" w:hAnsi="Times New Roman"/>
                <w:sz w:val="24"/>
                <w:szCs w:val="24"/>
              </w:rPr>
              <w:t>Tiesību akts stāsies spēkā pēc tā publicēšanas oficiālajā izdevumā “Latvijas Vēstnesis”.</w:t>
            </w:r>
          </w:p>
        </w:tc>
      </w:tr>
    </w:tbl>
    <w:p w14:paraId="66F7ADA8" w14:textId="77777777" w:rsidR="00640F94" w:rsidRDefault="00640F94" w:rsidP="00640F94">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3118"/>
        <w:gridCol w:w="5812"/>
      </w:tblGrid>
      <w:tr w:rsidR="00640F94" w14:paraId="685F02A4" w14:textId="77777777" w:rsidTr="00640F94">
        <w:tc>
          <w:tcPr>
            <w:tcW w:w="9356" w:type="dxa"/>
            <w:gridSpan w:val="3"/>
            <w:tcBorders>
              <w:top w:val="single" w:sz="4" w:space="0" w:color="auto"/>
              <w:left w:val="single" w:sz="4" w:space="0" w:color="auto"/>
              <w:bottom w:val="single" w:sz="4" w:space="0" w:color="auto"/>
              <w:right w:val="single" w:sz="4" w:space="0" w:color="auto"/>
            </w:tcBorders>
            <w:hideMark/>
          </w:tcPr>
          <w:p w14:paraId="46CE033D" w14:textId="77777777" w:rsidR="00640F94" w:rsidRDefault="00640F94">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Tiesību akta projekta izstrādes nepieciešamība</w:t>
            </w:r>
          </w:p>
        </w:tc>
      </w:tr>
      <w:tr w:rsidR="00640F94" w14:paraId="5F79564B" w14:textId="77777777" w:rsidTr="00640F94">
        <w:tc>
          <w:tcPr>
            <w:tcW w:w="426" w:type="dxa"/>
            <w:tcBorders>
              <w:top w:val="single" w:sz="4" w:space="0" w:color="auto"/>
              <w:left w:val="single" w:sz="4" w:space="0" w:color="auto"/>
              <w:bottom w:val="single" w:sz="4" w:space="0" w:color="auto"/>
              <w:right w:val="single" w:sz="4" w:space="0" w:color="auto"/>
            </w:tcBorders>
            <w:hideMark/>
          </w:tcPr>
          <w:p w14:paraId="1FF5325C" w14:textId="77777777" w:rsidR="00640F94" w:rsidRDefault="00640F94">
            <w:pPr>
              <w:spacing w:after="0" w:line="240" w:lineRule="auto"/>
              <w:ind w:right="128"/>
              <w:contextualSpacing/>
              <w:jc w:val="both"/>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1C99B2AA" w14:textId="77777777" w:rsidR="00640F94" w:rsidRDefault="00640F94">
            <w:pPr>
              <w:spacing w:after="0" w:line="240" w:lineRule="auto"/>
              <w:ind w:right="128"/>
              <w:contextualSpacing/>
              <w:jc w:val="both"/>
              <w:rPr>
                <w:rFonts w:ascii="Times New Roman" w:eastAsia="Times New Roman" w:hAnsi="Times New Roman"/>
                <w:sz w:val="24"/>
                <w:szCs w:val="24"/>
                <w:lang w:eastAsia="lv-LV"/>
              </w:rPr>
            </w:pPr>
            <w:r>
              <w:rPr>
                <w:rFonts w:ascii="Times New Roman" w:hAnsi="Times New Roman"/>
                <w:sz w:val="24"/>
                <w:szCs w:val="24"/>
              </w:rPr>
              <w:t>Pamatojums</w:t>
            </w:r>
          </w:p>
        </w:tc>
        <w:tc>
          <w:tcPr>
            <w:tcW w:w="5809" w:type="dxa"/>
            <w:tcBorders>
              <w:top w:val="single" w:sz="4" w:space="0" w:color="auto"/>
              <w:left w:val="single" w:sz="4" w:space="0" w:color="auto"/>
              <w:bottom w:val="single" w:sz="4" w:space="0" w:color="auto"/>
              <w:right w:val="single" w:sz="4" w:space="0" w:color="auto"/>
            </w:tcBorders>
            <w:hideMark/>
          </w:tcPr>
          <w:p w14:paraId="4F67E2EC" w14:textId="77777777" w:rsidR="00640F94" w:rsidRDefault="00640F94">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Izdoti</w:t>
            </w:r>
            <w:r>
              <w:rPr>
                <w:rFonts w:ascii="Times New Roman" w:hAnsi="Times New Roman"/>
                <w:iCs/>
                <w:sz w:val="24"/>
                <w:szCs w:val="24"/>
                <w:shd w:val="clear" w:color="auto" w:fill="FFFFFF"/>
              </w:rPr>
              <w:t xml:space="preserve"> pēc Ekonomikas ministrijas iniciatīvas saskaņā ar Eiropas Savienības struktūrfondu un Kohēzijas </w:t>
            </w:r>
            <w:r>
              <w:rPr>
                <w:rFonts w:ascii="Times New Roman" w:hAnsi="Times New Roman"/>
                <w:sz w:val="24"/>
                <w:szCs w:val="24"/>
              </w:rPr>
              <w:t>fonda</w:t>
            </w:r>
            <w:r>
              <w:rPr>
                <w:rFonts w:ascii="Times New Roman" w:hAnsi="Times New Roman"/>
                <w:iCs/>
                <w:sz w:val="24"/>
                <w:szCs w:val="24"/>
                <w:shd w:val="clear" w:color="auto" w:fill="FFFFFF"/>
              </w:rPr>
              <w:t xml:space="preserve"> </w:t>
            </w:r>
            <w:r>
              <w:rPr>
                <w:rFonts w:ascii="Times New Roman" w:hAnsi="Times New Roman"/>
                <w:sz w:val="24"/>
                <w:szCs w:val="24"/>
              </w:rPr>
              <w:t>2014</w:t>
            </w:r>
            <w:r>
              <w:rPr>
                <w:rFonts w:ascii="Times New Roman" w:hAnsi="Times New Roman"/>
                <w:iCs/>
                <w:sz w:val="24"/>
                <w:szCs w:val="24"/>
                <w:shd w:val="clear" w:color="auto" w:fill="FFFFFF"/>
              </w:rPr>
              <w:t>.-</w:t>
            </w:r>
            <w:r>
              <w:rPr>
                <w:rFonts w:ascii="Times New Roman" w:hAnsi="Times New Roman"/>
                <w:sz w:val="24"/>
                <w:szCs w:val="24"/>
              </w:rPr>
              <w:t>2020</w:t>
            </w:r>
            <w:r>
              <w:rPr>
                <w:rFonts w:ascii="Times New Roman" w:hAnsi="Times New Roman"/>
                <w:iCs/>
                <w:sz w:val="24"/>
                <w:szCs w:val="24"/>
                <w:shd w:val="clear" w:color="auto" w:fill="FFFFFF"/>
              </w:rPr>
              <w:t>.gada plānošanas perioda vadības likuma 20. panta 13. punktu</w:t>
            </w:r>
            <w:r>
              <w:rPr>
                <w:rFonts w:ascii="Times New Roman" w:hAnsi="Times New Roman"/>
                <w:sz w:val="24"/>
                <w:szCs w:val="24"/>
              </w:rPr>
              <w:t>.</w:t>
            </w:r>
          </w:p>
        </w:tc>
      </w:tr>
      <w:tr w:rsidR="00640F94" w14:paraId="7C4145EC" w14:textId="77777777" w:rsidTr="00640F94">
        <w:trPr>
          <w:trHeight w:val="132"/>
        </w:trPr>
        <w:tc>
          <w:tcPr>
            <w:tcW w:w="426" w:type="dxa"/>
            <w:tcBorders>
              <w:top w:val="single" w:sz="4" w:space="0" w:color="auto"/>
              <w:left w:val="single" w:sz="4" w:space="0" w:color="auto"/>
              <w:bottom w:val="single" w:sz="4" w:space="0" w:color="auto"/>
              <w:right w:val="single" w:sz="4" w:space="0" w:color="auto"/>
            </w:tcBorders>
            <w:hideMark/>
          </w:tcPr>
          <w:p w14:paraId="4CF05DED"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118" w:type="dxa"/>
            <w:tcBorders>
              <w:top w:val="single" w:sz="4" w:space="0" w:color="auto"/>
              <w:left w:val="single" w:sz="4" w:space="0" w:color="auto"/>
              <w:bottom w:val="single" w:sz="4" w:space="0" w:color="auto"/>
              <w:right w:val="single" w:sz="4" w:space="0" w:color="auto"/>
            </w:tcBorders>
            <w:hideMark/>
          </w:tcPr>
          <w:p w14:paraId="3C502F67"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809" w:type="dxa"/>
            <w:tcBorders>
              <w:top w:val="single" w:sz="4" w:space="0" w:color="auto"/>
              <w:left w:val="single" w:sz="4" w:space="0" w:color="auto"/>
              <w:bottom w:val="single" w:sz="4" w:space="0" w:color="auto"/>
              <w:right w:val="single" w:sz="4" w:space="0" w:color="auto"/>
            </w:tcBorders>
            <w:hideMark/>
          </w:tcPr>
          <w:p w14:paraId="6B37683E" w14:textId="77777777" w:rsidR="00640F94" w:rsidRDefault="00640F94">
            <w:pPr>
              <w:spacing w:after="0" w:line="240" w:lineRule="auto"/>
              <w:ind w:right="130" w:firstLine="172"/>
              <w:contextualSpacing/>
              <w:jc w:val="both"/>
              <w:rPr>
                <w:rFonts w:ascii="Times New Roman" w:hAnsi="Times New Roman"/>
                <w:b/>
                <w:i/>
                <w:sz w:val="24"/>
                <w:szCs w:val="24"/>
                <w:u w:val="single"/>
              </w:rPr>
            </w:pPr>
            <w:r>
              <w:rPr>
                <w:rFonts w:ascii="Times New Roman" w:hAnsi="Times New Roman"/>
                <w:b/>
                <w:i/>
                <w:sz w:val="24"/>
                <w:szCs w:val="24"/>
                <w:u w:val="single"/>
              </w:rPr>
              <w:t>Par atbalsta intensitātes precizēšanu</w:t>
            </w:r>
          </w:p>
          <w:p w14:paraId="47A70CF5" w14:textId="7F24BA87" w:rsidR="00640F94" w:rsidRDefault="00640F94">
            <w:pPr>
              <w:spacing w:after="0" w:line="240" w:lineRule="auto"/>
              <w:ind w:left="142" w:right="130"/>
              <w:contextualSpacing/>
              <w:jc w:val="both"/>
              <w:rPr>
                <w:rFonts w:ascii="Times New Roman" w:hAnsi="Times New Roman"/>
                <w:bCs/>
                <w:sz w:val="24"/>
                <w:szCs w:val="24"/>
              </w:rPr>
            </w:pPr>
            <w:r>
              <w:rPr>
                <w:rFonts w:ascii="Times New Roman" w:hAnsi="Times New Roman"/>
                <w:sz w:val="24"/>
                <w:szCs w:val="24"/>
              </w:rPr>
              <w:t xml:space="preserve">Ministru kabineta 2019. gada 5. novembra noteikumi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(turpmāk – MK noteikumi Nr. 506) esošajā redakcijā nosaka, ka finansējumu attiecināmo izmaksu segšanai lielākajai daļai no projektos plānotajām darbībām sniedz saskaņā ar Eiropas Komisijas 2014. gada 17. jūnija Regulu (ES) Nr. 651/2014, ar ko noteiktas atbalsta kategorijas atzīst par saderīgām ar iekšējo tirgu, piemērojot Līguma 107. un 108. pantu (turpmāk – Komisijas regula Nr. 651/2014). Savukārt finansējumu attiecināmo izmaksu segšanai atsevišķām projektos plānotajām darbībām (tehniskās dokumentācijas sagatavošanai un projekta vadības personāla atlīdzības izmaksām) sniedz saskaņā ar </w:t>
            </w:r>
            <w:r>
              <w:rPr>
                <w:rFonts w:ascii="Times New Roman" w:hAnsi="Times New Roman"/>
                <w:bCs/>
                <w:sz w:val="24"/>
                <w:szCs w:val="24"/>
              </w:rPr>
              <w:t xml:space="preserve">Komisijas 2013. gada 18. decembra Regulu (ES) Nr.1407/2013 par Līguma par </w:t>
            </w:r>
            <w:r w:rsidR="008F41F8">
              <w:rPr>
                <w:rFonts w:ascii="Times New Roman" w:hAnsi="Times New Roman"/>
                <w:bCs/>
                <w:sz w:val="24"/>
                <w:szCs w:val="24"/>
              </w:rPr>
              <w:t>Eiropas Savienības</w:t>
            </w:r>
            <w:bookmarkStart w:id="5" w:name="_GoBack"/>
            <w:bookmarkEnd w:id="5"/>
            <w:r w:rsidR="008F41F8">
              <w:rPr>
                <w:rFonts w:ascii="Times New Roman" w:hAnsi="Times New Roman"/>
                <w:bCs/>
                <w:sz w:val="24"/>
                <w:szCs w:val="24"/>
              </w:rPr>
              <w:t xml:space="preserve"> </w:t>
            </w:r>
            <w:r>
              <w:rPr>
                <w:rFonts w:ascii="Times New Roman" w:hAnsi="Times New Roman"/>
                <w:bCs/>
                <w:sz w:val="24"/>
                <w:szCs w:val="24"/>
              </w:rPr>
              <w:t xml:space="preserve">darbību 107.un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(turpmāk </w:t>
            </w:r>
            <w:r>
              <w:rPr>
                <w:rFonts w:ascii="Times New Roman" w:hAnsi="Times New Roman"/>
                <w:sz w:val="24"/>
                <w:szCs w:val="24"/>
              </w:rPr>
              <w:t>–</w:t>
            </w:r>
            <w:r>
              <w:rPr>
                <w:rFonts w:ascii="Times New Roman" w:hAnsi="Times New Roman"/>
                <w:bCs/>
                <w:sz w:val="24"/>
                <w:szCs w:val="24"/>
              </w:rPr>
              <w:t xml:space="preserve"> Komisijas regula Nr.1407/2013). </w:t>
            </w:r>
          </w:p>
          <w:p w14:paraId="6EA8E559"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hAnsi="Times New Roman"/>
                <w:bCs/>
                <w:sz w:val="24"/>
                <w:szCs w:val="24"/>
              </w:rPr>
              <w:t xml:space="preserve">Ar Ministru kabineta 2020. gada 20. oktobra noteikumiem Nr. 643 “Grozījumi Ministru kabineta 2016. gada 6. septembra noteikumos Nr. 506 "Darbības programmas </w:t>
            </w:r>
            <w:r>
              <w:rPr>
                <w:rFonts w:ascii="Times New Roman" w:hAnsi="Times New Roman"/>
                <w:bCs/>
                <w:sz w:val="24"/>
                <w:szCs w:val="24"/>
              </w:rPr>
              <w:lastRenderedPageBreak/>
              <w:t>"Izaugsme un nodarbinātība" 4.1.1. specifiskā atbalsta mērķa "Veicināt efektīvu energoresursu izmantošanu, enerģijas patēriņa samazināšanu un pāreju uz AER apstrādes rūpniecības nozarē" trešās projektu iesniegumu atlases kārtas īstenošanas noteikumi" (turpmāk – MK noteikumi Nr. 643) tika precizētas atbalsta intensitātes, nosakot, ka maksimāli pieļaujamā atbalsta intensitāte finansējumam attiecināmo izmaksu segšanai, ko sniedz saskaņā ar Komisijas regulu Nr. 651/2014, atkarībā no projektos plānoto darbību specifikas un uzņēmuma lieluma (</w:t>
            </w:r>
            <w:r>
              <w:rPr>
                <w:rFonts w:ascii="Times New Roman" w:hAnsi="Times New Roman"/>
                <w:sz w:val="24"/>
                <w:szCs w:val="24"/>
              </w:rPr>
              <w:t xml:space="preserve">(sīks (mikro), mazs, vidējs, liels), ir 30 %, 45 %, 55 % vai 65 % no attiecināmajām izmaksām. Savukārt atbalsta intensitāte finansējumam, ko sniedz saskaņā ar </w:t>
            </w:r>
            <w:r>
              <w:rPr>
                <w:rFonts w:ascii="Times New Roman" w:hAnsi="Times New Roman"/>
                <w:bCs/>
                <w:sz w:val="24"/>
                <w:szCs w:val="24"/>
              </w:rPr>
              <w:t>Komisijas regulu Nr.1407/2013</w:t>
            </w:r>
            <w:r>
              <w:rPr>
                <w:rFonts w:ascii="Times New Roman" w:hAnsi="Times New Roman"/>
                <w:sz w:val="24"/>
                <w:szCs w:val="24"/>
              </w:rPr>
              <w:t xml:space="preserve"> iepriekš minēto atsevišķo darbību attiecināmo izmaksu segšanai, ar minētajiem grozījumiem netika noteikta.</w:t>
            </w:r>
          </w:p>
          <w:p w14:paraId="60737912" w14:textId="77777777" w:rsidR="00640F94" w:rsidRDefault="00640F94">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Līdz MK noteikumu Nr. 643 spēkā stāšanās brīdim MK noteikumi Nr. 506 paredzēja, ka maksimāli pieļaujamā Kohēzijas fonda atbalsta intensitāte saskaņā ar Komisijas regulas Nr. 651/2014 38. panta 4. punktu ir 30 % no projekta kopējām attiecināmajām izmaksām. Sniedzot atbalstu komersantiem, tika pieņemts, ka arī to atsevišķo darbību attiecināmajām izmaksām, kuras sedz ar Komisijas regulu Nr.1407/2013, piemērojama 30 % atbalsta intensitāte, tomēr tas skaidri un nepārprotami netika atspoguļots normatīvajā regulējumā.</w:t>
            </w:r>
          </w:p>
          <w:p w14:paraId="48F89D8D" w14:textId="77777777" w:rsidR="00640F94" w:rsidRDefault="00640F94">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Lai visu projektos plānoto darbību attiecināmajām izmaksām skaidri un nepārprotami būtu noteiktas atbalsta intensitātes, ar šo grozījumu projektu paredzēts papildināt MK noteikumus Nr. 506, nosakot, ka visām tām projektos plānoto darbību attiecināmajām izmaksām, kuras sedz saskaņā ar Komisijas regulu Nr.1407/2013, maksimāli piemērojamā atbalsta intensitāte ir 30 % neatkarīgi no tā, ka attiecināmajām izmaksām, ko sedz ar Komisijas regulu Nr. 651/2014, piemērojamas diferencētas atbalsta intensitātes (skaidrojumu par 30 % intensitātes noteikšanu valsts atbalstam, ko sniedz saskaņā ar Komisijas regulu Nr. 1407/2013, skatīt šīs anotācijas V sadaļas 1. tabulas D kolonnā).</w:t>
            </w:r>
          </w:p>
          <w:p w14:paraId="04C1074A"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Grozījumus plānots veikt arī 4.1.1. SAM 1. un 2. kārtas saistošajos Ministru kabineta noteikumos, paredzot vienādu atbalsta intensitāti visās 4.1.1. SAM iesniegumu atlases kārtās, lai nodrošinātu vienotu pieeju un vienādus nosacījumus visu trīs kārtu projektu iesniedzējiem, nodrošinot vienlīdzības principa ievērošanas nosacījumu.</w:t>
            </w:r>
          </w:p>
        </w:tc>
      </w:tr>
      <w:tr w:rsidR="00640F94" w14:paraId="7F1894A9" w14:textId="77777777" w:rsidTr="00640F94">
        <w:trPr>
          <w:trHeight w:val="360"/>
        </w:trPr>
        <w:tc>
          <w:tcPr>
            <w:tcW w:w="426" w:type="dxa"/>
            <w:tcBorders>
              <w:top w:val="single" w:sz="4" w:space="0" w:color="auto"/>
              <w:left w:val="single" w:sz="4" w:space="0" w:color="auto"/>
              <w:bottom w:val="single" w:sz="4" w:space="0" w:color="auto"/>
              <w:right w:val="single" w:sz="4" w:space="0" w:color="auto"/>
            </w:tcBorders>
            <w:hideMark/>
          </w:tcPr>
          <w:p w14:paraId="6F2456BB" w14:textId="77777777" w:rsidR="00640F94" w:rsidRDefault="00640F94">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14:paraId="602048A1" w14:textId="77777777" w:rsidR="00640F94" w:rsidRDefault="00640F94">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publikas personas kapitālsabiedrības</w:t>
            </w:r>
          </w:p>
        </w:tc>
        <w:tc>
          <w:tcPr>
            <w:tcW w:w="5809" w:type="dxa"/>
            <w:tcBorders>
              <w:top w:val="single" w:sz="4" w:space="0" w:color="auto"/>
              <w:left w:val="single" w:sz="4" w:space="0" w:color="auto"/>
              <w:bottom w:val="single" w:sz="4" w:space="0" w:color="auto"/>
              <w:right w:val="single" w:sz="4" w:space="0" w:color="auto"/>
            </w:tcBorders>
            <w:hideMark/>
          </w:tcPr>
          <w:p w14:paraId="518F3CB4" w14:textId="77777777" w:rsidR="00640F94" w:rsidRDefault="00640F94">
            <w:pPr>
              <w:spacing w:after="0" w:line="240" w:lineRule="auto"/>
              <w:ind w:left="142" w:right="128"/>
              <w:contextualSpacing/>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640F94" w14:paraId="2011B59A" w14:textId="77777777" w:rsidTr="00640F94">
        <w:trPr>
          <w:trHeight w:val="20"/>
        </w:trPr>
        <w:tc>
          <w:tcPr>
            <w:tcW w:w="426" w:type="dxa"/>
            <w:tcBorders>
              <w:top w:val="single" w:sz="4" w:space="0" w:color="auto"/>
              <w:left w:val="single" w:sz="4" w:space="0" w:color="auto"/>
              <w:bottom w:val="single" w:sz="4" w:space="0" w:color="auto"/>
              <w:right w:val="single" w:sz="4" w:space="0" w:color="auto"/>
            </w:tcBorders>
            <w:hideMark/>
          </w:tcPr>
          <w:p w14:paraId="6D0C1E57" w14:textId="77777777" w:rsidR="00640F94" w:rsidRDefault="00640F94">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118" w:type="dxa"/>
            <w:tcBorders>
              <w:top w:val="single" w:sz="4" w:space="0" w:color="auto"/>
              <w:left w:val="single" w:sz="4" w:space="0" w:color="auto"/>
              <w:bottom w:val="single" w:sz="4" w:space="0" w:color="auto"/>
              <w:right w:val="single" w:sz="4" w:space="0" w:color="auto"/>
            </w:tcBorders>
            <w:hideMark/>
          </w:tcPr>
          <w:p w14:paraId="04F4CEB2" w14:textId="77777777" w:rsidR="00640F94" w:rsidRDefault="00640F94">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809" w:type="dxa"/>
            <w:tcBorders>
              <w:top w:val="single" w:sz="4" w:space="0" w:color="auto"/>
              <w:left w:val="single" w:sz="4" w:space="0" w:color="auto"/>
              <w:bottom w:val="single" w:sz="4" w:space="0" w:color="auto"/>
              <w:right w:val="single" w:sz="4" w:space="0" w:color="auto"/>
            </w:tcBorders>
            <w:hideMark/>
          </w:tcPr>
          <w:p w14:paraId="3EAA231C" w14:textId="77777777" w:rsidR="00640F94" w:rsidRDefault="00640F94">
            <w:pPr>
              <w:spacing w:after="0" w:line="240" w:lineRule="auto"/>
              <w:ind w:left="142" w:right="128"/>
              <w:contextualSpacing/>
              <w:jc w:val="both"/>
              <w:rPr>
                <w:rFonts w:ascii="Times New Roman" w:hAnsi="Times New Roman"/>
                <w:sz w:val="24"/>
                <w:szCs w:val="24"/>
              </w:rPr>
            </w:pPr>
            <w:r>
              <w:rPr>
                <w:rFonts w:ascii="Times New Roman" w:hAnsi="Times New Roman"/>
                <w:sz w:val="24"/>
                <w:szCs w:val="24"/>
              </w:rPr>
              <w:t>Nav</w:t>
            </w:r>
          </w:p>
        </w:tc>
      </w:tr>
    </w:tbl>
    <w:p w14:paraId="627092E9" w14:textId="77777777" w:rsidR="00640F94" w:rsidRDefault="00640F94" w:rsidP="00640F9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3083"/>
        <w:gridCol w:w="5817"/>
      </w:tblGrid>
      <w:tr w:rsidR="00640F94" w14:paraId="67FD4E5D" w14:textId="77777777" w:rsidTr="00640F94">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13C0D6CE" w14:textId="77777777" w:rsidR="00640F94" w:rsidRDefault="00640F94">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 Tiesību akta projekta ietekme uz sabiedrību, tautsaimniecības attīstību un administratīvo slogu</w:t>
            </w:r>
          </w:p>
        </w:tc>
      </w:tr>
      <w:tr w:rsidR="00640F94" w14:paraId="77201049" w14:textId="77777777" w:rsidTr="00640F94">
        <w:trPr>
          <w:trHeight w:val="467"/>
        </w:trPr>
        <w:tc>
          <w:tcPr>
            <w:tcW w:w="456" w:type="dxa"/>
            <w:tcBorders>
              <w:top w:val="single" w:sz="4" w:space="0" w:color="auto"/>
              <w:left w:val="single" w:sz="4" w:space="0" w:color="auto"/>
              <w:bottom w:val="single" w:sz="4" w:space="0" w:color="auto"/>
              <w:right w:val="single" w:sz="4" w:space="0" w:color="auto"/>
            </w:tcBorders>
            <w:hideMark/>
          </w:tcPr>
          <w:p w14:paraId="7BB42218"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83" w:type="dxa"/>
            <w:tcBorders>
              <w:top w:val="single" w:sz="4" w:space="0" w:color="auto"/>
              <w:left w:val="single" w:sz="4" w:space="0" w:color="auto"/>
              <w:bottom w:val="single" w:sz="4" w:space="0" w:color="auto"/>
              <w:right w:val="single" w:sz="4" w:space="0" w:color="auto"/>
            </w:tcBorders>
            <w:hideMark/>
          </w:tcPr>
          <w:p w14:paraId="488CEA87" w14:textId="77777777" w:rsidR="00640F94" w:rsidRDefault="00640F94">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xml:space="preserve">, kuras tiesiskais </w:t>
            </w:r>
            <w:r>
              <w:rPr>
                <w:rFonts w:ascii="Times New Roman" w:hAnsi="Times New Roman"/>
                <w:sz w:val="24"/>
                <w:szCs w:val="24"/>
              </w:rPr>
              <w:t>regulējums</w:t>
            </w:r>
            <w:r>
              <w:rPr>
                <w:rFonts w:ascii="Times New Roman" w:eastAsia="Times New Roman" w:hAnsi="Times New Roman"/>
                <w:sz w:val="24"/>
                <w:szCs w:val="24"/>
                <w:lang w:eastAsia="lv-LV"/>
              </w:rPr>
              <w:t xml:space="preserve"> ietekmē vai varētu ietekmēt</w:t>
            </w:r>
          </w:p>
        </w:tc>
        <w:tc>
          <w:tcPr>
            <w:tcW w:w="5817" w:type="dxa"/>
            <w:tcBorders>
              <w:top w:val="single" w:sz="4" w:space="0" w:color="auto"/>
              <w:left w:val="single" w:sz="4" w:space="0" w:color="auto"/>
              <w:bottom w:val="single" w:sz="4" w:space="0" w:color="auto"/>
              <w:right w:val="single" w:sz="4" w:space="0" w:color="auto"/>
            </w:tcBorders>
            <w:hideMark/>
          </w:tcPr>
          <w:p w14:paraId="610E27F7"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SAM 4.1.1. trešās atlases kārtas mērķa grupa ir sīkie (mikro), mazie, vidējie un lielie komersanti, kas veic saimniecisko darbību apstrādes rūpniecības nozarēs.</w:t>
            </w:r>
          </w:p>
        </w:tc>
      </w:tr>
      <w:tr w:rsidR="00640F94" w14:paraId="692B1CCA" w14:textId="77777777" w:rsidTr="00640F94">
        <w:trPr>
          <w:trHeight w:val="523"/>
        </w:trPr>
        <w:tc>
          <w:tcPr>
            <w:tcW w:w="456" w:type="dxa"/>
            <w:tcBorders>
              <w:top w:val="single" w:sz="4" w:space="0" w:color="auto"/>
              <w:left w:val="single" w:sz="4" w:space="0" w:color="auto"/>
              <w:bottom w:val="single" w:sz="4" w:space="0" w:color="auto"/>
              <w:right w:val="single" w:sz="4" w:space="0" w:color="auto"/>
            </w:tcBorders>
            <w:hideMark/>
          </w:tcPr>
          <w:p w14:paraId="241DAD64"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083" w:type="dxa"/>
            <w:tcBorders>
              <w:top w:val="single" w:sz="4" w:space="0" w:color="auto"/>
              <w:left w:val="single" w:sz="4" w:space="0" w:color="auto"/>
              <w:bottom w:val="single" w:sz="4" w:space="0" w:color="auto"/>
              <w:right w:val="single" w:sz="4" w:space="0" w:color="auto"/>
            </w:tcBorders>
            <w:hideMark/>
          </w:tcPr>
          <w:p w14:paraId="2191AC52" w14:textId="77777777" w:rsidR="00640F94" w:rsidRDefault="00640F94">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817" w:type="dxa"/>
            <w:tcBorders>
              <w:top w:val="single" w:sz="4" w:space="0" w:color="auto"/>
              <w:left w:val="single" w:sz="4" w:space="0" w:color="auto"/>
              <w:bottom w:val="single" w:sz="4" w:space="0" w:color="auto"/>
              <w:right w:val="single" w:sz="4" w:space="0" w:color="auto"/>
            </w:tcBorders>
            <w:hideMark/>
          </w:tcPr>
          <w:p w14:paraId="6C8C9B34"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 identificēts administratīvā sloga palielinājums ne finansējuma saņēmējiem, ne Eiropas Savienības fondu vadībā iesaistītajām institūcijām.</w:t>
            </w:r>
          </w:p>
        </w:tc>
      </w:tr>
      <w:tr w:rsidR="00640F94" w14:paraId="54EEDDC7" w14:textId="77777777" w:rsidTr="00640F94">
        <w:trPr>
          <w:trHeight w:val="517"/>
        </w:trPr>
        <w:tc>
          <w:tcPr>
            <w:tcW w:w="456" w:type="dxa"/>
            <w:tcBorders>
              <w:top w:val="single" w:sz="4" w:space="0" w:color="auto"/>
              <w:left w:val="single" w:sz="4" w:space="0" w:color="auto"/>
              <w:bottom w:val="single" w:sz="4" w:space="0" w:color="auto"/>
              <w:right w:val="single" w:sz="4" w:space="0" w:color="auto"/>
            </w:tcBorders>
            <w:hideMark/>
          </w:tcPr>
          <w:p w14:paraId="35FC57D0"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83" w:type="dxa"/>
            <w:tcBorders>
              <w:top w:val="single" w:sz="4" w:space="0" w:color="auto"/>
              <w:left w:val="single" w:sz="4" w:space="0" w:color="auto"/>
              <w:bottom w:val="single" w:sz="4" w:space="0" w:color="auto"/>
              <w:right w:val="single" w:sz="4" w:space="0" w:color="auto"/>
            </w:tcBorders>
            <w:hideMark/>
          </w:tcPr>
          <w:p w14:paraId="2CC185A7"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Administratīvo</w:t>
            </w:r>
            <w:r>
              <w:rPr>
                <w:rFonts w:ascii="Times New Roman" w:eastAsia="Times New Roman" w:hAnsi="Times New Roman"/>
                <w:sz w:val="24"/>
                <w:szCs w:val="24"/>
                <w:lang w:eastAsia="lv-LV"/>
              </w:rPr>
              <w:t xml:space="preserve"> izmaksu monetārs novērtējums</w:t>
            </w:r>
          </w:p>
        </w:tc>
        <w:tc>
          <w:tcPr>
            <w:tcW w:w="5817" w:type="dxa"/>
            <w:tcBorders>
              <w:top w:val="single" w:sz="4" w:space="0" w:color="auto"/>
              <w:left w:val="single" w:sz="4" w:space="0" w:color="auto"/>
              <w:bottom w:val="single" w:sz="4" w:space="0" w:color="auto"/>
              <w:right w:val="single" w:sz="4" w:space="0" w:color="auto"/>
            </w:tcBorders>
            <w:hideMark/>
          </w:tcPr>
          <w:p w14:paraId="17312F43" w14:textId="77777777" w:rsidR="00640F94" w:rsidRDefault="00640F94">
            <w:pPr>
              <w:spacing w:after="0" w:line="240" w:lineRule="auto"/>
              <w:ind w:left="142" w:right="130"/>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Sadarbības iestādes (Centrālās finanšu un līgumu aģentūras) un atbildīgās iestādes (Ekonomikas ministrijas) Eiropas Savienības (ES) fondu administrēšanas izmaksas plānots segt no Eiropas Savienības struktūrfondu un Kohēzijas fonda 2014.-2020.gada plānošanas perioda tehniskās palīdzības projekta līdzekļiem.</w:t>
            </w:r>
          </w:p>
        </w:tc>
      </w:tr>
      <w:tr w:rsidR="00640F94" w14:paraId="22A26B2A" w14:textId="77777777" w:rsidTr="00640F94">
        <w:trPr>
          <w:trHeight w:val="517"/>
        </w:trPr>
        <w:tc>
          <w:tcPr>
            <w:tcW w:w="456" w:type="dxa"/>
            <w:tcBorders>
              <w:top w:val="single" w:sz="4" w:space="0" w:color="auto"/>
              <w:left w:val="single" w:sz="4" w:space="0" w:color="auto"/>
              <w:bottom w:val="single" w:sz="4" w:space="0" w:color="auto"/>
              <w:right w:val="single" w:sz="4" w:space="0" w:color="auto"/>
            </w:tcBorders>
            <w:hideMark/>
          </w:tcPr>
          <w:p w14:paraId="6ABEFD39"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083" w:type="dxa"/>
            <w:tcBorders>
              <w:top w:val="single" w:sz="4" w:space="0" w:color="auto"/>
              <w:left w:val="single" w:sz="4" w:space="0" w:color="auto"/>
              <w:bottom w:val="single" w:sz="4" w:space="0" w:color="auto"/>
              <w:right w:val="single" w:sz="4" w:space="0" w:color="auto"/>
            </w:tcBorders>
            <w:hideMark/>
          </w:tcPr>
          <w:p w14:paraId="3C055D0F" w14:textId="77777777" w:rsidR="00640F94" w:rsidRDefault="00640F94">
            <w:pPr>
              <w:spacing w:after="0" w:line="240" w:lineRule="auto"/>
              <w:ind w:left="142" w:right="128"/>
              <w:contextualSpacing/>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817" w:type="dxa"/>
            <w:tcBorders>
              <w:top w:val="single" w:sz="4" w:space="0" w:color="auto"/>
              <w:left w:val="single" w:sz="4" w:space="0" w:color="auto"/>
              <w:bottom w:val="single" w:sz="4" w:space="0" w:color="auto"/>
              <w:right w:val="single" w:sz="4" w:space="0" w:color="auto"/>
            </w:tcBorders>
            <w:hideMark/>
          </w:tcPr>
          <w:p w14:paraId="34CFCAC3" w14:textId="77777777" w:rsidR="00640F94" w:rsidRDefault="00640F94">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w:t>
            </w:r>
            <w:r>
              <w:rPr>
                <w:rFonts w:ascii="Times New Roman" w:hAnsi="Times New Roman"/>
                <w:sz w:val="24"/>
                <w:szCs w:val="24"/>
              </w:rPr>
              <w:t>jomu</w:t>
            </w:r>
            <w:r>
              <w:rPr>
                <w:rFonts w:ascii="Times New Roman" w:eastAsia="Times New Roman" w:hAnsi="Times New Roman"/>
                <w:sz w:val="24"/>
                <w:szCs w:val="24"/>
                <w:lang w:eastAsia="lv-LV"/>
              </w:rPr>
              <w:t xml:space="preserve"> neskar</w:t>
            </w:r>
          </w:p>
        </w:tc>
      </w:tr>
      <w:tr w:rsidR="00640F94" w14:paraId="36DCBAE4" w14:textId="77777777" w:rsidTr="00640F94">
        <w:trPr>
          <w:trHeight w:val="335"/>
        </w:trPr>
        <w:tc>
          <w:tcPr>
            <w:tcW w:w="456" w:type="dxa"/>
            <w:tcBorders>
              <w:top w:val="single" w:sz="4" w:space="0" w:color="auto"/>
              <w:left w:val="single" w:sz="4" w:space="0" w:color="auto"/>
              <w:bottom w:val="single" w:sz="4" w:space="0" w:color="auto"/>
              <w:right w:val="single" w:sz="4" w:space="0" w:color="auto"/>
            </w:tcBorders>
            <w:hideMark/>
          </w:tcPr>
          <w:p w14:paraId="4BF5F94F" w14:textId="77777777" w:rsidR="00640F94" w:rsidRDefault="00640F9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083" w:type="dxa"/>
            <w:tcBorders>
              <w:top w:val="single" w:sz="4" w:space="0" w:color="auto"/>
              <w:left w:val="single" w:sz="4" w:space="0" w:color="auto"/>
              <w:bottom w:val="single" w:sz="4" w:space="0" w:color="auto"/>
              <w:right w:val="single" w:sz="4" w:space="0" w:color="auto"/>
            </w:tcBorders>
            <w:hideMark/>
          </w:tcPr>
          <w:p w14:paraId="366A1761"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 </w:t>
            </w:r>
            <w:r>
              <w:rPr>
                <w:rFonts w:ascii="Times New Roman" w:hAnsi="Times New Roman"/>
                <w:bCs/>
                <w:sz w:val="24"/>
                <w:szCs w:val="24"/>
              </w:rPr>
              <w:t>informācija</w:t>
            </w:r>
          </w:p>
        </w:tc>
        <w:tc>
          <w:tcPr>
            <w:tcW w:w="5817" w:type="dxa"/>
            <w:tcBorders>
              <w:top w:val="single" w:sz="4" w:space="0" w:color="auto"/>
              <w:left w:val="single" w:sz="4" w:space="0" w:color="auto"/>
              <w:bottom w:val="single" w:sz="4" w:space="0" w:color="auto"/>
              <w:right w:val="single" w:sz="4" w:space="0" w:color="auto"/>
            </w:tcBorders>
            <w:hideMark/>
          </w:tcPr>
          <w:p w14:paraId="1F0FA940" w14:textId="77777777" w:rsidR="00640F94" w:rsidRDefault="00640F94">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Nav</w:t>
            </w:r>
          </w:p>
        </w:tc>
      </w:tr>
    </w:tbl>
    <w:p w14:paraId="4CFA90F9" w14:textId="77777777" w:rsidR="00640F94" w:rsidRDefault="00640F94" w:rsidP="00640F94">
      <w:pPr>
        <w:spacing w:after="0" w:line="240" w:lineRule="auto"/>
        <w:contextualSpacing/>
        <w:rPr>
          <w:rFonts w:ascii="Times New Roman" w:eastAsia="Arial Unicode MS" w:hAnsi="Times New Roman"/>
          <w:sz w:val="24"/>
          <w:szCs w:val="24"/>
        </w:rPr>
      </w:pPr>
    </w:p>
    <w:tbl>
      <w:tblPr>
        <w:tblStyle w:val="TableGrid"/>
        <w:tblW w:w="5168" w:type="pct"/>
        <w:tblInd w:w="-5" w:type="dxa"/>
        <w:tblLook w:val="04A0" w:firstRow="1" w:lastRow="0" w:firstColumn="1" w:lastColumn="0" w:noHBand="0" w:noVBand="1"/>
      </w:tblPr>
      <w:tblGrid>
        <w:gridCol w:w="9660"/>
      </w:tblGrid>
      <w:tr w:rsidR="00640F94" w14:paraId="4B7EA872" w14:textId="77777777" w:rsidTr="00640F94">
        <w:tc>
          <w:tcPr>
            <w:tcW w:w="5000" w:type="pct"/>
            <w:tcBorders>
              <w:top w:val="single" w:sz="4" w:space="0" w:color="auto"/>
              <w:left w:val="single" w:sz="4" w:space="0" w:color="auto"/>
              <w:bottom w:val="single" w:sz="4" w:space="0" w:color="auto"/>
              <w:right w:val="single" w:sz="4" w:space="0" w:color="auto"/>
            </w:tcBorders>
            <w:hideMark/>
          </w:tcPr>
          <w:p w14:paraId="4398799F" w14:textId="77777777" w:rsidR="00640F94" w:rsidRDefault="00640F94">
            <w:pPr>
              <w:spacing w:after="0" w:line="240" w:lineRule="auto"/>
              <w:contextualSpacing/>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III. Tiesību akta projekta ietekme uz valsts budžetu un pašvaldību budžetiem</w:t>
            </w:r>
          </w:p>
        </w:tc>
      </w:tr>
      <w:tr w:rsidR="00640F94" w14:paraId="06A82D43" w14:textId="77777777" w:rsidTr="00640F94">
        <w:tc>
          <w:tcPr>
            <w:tcW w:w="5000" w:type="pct"/>
            <w:tcBorders>
              <w:top w:val="single" w:sz="4" w:space="0" w:color="auto"/>
              <w:left w:val="single" w:sz="4" w:space="0" w:color="auto"/>
              <w:bottom w:val="single" w:sz="4" w:space="0" w:color="auto"/>
              <w:right w:val="single" w:sz="4" w:space="0" w:color="auto"/>
            </w:tcBorders>
            <w:hideMark/>
          </w:tcPr>
          <w:p w14:paraId="5510F587" w14:textId="77777777" w:rsidR="00640F94" w:rsidRDefault="00640F94">
            <w:pPr>
              <w:spacing w:after="0" w:line="240" w:lineRule="auto"/>
              <w:contextualSpacing/>
              <w:jc w:val="center"/>
              <w:rPr>
                <w:rFonts w:ascii="Times New Roman" w:eastAsia="Times New Roman" w:hAnsi="Times New Roman"/>
                <w:b/>
                <w:bCs/>
                <w:iCs/>
                <w:sz w:val="24"/>
                <w:szCs w:val="24"/>
                <w:lang w:eastAsia="lv-LV"/>
              </w:rPr>
            </w:pPr>
            <w:r>
              <w:rPr>
                <w:rFonts w:ascii="Times New Roman" w:hAnsi="Times New Roman"/>
                <w:bCs/>
                <w:sz w:val="24"/>
                <w:szCs w:val="24"/>
              </w:rPr>
              <w:t>Projekts šo jomu neskar</w:t>
            </w:r>
          </w:p>
        </w:tc>
      </w:tr>
    </w:tbl>
    <w:p w14:paraId="7CDD286C" w14:textId="77777777" w:rsidR="00640F94" w:rsidRDefault="00640F94" w:rsidP="00640F94">
      <w:pPr>
        <w:spacing w:after="0" w:line="240" w:lineRule="auto"/>
        <w:contextualSpacing/>
        <w:rPr>
          <w:rFonts w:ascii="Times New Roman" w:hAnsi="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3119"/>
        <w:gridCol w:w="62"/>
        <w:gridCol w:w="5752"/>
      </w:tblGrid>
      <w:tr w:rsidR="00640F94" w14:paraId="6ED5F85A" w14:textId="77777777" w:rsidTr="00640F94">
        <w:tc>
          <w:tcPr>
            <w:tcW w:w="9356" w:type="dxa"/>
            <w:gridSpan w:val="4"/>
            <w:tcBorders>
              <w:top w:val="single" w:sz="4" w:space="0" w:color="auto"/>
              <w:left w:val="single" w:sz="4" w:space="0" w:color="auto"/>
              <w:bottom w:val="single" w:sz="4" w:space="0" w:color="auto"/>
              <w:right w:val="single" w:sz="4" w:space="0" w:color="auto"/>
            </w:tcBorders>
            <w:hideMark/>
          </w:tcPr>
          <w:p w14:paraId="4B64A335" w14:textId="77777777" w:rsidR="00640F94" w:rsidRDefault="00640F94">
            <w:pPr>
              <w:spacing w:after="0" w:line="240" w:lineRule="auto"/>
              <w:contextualSpacing/>
              <w:jc w:val="center"/>
              <w:rPr>
                <w:rFonts w:ascii="Times New Roman" w:hAnsi="Times New Roman"/>
                <w:b/>
                <w:bCs/>
                <w:sz w:val="24"/>
                <w:szCs w:val="24"/>
              </w:rPr>
            </w:pPr>
            <w:r>
              <w:rPr>
                <w:rFonts w:ascii="Times New Roman" w:hAnsi="Times New Roman"/>
                <w:b/>
                <w:bCs/>
                <w:sz w:val="24"/>
                <w:szCs w:val="24"/>
              </w:rPr>
              <w:t>IV. Tiesību akta projekta ietekme uz spēkā esošo tiesību normu sistēmu</w:t>
            </w:r>
          </w:p>
        </w:tc>
      </w:tr>
      <w:tr w:rsidR="00640F94" w14:paraId="7791A3CC" w14:textId="77777777" w:rsidTr="00640F94">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1A57535"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38E23EE"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Saistītie tiesību aktu projekti</w:t>
            </w:r>
          </w:p>
        </w:tc>
        <w:tc>
          <w:tcPr>
            <w:tcW w:w="581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F054BB5" w14:textId="77777777" w:rsidR="00640F94" w:rsidRDefault="00640F94">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Lai nodrošinātu vienotu pieeju un vienādus nosacījumus visu trīs kārtu projektu iesniedzējiem, grozījumus plānots veikt arī 4.1.1. SAM 1. un 2. kārtas saistošajos Ministru kabineta noteikumos:</w:t>
            </w:r>
          </w:p>
          <w:p w14:paraId="69364E52" w14:textId="77777777" w:rsidR="00640F94" w:rsidRDefault="00640F94">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1) 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14:paraId="63678B62" w14:textId="77777777" w:rsidR="00640F94" w:rsidRDefault="00640F94">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2) 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p w14:paraId="165B2883" w14:textId="77777777" w:rsidR="00640F94" w:rsidRDefault="00640F94">
            <w:pPr>
              <w:spacing w:after="0" w:line="240" w:lineRule="auto"/>
              <w:ind w:left="116" w:right="130"/>
              <w:contextualSpacing/>
              <w:jc w:val="both"/>
              <w:rPr>
                <w:rFonts w:ascii="Times New Roman" w:hAnsi="Times New Roman"/>
                <w:sz w:val="24"/>
                <w:szCs w:val="24"/>
              </w:rPr>
            </w:pPr>
          </w:p>
          <w:p w14:paraId="422DF15F" w14:textId="77777777" w:rsidR="00640F94" w:rsidRDefault="00640F94">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 Ministru kabinetā tiks virzīti vienlaicīgi.</w:t>
            </w:r>
          </w:p>
        </w:tc>
      </w:tr>
      <w:tr w:rsidR="00640F94" w14:paraId="06F8ED8B" w14:textId="77777777" w:rsidTr="00640F94">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945C498"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493BBE1"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Atbildīgā institūcija</w:t>
            </w:r>
          </w:p>
        </w:tc>
        <w:tc>
          <w:tcPr>
            <w:tcW w:w="581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29B9D93" w14:textId="77777777" w:rsidR="00640F94" w:rsidRDefault="00640F94">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Ekonomikas ministrija</w:t>
            </w:r>
          </w:p>
        </w:tc>
      </w:tr>
      <w:tr w:rsidR="00640F94" w14:paraId="522F818D" w14:textId="77777777" w:rsidTr="00640F94">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6BD9882"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29070BF" w14:textId="77777777" w:rsidR="00640F94" w:rsidRDefault="00640F94">
            <w:pPr>
              <w:spacing w:after="0" w:line="240" w:lineRule="auto"/>
              <w:contextualSpacing/>
              <w:rPr>
                <w:rFonts w:ascii="Times New Roman" w:hAnsi="Times New Roman"/>
                <w:sz w:val="24"/>
                <w:szCs w:val="24"/>
              </w:rPr>
            </w:pPr>
            <w:r>
              <w:rPr>
                <w:rFonts w:ascii="Times New Roman" w:hAnsi="Times New Roman"/>
                <w:sz w:val="24"/>
                <w:szCs w:val="24"/>
              </w:rPr>
              <w:t>Cita informācija</w:t>
            </w:r>
          </w:p>
        </w:tc>
        <w:tc>
          <w:tcPr>
            <w:tcW w:w="581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A4207BB" w14:textId="77777777" w:rsidR="00640F94" w:rsidRDefault="00640F94">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Nav</w:t>
            </w:r>
          </w:p>
        </w:tc>
      </w:tr>
      <w:tr w:rsidR="00640F94" w14:paraId="5DADC764" w14:textId="77777777" w:rsidTr="00640F94">
        <w:trPr>
          <w:trHeight w:val="421"/>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14:paraId="0389EF4B" w14:textId="77777777" w:rsidR="00640F94" w:rsidRDefault="00640F94">
            <w:pPr>
              <w:pStyle w:val="naisnod"/>
              <w:spacing w:before="0" w:beforeAutospacing="0" w:after="0" w:afterAutospacing="0" w:line="256" w:lineRule="auto"/>
              <w:ind w:left="57" w:right="57"/>
              <w:contextualSpacing/>
              <w:jc w:val="center"/>
              <w:rPr>
                <w:lang w:eastAsia="en-US"/>
              </w:rPr>
            </w:pPr>
            <w:r>
              <w:rPr>
                <w:b/>
                <w:lang w:eastAsia="en-US"/>
              </w:rPr>
              <w:t xml:space="preserve">V. </w:t>
            </w:r>
            <w:r>
              <w:rPr>
                <w:b/>
                <w:color w:val="000000"/>
                <w:lang w:eastAsia="en-US"/>
              </w:rPr>
              <w:t>Tiesību akta projekta atbilstība Latvijas Republikas starptautiskajām saistībām</w:t>
            </w:r>
          </w:p>
        </w:tc>
      </w:tr>
      <w:tr w:rsidR="00640F94" w14:paraId="6BD68557" w14:textId="77777777" w:rsidTr="00640F94">
        <w:trPr>
          <w:trHeight w:val="553"/>
        </w:trPr>
        <w:tc>
          <w:tcPr>
            <w:tcW w:w="426" w:type="dxa"/>
            <w:tcBorders>
              <w:top w:val="single" w:sz="4" w:space="0" w:color="auto"/>
              <w:left w:val="single" w:sz="4" w:space="0" w:color="auto"/>
              <w:bottom w:val="single" w:sz="4" w:space="0" w:color="auto"/>
              <w:right w:val="single" w:sz="4" w:space="0" w:color="auto"/>
            </w:tcBorders>
            <w:hideMark/>
          </w:tcPr>
          <w:p w14:paraId="6EC73B8A" w14:textId="77777777" w:rsidR="00640F94" w:rsidRDefault="00640F94">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1.</w:t>
            </w:r>
          </w:p>
        </w:tc>
        <w:tc>
          <w:tcPr>
            <w:tcW w:w="3180" w:type="dxa"/>
            <w:gridSpan w:val="2"/>
            <w:tcBorders>
              <w:top w:val="single" w:sz="4" w:space="0" w:color="auto"/>
              <w:left w:val="single" w:sz="4" w:space="0" w:color="auto"/>
              <w:bottom w:val="single" w:sz="4" w:space="0" w:color="auto"/>
              <w:right w:val="single" w:sz="4" w:space="0" w:color="auto"/>
            </w:tcBorders>
            <w:hideMark/>
          </w:tcPr>
          <w:p w14:paraId="6C4412C5" w14:textId="77777777" w:rsidR="00640F94" w:rsidRDefault="00640F94">
            <w:pPr>
              <w:spacing w:after="0" w:line="240" w:lineRule="auto"/>
              <w:ind w:left="57" w:right="57"/>
              <w:contextualSpacing/>
              <w:rPr>
                <w:rFonts w:ascii="Times New Roman" w:hAnsi="Times New Roman"/>
                <w:sz w:val="24"/>
                <w:szCs w:val="24"/>
              </w:rPr>
            </w:pPr>
            <w:r>
              <w:rPr>
                <w:rFonts w:ascii="Times New Roman" w:hAnsi="Times New Roman"/>
                <w:color w:val="000000"/>
                <w:sz w:val="24"/>
                <w:szCs w:val="24"/>
              </w:rPr>
              <w:t>Saistības pret Eiropas Savienību</w:t>
            </w:r>
          </w:p>
        </w:tc>
        <w:tc>
          <w:tcPr>
            <w:tcW w:w="5750" w:type="dxa"/>
            <w:tcBorders>
              <w:top w:val="single" w:sz="4" w:space="0" w:color="auto"/>
              <w:left w:val="single" w:sz="4" w:space="0" w:color="auto"/>
              <w:bottom w:val="single" w:sz="4" w:space="0" w:color="auto"/>
              <w:right w:val="single" w:sz="4" w:space="0" w:color="auto"/>
            </w:tcBorders>
            <w:hideMark/>
          </w:tcPr>
          <w:p w14:paraId="0A90F04D" w14:textId="77777777" w:rsidR="00640F94" w:rsidRDefault="00640F94">
            <w:pPr>
              <w:spacing w:after="0" w:line="240" w:lineRule="auto"/>
              <w:ind w:left="142" w:right="130"/>
              <w:contextualSpacing/>
              <w:jc w:val="both"/>
              <w:rPr>
                <w:rFonts w:ascii="Times New Roman" w:eastAsia="Times New Roman" w:hAnsi="Times New Roman"/>
                <w:sz w:val="24"/>
                <w:szCs w:val="24"/>
              </w:rPr>
            </w:pPr>
            <w:r>
              <w:rPr>
                <w:rFonts w:ascii="Times New Roman" w:hAnsi="Times New Roman"/>
                <w:sz w:val="24"/>
                <w:szCs w:val="24"/>
              </w:rPr>
              <w:t>Noteikumu</w:t>
            </w:r>
            <w:r>
              <w:rPr>
                <w:rFonts w:ascii="Times New Roman" w:eastAsia="Times New Roman" w:hAnsi="Times New Roman"/>
                <w:sz w:val="24"/>
                <w:szCs w:val="24"/>
              </w:rPr>
              <w:t xml:space="preserve"> projekts atbilst šādam Eiropas Savienības tiesību aktam:</w:t>
            </w:r>
          </w:p>
          <w:p w14:paraId="755F80A1" w14:textId="77777777" w:rsidR="00640F94" w:rsidRDefault="00640F94">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lastRenderedPageBreak/>
              <w:t xml:space="preserve">Komisijas 2013.gada 18.decembra Regula (ES) Nr.1407/2013 par Līguma par Eiropas Savienības darbību 107. 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(turpmāk </w:t>
            </w:r>
            <w:r>
              <w:rPr>
                <w:rFonts w:ascii="Times New Roman" w:hAnsi="Times New Roman"/>
                <w:sz w:val="24"/>
                <w:szCs w:val="24"/>
              </w:rPr>
              <w:t>–</w:t>
            </w:r>
            <w:r>
              <w:rPr>
                <w:rFonts w:ascii="Times New Roman" w:hAnsi="Times New Roman"/>
                <w:bCs/>
                <w:sz w:val="24"/>
                <w:szCs w:val="24"/>
              </w:rPr>
              <w:t xml:space="preserve"> Komisijas regula Nr.1407/2013).</w:t>
            </w:r>
          </w:p>
        </w:tc>
      </w:tr>
      <w:tr w:rsidR="00640F94" w14:paraId="0D60AED1" w14:textId="77777777" w:rsidTr="00640F94">
        <w:trPr>
          <w:trHeight w:val="339"/>
        </w:trPr>
        <w:tc>
          <w:tcPr>
            <w:tcW w:w="426" w:type="dxa"/>
            <w:tcBorders>
              <w:top w:val="single" w:sz="4" w:space="0" w:color="auto"/>
              <w:left w:val="single" w:sz="4" w:space="0" w:color="auto"/>
              <w:bottom w:val="single" w:sz="4" w:space="0" w:color="auto"/>
              <w:right w:val="single" w:sz="4" w:space="0" w:color="auto"/>
            </w:tcBorders>
            <w:hideMark/>
          </w:tcPr>
          <w:p w14:paraId="1FC64754" w14:textId="77777777" w:rsidR="00640F94" w:rsidRDefault="00640F94">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lastRenderedPageBreak/>
              <w:t>2.</w:t>
            </w:r>
          </w:p>
        </w:tc>
        <w:tc>
          <w:tcPr>
            <w:tcW w:w="3180" w:type="dxa"/>
            <w:gridSpan w:val="2"/>
            <w:tcBorders>
              <w:top w:val="single" w:sz="4" w:space="0" w:color="auto"/>
              <w:left w:val="single" w:sz="4" w:space="0" w:color="auto"/>
              <w:bottom w:val="single" w:sz="4" w:space="0" w:color="auto"/>
              <w:right w:val="single" w:sz="4" w:space="0" w:color="auto"/>
            </w:tcBorders>
            <w:hideMark/>
          </w:tcPr>
          <w:p w14:paraId="14AB2A93" w14:textId="77777777" w:rsidR="00640F94" w:rsidRDefault="00640F94">
            <w:pPr>
              <w:spacing w:after="0" w:line="240" w:lineRule="auto"/>
              <w:ind w:left="57" w:right="57"/>
              <w:contextualSpacing/>
              <w:rPr>
                <w:rFonts w:ascii="Times New Roman" w:hAnsi="Times New Roman"/>
                <w:sz w:val="24"/>
                <w:szCs w:val="24"/>
              </w:rPr>
            </w:pPr>
            <w:r>
              <w:rPr>
                <w:rFonts w:ascii="Times New Roman" w:hAnsi="Times New Roman"/>
                <w:color w:val="000000"/>
                <w:sz w:val="24"/>
                <w:szCs w:val="24"/>
              </w:rPr>
              <w:t>Citas starptautiskās saistības</w:t>
            </w:r>
          </w:p>
        </w:tc>
        <w:tc>
          <w:tcPr>
            <w:tcW w:w="5750" w:type="dxa"/>
            <w:tcBorders>
              <w:top w:val="single" w:sz="4" w:space="0" w:color="auto"/>
              <w:left w:val="single" w:sz="4" w:space="0" w:color="auto"/>
              <w:bottom w:val="single" w:sz="4" w:space="0" w:color="auto"/>
              <w:right w:val="single" w:sz="4" w:space="0" w:color="auto"/>
            </w:tcBorders>
            <w:hideMark/>
          </w:tcPr>
          <w:p w14:paraId="058D00B4" w14:textId="77777777" w:rsidR="00640F94" w:rsidRDefault="00640F94">
            <w:pPr>
              <w:spacing w:after="0" w:line="240" w:lineRule="auto"/>
              <w:ind w:left="142" w:right="130"/>
              <w:contextualSpacing/>
              <w:jc w:val="both"/>
              <w:rPr>
                <w:rFonts w:ascii="Times New Roman" w:hAnsi="Times New Roman"/>
                <w:kern w:val="24"/>
                <w:sz w:val="24"/>
                <w:szCs w:val="24"/>
              </w:rPr>
            </w:pPr>
            <w:r>
              <w:rPr>
                <w:rFonts w:ascii="Times New Roman" w:hAnsi="Times New Roman"/>
                <w:iCs/>
                <w:color w:val="000000"/>
                <w:sz w:val="24"/>
                <w:szCs w:val="24"/>
              </w:rPr>
              <w:t>Projekts šo jomu neskar.</w:t>
            </w:r>
          </w:p>
        </w:tc>
      </w:tr>
      <w:tr w:rsidR="00640F94" w14:paraId="78E4A188" w14:textId="77777777" w:rsidTr="00640F94">
        <w:trPr>
          <w:trHeight w:val="476"/>
        </w:trPr>
        <w:tc>
          <w:tcPr>
            <w:tcW w:w="426" w:type="dxa"/>
            <w:tcBorders>
              <w:top w:val="single" w:sz="4" w:space="0" w:color="auto"/>
              <w:left w:val="single" w:sz="4" w:space="0" w:color="auto"/>
              <w:bottom w:val="single" w:sz="4" w:space="0" w:color="auto"/>
              <w:right w:val="single" w:sz="4" w:space="0" w:color="auto"/>
            </w:tcBorders>
            <w:hideMark/>
          </w:tcPr>
          <w:p w14:paraId="511F4EF5" w14:textId="77777777" w:rsidR="00640F94" w:rsidRDefault="00640F94">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3.</w:t>
            </w:r>
          </w:p>
        </w:tc>
        <w:tc>
          <w:tcPr>
            <w:tcW w:w="3180" w:type="dxa"/>
            <w:gridSpan w:val="2"/>
            <w:tcBorders>
              <w:top w:val="single" w:sz="4" w:space="0" w:color="auto"/>
              <w:left w:val="single" w:sz="4" w:space="0" w:color="auto"/>
              <w:bottom w:val="single" w:sz="4" w:space="0" w:color="auto"/>
              <w:right w:val="single" w:sz="4" w:space="0" w:color="auto"/>
            </w:tcBorders>
            <w:hideMark/>
          </w:tcPr>
          <w:p w14:paraId="3924EE56" w14:textId="77777777" w:rsidR="00640F94" w:rsidRDefault="00640F94">
            <w:pPr>
              <w:spacing w:after="0" w:line="240" w:lineRule="auto"/>
              <w:ind w:left="57" w:right="57"/>
              <w:contextualSpacing/>
              <w:rPr>
                <w:rFonts w:ascii="Times New Roman" w:hAnsi="Times New Roman"/>
                <w:sz w:val="24"/>
                <w:szCs w:val="24"/>
              </w:rPr>
            </w:pPr>
            <w:r>
              <w:rPr>
                <w:rFonts w:ascii="Times New Roman" w:hAnsi="Times New Roman"/>
                <w:sz w:val="24"/>
                <w:szCs w:val="24"/>
              </w:rPr>
              <w:t>Cita informācija</w:t>
            </w:r>
          </w:p>
        </w:tc>
        <w:tc>
          <w:tcPr>
            <w:tcW w:w="5750" w:type="dxa"/>
            <w:tcBorders>
              <w:top w:val="single" w:sz="4" w:space="0" w:color="auto"/>
              <w:left w:val="single" w:sz="4" w:space="0" w:color="auto"/>
              <w:bottom w:val="single" w:sz="4" w:space="0" w:color="auto"/>
              <w:right w:val="single" w:sz="4" w:space="0" w:color="auto"/>
            </w:tcBorders>
            <w:hideMark/>
          </w:tcPr>
          <w:p w14:paraId="58D83135"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w:t>
            </w:r>
          </w:p>
        </w:tc>
      </w:tr>
    </w:tbl>
    <w:p w14:paraId="7615D218" w14:textId="77777777" w:rsidR="00640F94" w:rsidRDefault="00640F94" w:rsidP="00640F94">
      <w:pPr>
        <w:spacing w:after="0" w:line="240" w:lineRule="auto"/>
        <w:contextualSpacing/>
        <w:rPr>
          <w:rFonts w:ascii="Times New Roman" w:hAnsi="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2"/>
        <w:gridCol w:w="2414"/>
        <w:gridCol w:w="2275"/>
        <w:gridCol w:w="2069"/>
      </w:tblGrid>
      <w:tr w:rsidR="00640F94" w14:paraId="64CE6DB1" w14:textId="77777777" w:rsidTr="00640F94">
        <w:tc>
          <w:tcPr>
            <w:tcW w:w="9356" w:type="dxa"/>
            <w:gridSpan w:val="4"/>
            <w:tcBorders>
              <w:top w:val="single" w:sz="4" w:space="0" w:color="auto"/>
              <w:left w:val="single" w:sz="4" w:space="0" w:color="auto"/>
              <w:bottom w:val="single" w:sz="4" w:space="0" w:color="auto"/>
              <w:right w:val="single" w:sz="4" w:space="0" w:color="auto"/>
            </w:tcBorders>
            <w:hideMark/>
          </w:tcPr>
          <w:p w14:paraId="3E29CDF1" w14:textId="77777777" w:rsidR="00640F94" w:rsidRDefault="00640F94">
            <w:pPr>
              <w:spacing w:after="0" w:line="240" w:lineRule="auto"/>
              <w:contextualSpacing/>
              <w:jc w:val="center"/>
              <w:rPr>
                <w:rFonts w:ascii="Times New Roman" w:hAnsi="Times New Roman"/>
                <w:b/>
                <w:bCs/>
                <w:sz w:val="24"/>
                <w:szCs w:val="24"/>
                <w:highlight w:val="yellow"/>
              </w:rPr>
            </w:pPr>
            <w:r>
              <w:rPr>
                <w:rFonts w:ascii="Times New Roman" w:hAnsi="Times New Roman"/>
                <w:b/>
                <w:bCs/>
                <w:sz w:val="24"/>
                <w:szCs w:val="24"/>
              </w:rPr>
              <w:t>1.tabula. Tiesību akta projekta atbilstība ES tiesību aktiem</w:t>
            </w:r>
          </w:p>
        </w:tc>
      </w:tr>
      <w:tr w:rsidR="00640F94" w14:paraId="71B44640" w14:textId="77777777" w:rsidTr="00640F94">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302A7" w14:textId="77777777" w:rsidR="00640F94" w:rsidRDefault="00640F94">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Attiecīgā ES tiesību akta datums, numurs un nosaukums</w:t>
            </w:r>
          </w:p>
        </w:tc>
        <w:tc>
          <w:tcPr>
            <w:tcW w:w="675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9BB54" w14:textId="77777777" w:rsidR="00640F94" w:rsidRDefault="00640F94">
            <w:pPr>
              <w:spacing w:after="0" w:line="240" w:lineRule="auto"/>
              <w:ind w:right="130"/>
              <w:contextualSpacing/>
              <w:jc w:val="both"/>
              <w:rPr>
                <w:color w:val="000000"/>
                <w:highlight w:val="green"/>
              </w:rPr>
            </w:pPr>
            <w:r>
              <w:rPr>
                <w:rFonts w:ascii="Times New Roman" w:hAnsi="Times New Roman"/>
                <w:sz w:val="24"/>
                <w:szCs w:val="24"/>
              </w:rPr>
              <w:t xml:space="preserve">Ar normatīvo aktu tiek ieviestas </w:t>
            </w:r>
            <w:r>
              <w:rPr>
                <w:rFonts w:ascii="Times New Roman" w:hAnsi="Times New Roman"/>
                <w:bCs/>
                <w:sz w:val="24"/>
                <w:szCs w:val="24"/>
              </w:rPr>
              <w:t xml:space="preserve">Komisijas 2013.gada 18.decembra Regulas (ES) Nr.1407/2013 par Līguma par Eiropas Savienības darbību 107. 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w:t>
            </w:r>
            <w:r>
              <w:rPr>
                <w:rFonts w:ascii="Times New Roman" w:hAnsi="Times New Roman"/>
                <w:sz w:val="24"/>
                <w:szCs w:val="24"/>
              </w:rPr>
              <w:t>prasības.</w:t>
            </w:r>
          </w:p>
        </w:tc>
      </w:tr>
      <w:tr w:rsidR="00640F94" w14:paraId="47B3D2CC" w14:textId="77777777" w:rsidTr="00640F94">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F8030E" w14:textId="77777777" w:rsidR="00640F94" w:rsidRDefault="00640F9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A0906" w14:textId="77777777" w:rsidR="00640F94" w:rsidRDefault="00640F9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91C53" w14:textId="77777777" w:rsidR="00640F94" w:rsidRDefault="00640F9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C</w:t>
            </w: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05A44" w14:textId="77777777" w:rsidR="00640F94" w:rsidRDefault="00640F9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D</w:t>
            </w:r>
          </w:p>
        </w:tc>
      </w:tr>
      <w:tr w:rsidR="00640F94" w14:paraId="780D25BE" w14:textId="77777777" w:rsidTr="00640F94">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AABC2" w14:textId="77777777" w:rsidR="00640F94" w:rsidRDefault="00640F94">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 xml:space="preserve">Attiecīgā ES tiesību akta panta numurs (uzskaitot katru tiesību akta </w:t>
            </w:r>
            <w:r>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C0E8A" w14:textId="77777777" w:rsidR="00640F94" w:rsidRDefault="00640F94">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68E89"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A ailē minētās ES tiesību akta vienības tiek pārņemtas vai ieviestas pilnībā vai daļēji.</w:t>
            </w:r>
          </w:p>
          <w:p w14:paraId="0A6705C6"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2D5534E7" w14:textId="77777777" w:rsidR="00640F94" w:rsidRDefault="00640F94">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Norāda institūciju, kas ir atbildīga par šo saistību izpildi pilnībā</w:t>
            </w: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B4FB2"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508D27F8"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projekts satur stingrākas prasības nekā attiecīgais ES tiesību akts, – norāda pamatojumu un samērīgumu.</w:t>
            </w:r>
          </w:p>
          <w:p w14:paraId="524339CC"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40F94" w14:paraId="2491689A" w14:textId="77777777" w:rsidTr="00640F94">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DD3AD"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E4BD2" w14:textId="77777777" w:rsidR="00640F94" w:rsidRDefault="00640F94">
            <w:pPr>
              <w:spacing w:after="0" w:line="240" w:lineRule="auto"/>
              <w:contextualSpacing/>
              <w:jc w:val="center"/>
              <w:rPr>
                <w:rFonts w:ascii="Times New Roman" w:hAnsi="Times New Roman"/>
                <w:iCs/>
                <w:color w:val="000000"/>
                <w:sz w:val="24"/>
                <w:szCs w:val="24"/>
              </w:rPr>
            </w:pPr>
            <w:r>
              <w:rPr>
                <w:rFonts w:ascii="Times New Roman" w:hAnsi="Times New Roman"/>
                <w:iCs/>
                <w:sz w:val="24"/>
                <w:szCs w:val="24"/>
              </w:rPr>
              <w:t>Vispārīga atsauce noteikumu projektā ietvertajā grozījumā</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8F8510" w14:textId="77777777" w:rsidR="00640F94" w:rsidRDefault="00640F94">
            <w:pPr>
              <w:spacing w:after="0" w:line="240" w:lineRule="auto"/>
              <w:contextualSpacing/>
              <w:jc w:val="center"/>
              <w:rPr>
                <w:rFonts w:ascii="Times New Roman" w:hAnsi="Times New Roman"/>
                <w:b/>
                <w:bCs/>
                <w:i/>
                <w:iCs/>
                <w:color w:val="000000"/>
                <w:sz w:val="24"/>
                <w:szCs w:val="24"/>
              </w:rPr>
            </w:pPr>
            <w:r>
              <w:rPr>
                <w:rFonts w:ascii="Times New Roman" w:hAnsi="Times New Roman"/>
                <w:b/>
                <w:bCs/>
                <w:i/>
                <w:iCs/>
                <w:color w:val="000000"/>
                <w:sz w:val="24"/>
                <w:szCs w:val="24"/>
              </w:rPr>
              <w:t>Ieviesta pilnībā</w:t>
            </w: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0A57B" w14:textId="77777777" w:rsidR="00640F94" w:rsidRDefault="00640F94">
            <w:pPr>
              <w:spacing w:after="0" w:line="240" w:lineRule="auto"/>
              <w:contextualSpacing/>
              <w:jc w:val="center"/>
              <w:rPr>
                <w:rFonts w:ascii="Times New Roman" w:hAnsi="Times New Roman"/>
                <w:b/>
                <w:bCs/>
                <w:i/>
                <w:iCs/>
                <w:sz w:val="24"/>
                <w:szCs w:val="24"/>
              </w:rPr>
            </w:pPr>
            <w:r>
              <w:rPr>
                <w:rFonts w:ascii="Times New Roman" w:hAnsi="Times New Roman"/>
                <w:b/>
                <w:bCs/>
                <w:i/>
                <w:iCs/>
                <w:sz w:val="24"/>
                <w:szCs w:val="24"/>
              </w:rPr>
              <w:t>Paredz stingrākas prasības</w:t>
            </w:r>
          </w:p>
          <w:p w14:paraId="5E094463" w14:textId="77777777" w:rsidR="00640F94" w:rsidRDefault="00640F94">
            <w:pPr>
              <w:spacing w:after="0" w:line="240" w:lineRule="auto"/>
              <w:contextualSpacing/>
              <w:rPr>
                <w:rFonts w:ascii="Times New Roman" w:hAnsi="Times New Roman"/>
                <w:bCs/>
                <w:sz w:val="24"/>
                <w:szCs w:val="24"/>
              </w:rPr>
            </w:pPr>
            <w:r>
              <w:rPr>
                <w:rFonts w:ascii="Times New Roman" w:hAnsi="Times New Roman"/>
                <w:sz w:val="24"/>
                <w:szCs w:val="24"/>
              </w:rPr>
              <w:t xml:space="preserve">Dalībvalsts atbilstoši programmas mērķiem var </w:t>
            </w:r>
            <w:r>
              <w:rPr>
                <w:rFonts w:ascii="Times New Roman" w:hAnsi="Times New Roman"/>
                <w:sz w:val="24"/>
                <w:szCs w:val="24"/>
              </w:rPr>
              <w:lastRenderedPageBreak/>
              <w:t xml:space="preserve">noteikt arī stingrākas prasības attiecībā uz Komisijas regulā Nr. 1407/2013 pieļaujamo finansējuma apmēru izmaksām, kuras atbalsta saskaņā ar šo regulu, vienlaikus nenonākot pretrunā ar šajā regulā noteikto. </w:t>
            </w:r>
            <w:r>
              <w:rPr>
                <w:rFonts w:ascii="Times New Roman" w:hAnsi="Times New Roman"/>
                <w:bCs/>
                <w:sz w:val="24"/>
                <w:szCs w:val="24"/>
              </w:rPr>
              <w:t xml:space="preserve">Šajā gadījumā programmas izstrādātājs, lai ar programmas mērķiem salāgotu komersantam sniedzamo finansējuma apmēru izmaksu segšanai, ko sniedz saskaņā ar Komisijas regulas Nr. 1407/2013, ir paredzējis un faktiski noteicis konkrētu atbalsta intensitāti šīm izmaksām. Vienlaikus ar šiem grozījumiem paredzot piemērot komersantiem 30 % atbalsta intensitāti izmaksām, kuras sedz saskaņā ar šo regulu, tiks ievērota MK noteikumos Nr. 506 iekļautā norma, kas nosaka maksimālo </w:t>
            </w:r>
            <w:proofErr w:type="spellStart"/>
            <w:r>
              <w:rPr>
                <w:rFonts w:ascii="Times New Roman" w:hAnsi="Times New Roman"/>
                <w:bCs/>
                <w:sz w:val="24"/>
                <w:szCs w:val="24"/>
              </w:rPr>
              <w:t>robežsummu</w:t>
            </w:r>
            <w:proofErr w:type="spellEnd"/>
            <w:r>
              <w:rPr>
                <w:rFonts w:ascii="Times New Roman" w:hAnsi="Times New Roman"/>
                <w:bCs/>
                <w:sz w:val="24"/>
                <w:szCs w:val="24"/>
              </w:rPr>
              <w:t>, kuru drīkst sniegt viena vienota komersanta līmenī.</w:t>
            </w:r>
          </w:p>
        </w:tc>
      </w:tr>
      <w:tr w:rsidR="00640F94" w14:paraId="60DB2BAD" w14:textId="77777777" w:rsidTr="00640F94">
        <w:tc>
          <w:tcPr>
            <w:tcW w:w="50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69F3A" w14:textId="77777777" w:rsidR="00640F94" w:rsidRDefault="00640F94">
            <w:pPr>
              <w:pStyle w:val="naiskr"/>
              <w:spacing w:before="0" w:beforeAutospacing="0" w:after="0" w:afterAutospacing="0" w:line="256" w:lineRule="auto"/>
              <w:contextualSpacing/>
              <w:rPr>
                <w:i/>
                <w:color w:val="000000"/>
                <w:lang w:eastAsia="en-US"/>
              </w:rPr>
            </w:pPr>
            <w:r>
              <w:rPr>
                <w:color w:val="000000"/>
                <w:lang w:eastAsia="en-US"/>
              </w:rPr>
              <w:lastRenderedPageBreak/>
              <w:t>Cita informācija</w:t>
            </w:r>
          </w:p>
        </w:tc>
        <w:tc>
          <w:tcPr>
            <w:tcW w:w="43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7789E" w14:textId="77777777" w:rsidR="00640F94" w:rsidRDefault="00640F9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Nav</w:t>
            </w:r>
          </w:p>
        </w:tc>
      </w:tr>
    </w:tbl>
    <w:p w14:paraId="53276370" w14:textId="77777777" w:rsidR="00640F94" w:rsidRDefault="00640F94" w:rsidP="00640F94">
      <w:pPr>
        <w:spacing w:after="0" w:line="240" w:lineRule="auto"/>
        <w:contextualSpacing/>
        <w:rPr>
          <w:rFonts w:ascii="Times New Roman" w:hAnsi="Times New Roman"/>
          <w:sz w:val="24"/>
          <w:szCs w:val="24"/>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3261"/>
        <w:gridCol w:w="5642"/>
      </w:tblGrid>
      <w:tr w:rsidR="00640F94" w14:paraId="17E5EB58" w14:textId="77777777" w:rsidTr="00640F94">
        <w:tc>
          <w:tcPr>
            <w:tcW w:w="9326" w:type="dxa"/>
            <w:gridSpan w:val="3"/>
            <w:tcBorders>
              <w:top w:val="single" w:sz="4" w:space="0" w:color="auto"/>
              <w:left w:val="single" w:sz="4" w:space="0" w:color="auto"/>
              <w:bottom w:val="single" w:sz="4" w:space="0" w:color="auto"/>
              <w:right w:val="single" w:sz="4" w:space="0" w:color="auto"/>
            </w:tcBorders>
            <w:hideMark/>
          </w:tcPr>
          <w:p w14:paraId="291EA67E" w14:textId="77777777" w:rsidR="00640F94" w:rsidRDefault="00640F94">
            <w:pPr>
              <w:spacing w:after="0" w:line="240" w:lineRule="auto"/>
              <w:contextualSpacing/>
              <w:jc w:val="center"/>
              <w:rPr>
                <w:rFonts w:ascii="Times New Roman" w:eastAsia="Times New Roman" w:hAnsi="Times New Roman"/>
                <w:b/>
                <w:sz w:val="24"/>
                <w:szCs w:val="24"/>
                <w:lang w:eastAsia="lv-LV"/>
              </w:rPr>
            </w:pPr>
            <w:r>
              <w:rPr>
                <w:rFonts w:ascii="Times New Roman" w:hAnsi="Times New Roman"/>
                <w:b/>
                <w:bCs/>
                <w:sz w:val="24"/>
                <w:szCs w:val="24"/>
              </w:rPr>
              <w:t>VI. Sabiedrības līdzdalība un komunikācijas aktivitātes</w:t>
            </w:r>
          </w:p>
        </w:tc>
      </w:tr>
      <w:tr w:rsidR="00640F94" w14:paraId="754C71CC" w14:textId="77777777" w:rsidTr="00640F94">
        <w:tc>
          <w:tcPr>
            <w:tcW w:w="426" w:type="dxa"/>
            <w:tcBorders>
              <w:top w:val="single" w:sz="4" w:space="0" w:color="auto"/>
              <w:left w:val="single" w:sz="4" w:space="0" w:color="auto"/>
              <w:bottom w:val="single" w:sz="4" w:space="0" w:color="auto"/>
              <w:right w:val="single" w:sz="4" w:space="0" w:color="auto"/>
            </w:tcBorders>
            <w:hideMark/>
          </w:tcPr>
          <w:p w14:paraId="6A8251F4"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260" w:type="dxa"/>
            <w:tcBorders>
              <w:top w:val="single" w:sz="4" w:space="0" w:color="auto"/>
              <w:left w:val="single" w:sz="4" w:space="0" w:color="auto"/>
              <w:bottom w:val="single" w:sz="4" w:space="0" w:color="auto"/>
              <w:right w:val="single" w:sz="4" w:space="0" w:color="auto"/>
            </w:tcBorders>
            <w:hideMark/>
          </w:tcPr>
          <w:p w14:paraId="248EE651"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Plānotās sabiedrības līdzdalības un komunikācijas aktivitātes saistībā ar projektu</w:t>
            </w:r>
          </w:p>
        </w:tc>
        <w:tc>
          <w:tcPr>
            <w:tcW w:w="5640" w:type="dxa"/>
            <w:tcBorders>
              <w:top w:val="single" w:sz="4" w:space="0" w:color="auto"/>
              <w:left w:val="single" w:sz="4" w:space="0" w:color="auto"/>
              <w:bottom w:val="single" w:sz="4" w:space="0" w:color="auto"/>
              <w:right w:val="single" w:sz="4" w:space="0" w:color="auto"/>
            </w:tcBorders>
            <w:hideMark/>
          </w:tcPr>
          <w:p w14:paraId="192681C0" w14:textId="77777777" w:rsidR="00640F94" w:rsidRDefault="00640F94">
            <w:pPr>
              <w:spacing w:after="0" w:line="240" w:lineRule="auto"/>
              <w:ind w:left="142" w:right="130"/>
              <w:contextualSpacing/>
              <w:jc w:val="both"/>
              <w:rPr>
                <w:rFonts w:ascii="Times New Roman" w:hAnsi="Times New Roman"/>
                <w:sz w:val="24"/>
                <w:szCs w:val="24"/>
              </w:rPr>
            </w:pPr>
            <w:r>
              <w:rPr>
                <w:rFonts w:ascii="Times New Roman" w:eastAsia="Times New Roman" w:hAnsi="Times New Roman"/>
                <w:iCs/>
                <w:color w:val="000000" w:themeColor="text1"/>
                <w:sz w:val="24"/>
                <w:szCs w:val="24"/>
                <w:lang w:eastAsia="lv-LV"/>
              </w:rPr>
              <w:t>Pēc projekta pieņemšanas Ministru kabinetā Centrālā finanšu un līgumu aģentūra nodrošinās informēšanas pasākumus.</w:t>
            </w:r>
          </w:p>
        </w:tc>
      </w:tr>
      <w:tr w:rsidR="00640F94" w14:paraId="525A759F" w14:textId="77777777" w:rsidTr="00640F94">
        <w:tc>
          <w:tcPr>
            <w:tcW w:w="426" w:type="dxa"/>
            <w:tcBorders>
              <w:top w:val="single" w:sz="4" w:space="0" w:color="auto"/>
              <w:left w:val="single" w:sz="4" w:space="0" w:color="auto"/>
              <w:bottom w:val="single" w:sz="4" w:space="0" w:color="auto"/>
              <w:right w:val="single" w:sz="4" w:space="0" w:color="auto"/>
            </w:tcBorders>
            <w:hideMark/>
          </w:tcPr>
          <w:p w14:paraId="10B69127"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260" w:type="dxa"/>
            <w:tcBorders>
              <w:top w:val="single" w:sz="4" w:space="0" w:color="auto"/>
              <w:left w:val="single" w:sz="4" w:space="0" w:color="auto"/>
              <w:bottom w:val="single" w:sz="4" w:space="0" w:color="auto"/>
              <w:right w:val="single" w:sz="4" w:space="0" w:color="auto"/>
            </w:tcBorders>
            <w:hideMark/>
          </w:tcPr>
          <w:p w14:paraId="46EB4A54"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Sabiedrības līdzdalība projekta izstrādē</w:t>
            </w:r>
          </w:p>
        </w:tc>
        <w:tc>
          <w:tcPr>
            <w:tcW w:w="5640" w:type="dxa"/>
            <w:tcBorders>
              <w:top w:val="single" w:sz="4" w:space="0" w:color="auto"/>
              <w:left w:val="single" w:sz="4" w:space="0" w:color="auto"/>
              <w:bottom w:val="single" w:sz="4" w:space="0" w:color="auto"/>
              <w:right w:val="single" w:sz="4" w:space="0" w:color="auto"/>
            </w:tcBorders>
            <w:hideMark/>
          </w:tcPr>
          <w:p w14:paraId="4B8F4518" w14:textId="77777777" w:rsidR="00640F94" w:rsidRDefault="00640F94">
            <w:pPr>
              <w:spacing w:after="0" w:line="240" w:lineRule="auto"/>
              <w:ind w:left="142" w:right="130"/>
              <w:contextualSpacing/>
              <w:jc w:val="both"/>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Sabiedrības līdzdalība netiek paredzēta sakarā ar projekta ārkārtēju steidzamību</w:t>
            </w:r>
          </w:p>
        </w:tc>
      </w:tr>
      <w:tr w:rsidR="00640F94" w14:paraId="17AEA4AF" w14:textId="77777777" w:rsidTr="00640F94">
        <w:trPr>
          <w:trHeight w:val="573"/>
        </w:trPr>
        <w:tc>
          <w:tcPr>
            <w:tcW w:w="426" w:type="dxa"/>
            <w:tcBorders>
              <w:top w:val="single" w:sz="4" w:space="0" w:color="auto"/>
              <w:left w:val="single" w:sz="4" w:space="0" w:color="auto"/>
              <w:bottom w:val="single" w:sz="4" w:space="0" w:color="auto"/>
              <w:right w:val="single" w:sz="4" w:space="0" w:color="auto"/>
            </w:tcBorders>
            <w:hideMark/>
          </w:tcPr>
          <w:p w14:paraId="735F2EAC"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260" w:type="dxa"/>
            <w:tcBorders>
              <w:top w:val="single" w:sz="4" w:space="0" w:color="auto"/>
              <w:left w:val="single" w:sz="4" w:space="0" w:color="auto"/>
              <w:bottom w:val="single" w:sz="4" w:space="0" w:color="auto"/>
              <w:right w:val="single" w:sz="4" w:space="0" w:color="auto"/>
            </w:tcBorders>
            <w:hideMark/>
          </w:tcPr>
          <w:p w14:paraId="258E7B7D"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 xml:space="preserve">Sabiedrības </w:t>
            </w:r>
            <w:r>
              <w:rPr>
                <w:rFonts w:ascii="Times New Roman" w:eastAsia="Times New Roman" w:hAnsi="Times New Roman"/>
                <w:sz w:val="24"/>
                <w:szCs w:val="24"/>
                <w:lang w:eastAsia="lv-LV"/>
              </w:rPr>
              <w:t>līdzdalības</w:t>
            </w:r>
            <w:r>
              <w:rPr>
                <w:rFonts w:ascii="Times New Roman" w:hAnsi="Times New Roman"/>
                <w:sz w:val="24"/>
                <w:szCs w:val="24"/>
              </w:rPr>
              <w:t xml:space="preserve"> rezultāti</w:t>
            </w:r>
          </w:p>
        </w:tc>
        <w:tc>
          <w:tcPr>
            <w:tcW w:w="5640" w:type="dxa"/>
            <w:tcBorders>
              <w:top w:val="single" w:sz="4" w:space="0" w:color="auto"/>
              <w:left w:val="single" w:sz="4" w:space="0" w:color="auto"/>
              <w:bottom w:val="single" w:sz="4" w:space="0" w:color="auto"/>
              <w:right w:val="single" w:sz="4" w:space="0" w:color="auto"/>
            </w:tcBorders>
            <w:hideMark/>
          </w:tcPr>
          <w:p w14:paraId="66243FC0" w14:textId="77777777" w:rsidR="00640F94" w:rsidRDefault="00640F94">
            <w:pPr>
              <w:spacing w:after="0" w:line="240" w:lineRule="auto"/>
              <w:ind w:left="142" w:right="130"/>
              <w:contextualSpacing/>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Nav</w:t>
            </w:r>
          </w:p>
        </w:tc>
      </w:tr>
      <w:tr w:rsidR="00640F94" w14:paraId="3A9675DE" w14:textId="77777777" w:rsidTr="00640F94">
        <w:trPr>
          <w:trHeight w:val="366"/>
        </w:trPr>
        <w:tc>
          <w:tcPr>
            <w:tcW w:w="426" w:type="dxa"/>
            <w:tcBorders>
              <w:top w:val="single" w:sz="4" w:space="0" w:color="auto"/>
              <w:left w:val="single" w:sz="4" w:space="0" w:color="auto"/>
              <w:bottom w:val="single" w:sz="4" w:space="0" w:color="auto"/>
              <w:right w:val="single" w:sz="4" w:space="0" w:color="auto"/>
            </w:tcBorders>
            <w:hideMark/>
          </w:tcPr>
          <w:p w14:paraId="21F091B0"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260" w:type="dxa"/>
            <w:tcBorders>
              <w:top w:val="single" w:sz="4" w:space="0" w:color="auto"/>
              <w:left w:val="single" w:sz="4" w:space="0" w:color="auto"/>
              <w:bottom w:val="single" w:sz="4" w:space="0" w:color="auto"/>
              <w:right w:val="single" w:sz="4" w:space="0" w:color="auto"/>
            </w:tcBorders>
            <w:hideMark/>
          </w:tcPr>
          <w:p w14:paraId="2511C4B0" w14:textId="77777777" w:rsidR="00640F94" w:rsidRDefault="00640F94">
            <w:pPr>
              <w:spacing w:after="0" w:line="240" w:lineRule="auto"/>
              <w:ind w:left="142" w:right="128"/>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Cita </w:t>
            </w:r>
            <w:r>
              <w:rPr>
                <w:rFonts w:ascii="Times New Roman" w:hAnsi="Times New Roman"/>
                <w:sz w:val="24"/>
                <w:szCs w:val="24"/>
              </w:rPr>
              <w:t>informācija</w:t>
            </w:r>
          </w:p>
        </w:tc>
        <w:tc>
          <w:tcPr>
            <w:tcW w:w="5640" w:type="dxa"/>
            <w:tcBorders>
              <w:top w:val="single" w:sz="4" w:space="0" w:color="auto"/>
              <w:left w:val="single" w:sz="4" w:space="0" w:color="auto"/>
              <w:bottom w:val="single" w:sz="4" w:space="0" w:color="auto"/>
              <w:right w:val="single" w:sz="4" w:space="0" w:color="auto"/>
            </w:tcBorders>
            <w:hideMark/>
          </w:tcPr>
          <w:p w14:paraId="35B34CCF" w14:textId="77777777" w:rsidR="00640F94" w:rsidRDefault="00640F94">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tbl>
      <w:tblPr>
        <w:tblpPr w:leftFromText="180" w:rightFromText="180" w:bottomFromText="160" w:vertAnchor="text" w:horzAnchor="margin" w:tblpY="296"/>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3261"/>
        <w:gridCol w:w="5617"/>
      </w:tblGrid>
      <w:tr w:rsidR="00640F94" w14:paraId="344CFF45" w14:textId="77777777" w:rsidTr="00640F94">
        <w:tc>
          <w:tcPr>
            <w:tcW w:w="9296" w:type="dxa"/>
            <w:gridSpan w:val="3"/>
            <w:tcBorders>
              <w:top w:val="single" w:sz="4" w:space="0" w:color="auto"/>
              <w:left w:val="single" w:sz="4" w:space="0" w:color="auto"/>
              <w:bottom w:val="single" w:sz="4" w:space="0" w:color="auto"/>
              <w:right w:val="single" w:sz="4" w:space="0" w:color="auto"/>
            </w:tcBorders>
            <w:hideMark/>
          </w:tcPr>
          <w:p w14:paraId="3934A93B" w14:textId="77777777" w:rsidR="00640F94" w:rsidRDefault="00640F94">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VII. Tiesību akta projekta izpildes nodrošināšana un tās ietekme uz institūcijām</w:t>
            </w:r>
          </w:p>
        </w:tc>
      </w:tr>
      <w:tr w:rsidR="00640F94" w14:paraId="60176190" w14:textId="77777777" w:rsidTr="00640F94">
        <w:trPr>
          <w:trHeight w:val="558"/>
        </w:trPr>
        <w:tc>
          <w:tcPr>
            <w:tcW w:w="421" w:type="dxa"/>
            <w:tcBorders>
              <w:top w:val="single" w:sz="4" w:space="0" w:color="auto"/>
              <w:left w:val="single" w:sz="4" w:space="0" w:color="auto"/>
              <w:bottom w:val="single" w:sz="4" w:space="0" w:color="auto"/>
              <w:right w:val="single" w:sz="4" w:space="0" w:color="auto"/>
            </w:tcBorders>
            <w:hideMark/>
          </w:tcPr>
          <w:p w14:paraId="08E9D4CF"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260" w:type="dxa"/>
            <w:tcBorders>
              <w:top w:val="single" w:sz="4" w:space="0" w:color="auto"/>
              <w:left w:val="single" w:sz="4" w:space="0" w:color="auto"/>
              <w:bottom w:val="single" w:sz="4" w:space="0" w:color="auto"/>
              <w:right w:val="single" w:sz="4" w:space="0" w:color="auto"/>
            </w:tcBorders>
            <w:hideMark/>
          </w:tcPr>
          <w:p w14:paraId="0D95BB68"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Projekta</w:t>
            </w:r>
            <w:r>
              <w:rPr>
                <w:rFonts w:ascii="Times New Roman" w:eastAsia="Times New Roman" w:hAnsi="Times New Roman"/>
                <w:sz w:val="24"/>
                <w:szCs w:val="24"/>
                <w:lang w:eastAsia="lv-LV"/>
              </w:rPr>
              <w:t xml:space="preserve"> izpildē iesaistītās institūcijas</w:t>
            </w:r>
          </w:p>
        </w:tc>
        <w:tc>
          <w:tcPr>
            <w:tcW w:w="5615" w:type="dxa"/>
            <w:tcBorders>
              <w:top w:val="single" w:sz="4" w:space="0" w:color="auto"/>
              <w:left w:val="single" w:sz="4" w:space="0" w:color="auto"/>
              <w:bottom w:val="single" w:sz="4" w:space="0" w:color="auto"/>
              <w:right w:val="single" w:sz="4" w:space="0" w:color="auto"/>
            </w:tcBorders>
            <w:hideMark/>
          </w:tcPr>
          <w:p w14:paraId="44432CB8" w14:textId="77777777" w:rsidR="00640F94" w:rsidRDefault="00640F94">
            <w:pPr>
              <w:spacing w:after="0" w:line="240" w:lineRule="auto"/>
              <w:ind w:left="142" w:right="130"/>
              <w:contextualSpacing/>
              <w:jc w:val="both"/>
              <w:rPr>
                <w:rFonts w:ascii="Times New Roman" w:hAnsi="Times New Roman"/>
                <w:sz w:val="24"/>
                <w:szCs w:val="24"/>
                <w:highlight w:val="yellow"/>
                <w:lang w:eastAsia="lv-LV"/>
              </w:rPr>
            </w:pPr>
            <w:r>
              <w:rPr>
                <w:rFonts w:ascii="Times New Roman" w:eastAsia="Times New Roman" w:hAnsi="Times New Roman"/>
                <w:iCs/>
                <w:sz w:val="24"/>
                <w:szCs w:val="24"/>
                <w:lang w:eastAsia="lv-LV"/>
              </w:rPr>
              <w:t>Ekonomikas ministrija kā Atbildīgā iestāde, Centrālā finanšu un līgumu aģentūra kā Sadarbības iestāde.</w:t>
            </w:r>
          </w:p>
        </w:tc>
      </w:tr>
      <w:tr w:rsidR="00640F94" w14:paraId="43FAC311" w14:textId="77777777" w:rsidTr="00640F94">
        <w:tc>
          <w:tcPr>
            <w:tcW w:w="421" w:type="dxa"/>
            <w:tcBorders>
              <w:top w:val="single" w:sz="4" w:space="0" w:color="auto"/>
              <w:left w:val="single" w:sz="4" w:space="0" w:color="auto"/>
              <w:bottom w:val="single" w:sz="4" w:space="0" w:color="auto"/>
              <w:right w:val="single" w:sz="4" w:space="0" w:color="auto"/>
            </w:tcBorders>
            <w:hideMark/>
          </w:tcPr>
          <w:p w14:paraId="7C06BF87"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260" w:type="dxa"/>
            <w:tcBorders>
              <w:top w:val="single" w:sz="4" w:space="0" w:color="auto"/>
              <w:left w:val="single" w:sz="4" w:space="0" w:color="auto"/>
              <w:bottom w:val="single" w:sz="4" w:space="0" w:color="auto"/>
              <w:right w:val="single" w:sz="4" w:space="0" w:color="auto"/>
            </w:tcBorders>
            <w:hideMark/>
          </w:tcPr>
          <w:p w14:paraId="29EEA5AA"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w:t>
            </w:r>
            <w:r>
              <w:rPr>
                <w:rFonts w:ascii="Times New Roman" w:hAnsi="Times New Roman"/>
                <w:bCs/>
                <w:sz w:val="24"/>
                <w:szCs w:val="24"/>
              </w:rPr>
              <w:t>funkcijām</w:t>
            </w:r>
            <w:r>
              <w:rPr>
                <w:rFonts w:ascii="Times New Roman" w:eastAsia="Times New Roman" w:hAnsi="Times New Roman"/>
                <w:sz w:val="24"/>
                <w:szCs w:val="24"/>
                <w:lang w:eastAsia="lv-LV"/>
              </w:rPr>
              <w:t xml:space="preserve"> un institucionālo struktūru.</w:t>
            </w:r>
          </w:p>
          <w:p w14:paraId="43563BE8"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Jaunu </w:t>
            </w:r>
            <w:r>
              <w:rPr>
                <w:rFonts w:ascii="Times New Roman" w:hAnsi="Times New Roman"/>
                <w:bCs/>
                <w:sz w:val="24"/>
                <w:szCs w:val="24"/>
              </w:rPr>
              <w:t>institūciju</w:t>
            </w:r>
            <w:r>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615" w:type="dxa"/>
            <w:tcBorders>
              <w:top w:val="single" w:sz="4" w:space="0" w:color="auto"/>
              <w:left w:val="single" w:sz="4" w:space="0" w:color="auto"/>
              <w:bottom w:val="single" w:sz="4" w:space="0" w:color="auto"/>
              <w:right w:val="single" w:sz="4" w:space="0" w:color="auto"/>
            </w:tcBorders>
            <w:hideMark/>
          </w:tcPr>
          <w:p w14:paraId="5E450241" w14:textId="77777777" w:rsidR="00640F94" w:rsidRDefault="00640F94">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 plānota jaunu institūciju izveide, esošu institūciju likvidācija vai reorganizācija.</w:t>
            </w:r>
          </w:p>
          <w:p w14:paraId="187462B0" w14:textId="77777777" w:rsidR="00640F94" w:rsidRDefault="00640F94">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hAnsi="Times New Roman"/>
                <w:iCs/>
                <w:sz w:val="24"/>
                <w:szCs w:val="24"/>
              </w:rPr>
              <w:t xml:space="preserve">Noteikumu projekta izpilde tiks </w:t>
            </w:r>
            <w:r>
              <w:rPr>
                <w:rFonts w:ascii="Times New Roman" w:eastAsia="Times New Roman" w:hAnsi="Times New Roman"/>
                <w:sz w:val="24"/>
                <w:szCs w:val="24"/>
                <w:lang w:eastAsia="lv-LV"/>
              </w:rPr>
              <w:t xml:space="preserve">organizēta esošo </w:t>
            </w:r>
            <w:r>
              <w:rPr>
                <w:rFonts w:ascii="Times New Roman" w:eastAsia="Times New Roman" w:hAnsi="Times New Roman"/>
                <w:iCs/>
                <w:sz w:val="24"/>
                <w:szCs w:val="24"/>
                <w:lang w:eastAsia="lv-LV"/>
              </w:rPr>
              <w:t>cilvēkresursu</w:t>
            </w:r>
            <w:r>
              <w:rPr>
                <w:rFonts w:ascii="Times New Roman" w:eastAsia="Times New Roman" w:hAnsi="Times New Roman"/>
                <w:sz w:val="24"/>
                <w:szCs w:val="24"/>
                <w:lang w:eastAsia="lv-LV"/>
              </w:rPr>
              <w:t xml:space="preserve"> ietvaros.</w:t>
            </w:r>
          </w:p>
        </w:tc>
      </w:tr>
      <w:tr w:rsidR="00640F94" w14:paraId="4994A9E0" w14:textId="77777777" w:rsidTr="00640F94">
        <w:tc>
          <w:tcPr>
            <w:tcW w:w="421" w:type="dxa"/>
            <w:tcBorders>
              <w:top w:val="single" w:sz="4" w:space="0" w:color="auto"/>
              <w:left w:val="single" w:sz="4" w:space="0" w:color="auto"/>
              <w:bottom w:val="single" w:sz="4" w:space="0" w:color="auto"/>
              <w:right w:val="single" w:sz="4" w:space="0" w:color="auto"/>
            </w:tcBorders>
            <w:hideMark/>
          </w:tcPr>
          <w:p w14:paraId="061A47CF" w14:textId="77777777" w:rsidR="00640F94" w:rsidRDefault="00640F94">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260" w:type="dxa"/>
            <w:tcBorders>
              <w:top w:val="single" w:sz="4" w:space="0" w:color="auto"/>
              <w:left w:val="single" w:sz="4" w:space="0" w:color="auto"/>
              <w:bottom w:val="single" w:sz="4" w:space="0" w:color="auto"/>
              <w:right w:val="single" w:sz="4" w:space="0" w:color="auto"/>
            </w:tcBorders>
            <w:hideMark/>
          </w:tcPr>
          <w:p w14:paraId="39418181" w14:textId="77777777" w:rsidR="00640F94" w:rsidRDefault="00640F94">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615" w:type="dxa"/>
            <w:tcBorders>
              <w:top w:val="single" w:sz="4" w:space="0" w:color="auto"/>
              <w:left w:val="single" w:sz="4" w:space="0" w:color="auto"/>
              <w:bottom w:val="single" w:sz="4" w:space="0" w:color="auto"/>
              <w:right w:val="single" w:sz="4" w:space="0" w:color="auto"/>
            </w:tcBorders>
            <w:hideMark/>
          </w:tcPr>
          <w:p w14:paraId="2111F946" w14:textId="77777777" w:rsidR="00640F94" w:rsidRDefault="00640F94">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Nav</w:t>
            </w:r>
          </w:p>
        </w:tc>
      </w:tr>
    </w:tbl>
    <w:p w14:paraId="6745E019" w14:textId="77777777" w:rsidR="00640F94" w:rsidRDefault="00640F94" w:rsidP="00640F94">
      <w:pPr>
        <w:tabs>
          <w:tab w:val="left" w:pos="7655"/>
        </w:tabs>
        <w:spacing w:after="0" w:line="240" w:lineRule="auto"/>
        <w:contextualSpacing/>
        <w:jc w:val="both"/>
        <w:rPr>
          <w:rFonts w:ascii="Times New Roman" w:hAnsi="Times New Roman"/>
          <w:bCs/>
          <w:sz w:val="24"/>
          <w:szCs w:val="24"/>
        </w:rPr>
      </w:pPr>
    </w:p>
    <w:p w14:paraId="7EB3043B" w14:textId="77777777" w:rsidR="00640F94" w:rsidRDefault="00640F94" w:rsidP="00640F94">
      <w:pPr>
        <w:tabs>
          <w:tab w:val="right" w:pos="9071"/>
        </w:tabs>
        <w:spacing w:after="0" w:line="240" w:lineRule="auto"/>
        <w:contextualSpacing/>
        <w:jc w:val="both"/>
        <w:rPr>
          <w:rFonts w:ascii="Times New Roman" w:eastAsia="Times New Roman" w:hAnsi="Times New Roman"/>
          <w:sz w:val="24"/>
          <w:szCs w:val="24"/>
          <w:lang w:eastAsia="lv-LV"/>
        </w:rPr>
      </w:pPr>
    </w:p>
    <w:p w14:paraId="34B653E1" w14:textId="77777777" w:rsidR="00640F94" w:rsidRDefault="00640F94" w:rsidP="00640F94">
      <w:pPr>
        <w:tabs>
          <w:tab w:val="right" w:pos="9071"/>
        </w:tabs>
        <w:spacing w:after="0" w:line="240" w:lineRule="auto"/>
        <w:contextualSpacing/>
        <w:jc w:val="both"/>
        <w:rPr>
          <w:rFonts w:ascii="Times New Roman" w:eastAsia="Times New Roman" w:hAnsi="Times New Roman"/>
          <w:sz w:val="24"/>
          <w:szCs w:val="24"/>
          <w:lang w:eastAsia="lv-LV"/>
        </w:rPr>
      </w:pPr>
    </w:p>
    <w:p w14:paraId="51BCAFBC" w14:textId="77777777" w:rsidR="00640F94" w:rsidRDefault="00640F94" w:rsidP="00640F94">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Ekonomikas ministrs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rPr>
        <w:t>J. </w:t>
      </w:r>
      <w:proofErr w:type="spellStart"/>
      <w:r>
        <w:rPr>
          <w:rFonts w:ascii="Times New Roman" w:hAnsi="Times New Roman"/>
          <w:color w:val="000000"/>
          <w:sz w:val="24"/>
          <w:szCs w:val="24"/>
        </w:rPr>
        <w:t>Vitenbergs</w:t>
      </w:r>
      <w:proofErr w:type="spellEnd"/>
    </w:p>
    <w:p w14:paraId="4EAEA6B3" w14:textId="77777777" w:rsidR="00640F94" w:rsidRDefault="00640F94" w:rsidP="00640F94">
      <w:pPr>
        <w:tabs>
          <w:tab w:val="left" w:pos="7230"/>
          <w:tab w:val="right" w:pos="9071"/>
        </w:tabs>
        <w:spacing w:after="0" w:line="240" w:lineRule="auto"/>
        <w:contextualSpacing/>
        <w:jc w:val="both"/>
        <w:rPr>
          <w:rFonts w:ascii="Times New Roman" w:hAnsi="Times New Roman"/>
          <w:color w:val="000000"/>
          <w:sz w:val="24"/>
          <w:szCs w:val="24"/>
        </w:rPr>
      </w:pPr>
    </w:p>
    <w:p w14:paraId="1D3DEDFB" w14:textId="77777777" w:rsidR="00640F94" w:rsidRDefault="00640F94" w:rsidP="00640F94">
      <w:pPr>
        <w:tabs>
          <w:tab w:val="left" w:pos="7230"/>
          <w:tab w:val="right" w:pos="9071"/>
        </w:tabs>
        <w:spacing w:after="0" w:line="240" w:lineRule="auto"/>
        <w:contextualSpacing/>
        <w:jc w:val="both"/>
        <w:rPr>
          <w:rFonts w:ascii="Times New Roman" w:hAnsi="Times New Roman"/>
          <w:color w:val="000000"/>
          <w:sz w:val="24"/>
          <w:szCs w:val="24"/>
        </w:rPr>
      </w:pPr>
    </w:p>
    <w:p w14:paraId="6BDF7E90" w14:textId="77777777" w:rsidR="00640F94" w:rsidRDefault="00640F94" w:rsidP="00640F94">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Vīza:</w:t>
      </w:r>
    </w:p>
    <w:p w14:paraId="780745FB" w14:textId="77777777" w:rsidR="00640F94" w:rsidRDefault="00640F94" w:rsidP="00640F94">
      <w:pPr>
        <w:tabs>
          <w:tab w:val="left" w:pos="7230"/>
        </w:tabs>
        <w:spacing w:after="0" w:line="240" w:lineRule="auto"/>
        <w:contextualSpacing/>
        <w:jc w:val="both"/>
        <w:rPr>
          <w:rFonts w:ascii="Times New Roman" w:eastAsia="PMingLiU" w:hAnsi="Times New Roman"/>
          <w:bCs/>
          <w:sz w:val="24"/>
          <w:szCs w:val="24"/>
          <w:lang w:eastAsia="ja-JP"/>
        </w:rPr>
      </w:pPr>
      <w:bookmarkStart w:id="6" w:name="_Hlk56156300"/>
      <w:r>
        <w:rPr>
          <w:rFonts w:ascii="Times New Roman" w:eastAsia="PMingLiU" w:hAnsi="Times New Roman"/>
          <w:bCs/>
          <w:sz w:val="24"/>
          <w:szCs w:val="24"/>
          <w:lang w:eastAsia="ja-JP"/>
        </w:rPr>
        <w:t>Valsts sekretāra vietā –</w:t>
      </w:r>
    </w:p>
    <w:p w14:paraId="4A14AF23" w14:textId="77777777" w:rsidR="00640F94" w:rsidRDefault="00640F94" w:rsidP="00640F94">
      <w:pPr>
        <w:tabs>
          <w:tab w:val="left" w:pos="7230"/>
        </w:tabs>
        <w:spacing w:after="0" w:line="240" w:lineRule="auto"/>
        <w:contextualSpacing/>
        <w:jc w:val="both"/>
        <w:rPr>
          <w:rFonts w:ascii="Times New Roman" w:eastAsia="Times New Roman" w:hAnsi="Times New Roman"/>
          <w:sz w:val="24"/>
          <w:szCs w:val="24"/>
          <w:lang w:eastAsia="lv-LV"/>
        </w:rPr>
      </w:pPr>
      <w:r>
        <w:rPr>
          <w:rFonts w:ascii="Times New Roman" w:eastAsia="PMingLiU" w:hAnsi="Times New Roman"/>
          <w:bCs/>
          <w:sz w:val="24"/>
          <w:szCs w:val="24"/>
          <w:lang w:eastAsia="ja-JP"/>
        </w:rPr>
        <w:t>Valsts sekretāra vietniece</w:t>
      </w:r>
      <w:r>
        <w:rPr>
          <w:rFonts w:ascii="Times New Roman" w:eastAsia="PMingLiU" w:hAnsi="Times New Roman"/>
          <w:bCs/>
          <w:sz w:val="24"/>
          <w:szCs w:val="24"/>
          <w:lang w:eastAsia="ja-JP"/>
        </w:rPr>
        <w:tab/>
        <w:t>Z. Liepiņa</w:t>
      </w:r>
      <w:bookmarkEnd w:id="6"/>
    </w:p>
    <w:p w14:paraId="168F9C6C" w14:textId="77777777" w:rsidR="00640F94" w:rsidRDefault="00640F94" w:rsidP="00640F94">
      <w:pPr>
        <w:tabs>
          <w:tab w:val="right" w:pos="9071"/>
        </w:tabs>
        <w:spacing w:after="0" w:line="240" w:lineRule="auto"/>
        <w:contextualSpacing/>
        <w:jc w:val="both"/>
        <w:rPr>
          <w:rFonts w:ascii="Times New Roman" w:hAnsi="Times New Roman"/>
          <w:color w:val="000000"/>
          <w:sz w:val="20"/>
          <w:szCs w:val="20"/>
        </w:rPr>
      </w:pPr>
    </w:p>
    <w:p w14:paraId="1E709262" w14:textId="77777777" w:rsidR="00640F94" w:rsidRDefault="00640F94" w:rsidP="00640F94">
      <w:pPr>
        <w:tabs>
          <w:tab w:val="right" w:pos="9071"/>
        </w:tabs>
        <w:spacing w:after="0" w:line="240" w:lineRule="auto"/>
        <w:contextualSpacing/>
        <w:jc w:val="both"/>
        <w:rPr>
          <w:rFonts w:ascii="Times New Roman" w:hAnsi="Times New Roman"/>
          <w:color w:val="000000"/>
          <w:sz w:val="20"/>
          <w:szCs w:val="20"/>
        </w:rPr>
      </w:pPr>
    </w:p>
    <w:p w14:paraId="5FAC8773" w14:textId="77777777" w:rsidR="00640F94" w:rsidRDefault="00640F94" w:rsidP="00640F94">
      <w:pPr>
        <w:tabs>
          <w:tab w:val="right" w:pos="9071"/>
        </w:tabs>
        <w:spacing w:after="0" w:line="240" w:lineRule="auto"/>
        <w:contextualSpacing/>
        <w:jc w:val="both"/>
        <w:rPr>
          <w:rFonts w:ascii="Times New Roman" w:hAnsi="Times New Roman"/>
          <w:color w:val="000000"/>
          <w:sz w:val="20"/>
          <w:szCs w:val="20"/>
        </w:rPr>
      </w:pPr>
    </w:p>
    <w:p w14:paraId="78D53C69" w14:textId="77777777" w:rsidR="00640F94" w:rsidRDefault="00640F94" w:rsidP="00640F94">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 67013107</w:t>
      </w:r>
    </w:p>
    <w:p w14:paraId="277B8F18" w14:textId="77777777" w:rsidR="00640F94" w:rsidRDefault="00640F94" w:rsidP="00640F94">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Dace.Belajeva@em.gov.lv</w:t>
      </w:r>
    </w:p>
    <w:p w14:paraId="4388254F" w14:textId="51C1BB8A" w:rsidR="008F36E1" w:rsidRPr="00640F94" w:rsidRDefault="008F36E1" w:rsidP="00640F94"/>
    <w:sectPr w:rsidR="008F36E1" w:rsidRPr="00640F94" w:rsidSect="00390D17">
      <w:headerReference w:type="default" r:id="rId8"/>
      <w:footerReference w:type="default" r:id="rId9"/>
      <w:footerReference w:type="first" r:id="rId10"/>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75C21A37"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6777AC">
      <w:rPr>
        <w:rFonts w:ascii="Times New Roman" w:eastAsia="Times New Roman" w:hAnsi="Times New Roman"/>
        <w:sz w:val="20"/>
        <w:szCs w:val="20"/>
        <w:lang w:eastAsia="lv-LV"/>
      </w:rPr>
      <w:t>1</w:t>
    </w:r>
    <w:r w:rsidR="001A3CC1">
      <w:rPr>
        <w:rFonts w:ascii="Times New Roman" w:eastAsia="Times New Roman" w:hAnsi="Times New Roman"/>
        <w:sz w:val="20"/>
        <w:szCs w:val="20"/>
        <w:lang w:eastAsia="lv-LV"/>
      </w:rPr>
      <w:t>9</w:t>
    </w:r>
    <w:r w:rsidR="00F6617D">
      <w:rPr>
        <w:rFonts w:ascii="Times New Roman" w:eastAsia="Times New Roman" w:hAnsi="Times New Roman"/>
        <w:sz w:val="20"/>
        <w:szCs w:val="20"/>
        <w:lang w:eastAsia="lv-LV"/>
      </w:rPr>
      <w:t>11</w:t>
    </w:r>
    <w:r w:rsidR="008A0A82">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w:t>
    </w:r>
    <w:r w:rsidR="00F6617D">
      <w:rPr>
        <w:rFonts w:ascii="Times New Roman" w:eastAsia="Times New Roman" w:hAnsi="Times New Roman"/>
        <w:sz w:val="20"/>
        <w:szCs w:val="20"/>
        <w:lang w:eastAsia="lv-LV"/>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4829A1FD"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w:t>
    </w:r>
    <w:r w:rsidR="00B0168F">
      <w:rPr>
        <w:rFonts w:ascii="Times New Roman" w:eastAsia="Times New Roman" w:hAnsi="Times New Roman"/>
        <w:sz w:val="20"/>
        <w:szCs w:val="20"/>
        <w:lang w:eastAsia="lv-LV"/>
      </w:rPr>
      <w:t>M</w:t>
    </w:r>
    <w:r>
      <w:rPr>
        <w:rFonts w:ascii="Times New Roman" w:eastAsia="Times New Roman" w:hAnsi="Times New Roman"/>
        <w:sz w:val="20"/>
        <w:szCs w:val="20"/>
        <w:lang w:eastAsia="lv-LV"/>
      </w:rPr>
      <w:t>Anot_</w:t>
    </w:r>
    <w:r w:rsidR="006777AC">
      <w:rPr>
        <w:rFonts w:ascii="Times New Roman" w:eastAsia="Times New Roman" w:hAnsi="Times New Roman"/>
        <w:sz w:val="20"/>
        <w:szCs w:val="20"/>
        <w:lang w:eastAsia="lv-LV"/>
      </w:rPr>
      <w:t>1</w:t>
    </w:r>
    <w:r w:rsidR="001A3CC1">
      <w:rPr>
        <w:rFonts w:ascii="Times New Roman" w:eastAsia="Times New Roman" w:hAnsi="Times New Roman"/>
        <w:sz w:val="20"/>
        <w:szCs w:val="20"/>
        <w:lang w:eastAsia="lv-LV"/>
      </w:rPr>
      <w:t>9</w:t>
    </w:r>
    <w:r w:rsidR="00F6617D">
      <w:rPr>
        <w:rFonts w:ascii="Times New Roman" w:eastAsia="Times New Roman" w:hAnsi="Times New Roman"/>
        <w:sz w:val="20"/>
        <w:szCs w:val="20"/>
        <w:lang w:eastAsia="lv-LV"/>
      </w:rPr>
      <w:t>11</w:t>
    </w:r>
    <w:r w:rsidR="00B830CA">
      <w:rPr>
        <w:rFonts w:ascii="Times New Roman" w:eastAsia="Times New Roman" w:hAnsi="Times New Roman"/>
        <w:sz w:val="20"/>
        <w:szCs w:val="20"/>
        <w:lang w:eastAsia="lv-LV"/>
      </w:rPr>
      <w:t>20</w:t>
    </w:r>
    <w:r w:rsidR="00B23027">
      <w:rPr>
        <w:rFonts w:ascii="Times New Roman" w:eastAsia="Times New Roman" w:hAnsi="Times New Roman"/>
        <w:sz w:val="20"/>
        <w:szCs w:val="20"/>
        <w:lang w:eastAsia="lv-LV"/>
      </w:rPr>
      <w:t>_Groz5</w:t>
    </w:r>
    <w:r w:rsidR="00F6617D">
      <w:rPr>
        <w:rFonts w:ascii="Times New Roman" w:eastAsia="Times New Roman" w:hAnsi="Times New Roman"/>
        <w:sz w:val="20"/>
        <w:szCs w:val="20"/>
        <w:lang w:eastAsia="lv-LV"/>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D310BC4"/>
    <w:multiLevelType w:val="hybridMultilevel"/>
    <w:tmpl w:val="99C0F31A"/>
    <w:lvl w:ilvl="0" w:tplc="E86E5AB8">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8"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3"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6"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8"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0"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3"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4"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5"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5"/>
  </w:num>
  <w:num w:numId="2">
    <w:abstractNumId w:val="24"/>
  </w:num>
  <w:num w:numId="3">
    <w:abstractNumId w:val="17"/>
  </w:num>
  <w:num w:numId="4">
    <w:abstractNumId w:val="20"/>
  </w:num>
  <w:num w:numId="5">
    <w:abstractNumId w:val="1"/>
  </w:num>
  <w:num w:numId="6">
    <w:abstractNumId w:val="3"/>
  </w:num>
  <w:num w:numId="7">
    <w:abstractNumId w:val="19"/>
  </w:num>
  <w:num w:numId="8">
    <w:abstractNumId w:val="2"/>
  </w:num>
  <w:num w:numId="9">
    <w:abstractNumId w:val="26"/>
  </w:num>
  <w:num w:numId="10">
    <w:abstractNumId w:val="6"/>
  </w:num>
  <w:num w:numId="11">
    <w:abstractNumId w:val="27"/>
  </w:num>
  <w:num w:numId="12">
    <w:abstractNumId w:val="21"/>
  </w:num>
  <w:num w:numId="13">
    <w:abstractNumId w:val="18"/>
  </w:num>
  <w:num w:numId="14">
    <w:abstractNumId w:val="10"/>
  </w:num>
  <w:num w:numId="15">
    <w:abstractNumId w:val="11"/>
  </w:num>
  <w:num w:numId="16">
    <w:abstractNumId w:val="9"/>
  </w:num>
  <w:num w:numId="17">
    <w:abstractNumId w:val="14"/>
  </w:num>
  <w:num w:numId="18">
    <w:abstractNumId w:val="16"/>
  </w:num>
  <w:num w:numId="19">
    <w:abstractNumId w:val="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23"/>
  </w:num>
  <w:num w:numId="25">
    <w:abstractNumId w:val="13"/>
  </w:num>
  <w:num w:numId="26">
    <w:abstractNumId w:val="7"/>
  </w:num>
  <w:num w:numId="27">
    <w:abstractNumId w:val="15"/>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2C11"/>
    <w:rsid w:val="000133EB"/>
    <w:rsid w:val="000158CD"/>
    <w:rsid w:val="00024CCD"/>
    <w:rsid w:val="00024D1B"/>
    <w:rsid w:val="0003025E"/>
    <w:rsid w:val="00031648"/>
    <w:rsid w:val="000318AE"/>
    <w:rsid w:val="00031BF2"/>
    <w:rsid w:val="000357F1"/>
    <w:rsid w:val="0004161D"/>
    <w:rsid w:val="0004420B"/>
    <w:rsid w:val="00045170"/>
    <w:rsid w:val="0004745F"/>
    <w:rsid w:val="00050973"/>
    <w:rsid w:val="00054C54"/>
    <w:rsid w:val="000617F8"/>
    <w:rsid w:val="00064A63"/>
    <w:rsid w:val="00072F1D"/>
    <w:rsid w:val="00074096"/>
    <w:rsid w:val="00075FD5"/>
    <w:rsid w:val="00077241"/>
    <w:rsid w:val="00077E7D"/>
    <w:rsid w:val="00082788"/>
    <w:rsid w:val="00087987"/>
    <w:rsid w:val="000A12B9"/>
    <w:rsid w:val="000A5B3A"/>
    <w:rsid w:val="000A701C"/>
    <w:rsid w:val="000B4E36"/>
    <w:rsid w:val="000B4FA8"/>
    <w:rsid w:val="000B5DE9"/>
    <w:rsid w:val="000E1202"/>
    <w:rsid w:val="000E5AA6"/>
    <w:rsid w:val="000F72AE"/>
    <w:rsid w:val="00101DB2"/>
    <w:rsid w:val="00101FC4"/>
    <w:rsid w:val="0010496B"/>
    <w:rsid w:val="00115BD6"/>
    <w:rsid w:val="0012277F"/>
    <w:rsid w:val="001243B9"/>
    <w:rsid w:val="0012675A"/>
    <w:rsid w:val="00126CD0"/>
    <w:rsid w:val="001305B9"/>
    <w:rsid w:val="001312A1"/>
    <w:rsid w:val="00147EC5"/>
    <w:rsid w:val="001518B5"/>
    <w:rsid w:val="0015517D"/>
    <w:rsid w:val="00156578"/>
    <w:rsid w:val="001576A8"/>
    <w:rsid w:val="00160574"/>
    <w:rsid w:val="00161EF9"/>
    <w:rsid w:val="00164527"/>
    <w:rsid w:val="00164E69"/>
    <w:rsid w:val="00165BFA"/>
    <w:rsid w:val="00167397"/>
    <w:rsid w:val="00176C49"/>
    <w:rsid w:val="00182C25"/>
    <w:rsid w:val="001831D1"/>
    <w:rsid w:val="001838EE"/>
    <w:rsid w:val="00196785"/>
    <w:rsid w:val="001A3CC1"/>
    <w:rsid w:val="001A67CD"/>
    <w:rsid w:val="001A6DE0"/>
    <w:rsid w:val="001B0ADF"/>
    <w:rsid w:val="001B4B60"/>
    <w:rsid w:val="001B6760"/>
    <w:rsid w:val="001B78C5"/>
    <w:rsid w:val="001C1EF8"/>
    <w:rsid w:val="001C3799"/>
    <w:rsid w:val="001C4BBF"/>
    <w:rsid w:val="001C5253"/>
    <w:rsid w:val="001C5349"/>
    <w:rsid w:val="001C58B3"/>
    <w:rsid w:val="001C6666"/>
    <w:rsid w:val="001D209B"/>
    <w:rsid w:val="001D5609"/>
    <w:rsid w:val="001D77A4"/>
    <w:rsid w:val="001E2493"/>
    <w:rsid w:val="001F0098"/>
    <w:rsid w:val="001F0F74"/>
    <w:rsid w:val="001F1876"/>
    <w:rsid w:val="001F1B7D"/>
    <w:rsid w:val="001F44B8"/>
    <w:rsid w:val="00204070"/>
    <w:rsid w:val="00210CCC"/>
    <w:rsid w:val="00211ECD"/>
    <w:rsid w:val="00214D3D"/>
    <w:rsid w:val="00216416"/>
    <w:rsid w:val="002164D8"/>
    <w:rsid w:val="002171C9"/>
    <w:rsid w:val="00220849"/>
    <w:rsid w:val="00220DF0"/>
    <w:rsid w:val="00222673"/>
    <w:rsid w:val="002247CD"/>
    <w:rsid w:val="002319EF"/>
    <w:rsid w:val="00235779"/>
    <w:rsid w:val="00242068"/>
    <w:rsid w:val="00244023"/>
    <w:rsid w:val="00244FFB"/>
    <w:rsid w:val="002577A2"/>
    <w:rsid w:val="00260151"/>
    <w:rsid w:val="00260ACA"/>
    <w:rsid w:val="002635BA"/>
    <w:rsid w:val="002668BD"/>
    <w:rsid w:val="00271CD9"/>
    <w:rsid w:val="00271E94"/>
    <w:rsid w:val="00273253"/>
    <w:rsid w:val="002733DE"/>
    <w:rsid w:val="0027659A"/>
    <w:rsid w:val="00276DA9"/>
    <w:rsid w:val="002809A6"/>
    <w:rsid w:val="00282D5F"/>
    <w:rsid w:val="00282DEF"/>
    <w:rsid w:val="00282F81"/>
    <w:rsid w:val="00287382"/>
    <w:rsid w:val="002919BA"/>
    <w:rsid w:val="002948C5"/>
    <w:rsid w:val="00294EC8"/>
    <w:rsid w:val="00297054"/>
    <w:rsid w:val="002A1C23"/>
    <w:rsid w:val="002A240F"/>
    <w:rsid w:val="002A4CFD"/>
    <w:rsid w:val="002B28B8"/>
    <w:rsid w:val="002B3172"/>
    <w:rsid w:val="002B4E1B"/>
    <w:rsid w:val="002C0301"/>
    <w:rsid w:val="002C10D5"/>
    <w:rsid w:val="002C25DA"/>
    <w:rsid w:val="002C6FC1"/>
    <w:rsid w:val="002D34F4"/>
    <w:rsid w:val="002D456C"/>
    <w:rsid w:val="002D65AE"/>
    <w:rsid w:val="002D73C4"/>
    <w:rsid w:val="002E1F44"/>
    <w:rsid w:val="002F0936"/>
    <w:rsid w:val="002F10D3"/>
    <w:rsid w:val="002F43EB"/>
    <w:rsid w:val="002F469D"/>
    <w:rsid w:val="002F4909"/>
    <w:rsid w:val="002F542C"/>
    <w:rsid w:val="002F72B3"/>
    <w:rsid w:val="00300008"/>
    <w:rsid w:val="003017AD"/>
    <w:rsid w:val="003053D5"/>
    <w:rsid w:val="00311B8E"/>
    <w:rsid w:val="003123AC"/>
    <w:rsid w:val="003141A2"/>
    <w:rsid w:val="00314236"/>
    <w:rsid w:val="00317BF1"/>
    <w:rsid w:val="00322D1B"/>
    <w:rsid w:val="003305A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87CFB"/>
    <w:rsid w:val="00390D17"/>
    <w:rsid w:val="00390E8D"/>
    <w:rsid w:val="003937F2"/>
    <w:rsid w:val="00396735"/>
    <w:rsid w:val="00397AC2"/>
    <w:rsid w:val="003A21F2"/>
    <w:rsid w:val="003A330D"/>
    <w:rsid w:val="003A3570"/>
    <w:rsid w:val="003A4A9E"/>
    <w:rsid w:val="003B2375"/>
    <w:rsid w:val="003B3ECC"/>
    <w:rsid w:val="003B5FC4"/>
    <w:rsid w:val="003B6B56"/>
    <w:rsid w:val="003C1F82"/>
    <w:rsid w:val="003C2C57"/>
    <w:rsid w:val="003D07E7"/>
    <w:rsid w:val="003D0D9E"/>
    <w:rsid w:val="003D1A95"/>
    <w:rsid w:val="003D205C"/>
    <w:rsid w:val="003D3BB6"/>
    <w:rsid w:val="003D451F"/>
    <w:rsid w:val="003D5C55"/>
    <w:rsid w:val="003E1F77"/>
    <w:rsid w:val="003E4456"/>
    <w:rsid w:val="003E5A7B"/>
    <w:rsid w:val="003E5BE7"/>
    <w:rsid w:val="003E786A"/>
    <w:rsid w:val="003F4760"/>
    <w:rsid w:val="003F5F93"/>
    <w:rsid w:val="004014EC"/>
    <w:rsid w:val="00405E29"/>
    <w:rsid w:val="0041103E"/>
    <w:rsid w:val="004111C9"/>
    <w:rsid w:val="00413694"/>
    <w:rsid w:val="00417B13"/>
    <w:rsid w:val="0042491D"/>
    <w:rsid w:val="004278AE"/>
    <w:rsid w:val="00430F31"/>
    <w:rsid w:val="00433410"/>
    <w:rsid w:val="004347DD"/>
    <w:rsid w:val="00446511"/>
    <w:rsid w:val="00452E2F"/>
    <w:rsid w:val="00453E63"/>
    <w:rsid w:val="00455AC2"/>
    <w:rsid w:val="00460FE5"/>
    <w:rsid w:val="00461544"/>
    <w:rsid w:val="004620FF"/>
    <w:rsid w:val="00462353"/>
    <w:rsid w:val="00462C50"/>
    <w:rsid w:val="00462FE7"/>
    <w:rsid w:val="00464059"/>
    <w:rsid w:val="00473A9B"/>
    <w:rsid w:val="00475884"/>
    <w:rsid w:val="004763A8"/>
    <w:rsid w:val="00482EA1"/>
    <w:rsid w:val="00483A21"/>
    <w:rsid w:val="00486698"/>
    <w:rsid w:val="004876BE"/>
    <w:rsid w:val="00487CE3"/>
    <w:rsid w:val="0049163F"/>
    <w:rsid w:val="00492592"/>
    <w:rsid w:val="004A0076"/>
    <w:rsid w:val="004A0213"/>
    <w:rsid w:val="004A2782"/>
    <w:rsid w:val="004B0E09"/>
    <w:rsid w:val="004B11BD"/>
    <w:rsid w:val="004B3904"/>
    <w:rsid w:val="004B3956"/>
    <w:rsid w:val="004C11C0"/>
    <w:rsid w:val="004C2262"/>
    <w:rsid w:val="004C2EF2"/>
    <w:rsid w:val="004C44CD"/>
    <w:rsid w:val="004C47F2"/>
    <w:rsid w:val="004C6871"/>
    <w:rsid w:val="004D0101"/>
    <w:rsid w:val="004D1D4A"/>
    <w:rsid w:val="004D393D"/>
    <w:rsid w:val="004D5A78"/>
    <w:rsid w:val="004D5E36"/>
    <w:rsid w:val="004E0872"/>
    <w:rsid w:val="004E0FE2"/>
    <w:rsid w:val="004E1A7B"/>
    <w:rsid w:val="004E560E"/>
    <w:rsid w:val="004E6D2A"/>
    <w:rsid w:val="004F029D"/>
    <w:rsid w:val="004F1950"/>
    <w:rsid w:val="004F4131"/>
    <w:rsid w:val="004F4321"/>
    <w:rsid w:val="004F6A74"/>
    <w:rsid w:val="004F7D6C"/>
    <w:rsid w:val="00501716"/>
    <w:rsid w:val="0050427E"/>
    <w:rsid w:val="00505230"/>
    <w:rsid w:val="00505345"/>
    <w:rsid w:val="0050621F"/>
    <w:rsid w:val="00510012"/>
    <w:rsid w:val="0051199B"/>
    <w:rsid w:val="005138CA"/>
    <w:rsid w:val="005142CC"/>
    <w:rsid w:val="00527FED"/>
    <w:rsid w:val="005315F9"/>
    <w:rsid w:val="0053354D"/>
    <w:rsid w:val="00536D5A"/>
    <w:rsid w:val="0053787A"/>
    <w:rsid w:val="005439AB"/>
    <w:rsid w:val="00545F6C"/>
    <w:rsid w:val="005503D4"/>
    <w:rsid w:val="00550B8B"/>
    <w:rsid w:val="00550C02"/>
    <w:rsid w:val="00551783"/>
    <w:rsid w:val="00552582"/>
    <w:rsid w:val="00553EF2"/>
    <w:rsid w:val="005545D7"/>
    <w:rsid w:val="00557E84"/>
    <w:rsid w:val="00560866"/>
    <w:rsid w:val="00562F3C"/>
    <w:rsid w:val="005630E5"/>
    <w:rsid w:val="0056492C"/>
    <w:rsid w:val="0056559A"/>
    <w:rsid w:val="00566290"/>
    <w:rsid w:val="0056653C"/>
    <w:rsid w:val="00567A0F"/>
    <w:rsid w:val="005730FA"/>
    <w:rsid w:val="00574833"/>
    <w:rsid w:val="00577A22"/>
    <w:rsid w:val="00581A9F"/>
    <w:rsid w:val="00581D08"/>
    <w:rsid w:val="005836BE"/>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B4245"/>
    <w:rsid w:val="005B5BEB"/>
    <w:rsid w:val="005C19E0"/>
    <w:rsid w:val="005C1C05"/>
    <w:rsid w:val="005C4DD3"/>
    <w:rsid w:val="005C6DF5"/>
    <w:rsid w:val="005D561A"/>
    <w:rsid w:val="005D7CA4"/>
    <w:rsid w:val="005E0997"/>
    <w:rsid w:val="005E1B08"/>
    <w:rsid w:val="005E272D"/>
    <w:rsid w:val="005E704C"/>
    <w:rsid w:val="005F34E3"/>
    <w:rsid w:val="00600F61"/>
    <w:rsid w:val="00601950"/>
    <w:rsid w:val="00604584"/>
    <w:rsid w:val="00604BF2"/>
    <w:rsid w:val="00605F9E"/>
    <w:rsid w:val="00606264"/>
    <w:rsid w:val="0060750B"/>
    <w:rsid w:val="00607E8B"/>
    <w:rsid w:val="00610081"/>
    <w:rsid w:val="00611285"/>
    <w:rsid w:val="006147A2"/>
    <w:rsid w:val="006160F5"/>
    <w:rsid w:val="0062499A"/>
    <w:rsid w:val="00624B3B"/>
    <w:rsid w:val="00626664"/>
    <w:rsid w:val="00626791"/>
    <w:rsid w:val="006272F2"/>
    <w:rsid w:val="00632939"/>
    <w:rsid w:val="00640F94"/>
    <w:rsid w:val="00641928"/>
    <w:rsid w:val="006460D7"/>
    <w:rsid w:val="0064775D"/>
    <w:rsid w:val="00656F7E"/>
    <w:rsid w:val="006624BC"/>
    <w:rsid w:val="00666251"/>
    <w:rsid w:val="00667167"/>
    <w:rsid w:val="00667785"/>
    <w:rsid w:val="00676665"/>
    <w:rsid w:val="006777AC"/>
    <w:rsid w:val="006778EB"/>
    <w:rsid w:val="006810E0"/>
    <w:rsid w:val="006858B3"/>
    <w:rsid w:val="006876EB"/>
    <w:rsid w:val="00687C74"/>
    <w:rsid w:val="006949C3"/>
    <w:rsid w:val="006952D9"/>
    <w:rsid w:val="006963A9"/>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6398"/>
    <w:rsid w:val="00706BA4"/>
    <w:rsid w:val="00707967"/>
    <w:rsid w:val="00710358"/>
    <w:rsid w:val="00714546"/>
    <w:rsid w:val="00716AE3"/>
    <w:rsid w:val="00717820"/>
    <w:rsid w:val="00717EC1"/>
    <w:rsid w:val="007200F3"/>
    <w:rsid w:val="00723B5A"/>
    <w:rsid w:val="00723C12"/>
    <w:rsid w:val="0072527A"/>
    <w:rsid w:val="00726606"/>
    <w:rsid w:val="00730C09"/>
    <w:rsid w:val="00733551"/>
    <w:rsid w:val="00741D2B"/>
    <w:rsid w:val="0074288D"/>
    <w:rsid w:val="0074295E"/>
    <w:rsid w:val="00744E9C"/>
    <w:rsid w:val="007452D2"/>
    <w:rsid w:val="00745B8C"/>
    <w:rsid w:val="0074704A"/>
    <w:rsid w:val="0075297D"/>
    <w:rsid w:val="007538D9"/>
    <w:rsid w:val="00755571"/>
    <w:rsid w:val="00761DC8"/>
    <w:rsid w:val="007640A8"/>
    <w:rsid w:val="00765EF2"/>
    <w:rsid w:val="007758C3"/>
    <w:rsid w:val="00777603"/>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455B"/>
    <w:rsid w:val="008256A2"/>
    <w:rsid w:val="0082585B"/>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4D2B"/>
    <w:rsid w:val="0089783D"/>
    <w:rsid w:val="008A02EE"/>
    <w:rsid w:val="008A0A82"/>
    <w:rsid w:val="008A1F76"/>
    <w:rsid w:val="008A3AC7"/>
    <w:rsid w:val="008B0AA7"/>
    <w:rsid w:val="008B23A8"/>
    <w:rsid w:val="008B5ED6"/>
    <w:rsid w:val="008C32FE"/>
    <w:rsid w:val="008C4C6D"/>
    <w:rsid w:val="008C7456"/>
    <w:rsid w:val="008D032B"/>
    <w:rsid w:val="008D2719"/>
    <w:rsid w:val="008D282E"/>
    <w:rsid w:val="008D6DF4"/>
    <w:rsid w:val="008E5906"/>
    <w:rsid w:val="008E5E6A"/>
    <w:rsid w:val="008E70F8"/>
    <w:rsid w:val="008E7F13"/>
    <w:rsid w:val="008F1587"/>
    <w:rsid w:val="008F21D4"/>
    <w:rsid w:val="008F257A"/>
    <w:rsid w:val="008F36E1"/>
    <w:rsid w:val="008F41F8"/>
    <w:rsid w:val="008F7393"/>
    <w:rsid w:val="00902CA3"/>
    <w:rsid w:val="0090361D"/>
    <w:rsid w:val="0090601C"/>
    <w:rsid w:val="009076DC"/>
    <w:rsid w:val="00912D79"/>
    <w:rsid w:val="00915852"/>
    <w:rsid w:val="009200AB"/>
    <w:rsid w:val="00927594"/>
    <w:rsid w:val="00927E8B"/>
    <w:rsid w:val="00930B3B"/>
    <w:rsid w:val="00930B7A"/>
    <w:rsid w:val="0093655D"/>
    <w:rsid w:val="009440D7"/>
    <w:rsid w:val="00954101"/>
    <w:rsid w:val="009569DF"/>
    <w:rsid w:val="0096044F"/>
    <w:rsid w:val="0096066B"/>
    <w:rsid w:val="00960E26"/>
    <w:rsid w:val="0096108D"/>
    <w:rsid w:val="00966B6C"/>
    <w:rsid w:val="00971B2F"/>
    <w:rsid w:val="0097254E"/>
    <w:rsid w:val="009747F5"/>
    <w:rsid w:val="00975DD2"/>
    <w:rsid w:val="00976644"/>
    <w:rsid w:val="00983599"/>
    <w:rsid w:val="00985ED7"/>
    <w:rsid w:val="009867E1"/>
    <w:rsid w:val="00990B30"/>
    <w:rsid w:val="009A2573"/>
    <w:rsid w:val="009A2938"/>
    <w:rsid w:val="009A312E"/>
    <w:rsid w:val="009A5AA3"/>
    <w:rsid w:val="009B0586"/>
    <w:rsid w:val="009B21C7"/>
    <w:rsid w:val="009B2F49"/>
    <w:rsid w:val="009B6351"/>
    <w:rsid w:val="009B68F6"/>
    <w:rsid w:val="009C18E8"/>
    <w:rsid w:val="009C1FFE"/>
    <w:rsid w:val="009C28F8"/>
    <w:rsid w:val="009C3C6F"/>
    <w:rsid w:val="009C5311"/>
    <w:rsid w:val="009C799C"/>
    <w:rsid w:val="009D706F"/>
    <w:rsid w:val="009E0967"/>
    <w:rsid w:val="009E3163"/>
    <w:rsid w:val="009E658B"/>
    <w:rsid w:val="009E6AFD"/>
    <w:rsid w:val="009F13DA"/>
    <w:rsid w:val="009F19D9"/>
    <w:rsid w:val="009F2058"/>
    <w:rsid w:val="009F2FA5"/>
    <w:rsid w:val="009F4186"/>
    <w:rsid w:val="009F57B2"/>
    <w:rsid w:val="009F5B84"/>
    <w:rsid w:val="009F6F1A"/>
    <w:rsid w:val="00A01391"/>
    <w:rsid w:val="00A01E47"/>
    <w:rsid w:val="00A0485D"/>
    <w:rsid w:val="00A10CD6"/>
    <w:rsid w:val="00A133DF"/>
    <w:rsid w:val="00A1429A"/>
    <w:rsid w:val="00A2098D"/>
    <w:rsid w:val="00A2193A"/>
    <w:rsid w:val="00A24E15"/>
    <w:rsid w:val="00A2526D"/>
    <w:rsid w:val="00A330A2"/>
    <w:rsid w:val="00A44DBD"/>
    <w:rsid w:val="00A47456"/>
    <w:rsid w:val="00A5061C"/>
    <w:rsid w:val="00A51CD2"/>
    <w:rsid w:val="00A526D8"/>
    <w:rsid w:val="00A57869"/>
    <w:rsid w:val="00A57A20"/>
    <w:rsid w:val="00A6259F"/>
    <w:rsid w:val="00A64161"/>
    <w:rsid w:val="00A67EE3"/>
    <w:rsid w:val="00A73FFF"/>
    <w:rsid w:val="00A76336"/>
    <w:rsid w:val="00A80856"/>
    <w:rsid w:val="00A81F56"/>
    <w:rsid w:val="00A92621"/>
    <w:rsid w:val="00A94A64"/>
    <w:rsid w:val="00A9644F"/>
    <w:rsid w:val="00AA449A"/>
    <w:rsid w:val="00AA7956"/>
    <w:rsid w:val="00AA7AA2"/>
    <w:rsid w:val="00AB0B37"/>
    <w:rsid w:val="00AB2C1B"/>
    <w:rsid w:val="00AB3CAE"/>
    <w:rsid w:val="00AB3F55"/>
    <w:rsid w:val="00AB40C4"/>
    <w:rsid w:val="00AB6A8E"/>
    <w:rsid w:val="00AC0047"/>
    <w:rsid w:val="00AC3A06"/>
    <w:rsid w:val="00AC3BF5"/>
    <w:rsid w:val="00AD3E06"/>
    <w:rsid w:val="00AD4938"/>
    <w:rsid w:val="00AE0DE3"/>
    <w:rsid w:val="00AE0E30"/>
    <w:rsid w:val="00AE10A7"/>
    <w:rsid w:val="00AE1F45"/>
    <w:rsid w:val="00AE2582"/>
    <w:rsid w:val="00AE6E05"/>
    <w:rsid w:val="00AF4951"/>
    <w:rsid w:val="00AF5D16"/>
    <w:rsid w:val="00AF5D97"/>
    <w:rsid w:val="00B00A5E"/>
    <w:rsid w:val="00B01402"/>
    <w:rsid w:val="00B0168F"/>
    <w:rsid w:val="00B07BB3"/>
    <w:rsid w:val="00B15F55"/>
    <w:rsid w:val="00B168F7"/>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30CA"/>
    <w:rsid w:val="00B86A4D"/>
    <w:rsid w:val="00B90F84"/>
    <w:rsid w:val="00B93841"/>
    <w:rsid w:val="00B94698"/>
    <w:rsid w:val="00B95A86"/>
    <w:rsid w:val="00B97B97"/>
    <w:rsid w:val="00B97D0F"/>
    <w:rsid w:val="00BA075C"/>
    <w:rsid w:val="00BA3C6C"/>
    <w:rsid w:val="00BA6136"/>
    <w:rsid w:val="00BA7BF9"/>
    <w:rsid w:val="00BB3056"/>
    <w:rsid w:val="00BB4E2D"/>
    <w:rsid w:val="00BB71D6"/>
    <w:rsid w:val="00BC1915"/>
    <w:rsid w:val="00BC3239"/>
    <w:rsid w:val="00BC4E75"/>
    <w:rsid w:val="00BC7DA9"/>
    <w:rsid w:val="00BD5BC3"/>
    <w:rsid w:val="00BD5C53"/>
    <w:rsid w:val="00BD7289"/>
    <w:rsid w:val="00BE068D"/>
    <w:rsid w:val="00BE1FEE"/>
    <w:rsid w:val="00BE28E7"/>
    <w:rsid w:val="00BE4388"/>
    <w:rsid w:val="00BE5623"/>
    <w:rsid w:val="00BE6343"/>
    <w:rsid w:val="00BE68EB"/>
    <w:rsid w:val="00BE7B48"/>
    <w:rsid w:val="00BF0D38"/>
    <w:rsid w:val="00BF2892"/>
    <w:rsid w:val="00BF332A"/>
    <w:rsid w:val="00BF4EF6"/>
    <w:rsid w:val="00BF5FFB"/>
    <w:rsid w:val="00BF6FB6"/>
    <w:rsid w:val="00C013D2"/>
    <w:rsid w:val="00C02149"/>
    <w:rsid w:val="00C03A89"/>
    <w:rsid w:val="00C074FB"/>
    <w:rsid w:val="00C07762"/>
    <w:rsid w:val="00C1009E"/>
    <w:rsid w:val="00C10D69"/>
    <w:rsid w:val="00C113C2"/>
    <w:rsid w:val="00C11532"/>
    <w:rsid w:val="00C13F47"/>
    <w:rsid w:val="00C20237"/>
    <w:rsid w:val="00C265E2"/>
    <w:rsid w:val="00C2734F"/>
    <w:rsid w:val="00C275C1"/>
    <w:rsid w:val="00C34864"/>
    <w:rsid w:val="00C34DB4"/>
    <w:rsid w:val="00C37066"/>
    <w:rsid w:val="00C4052D"/>
    <w:rsid w:val="00C40FB5"/>
    <w:rsid w:val="00C41C8E"/>
    <w:rsid w:val="00C43465"/>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232E"/>
    <w:rsid w:val="00C82967"/>
    <w:rsid w:val="00C82EF0"/>
    <w:rsid w:val="00C865F5"/>
    <w:rsid w:val="00C92242"/>
    <w:rsid w:val="00C96EA1"/>
    <w:rsid w:val="00CA115C"/>
    <w:rsid w:val="00CA323D"/>
    <w:rsid w:val="00CA4565"/>
    <w:rsid w:val="00CA5176"/>
    <w:rsid w:val="00CA6220"/>
    <w:rsid w:val="00CA7A80"/>
    <w:rsid w:val="00CB166C"/>
    <w:rsid w:val="00CB2925"/>
    <w:rsid w:val="00CB2DAC"/>
    <w:rsid w:val="00CC46D3"/>
    <w:rsid w:val="00CC6E1B"/>
    <w:rsid w:val="00CD1AFC"/>
    <w:rsid w:val="00CD3462"/>
    <w:rsid w:val="00CD38CB"/>
    <w:rsid w:val="00CE1E1D"/>
    <w:rsid w:val="00CE3D70"/>
    <w:rsid w:val="00CE590D"/>
    <w:rsid w:val="00CE6582"/>
    <w:rsid w:val="00CE7A28"/>
    <w:rsid w:val="00CF14E5"/>
    <w:rsid w:val="00CF5BFD"/>
    <w:rsid w:val="00D005FE"/>
    <w:rsid w:val="00D03FE1"/>
    <w:rsid w:val="00D04D73"/>
    <w:rsid w:val="00D05DC4"/>
    <w:rsid w:val="00D06598"/>
    <w:rsid w:val="00D11E01"/>
    <w:rsid w:val="00D12B6E"/>
    <w:rsid w:val="00D13707"/>
    <w:rsid w:val="00D14C8D"/>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198C"/>
    <w:rsid w:val="00D82B65"/>
    <w:rsid w:val="00D8313D"/>
    <w:rsid w:val="00D84F42"/>
    <w:rsid w:val="00D85523"/>
    <w:rsid w:val="00D86694"/>
    <w:rsid w:val="00D878E9"/>
    <w:rsid w:val="00D87C70"/>
    <w:rsid w:val="00D904FD"/>
    <w:rsid w:val="00D91A91"/>
    <w:rsid w:val="00D92015"/>
    <w:rsid w:val="00D94744"/>
    <w:rsid w:val="00D953C0"/>
    <w:rsid w:val="00DA1397"/>
    <w:rsid w:val="00DA3723"/>
    <w:rsid w:val="00DA748E"/>
    <w:rsid w:val="00DC111F"/>
    <w:rsid w:val="00DC14C2"/>
    <w:rsid w:val="00DC392F"/>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62F1"/>
    <w:rsid w:val="00DF7F03"/>
    <w:rsid w:val="00E02C1E"/>
    <w:rsid w:val="00E02C98"/>
    <w:rsid w:val="00E04395"/>
    <w:rsid w:val="00E04404"/>
    <w:rsid w:val="00E05E02"/>
    <w:rsid w:val="00E06E8F"/>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B0BC8"/>
    <w:rsid w:val="00EB256D"/>
    <w:rsid w:val="00EB33F9"/>
    <w:rsid w:val="00EB64A8"/>
    <w:rsid w:val="00EB67CA"/>
    <w:rsid w:val="00EB7215"/>
    <w:rsid w:val="00EB7FA7"/>
    <w:rsid w:val="00EC086D"/>
    <w:rsid w:val="00EC103F"/>
    <w:rsid w:val="00EC1133"/>
    <w:rsid w:val="00EC1C0C"/>
    <w:rsid w:val="00ED00FD"/>
    <w:rsid w:val="00ED5177"/>
    <w:rsid w:val="00EE2D8A"/>
    <w:rsid w:val="00EE7C8B"/>
    <w:rsid w:val="00EF1A55"/>
    <w:rsid w:val="00EF3540"/>
    <w:rsid w:val="00EF3C7C"/>
    <w:rsid w:val="00EF4DFF"/>
    <w:rsid w:val="00EF6A7A"/>
    <w:rsid w:val="00EF75F8"/>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0AC"/>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6617D"/>
    <w:rsid w:val="00F705F9"/>
    <w:rsid w:val="00F751CC"/>
    <w:rsid w:val="00F76002"/>
    <w:rsid w:val="00F7740E"/>
    <w:rsid w:val="00F838D5"/>
    <w:rsid w:val="00F83AC6"/>
    <w:rsid w:val="00F83E0C"/>
    <w:rsid w:val="00F845E2"/>
    <w:rsid w:val="00F8547F"/>
    <w:rsid w:val="00F86A4A"/>
    <w:rsid w:val="00F87243"/>
    <w:rsid w:val="00F969B2"/>
    <w:rsid w:val="00F976B7"/>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4C8"/>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135021719">
      <w:bodyDiv w:val="1"/>
      <w:marLeft w:val="0"/>
      <w:marRight w:val="0"/>
      <w:marTop w:val="0"/>
      <w:marBottom w:val="0"/>
      <w:divBdr>
        <w:top w:val="none" w:sz="0" w:space="0" w:color="auto"/>
        <w:left w:val="none" w:sz="0" w:space="0" w:color="auto"/>
        <w:bottom w:val="none" w:sz="0" w:space="0" w:color="auto"/>
        <w:right w:val="none" w:sz="0" w:space="0" w:color="auto"/>
      </w:divBdr>
    </w:div>
    <w:div w:id="1505051612">
      <w:bodyDiv w:val="1"/>
      <w:marLeft w:val="0"/>
      <w:marRight w:val="0"/>
      <w:marTop w:val="0"/>
      <w:marBottom w:val="0"/>
      <w:divBdr>
        <w:top w:val="none" w:sz="0" w:space="0" w:color="auto"/>
        <w:left w:val="none" w:sz="0" w:space="0" w:color="auto"/>
        <w:bottom w:val="none" w:sz="0" w:space="0" w:color="auto"/>
        <w:right w:val="none" w:sz="0" w:space="0" w:color="auto"/>
      </w:divBdr>
    </w:div>
    <w:div w:id="1660844920">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F09A-8CFE-45B3-A0DC-902D0D41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7385</Words>
  <Characters>4211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Rolands Vītiņš</cp:lastModifiedBy>
  <cp:revision>12</cp:revision>
  <cp:lastPrinted>2019-02-12T09:20:00Z</cp:lastPrinted>
  <dcterms:created xsi:type="dcterms:W3CDTF">2020-11-05T07:30:00Z</dcterms:created>
  <dcterms:modified xsi:type="dcterms:W3CDTF">2020-11-23T13:11:00Z</dcterms:modified>
</cp:coreProperties>
</file>