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8D7A" w14:textId="77777777" w:rsidR="00F12A88" w:rsidRPr="00534E20" w:rsidRDefault="00F12A88" w:rsidP="00F12A88">
      <w:pPr>
        <w:jc w:val="center"/>
        <w:rPr>
          <w:b/>
          <w:sz w:val="26"/>
          <w:szCs w:val="26"/>
          <w:lang w:val="lv-LV"/>
        </w:rPr>
      </w:pPr>
      <w:bookmarkStart w:id="0" w:name="OLE_LINK3"/>
      <w:bookmarkStart w:id="1" w:name="OLE_LINK1"/>
      <w:bookmarkStart w:id="2" w:name="OLE_LINK2"/>
      <w:r w:rsidRPr="00534E20">
        <w:rPr>
          <w:b/>
          <w:sz w:val="26"/>
          <w:szCs w:val="26"/>
          <w:lang w:val="lv-LV"/>
        </w:rPr>
        <w:t>Ministru kabineta noteikumu projekta ,,</w:t>
      </w:r>
      <w:bookmarkStart w:id="3" w:name="OLE_LINK7"/>
      <w:bookmarkStart w:id="4" w:name="OLE_LINK8"/>
      <w:r w:rsidRPr="00534E20">
        <w:rPr>
          <w:sz w:val="26"/>
          <w:szCs w:val="26"/>
          <w:lang w:val="lv-LV"/>
        </w:rPr>
        <w:t xml:space="preserve"> </w:t>
      </w:r>
      <w:bookmarkStart w:id="5" w:name="_Hlk36713472"/>
      <w:r w:rsidRPr="00534E20">
        <w:rPr>
          <w:b/>
          <w:sz w:val="26"/>
          <w:szCs w:val="26"/>
          <w:lang w:val="lv-LV"/>
        </w:rPr>
        <w:t>Grozījumi Ministru kabineta 2016.gada 20.decembra noteikumos Nr.866 „Īstermiņa eksporta kredīta garantiju izsniegšanas noteikumi komersantiem un atbilstošām lauksaimniecības pakalpojumu kooperatīvajām sabiedrībām”</w:t>
      </w:r>
      <w:bookmarkEnd w:id="5"/>
      <w:r w:rsidRPr="00534E20">
        <w:rPr>
          <w:b/>
          <w:sz w:val="26"/>
          <w:szCs w:val="26"/>
          <w:lang w:val="lv-LV"/>
        </w:rPr>
        <w:t>”</w:t>
      </w:r>
      <w:bookmarkEnd w:id="3"/>
      <w:bookmarkEnd w:id="4"/>
      <w:r w:rsidRPr="00534E20">
        <w:rPr>
          <w:b/>
          <w:sz w:val="26"/>
          <w:szCs w:val="26"/>
          <w:lang w:val="lv-LV"/>
        </w:rPr>
        <w:t xml:space="preserve"> sākotnējās ietekmes novērtējuma ziņojums (anotācija)</w:t>
      </w:r>
    </w:p>
    <w:p w14:paraId="4F03DE00" w14:textId="77777777" w:rsidR="00310924" w:rsidRPr="00C136CD" w:rsidRDefault="00310924" w:rsidP="007F6449">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10924" w:rsidRPr="00C136CD" w14:paraId="06A3987D" w14:textId="77777777" w:rsidTr="004937D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DD696D" w:rsidRDefault="00310924" w:rsidP="004937D3">
            <w:pPr>
              <w:rPr>
                <w:rFonts w:eastAsia="Times New Roman"/>
                <w:b/>
                <w:bCs/>
                <w:iCs/>
                <w:sz w:val="26"/>
                <w:szCs w:val="26"/>
                <w:lang w:val="lv-LV" w:eastAsia="lv-LV"/>
              </w:rPr>
            </w:pPr>
            <w:r w:rsidRPr="00DD696D">
              <w:rPr>
                <w:rFonts w:eastAsia="Times New Roman"/>
                <w:b/>
                <w:bCs/>
                <w:iCs/>
                <w:sz w:val="26"/>
                <w:szCs w:val="26"/>
                <w:lang w:val="lv-LV" w:eastAsia="lv-LV"/>
              </w:rPr>
              <w:t>Tiesību akta projekta anotācijas kopsavilkums</w:t>
            </w:r>
          </w:p>
        </w:tc>
      </w:tr>
      <w:tr w:rsidR="00310924" w:rsidRPr="0097715B" w14:paraId="5F92C921" w14:textId="77777777" w:rsidTr="004937D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1DBABE" w14:textId="77777777" w:rsidR="00310924" w:rsidRPr="00DD696D" w:rsidRDefault="00310924" w:rsidP="004937D3">
            <w:pPr>
              <w:rPr>
                <w:rFonts w:eastAsia="Times New Roman"/>
                <w:iCs/>
                <w:sz w:val="26"/>
                <w:szCs w:val="26"/>
                <w:lang w:val="lv-LV" w:eastAsia="lv-LV"/>
              </w:rPr>
            </w:pPr>
            <w:r w:rsidRPr="00DD696D">
              <w:rPr>
                <w:rFonts w:eastAsia="Times New Roman"/>
                <w:iCs/>
                <w:sz w:val="26"/>
                <w:szCs w:val="26"/>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599F68" w14:textId="74A7B198" w:rsidR="00DD696D" w:rsidRDefault="00145D01" w:rsidP="00DD696D">
            <w:pPr>
              <w:jc w:val="both"/>
              <w:rPr>
                <w:rFonts w:eastAsia="Times New Roman"/>
                <w:iCs/>
                <w:sz w:val="26"/>
                <w:szCs w:val="26"/>
                <w:lang w:val="lv-LV" w:eastAsia="lv-LV"/>
              </w:rPr>
            </w:pPr>
            <w:r>
              <w:rPr>
                <w:rFonts w:eastAsia="Times New Roman"/>
                <w:iCs/>
                <w:sz w:val="26"/>
                <w:szCs w:val="26"/>
                <w:lang w:val="lv-LV" w:eastAsia="lv-LV"/>
              </w:rPr>
              <w:t>Ar Ministru kabineta n</w:t>
            </w:r>
            <w:r w:rsidR="000136B6">
              <w:rPr>
                <w:rFonts w:eastAsia="Times New Roman"/>
                <w:iCs/>
                <w:sz w:val="26"/>
                <w:szCs w:val="26"/>
                <w:lang w:val="lv-LV" w:eastAsia="lv-LV"/>
              </w:rPr>
              <w:t>oteikum</w:t>
            </w:r>
            <w:r>
              <w:rPr>
                <w:rFonts w:eastAsia="Times New Roman"/>
                <w:iCs/>
                <w:sz w:val="26"/>
                <w:szCs w:val="26"/>
                <w:lang w:val="lv-LV" w:eastAsia="lv-LV"/>
              </w:rPr>
              <w:t>u</w:t>
            </w:r>
            <w:r w:rsidR="00310924" w:rsidRPr="00DD696D">
              <w:rPr>
                <w:rFonts w:eastAsia="Times New Roman"/>
                <w:iCs/>
                <w:sz w:val="26"/>
                <w:szCs w:val="26"/>
                <w:lang w:val="lv-LV" w:eastAsia="lv-LV"/>
              </w:rPr>
              <w:t xml:space="preserve"> projekt</w:t>
            </w:r>
            <w:r>
              <w:rPr>
                <w:rFonts w:eastAsia="Times New Roman"/>
                <w:iCs/>
                <w:sz w:val="26"/>
                <w:szCs w:val="26"/>
                <w:lang w:val="lv-LV" w:eastAsia="lv-LV"/>
              </w:rPr>
              <w:t>u</w:t>
            </w:r>
            <w:r w:rsidR="00310924" w:rsidRPr="00DD696D">
              <w:rPr>
                <w:rFonts w:eastAsia="Times New Roman"/>
                <w:iCs/>
                <w:sz w:val="26"/>
                <w:szCs w:val="26"/>
                <w:lang w:val="lv-LV" w:eastAsia="lv-LV"/>
              </w:rPr>
              <w:t xml:space="preserve"> </w:t>
            </w:r>
            <w:r>
              <w:rPr>
                <w:rFonts w:eastAsia="Times New Roman"/>
                <w:iCs/>
                <w:sz w:val="26"/>
                <w:szCs w:val="26"/>
                <w:lang w:val="lv-LV" w:eastAsia="lv-LV"/>
              </w:rPr>
              <w:t xml:space="preserve">“Grozījumi Ministru kabineta 2016. gada 20. decembra noteikumos Nr. 866 “Īstermiņa eksporta kredīta garantiju izsniegšanas noteikumi komersantiem un atbilstošām </w:t>
            </w:r>
            <w:proofErr w:type="spellStart"/>
            <w:r>
              <w:rPr>
                <w:rFonts w:eastAsia="Times New Roman"/>
                <w:iCs/>
                <w:sz w:val="26"/>
                <w:szCs w:val="26"/>
                <w:lang w:val="lv-LV" w:eastAsia="lv-LV"/>
              </w:rPr>
              <w:t>laiksaimniecības</w:t>
            </w:r>
            <w:proofErr w:type="spellEnd"/>
            <w:r>
              <w:rPr>
                <w:rFonts w:eastAsia="Times New Roman"/>
                <w:iCs/>
                <w:sz w:val="26"/>
                <w:szCs w:val="26"/>
                <w:lang w:val="lv-LV" w:eastAsia="lv-LV"/>
              </w:rPr>
              <w:t xml:space="preserve"> pakalpojumu kooperatīvajām sabiedrībām” (turpmāk – Noteikumu projekts) </w:t>
            </w:r>
            <w:r w:rsidR="00310924" w:rsidRPr="00DD696D">
              <w:rPr>
                <w:rFonts w:eastAsia="Times New Roman"/>
                <w:iCs/>
                <w:sz w:val="26"/>
                <w:szCs w:val="26"/>
                <w:lang w:val="lv-LV" w:eastAsia="lv-LV"/>
              </w:rPr>
              <w:t>paredz</w:t>
            </w:r>
            <w:r>
              <w:rPr>
                <w:rFonts w:eastAsia="Times New Roman"/>
                <w:iCs/>
                <w:sz w:val="26"/>
                <w:szCs w:val="26"/>
                <w:lang w:val="lv-LV" w:eastAsia="lv-LV"/>
              </w:rPr>
              <w:t>ēts</w:t>
            </w:r>
            <w:r w:rsidR="00310924" w:rsidRPr="00DD696D">
              <w:rPr>
                <w:rFonts w:eastAsia="Times New Roman"/>
                <w:iCs/>
                <w:sz w:val="26"/>
                <w:szCs w:val="26"/>
                <w:lang w:val="lv-LV" w:eastAsia="lv-LV"/>
              </w:rPr>
              <w:t xml:space="preserve"> </w:t>
            </w:r>
            <w:r w:rsidR="00D67CE9" w:rsidRPr="00DD696D">
              <w:rPr>
                <w:rFonts w:eastAsia="Times New Roman"/>
                <w:iCs/>
                <w:sz w:val="26"/>
                <w:szCs w:val="26"/>
                <w:lang w:val="lv-LV" w:eastAsia="lv-LV"/>
              </w:rPr>
              <w:t>precizēt</w:t>
            </w:r>
            <w:r w:rsidR="00310924" w:rsidRPr="00DD696D">
              <w:rPr>
                <w:rFonts w:eastAsia="Times New Roman"/>
                <w:iCs/>
                <w:sz w:val="26"/>
                <w:szCs w:val="26"/>
                <w:lang w:val="lv-LV" w:eastAsia="lv-LV"/>
              </w:rPr>
              <w:t xml:space="preserve"> </w:t>
            </w:r>
            <w:r w:rsidR="00D67CE9" w:rsidRPr="00DD696D">
              <w:rPr>
                <w:rFonts w:eastAsia="Times New Roman"/>
                <w:iCs/>
                <w:sz w:val="26"/>
                <w:szCs w:val="26"/>
                <w:lang w:val="lv-LV" w:eastAsia="lv-LV"/>
              </w:rPr>
              <w:t xml:space="preserve">Ministru kabineta 2016.gada </w:t>
            </w:r>
            <w:r w:rsidR="000541AA">
              <w:rPr>
                <w:rFonts w:eastAsia="Times New Roman"/>
                <w:iCs/>
                <w:sz w:val="26"/>
                <w:szCs w:val="26"/>
                <w:lang w:val="lv-LV" w:eastAsia="lv-LV"/>
              </w:rPr>
              <w:t>20.decembra</w:t>
            </w:r>
            <w:r w:rsidR="00D67CE9" w:rsidRPr="00DD696D">
              <w:rPr>
                <w:rFonts w:eastAsia="Times New Roman"/>
                <w:iCs/>
                <w:sz w:val="26"/>
                <w:szCs w:val="26"/>
                <w:lang w:val="lv-LV" w:eastAsia="lv-LV"/>
              </w:rPr>
              <w:t xml:space="preserve"> noteikumos Nr.</w:t>
            </w:r>
            <w:r w:rsidR="000541AA">
              <w:rPr>
                <w:rFonts w:eastAsia="Times New Roman"/>
                <w:iCs/>
                <w:sz w:val="26"/>
                <w:szCs w:val="26"/>
                <w:lang w:val="lv-LV" w:eastAsia="lv-LV"/>
              </w:rPr>
              <w:t>866</w:t>
            </w:r>
            <w:r w:rsidR="00D67CE9" w:rsidRPr="00DD696D">
              <w:rPr>
                <w:rFonts w:eastAsia="Times New Roman"/>
                <w:iCs/>
                <w:sz w:val="26"/>
                <w:szCs w:val="26"/>
                <w:lang w:val="lv-LV" w:eastAsia="lv-LV"/>
              </w:rPr>
              <w:t xml:space="preserve"> „</w:t>
            </w:r>
            <w:r w:rsidR="000541AA" w:rsidRPr="000541AA">
              <w:rPr>
                <w:rFonts w:eastAsia="Times New Roman"/>
                <w:iCs/>
                <w:sz w:val="26"/>
                <w:szCs w:val="26"/>
                <w:lang w:val="lv-LV" w:eastAsia="lv-LV"/>
              </w:rPr>
              <w:t>Īstermiņa eksporta kredīta garantiju izsniegšanas noteikumi komersantiem un atbilstošām lauksaimniecības pakalpojumu kooperatīvajām sabiedrībām</w:t>
            </w:r>
            <w:r w:rsidR="00D67CE9" w:rsidRPr="00DD696D">
              <w:rPr>
                <w:rFonts w:eastAsia="Times New Roman"/>
                <w:iCs/>
                <w:sz w:val="26"/>
                <w:szCs w:val="26"/>
                <w:lang w:val="lv-LV" w:eastAsia="lv-LV"/>
              </w:rPr>
              <w:t>”</w:t>
            </w:r>
            <w:r w:rsidR="00785C6D">
              <w:rPr>
                <w:rFonts w:eastAsia="Times New Roman"/>
                <w:iCs/>
                <w:sz w:val="26"/>
                <w:szCs w:val="26"/>
                <w:lang w:val="lv-LV" w:eastAsia="lv-LV"/>
              </w:rPr>
              <w:t xml:space="preserve"> (turpmāk – Noteikumi)</w:t>
            </w:r>
            <w:r w:rsidR="00DD696D">
              <w:rPr>
                <w:rFonts w:eastAsia="Times New Roman"/>
                <w:iCs/>
                <w:sz w:val="26"/>
                <w:szCs w:val="26"/>
                <w:lang w:val="lv-LV" w:eastAsia="lv-LV"/>
              </w:rPr>
              <w:t xml:space="preserve"> </w:t>
            </w:r>
            <w:r w:rsidR="000541AA">
              <w:rPr>
                <w:rFonts w:eastAsia="Times New Roman"/>
                <w:iCs/>
                <w:sz w:val="26"/>
                <w:szCs w:val="26"/>
                <w:lang w:val="lv-LV" w:eastAsia="lv-LV"/>
              </w:rPr>
              <w:t xml:space="preserve">noteikto </w:t>
            </w:r>
            <w:r w:rsidR="00B8453D">
              <w:rPr>
                <w:rFonts w:eastAsia="Times New Roman"/>
                <w:iCs/>
                <w:sz w:val="26"/>
                <w:szCs w:val="26"/>
                <w:lang w:val="lv-LV" w:eastAsia="lv-LV"/>
              </w:rPr>
              <w:t xml:space="preserve">termiņu </w:t>
            </w:r>
            <w:r w:rsidR="000541AA">
              <w:rPr>
                <w:rFonts w:eastAsia="Times New Roman"/>
                <w:iCs/>
                <w:sz w:val="26"/>
                <w:szCs w:val="26"/>
                <w:lang w:val="lv-LV" w:eastAsia="lv-LV"/>
              </w:rPr>
              <w:t xml:space="preserve">attiecībā uz </w:t>
            </w:r>
            <w:r w:rsidR="00B8453D">
              <w:rPr>
                <w:rFonts w:eastAsia="Times New Roman"/>
                <w:iCs/>
                <w:sz w:val="26"/>
                <w:szCs w:val="26"/>
                <w:lang w:val="lv-LV" w:eastAsia="lv-LV"/>
              </w:rPr>
              <w:t xml:space="preserve">visām </w:t>
            </w:r>
            <w:r w:rsidR="000541AA">
              <w:rPr>
                <w:rFonts w:eastAsia="Times New Roman"/>
                <w:iCs/>
                <w:sz w:val="26"/>
                <w:szCs w:val="26"/>
                <w:lang w:val="lv-LV" w:eastAsia="lv-LV"/>
              </w:rPr>
              <w:t>valstīm, kuru debitoru parādus var garantēt šo noteikumu ietvaros.</w:t>
            </w:r>
          </w:p>
          <w:p w14:paraId="0891E1DE" w14:textId="569F50BD" w:rsidR="009D4B8F" w:rsidRPr="00DD696D" w:rsidRDefault="009D4B8F" w:rsidP="00DD696D">
            <w:pPr>
              <w:jc w:val="both"/>
              <w:rPr>
                <w:rFonts w:eastAsia="Times New Roman"/>
                <w:iCs/>
                <w:sz w:val="26"/>
                <w:szCs w:val="26"/>
                <w:lang w:val="lv-LV" w:eastAsia="lv-LV"/>
              </w:rPr>
            </w:pPr>
            <w:r>
              <w:rPr>
                <w:rFonts w:eastAsia="Times New Roman"/>
                <w:iCs/>
                <w:sz w:val="26"/>
                <w:szCs w:val="26"/>
                <w:lang w:val="lv-LV" w:eastAsia="lv-LV"/>
              </w:rPr>
              <w:t>Noteikum</w:t>
            </w:r>
            <w:r w:rsidR="000136B6">
              <w:rPr>
                <w:rFonts w:eastAsia="Times New Roman"/>
                <w:iCs/>
                <w:sz w:val="26"/>
                <w:szCs w:val="26"/>
                <w:lang w:val="lv-LV" w:eastAsia="lv-LV"/>
              </w:rPr>
              <w:t>u projekts</w:t>
            </w:r>
            <w:r>
              <w:rPr>
                <w:rFonts w:eastAsia="Times New Roman"/>
                <w:iCs/>
                <w:sz w:val="26"/>
                <w:szCs w:val="26"/>
                <w:lang w:val="lv-LV" w:eastAsia="lv-LV"/>
              </w:rPr>
              <w:t xml:space="preserve"> </w:t>
            </w:r>
            <w:r w:rsidR="00145D01">
              <w:rPr>
                <w:rFonts w:eastAsia="Times New Roman"/>
                <w:iCs/>
                <w:sz w:val="26"/>
                <w:szCs w:val="26"/>
                <w:lang w:val="lv-LV" w:eastAsia="lv-LV"/>
              </w:rPr>
              <w:t xml:space="preserve">saskaņā ar Oficiālo publikāciju un tiesiskās informācijas likuma 7. panta otro daļu </w:t>
            </w:r>
            <w:r>
              <w:rPr>
                <w:rFonts w:eastAsia="Times New Roman"/>
                <w:iCs/>
                <w:sz w:val="26"/>
                <w:szCs w:val="26"/>
                <w:lang w:val="lv-LV" w:eastAsia="lv-LV"/>
              </w:rPr>
              <w:t>stājas spēkā nākamajā dienā pēc to izsludināšanas oficiālajā izdevumā “</w:t>
            </w:r>
            <w:r w:rsidR="00B8453D">
              <w:rPr>
                <w:rFonts w:eastAsia="Times New Roman"/>
                <w:iCs/>
                <w:sz w:val="26"/>
                <w:szCs w:val="26"/>
                <w:lang w:val="lv-LV" w:eastAsia="lv-LV"/>
              </w:rPr>
              <w:t>L</w:t>
            </w:r>
            <w:r>
              <w:rPr>
                <w:rFonts w:eastAsia="Times New Roman"/>
                <w:iCs/>
                <w:sz w:val="26"/>
                <w:szCs w:val="26"/>
                <w:lang w:val="lv-LV" w:eastAsia="lv-LV"/>
              </w:rPr>
              <w:t xml:space="preserve">atvijas </w:t>
            </w:r>
            <w:r w:rsidR="00B8453D">
              <w:rPr>
                <w:rFonts w:eastAsia="Times New Roman"/>
                <w:iCs/>
                <w:sz w:val="26"/>
                <w:szCs w:val="26"/>
                <w:lang w:val="lv-LV" w:eastAsia="lv-LV"/>
              </w:rPr>
              <w:t>V</w:t>
            </w:r>
            <w:r>
              <w:rPr>
                <w:rFonts w:eastAsia="Times New Roman"/>
                <w:iCs/>
                <w:sz w:val="26"/>
                <w:szCs w:val="26"/>
                <w:lang w:val="lv-LV" w:eastAsia="lv-LV"/>
              </w:rPr>
              <w:t>ēstnesis”.</w:t>
            </w:r>
          </w:p>
        </w:tc>
      </w:tr>
    </w:tbl>
    <w:p w14:paraId="2DE059E4" w14:textId="6BA0F248" w:rsidR="003E171B" w:rsidRPr="00C136CD" w:rsidRDefault="003E171B" w:rsidP="00EA6CD3">
      <w:pPr>
        <w:tabs>
          <w:tab w:val="right" w:pos="9072"/>
        </w:tabs>
        <w:rPr>
          <w:sz w:val="26"/>
          <w:szCs w:val="26"/>
          <w:lang w:val="lv-LV"/>
        </w:rPr>
      </w:pPr>
    </w:p>
    <w:p w14:paraId="6A8022D4" w14:textId="77777777" w:rsidR="00310924" w:rsidRPr="00C136CD" w:rsidRDefault="00310924" w:rsidP="00EA6CD3">
      <w:pPr>
        <w:tabs>
          <w:tab w:val="right" w:pos="9072"/>
        </w:tabs>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1984"/>
        <w:gridCol w:w="6727"/>
      </w:tblGrid>
      <w:tr w:rsidR="00844176" w:rsidRPr="00C136CD" w14:paraId="02364BB3" w14:textId="77777777" w:rsidTr="006678E3">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 Tiesību akta projekta izstrādes nepieciešamība</w:t>
            </w:r>
          </w:p>
        </w:tc>
      </w:tr>
      <w:tr w:rsidR="00844176" w:rsidRPr="0097715B" w14:paraId="7F385C9A" w14:textId="77777777" w:rsidTr="006678E3">
        <w:trPr>
          <w:trHeight w:val="405"/>
        </w:trPr>
        <w:tc>
          <w:tcPr>
            <w:tcW w:w="418"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1984"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Pamatojums</w:t>
            </w:r>
          </w:p>
        </w:tc>
        <w:tc>
          <w:tcPr>
            <w:tcW w:w="6727" w:type="dxa"/>
            <w:tcBorders>
              <w:top w:val="outset" w:sz="6" w:space="0" w:color="414142"/>
              <w:left w:val="outset" w:sz="6" w:space="0" w:color="414142"/>
              <w:bottom w:val="outset" w:sz="6" w:space="0" w:color="414142"/>
              <w:right w:val="outset" w:sz="6" w:space="0" w:color="414142"/>
            </w:tcBorders>
            <w:hideMark/>
          </w:tcPr>
          <w:p w14:paraId="79DF1BBF" w14:textId="759FF61E" w:rsidR="00AF13D9" w:rsidRPr="00F12A88" w:rsidRDefault="009577FE" w:rsidP="000032E8">
            <w:pPr>
              <w:ind w:right="344"/>
              <w:jc w:val="both"/>
              <w:rPr>
                <w:rFonts w:eastAsia="Times New Roman"/>
                <w:sz w:val="26"/>
                <w:szCs w:val="26"/>
                <w:lang w:val="lv-LV"/>
              </w:rPr>
            </w:pPr>
            <w:r>
              <w:rPr>
                <w:rFonts w:eastAsiaTheme="minorHAnsi"/>
                <w:sz w:val="26"/>
                <w:szCs w:val="26"/>
                <w:lang w:val="lv-LV"/>
              </w:rPr>
              <w:t>Noteikumu p</w:t>
            </w:r>
            <w:r w:rsidR="000032E8" w:rsidRPr="00D74824">
              <w:rPr>
                <w:rFonts w:eastAsiaTheme="minorHAnsi"/>
                <w:sz w:val="26"/>
                <w:szCs w:val="26"/>
                <w:lang w:val="lv-LV"/>
              </w:rPr>
              <w:t>rojekts sagatavots</w:t>
            </w:r>
            <w:r w:rsidR="000032E8">
              <w:rPr>
                <w:rFonts w:eastAsiaTheme="minorHAnsi"/>
                <w:sz w:val="26"/>
                <w:szCs w:val="26"/>
                <w:lang w:val="lv-LV"/>
              </w:rPr>
              <w:t xml:space="preserve"> pēc Ekonomikas ministrijas iniciatīvas</w:t>
            </w:r>
            <w:r w:rsidR="000032E8" w:rsidRPr="00D74824">
              <w:rPr>
                <w:rFonts w:eastAsiaTheme="minorHAnsi"/>
                <w:sz w:val="26"/>
                <w:szCs w:val="26"/>
                <w:lang w:val="lv-LV"/>
              </w:rPr>
              <w:t xml:space="preserve"> </w:t>
            </w:r>
            <w:r w:rsidR="000032E8">
              <w:rPr>
                <w:rFonts w:eastAsiaTheme="minorHAnsi"/>
                <w:sz w:val="26"/>
                <w:szCs w:val="26"/>
                <w:lang w:val="lv-LV"/>
              </w:rPr>
              <w:t xml:space="preserve">pamatojoties uz </w:t>
            </w:r>
            <w:r w:rsidR="000032E8" w:rsidRPr="00D74824">
              <w:rPr>
                <w:rFonts w:eastAsiaTheme="minorHAnsi"/>
                <w:sz w:val="26"/>
                <w:szCs w:val="26"/>
                <w:lang w:val="lv-LV"/>
              </w:rPr>
              <w:t>Attīstības finanšu institūcijas likuma 12.panta ceturto daļu, lai</w:t>
            </w:r>
            <w:r w:rsidR="00F12A88" w:rsidRPr="007B4A0C">
              <w:rPr>
                <w:rFonts w:eastAsia="Times New Roman"/>
                <w:sz w:val="26"/>
                <w:szCs w:val="26"/>
                <w:lang w:val="lv-LV"/>
              </w:rPr>
              <w:t xml:space="preserve"> </w:t>
            </w:r>
            <w:r w:rsidR="002E2217">
              <w:rPr>
                <w:rFonts w:eastAsia="Times New Roman"/>
                <w:sz w:val="26"/>
                <w:szCs w:val="26"/>
                <w:lang w:val="lv-LV"/>
              </w:rPr>
              <w:t xml:space="preserve">turpinātu </w:t>
            </w:r>
            <w:r w:rsidR="00F12A88">
              <w:rPr>
                <w:rFonts w:eastAsia="Times New Roman"/>
                <w:sz w:val="26"/>
                <w:szCs w:val="26"/>
                <w:lang w:val="lv-LV"/>
              </w:rPr>
              <w:t xml:space="preserve">atbalstu saimnieciskās darbības veicējiem, kuri eksportē preces un kuru darbību </w:t>
            </w:r>
            <w:r w:rsidR="0064515C">
              <w:rPr>
                <w:rFonts w:eastAsia="Times New Roman"/>
                <w:sz w:val="26"/>
                <w:szCs w:val="26"/>
                <w:lang w:val="lv-LV"/>
              </w:rPr>
              <w:t xml:space="preserve">ietekmē </w:t>
            </w:r>
            <w:r w:rsidR="00F12A88">
              <w:rPr>
                <w:rFonts w:eastAsia="Times New Roman"/>
                <w:sz w:val="26"/>
                <w:szCs w:val="26"/>
                <w:lang w:val="lv-LV"/>
              </w:rPr>
              <w:t>Covid-19 izraisīta krīze, atbilstoši</w:t>
            </w:r>
            <w:r w:rsidR="00C80326">
              <w:rPr>
                <w:rFonts w:eastAsia="Times New Roman"/>
                <w:sz w:val="26"/>
                <w:szCs w:val="26"/>
                <w:lang w:val="lv-LV"/>
              </w:rPr>
              <w:t xml:space="preserve"> </w:t>
            </w:r>
            <w:r w:rsidR="00A34958">
              <w:rPr>
                <w:rFonts w:eastAsia="Times New Roman"/>
                <w:sz w:val="26"/>
                <w:szCs w:val="26"/>
                <w:lang w:val="lv-LV"/>
              </w:rPr>
              <w:t xml:space="preserve">2020.gada </w:t>
            </w:r>
            <w:r w:rsidR="0064515C">
              <w:rPr>
                <w:rFonts w:eastAsia="Times New Roman"/>
                <w:sz w:val="26"/>
                <w:szCs w:val="26"/>
                <w:lang w:val="lv-LV"/>
              </w:rPr>
              <w:t>13.oktobra</w:t>
            </w:r>
            <w:r w:rsidR="00A34958">
              <w:rPr>
                <w:rFonts w:eastAsia="Times New Roman"/>
                <w:sz w:val="26"/>
                <w:szCs w:val="26"/>
                <w:lang w:val="lv-LV"/>
              </w:rPr>
              <w:t xml:space="preserve"> grozījumiem </w:t>
            </w:r>
            <w:r w:rsidR="000032E8">
              <w:rPr>
                <w:rFonts w:eastAsia="Times New Roman"/>
                <w:sz w:val="26"/>
                <w:szCs w:val="26"/>
                <w:lang w:val="lv-LV"/>
              </w:rPr>
              <w:t>Eiropas Komisijas pagaidu regulējumā</w:t>
            </w:r>
            <w:r w:rsidR="00A34958">
              <w:rPr>
                <w:rStyle w:val="FootnoteReference"/>
                <w:bCs/>
                <w:iCs/>
                <w:color w:val="000000"/>
                <w:sz w:val="26"/>
                <w:szCs w:val="26"/>
                <w:lang w:val="lv-LV" w:eastAsia="lv-LV"/>
              </w:rPr>
              <w:footnoteReference w:id="1"/>
            </w:r>
            <w:r w:rsidR="00A34958">
              <w:rPr>
                <w:rFonts w:eastAsia="Times New Roman"/>
                <w:sz w:val="26"/>
                <w:szCs w:val="26"/>
                <w:lang w:val="lv-LV"/>
              </w:rPr>
              <w:t>.</w:t>
            </w:r>
          </w:p>
        </w:tc>
      </w:tr>
      <w:tr w:rsidR="00844176" w:rsidRPr="0097715B" w14:paraId="62EDED08" w14:textId="77777777" w:rsidTr="006678E3">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1984" w:type="dxa"/>
            <w:tcBorders>
              <w:top w:val="outset" w:sz="6" w:space="0" w:color="414142"/>
              <w:left w:val="outset" w:sz="6" w:space="0" w:color="414142"/>
              <w:bottom w:val="outset" w:sz="6" w:space="0" w:color="414142"/>
              <w:right w:val="outset" w:sz="6" w:space="0" w:color="414142"/>
            </w:tcBorders>
            <w:hideMark/>
          </w:tcPr>
          <w:p w14:paraId="7671769E" w14:textId="1C92A414" w:rsidR="00ED0911"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Pašreizējā situācija un problēmas, kuru risināšanai tiesību akta projekts izstrādāts, tiesiskā </w:t>
            </w:r>
            <w:r w:rsidRPr="00C136CD">
              <w:rPr>
                <w:rFonts w:eastAsia="Times New Roman"/>
                <w:color w:val="000000"/>
                <w:sz w:val="26"/>
                <w:szCs w:val="26"/>
                <w:lang w:val="lv-LV" w:eastAsia="lv-LV"/>
              </w:rPr>
              <w:lastRenderedPageBreak/>
              <w:t>regulējuma mērķis un būtība</w:t>
            </w:r>
          </w:p>
          <w:p w14:paraId="4FC3B67D" w14:textId="77777777" w:rsidR="00ED0911" w:rsidRPr="00C136CD" w:rsidRDefault="00ED0911" w:rsidP="00ED0911">
            <w:pPr>
              <w:rPr>
                <w:rFonts w:eastAsia="Times New Roman"/>
                <w:sz w:val="26"/>
                <w:szCs w:val="26"/>
                <w:lang w:val="lv-LV" w:eastAsia="lv-LV"/>
              </w:rPr>
            </w:pPr>
          </w:p>
          <w:p w14:paraId="117E2458" w14:textId="77777777" w:rsidR="00ED0911" w:rsidRPr="00C136CD" w:rsidRDefault="00ED0911" w:rsidP="00ED0911">
            <w:pPr>
              <w:rPr>
                <w:rFonts w:eastAsia="Times New Roman"/>
                <w:sz w:val="26"/>
                <w:szCs w:val="26"/>
                <w:lang w:val="lv-LV" w:eastAsia="lv-LV"/>
              </w:rPr>
            </w:pPr>
          </w:p>
          <w:p w14:paraId="029C5030" w14:textId="77777777" w:rsidR="00ED0911" w:rsidRPr="00C136CD" w:rsidRDefault="00ED0911" w:rsidP="00ED0911">
            <w:pPr>
              <w:rPr>
                <w:rFonts w:eastAsia="Times New Roman"/>
                <w:sz w:val="26"/>
                <w:szCs w:val="26"/>
                <w:lang w:val="lv-LV" w:eastAsia="lv-LV"/>
              </w:rPr>
            </w:pPr>
          </w:p>
          <w:p w14:paraId="074EFABB" w14:textId="77777777" w:rsidR="00ED0911" w:rsidRPr="00C136CD" w:rsidRDefault="00ED0911" w:rsidP="00ED0911">
            <w:pPr>
              <w:rPr>
                <w:rFonts w:eastAsia="Times New Roman"/>
                <w:sz w:val="26"/>
                <w:szCs w:val="26"/>
                <w:lang w:val="lv-LV" w:eastAsia="lv-LV"/>
              </w:rPr>
            </w:pPr>
          </w:p>
          <w:p w14:paraId="1750BD0B" w14:textId="77777777" w:rsidR="00ED0911" w:rsidRPr="00C136CD" w:rsidRDefault="00ED0911" w:rsidP="00ED0911">
            <w:pPr>
              <w:rPr>
                <w:rFonts w:eastAsia="Times New Roman"/>
                <w:sz w:val="26"/>
                <w:szCs w:val="26"/>
                <w:lang w:val="lv-LV" w:eastAsia="lv-LV"/>
              </w:rPr>
            </w:pPr>
          </w:p>
          <w:p w14:paraId="7CCC3563" w14:textId="77777777" w:rsidR="00ED0911" w:rsidRPr="00C136CD" w:rsidRDefault="00ED0911" w:rsidP="00ED0911">
            <w:pPr>
              <w:rPr>
                <w:rFonts w:eastAsia="Times New Roman"/>
                <w:sz w:val="26"/>
                <w:szCs w:val="26"/>
                <w:lang w:val="lv-LV" w:eastAsia="lv-LV"/>
              </w:rPr>
            </w:pPr>
          </w:p>
          <w:p w14:paraId="5D2903DF" w14:textId="77777777" w:rsidR="00ED0911" w:rsidRPr="00C136CD" w:rsidRDefault="00ED0911" w:rsidP="00ED0911">
            <w:pPr>
              <w:rPr>
                <w:rFonts w:eastAsia="Times New Roman"/>
                <w:sz w:val="26"/>
                <w:szCs w:val="26"/>
                <w:lang w:val="lv-LV" w:eastAsia="lv-LV"/>
              </w:rPr>
            </w:pPr>
          </w:p>
          <w:p w14:paraId="0458D688" w14:textId="77777777" w:rsidR="00ED0911" w:rsidRPr="00C136CD" w:rsidRDefault="00ED0911" w:rsidP="00ED0911">
            <w:pPr>
              <w:rPr>
                <w:rFonts w:eastAsia="Times New Roman"/>
                <w:sz w:val="26"/>
                <w:szCs w:val="26"/>
                <w:lang w:val="lv-LV" w:eastAsia="lv-LV"/>
              </w:rPr>
            </w:pPr>
          </w:p>
          <w:p w14:paraId="0A6D0851" w14:textId="77777777" w:rsidR="00ED0911" w:rsidRPr="00C136CD" w:rsidRDefault="00ED0911" w:rsidP="00ED0911">
            <w:pPr>
              <w:rPr>
                <w:rFonts w:eastAsia="Times New Roman"/>
                <w:sz w:val="26"/>
                <w:szCs w:val="26"/>
                <w:lang w:val="lv-LV" w:eastAsia="lv-LV"/>
              </w:rPr>
            </w:pPr>
          </w:p>
          <w:p w14:paraId="4C483563" w14:textId="77777777" w:rsidR="00ED0911" w:rsidRPr="00C136CD" w:rsidRDefault="00ED0911" w:rsidP="00ED0911">
            <w:pPr>
              <w:rPr>
                <w:rFonts w:eastAsia="Times New Roman"/>
                <w:sz w:val="26"/>
                <w:szCs w:val="26"/>
                <w:lang w:val="lv-LV" w:eastAsia="lv-LV"/>
              </w:rPr>
            </w:pPr>
          </w:p>
          <w:p w14:paraId="5068709A" w14:textId="77777777" w:rsidR="00ED0911" w:rsidRPr="00C136CD" w:rsidRDefault="00ED0911" w:rsidP="00ED0911">
            <w:pPr>
              <w:rPr>
                <w:rFonts w:eastAsia="Times New Roman"/>
                <w:sz w:val="26"/>
                <w:szCs w:val="26"/>
                <w:lang w:val="lv-LV" w:eastAsia="lv-LV"/>
              </w:rPr>
            </w:pPr>
          </w:p>
          <w:p w14:paraId="17CB6891" w14:textId="77777777" w:rsidR="00ED0911" w:rsidRPr="00C136CD" w:rsidRDefault="00ED0911" w:rsidP="00ED0911">
            <w:pPr>
              <w:rPr>
                <w:rFonts w:eastAsia="Times New Roman"/>
                <w:sz w:val="26"/>
                <w:szCs w:val="26"/>
                <w:lang w:val="lv-LV" w:eastAsia="lv-LV"/>
              </w:rPr>
            </w:pPr>
          </w:p>
          <w:p w14:paraId="075C5136" w14:textId="77777777" w:rsidR="00ED0911" w:rsidRPr="00C136CD" w:rsidRDefault="00ED0911" w:rsidP="00ED0911">
            <w:pPr>
              <w:rPr>
                <w:rFonts w:eastAsia="Times New Roman"/>
                <w:sz w:val="26"/>
                <w:szCs w:val="26"/>
                <w:lang w:val="lv-LV" w:eastAsia="lv-LV"/>
              </w:rPr>
            </w:pPr>
          </w:p>
          <w:p w14:paraId="672275B7" w14:textId="77777777" w:rsidR="00ED0911" w:rsidRPr="00C136CD" w:rsidRDefault="00ED0911" w:rsidP="00ED0911">
            <w:pPr>
              <w:rPr>
                <w:rFonts w:eastAsia="Times New Roman"/>
                <w:sz w:val="26"/>
                <w:szCs w:val="26"/>
                <w:lang w:val="lv-LV" w:eastAsia="lv-LV"/>
              </w:rPr>
            </w:pPr>
          </w:p>
          <w:p w14:paraId="2B33C7F1" w14:textId="77777777" w:rsidR="00ED0911" w:rsidRPr="00C136CD" w:rsidRDefault="00ED0911" w:rsidP="00ED0911">
            <w:pPr>
              <w:rPr>
                <w:rFonts w:eastAsia="Times New Roman"/>
                <w:sz w:val="26"/>
                <w:szCs w:val="26"/>
                <w:lang w:val="lv-LV" w:eastAsia="lv-LV"/>
              </w:rPr>
            </w:pPr>
          </w:p>
          <w:p w14:paraId="5D0B200E" w14:textId="77777777" w:rsidR="00ED0911" w:rsidRPr="00C136CD" w:rsidRDefault="00ED0911" w:rsidP="00ED0911">
            <w:pPr>
              <w:rPr>
                <w:rFonts w:eastAsia="Times New Roman"/>
                <w:sz w:val="26"/>
                <w:szCs w:val="26"/>
                <w:lang w:val="lv-LV" w:eastAsia="lv-LV"/>
              </w:rPr>
            </w:pPr>
          </w:p>
          <w:p w14:paraId="4BB861D7" w14:textId="77777777" w:rsidR="00ED0911" w:rsidRPr="00C136CD" w:rsidRDefault="00ED0911" w:rsidP="00ED0911">
            <w:pPr>
              <w:rPr>
                <w:rFonts w:eastAsia="Times New Roman"/>
                <w:sz w:val="26"/>
                <w:szCs w:val="26"/>
                <w:lang w:val="lv-LV" w:eastAsia="lv-LV"/>
              </w:rPr>
            </w:pPr>
          </w:p>
          <w:p w14:paraId="1BC83EFD" w14:textId="77777777" w:rsidR="00ED0911" w:rsidRPr="00C136CD" w:rsidRDefault="00ED0911" w:rsidP="00ED0911">
            <w:pPr>
              <w:rPr>
                <w:rFonts w:eastAsia="Times New Roman"/>
                <w:sz w:val="26"/>
                <w:szCs w:val="26"/>
                <w:lang w:val="lv-LV" w:eastAsia="lv-LV"/>
              </w:rPr>
            </w:pPr>
          </w:p>
          <w:p w14:paraId="6860D7E9" w14:textId="77777777" w:rsidR="00ED0911" w:rsidRPr="00C136CD" w:rsidRDefault="00ED0911" w:rsidP="00ED0911">
            <w:pPr>
              <w:rPr>
                <w:rFonts w:eastAsia="Times New Roman"/>
                <w:sz w:val="26"/>
                <w:szCs w:val="26"/>
                <w:lang w:val="lv-LV" w:eastAsia="lv-LV"/>
              </w:rPr>
            </w:pPr>
          </w:p>
          <w:p w14:paraId="70AB4ED1" w14:textId="77777777" w:rsidR="00ED0911" w:rsidRPr="00C136CD" w:rsidRDefault="00ED0911" w:rsidP="00ED0911">
            <w:pPr>
              <w:rPr>
                <w:rFonts w:eastAsia="Times New Roman"/>
                <w:sz w:val="26"/>
                <w:szCs w:val="26"/>
                <w:lang w:val="lv-LV" w:eastAsia="lv-LV"/>
              </w:rPr>
            </w:pPr>
          </w:p>
          <w:p w14:paraId="40AD4671" w14:textId="6647EF11" w:rsidR="00844176" w:rsidRPr="00C136CD" w:rsidRDefault="00844176" w:rsidP="00ED0911">
            <w:pPr>
              <w:rPr>
                <w:rFonts w:eastAsia="Times New Roman"/>
                <w:sz w:val="26"/>
                <w:szCs w:val="26"/>
                <w:lang w:val="lv-LV" w:eastAsia="lv-LV"/>
              </w:rPr>
            </w:pPr>
          </w:p>
        </w:tc>
        <w:tc>
          <w:tcPr>
            <w:tcW w:w="6727" w:type="dxa"/>
            <w:tcBorders>
              <w:top w:val="outset" w:sz="6" w:space="0" w:color="414142"/>
              <w:left w:val="outset" w:sz="6" w:space="0" w:color="414142"/>
              <w:bottom w:val="outset" w:sz="6" w:space="0" w:color="414142"/>
              <w:right w:val="outset" w:sz="6" w:space="0" w:color="414142"/>
            </w:tcBorders>
          </w:tcPr>
          <w:p w14:paraId="509059FA" w14:textId="46C096DB" w:rsidR="002D5E34" w:rsidRDefault="009577FE" w:rsidP="0047735D">
            <w:pPr>
              <w:autoSpaceDE w:val="0"/>
              <w:autoSpaceDN w:val="0"/>
              <w:jc w:val="both"/>
              <w:rPr>
                <w:rFonts w:eastAsia="Times New Roman"/>
                <w:sz w:val="26"/>
                <w:szCs w:val="26"/>
                <w:lang w:val="lv-LV"/>
              </w:rPr>
            </w:pPr>
            <w:r>
              <w:rPr>
                <w:rFonts w:eastAsia="Times New Roman"/>
                <w:sz w:val="26"/>
                <w:szCs w:val="26"/>
                <w:lang w:val="lv-LV"/>
              </w:rPr>
              <w:lastRenderedPageBreak/>
              <w:t xml:space="preserve">2020.gada 13.oktobrī Eiropas Komisija pieņēma lēmumu izdarīt grozījumus </w:t>
            </w:r>
            <w:r w:rsidRPr="00150256">
              <w:rPr>
                <w:rFonts w:eastAsia="Times New Roman"/>
                <w:color w:val="000000" w:themeColor="text1"/>
                <w:sz w:val="26"/>
                <w:szCs w:val="26"/>
                <w:lang w:val="lv-LV"/>
              </w:rPr>
              <w:t>Eiropas Komisijas 2020.gada 19.marta Komisijas paziņojum</w:t>
            </w:r>
            <w:r w:rsidR="0045729A">
              <w:rPr>
                <w:rFonts w:eastAsia="Times New Roman"/>
                <w:color w:val="000000" w:themeColor="text1"/>
                <w:sz w:val="26"/>
                <w:szCs w:val="26"/>
                <w:lang w:val="lv-LV"/>
              </w:rPr>
              <w:t>ā</w:t>
            </w:r>
            <w:r w:rsidRPr="00150256">
              <w:rPr>
                <w:rFonts w:eastAsia="Times New Roman"/>
                <w:color w:val="000000" w:themeColor="text1"/>
                <w:sz w:val="26"/>
                <w:szCs w:val="26"/>
                <w:lang w:val="lv-LV"/>
              </w:rPr>
              <w:t xml:space="preserve"> “Pagaidu regulējums valsts atbalsta pasākumiem, ar ko atbalsta ekonomiku pašreizējā Covid-19 uzliesmojuma situācijā” (</w:t>
            </w:r>
            <w:r w:rsidRPr="00150256">
              <w:rPr>
                <w:sz w:val="26"/>
                <w:szCs w:val="26"/>
                <w:lang w:val="lv-LV"/>
              </w:rPr>
              <w:t>2020/C 91 I/01</w:t>
            </w:r>
            <w:r w:rsidRPr="00150256">
              <w:rPr>
                <w:rFonts w:eastAsia="Times New Roman"/>
                <w:color w:val="000000" w:themeColor="text1"/>
                <w:sz w:val="26"/>
                <w:szCs w:val="26"/>
                <w:lang w:val="lv-LV"/>
              </w:rPr>
              <w:t>)</w:t>
            </w:r>
            <w:r>
              <w:rPr>
                <w:rFonts w:eastAsia="Times New Roman"/>
                <w:color w:val="000000" w:themeColor="text1"/>
                <w:sz w:val="26"/>
                <w:szCs w:val="26"/>
                <w:lang w:val="lv-LV"/>
              </w:rPr>
              <w:t>.</w:t>
            </w:r>
            <w:r w:rsidR="00A312C7">
              <w:rPr>
                <w:rFonts w:eastAsia="Times New Roman"/>
                <w:sz w:val="26"/>
                <w:szCs w:val="26"/>
                <w:lang w:val="lv-LV"/>
              </w:rPr>
              <w:t xml:space="preserve">Lai turpinātu mazināt Covid-19 pandēmijas izraisītas krīzes negatīvo ietekmi uz Latvijas </w:t>
            </w:r>
            <w:r w:rsidR="00A312C7">
              <w:rPr>
                <w:rFonts w:eastAsia="Times New Roman"/>
                <w:sz w:val="26"/>
                <w:szCs w:val="26"/>
                <w:lang w:val="lv-LV"/>
              </w:rPr>
              <w:lastRenderedPageBreak/>
              <w:t xml:space="preserve">eksportētājiem, </w:t>
            </w:r>
            <w:proofErr w:type="spellStart"/>
            <w:r w:rsidR="00A312C7">
              <w:rPr>
                <w:rFonts w:eastAsia="Times New Roman"/>
                <w:sz w:val="26"/>
                <w:szCs w:val="26"/>
                <w:lang w:val="lv-LV"/>
              </w:rPr>
              <w:t>g</w:t>
            </w:r>
            <w:r w:rsidR="002E2217">
              <w:rPr>
                <w:rFonts w:eastAsia="Times New Roman"/>
                <w:sz w:val="26"/>
                <w:szCs w:val="26"/>
                <w:lang w:val="lv-LV"/>
              </w:rPr>
              <w:t>rozījum</w:t>
            </w:r>
            <w:r w:rsidR="00A312C7">
              <w:rPr>
                <w:rFonts w:eastAsia="Times New Roman"/>
                <w:sz w:val="26"/>
                <w:szCs w:val="26"/>
                <w:lang w:val="lv-LV"/>
              </w:rPr>
              <w:t>u</w:t>
            </w:r>
            <w:r w:rsidR="002E2217">
              <w:rPr>
                <w:rFonts w:eastAsia="Times New Roman"/>
                <w:sz w:val="26"/>
                <w:szCs w:val="26"/>
                <w:lang w:val="lv-LV"/>
              </w:rPr>
              <w:t>u</w:t>
            </w:r>
            <w:proofErr w:type="spellEnd"/>
            <w:r w:rsidR="002D5E34">
              <w:rPr>
                <w:rFonts w:eastAsia="Times New Roman"/>
                <w:sz w:val="26"/>
                <w:szCs w:val="26"/>
                <w:lang w:val="lv-LV"/>
              </w:rPr>
              <w:t xml:space="preserve"> mērķis cita starpā ir</w:t>
            </w:r>
            <w:r w:rsidR="002E2217">
              <w:rPr>
                <w:rFonts w:eastAsia="Times New Roman"/>
                <w:sz w:val="26"/>
                <w:szCs w:val="26"/>
                <w:lang w:val="lv-LV"/>
              </w:rPr>
              <w:t xml:space="preserve"> līdz 2021.gada 30.jūnijam (iepriekš</w:t>
            </w:r>
            <w:r w:rsidR="0047735D">
              <w:rPr>
                <w:rFonts w:eastAsia="Times New Roman"/>
                <w:sz w:val="26"/>
                <w:szCs w:val="26"/>
                <w:lang w:val="lv-LV"/>
              </w:rPr>
              <w:t xml:space="preserve"> </w:t>
            </w:r>
            <w:r w:rsidR="007714B8">
              <w:rPr>
                <w:rFonts w:eastAsia="Times New Roman"/>
                <w:sz w:val="26"/>
                <w:szCs w:val="26"/>
                <w:lang w:val="lv-LV"/>
              </w:rPr>
              <w:t>-</w:t>
            </w:r>
            <w:r w:rsidR="002E2217">
              <w:rPr>
                <w:rFonts w:eastAsia="Times New Roman"/>
                <w:sz w:val="26"/>
                <w:szCs w:val="26"/>
                <w:lang w:val="lv-LV"/>
              </w:rPr>
              <w:t xml:space="preserve"> līdz 2020.gada 31.decembrim) pagarināt termiņu, līdz kuram</w:t>
            </w:r>
            <w:r w:rsidR="0047735D">
              <w:rPr>
                <w:rFonts w:eastAsia="Times New Roman"/>
                <w:sz w:val="26"/>
                <w:szCs w:val="26"/>
                <w:lang w:val="lv-LV"/>
              </w:rPr>
              <w:t xml:space="preserve"> nododamo risku valstis, </w:t>
            </w:r>
            <w:r w:rsidR="0047735D" w:rsidRPr="002D5E34">
              <w:rPr>
                <w:rFonts w:eastAsia="Times New Roman"/>
                <w:sz w:val="26"/>
                <w:szCs w:val="26"/>
                <w:lang w:val="lv-LV"/>
              </w:rPr>
              <w:t>kas iekļaut</w:t>
            </w:r>
            <w:r w:rsidR="0047735D">
              <w:rPr>
                <w:rFonts w:eastAsia="Times New Roman"/>
                <w:sz w:val="26"/>
                <w:szCs w:val="26"/>
                <w:lang w:val="lv-LV"/>
              </w:rPr>
              <w:t>as</w:t>
            </w:r>
            <w:r w:rsidR="0047735D" w:rsidRPr="002D5E34">
              <w:rPr>
                <w:rFonts w:eastAsia="Times New Roman"/>
                <w:sz w:val="26"/>
                <w:szCs w:val="26"/>
                <w:lang w:val="lv-LV"/>
              </w:rPr>
              <w:t xml:space="preserve"> pielikumā Komisijas </w:t>
            </w:r>
            <w:r w:rsidR="00643C60">
              <w:rPr>
                <w:rFonts w:eastAsia="Times New Roman"/>
                <w:sz w:val="26"/>
                <w:szCs w:val="26"/>
                <w:lang w:val="lv-LV"/>
              </w:rPr>
              <w:t>p</w:t>
            </w:r>
            <w:r w:rsidR="0047735D" w:rsidRPr="002D5E34">
              <w:rPr>
                <w:rFonts w:eastAsia="Times New Roman"/>
                <w:sz w:val="26"/>
                <w:szCs w:val="26"/>
                <w:lang w:val="lv-LV"/>
              </w:rPr>
              <w:t>aziņojum</w:t>
            </w:r>
            <w:r w:rsidR="005B3CC0">
              <w:rPr>
                <w:rFonts w:eastAsia="Times New Roman"/>
                <w:sz w:val="26"/>
                <w:szCs w:val="26"/>
                <w:lang w:val="lv-LV"/>
              </w:rPr>
              <w:t>am</w:t>
            </w:r>
            <w:r w:rsidR="00643C60">
              <w:rPr>
                <w:rFonts w:eastAsia="Times New Roman"/>
                <w:sz w:val="26"/>
                <w:szCs w:val="26"/>
                <w:lang w:val="lv-LV"/>
              </w:rPr>
              <w:t xml:space="preserve"> par ĪEKG</w:t>
            </w:r>
            <w:r w:rsidR="0047735D">
              <w:rPr>
                <w:rStyle w:val="FootnoteReference"/>
                <w:rFonts w:eastAsia="Times New Roman"/>
                <w:sz w:val="26"/>
                <w:szCs w:val="26"/>
                <w:lang w:val="lv-LV"/>
              </w:rPr>
              <w:footnoteReference w:id="2"/>
            </w:r>
            <w:r w:rsidR="005B3CC0">
              <w:rPr>
                <w:rFonts w:eastAsia="Times New Roman"/>
                <w:sz w:val="26"/>
                <w:szCs w:val="26"/>
                <w:lang w:val="lv-LV"/>
              </w:rPr>
              <w:t xml:space="preserve"> </w:t>
            </w:r>
            <w:r w:rsidR="0047735D">
              <w:rPr>
                <w:rFonts w:eastAsia="Times New Roman"/>
                <w:sz w:val="26"/>
                <w:szCs w:val="26"/>
                <w:lang w:val="lv-LV"/>
              </w:rPr>
              <w:t>pagaidu kārtā tiek noteiktas kā valstis, kuru riski ir nenododami</w:t>
            </w:r>
            <w:r w:rsidR="00A312C7">
              <w:rPr>
                <w:rFonts w:eastAsia="Times New Roman"/>
                <w:sz w:val="26"/>
                <w:szCs w:val="26"/>
                <w:lang w:val="lv-LV"/>
              </w:rPr>
              <w:t xml:space="preserve"> (Noteikumu projekta 4.punkts).</w:t>
            </w:r>
          </w:p>
          <w:p w14:paraId="1677879E" w14:textId="77777777" w:rsidR="0047735D" w:rsidRDefault="0047735D" w:rsidP="006978F7">
            <w:pPr>
              <w:autoSpaceDE w:val="0"/>
              <w:autoSpaceDN w:val="0"/>
              <w:jc w:val="both"/>
              <w:rPr>
                <w:rFonts w:eastAsia="Times New Roman"/>
                <w:sz w:val="26"/>
                <w:szCs w:val="26"/>
                <w:lang w:val="lv-LV"/>
              </w:rPr>
            </w:pPr>
          </w:p>
          <w:p w14:paraId="0E04BA1A" w14:textId="2A7E1109" w:rsidR="006978F7" w:rsidRDefault="00A47501" w:rsidP="006978F7">
            <w:pPr>
              <w:autoSpaceDE w:val="0"/>
              <w:autoSpaceDN w:val="0"/>
              <w:jc w:val="both"/>
              <w:rPr>
                <w:rFonts w:eastAsia="Times New Roman"/>
                <w:sz w:val="26"/>
                <w:szCs w:val="26"/>
                <w:lang w:val="lv-LV"/>
              </w:rPr>
            </w:pPr>
            <w:r>
              <w:rPr>
                <w:rFonts w:eastAsia="Times New Roman"/>
                <w:sz w:val="26"/>
                <w:szCs w:val="26"/>
                <w:lang w:val="lv-LV"/>
              </w:rPr>
              <w:t>Eiropas Komisijas konsultācijās ar dalībvalstīm tika secināts, ka l</w:t>
            </w:r>
            <w:r w:rsidR="007714B8" w:rsidRPr="007714B8">
              <w:rPr>
                <w:rFonts w:eastAsia="Times New Roman"/>
                <w:sz w:val="26"/>
                <w:szCs w:val="26"/>
                <w:lang w:val="lv-LV"/>
              </w:rPr>
              <w:t>ielākā daļa valsts apdrošinātāju ir reģistrējuši kredītu apdrošināšanas polišu pieprasījumu skaita</w:t>
            </w:r>
            <w:r w:rsidR="007714B8">
              <w:rPr>
                <w:rFonts w:eastAsia="Times New Roman"/>
                <w:sz w:val="26"/>
                <w:szCs w:val="26"/>
                <w:lang w:val="lv-LV"/>
              </w:rPr>
              <w:t xml:space="preserve"> </w:t>
            </w:r>
            <w:r w:rsidR="007714B8" w:rsidRPr="007714B8">
              <w:rPr>
                <w:rFonts w:eastAsia="Times New Roman"/>
                <w:sz w:val="26"/>
                <w:szCs w:val="26"/>
                <w:lang w:val="lv-LV"/>
              </w:rPr>
              <w:t xml:space="preserve">ievērojamu pieaugumu eksportam uz nododamo risku valstīm. </w:t>
            </w:r>
            <w:r w:rsidR="00FD0BB0">
              <w:rPr>
                <w:rFonts w:eastAsia="Times New Roman"/>
                <w:sz w:val="26"/>
                <w:szCs w:val="26"/>
                <w:lang w:val="lv-LV"/>
              </w:rPr>
              <w:t>Vispārējās pazīmes Eiropas Savienībā liecina, ka</w:t>
            </w:r>
            <w:r w:rsidR="00FD0BB0" w:rsidRPr="0099755E">
              <w:rPr>
                <w:lang w:val="lv-LV"/>
              </w:rPr>
              <w:t xml:space="preserve"> </w:t>
            </w:r>
            <w:r w:rsidR="00FD0BB0" w:rsidRPr="00FD0BB0">
              <w:rPr>
                <w:rFonts w:eastAsia="Times New Roman"/>
                <w:sz w:val="26"/>
                <w:szCs w:val="26"/>
                <w:lang w:val="lv-LV"/>
              </w:rPr>
              <w:t>joprojām pastāv pietiekam</w:t>
            </w:r>
            <w:r w:rsidR="00FD0BB0">
              <w:rPr>
                <w:rFonts w:eastAsia="Times New Roman"/>
                <w:sz w:val="26"/>
                <w:szCs w:val="26"/>
                <w:lang w:val="lv-LV"/>
              </w:rPr>
              <w:t>a privātā piedāvājuma trūkums</w:t>
            </w:r>
            <w:r w:rsidR="00FD0BB0" w:rsidRPr="00FD0BB0">
              <w:rPr>
                <w:rFonts w:eastAsia="Times New Roman"/>
                <w:sz w:val="26"/>
                <w:szCs w:val="26"/>
                <w:lang w:val="lv-LV"/>
              </w:rPr>
              <w:t xml:space="preserve">, lai segtu visus ekonomiski pamatotos riskus eksportam uz nododamo risku </w:t>
            </w:r>
            <w:r w:rsidR="00FD0BB0">
              <w:rPr>
                <w:rFonts w:eastAsia="Times New Roman"/>
                <w:sz w:val="26"/>
                <w:szCs w:val="26"/>
                <w:lang w:val="lv-LV"/>
              </w:rPr>
              <w:t>valstīm</w:t>
            </w:r>
            <w:r w:rsidR="00FD0BB0" w:rsidRPr="00FD0BB0">
              <w:rPr>
                <w:rFonts w:eastAsia="Times New Roman"/>
                <w:sz w:val="26"/>
                <w:szCs w:val="26"/>
                <w:lang w:val="lv-LV"/>
              </w:rPr>
              <w:t xml:space="preserve">. </w:t>
            </w:r>
            <w:r w:rsidR="00FD0BB0">
              <w:rPr>
                <w:rFonts w:eastAsia="Times New Roman"/>
                <w:sz w:val="26"/>
                <w:szCs w:val="26"/>
                <w:lang w:val="lv-LV"/>
              </w:rPr>
              <w:t xml:space="preserve">Līdz ar to </w:t>
            </w:r>
            <w:r w:rsidR="00FD0BB0" w:rsidRPr="00FD0BB0">
              <w:rPr>
                <w:rFonts w:eastAsia="Times New Roman"/>
                <w:sz w:val="26"/>
                <w:szCs w:val="26"/>
                <w:lang w:val="lv-LV"/>
              </w:rPr>
              <w:t>vis</w:t>
            </w:r>
            <w:r w:rsidR="00FD0BB0">
              <w:rPr>
                <w:rFonts w:eastAsia="Times New Roman"/>
                <w:sz w:val="26"/>
                <w:szCs w:val="26"/>
                <w:lang w:val="lv-LV"/>
              </w:rPr>
              <w:t xml:space="preserve">i </w:t>
            </w:r>
            <w:r w:rsidR="00FD0BB0" w:rsidRPr="00FD0BB0">
              <w:rPr>
                <w:rFonts w:eastAsia="Times New Roman"/>
                <w:sz w:val="26"/>
                <w:szCs w:val="26"/>
                <w:lang w:val="lv-LV"/>
              </w:rPr>
              <w:t>komerciāl</w:t>
            </w:r>
            <w:r w:rsidR="00FD0BB0">
              <w:rPr>
                <w:rFonts w:eastAsia="Times New Roman"/>
                <w:sz w:val="26"/>
                <w:szCs w:val="26"/>
                <w:lang w:val="lv-LV"/>
              </w:rPr>
              <w:t>ie</w:t>
            </w:r>
            <w:r w:rsidR="00FD0BB0" w:rsidRPr="00FD0BB0">
              <w:rPr>
                <w:rFonts w:eastAsia="Times New Roman"/>
                <w:sz w:val="26"/>
                <w:szCs w:val="26"/>
                <w:lang w:val="lv-LV"/>
              </w:rPr>
              <w:t xml:space="preserve"> un</w:t>
            </w:r>
            <w:r w:rsidR="00FD0BB0">
              <w:rPr>
                <w:rFonts w:eastAsia="Times New Roman"/>
                <w:sz w:val="26"/>
                <w:szCs w:val="26"/>
                <w:lang w:val="lv-LV"/>
              </w:rPr>
              <w:t xml:space="preserve"> </w:t>
            </w:r>
            <w:r w:rsidR="00FD0BB0" w:rsidRPr="00FD0BB0">
              <w:rPr>
                <w:rFonts w:eastAsia="Times New Roman"/>
                <w:sz w:val="26"/>
                <w:szCs w:val="26"/>
                <w:lang w:val="lv-LV"/>
              </w:rPr>
              <w:t>politisk</w:t>
            </w:r>
            <w:r w:rsidR="00FD0BB0">
              <w:rPr>
                <w:rFonts w:eastAsia="Times New Roman"/>
                <w:sz w:val="26"/>
                <w:szCs w:val="26"/>
                <w:lang w:val="lv-LV"/>
              </w:rPr>
              <w:t>ie</w:t>
            </w:r>
            <w:r w:rsidR="00FD0BB0" w:rsidRPr="00FD0BB0">
              <w:rPr>
                <w:rFonts w:eastAsia="Times New Roman"/>
                <w:sz w:val="26"/>
                <w:szCs w:val="26"/>
                <w:lang w:val="lv-LV"/>
              </w:rPr>
              <w:t xml:space="preserve"> risk</w:t>
            </w:r>
            <w:r w:rsidR="00FD0BB0">
              <w:rPr>
                <w:rFonts w:eastAsia="Times New Roman"/>
                <w:sz w:val="26"/>
                <w:szCs w:val="26"/>
                <w:lang w:val="lv-LV"/>
              </w:rPr>
              <w:t>i</w:t>
            </w:r>
            <w:r w:rsidR="00FD0BB0" w:rsidRPr="00FD0BB0">
              <w:rPr>
                <w:rFonts w:eastAsia="Times New Roman"/>
                <w:sz w:val="26"/>
                <w:szCs w:val="26"/>
                <w:lang w:val="lv-LV"/>
              </w:rPr>
              <w:t xml:space="preserve">, kas saistīti ar eksportu uz </w:t>
            </w:r>
            <w:r w:rsidR="005B3CC0">
              <w:rPr>
                <w:rFonts w:eastAsia="Times New Roman"/>
                <w:sz w:val="26"/>
                <w:szCs w:val="26"/>
                <w:lang w:val="lv-LV"/>
              </w:rPr>
              <w:t>Komisijas paziņojuma</w:t>
            </w:r>
            <w:r w:rsidR="00FD0BB0" w:rsidRPr="00FD0BB0">
              <w:rPr>
                <w:rFonts w:eastAsia="Times New Roman"/>
                <w:sz w:val="26"/>
                <w:szCs w:val="26"/>
                <w:lang w:val="lv-LV"/>
              </w:rPr>
              <w:t xml:space="preserve"> pielikumā uzskaitītajām valstīm</w:t>
            </w:r>
            <w:r w:rsidR="00FD0BB0">
              <w:rPr>
                <w:rFonts w:eastAsia="Times New Roman"/>
                <w:sz w:val="26"/>
                <w:szCs w:val="26"/>
                <w:lang w:val="lv-LV"/>
              </w:rPr>
              <w:t xml:space="preserve"> </w:t>
            </w:r>
            <w:r w:rsidR="00FD0BB0" w:rsidRPr="00FD0BB0">
              <w:rPr>
                <w:rFonts w:eastAsia="Times New Roman"/>
                <w:sz w:val="26"/>
                <w:szCs w:val="26"/>
                <w:lang w:val="lv-LV"/>
              </w:rPr>
              <w:t>pagaidu kārtā</w:t>
            </w:r>
            <w:r w:rsidR="00FD0BB0">
              <w:rPr>
                <w:rFonts w:eastAsia="Times New Roman"/>
                <w:sz w:val="26"/>
                <w:szCs w:val="26"/>
                <w:lang w:val="lv-LV"/>
              </w:rPr>
              <w:t xml:space="preserve"> tiek</w:t>
            </w:r>
            <w:r w:rsidR="00FD0BB0" w:rsidRPr="00FD0BB0">
              <w:rPr>
                <w:rFonts w:eastAsia="Times New Roman"/>
                <w:sz w:val="26"/>
                <w:szCs w:val="26"/>
                <w:lang w:val="lv-LV"/>
              </w:rPr>
              <w:t xml:space="preserve"> uzskatī</w:t>
            </w:r>
            <w:r w:rsidR="00FD0BB0">
              <w:rPr>
                <w:rFonts w:eastAsia="Times New Roman"/>
                <w:sz w:val="26"/>
                <w:szCs w:val="26"/>
                <w:lang w:val="lv-LV"/>
              </w:rPr>
              <w:t xml:space="preserve">ti </w:t>
            </w:r>
            <w:r w:rsidR="00FD0BB0" w:rsidRPr="00FD0BB0">
              <w:rPr>
                <w:rFonts w:eastAsia="Times New Roman"/>
                <w:sz w:val="26"/>
                <w:szCs w:val="26"/>
                <w:lang w:val="lv-LV"/>
              </w:rPr>
              <w:t>par</w:t>
            </w:r>
            <w:r w:rsidR="00FD0BB0">
              <w:rPr>
                <w:rFonts w:eastAsia="Times New Roman"/>
                <w:sz w:val="26"/>
                <w:szCs w:val="26"/>
                <w:lang w:val="lv-LV"/>
              </w:rPr>
              <w:t xml:space="preserve"> </w:t>
            </w:r>
            <w:r w:rsidR="00FD0BB0" w:rsidRPr="00FD0BB0">
              <w:rPr>
                <w:rFonts w:eastAsia="Times New Roman"/>
                <w:sz w:val="26"/>
                <w:szCs w:val="26"/>
                <w:lang w:val="lv-LV"/>
              </w:rPr>
              <w:t>nenododamiem</w:t>
            </w:r>
            <w:r w:rsidR="003F24C7">
              <w:rPr>
                <w:rFonts w:eastAsia="Times New Roman"/>
                <w:sz w:val="26"/>
                <w:szCs w:val="26"/>
                <w:lang w:val="lv-LV"/>
              </w:rPr>
              <w:t xml:space="preserve"> (</w:t>
            </w:r>
            <w:r w:rsidR="00EB1612" w:rsidRPr="00EB1612">
              <w:rPr>
                <w:rFonts w:eastAsia="Times New Roman"/>
                <w:sz w:val="26"/>
                <w:szCs w:val="26"/>
                <w:lang w:val="lv-LV"/>
              </w:rPr>
              <w:t>Amerikas Savienotās Valstis, Apvienotā Karaliste, Austrālija, Austrija, Beļģija, Bulgārija, Čehija, Dānija, Francija, Grieķija, Horvātija, Igaunija, Islande, Itālija, Īrija, Japāna, Jaunzēlande, Kanāda, Kipra, Latvija, Lietuva, Luksemburga, Malta, Nīderlande, Norvēģija, Polija, Portugāle, Rumānija, Slovākija, Slovēnija, Somija, Spānija, Šveice, Ungārija, Vācija, Zviedrija</w:t>
            </w:r>
            <w:r w:rsidR="003F24C7" w:rsidRPr="003F24C7">
              <w:rPr>
                <w:rFonts w:eastAsia="Times New Roman"/>
                <w:sz w:val="26"/>
                <w:szCs w:val="26"/>
                <w:lang w:val="lv-LV"/>
              </w:rPr>
              <w:t>)</w:t>
            </w:r>
            <w:r w:rsidRPr="00A47501">
              <w:rPr>
                <w:rFonts w:eastAsia="Times New Roman"/>
                <w:sz w:val="26"/>
                <w:szCs w:val="26"/>
                <w:vertAlign w:val="superscript"/>
                <w:lang w:val="lv-LV"/>
              </w:rPr>
              <w:t>1</w:t>
            </w:r>
            <w:r w:rsidR="006978F7" w:rsidRPr="003F24C7">
              <w:rPr>
                <w:rFonts w:eastAsia="Times New Roman"/>
                <w:sz w:val="26"/>
                <w:szCs w:val="26"/>
                <w:lang w:val="lv-LV"/>
              </w:rPr>
              <w:t>.</w:t>
            </w:r>
          </w:p>
          <w:p w14:paraId="34771D4B" w14:textId="337C72D6" w:rsidR="00552F3A" w:rsidRDefault="00552F3A" w:rsidP="006978F7">
            <w:pPr>
              <w:autoSpaceDE w:val="0"/>
              <w:autoSpaceDN w:val="0"/>
              <w:jc w:val="both"/>
              <w:rPr>
                <w:rFonts w:eastAsia="Times New Roman"/>
                <w:sz w:val="26"/>
                <w:szCs w:val="26"/>
                <w:lang w:val="lv-LV"/>
              </w:rPr>
            </w:pPr>
          </w:p>
          <w:p w14:paraId="3105DE8E" w14:textId="438AC642" w:rsidR="006678E3" w:rsidRDefault="005B3CC0" w:rsidP="006678E3">
            <w:pPr>
              <w:autoSpaceDE w:val="0"/>
              <w:autoSpaceDN w:val="0"/>
              <w:jc w:val="both"/>
              <w:rPr>
                <w:rFonts w:eastAsia="Times New Roman"/>
                <w:sz w:val="26"/>
                <w:szCs w:val="26"/>
                <w:lang w:val="lv-LV"/>
              </w:rPr>
            </w:pPr>
            <w:r>
              <w:rPr>
                <w:sz w:val="26"/>
                <w:szCs w:val="26"/>
                <w:lang w:val="lv-LV"/>
              </w:rPr>
              <w:t>A</w:t>
            </w:r>
            <w:r w:rsidRPr="005B3CC0">
              <w:rPr>
                <w:sz w:val="26"/>
                <w:szCs w:val="26"/>
                <w:lang w:val="lv-LV"/>
              </w:rPr>
              <w:t>kciju sabiedrība</w:t>
            </w:r>
            <w:r>
              <w:rPr>
                <w:sz w:val="26"/>
                <w:szCs w:val="26"/>
                <w:lang w:val="lv-LV"/>
              </w:rPr>
              <w:t>s</w:t>
            </w:r>
            <w:r w:rsidRPr="005B3CC0">
              <w:rPr>
                <w:sz w:val="26"/>
                <w:szCs w:val="26"/>
                <w:lang w:val="lv-LV"/>
              </w:rPr>
              <w:t xml:space="preserve"> “Attīstības finanšu institūcija </w:t>
            </w:r>
            <w:proofErr w:type="spellStart"/>
            <w:r w:rsidRPr="005B3CC0">
              <w:rPr>
                <w:sz w:val="26"/>
                <w:szCs w:val="26"/>
                <w:lang w:val="lv-LV"/>
              </w:rPr>
              <w:t>Altum</w:t>
            </w:r>
            <w:proofErr w:type="spellEnd"/>
            <w:r w:rsidRPr="005B3CC0">
              <w:rPr>
                <w:sz w:val="26"/>
                <w:szCs w:val="26"/>
                <w:lang w:val="lv-LV"/>
              </w:rPr>
              <w:t>” (</w:t>
            </w:r>
            <w:r>
              <w:rPr>
                <w:sz w:val="26"/>
                <w:szCs w:val="26"/>
                <w:lang w:val="lv-LV"/>
              </w:rPr>
              <w:t xml:space="preserve">turpmāk – sabiedrība </w:t>
            </w:r>
            <w:proofErr w:type="spellStart"/>
            <w:r w:rsidR="00DE76B5">
              <w:rPr>
                <w:rFonts w:eastAsia="Times New Roman"/>
                <w:sz w:val="26"/>
                <w:szCs w:val="26"/>
                <w:lang w:val="lv-LV"/>
              </w:rPr>
              <w:t>Altum</w:t>
            </w:r>
            <w:proofErr w:type="spellEnd"/>
            <w:r>
              <w:rPr>
                <w:rFonts w:eastAsia="Times New Roman"/>
                <w:sz w:val="26"/>
                <w:szCs w:val="26"/>
                <w:lang w:val="lv-LV"/>
              </w:rPr>
              <w:t>)</w:t>
            </w:r>
            <w:r w:rsidR="00DE76B5">
              <w:rPr>
                <w:rFonts w:eastAsia="Times New Roman"/>
                <w:sz w:val="26"/>
                <w:szCs w:val="26"/>
                <w:lang w:val="lv-LV"/>
              </w:rPr>
              <w:t xml:space="preserve"> </w:t>
            </w:r>
            <w:r>
              <w:rPr>
                <w:rFonts w:eastAsia="Times New Roman"/>
                <w:sz w:val="26"/>
                <w:szCs w:val="26"/>
                <w:lang w:val="lv-LV"/>
              </w:rPr>
              <w:t xml:space="preserve">2020.gadā </w:t>
            </w:r>
            <w:r w:rsidR="006678E3" w:rsidRPr="006678E3">
              <w:rPr>
                <w:rFonts w:eastAsia="Times New Roman"/>
                <w:sz w:val="26"/>
                <w:szCs w:val="26"/>
                <w:lang w:val="lv-LV"/>
              </w:rPr>
              <w:t xml:space="preserve">izsniegto </w:t>
            </w:r>
            <w:r>
              <w:rPr>
                <w:rFonts w:eastAsia="Times New Roman"/>
                <w:sz w:val="26"/>
                <w:szCs w:val="26"/>
                <w:lang w:val="lv-LV"/>
              </w:rPr>
              <w:t xml:space="preserve">eksporta kredītu </w:t>
            </w:r>
            <w:r w:rsidR="006678E3" w:rsidRPr="006678E3">
              <w:rPr>
                <w:rFonts w:eastAsia="Times New Roman"/>
                <w:sz w:val="26"/>
                <w:szCs w:val="26"/>
                <w:lang w:val="lv-LV"/>
              </w:rPr>
              <w:t xml:space="preserve">garantiju apjoms </w:t>
            </w:r>
            <w:r w:rsidR="0028302E">
              <w:rPr>
                <w:rFonts w:eastAsia="Times New Roman"/>
                <w:sz w:val="26"/>
                <w:szCs w:val="26"/>
                <w:lang w:val="lv-LV"/>
              </w:rPr>
              <w:t>ir</w:t>
            </w:r>
            <w:r w:rsidR="006678E3" w:rsidRPr="006678E3">
              <w:rPr>
                <w:rFonts w:eastAsia="Times New Roman"/>
                <w:sz w:val="26"/>
                <w:szCs w:val="26"/>
                <w:lang w:val="lv-LV"/>
              </w:rPr>
              <w:t xml:space="preserve"> </w:t>
            </w:r>
            <w:r w:rsidR="0028302E">
              <w:rPr>
                <w:rFonts w:eastAsia="Times New Roman"/>
                <w:sz w:val="26"/>
                <w:szCs w:val="26"/>
                <w:lang w:val="lv-LV"/>
              </w:rPr>
              <w:t>9</w:t>
            </w:r>
            <w:r w:rsidR="006678E3" w:rsidRPr="006678E3">
              <w:rPr>
                <w:rFonts w:eastAsia="Times New Roman"/>
                <w:sz w:val="26"/>
                <w:szCs w:val="26"/>
                <w:lang w:val="lv-LV"/>
              </w:rPr>
              <w:t xml:space="preserve"> m</w:t>
            </w:r>
            <w:r>
              <w:rPr>
                <w:rFonts w:eastAsia="Times New Roman"/>
                <w:sz w:val="26"/>
                <w:szCs w:val="26"/>
                <w:lang w:val="lv-LV"/>
              </w:rPr>
              <w:t>ilj.</w:t>
            </w:r>
            <w:r w:rsidR="006678E3" w:rsidRPr="006678E3">
              <w:rPr>
                <w:rFonts w:eastAsia="Times New Roman"/>
                <w:sz w:val="26"/>
                <w:szCs w:val="26"/>
                <w:lang w:val="lv-LV"/>
              </w:rPr>
              <w:t xml:space="preserve"> EUR (t.sk., uz attīstītajām valstīm izsniegto garantiju apjoms ~ 5 milj. EUR</w:t>
            </w:r>
            <w:r w:rsidR="00A64B0F">
              <w:rPr>
                <w:rFonts w:eastAsia="Times New Roman"/>
                <w:sz w:val="26"/>
                <w:szCs w:val="26"/>
                <w:lang w:val="lv-LV"/>
              </w:rPr>
              <w:t xml:space="preserve"> (70 pieteikumi)</w:t>
            </w:r>
            <w:r w:rsidR="006678E3" w:rsidRPr="006678E3">
              <w:rPr>
                <w:rFonts w:eastAsia="Times New Roman"/>
                <w:sz w:val="26"/>
                <w:szCs w:val="26"/>
                <w:lang w:val="lv-LV"/>
              </w:rPr>
              <w:t>), līdz ar to secināms, ka sākot ar marta mēnesi pieteikumu plūsma ir 3 līdz 5 reizes lielāka nekā 2019.gada attiecīgajos mēnešos</w:t>
            </w:r>
            <w:r w:rsidR="0028302E">
              <w:rPr>
                <w:rFonts w:eastAsia="Times New Roman"/>
                <w:sz w:val="26"/>
                <w:szCs w:val="26"/>
                <w:lang w:val="lv-LV"/>
              </w:rPr>
              <w:t xml:space="preserve"> (skat. salīdzinājums tabulā)</w:t>
            </w:r>
            <w:r w:rsidR="006678E3" w:rsidRPr="006678E3">
              <w:rPr>
                <w:rFonts w:eastAsia="Times New Roman"/>
                <w:sz w:val="26"/>
                <w:szCs w:val="26"/>
                <w:lang w:val="lv-LV"/>
              </w:rPr>
              <w:t>.</w:t>
            </w:r>
          </w:p>
          <w:p w14:paraId="6F529A35" w14:textId="4EF2E4F4" w:rsidR="006678E3" w:rsidRDefault="006678E3" w:rsidP="006678E3">
            <w:pPr>
              <w:autoSpaceDE w:val="0"/>
              <w:autoSpaceDN w:val="0"/>
              <w:jc w:val="both"/>
              <w:rPr>
                <w:rFonts w:eastAsia="Times New Roman"/>
                <w:sz w:val="26"/>
                <w:szCs w:val="26"/>
                <w:lang w:val="lv-LV"/>
              </w:rPr>
            </w:pPr>
          </w:p>
          <w:tbl>
            <w:tblPr>
              <w:tblStyle w:val="TableGridLight"/>
              <w:tblW w:w="6242" w:type="dxa"/>
              <w:tblInd w:w="109" w:type="dxa"/>
              <w:tblLayout w:type="fixed"/>
              <w:tblLook w:val="04A0" w:firstRow="1" w:lastRow="0" w:firstColumn="1" w:lastColumn="0" w:noHBand="0" w:noVBand="1"/>
            </w:tblPr>
            <w:tblGrid>
              <w:gridCol w:w="2501"/>
              <w:gridCol w:w="935"/>
              <w:gridCol w:w="935"/>
              <w:gridCol w:w="28"/>
              <w:gridCol w:w="907"/>
              <w:gridCol w:w="936"/>
            </w:tblGrid>
            <w:tr w:rsidR="0028302E" w:rsidRPr="006678E3" w14:paraId="08496828" w14:textId="77777777" w:rsidTr="002C1312">
              <w:trPr>
                <w:trHeight w:val="270"/>
              </w:trPr>
              <w:tc>
                <w:tcPr>
                  <w:tcW w:w="2501" w:type="dxa"/>
                  <w:vMerge w:val="restart"/>
                  <w:noWrap/>
                  <w:hideMark/>
                </w:tcPr>
                <w:p w14:paraId="6818FEFA" w14:textId="0AFE6ECB" w:rsidR="0028302E" w:rsidRPr="006678E3" w:rsidRDefault="00026FFF" w:rsidP="0028302E">
                  <w:pPr>
                    <w:rPr>
                      <w:rFonts w:eastAsia="Times New Roman"/>
                      <w:lang w:val="lv-LV"/>
                    </w:rPr>
                  </w:pPr>
                  <w:r>
                    <w:rPr>
                      <w:rFonts w:eastAsia="Times New Roman"/>
                      <w:lang w:val="lv-LV"/>
                    </w:rPr>
                    <w:t xml:space="preserve">Salīdzinājums par attiecīgo periodu </w:t>
                  </w:r>
                  <w:r w:rsidR="002D7ABF">
                    <w:rPr>
                      <w:rFonts w:eastAsia="Times New Roman"/>
                      <w:lang w:val="lv-LV"/>
                    </w:rPr>
                    <w:t xml:space="preserve">2019.gadā un 2020.gadā </w:t>
                  </w:r>
                  <w:r>
                    <w:rPr>
                      <w:rFonts w:eastAsia="Times New Roman"/>
                      <w:lang w:val="lv-LV"/>
                    </w:rPr>
                    <w:t>(</w:t>
                  </w:r>
                  <w:proofErr w:type="spellStart"/>
                  <w:r>
                    <w:rPr>
                      <w:rFonts w:eastAsia="Times New Roman"/>
                      <w:lang w:val="lv-LV"/>
                    </w:rPr>
                    <w:t>Altum</w:t>
                  </w:r>
                  <w:proofErr w:type="spellEnd"/>
                  <w:r>
                    <w:rPr>
                      <w:rFonts w:eastAsia="Times New Roman"/>
                      <w:lang w:val="lv-LV"/>
                    </w:rPr>
                    <w:t xml:space="preserve"> dati)</w:t>
                  </w:r>
                </w:p>
              </w:tc>
              <w:tc>
                <w:tcPr>
                  <w:tcW w:w="1898" w:type="dxa"/>
                  <w:gridSpan w:val="3"/>
                  <w:noWrap/>
                  <w:hideMark/>
                </w:tcPr>
                <w:p w14:paraId="21FAA606" w14:textId="77777777" w:rsidR="0028302E" w:rsidRPr="006678E3" w:rsidRDefault="0028302E" w:rsidP="006678E3">
                  <w:pPr>
                    <w:jc w:val="center"/>
                    <w:rPr>
                      <w:rFonts w:eastAsiaTheme="minorHAnsi"/>
                      <w:color w:val="000000"/>
                      <w:lang w:eastAsia="lv-LV"/>
                    </w:rPr>
                  </w:pPr>
                  <w:r w:rsidRPr="006678E3">
                    <w:rPr>
                      <w:color w:val="000000"/>
                      <w:lang w:eastAsia="lv-LV"/>
                    </w:rPr>
                    <w:t>01.01.2019 - 14.10.2019</w:t>
                  </w:r>
                </w:p>
              </w:tc>
              <w:tc>
                <w:tcPr>
                  <w:tcW w:w="1843" w:type="dxa"/>
                  <w:gridSpan w:val="2"/>
                  <w:noWrap/>
                  <w:hideMark/>
                </w:tcPr>
                <w:p w14:paraId="27BFE88E" w14:textId="77777777" w:rsidR="0028302E" w:rsidRPr="006678E3" w:rsidRDefault="0028302E" w:rsidP="006678E3">
                  <w:pPr>
                    <w:jc w:val="center"/>
                    <w:rPr>
                      <w:color w:val="000000"/>
                      <w:lang w:eastAsia="lv-LV"/>
                    </w:rPr>
                  </w:pPr>
                  <w:r w:rsidRPr="006678E3">
                    <w:rPr>
                      <w:color w:val="000000"/>
                      <w:lang w:eastAsia="lv-LV"/>
                    </w:rPr>
                    <w:t>01.01.2020 - 14.10.2020</w:t>
                  </w:r>
                </w:p>
              </w:tc>
            </w:tr>
            <w:tr w:rsidR="0028302E" w:rsidRPr="006678E3" w14:paraId="4BB9F0F5" w14:textId="77777777" w:rsidTr="002C1312">
              <w:trPr>
                <w:trHeight w:val="540"/>
              </w:trPr>
              <w:tc>
                <w:tcPr>
                  <w:tcW w:w="2501" w:type="dxa"/>
                  <w:vMerge/>
                  <w:noWrap/>
                  <w:hideMark/>
                </w:tcPr>
                <w:p w14:paraId="032D6E79" w14:textId="77777777" w:rsidR="0028302E" w:rsidRPr="006678E3" w:rsidRDefault="0028302E" w:rsidP="0028302E">
                  <w:pPr>
                    <w:rPr>
                      <w:color w:val="000000"/>
                      <w:lang w:eastAsia="lv-LV"/>
                    </w:rPr>
                  </w:pPr>
                </w:p>
              </w:tc>
              <w:tc>
                <w:tcPr>
                  <w:tcW w:w="935" w:type="dxa"/>
                  <w:hideMark/>
                </w:tcPr>
                <w:p w14:paraId="00F3C452" w14:textId="4D428F58" w:rsidR="0028302E" w:rsidRPr="006678E3" w:rsidRDefault="0028302E" w:rsidP="006678E3">
                  <w:pPr>
                    <w:jc w:val="center"/>
                    <w:rPr>
                      <w:rFonts w:eastAsiaTheme="minorHAnsi"/>
                      <w:color w:val="000000"/>
                      <w:lang w:eastAsia="lv-LV"/>
                    </w:rPr>
                  </w:pPr>
                  <w:proofErr w:type="spellStart"/>
                  <w:r w:rsidRPr="006678E3">
                    <w:rPr>
                      <w:color w:val="000000"/>
                      <w:lang w:eastAsia="lv-LV"/>
                    </w:rPr>
                    <w:t>Skaits</w:t>
                  </w:r>
                  <w:proofErr w:type="spellEnd"/>
                </w:p>
              </w:tc>
              <w:tc>
                <w:tcPr>
                  <w:tcW w:w="935" w:type="dxa"/>
                  <w:hideMark/>
                </w:tcPr>
                <w:p w14:paraId="22BF1F49" w14:textId="198FE14D" w:rsidR="0028302E" w:rsidRPr="006678E3" w:rsidRDefault="0028302E" w:rsidP="006678E3">
                  <w:pPr>
                    <w:jc w:val="center"/>
                    <w:rPr>
                      <w:color w:val="000000"/>
                      <w:lang w:eastAsia="lv-LV"/>
                    </w:rPr>
                  </w:pPr>
                  <w:proofErr w:type="spellStart"/>
                  <w:r w:rsidRPr="006678E3">
                    <w:rPr>
                      <w:color w:val="000000"/>
                      <w:lang w:eastAsia="lv-LV"/>
                    </w:rPr>
                    <w:t>milj</w:t>
                  </w:r>
                  <w:proofErr w:type="spellEnd"/>
                  <w:r w:rsidRPr="006678E3">
                    <w:rPr>
                      <w:color w:val="000000"/>
                      <w:lang w:eastAsia="lv-LV"/>
                    </w:rPr>
                    <w:t>. EUR</w:t>
                  </w:r>
                </w:p>
              </w:tc>
              <w:tc>
                <w:tcPr>
                  <w:tcW w:w="935" w:type="dxa"/>
                  <w:gridSpan w:val="2"/>
                  <w:hideMark/>
                </w:tcPr>
                <w:p w14:paraId="1920056A" w14:textId="5894D54A" w:rsidR="0028302E" w:rsidRPr="006678E3" w:rsidRDefault="0028302E" w:rsidP="006678E3">
                  <w:pPr>
                    <w:jc w:val="center"/>
                    <w:rPr>
                      <w:color w:val="000000"/>
                      <w:lang w:eastAsia="lv-LV"/>
                    </w:rPr>
                  </w:pPr>
                  <w:proofErr w:type="spellStart"/>
                  <w:r>
                    <w:rPr>
                      <w:color w:val="000000"/>
                      <w:lang w:eastAsia="lv-LV"/>
                    </w:rPr>
                    <w:t>Skaits</w:t>
                  </w:r>
                  <w:proofErr w:type="spellEnd"/>
                </w:p>
              </w:tc>
              <w:tc>
                <w:tcPr>
                  <w:tcW w:w="936" w:type="dxa"/>
                  <w:hideMark/>
                </w:tcPr>
                <w:p w14:paraId="7C7C684B" w14:textId="60C74CDA" w:rsidR="0028302E" w:rsidRPr="006678E3" w:rsidRDefault="0028302E" w:rsidP="006678E3">
                  <w:pPr>
                    <w:jc w:val="center"/>
                    <w:rPr>
                      <w:color w:val="000000"/>
                      <w:lang w:eastAsia="lv-LV"/>
                    </w:rPr>
                  </w:pPr>
                  <w:proofErr w:type="spellStart"/>
                  <w:r w:rsidRPr="006678E3">
                    <w:rPr>
                      <w:color w:val="000000"/>
                      <w:lang w:eastAsia="lv-LV"/>
                    </w:rPr>
                    <w:t>milj</w:t>
                  </w:r>
                  <w:proofErr w:type="spellEnd"/>
                  <w:r w:rsidRPr="006678E3">
                    <w:rPr>
                      <w:color w:val="000000"/>
                      <w:lang w:eastAsia="lv-LV"/>
                    </w:rPr>
                    <w:t>. EUR</w:t>
                  </w:r>
                </w:p>
              </w:tc>
            </w:tr>
            <w:tr w:rsidR="006678E3" w:rsidRPr="006678E3" w14:paraId="498C0CC8" w14:textId="77777777" w:rsidTr="002C1312">
              <w:trPr>
                <w:trHeight w:val="270"/>
              </w:trPr>
              <w:tc>
                <w:tcPr>
                  <w:tcW w:w="2501" w:type="dxa"/>
                  <w:noWrap/>
                  <w:vAlign w:val="center"/>
                  <w:hideMark/>
                </w:tcPr>
                <w:p w14:paraId="5904EF49" w14:textId="2D5CB0EB" w:rsidR="006678E3" w:rsidRPr="0028302E" w:rsidRDefault="006678E3" w:rsidP="0028302E">
                  <w:pPr>
                    <w:rPr>
                      <w:color w:val="000000"/>
                      <w:lang w:val="lv-LV" w:eastAsia="lv-LV"/>
                    </w:rPr>
                  </w:pPr>
                  <w:r w:rsidRPr="0028302E">
                    <w:rPr>
                      <w:color w:val="000000"/>
                      <w:lang w:val="lv-LV" w:eastAsia="lv-LV"/>
                    </w:rPr>
                    <w:t>Apstiprinātie pieteikumi</w:t>
                  </w:r>
                </w:p>
                <w:p w14:paraId="42C451A7" w14:textId="1AC02981" w:rsidR="0028302E" w:rsidRPr="0028302E" w:rsidRDefault="0028302E" w:rsidP="0028302E">
                  <w:pPr>
                    <w:rPr>
                      <w:color w:val="000000"/>
                      <w:lang w:val="lv-LV" w:eastAsia="lv-LV"/>
                    </w:rPr>
                  </w:pPr>
                </w:p>
              </w:tc>
              <w:tc>
                <w:tcPr>
                  <w:tcW w:w="935" w:type="dxa"/>
                  <w:noWrap/>
                  <w:vAlign w:val="center"/>
                  <w:hideMark/>
                </w:tcPr>
                <w:p w14:paraId="007D3FA6" w14:textId="77777777" w:rsidR="006678E3" w:rsidRPr="006678E3" w:rsidRDefault="006678E3" w:rsidP="0028302E">
                  <w:pPr>
                    <w:jc w:val="center"/>
                    <w:rPr>
                      <w:color w:val="000000"/>
                      <w:lang w:eastAsia="lv-LV"/>
                    </w:rPr>
                  </w:pPr>
                  <w:r w:rsidRPr="006678E3">
                    <w:rPr>
                      <w:color w:val="000000"/>
                      <w:lang w:eastAsia="lv-LV"/>
                    </w:rPr>
                    <w:t>99</w:t>
                  </w:r>
                </w:p>
              </w:tc>
              <w:tc>
                <w:tcPr>
                  <w:tcW w:w="935" w:type="dxa"/>
                  <w:noWrap/>
                  <w:vAlign w:val="center"/>
                  <w:hideMark/>
                </w:tcPr>
                <w:p w14:paraId="5FFF7DD2" w14:textId="77777777" w:rsidR="006678E3" w:rsidRPr="006678E3" w:rsidRDefault="006678E3" w:rsidP="0028302E">
                  <w:pPr>
                    <w:jc w:val="center"/>
                    <w:rPr>
                      <w:color w:val="000000"/>
                      <w:lang w:eastAsia="lv-LV"/>
                    </w:rPr>
                  </w:pPr>
                  <w:r w:rsidRPr="006678E3">
                    <w:rPr>
                      <w:color w:val="000000"/>
                      <w:lang w:eastAsia="lv-LV"/>
                    </w:rPr>
                    <w:t>6.5</w:t>
                  </w:r>
                </w:p>
              </w:tc>
              <w:tc>
                <w:tcPr>
                  <w:tcW w:w="935" w:type="dxa"/>
                  <w:gridSpan w:val="2"/>
                  <w:noWrap/>
                  <w:vAlign w:val="center"/>
                  <w:hideMark/>
                </w:tcPr>
                <w:p w14:paraId="678ADC2C" w14:textId="77777777" w:rsidR="006678E3" w:rsidRPr="006678E3" w:rsidRDefault="006678E3" w:rsidP="0028302E">
                  <w:pPr>
                    <w:jc w:val="center"/>
                    <w:rPr>
                      <w:color w:val="000000"/>
                      <w:lang w:eastAsia="lv-LV"/>
                    </w:rPr>
                  </w:pPr>
                  <w:r w:rsidRPr="006678E3">
                    <w:rPr>
                      <w:color w:val="000000"/>
                      <w:lang w:eastAsia="lv-LV"/>
                    </w:rPr>
                    <w:t>222</w:t>
                  </w:r>
                </w:p>
              </w:tc>
              <w:tc>
                <w:tcPr>
                  <w:tcW w:w="936" w:type="dxa"/>
                  <w:noWrap/>
                  <w:vAlign w:val="center"/>
                  <w:hideMark/>
                </w:tcPr>
                <w:p w14:paraId="552D6517" w14:textId="77777777" w:rsidR="006678E3" w:rsidRPr="006678E3" w:rsidRDefault="006678E3" w:rsidP="0028302E">
                  <w:pPr>
                    <w:jc w:val="center"/>
                    <w:rPr>
                      <w:color w:val="000000"/>
                      <w:lang w:eastAsia="lv-LV"/>
                    </w:rPr>
                  </w:pPr>
                  <w:r w:rsidRPr="006678E3">
                    <w:rPr>
                      <w:color w:val="000000"/>
                      <w:lang w:eastAsia="lv-LV"/>
                    </w:rPr>
                    <w:t>19.2</w:t>
                  </w:r>
                </w:p>
              </w:tc>
            </w:tr>
            <w:tr w:rsidR="006678E3" w:rsidRPr="006678E3" w14:paraId="7C0D8241" w14:textId="77777777" w:rsidTr="002C1312">
              <w:trPr>
                <w:trHeight w:val="270"/>
              </w:trPr>
              <w:tc>
                <w:tcPr>
                  <w:tcW w:w="2501" w:type="dxa"/>
                  <w:noWrap/>
                  <w:vAlign w:val="center"/>
                  <w:hideMark/>
                </w:tcPr>
                <w:p w14:paraId="54F6584E" w14:textId="77777777" w:rsidR="006678E3" w:rsidRPr="0028302E" w:rsidRDefault="006678E3" w:rsidP="0028302E">
                  <w:pPr>
                    <w:rPr>
                      <w:color w:val="000000"/>
                      <w:lang w:val="lv-LV" w:eastAsia="lv-LV"/>
                    </w:rPr>
                  </w:pPr>
                  <w:r w:rsidRPr="0028302E">
                    <w:rPr>
                      <w:color w:val="000000"/>
                      <w:lang w:val="lv-LV" w:eastAsia="lv-LV"/>
                    </w:rPr>
                    <w:t>Izsniegtās eksporta garantijas</w:t>
                  </w:r>
                </w:p>
                <w:p w14:paraId="1CD31DF0" w14:textId="007649B5" w:rsidR="0028302E" w:rsidRPr="0028302E" w:rsidRDefault="0028302E" w:rsidP="0028302E">
                  <w:pPr>
                    <w:rPr>
                      <w:color w:val="000000"/>
                      <w:lang w:val="lv-LV" w:eastAsia="lv-LV"/>
                    </w:rPr>
                  </w:pPr>
                </w:p>
              </w:tc>
              <w:tc>
                <w:tcPr>
                  <w:tcW w:w="935" w:type="dxa"/>
                  <w:noWrap/>
                  <w:vAlign w:val="center"/>
                  <w:hideMark/>
                </w:tcPr>
                <w:p w14:paraId="6A304C63" w14:textId="77777777" w:rsidR="006678E3" w:rsidRPr="006678E3" w:rsidRDefault="006678E3" w:rsidP="0028302E">
                  <w:pPr>
                    <w:jc w:val="center"/>
                    <w:rPr>
                      <w:color w:val="000000"/>
                      <w:lang w:eastAsia="lv-LV"/>
                    </w:rPr>
                  </w:pPr>
                  <w:r w:rsidRPr="006678E3">
                    <w:rPr>
                      <w:color w:val="000000"/>
                      <w:lang w:eastAsia="lv-LV"/>
                    </w:rPr>
                    <w:t>64</w:t>
                  </w:r>
                </w:p>
              </w:tc>
              <w:tc>
                <w:tcPr>
                  <w:tcW w:w="935" w:type="dxa"/>
                  <w:noWrap/>
                  <w:vAlign w:val="center"/>
                  <w:hideMark/>
                </w:tcPr>
                <w:p w14:paraId="59EF67C0" w14:textId="77777777" w:rsidR="006678E3" w:rsidRPr="006678E3" w:rsidRDefault="006678E3" w:rsidP="0028302E">
                  <w:pPr>
                    <w:jc w:val="center"/>
                    <w:rPr>
                      <w:color w:val="000000"/>
                      <w:lang w:eastAsia="lv-LV"/>
                    </w:rPr>
                  </w:pPr>
                  <w:r w:rsidRPr="006678E3">
                    <w:rPr>
                      <w:color w:val="000000"/>
                      <w:lang w:eastAsia="lv-LV"/>
                    </w:rPr>
                    <w:t>2.3</w:t>
                  </w:r>
                </w:p>
              </w:tc>
              <w:tc>
                <w:tcPr>
                  <w:tcW w:w="935" w:type="dxa"/>
                  <w:gridSpan w:val="2"/>
                  <w:noWrap/>
                  <w:vAlign w:val="center"/>
                  <w:hideMark/>
                </w:tcPr>
                <w:p w14:paraId="506C1F45" w14:textId="77777777" w:rsidR="006678E3" w:rsidRPr="006678E3" w:rsidRDefault="006678E3" w:rsidP="0028302E">
                  <w:pPr>
                    <w:jc w:val="center"/>
                    <w:rPr>
                      <w:color w:val="000000"/>
                      <w:lang w:eastAsia="lv-LV"/>
                    </w:rPr>
                  </w:pPr>
                  <w:r w:rsidRPr="006678E3">
                    <w:rPr>
                      <w:color w:val="000000"/>
                      <w:lang w:eastAsia="lv-LV"/>
                    </w:rPr>
                    <w:t>118</w:t>
                  </w:r>
                </w:p>
              </w:tc>
              <w:tc>
                <w:tcPr>
                  <w:tcW w:w="936" w:type="dxa"/>
                  <w:noWrap/>
                  <w:vAlign w:val="center"/>
                  <w:hideMark/>
                </w:tcPr>
                <w:p w14:paraId="5EF870D5" w14:textId="77777777" w:rsidR="006678E3" w:rsidRPr="006678E3" w:rsidRDefault="006678E3" w:rsidP="0028302E">
                  <w:pPr>
                    <w:jc w:val="center"/>
                    <w:rPr>
                      <w:color w:val="000000"/>
                      <w:lang w:eastAsia="lv-LV"/>
                    </w:rPr>
                  </w:pPr>
                  <w:r w:rsidRPr="006678E3">
                    <w:rPr>
                      <w:color w:val="000000"/>
                      <w:lang w:eastAsia="lv-LV"/>
                    </w:rPr>
                    <w:t>9.0</w:t>
                  </w:r>
                </w:p>
              </w:tc>
            </w:tr>
            <w:tr w:rsidR="0028302E" w:rsidRPr="0097715B" w14:paraId="55CCEB9F" w14:textId="77777777" w:rsidTr="002C1312">
              <w:trPr>
                <w:trHeight w:val="307"/>
              </w:trPr>
              <w:tc>
                <w:tcPr>
                  <w:tcW w:w="2501" w:type="dxa"/>
                  <w:noWrap/>
                  <w:vAlign w:val="center"/>
                  <w:hideMark/>
                </w:tcPr>
                <w:p w14:paraId="2D4AE084" w14:textId="61B0C2E3" w:rsidR="006678E3" w:rsidRPr="0028302E" w:rsidRDefault="006678E3" w:rsidP="0028302E">
                  <w:pPr>
                    <w:rPr>
                      <w:color w:val="000000"/>
                      <w:lang w:val="lv-LV" w:eastAsia="lv-LV"/>
                    </w:rPr>
                  </w:pPr>
                  <w:r w:rsidRPr="0028302E">
                    <w:rPr>
                      <w:color w:val="000000"/>
                      <w:lang w:val="lv-LV" w:eastAsia="lv-LV"/>
                    </w:rPr>
                    <w:t>Portfelis uz perioda beigām</w:t>
                  </w:r>
                  <w:r w:rsidR="0028302E" w:rsidRPr="0028302E">
                    <w:rPr>
                      <w:color w:val="000000"/>
                      <w:lang w:val="lv-LV" w:eastAsia="lv-LV"/>
                    </w:rPr>
                    <w:t>, milj. EUR</w:t>
                  </w:r>
                </w:p>
              </w:tc>
              <w:tc>
                <w:tcPr>
                  <w:tcW w:w="1898" w:type="dxa"/>
                  <w:gridSpan w:val="3"/>
                  <w:noWrap/>
                  <w:vAlign w:val="center"/>
                  <w:hideMark/>
                </w:tcPr>
                <w:p w14:paraId="2C93E6D2" w14:textId="09A680FB" w:rsidR="006678E3" w:rsidRPr="0099755E" w:rsidRDefault="006678E3" w:rsidP="0028302E">
                  <w:pPr>
                    <w:jc w:val="center"/>
                    <w:rPr>
                      <w:color w:val="000000"/>
                      <w:lang w:val="lv-LV" w:eastAsia="lv-LV"/>
                    </w:rPr>
                  </w:pPr>
                  <w:r w:rsidRPr="0099755E">
                    <w:rPr>
                      <w:color w:val="000000"/>
                      <w:lang w:val="lv-LV" w:eastAsia="lv-LV"/>
                    </w:rPr>
                    <w:t>9.1</w:t>
                  </w:r>
                </w:p>
              </w:tc>
              <w:tc>
                <w:tcPr>
                  <w:tcW w:w="1843" w:type="dxa"/>
                  <w:gridSpan w:val="2"/>
                  <w:noWrap/>
                  <w:vAlign w:val="center"/>
                  <w:hideMark/>
                </w:tcPr>
                <w:p w14:paraId="410AC8FA" w14:textId="53AED78D" w:rsidR="006678E3" w:rsidRPr="0099755E" w:rsidRDefault="006678E3" w:rsidP="0028302E">
                  <w:pPr>
                    <w:jc w:val="center"/>
                    <w:rPr>
                      <w:color w:val="000000"/>
                      <w:lang w:val="lv-LV" w:eastAsia="lv-LV"/>
                    </w:rPr>
                  </w:pPr>
                  <w:r w:rsidRPr="0099755E">
                    <w:rPr>
                      <w:color w:val="000000"/>
                      <w:lang w:val="lv-LV" w:eastAsia="lv-LV"/>
                    </w:rPr>
                    <w:t>14.7</w:t>
                  </w:r>
                </w:p>
              </w:tc>
            </w:tr>
            <w:tr w:rsidR="0028302E" w:rsidRPr="0097715B" w14:paraId="6504ED77" w14:textId="77777777" w:rsidTr="002C1312">
              <w:trPr>
                <w:trHeight w:val="307"/>
              </w:trPr>
              <w:tc>
                <w:tcPr>
                  <w:tcW w:w="2501" w:type="dxa"/>
                  <w:noWrap/>
                  <w:vAlign w:val="center"/>
                  <w:hideMark/>
                </w:tcPr>
                <w:p w14:paraId="31781392" w14:textId="614C18B7" w:rsidR="006678E3" w:rsidRPr="0028302E" w:rsidRDefault="006678E3" w:rsidP="0028302E">
                  <w:pPr>
                    <w:rPr>
                      <w:color w:val="000000"/>
                      <w:lang w:val="lv-LV" w:eastAsia="lv-LV"/>
                    </w:rPr>
                  </w:pPr>
                  <w:r w:rsidRPr="0028302E">
                    <w:rPr>
                      <w:color w:val="000000"/>
                      <w:lang w:val="lv-LV" w:eastAsia="lv-LV"/>
                    </w:rPr>
                    <w:t>Deklarētais apgrozījums</w:t>
                  </w:r>
                  <w:r w:rsidR="0028302E" w:rsidRPr="0028302E">
                    <w:rPr>
                      <w:color w:val="000000"/>
                      <w:lang w:val="lv-LV" w:eastAsia="lv-LV"/>
                    </w:rPr>
                    <w:t>, milj. EUR</w:t>
                  </w:r>
                  <w:r w:rsidR="00026FFF">
                    <w:rPr>
                      <w:color w:val="000000"/>
                      <w:lang w:val="lv-LV" w:eastAsia="lv-LV"/>
                    </w:rPr>
                    <w:t xml:space="preserve"> </w:t>
                  </w:r>
                </w:p>
              </w:tc>
              <w:tc>
                <w:tcPr>
                  <w:tcW w:w="1898" w:type="dxa"/>
                  <w:gridSpan w:val="3"/>
                  <w:noWrap/>
                  <w:vAlign w:val="center"/>
                  <w:hideMark/>
                </w:tcPr>
                <w:p w14:paraId="66939596" w14:textId="7590292A" w:rsidR="006678E3" w:rsidRPr="0099755E" w:rsidRDefault="006678E3" w:rsidP="0028302E">
                  <w:pPr>
                    <w:jc w:val="center"/>
                    <w:rPr>
                      <w:color w:val="000000"/>
                      <w:lang w:val="lv-LV" w:eastAsia="lv-LV"/>
                    </w:rPr>
                  </w:pPr>
                  <w:r w:rsidRPr="0099755E">
                    <w:rPr>
                      <w:color w:val="000000"/>
                      <w:lang w:val="lv-LV" w:eastAsia="lv-LV"/>
                    </w:rPr>
                    <w:t>16.3</w:t>
                  </w:r>
                </w:p>
              </w:tc>
              <w:tc>
                <w:tcPr>
                  <w:tcW w:w="1843" w:type="dxa"/>
                  <w:gridSpan w:val="2"/>
                  <w:noWrap/>
                  <w:vAlign w:val="center"/>
                  <w:hideMark/>
                </w:tcPr>
                <w:p w14:paraId="46DE9B9F" w14:textId="36883482" w:rsidR="006678E3" w:rsidRPr="0099755E" w:rsidRDefault="006678E3" w:rsidP="0028302E">
                  <w:pPr>
                    <w:jc w:val="center"/>
                    <w:rPr>
                      <w:color w:val="000000"/>
                      <w:lang w:val="lv-LV" w:eastAsia="lv-LV"/>
                    </w:rPr>
                  </w:pPr>
                  <w:r w:rsidRPr="0099755E">
                    <w:rPr>
                      <w:color w:val="000000"/>
                      <w:lang w:val="lv-LV" w:eastAsia="lv-LV"/>
                    </w:rPr>
                    <w:t>23.0</w:t>
                  </w:r>
                </w:p>
              </w:tc>
            </w:tr>
          </w:tbl>
          <w:p w14:paraId="57464EAA" w14:textId="77777777" w:rsidR="006678E3" w:rsidRPr="006678E3" w:rsidRDefault="006678E3" w:rsidP="006678E3">
            <w:pPr>
              <w:autoSpaceDE w:val="0"/>
              <w:autoSpaceDN w:val="0"/>
              <w:jc w:val="both"/>
              <w:rPr>
                <w:rFonts w:eastAsia="Times New Roman"/>
                <w:sz w:val="26"/>
                <w:szCs w:val="26"/>
                <w:lang w:val="lv-LV"/>
              </w:rPr>
            </w:pPr>
          </w:p>
          <w:p w14:paraId="5AD2B091" w14:textId="3CE976C3" w:rsidR="006678E3" w:rsidRDefault="00DE76B5" w:rsidP="00534ADE">
            <w:pPr>
              <w:autoSpaceDE w:val="0"/>
              <w:autoSpaceDN w:val="0"/>
              <w:jc w:val="both"/>
              <w:rPr>
                <w:rFonts w:eastAsia="Times New Roman"/>
                <w:sz w:val="26"/>
                <w:szCs w:val="26"/>
                <w:lang w:val="lv-LV"/>
              </w:rPr>
            </w:pPr>
            <w:r>
              <w:rPr>
                <w:rFonts w:eastAsia="Times New Roman"/>
                <w:sz w:val="26"/>
                <w:szCs w:val="26"/>
                <w:lang w:val="lv-LV"/>
              </w:rPr>
              <w:t>Lai gan š</w:t>
            </w:r>
            <w:r w:rsidR="006678E3" w:rsidRPr="00534ADE">
              <w:rPr>
                <w:rFonts w:eastAsia="Times New Roman"/>
                <w:sz w:val="26"/>
                <w:szCs w:val="26"/>
                <w:lang w:val="lv-LV"/>
              </w:rPr>
              <w:t>obrīd vēl nav v</w:t>
            </w:r>
            <w:r w:rsidR="00534ADE" w:rsidRPr="00534ADE">
              <w:rPr>
                <w:rFonts w:eastAsia="Times New Roman"/>
                <w:sz w:val="26"/>
                <w:szCs w:val="26"/>
                <w:lang w:val="lv-LV"/>
              </w:rPr>
              <w:t xml:space="preserve">ērojams </w:t>
            </w:r>
            <w:r w:rsidR="006678E3" w:rsidRPr="00534ADE">
              <w:rPr>
                <w:rFonts w:eastAsia="Times New Roman"/>
                <w:sz w:val="26"/>
                <w:szCs w:val="26"/>
                <w:lang w:val="lv-LV"/>
              </w:rPr>
              <w:t>zaudējumu atlīdzības izmaks</w:t>
            </w:r>
            <w:r w:rsidR="00534ADE" w:rsidRPr="00534ADE">
              <w:rPr>
                <w:rFonts w:eastAsia="Times New Roman"/>
                <w:sz w:val="26"/>
                <w:szCs w:val="26"/>
                <w:lang w:val="lv-LV"/>
              </w:rPr>
              <w:t>u pieteikumu skaita pieaugums</w:t>
            </w:r>
            <w:r w:rsidR="006678E3" w:rsidRPr="00534ADE">
              <w:rPr>
                <w:rFonts w:eastAsia="Times New Roman"/>
                <w:sz w:val="26"/>
                <w:szCs w:val="26"/>
                <w:lang w:val="lv-LV"/>
              </w:rPr>
              <w:t>, kas būtu saistīt</w:t>
            </w:r>
            <w:r>
              <w:rPr>
                <w:rFonts w:eastAsia="Times New Roman"/>
                <w:sz w:val="26"/>
                <w:szCs w:val="26"/>
                <w:lang w:val="lv-LV"/>
              </w:rPr>
              <w:t>s</w:t>
            </w:r>
            <w:r w:rsidR="006678E3" w:rsidRPr="00534ADE">
              <w:rPr>
                <w:rFonts w:eastAsia="Times New Roman"/>
                <w:sz w:val="26"/>
                <w:szCs w:val="26"/>
                <w:lang w:val="lv-LV"/>
              </w:rPr>
              <w:t xml:space="preserve"> ar COVID-19 krīzes radīto apstākļu ietekmi, </w:t>
            </w:r>
            <w:r w:rsidR="005B3CC0">
              <w:rPr>
                <w:rFonts w:eastAsia="Times New Roman"/>
                <w:sz w:val="26"/>
                <w:szCs w:val="26"/>
                <w:lang w:val="lv-LV"/>
              </w:rPr>
              <w:t xml:space="preserve">sabiedrība </w:t>
            </w:r>
            <w:proofErr w:type="spellStart"/>
            <w:r w:rsidR="00373A49">
              <w:rPr>
                <w:rFonts w:eastAsia="Times New Roman"/>
                <w:sz w:val="26"/>
                <w:szCs w:val="26"/>
                <w:lang w:val="lv-LV"/>
              </w:rPr>
              <w:t>Altum</w:t>
            </w:r>
            <w:proofErr w:type="spellEnd"/>
            <w:r w:rsidR="00373A49">
              <w:rPr>
                <w:rFonts w:eastAsia="Times New Roman"/>
                <w:sz w:val="26"/>
                <w:szCs w:val="26"/>
                <w:lang w:val="lv-LV"/>
              </w:rPr>
              <w:t xml:space="preserve"> </w:t>
            </w:r>
            <w:r>
              <w:rPr>
                <w:rFonts w:eastAsia="Times New Roman"/>
                <w:sz w:val="26"/>
                <w:szCs w:val="26"/>
                <w:lang w:val="lv-LV"/>
              </w:rPr>
              <w:t>salīdzinoši</w:t>
            </w:r>
            <w:r w:rsidR="00534ADE" w:rsidRPr="00534ADE">
              <w:rPr>
                <w:rFonts w:eastAsia="Times New Roman"/>
                <w:sz w:val="26"/>
                <w:szCs w:val="26"/>
                <w:lang w:val="lv-LV"/>
              </w:rPr>
              <w:t xml:space="preserve"> </w:t>
            </w:r>
            <w:r>
              <w:rPr>
                <w:rFonts w:eastAsia="Times New Roman"/>
                <w:sz w:val="26"/>
                <w:szCs w:val="26"/>
                <w:lang w:val="lv-LV"/>
              </w:rPr>
              <w:lastRenderedPageBreak/>
              <w:t xml:space="preserve">biežāk </w:t>
            </w:r>
            <w:r w:rsidR="00373A49">
              <w:rPr>
                <w:rFonts w:eastAsia="Times New Roman"/>
                <w:sz w:val="26"/>
                <w:szCs w:val="26"/>
                <w:lang w:val="lv-LV"/>
              </w:rPr>
              <w:t>saņem</w:t>
            </w:r>
            <w:r>
              <w:rPr>
                <w:rFonts w:eastAsia="Times New Roman"/>
                <w:sz w:val="26"/>
                <w:szCs w:val="26"/>
                <w:lang w:val="lv-LV"/>
              </w:rPr>
              <w:t xml:space="preserve"> </w:t>
            </w:r>
            <w:r w:rsidR="006678E3" w:rsidRPr="00534ADE">
              <w:rPr>
                <w:rFonts w:eastAsia="Times New Roman"/>
                <w:sz w:val="26"/>
                <w:szCs w:val="26"/>
                <w:lang w:val="lv-LV"/>
              </w:rPr>
              <w:t>maksājumu kavējumu pieteikum</w:t>
            </w:r>
            <w:r w:rsidR="00373A49">
              <w:rPr>
                <w:rFonts w:eastAsia="Times New Roman"/>
                <w:sz w:val="26"/>
                <w:szCs w:val="26"/>
                <w:lang w:val="lv-LV"/>
              </w:rPr>
              <w:t>us</w:t>
            </w:r>
            <w:r w:rsidR="00534ADE" w:rsidRPr="00534ADE">
              <w:rPr>
                <w:rFonts w:eastAsia="Times New Roman"/>
                <w:sz w:val="26"/>
                <w:szCs w:val="26"/>
                <w:lang w:val="lv-LV"/>
              </w:rPr>
              <w:t>.</w:t>
            </w:r>
            <w:r w:rsidR="006678E3" w:rsidRPr="00534ADE">
              <w:rPr>
                <w:rFonts w:eastAsia="Times New Roman"/>
                <w:sz w:val="26"/>
                <w:szCs w:val="26"/>
                <w:lang w:val="lv-LV"/>
              </w:rPr>
              <w:t xml:space="preserve"> </w:t>
            </w:r>
            <w:r w:rsidR="00373A49">
              <w:rPr>
                <w:rFonts w:eastAsia="Times New Roman"/>
                <w:sz w:val="26"/>
                <w:szCs w:val="26"/>
                <w:lang w:val="lv-LV"/>
              </w:rPr>
              <w:t>Līdzīgi arī p</w:t>
            </w:r>
            <w:r w:rsidR="006678E3" w:rsidRPr="00534ADE">
              <w:rPr>
                <w:rFonts w:eastAsia="Times New Roman"/>
                <w:sz w:val="26"/>
                <w:szCs w:val="26"/>
                <w:lang w:val="lv-LV"/>
              </w:rPr>
              <w:t>rivātie apdrošinātāji lielāko maksātnespēju vilni sagaida tieši 2021.gada pavasarī.</w:t>
            </w:r>
          </w:p>
          <w:p w14:paraId="54C2ECF1" w14:textId="7E51C7E7" w:rsidR="00DE76B5" w:rsidRDefault="00DE76B5" w:rsidP="00534ADE">
            <w:pPr>
              <w:autoSpaceDE w:val="0"/>
              <w:autoSpaceDN w:val="0"/>
              <w:jc w:val="both"/>
              <w:rPr>
                <w:rFonts w:eastAsia="Times New Roman"/>
                <w:sz w:val="26"/>
                <w:szCs w:val="26"/>
                <w:lang w:val="lv-LV"/>
              </w:rPr>
            </w:pPr>
          </w:p>
          <w:p w14:paraId="19C120A7" w14:textId="0DC558FE" w:rsidR="00F9767D" w:rsidRDefault="00F9767D" w:rsidP="00F9767D">
            <w:pPr>
              <w:autoSpaceDE w:val="0"/>
              <w:autoSpaceDN w:val="0"/>
              <w:jc w:val="both"/>
              <w:rPr>
                <w:rFonts w:eastAsia="Times New Roman"/>
                <w:sz w:val="26"/>
                <w:szCs w:val="26"/>
                <w:lang w:val="lv-LV"/>
              </w:rPr>
            </w:pPr>
            <w:r>
              <w:rPr>
                <w:rFonts w:eastAsia="Times New Roman"/>
                <w:sz w:val="26"/>
                <w:szCs w:val="26"/>
                <w:lang w:val="lv-LV"/>
              </w:rPr>
              <w:t xml:space="preserve">Par pastāvošo tirgus nepilnību Latvijā </w:t>
            </w:r>
            <w:r w:rsidR="005B3CC0">
              <w:rPr>
                <w:rFonts w:eastAsia="Times New Roman"/>
                <w:sz w:val="26"/>
                <w:szCs w:val="26"/>
                <w:lang w:val="lv-LV"/>
              </w:rPr>
              <w:t>tostarp</w:t>
            </w:r>
            <w:r>
              <w:rPr>
                <w:rFonts w:eastAsia="Times New Roman"/>
                <w:sz w:val="26"/>
                <w:szCs w:val="26"/>
                <w:lang w:val="lv-LV"/>
              </w:rPr>
              <w:t xml:space="preserve"> segmentā uz tradicionāli nododamo risku valstīm (t.i., attīstītajām valstīm) liecina </w:t>
            </w:r>
            <w:r w:rsidR="005B3CC0">
              <w:rPr>
                <w:rFonts w:eastAsia="Times New Roman"/>
                <w:sz w:val="26"/>
                <w:szCs w:val="26"/>
                <w:lang w:val="lv-LV"/>
              </w:rPr>
              <w:t xml:space="preserve">sabiedrības </w:t>
            </w:r>
            <w:proofErr w:type="spellStart"/>
            <w:r>
              <w:rPr>
                <w:rFonts w:eastAsia="Times New Roman"/>
                <w:sz w:val="26"/>
                <w:szCs w:val="26"/>
                <w:lang w:val="lv-LV"/>
              </w:rPr>
              <w:t>Altum</w:t>
            </w:r>
            <w:proofErr w:type="spellEnd"/>
            <w:r>
              <w:rPr>
                <w:rFonts w:eastAsia="Times New Roman"/>
                <w:sz w:val="26"/>
                <w:szCs w:val="26"/>
                <w:lang w:val="lv-LV"/>
              </w:rPr>
              <w:t xml:space="preserve"> </w:t>
            </w:r>
            <w:r w:rsidR="005B3CC0">
              <w:rPr>
                <w:rFonts w:eastAsia="Times New Roman"/>
                <w:sz w:val="26"/>
                <w:szCs w:val="26"/>
                <w:lang w:val="lv-LV"/>
              </w:rPr>
              <w:t xml:space="preserve">eksporta kredītu garantiju </w:t>
            </w:r>
            <w:r>
              <w:rPr>
                <w:rFonts w:eastAsia="Times New Roman"/>
                <w:sz w:val="26"/>
                <w:szCs w:val="26"/>
                <w:lang w:val="lv-LV"/>
              </w:rPr>
              <w:t xml:space="preserve">portfeļa struktūras maiņa </w:t>
            </w:r>
            <w:r w:rsidR="005B3CC0">
              <w:rPr>
                <w:rFonts w:eastAsia="Times New Roman"/>
                <w:sz w:val="26"/>
                <w:szCs w:val="26"/>
                <w:lang w:val="lv-LV"/>
              </w:rPr>
              <w:t>kopš 2020.gada 17.aprīļa</w:t>
            </w:r>
            <w:r>
              <w:rPr>
                <w:rFonts w:eastAsia="Times New Roman"/>
                <w:sz w:val="26"/>
                <w:szCs w:val="26"/>
                <w:lang w:val="lv-LV"/>
              </w:rPr>
              <w:t xml:space="preserve">, kad ir </w:t>
            </w:r>
            <w:r w:rsidRPr="00F9767D">
              <w:rPr>
                <w:rFonts w:eastAsia="Times New Roman"/>
                <w:sz w:val="26"/>
                <w:szCs w:val="26"/>
                <w:lang w:val="lv-LV"/>
              </w:rPr>
              <w:t>paplašin</w:t>
            </w:r>
            <w:r>
              <w:rPr>
                <w:rFonts w:eastAsia="Times New Roman"/>
                <w:sz w:val="26"/>
                <w:szCs w:val="26"/>
                <w:lang w:val="lv-LV"/>
              </w:rPr>
              <w:t xml:space="preserve">ātas </w:t>
            </w:r>
            <w:r w:rsidRPr="00F9767D">
              <w:rPr>
                <w:rFonts w:eastAsia="Times New Roman"/>
                <w:sz w:val="26"/>
                <w:szCs w:val="26"/>
                <w:lang w:val="lv-LV"/>
              </w:rPr>
              <w:t>programmas iespējas sniegt īstermiņa eksporta kredītu garantijas neatkarīgi no valsts, kurā reģistrēts debitors</w:t>
            </w:r>
            <w:r>
              <w:rPr>
                <w:rFonts w:eastAsia="Times New Roman"/>
                <w:sz w:val="26"/>
                <w:szCs w:val="26"/>
                <w:lang w:val="lv-LV"/>
              </w:rPr>
              <w:t xml:space="preserve">, - </w:t>
            </w:r>
            <w:r w:rsidRPr="00F9767D">
              <w:rPr>
                <w:rFonts w:eastAsia="Times New Roman"/>
                <w:sz w:val="26"/>
                <w:szCs w:val="26"/>
                <w:lang w:val="lv-LV"/>
              </w:rPr>
              <w:t>56% no kopējā 2020.gadā izsniegto īstermiņa eksporta kredītu garantiju apjoma</w:t>
            </w:r>
            <w:r>
              <w:rPr>
                <w:rFonts w:eastAsia="Times New Roman"/>
                <w:sz w:val="26"/>
                <w:szCs w:val="26"/>
                <w:lang w:val="lv-LV"/>
              </w:rPr>
              <w:t xml:space="preserve"> ir </w:t>
            </w:r>
            <w:r w:rsidR="005B3CC0">
              <w:rPr>
                <w:rFonts w:eastAsia="Times New Roman"/>
                <w:sz w:val="26"/>
                <w:szCs w:val="26"/>
                <w:lang w:val="lv-LV"/>
              </w:rPr>
              <w:t xml:space="preserve">par eksporta darījumiem </w:t>
            </w:r>
            <w:r>
              <w:rPr>
                <w:rFonts w:eastAsia="Times New Roman"/>
                <w:sz w:val="26"/>
                <w:szCs w:val="26"/>
                <w:lang w:val="lv-LV"/>
              </w:rPr>
              <w:t xml:space="preserve">uz attīstītajām valstīm, savukārt </w:t>
            </w:r>
            <w:r w:rsidR="005B3CC0">
              <w:rPr>
                <w:rFonts w:eastAsia="Times New Roman"/>
                <w:sz w:val="26"/>
                <w:szCs w:val="26"/>
                <w:lang w:val="lv-LV"/>
              </w:rPr>
              <w:t xml:space="preserve">līdz izmaiņām programmā </w:t>
            </w:r>
            <w:r>
              <w:rPr>
                <w:rFonts w:eastAsia="Times New Roman"/>
                <w:sz w:val="26"/>
                <w:szCs w:val="26"/>
                <w:lang w:val="lv-LV"/>
              </w:rPr>
              <w:t xml:space="preserve">tās </w:t>
            </w:r>
            <w:r w:rsidR="005B3CC0">
              <w:rPr>
                <w:rFonts w:eastAsia="Times New Roman"/>
                <w:sz w:val="26"/>
                <w:szCs w:val="26"/>
                <w:lang w:val="lv-LV"/>
              </w:rPr>
              <w:t xml:space="preserve">sabiedrības </w:t>
            </w:r>
            <w:proofErr w:type="spellStart"/>
            <w:r w:rsidR="005B3CC0">
              <w:rPr>
                <w:rFonts w:eastAsia="Times New Roman"/>
                <w:sz w:val="26"/>
                <w:szCs w:val="26"/>
                <w:lang w:val="lv-LV"/>
              </w:rPr>
              <w:t>Altum</w:t>
            </w:r>
            <w:proofErr w:type="spellEnd"/>
            <w:r w:rsidR="005B3CC0">
              <w:rPr>
                <w:rFonts w:eastAsia="Times New Roman"/>
                <w:sz w:val="26"/>
                <w:szCs w:val="26"/>
                <w:lang w:val="lv-LV"/>
              </w:rPr>
              <w:t xml:space="preserve"> </w:t>
            </w:r>
            <w:r>
              <w:rPr>
                <w:rFonts w:eastAsia="Times New Roman"/>
                <w:sz w:val="26"/>
                <w:szCs w:val="26"/>
                <w:lang w:val="lv-LV"/>
              </w:rPr>
              <w:t>portfelī sastād</w:t>
            </w:r>
            <w:r w:rsidR="005B3CC0">
              <w:rPr>
                <w:rFonts w:eastAsia="Times New Roman"/>
                <w:sz w:val="26"/>
                <w:szCs w:val="26"/>
                <w:lang w:val="lv-LV"/>
              </w:rPr>
              <w:t>īja</w:t>
            </w:r>
            <w:r>
              <w:rPr>
                <w:rFonts w:eastAsia="Times New Roman"/>
                <w:sz w:val="26"/>
                <w:szCs w:val="26"/>
                <w:lang w:val="lv-LV"/>
              </w:rPr>
              <w:t xml:space="preserve"> ~20 %.</w:t>
            </w:r>
          </w:p>
          <w:p w14:paraId="7D47E73A" w14:textId="4A7E92C2" w:rsidR="00D36EC8" w:rsidRDefault="00D36EC8" w:rsidP="00F9767D">
            <w:pPr>
              <w:autoSpaceDE w:val="0"/>
              <w:autoSpaceDN w:val="0"/>
              <w:jc w:val="both"/>
              <w:rPr>
                <w:rFonts w:eastAsia="Times New Roman"/>
                <w:sz w:val="26"/>
                <w:szCs w:val="26"/>
                <w:lang w:val="lv-LV"/>
              </w:rPr>
            </w:pPr>
          </w:p>
          <w:p w14:paraId="498C2316" w14:textId="63D96A8E" w:rsidR="005B3CC0" w:rsidRDefault="00F45EAE" w:rsidP="00F45EAE">
            <w:pPr>
              <w:autoSpaceDE w:val="0"/>
              <w:autoSpaceDN w:val="0"/>
              <w:jc w:val="both"/>
              <w:rPr>
                <w:rFonts w:eastAsia="Times New Roman"/>
                <w:sz w:val="26"/>
                <w:szCs w:val="26"/>
                <w:lang w:val="lv-LV"/>
              </w:rPr>
            </w:pPr>
            <w:r w:rsidRPr="00F45EAE">
              <w:rPr>
                <w:rFonts w:eastAsia="Times New Roman"/>
                <w:sz w:val="26"/>
                <w:szCs w:val="26"/>
                <w:lang w:val="lv-LV"/>
              </w:rPr>
              <w:t>Covid-19</w:t>
            </w:r>
            <w:r>
              <w:rPr>
                <w:rFonts w:eastAsia="Times New Roman"/>
                <w:sz w:val="26"/>
                <w:szCs w:val="26"/>
                <w:lang w:val="lv-LV"/>
              </w:rPr>
              <w:t xml:space="preserve"> pandēmijas izraisītās krīzes </w:t>
            </w:r>
            <w:r w:rsidRPr="00F45EAE">
              <w:rPr>
                <w:rFonts w:eastAsia="Times New Roman"/>
                <w:sz w:val="26"/>
                <w:szCs w:val="26"/>
                <w:lang w:val="lv-LV"/>
              </w:rPr>
              <w:t xml:space="preserve">ietekmē 2.ceturksnī </w:t>
            </w:r>
            <w:r>
              <w:rPr>
                <w:rFonts w:eastAsia="Times New Roman"/>
                <w:sz w:val="26"/>
                <w:szCs w:val="26"/>
                <w:lang w:val="lv-LV"/>
              </w:rPr>
              <w:t xml:space="preserve">Latvijā </w:t>
            </w:r>
            <w:r w:rsidRPr="00F45EAE">
              <w:rPr>
                <w:rFonts w:eastAsia="Times New Roman"/>
                <w:sz w:val="26"/>
                <w:szCs w:val="26"/>
                <w:lang w:val="lv-LV"/>
              </w:rPr>
              <w:t>bija vērojams straujš eksporta samazinājums</w:t>
            </w:r>
            <w:r>
              <w:rPr>
                <w:rFonts w:eastAsia="Times New Roman"/>
                <w:sz w:val="26"/>
                <w:szCs w:val="26"/>
                <w:lang w:val="lv-LV"/>
              </w:rPr>
              <w:t xml:space="preserve"> (</w:t>
            </w:r>
            <w:r w:rsidRPr="00F45EAE">
              <w:rPr>
                <w:rFonts w:eastAsia="Times New Roman"/>
                <w:sz w:val="26"/>
                <w:szCs w:val="26"/>
                <w:lang w:val="lv-LV"/>
              </w:rPr>
              <w:t>sarūk ārējais pieprasījums, ko daļēji kompensē konkurētspējas pieaugums atsevišķās nozarēs</w:t>
            </w:r>
            <w:r>
              <w:rPr>
                <w:rFonts w:eastAsia="Times New Roman"/>
                <w:sz w:val="26"/>
                <w:szCs w:val="26"/>
                <w:lang w:val="lv-LV"/>
              </w:rPr>
              <w:t>)</w:t>
            </w:r>
            <w:r w:rsidRPr="00F45EAE">
              <w:rPr>
                <w:rFonts w:eastAsia="Times New Roman"/>
                <w:sz w:val="26"/>
                <w:szCs w:val="26"/>
                <w:lang w:val="lv-LV"/>
              </w:rPr>
              <w:t>.</w:t>
            </w:r>
            <w:r>
              <w:rPr>
                <w:rStyle w:val="FootnoteReference"/>
                <w:rFonts w:eastAsia="Times New Roman"/>
                <w:sz w:val="26"/>
                <w:szCs w:val="26"/>
                <w:lang w:val="lv-LV"/>
              </w:rPr>
              <w:footnoteReference w:id="3"/>
            </w:r>
            <w:r>
              <w:rPr>
                <w:rFonts w:eastAsia="Times New Roman"/>
                <w:sz w:val="26"/>
                <w:szCs w:val="26"/>
                <w:lang w:val="lv-LV"/>
              </w:rPr>
              <w:t xml:space="preserve"> </w:t>
            </w:r>
            <w:r w:rsidR="009043DD" w:rsidRPr="00F45EAE">
              <w:rPr>
                <w:rFonts w:eastAsia="Times New Roman"/>
                <w:sz w:val="26"/>
                <w:szCs w:val="26"/>
                <w:lang w:val="lv-LV"/>
              </w:rPr>
              <w:t>L</w:t>
            </w:r>
            <w:r>
              <w:rPr>
                <w:rFonts w:eastAsia="Times New Roman"/>
                <w:sz w:val="26"/>
                <w:szCs w:val="26"/>
                <w:lang w:val="lv-LV"/>
              </w:rPr>
              <w:t xml:space="preserve">ai gan </w:t>
            </w:r>
            <w:r w:rsidR="009043DD" w:rsidRPr="00F45EAE">
              <w:rPr>
                <w:rFonts w:eastAsia="Times New Roman"/>
                <w:sz w:val="26"/>
                <w:szCs w:val="26"/>
                <w:lang w:val="lv-LV"/>
              </w:rPr>
              <w:t>eksports krīzes laikā būtiski kritās, tomēr sarukums bija viens no zemākajiem eiro zonas valstu vidū.</w:t>
            </w:r>
            <w:r w:rsidR="009043DD" w:rsidRPr="00F45EAE">
              <w:rPr>
                <w:rFonts w:eastAsia="Times New Roman"/>
                <w:sz w:val="26"/>
                <w:szCs w:val="26"/>
                <w:vertAlign w:val="superscript"/>
                <w:lang w:val="lv-LV"/>
              </w:rPr>
              <w:footnoteReference w:id="4"/>
            </w:r>
            <w:r w:rsidRPr="00F45EAE">
              <w:rPr>
                <w:rFonts w:eastAsia="Times New Roman"/>
                <w:sz w:val="26"/>
                <w:szCs w:val="26"/>
                <w:lang w:val="lv-LV"/>
              </w:rPr>
              <w:t xml:space="preserve"> </w:t>
            </w:r>
            <w:r>
              <w:rPr>
                <w:rFonts w:eastAsia="Times New Roman"/>
                <w:sz w:val="26"/>
                <w:szCs w:val="26"/>
                <w:lang w:val="lv-LV"/>
              </w:rPr>
              <w:t>Vienlaikus joprojām pastāv nedrošība un neziņa</w:t>
            </w:r>
            <w:r w:rsidR="00D26474">
              <w:rPr>
                <w:rFonts w:eastAsia="Times New Roman"/>
                <w:sz w:val="26"/>
                <w:szCs w:val="26"/>
                <w:lang w:val="lv-LV"/>
              </w:rPr>
              <w:t>, kas saistīta ar</w:t>
            </w:r>
            <w:r>
              <w:rPr>
                <w:rFonts w:eastAsia="Times New Roman"/>
                <w:sz w:val="26"/>
                <w:szCs w:val="26"/>
                <w:lang w:val="lv-LV"/>
              </w:rPr>
              <w:t xml:space="preserve"> COVID-19 saslimstības </w:t>
            </w:r>
            <w:r w:rsidR="00D26474">
              <w:rPr>
                <w:rFonts w:eastAsia="Times New Roman"/>
                <w:sz w:val="26"/>
                <w:szCs w:val="26"/>
                <w:lang w:val="lv-LV"/>
              </w:rPr>
              <w:t>pieaugumu</w:t>
            </w:r>
            <w:r>
              <w:rPr>
                <w:rFonts w:eastAsia="Times New Roman"/>
                <w:sz w:val="26"/>
                <w:szCs w:val="26"/>
                <w:lang w:val="lv-LV"/>
              </w:rPr>
              <w:t xml:space="preserve"> rudenī</w:t>
            </w:r>
            <w:r w:rsidR="005B3CC0">
              <w:rPr>
                <w:rFonts w:eastAsia="Times New Roman"/>
                <w:sz w:val="26"/>
                <w:szCs w:val="26"/>
                <w:lang w:val="lv-LV"/>
              </w:rPr>
              <w:t xml:space="preserve">, </w:t>
            </w:r>
          </w:p>
          <w:p w14:paraId="6991BC77" w14:textId="04EE6B04" w:rsidR="001E7DAD" w:rsidRDefault="00D26474" w:rsidP="00F45EAE">
            <w:pPr>
              <w:autoSpaceDE w:val="0"/>
              <w:autoSpaceDN w:val="0"/>
              <w:jc w:val="both"/>
              <w:rPr>
                <w:rFonts w:eastAsia="Times New Roman"/>
                <w:sz w:val="26"/>
                <w:szCs w:val="26"/>
                <w:lang w:val="lv-LV"/>
              </w:rPr>
            </w:pPr>
            <w:r>
              <w:rPr>
                <w:rFonts w:eastAsia="Times New Roman"/>
                <w:sz w:val="26"/>
                <w:szCs w:val="26"/>
                <w:lang w:val="lv-LV"/>
              </w:rPr>
              <w:t>kas var būt saistīts ar ierobežojumu pastiprināšanu gan Latvijā, gan Latvijas eksportētāju debitoru rezidences valstīs.</w:t>
            </w:r>
          </w:p>
          <w:p w14:paraId="45B1ED52" w14:textId="77777777" w:rsidR="001E7DAD" w:rsidRDefault="001E7DAD" w:rsidP="00F45EAE">
            <w:pPr>
              <w:autoSpaceDE w:val="0"/>
              <w:autoSpaceDN w:val="0"/>
              <w:jc w:val="both"/>
              <w:rPr>
                <w:rFonts w:eastAsia="Times New Roman"/>
                <w:sz w:val="26"/>
                <w:szCs w:val="26"/>
                <w:lang w:val="lv-LV"/>
              </w:rPr>
            </w:pPr>
          </w:p>
          <w:p w14:paraId="74D0EB86" w14:textId="55F5F1D8" w:rsidR="00D36EC8" w:rsidRDefault="00A21E62" w:rsidP="00F45EAE">
            <w:pPr>
              <w:autoSpaceDE w:val="0"/>
              <w:autoSpaceDN w:val="0"/>
              <w:jc w:val="both"/>
              <w:rPr>
                <w:rFonts w:eastAsia="Times New Roman"/>
                <w:sz w:val="26"/>
                <w:szCs w:val="26"/>
                <w:lang w:val="lv-LV"/>
              </w:rPr>
            </w:pPr>
            <w:r>
              <w:rPr>
                <w:rFonts w:eastAsia="Times New Roman"/>
                <w:sz w:val="26"/>
                <w:szCs w:val="26"/>
                <w:lang w:val="lv-LV"/>
              </w:rPr>
              <w:t>Lai gan ne dominējošo eksporta valstu (</w:t>
            </w:r>
            <w:r w:rsidRPr="00A21E62">
              <w:rPr>
                <w:rFonts w:eastAsia="Times New Roman"/>
                <w:sz w:val="26"/>
                <w:szCs w:val="26"/>
                <w:lang w:val="lv-LV"/>
              </w:rPr>
              <w:t>Lietuv</w:t>
            </w:r>
            <w:r>
              <w:rPr>
                <w:rFonts w:eastAsia="Times New Roman"/>
                <w:sz w:val="26"/>
                <w:szCs w:val="26"/>
                <w:lang w:val="lv-LV"/>
              </w:rPr>
              <w:t>a</w:t>
            </w:r>
            <w:r w:rsidRPr="00A21E62">
              <w:rPr>
                <w:rFonts w:eastAsia="Times New Roman"/>
                <w:sz w:val="26"/>
                <w:szCs w:val="26"/>
                <w:lang w:val="lv-LV"/>
              </w:rPr>
              <w:t>, Igaunij</w:t>
            </w:r>
            <w:r>
              <w:rPr>
                <w:rFonts w:eastAsia="Times New Roman"/>
                <w:sz w:val="26"/>
                <w:szCs w:val="26"/>
                <w:lang w:val="lv-LV"/>
              </w:rPr>
              <w:t>a</w:t>
            </w:r>
            <w:r w:rsidRPr="00A21E62">
              <w:rPr>
                <w:rFonts w:eastAsia="Times New Roman"/>
                <w:sz w:val="26"/>
                <w:szCs w:val="26"/>
                <w:lang w:val="lv-LV"/>
              </w:rPr>
              <w:t>, Vācij</w:t>
            </w:r>
            <w:r>
              <w:rPr>
                <w:rFonts w:eastAsia="Times New Roman"/>
                <w:sz w:val="26"/>
                <w:szCs w:val="26"/>
                <w:lang w:val="lv-LV"/>
              </w:rPr>
              <w:t>a</w:t>
            </w:r>
            <w:r w:rsidRPr="00A21E62">
              <w:rPr>
                <w:rFonts w:eastAsia="Times New Roman"/>
                <w:sz w:val="26"/>
                <w:szCs w:val="26"/>
                <w:lang w:val="lv-LV"/>
              </w:rPr>
              <w:t>, Krievij</w:t>
            </w:r>
            <w:r>
              <w:rPr>
                <w:rFonts w:eastAsia="Times New Roman"/>
                <w:sz w:val="26"/>
                <w:szCs w:val="26"/>
                <w:lang w:val="lv-LV"/>
              </w:rPr>
              <w:t>a</w:t>
            </w:r>
            <w:r w:rsidRPr="00A21E62">
              <w:rPr>
                <w:rFonts w:eastAsia="Times New Roman"/>
                <w:sz w:val="26"/>
                <w:szCs w:val="26"/>
                <w:lang w:val="lv-LV"/>
              </w:rPr>
              <w:t>, Zviedrij</w:t>
            </w:r>
            <w:r>
              <w:rPr>
                <w:rFonts w:eastAsia="Times New Roman"/>
                <w:sz w:val="26"/>
                <w:szCs w:val="26"/>
                <w:lang w:val="lv-LV"/>
              </w:rPr>
              <w:t>a</w:t>
            </w:r>
            <w:r w:rsidRPr="00A21E62">
              <w:rPr>
                <w:rFonts w:eastAsia="Times New Roman"/>
                <w:sz w:val="26"/>
                <w:szCs w:val="26"/>
                <w:lang w:val="lv-LV"/>
              </w:rPr>
              <w:t xml:space="preserve"> un Apvienot</w:t>
            </w:r>
            <w:r>
              <w:rPr>
                <w:rFonts w:eastAsia="Times New Roman"/>
                <w:sz w:val="26"/>
                <w:szCs w:val="26"/>
                <w:lang w:val="lv-LV"/>
              </w:rPr>
              <w:t>ā</w:t>
            </w:r>
            <w:r w:rsidRPr="00A21E62">
              <w:rPr>
                <w:rFonts w:eastAsia="Times New Roman"/>
                <w:sz w:val="26"/>
                <w:szCs w:val="26"/>
                <w:lang w:val="lv-LV"/>
              </w:rPr>
              <w:t xml:space="preserve"> Karalist</w:t>
            </w:r>
            <w:r>
              <w:rPr>
                <w:rFonts w:eastAsia="Times New Roman"/>
                <w:sz w:val="26"/>
                <w:szCs w:val="26"/>
                <w:lang w:val="lv-LV"/>
              </w:rPr>
              <w:t>e), ne galveno eksporta preču grupu (</w:t>
            </w:r>
            <w:r w:rsidRPr="00A21E62">
              <w:rPr>
                <w:rFonts w:eastAsia="Times New Roman"/>
                <w:sz w:val="26"/>
                <w:szCs w:val="26"/>
                <w:lang w:val="lv-LV"/>
              </w:rPr>
              <w:t>koksne, elektroiekārt</w:t>
            </w:r>
            <w:r>
              <w:rPr>
                <w:rFonts w:eastAsia="Times New Roman"/>
                <w:sz w:val="26"/>
                <w:szCs w:val="26"/>
                <w:lang w:val="lv-LV"/>
              </w:rPr>
              <w:t>as</w:t>
            </w:r>
            <w:r w:rsidRPr="00A21E62">
              <w:rPr>
                <w:rFonts w:eastAsia="Times New Roman"/>
                <w:sz w:val="26"/>
                <w:szCs w:val="26"/>
                <w:lang w:val="lv-LV"/>
              </w:rPr>
              <w:t>, mehānisk</w:t>
            </w:r>
            <w:r>
              <w:rPr>
                <w:rFonts w:eastAsia="Times New Roman"/>
                <w:sz w:val="26"/>
                <w:szCs w:val="26"/>
                <w:lang w:val="lv-LV"/>
              </w:rPr>
              <w:t>ās</w:t>
            </w:r>
            <w:r w:rsidRPr="00A21E62">
              <w:rPr>
                <w:rFonts w:eastAsia="Times New Roman"/>
                <w:sz w:val="26"/>
                <w:szCs w:val="26"/>
                <w:lang w:val="lv-LV"/>
              </w:rPr>
              <w:t xml:space="preserve"> ierī</w:t>
            </w:r>
            <w:r>
              <w:rPr>
                <w:rFonts w:eastAsia="Times New Roman"/>
                <w:sz w:val="26"/>
                <w:szCs w:val="26"/>
                <w:lang w:val="lv-LV"/>
              </w:rPr>
              <w:t>ces</w:t>
            </w:r>
            <w:r w:rsidRPr="00A21E62">
              <w:rPr>
                <w:rFonts w:eastAsia="Times New Roman"/>
                <w:sz w:val="26"/>
                <w:szCs w:val="26"/>
                <w:lang w:val="lv-LV"/>
              </w:rPr>
              <w:t>, graudaug</w:t>
            </w:r>
            <w:r>
              <w:rPr>
                <w:rFonts w:eastAsia="Times New Roman"/>
                <w:sz w:val="26"/>
                <w:szCs w:val="26"/>
                <w:lang w:val="lv-LV"/>
              </w:rPr>
              <w:t>i,</w:t>
            </w:r>
            <w:r w:rsidRPr="00A21E62">
              <w:rPr>
                <w:rFonts w:eastAsia="Times New Roman"/>
                <w:sz w:val="26"/>
                <w:szCs w:val="26"/>
                <w:lang w:val="lv-LV"/>
              </w:rPr>
              <w:t xml:space="preserve"> dzērien</w:t>
            </w:r>
            <w:r>
              <w:rPr>
                <w:rFonts w:eastAsia="Times New Roman"/>
                <w:sz w:val="26"/>
                <w:szCs w:val="26"/>
                <w:lang w:val="lv-LV"/>
              </w:rPr>
              <w:t>i) sadalījums nav mainījies, īstermiņa eksporta garantijas tiek izmantotas gan jau ilglaicīgiem eksporta partneriem (pircējiem), gan arī tiek meklēti jauni darījumu partneri un vēl neapgūtas tirdzniecības zonas, t.i., eksportētāji diversificē savus eksporta portfeļus.</w:t>
            </w:r>
          </w:p>
          <w:p w14:paraId="117D6C9A" w14:textId="28A805CE" w:rsidR="00F9767D" w:rsidRDefault="00F9767D" w:rsidP="00F9767D">
            <w:pPr>
              <w:autoSpaceDE w:val="0"/>
              <w:autoSpaceDN w:val="0"/>
              <w:jc w:val="both"/>
              <w:rPr>
                <w:rFonts w:eastAsia="Times New Roman"/>
                <w:sz w:val="26"/>
                <w:szCs w:val="26"/>
                <w:lang w:val="lv-LV"/>
              </w:rPr>
            </w:pPr>
            <w:r>
              <w:rPr>
                <w:rFonts w:eastAsia="Times New Roman"/>
                <w:sz w:val="26"/>
                <w:szCs w:val="26"/>
                <w:lang w:val="lv-LV"/>
              </w:rPr>
              <w:t xml:space="preserve"> </w:t>
            </w:r>
          </w:p>
          <w:p w14:paraId="087F6C80" w14:textId="6C3362E5" w:rsidR="00597F23" w:rsidRDefault="00844A6C" w:rsidP="00844A6C">
            <w:pPr>
              <w:spacing w:after="120"/>
              <w:jc w:val="both"/>
              <w:rPr>
                <w:bCs/>
                <w:iCs/>
                <w:color w:val="000000"/>
                <w:sz w:val="26"/>
                <w:szCs w:val="26"/>
                <w:lang w:val="lv-LV" w:eastAsia="lv-LV"/>
              </w:rPr>
            </w:pPr>
            <w:r>
              <w:rPr>
                <w:rFonts w:eastAsia="Times New Roman"/>
                <w:sz w:val="26"/>
                <w:szCs w:val="26"/>
                <w:lang w:val="lv-LV"/>
              </w:rPr>
              <w:t>Lai turpinātu mazināt</w:t>
            </w:r>
            <w:bookmarkStart w:id="6" w:name="_Hlk37247587"/>
            <w:r w:rsidR="00D71454">
              <w:rPr>
                <w:bCs/>
                <w:iCs/>
                <w:color w:val="000000"/>
                <w:sz w:val="26"/>
                <w:szCs w:val="26"/>
                <w:lang w:val="lv-LV" w:eastAsia="lv-LV"/>
              </w:rPr>
              <w:t xml:space="preserve"> Covid-19</w:t>
            </w:r>
            <w:r>
              <w:rPr>
                <w:bCs/>
                <w:iCs/>
                <w:color w:val="000000"/>
                <w:sz w:val="26"/>
                <w:szCs w:val="26"/>
                <w:lang w:val="lv-LV" w:eastAsia="lv-LV"/>
              </w:rPr>
              <w:t xml:space="preserve"> pandēmijas izraisītās</w:t>
            </w:r>
            <w:r w:rsidR="00D71454">
              <w:rPr>
                <w:bCs/>
                <w:iCs/>
                <w:color w:val="000000"/>
                <w:sz w:val="26"/>
                <w:szCs w:val="26"/>
                <w:lang w:val="lv-LV" w:eastAsia="lv-LV"/>
              </w:rPr>
              <w:t xml:space="preserve"> krīzes ietekmi uz Latvijas eksportētājiem, </w:t>
            </w:r>
            <w:r w:rsidR="002C3A9B" w:rsidRPr="007B4A0C">
              <w:rPr>
                <w:bCs/>
                <w:iCs/>
                <w:color w:val="000000"/>
                <w:sz w:val="26"/>
                <w:szCs w:val="26"/>
                <w:lang w:val="lv-LV" w:eastAsia="lv-LV"/>
              </w:rPr>
              <w:t>Ekonomikas ministrija ir izstrādājusi</w:t>
            </w:r>
            <w:r>
              <w:rPr>
                <w:bCs/>
                <w:iCs/>
                <w:color w:val="000000"/>
                <w:sz w:val="26"/>
                <w:szCs w:val="26"/>
                <w:lang w:val="lv-LV" w:eastAsia="lv-LV"/>
              </w:rPr>
              <w:t xml:space="preserve"> </w:t>
            </w:r>
            <w:r w:rsidR="00906C1A">
              <w:rPr>
                <w:bCs/>
                <w:iCs/>
                <w:color w:val="000000"/>
                <w:sz w:val="26"/>
                <w:szCs w:val="26"/>
                <w:lang w:val="lv-LV" w:eastAsia="lv-LV"/>
              </w:rPr>
              <w:t xml:space="preserve">šo </w:t>
            </w:r>
            <w:r w:rsidR="008340FF">
              <w:rPr>
                <w:bCs/>
                <w:iCs/>
                <w:color w:val="000000"/>
                <w:sz w:val="26"/>
                <w:szCs w:val="26"/>
                <w:lang w:val="lv-LV" w:eastAsia="lv-LV"/>
              </w:rPr>
              <w:t>N</w:t>
            </w:r>
            <w:r w:rsidR="002C3A9B" w:rsidRPr="007B4A0C">
              <w:rPr>
                <w:bCs/>
                <w:iCs/>
                <w:color w:val="000000"/>
                <w:sz w:val="26"/>
                <w:szCs w:val="26"/>
                <w:lang w:val="lv-LV" w:eastAsia="lv-LV"/>
              </w:rPr>
              <w:t>oteikumu projektu</w:t>
            </w:r>
            <w:r w:rsidR="00597F23">
              <w:rPr>
                <w:bCs/>
                <w:iCs/>
                <w:color w:val="000000"/>
                <w:sz w:val="26"/>
                <w:szCs w:val="26"/>
                <w:lang w:val="lv-LV" w:eastAsia="lv-LV"/>
              </w:rPr>
              <w:t>:</w:t>
            </w:r>
          </w:p>
          <w:p w14:paraId="11E0C49F" w14:textId="3578AB32" w:rsidR="003E3959" w:rsidRDefault="00597F23" w:rsidP="00844A6C">
            <w:pPr>
              <w:spacing w:after="120"/>
              <w:jc w:val="both"/>
              <w:rPr>
                <w:bCs/>
                <w:iCs/>
                <w:color w:val="000000"/>
                <w:sz w:val="26"/>
                <w:szCs w:val="26"/>
                <w:lang w:val="lv-LV" w:eastAsia="lv-LV"/>
              </w:rPr>
            </w:pPr>
            <w:r>
              <w:rPr>
                <w:bCs/>
                <w:iCs/>
                <w:color w:val="000000"/>
                <w:sz w:val="26"/>
                <w:szCs w:val="26"/>
                <w:lang w:val="lv-LV" w:eastAsia="lv-LV"/>
              </w:rPr>
              <w:t>1.</w:t>
            </w:r>
            <w:r w:rsidR="004F1F0D">
              <w:rPr>
                <w:bCs/>
                <w:iCs/>
                <w:color w:val="000000"/>
                <w:sz w:val="26"/>
                <w:szCs w:val="26"/>
                <w:lang w:val="lv-LV" w:eastAsia="lv-LV"/>
              </w:rPr>
              <w:t xml:space="preserve"> iekļaujot </w:t>
            </w:r>
            <w:r w:rsidR="00906C1A">
              <w:rPr>
                <w:bCs/>
                <w:iCs/>
                <w:color w:val="000000"/>
                <w:sz w:val="26"/>
                <w:szCs w:val="26"/>
                <w:lang w:val="lv-LV" w:eastAsia="lv-LV"/>
              </w:rPr>
              <w:t>Pagaidu regulējumā</w:t>
            </w:r>
            <w:r w:rsidR="004F1F0D">
              <w:rPr>
                <w:bCs/>
                <w:iCs/>
                <w:color w:val="000000"/>
                <w:sz w:val="26"/>
                <w:szCs w:val="26"/>
                <w:lang w:val="lv-LV" w:eastAsia="lv-LV"/>
              </w:rPr>
              <w:t xml:space="preserve"> </w:t>
            </w:r>
            <w:r w:rsidR="008D1364">
              <w:rPr>
                <w:bCs/>
                <w:iCs/>
                <w:color w:val="000000"/>
                <w:sz w:val="26"/>
                <w:szCs w:val="26"/>
                <w:lang w:val="lv-LV" w:eastAsia="lv-LV"/>
              </w:rPr>
              <w:t>veiktos grozījumus</w:t>
            </w:r>
            <w:r w:rsidR="00844A6C">
              <w:rPr>
                <w:bCs/>
                <w:iCs/>
                <w:color w:val="000000"/>
                <w:sz w:val="26"/>
                <w:szCs w:val="26"/>
                <w:lang w:val="lv-LV" w:eastAsia="lv-LV"/>
              </w:rPr>
              <w:t xml:space="preserve"> par termiņa pagarinājumu, līdz kuram</w:t>
            </w:r>
            <w:r>
              <w:rPr>
                <w:bCs/>
                <w:iCs/>
                <w:color w:val="000000"/>
                <w:sz w:val="26"/>
                <w:szCs w:val="26"/>
                <w:lang w:val="lv-LV" w:eastAsia="lv-LV"/>
              </w:rPr>
              <w:t xml:space="preserve"> </w:t>
            </w:r>
            <w:r w:rsidR="006F24AB">
              <w:rPr>
                <w:bCs/>
                <w:iCs/>
                <w:color w:val="000000"/>
                <w:sz w:val="26"/>
                <w:szCs w:val="26"/>
                <w:lang w:val="lv-LV" w:eastAsia="lv-LV"/>
              </w:rPr>
              <w:t>garantijas var sniegt par debitoru parādiem neatkarīgi no debitoru valsts</w:t>
            </w:r>
            <w:r w:rsidR="00865C34">
              <w:rPr>
                <w:bCs/>
                <w:iCs/>
                <w:color w:val="000000"/>
                <w:sz w:val="26"/>
                <w:szCs w:val="26"/>
                <w:lang w:val="lv-LV" w:eastAsia="lv-LV"/>
              </w:rPr>
              <w:t xml:space="preserve"> (Noteikumu projekta </w:t>
            </w:r>
            <w:r w:rsidR="00A312C7">
              <w:rPr>
                <w:bCs/>
                <w:iCs/>
                <w:color w:val="000000"/>
                <w:sz w:val="26"/>
                <w:szCs w:val="26"/>
                <w:lang w:val="lv-LV" w:eastAsia="lv-LV"/>
              </w:rPr>
              <w:t>4</w:t>
            </w:r>
            <w:r w:rsidR="006216EC">
              <w:rPr>
                <w:bCs/>
                <w:iCs/>
                <w:color w:val="000000"/>
                <w:sz w:val="26"/>
                <w:szCs w:val="26"/>
                <w:lang w:val="lv-LV" w:eastAsia="lv-LV"/>
              </w:rPr>
              <w:t>. punkts</w:t>
            </w:r>
            <w:r w:rsidR="00865C34">
              <w:rPr>
                <w:bCs/>
                <w:iCs/>
                <w:color w:val="000000"/>
                <w:sz w:val="26"/>
                <w:szCs w:val="26"/>
                <w:lang w:val="lv-LV" w:eastAsia="lv-LV"/>
              </w:rPr>
              <w:t>)</w:t>
            </w:r>
            <w:r w:rsidR="001F1430">
              <w:rPr>
                <w:bCs/>
                <w:iCs/>
                <w:color w:val="000000"/>
                <w:sz w:val="26"/>
                <w:szCs w:val="26"/>
                <w:lang w:val="lv-LV" w:eastAsia="lv-LV"/>
              </w:rPr>
              <w:t>.</w:t>
            </w:r>
            <w:r w:rsidR="00934AD3">
              <w:rPr>
                <w:bCs/>
                <w:iCs/>
                <w:color w:val="000000"/>
                <w:sz w:val="26"/>
                <w:szCs w:val="26"/>
                <w:lang w:val="lv-LV" w:eastAsia="lv-LV"/>
              </w:rPr>
              <w:t xml:space="preserve"> Šie grozījumi atļaus turpināt sniegt atbalstu Latvijas eksportētājiem, sniedzot garantijas par to eksporta darījumiem un mazinot debitoru valstu komerciālos un politiskos riskus.</w:t>
            </w:r>
          </w:p>
          <w:p w14:paraId="373528D7" w14:textId="21235567" w:rsidR="007F2DB0" w:rsidRPr="007F2DB0" w:rsidRDefault="00597F23" w:rsidP="007F2DB0">
            <w:pPr>
              <w:pStyle w:val="Default"/>
              <w:spacing w:before="120" w:after="120"/>
              <w:jc w:val="both"/>
              <w:rPr>
                <w:rFonts w:ascii="Times New Roman" w:hAnsi="Times New Roman" w:cs="Times New Roman"/>
                <w:color w:val="auto"/>
                <w:sz w:val="26"/>
                <w:szCs w:val="26"/>
              </w:rPr>
            </w:pPr>
            <w:r>
              <w:rPr>
                <w:bCs/>
                <w:iCs/>
                <w:sz w:val="26"/>
                <w:szCs w:val="26"/>
                <w:lang w:eastAsia="lv-LV"/>
              </w:rPr>
              <w:lastRenderedPageBreak/>
              <w:t xml:space="preserve">2. </w:t>
            </w:r>
            <w:r w:rsidRPr="00390C1B">
              <w:rPr>
                <w:rFonts w:ascii="Times New Roman" w:hAnsi="Times New Roman" w:cs="Times New Roman"/>
                <w:color w:val="auto"/>
                <w:sz w:val="26"/>
                <w:szCs w:val="26"/>
              </w:rPr>
              <w:t xml:space="preserve">pagarinot termiņu, </w:t>
            </w:r>
            <w:r w:rsidR="00844A6C" w:rsidRPr="00390C1B">
              <w:rPr>
                <w:rFonts w:ascii="Times New Roman" w:hAnsi="Times New Roman" w:cs="Times New Roman"/>
                <w:color w:val="auto"/>
                <w:sz w:val="26"/>
                <w:szCs w:val="26"/>
              </w:rPr>
              <w:t>līdz kuram piemērojami saistītie nosacījumi</w:t>
            </w:r>
            <w:r w:rsidR="00697025" w:rsidRPr="00AB3F37">
              <w:rPr>
                <w:rFonts w:ascii="Times New Roman" w:hAnsi="Times New Roman" w:cs="Times New Roman"/>
                <w:color w:val="auto"/>
                <w:sz w:val="26"/>
                <w:szCs w:val="26"/>
                <w:vertAlign w:val="superscript"/>
              </w:rPr>
              <w:footnoteReference w:id="5"/>
            </w:r>
            <w:r w:rsidRPr="00390C1B">
              <w:rPr>
                <w:rFonts w:ascii="Times New Roman" w:hAnsi="Times New Roman" w:cs="Times New Roman"/>
                <w:color w:val="auto"/>
                <w:sz w:val="26"/>
                <w:szCs w:val="26"/>
              </w:rPr>
              <w:t xml:space="preserve"> par atvieglotākiem </w:t>
            </w:r>
            <w:r w:rsidR="00AB3F37">
              <w:rPr>
                <w:rFonts w:ascii="Times New Roman" w:hAnsi="Times New Roman" w:cs="Times New Roman"/>
                <w:color w:val="auto"/>
                <w:sz w:val="26"/>
                <w:szCs w:val="26"/>
              </w:rPr>
              <w:t>kritērijiem</w:t>
            </w:r>
            <w:r w:rsidRPr="00390C1B">
              <w:rPr>
                <w:rFonts w:ascii="Times New Roman" w:hAnsi="Times New Roman" w:cs="Times New Roman"/>
                <w:color w:val="auto"/>
                <w:sz w:val="26"/>
                <w:szCs w:val="26"/>
              </w:rPr>
              <w:t xml:space="preserve"> attiecībā uz nodokļu vai nodevu parāda</w:t>
            </w:r>
            <w:r w:rsidRPr="00597F23">
              <w:rPr>
                <w:rFonts w:ascii="Times New Roman" w:eastAsia="Calibri" w:hAnsi="Times New Roman" w:cs="Times New Roman"/>
                <w:bCs/>
                <w:iCs/>
                <w:sz w:val="26"/>
                <w:szCs w:val="26"/>
                <w:lang w:eastAsia="lv-LV"/>
              </w:rPr>
              <w:t>, tai skaitā valsts sociālās apdrošināšanas obligāto iemaksu parāda apjomu</w:t>
            </w:r>
            <w:r w:rsidR="00390C1B">
              <w:rPr>
                <w:bCs/>
                <w:iCs/>
                <w:sz w:val="26"/>
                <w:szCs w:val="26"/>
                <w:lang w:eastAsia="lv-LV"/>
              </w:rPr>
              <w:t>.</w:t>
            </w:r>
            <w:r w:rsidRPr="00597F23">
              <w:rPr>
                <w:rFonts w:ascii="Times New Roman" w:eastAsia="Calibri" w:hAnsi="Times New Roman" w:cs="Times New Roman"/>
                <w:bCs/>
                <w:iCs/>
                <w:sz w:val="26"/>
                <w:szCs w:val="26"/>
                <w:lang w:eastAsia="lv-LV"/>
              </w:rPr>
              <w:t xml:space="preserve"> </w:t>
            </w:r>
            <w:r w:rsidR="00390C1B">
              <w:rPr>
                <w:rFonts w:ascii="Times New Roman" w:hAnsi="Times New Roman" w:cs="Times New Roman"/>
                <w:color w:val="auto"/>
                <w:sz w:val="26"/>
                <w:szCs w:val="26"/>
              </w:rPr>
              <w:t>Ekonomikas ministrijas ieskatā COVID-19 krīzes saistītie riski, kuru dēļ eksportētāji var saskarties ar likviditātes problēmām, t.sk., var būt izveidojušies nodokļu parādi uz garantijas piešķiršanas brīdi, joprojām pastāv un ir aktuāli</w:t>
            </w:r>
            <w:r w:rsidR="00865C34">
              <w:rPr>
                <w:rFonts w:ascii="Times New Roman" w:hAnsi="Times New Roman" w:cs="Times New Roman"/>
                <w:color w:val="auto"/>
                <w:sz w:val="26"/>
                <w:szCs w:val="26"/>
              </w:rPr>
              <w:t xml:space="preserve"> (Noteikumu projekta </w:t>
            </w:r>
            <w:r w:rsidR="00A312C7">
              <w:rPr>
                <w:rFonts w:ascii="Times New Roman" w:hAnsi="Times New Roman" w:cs="Times New Roman"/>
                <w:color w:val="auto"/>
                <w:sz w:val="26"/>
                <w:szCs w:val="26"/>
              </w:rPr>
              <w:t>4</w:t>
            </w:r>
            <w:r w:rsidR="00865C34">
              <w:rPr>
                <w:rFonts w:ascii="Times New Roman" w:hAnsi="Times New Roman" w:cs="Times New Roman"/>
                <w:color w:val="auto"/>
                <w:sz w:val="26"/>
                <w:szCs w:val="26"/>
              </w:rPr>
              <w:t>. punkts)</w:t>
            </w:r>
            <w:r w:rsidR="00934AD3">
              <w:rPr>
                <w:rFonts w:ascii="Times New Roman" w:hAnsi="Times New Roman" w:cs="Times New Roman"/>
                <w:color w:val="auto"/>
                <w:sz w:val="26"/>
                <w:szCs w:val="26"/>
              </w:rPr>
              <w:t>. Šie grozījumi ļaus lielākam saimnieciskās darbības veicēju lokam saņemt garantiju par eksporta darījumiem.</w:t>
            </w:r>
          </w:p>
          <w:p w14:paraId="6F3D0DA1" w14:textId="4D445803" w:rsidR="0071492B" w:rsidRDefault="007F2DB0" w:rsidP="00906C1A">
            <w:pPr>
              <w:spacing w:after="120"/>
              <w:jc w:val="both"/>
              <w:rPr>
                <w:bCs/>
                <w:iCs/>
                <w:color w:val="000000"/>
                <w:sz w:val="26"/>
                <w:szCs w:val="26"/>
                <w:lang w:val="lv-LV" w:eastAsia="lv-LV"/>
              </w:rPr>
            </w:pPr>
            <w:r>
              <w:rPr>
                <w:bCs/>
                <w:iCs/>
                <w:color w:val="000000"/>
                <w:sz w:val="26"/>
                <w:szCs w:val="26"/>
                <w:lang w:val="lv-LV" w:eastAsia="lv-LV"/>
              </w:rPr>
              <w:t>3.</w:t>
            </w:r>
            <w:r w:rsidR="00390C1B">
              <w:rPr>
                <w:bCs/>
                <w:iCs/>
                <w:color w:val="000000"/>
                <w:sz w:val="26"/>
                <w:szCs w:val="26"/>
                <w:lang w:val="lv-LV" w:eastAsia="lv-LV"/>
              </w:rPr>
              <w:t xml:space="preserve">nostiprinot nosacījumu par </w:t>
            </w:r>
            <w:r w:rsidR="00390C1B" w:rsidRPr="00AB3F37">
              <w:rPr>
                <w:bCs/>
                <w:iCs/>
                <w:color w:val="000000"/>
                <w:sz w:val="26"/>
                <w:szCs w:val="26"/>
                <w:lang w:val="lv-LV" w:eastAsia="lv-LV"/>
              </w:rPr>
              <w:t>pircēja (debitora) maksājumu veikšanas disciplīnu laikā pēdējo trīs mēnešu laikā</w:t>
            </w:r>
            <w:r w:rsidR="00390C1B">
              <w:rPr>
                <w:bCs/>
                <w:iCs/>
                <w:color w:val="000000"/>
                <w:sz w:val="26"/>
                <w:szCs w:val="26"/>
                <w:lang w:val="lv-LV" w:eastAsia="lv-LV"/>
              </w:rPr>
              <w:t xml:space="preserve"> kā pastāvīgu normu, kas izriet no </w:t>
            </w:r>
            <w:r w:rsidR="00B86F40">
              <w:rPr>
                <w:bCs/>
                <w:iCs/>
                <w:color w:val="000000"/>
                <w:sz w:val="26"/>
                <w:szCs w:val="26"/>
                <w:lang w:val="lv-LV" w:eastAsia="lv-LV"/>
              </w:rPr>
              <w:t>Komisijas paziņojuma</w:t>
            </w:r>
            <w:r w:rsidR="00906C1A">
              <w:rPr>
                <w:bCs/>
                <w:iCs/>
                <w:color w:val="000000"/>
                <w:sz w:val="26"/>
                <w:szCs w:val="26"/>
                <w:lang w:val="lv-LV" w:eastAsia="lv-LV"/>
              </w:rPr>
              <w:t xml:space="preserve"> par ĪEKG</w:t>
            </w:r>
            <w:r w:rsidR="00390C1B" w:rsidRPr="00AB3F37">
              <w:rPr>
                <w:bCs/>
                <w:iCs/>
                <w:color w:val="000000"/>
                <w:sz w:val="26"/>
                <w:szCs w:val="26"/>
                <w:lang w:val="lv-LV" w:eastAsia="lv-LV"/>
              </w:rPr>
              <w:t xml:space="preserve"> 21.punkta.</w:t>
            </w:r>
            <w:bookmarkEnd w:id="6"/>
            <w:r w:rsidR="00934AD3">
              <w:rPr>
                <w:bCs/>
                <w:iCs/>
                <w:color w:val="000000"/>
                <w:sz w:val="26"/>
                <w:szCs w:val="26"/>
                <w:lang w:val="lv-LV" w:eastAsia="lv-LV"/>
              </w:rPr>
              <w:t xml:space="preserve"> (Noteikumu projekta 3.punkts)</w:t>
            </w:r>
          </w:p>
          <w:p w14:paraId="340CF51B" w14:textId="0D59033C" w:rsidR="007F2DB0" w:rsidRDefault="007F2DB0" w:rsidP="003A554C">
            <w:pPr>
              <w:spacing w:after="120"/>
              <w:jc w:val="both"/>
              <w:rPr>
                <w:bCs/>
                <w:iCs/>
                <w:color w:val="000000"/>
                <w:sz w:val="26"/>
                <w:szCs w:val="26"/>
                <w:lang w:val="lv-LV" w:eastAsia="lv-LV"/>
              </w:rPr>
            </w:pPr>
            <w:r w:rsidRPr="003A554C">
              <w:rPr>
                <w:bCs/>
                <w:iCs/>
                <w:color w:val="000000"/>
                <w:sz w:val="26"/>
                <w:szCs w:val="26"/>
                <w:lang w:val="lv-LV" w:eastAsia="lv-LV"/>
              </w:rPr>
              <w:t xml:space="preserve">Papildus noteikumu projekts paredz precizēt </w:t>
            </w:r>
            <w:r w:rsidR="002E4452" w:rsidRPr="003A554C">
              <w:rPr>
                <w:bCs/>
                <w:iCs/>
                <w:color w:val="000000"/>
                <w:sz w:val="26"/>
                <w:szCs w:val="26"/>
                <w:lang w:val="lv-LV" w:eastAsia="lv-LV"/>
              </w:rPr>
              <w:t>Noteikumu 10. un 11.punktus atbilstoši</w:t>
            </w:r>
            <w:r w:rsidRPr="003A554C">
              <w:rPr>
                <w:bCs/>
                <w:iCs/>
                <w:color w:val="000000"/>
                <w:sz w:val="26"/>
                <w:szCs w:val="26"/>
                <w:lang w:val="lv-LV" w:eastAsia="lv-LV"/>
              </w:rPr>
              <w:t xml:space="preserve"> </w:t>
            </w:r>
            <w:r w:rsidR="003A554C" w:rsidRPr="003A554C">
              <w:rPr>
                <w:sz w:val="26"/>
                <w:szCs w:val="26"/>
                <w:lang w:val="lv-LV"/>
              </w:rPr>
              <w:t xml:space="preserve">Komisijas paziņojuma par darbības termiņa pagarinājumu attiecībā uz Komisijas paziņojumu dalībvalstīm par Līguma par Eiropas Savienības darbību 107. un 108. panta piemērošanu īstermiņa eksporta kredīta apdrošināšanai </w:t>
            </w:r>
            <w:r w:rsidR="003A554C" w:rsidRPr="003A554C">
              <w:rPr>
                <w:sz w:val="26"/>
                <w:szCs w:val="26"/>
                <w:lang w:val="lv-LV" w:eastAsia="lv-LV"/>
              </w:rPr>
              <w:t>(2018/C 457/04</w:t>
            </w:r>
            <w:r w:rsidR="003A554C" w:rsidRPr="003A554C">
              <w:rPr>
                <w:sz w:val="26"/>
                <w:szCs w:val="26"/>
                <w:lang w:val="lv-LV"/>
              </w:rPr>
              <w:t>)</w:t>
            </w:r>
            <w:r w:rsidR="003A554C">
              <w:rPr>
                <w:sz w:val="26"/>
                <w:szCs w:val="26"/>
                <w:lang w:val="lv-LV"/>
              </w:rPr>
              <w:t xml:space="preserve"> (turpmāk - </w:t>
            </w:r>
            <w:r w:rsidR="003A554C" w:rsidRPr="003A554C">
              <w:rPr>
                <w:bCs/>
                <w:iCs/>
                <w:color w:val="000000"/>
                <w:sz w:val="26"/>
                <w:szCs w:val="26"/>
                <w:lang w:val="lv-LV" w:eastAsia="lv-LV"/>
              </w:rPr>
              <w:t>Komisijas paziņojumā (2018/C 457/04)</w:t>
            </w:r>
            <w:r w:rsidR="003A554C">
              <w:rPr>
                <w:bCs/>
                <w:iCs/>
                <w:color w:val="000000"/>
                <w:sz w:val="26"/>
                <w:szCs w:val="26"/>
                <w:lang w:val="lv-LV" w:eastAsia="lv-LV"/>
              </w:rPr>
              <w:t>)</w:t>
            </w:r>
            <w:r w:rsidR="003A554C">
              <w:rPr>
                <w:sz w:val="26"/>
                <w:szCs w:val="26"/>
                <w:lang w:val="lv-LV"/>
              </w:rPr>
              <w:t xml:space="preserve"> </w:t>
            </w:r>
            <w:r w:rsidR="002E4452">
              <w:rPr>
                <w:bCs/>
                <w:iCs/>
                <w:color w:val="000000"/>
                <w:sz w:val="26"/>
                <w:szCs w:val="26"/>
                <w:lang w:val="lv-LV" w:eastAsia="lv-LV"/>
              </w:rPr>
              <w:t xml:space="preserve">16.punktam, kurš paredz, ka no 2019.gada 1.janvāra Grieķija ir noteikta, kā valsts, kuras riski uzskatāmi par nododamiem </w:t>
            </w:r>
            <w:r>
              <w:rPr>
                <w:bCs/>
                <w:iCs/>
                <w:color w:val="000000"/>
                <w:sz w:val="26"/>
                <w:szCs w:val="26"/>
                <w:lang w:val="lv-LV" w:eastAsia="lv-LV"/>
              </w:rPr>
              <w:t xml:space="preserve">Komisijas </w:t>
            </w:r>
            <w:r w:rsidRPr="007F2DB0">
              <w:rPr>
                <w:bCs/>
                <w:iCs/>
                <w:color w:val="000000"/>
                <w:sz w:val="26"/>
                <w:szCs w:val="26"/>
                <w:lang w:val="lv-LV" w:eastAsia="lv-LV"/>
              </w:rPr>
              <w:t>paziņojumu</w:t>
            </w:r>
            <w:r>
              <w:rPr>
                <w:bCs/>
                <w:iCs/>
                <w:color w:val="000000"/>
                <w:sz w:val="26"/>
                <w:szCs w:val="26"/>
                <w:lang w:val="lv-LV" w:eastAsia="lv-LV"/>
              </w:rPr>
              <w:t xml:space="preserve"> par ĪEKG</w:t>
            </w:r>
            <w:r w:rsidRPr="007F2DB0">
              <w:rPr>
                <w:bCs/>
                <w:iCs/>
                <w:color w:val="000000"/>
                <w:sz w:val="26"/>
                <w:szCs w:val="26"/>
                <w:lang w:val="lv-LV" w:eastAsia="lv-LV"/>
              </w:rPr>
              <w:t xml:space="preserve"> </w:t>
            </w:r>
            <w:r w:rsidR="002E4452">
              <w:rPr>
                <w:bCs/>
                <w:iCs/>
                <w:color w:val="000000"/>
                <w:sz w:val="26"/>
                <w:szCs w:val="26"/>
                <w:lang w:val="lv-LV" w:eastAsia="lv-LV"/>
              </w:rPr>
              <w:t>ietvaros.</w:t>
            </w:r>
          </w:p>
          <w:p w14:paraId="09F04E06" w14:textId="2ADDD4B6" w:rsidR="003A554C" w:rsidRPr="003A554C" w:rsidRDefault="003A554C" w:rsidP="003A554C">
            <w:pPr>
              <w:spacing w:after="120"/>
              <w:jc w:val="both"/>
              <w:rPr>
                <w:rFonts w:ascii="Arial" w:eastAsia="Times New Roman" w:hAnsi="Arial" w:cs="Arial"/>
                <w:color w:val="414142"/>
                <w:lang w:val="lv-LV" w:eastAsia="lv-LV"/>
              </w:rPr>
            </w:pPr>
            <w:r w:rsidRPr="003A554C">
              <w:rPr>
                <w:bCs/>
                <w:iCs/>
                <w:color w:val="000000"/>
                <w:sz w:val="26"/>
                <w:szCs w:val="26"/>
                <w:lang w:val="lv-LV" w:eastAsia="lv-LV"/>
              </w:rPr>
              <w:t>Eiropas Komisija ir pagarinājusi Komisijas paziņojumā (2018/C 457/04) noteikto darbības termiņu</w:t>
            </w:r>
            <w:r>
              <w:rPr>
                <w:bCs/>
                <w:iCs/>
                <w:color w:val="000000"/>
                <w:sz w:val="26"/>
                <w:szCs w:val="26"/>
                <w:lang w:val="lv-LV" w:eastAsia="lv-LV"/>
              </w:rPr>
              <w:t>,</w:t>
            </w:r>
            <w:r w:rsidRPr="003A554C">
              <w:rPr>
                <w:bCs/>
                <w:iCs/>
                <w:color w:val="000000"/>
                <w:sz w:val="26"/>
                <w:szCs w:val="26"/>
                <w:lang w:val="lv-LV" w:eastAsia="lv-LV"/>
              </w:rPr>
              <w:t xml:space="preserve"> līdz kuram ir piemērojami </w:t>
            </w:r>
            <w:r>
              <w:rPr>
                <w:bCs/>
                <w:iCs/>
                <w:color w:val="000000"/>
                <w:sz w:val="26"/>
                <w:szCs w:val="26"/>
                <w:lang w:val="lv-LV" w:eastAsia="lv-LV"/>
              </w:rPr>
              <w:t xml:space="preserve">Komisijas </w:t>
            </w:r>
            <w:r w:rsidRPr="007F2DB0">
              <w:rPr>
                <w:bCs/>
                <w:iCs/>
                <w:color w:val="000000"/>
                <w:sz w:val="26"/>
                <w:szCs w:val="26"/>
                <w:lang w:val="lv-LV" w:eastAsia="lv-LV"/>
              </w:rPr>
              <w:t>paziņojum</w:t>
            </w:r>
            <w:r>
              <w:rPr>
                <w:bCs/>
                <w:iCs/>
                <w:color w:val="000000"/>
                <w:sz w:val="26"/>
                <w:szCs w:val="26"/>
                <w:lang w:val="lv-LV" w:eastAsia="lv-LV"/>
              </w:rPr>
              <w:t xml:space="preserve">ā par ĪEKG noteiktie nosacījumi valsts atbalstam īstermiņa eksporta kredītu garantiju veidā. </w:t>
            </w:r>
            <w:r w:rsidRPr="003A554C">
              <w:rPr>
                <w:bCs/>
                <w:iCs/>
                <w:color w:val="000000"/>
                <w:sz w:val="26"/>
                <w:szCs w:val="26"/>
                <w:lang w:val="lv-LV" w:eastAsia="lv-LV"/>
              </w:rPr>
              <w:t>Komisija ir nolēmusi turpināt piemērot spēkā esošo Komisijas paziņojumu par ĪEKG līdz 2021. gada 31. decembrim.</w:t>
            </w:r>
          </w:p>
        </w:tc>
      </w:tr>
      <w:tr w:rsidR="00844176" w:rsidRPr="00C136CD" w14:paraId="41041CF1" w14:textId="77777777" w:rsidTr="006678E3">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lastRenderedPageBreak/>
              <w:t>3.</w:t>
            </w:r>
          </w:p>
        </w:tc>
        <w:tc>
          <w:tcPr>
            <w:tcW w:w="1984" w:type="dxa"/>
            <w:tcBorders>
              <w:top w:val="outset" w:sz="6" w:space="0" w:color="414142"/>
              <w:left w:val="outset" w:sz="6" w:space="0" w:color="414142"/>
              <w:bottom w:val="outset" w:sz="6" w:space="0" w:color="414142"/>
              <w:right w:val="outset" w:sz="6" w:space="0" w:color="414142"/>
            </w:tcBorders>
            <w:hideMark/>
          </w:tcPr>
          <w:p w14:paraId="2F4C459C"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Projekta izstrādē iesaistītās institūcijas</w:t>
            </w:r>
          </w:p>
        </w:tc>
        <w:tc>
          <w:tcPr>
            <w:tcW w:w="6727" w:type="dxa"/>
            <w:tcBorders>
              <w:top w:val="outset" w:sz="6" w:space="0" w:color="414142"/>
              <w:left w:val="outset" w:sz="6" w:space="0" w:color="414142"/>
              <w:bottom w:val="outset" w:sz="6" w:space="0" w:color="414142"/>
              <w:right w:val="outset" w:sz="6" w:space="0" w:color="414142"/>
            </w:tcBorders>
            <w:hideMark/>
          </w:tcPr>
          <w:p w14:paraId="1C1732C9" w14:textId="2828C5AC" w:rsidR="00844176" w:rsidRPr="00C136CD" w:rsidRDefault="00CE0AC5" w:rsidP="00871E2F">
            <w:pPr>
              <w:spacing w:before="100" w:beforeAutospacing="1" w:after="100" w:afterAutospacing="1"/>
              <w:ind w:left="60"/>
              <w:rPr>
                <w:rFonts w:eastAsia="Times New Roman"/>
                <w:sz w:val="26"/>
                <w:szCs w:val="26"/>
                <w:lang w:val="lv-LV" w:eastAsia="lv-LV"/>
              </w:rPr>
            </w:pPr>
            <w:r w:rsidRPr="00C136CD">
              <w:rPr>
                <w:sz w:val="26"/>
                <w:szCs w:val="26"/>
                <w:lang w:val="lv-LV"/>
              </w:rPr>
              <w:t>E</w:t>
            </w:r>
            <w:r w:rsidR="00547ACF" w:rsidRPr="00C136CD">
              <w:rPr>
                <w:sz w:val="26"/>
                <w:szCs w:val="26"/>
                <w:lang w:val="lv-LV"/>
              </w:rPr>
              <w:t>konomikas ministrija</w:t>
            </w:r>
            <w:r w:rsidRPr="00C136CD">
              <w:rPr>
                <w:sz w:val="26"/>
                <w:szCs w:val="26"/>
                <w:lang w:val="lv-LV"/>
              </w:rPr>
              <w:t xml:space="preserve">, </w:t>
            </w:r>
            <w:r w:rsidR="008B55D5">
              <w:rPr>
                <w:sz w:val="26"/>
                <w:szCs w:val="26"/>
                <w:lang w:val="lv-LV"/>
              </w:rPr>
              <w:t xml:space="preserve">sabiedrība </w:t>
            </w:r>
            <w:proofErr w:type="spellStart"/>
            <w:r w:rsidR="008B55D5">
              <w:rPr>
                <w:sz w:val="26"/>
                <w:szCs w:val="26"/>
                <w:lang w:val="lv-LV"/>
              </w:rPr>
              <w:t>Altum</w:t>
            </w:r>
            <w:proofErr w:type="spellEnd"/>
            <w:r w:rsidR="0081196F">
              <w:rPr>
                <w:sz w:val="26"/>
                <w:szCs w:val="26"/>
                <w:lang w:val="lv-LV"/>
              </w:rPr>
              <w:t>.</w:t>
            </w:r>
          </w:p>
        </w:tc>
      </w:tr>
      <w:tr w:rsidR="00844176" w:rsidRPr="00310924" w14:paraId="3C98D228" w14:textId="77777777" w:rsidTr="006678E3">
        <w:tc>
          <w:tcPr>
            <w:tcW w:w="418"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1984"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727"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C136CD" w:rsidRDefault="00844176" w:rsidP="00547AC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Nav </w:t>
            </w:r>
          </w:p>
        </w:tc>
      </w:tr>
      <w:tr w:rsidR="00844176" w:rsidRPr="00310924" w14:paraId="5271E387" w14:textId="77777777" w:rsidTr="006678E3">
        <w:trPr>
          <w:trHeight w:val="128"/>
        </w:trPr>
        <w:tc>
          <w:tcPr>
            <w:tcW w:w="9129" w:type="dxa"/>
            <w:gridSpan w:val="3"/>
            <w:tcBorders>
              <w:top w:val="outset" w:sz="6" w:space="0" w:color="414142"/>
              <w:left w:val="nil"/>
              <w:bottom w:val="outset" w:sz="6" w:space="0" w:color="414142"/>
              <w:right w:val="nil"/>
            </w:tcBorders>
            <w:hideMark/>
          </w:tcPr>
          <w:p w14:paraId="4DC32511" w14:textId="77777777" w:rsidR="00844176" w:rsidRPr="00C136CD" w:rsidRDefault="00844176" w:rsidP="00871E2F">
            <w:pPr>
              <w:tabs>
                <w:tab w:val="left" w:pos="990"/>
              </w:tabs>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ab/>
            </w:r>
          </w:p>
        </w:tc>
      </w:tr>
    </w:tbl>
    <w:p w14:paraId="76329086" w14:textId="77777777" w:rsidR="00844176" w:rsidRPr="00C136CD" w:rsidRDefault="00844176" w:rsidP="00844176">
      <w:pPr>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134"/>
        <w:gridCol w:w="6725"/>
      </w:tblGrid>
      <w:tr w:rsidR="00844176" w:rsidRPr="0097715B" w14:paraId="7175E08A" w14:textId="77777777" w:rsidTr="00871E2F">
        <w:trPr>
          <w:trHeight w:val="555"/>
        </w:trPr>
        <w:tc>
          <w:tcPr>
            <w:tcW w:w="9129" w:type="dxa"/>
            <w:gridSpan w:val="3"/>
            <w:tcBorders>
              <w:top w:val="nil"/>
              <w:left w:val="outset" w:sz="6" w:space="0" w:color="414142"/>
              <w:bottom w:val="outset" w:sz="6" w:space="0" w:color="414142"/>
              <w:right w:val="outset" w:sz="6" w:space="0" w:color="414142"/>
            </w:tcBorders>
            <w:hideMark/>
          </w:tcPr>
          <w:p w14:paraId="0CDF66C2"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II. Tiesību akta projekta ietekme uz sabiedrību, tautsaimniecības attīstību un administratīvo slogu</w:t>
            </w:r>
          </w:p>
        </w:tc>
      </w:tr>
      <w:tr w:rsidR="00844176" w:rsidRPr="0097715B" w14:paraId="3867AEAD" w14:textId="77777777" w:rsidTr="00E0333C">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2E14993C"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Sabiedrības </w:t>
            </w:r>
            <w:proofErr w:type="spellStart"/>
            <w:r w:rsidRPr="00C136CD">
              <w:rPr>
                <w:rFonts w:eastAsia="Times New Roman"/>
                <w:color w:val="000000"/>
                <w:sz w:val="26"/>
                <w:szCs w:val="26"/>
                <w:lang w:val="lv-LV" w:eastAsia="lv-LV"/>
              </w:rPr>
              <w:t>mērķgrupas</w:t>
            </w:r>
            <w:proofErr w:type="spellEnd"/>
            <w:r w:rsidRPr="00C136CD">
              <w:rPr>
                <w:rFonts w:eastAsia="Times New Roman"/>
                <w:color w:val="000000"/>
                <w:sz w:val="26"/>
                <w:szCs w:val="26"/>
                <w:lang w:val="lv-LV" w:eastAsia="lv-LV"/>
              </w:rPr>
              <w:t>,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14:paraId="6747612B" w14:textId="7C87939E" w:rsidR="00844176" w:rsidRPr="00C136CD" w:rsidRDefault="008B55D5" w:rsidP="00265C6D">
            <w:pPr>
              <w:pStyle w:val="BodyText"/>
              <w:ind w:left="60" w:right="201"/>
              <w:rPr>
                <w:sz w:val="26"/>
                <w:szCs w:val="26"/>
              </w:rPr>
            </w:pPr>
            <w:r w:rsidRPr="00265C6D">
              <w:rPr>
                <w:rFonts w:eastAsia="Calibri"/>
                <w:sz w:val="26"/>
                <w:szCs w:val="26"/>
                <w:lang w:eastAsia="en-US"/>
              </w:rPr>
              <w:t xml:space="preserve">Latvijā reģistrēti saimnieciskās darbības veicēji, akciju sabiedrība “Attīstības finanšu institūcija </w:t>
            </w:r>
            <w:proofErr w:type="spellStart"/>
            <w:r w:rsidRPr="00265C6D">
              <w:rPr>
                <w:rFonts w:eastAsia="Calibri"/>
                <w:sz w:val="26"/>
                <w:szCs w:val="26"/>
                <w:lang w:eastAsia="en-US"/>
              </w:rPr>
              <w:t>Altum</w:t>
            </w:r>
            <w:proofErr w:type="spellEnd"/>
            <w:r w:rsidRPr="00265C6D">
              <w:rPr>
                <w:rFonts w:eastAsia="Calibri"/>
                <w:sz w:val="26"/>
                <w:szCs w:val="26"/>
                <w:lang w:eastAsia="en-US"/>
              </w:rPr>
              <w:t>”.</w:t>
            </w:r>
          </w:p>
        </w:tc>
      </w:tr>
      <w:tr w:rsidR="00844176" w:rsidRPr="0097715B" w14:paraId="7D9FA66B"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lastRenderedPageBreak/>
              <w:t>2.</w:t>
            </w:r>
          </w:p>
        </w:tc>
        <w:tc>
          <w:tcPr>
            <w:tcW w:w="213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265C6D" w:rsidRDefault="00844176" w:rsidP="00265C6D">
            <w:pPr>
              <w:spacing w:before="100" w:beforeAutospacing="1" w:after="100" w:afterAutospacing="1"/>
              <w:ind w:left="60"/>
              <w:rPr>
                <w:sz w:val="26"/>
                <w:szCs w:val="26"/>
                <w:lang w:val="lv-LV"/>
              </w:rPr>
            </w:pPr>
            <w:r w:rsidRPr="00265C6D">
              <w:rPr>
                <w:sz w:val="26"/>
                <w:szCs w:val="26"/>
                <w:lang w:val="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14:paraId="1FFDB25F" w14:textId="7E70EC8A" w:rsidR="00934AD3" w:rsidRDefault="00846B2A" w:rsidP="00846B2A">
            <w:pPr>
              <w:pStyle w:val="BodyText"/>
              <w:ind w:left="60" w:right="201"/>
              <w:rPr>
                <w:rFonts w:eastAsia="Calibri"/>
                <w:sz w:val="26"/>
                <w:szCs w:val="26"/>
                <w:lang w:eastAsia="en-US"/>
              </w:rPr>
            </w:pPr>
            <w:r>
              <w:rPr>
                <w:rFonts w:eastAsia="Calibri"/>
                <w:sz w:val="26"/>
                <w:szCs w:val="26"/>
                <w:lang w:eastAsia="en-US"/>
              </w:rPr>
              <w:t xml:space="preserve">Noteikumu projektam ir labvēlīga ietekme </w:t>
            </w:r>
            <w:r w:rsidR="00934AD3">
              <w:rPr>
                <w:rFonts w:eastAsia="Calibri"/>
                <w:sz w:val="26"/>
                <w:szCs w:val="26"/>
                <w:lang w:eastAsia="en-US"/>
              </w:rPr>
              <w:t xml:space="preserve">uz Latvijas eksportētājiem, palīdzot tiem pārvarēt Covid-19 pandēmijas izraisītu krīzi, </w:t>
            </w:r>
            <w:r w:rsidR="00D604E6">
              <w:rPr>
                <w:rFonts w:eastAsia="Calibri"/>
                <w:sz w:val="26"/>
                <w:szCs w:val="26"/>
                <w:lang w:eastAsia="en-US"/>
              </w:rPr>
              <w:t xml:space="preserve">piedāvājot garantijas, lai samazinātu starptautisko darījumu riskus, kuri ir pieauguši, </w:t>
            </w:r>
            <w:r w:rsidR="00934AD3">
              <w:rPr>
                <w:rFonts w:eastAsia="Calibri"/>
                <w:sz w:val="26"/>
                <w:szCs w:val="26"/>
                <w:lang w:eastAsia="en-US"/>
              </w:rPr>
              <w:t>saskaroties ar nenoteiktību</w:t>
            </w:r>
            <w:r w:rsidR="00D604E6">
              <w:rPr>
                <w:rFonts w:eastAsia="Calibri"/>
                <w:sz w:val="26"/>
                <w:szCs w:val="26"/>
                <w:lang w:eastAsia="en-US"/>
              </w:rPr>
              <w:t xml:space="preserve"> starptautiskajos tirgos.</w:t>
            </w:r>
          </w:p>
          <w:p w14:paraId="4406F911" w14:textId="4D2F5F9F" w:rsidR="00A71979" w:rsidRDefault="00934AD3" w:rsidP="00D604E6">
            <w:pPr>
              <w:pStyle w:val="BodyText"/>
              <w:ind w:left="60" w:right="201"/>
              <w:rPr>
                <w:rFonts w:eastAsia="Calibri"/>
                <w:sz w:val="26"/>
                <w:szCs w:val="26"/>
                <w:lang w:eastAsia="en-US"/>
              </w:rPr>
            </w:pPr>
            <w:r>
              <w:rPr>
                <w:rFonts w:eastAsia="Calibri"/>
                <w:sz w:val="26"/>
                <w:szCs w:val="26"/>
                <w:lang w:eastAsia="en-US"/>
              </w:rPr>
              <w:t>Noteikumu projektam ir labvēlīga ietekme uz</w:t>
            </w:r>
            <w:r w:rsidR="00D604E6">
              <w:rPr>
                <w:rFonts w:eastAsia="Calibri"/>
                <w:sz w:val="26"/>
                <w:szCs w:val="26"/>
                <w:lang w:eastAsia="en-US"/>
              </w:rPr>
              <w:t xml:space="preserve"> </w:t>
            </w:r>
            <w:r w:rsidR="00846B2A">
              <w:rPr>
                <w:rFonts w:eastAsia="Calibri"/>
                <w:sz w:val="26"/>
                <w:szCs w:val="26"/>
                <w:lang w:eastAsia="en-US"/>
              </w:rPr>
              <w:t>ekonomiku kopumā</w:t>
            </w:r>
            <w:r>
              <w:rPr>
                <w:rFonts w:eastAsia="Calibri"/>
                <w:sz w:val="26"/>
                <w:szCs w:val="26"/>
                <w:lang w:eastAsia="en-US"/>
              </w:rPr>
              <w:t>.</w:t>
            </w:r>
          </w:p>
          <w:p w14:paraId="62F21F17" w14:textId="58A74264" w:rsidR="00846B2A" w:rsidRPr="00C136CD" w:rsidRDefault="00846B2A" w:rsidP="00846B2A">
            <w:pPr>
              <w:pStyle w:val="BodyText"/>
              <w:ind w:left="60" w:right="201"/>
              <w:rPr>
                <w:rFonts w:eastAsia="Calibri"/>
                <w:sz w:val="26"/>
                <w:szCs w:val="26"/>
                <w:lang w:eastAsia="en-US"/>
              </w:rPr>
            </w:pPr>
            <w:r w:rsidRPr="00846B2A">
              <w:rPr>
                <w:rFonts w:eastAsia="Calibri"/>
                <w:sz w:val="26"/>
                <w:szCs w:val="26"/>
                <w:lang w:eastAsia="en-US"/>
              </w:rPr>
              <w:t xml:space="preserve">Sabiedrības </w:t>
            </w:r>
            <w:proofErr w:type="spellStart"/>
            <w:r w:rsidRPr="00846B2A">
              <w:rPr>
                <w:rFonts w:eastAsia="Calibri"/>
                <w:sz w:val="26"/>
                <w:szCs w:val="26"/>
                <w:lang w:eastAsia="en-US"/>
              </w:rPr>
              <w:t>mērķgrupām</w:t>
            </w:r>
            <w:proofErr w:type="spellEnd"/>
            <w:r w:rsidRPr="00846B2A">
              <w:rPr>
                <w:rFonts w:eastAsia="Calibri"/>
                <w:sz w:val="26"/>
                <w:szCs w:val="26"/>
                <w:lang w:eastAsia="en-US"/>
              </w:rPr>
              <w:t xml:space="preserve"> un institūcijām projekta tiesiskais regulējums nemaina tiesības un pienākumus, kā arī veicamās darbības</w:t>
            </w:r>
            <w:r>
              <w:rPr>
                <w:rFonts w:eastAsia="Calibri"/>
                <w:sz w:val="26"/>
                <w:szCs w:val="26"/>
                <w:lang w:eastAsia="en-US"/>
              </w:rPr>
              <w:t xml:space="preserve">. </w:t>
            </w:r>
          </w:p>
        </w:tc>
      </w:tr>
      <w:tr w:rsidR="00844176" w:rsidRPr="00310924" w14:paraId="183D00C8"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14:paraId="4EC93682" w14:textId="77777777" w:rsidR="00844176" w:rsidRPr="00C136CD" w:rsidRDefault="00844176" w:rsidP="00265C6D">
            <w:pPr>
              <w:pStyle w:val="BodyText"/>
              <w:ind w:left="60" w:right="201"/>
              <w:rPr>
                <w:rFonts w:eastAsia="Calibri"/>
                <w:sz w:val="26"/>
                <w:szCs w:val="26"/>
                <w:lang w:eastAsia="en-US"/>
              </w:rPr>
            </w:pPr>
            <w:r w:rsidRPr="00C136CD">
              <w:rPr>
                <w:rFonts w:eastAsia="Calibri"/>
                <w:sz w:val="26"/>
                <w:szCs w:val="26"/>
                <w:lang w:eastAsia="en-US"/>
              </w:rPr>
              <w:t>Projekts šo jomu neskar.</w:t>
            </w:r>
          </w:p>
        </w:tc>
      </w:tr>
      <w:tr w:rsidR="00844176" w:rsidRPr="00310924" w14:paraId="2F7C8B1B" w14:textId="77777777" w:rsidTr="00E0333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7753AD2E"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14:paraId="6BD39809" w14:textId="77777777" w:rsidR="00844176" w:rsidRPr="00265C6D" w:rsidRDefault="00844176" w:rsidP="00265C6D">
            <w:pPr>
              <w:pStyle w:val="BodyText"/>
              <w:ind w:left="60" w:right="201"/>
              <w:rPr>
                <w:rFonts w:eastAsia="Calibri"/>
                <w:sz w:val="26"/>
                <w:szCs w:val="26"/>
                <w:lang w:eastAsia="en-US"/>
              </w:rPr>
            </w:pPr>
            <w:r w:rsidRPr="00265C6D">
              <w:rPr>
                <w:rFonts w:eastAsia="Calibri"/>
                <w:sz w:val="26"/>
                <w:szCs w:val="26"/>
                <w:lang w:eastAsia="en-US"/>
              </w:rPr>
              <w:t>Nav</w:t>
            </w:r>
          </w:p>
        </w:tc>
      </w:tr>
    </w:tbl>
    <w:p w14:paraId="57D2014F" w14:textId="77777777" w:rsidR="00E0333C" w:rsidRPr="00C136CD" w:rsidRDefault="00E0333C" w:rsidP="00E0333C">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97715B" w14:paraId="5C3AC8E5" w14:textId="77777777" w:rsidTr="004937D3">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C136CD" w:rsidRDefault="00E0333C" w:rsidP="00907DD7">
            <w:pPr>
              <w:jc w:val="center"/>
              <w:rPr>
                <w:rFonts w:eastAsia="Times New Roman"/>
                <w:b/>
                <w:sz w:val="26"/>
                <w:szCs w:val="26"/>
                <w:lang w:val="lv-LV" w:eastAsia="lv-LV"/>
              </w:rPr>
            </w:pPr>
            <w:r w:rsidRPr="00C136CD">
              <w:rPr>
                <w:rFonts w:eastAsia="Times New Roman"/>
                <w:b/>
                <w:bCs/>
                <w:sz w:val="26"/>
                <w:szCs w:val="26"/>
                <w:lang w:val="lv-LV" w:eastAsia="lv-LV"/>
              </w:rPr>
              <w:t>III. Tiesību akta projekta ietekme uz valsts budžetu un pašvaldību budžetiem</w:t>
            </w:r>
          </w:p>
        </w:tc>
      </w:tr>
      <w:tr w:rsidR="00E0333C" w:rsidRPr="00A350B9" w14:paraId="07D6D83D" w14:textId="77777777" w:rsidTr="004937D3">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56F1DE74" w:rsidR="00E0333C" w:rsidRPr="00C136CD" w:rsidRDefault="009C62D7" w:rsidP="009C62D7">
            <w:pPr>
              <w:jc w:val="center"/>
              <w:rPr>
                <w:rFonts w:eastAsia="Times New Roman"/>
                <w:bCs/>
                <w:sz w:val="26"/>
                <w:szCs w:val="26"/>
                <w:lang w:val="lv-LV" w:eastAsia="lv-LV"/>
              </w:rPr>
            </w:pPr>
            <w:r>
              <w:rPr>
                <w:rFonts w:eastAsia="Times New Roman"/>
                <w:bCs/>
                <w:sz w:val="26"/>
                <w:szCs w:val="26"/>
                <w:lang w:val="lv-LV" w:eastAsia="lv-LV"/>
              </w:rPr>
              <w:t>P</w:t>
            </w:r>
            <w:r w:rsidR="00E0333C" w:rsidRPr="00C136CD">
              <w:rPr>
                <w:rFonts w:eastAsia="Times New Roman"/>
                <w:bCs/>
                <w:sz w:val="26"/>
                <w:szCs w:val="26"/>
                <w:lang w:val="lv-LV" w:eastAsia="lv-LV"/>
              </w:rPr>
              <w:t>rojekts šo jomu neskar.</w:t>
            </w:r>
          </w:p>
        </w:tc>
      </w:tr>
    </w:tbl>
    <w:p w14:paraId="57F14BC5" w14:textId="512F1E09" w:rsidR="00844176" w:rsidRPr="00C136CD" w:rsidRDefault="00844176" w:rsidP="00844176">
      <w:pPr>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1830"/>
        <w:gridCol w:w="6931"/>
      </w:tblGrid>
      <w:tr w:rsidR="00844176" w:rsidRPr="0097715B" w14:paraId="6C33CD82" w14:textId="77777777" w:rsidTr="00043C33">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C136CD" w:rsidRDefault="00844176" w:rsidP="00871E2F">
            <w:pPr>
              <w:ind w:firstLine="300"/>
              <w:jc w:val="center"/>
              <w:rPr>
                <w:rFonts w:eastAsia="Times New Roman"/>
                <w:b/>
                <w:bCs/>
                <w:sz w:val="26"/>
                <w:szCs w:val="26"/>
                <w:lang w:val="lv-LV" w:eastAsia="lv-LV"/>
              </w:rPr>
            </w:pPr>
            <w:r w:rsidRPr="00C136CD">
              <w:rPr>
                <w:rFonts w:eastAsia="Times New Roman"/>
                <w:b/>
                <w:bCs/>
                <w:sz w:val="26"/>
                <w:szCs w:val="26"/>
                <w:lang w:val="lv-LV" w:eastAsia="lv-LV"/>
              </w:rPr>
              <w:t>IV. Tiesību akta projekta ietekme uz spēkā esošo tiesību normu sistēmu</w:t>
            </w:r>
          </w:p>
        </w:tc>
      </w:tr>
      <w:tr w:rsidR="00844176" w:rsidRPr="00F12A88" w14:paraId="57818953"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1.</w:t>
            </w:r>
          </w:p>
        </w:tc>
        <w:tc>
          <w:tcPr>
            <w:tcW w:w="994"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Nepieciešamie saistītie tiesību aktu projekti</w:t>
            </w:r>
          </w:p>
        </w:tc>
        <w:tc>
          <w:tcPr>
            <w:tcW w:w="3764" w:type="pct"/>
            <w:tcBorders>
              <w:top w:val="outset" w:sz="6" w:space="0" w:color="414142"/>
              <w:left w:val="outset" w:sz="6" w:space="0" w:color="414142"/>
              <w:bottom w:val="outset" w:sz="6" w:space="0" w:color="414142"/>
              <w:right w:val="outset" w:sz="6" w:space="0" w:color="414142"/>
            </w:tcBorders>
            <w:hideMark/>
          </w:tcPr>
          <w:p w14:paraId="37F545BF" w14:textId="762D23AD" w:rsidR="00844176" w:rsidRPr="002C3A9B" w:rsidRDefault="002C3A9B" w:rsidP="002C3A9B">
            <w:pPr>
              <w:jc w:val="both"/>
              <w:rPr>
                <w:sz w:val="26"/>
                <w:szCs w:val="26"/>
                <w:lang w:val="lv-LV"/>
              </w:rPr>
            </w:pPr>
            <w:r>
              <w:rPr>
                <w:sz w:val="26"/>
                <w:szCs w:val="26"/>
                <w:lang w:val="lv-LV"/>
              </w:rPr>
              <w:t>Nav.</w:t>
            </w:r>
          </w:p>
        </w:tc>
      </w:tr>
      <w:tr w:rsidR="00844176" w:rsidRPr="00310924" w14:paraId="3469659F"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2.</w:t>
            </w:r>
          </w:p>
        </w:tc>
        <w:tc>
          <w:tcPr>
            <w:tcW w:w="994"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Atbildīgā institūcija</w:t>
            </w:r>
          </w:p>
        </w:tc>
        <w:tc>
          <w:tcPr>
            <w:tcW w:w="3764" w:type="pct"/>
            <w:tcBorders>
              <w:top w:val="outset" w:sz="6" w:space="0" w:color="414142"/>
              <w:left w:val="outset" w:sz="6" w:space="0" w:color="414142"/>
              <w:bottom w:val="outset" w:sz="6" w:space="0" w:color="414142"/>
              <w:right w:val="outset" w:sz="6" w:space="0" w:color="414142"/>
            </w:tcBorders>
            <w:hideMark/>
          </w:tcPr>
          <w:p w14:paraId="3DEC7C4D" w14:textId="76CF5F5D" w:rsidR="00844176" w:rsidRPr="00C136CD" w:rsidRDefault="009129D8" w:rsidP="00871E2F">
            <w:pPr>
              <w:pStyle w:val="BodyText"/>
              <w:ind w:right="142"/>
              <w:rPr>
                <w:rFonts w:eastAsia="Calibri"/>
                <w:sz w:val="26"/>
                <w:szCs w:val="26"/>
                <w:lang w:eastAsia="en-US"/>
              </w:rPr>
            </w:pPr>
            <w:r>
              <w:rPr>
                <w:rFonts w:eastAsia="Calibri"/>
                <w:sz w:val="26"/>
                <w:szCs w:val="26"/>
                <w:lang w:eastAsia="en-US"/>
              </w:rPr>
              <w:t>Nav.</w:t>
            </w:r>
          </w:p>
        </w:tc>
      </w:tr>
      <w:tr w:rsidR="00844176" w:rsidRPr="00310924" w14:paraId="32F2DD54"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3.</w:t>
            </w:r>
          </w:p>
        </w:tc>
        <w:tc>
          <w:tcPr>
            <w:tcW w:w="994"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Cita informācija</w:t>
            </w:r>
          </w:p>
        </w:tc>
        <w:tc>
          <w:tcPr>
            <w:tcW w:w="3764" w:type="pct"/>
            <w:tcBorders>
              <w:top w:val="outset" w:sz="6" w:space="0" w:color="414142"/>
              <w:left w:val="outset" w:sz="6" w:space="0" w:color="414142"/>
              <w:bottom w:val="outset" w:sz="6" w:space="0" w:color="414142"/>
              <w:right w:val="outset" w:sz="6" w:space="0" w:color="414142"/>
            </w:tcBorders>
            <w:hideMark/>
          </w:tcPr>
          <w:p w14:paraId="637C4F16" w14:textId="4180BA14" w:rsidR="00844176" w:rsidRPr="00C136CD" w:rsidRDefault="00D97622" w:rsidP="00871E2F">
            <w:pPr>
              <w:jc w:val="both"/>
              <w:rPr>
                <w:sz w:val="26"/>
                <w:szCs w:val="26"/>
                <w:lang w:val="lv-LV"/>
              </w:rPr>
            </w:pPr>
            <w:r w:rsidRPr="00C136CD">
              <w:rPr>
                <w:sz w:val="26"/>
                <w:szCs w:val="26"/>
                <w:lang w:val="lv-LV"/>
              </w:rPr>
              <w:t>Nav.</w:t>
            </w:r>
          </w:p>
        </w:tc>
      </w:tr>
    </w:tbl>
    <w:p w14:paraId="2A21AD4B" w14:textId="77777777" w:rsidR="00844176" w:rsidRPr="00C136CD" w:rsidRDefault="00844176" w:rsidP="00844176">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9"/>
        <w:gridCol w:w="6088"/>
      </w:tblGrid>
      <w:tr w:rsidR="00844176" w:rsidRPr="00C136CD"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 Tiesību akta projekta atbilstība Latvijas Republikas starptautiskajām saistībām</w:t>
            </w:r>
          </w:p>
        </w:tc>
      </w:tr>
      <w:tr w:rsidR="003B2203" w:rsidRPr="0097715B" w14:paraId="17F7F902"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3B2203" w:rsidRPr="00C136CD" w:rsidRDefault="003B2203" w:rsidP="003B2203">
            <w:pPr>
              <w:rPr>
                <w:rFonts w:eastAsia="Times New Roman"/>
                <w:sz w:val="26"/>
                <w:szCs w:val="26"/>
                <w:lang w:val="lv-LV" w:eastAsia="lv-LV"/>
              </w:rPr>
            </w:pPr>
            <w:r w:rsidRPr="00C136CD">
              <w:rPr>
                <w:rFonts w:eastAsia="Times New Roman"/>
                <w:sz w:val="26"/>
                <w:szCs w:val="26"/>
                <w:lang w:val="lv-LV"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14:paraId="4D28CC95" w14:textId="77777777" w:rsidR="003B2203" w:rsidRPr="00C136CD" w:rsidRDefault="003B2203" w:rsidP="003B2203">
            <w:pPr>
              <w:jc w:val="both"/>
              <w:rPr>
                <w:rFonts w:eastAsia="Times New Roman"/>
                <w:sz w:val="26"/>
                <w:szCs w:val="26"/>
                <w:lang w:val="lv-LV" w:eastAsia="lv-LV"/>
              </w:rPr>
            </w:pPr>
            <w:r w:rsidRPr="00C136CD">
              <w:rPr>
                <w:rFonts w:eastAsia="Times New Roman"/>
                <w:sz w:val="26"/>
                <w:szCs w:val="26"/>
                <w:lang w:val="lv-LV" w:eastAsia="lv-LV"/>
              </w:rPr>
              <w:t>Saistības pret Eiropas Savienību</w:t>
            </w:r>
          </w:p>
        </w:tc>
        <w:tc>
          <w:tcPr>
            <w:tcW w:w="3307" w:type="pct"/>
            <w:tcBorders>
              <w:top w:val="outset" w:sz="6" w:space="0" w:color="414142"/>
              <w:left w:val="outset" w:sz="6" w:space="0" w:color="414142"/>
              <w:bottom w:val="outset" w:sz="6" w:space="0" w:color="414142"/>
              <w:right w:val="outset" w:sz="6" w:space="0" w:color="414142"/>
            </w:tcBorders>
            <w:hideMark/>
          </w:tcPr>
          <w:p w14:paraId="313D4E77" w14:textId="0643224C" w:rsidR="00A71979" w:rsidRPr="001F1430" w:rsidRDefault="00A71979" w:rsidP="001F1430">
            <w:pPr>
              <w:jc w:val="both"/>
              <w:rPr>
                <w:sz w:val="26"/>
                <w:szCs w:val="26"/>
                <w:lang w:val="lv-LV"/>
              </w:rPr>
            </w:pPr>
            <w:r w:rsidRPr="001F1430">
              <w:rPr>
                <w:sz w:val="26"/>
                <w:szCs w:val="26"/>
                <w:lang w:val="lv-LV"/>
              </w:rPr>
              <w:t>Ceturtais grozījums Pagaidu regulējumā valsts atbalsta pasākumiem, ar ko atbalsta ekonomiku pašreizējā Covid-19 uzliesmojuma situācijā, un grozījums pielikumā Komisijas Paziņojumam dalībvalstīm par Līguma par Eiropas Savienības darbību 107. un 108. panta piemērošanu īstermiņa eksporta kredīta apdrošināšanai (2020/C 340 I/01).</w:t>
            </w:r>
          </w:p>
        </w:tc>
      </w:tr>
      <w:tr w:rsidR="003B2203" w:rsidRPr="00DD696D" w14:paraId="2BF33DFD"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3B2203" w:rsidRPr="00C136CD" w:rsidRDefault="003B2203" w:rsidP="003B2203">
            <w:pPr>
              <w:rPr>
                <w:rFonts w:eastAsia="Times New Roman"/>
                <w:sz w:val="26"/>
                <w:szCs w:val="26"/>
                <w:lang w:val="lv-LV" w:eastAsia="lv-LV"/>
              </w:rPr>
            </w:pPr>
            <w:r w:rsidRPr="00C136CD">
              <w:rPr>
                <w:rFonts w:eastAsia="Times New Roman"/>
                <w:sz w:val="26"/>
                <w:szCs w:val="26"/>
                <w:lang w:val="lv-LV" w:eastAsia="lv-LV"/>
              </w:rPr>
              <w:t>2.</w:t>
            </w:r>
          </w:p>
        </w:tc>
        <w:tc>
          <w:tcPr>
            <w:tcW w:w="1466" w:type="pct"/>
            <w:tcBorders>
              <w:top w:val="outset" w:sz="6" w:space="0" w:color="414142"/>
              <w:left w:val="outset" w:sz="6" w:space="0" w:color="414142"/>
              <w:bottom w:val="outset" w:sz="6" w:space="0" w:color="414142"/>
              <w:right w:val="outset" w:sz="6" w:space="0" w:color="414142"/>
            </w:tcBorders>
            <w:hideMark/>
          </w:tcPr>
          <w:p w14:paraId="0B74399D" w14:textId="77777777" w:rsidR="003B2203" w:rsidRPr="00C136CD" w:rsidRDefault="003B2203" w:rsidP="003B2203">
            <w:pPr>
              <w:jc w:val="both"/>
              <w:rPr>
                <w:rFonts w:eastAsia="Times New Roman"/>
                <w:sz w:val="26"/>
                <w:szCs w:val="26"/>
                <w:lang w:val="lv-LV" w:eastAsia="lv-LV"/>
              </w:rPr>
            </w:pPr>
            <w:r w:rsidRPr="00C136CD">
              <w:rPr>
                <w:rFonts w:eastAsia="Times New Roman"/>
                <w:sz w:val="26"/>
                <w:szCs w:val="26"/>
                <w:lang w:val="lv-LV" w:eastAsia="lv-LV"/>
              </w:rPr>
              <w:t>Citas starptautiskās saistības</w:t>
            </w:r>
          </w:p>
        </w:tc>
        <w:tc>
          <w:tcPr>
            <w:tcW w:w="3307" w:type="pct"/>
            <w:tcBorders>
              <w:top w:val="outset" w:sz="6" w:space="0" w:color="414142"/>
              <w:left w:val="outset" w:sz="6" w:space="0" w:color="414142"/>
              <w:bottom w:val="outset" w:sz="6" w:space="0" w:color="414142"/>
              <w:right w:val="outset" w:sz="6" w:space="0" w:color="414142"/>
            </w:tcBorders>
            <w:hideMark/>
          </w:tcPr>
          <w:p w14:paraId="04D2F44F" w14:textId="3944BCC2" w:rsidR="003B2203" w:rsidRPr="00C136CD" w:rsidRDefault="003B2203" w:rsidP="003B2203">
            <w:pPr>
              <w:jc w:val="both"/>
              <w:rPr>
                <w:rFonts w:eastAsia="Times New Roman"/>
                <w:sz w:val="26"/>
                <w:szCs w:val="26"/>
                <w:lang w:val="lv-LV" w:eastAsia="lv-LV"/>
              </w:rPr>
            </w:pPr>
            <w:r w:rsidRPr="006F4B13">
              <w:rPr>
                <w:rFonts w:eastAsia="Times New Roman"/>
                <w:sz w:val="26"/>
                <w:szCs w:val="26"/>
                <w:lang w:val="lv-LV" w:eastAsia="lv-LV"/>
              </w:rPr>
              <w:t>Projekts šo jomu neskar.</w:t>
            </w:r>
          </w:p>
        </w:tc>
      </w:tr>
      <w:tr w:rsidR="003B2203" w:rsidRPr="0097715B" w14:paraId="64229F4B"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3B2203" w:rsidRPr="00C136CD" w:rsidRDefault="003B2203" w:rsidP="003B2203">
            <w:pPr>
              <w:rPr>
                <w:rFonts w:eastAsia="Times New Roman"/>
                <w:sz w:val="26"/>
                <w:szCs w:val="26"/>
                <w:lang w:val="lv-LV" w:eastAsia="lv-LV"/>
              </w:rPr>
            </w:pPr>
            <w:r w:rsidRPr="00C136CD">
              <w:rPr>
                <w:rFonts w:eastAsia="Times New Roman"/>
                <w:sz w:val="26"/>
                <w:szCs w:val="26"/>
                <w:lang w:val="lv-LV"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14:paraId="19774E23" w14:textId="77777777" w:rsidR="003B2203" w:rsidRPr="00C136CD" w:rsidRDefault="003B2203" w:rsidP="003B2203">
            <w:pPr>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3307" w:type="pct"/>
            <w:tcBorders>
              <w:top w:val="outset" w:sz="6" w:space="0" w:color="414142"/>
              <w:left w:val="outset" w:sz="6" w:space="0" w:color="414142"/>
              <w:bottom w:val="outset" w:sz="6" w:space="0" w:color="414142"/>
              <w:right w:val="outset" w:sz="6" w:space="0" w:color="414142"/>
            </w:tcBorders>
            <w:hideMark/>
          </w:tcPr>
          <w:p w14:paraId="16475BB0" w14:textId="66A1EE98" w:rsidR="00934AD3" w:rsidRPr="002B6DDD" w:rsidRDefault="00934AD3" w:rsidP="00934AD3">
            <w:pPr>
              <w:pStyle w:val="naiskr"/>
              <w:spacing w:before="0" w:after="0"/>
              <w:jc w:val="both"/>
            </w:pPr>
            <w:r w:rsidRPr="002B6DDD">
              <w:t>Ar Noteikumu projektu tiek ieviestas šād</w:t>
            </w:r>
            <w:r w:rsidR="00E7553C">
              <w:t>i</w:t>
            </w:r>
            <w:r w:rsidRPr="002B6DDD">
              <w:t xml:space="preserve"> Eiropas Savienības </w:t>
            </w:r>
            <w:r>
              <w:t>paziņojumu</w:t>
            </w:r>
            <w:r w:rsidRPr="002B6DDD">
              <w:t xml:space="preserve"> </w:t>
            </w:r>
            <w:r>
              <w:t>nosacījumi</w:t>
            </w:r>
            <w:r w:rsidRPr="002B6DDD">
              <w:t>:</w:t>
            </w:r>
          </w:p>
          <w:p w14:paraId="6857E3B9" w14:textId="6CCC4AFC" w:rsidR="00E7553C" w:rsidRPr="005B224C" w:rsidRDefault="00E7553C" w:rsidP="00E7553C">
            <w:pPr>
              <w:pStyle w:val="naiskr"/>
              <w:numPr>
                <w:ilvl w:val="0"/>
                <w:numId w:val="39"/>
              </w:numPr>
              <w:spacing w:before="0" w:after="0"/>
              <w:ind w:left="714" w:hanging="357"/>
              <w:jc w:val="both"/>
              <w:rPr>
                <w:i/>
                <w:iCs/>
              </w:rPr>
            </w:pPr>
            <w:r w:rsidRPr="005B224C">
              <w:rPr>
                <w:i/>
                <w:iCs/>
              </w:rPr>
              <w:t>Komisijas paziņojums par darbības termiņa pagarinājumu attiecībā uz Komisijas paziņojumu dalībvalstīm par Līguma par Eiropas Savienības darbību 107. un 108. panta piemērošanu īstermiņa eksporta kredīta apdrošināšanai (2018/C 457/04)</w:t>
            </w:r>
            <w:r>
              <w:rPr>
                <w:i/>
                <w:iCs/>
              </w:rPr>
              <w:t xml:space="preserve"> 16.punkts (Noteikumu projekta 10. un 11.punkts)</w:t>
            </w:r>
          </w:p>
          <w:p w14:paraId="00A263F3" w14:textId="5B55932B" w:rsidR="00E7553C" w:rsidRDefault="00E7553C" w:rsidP="00E7553C">
            <w:pPr>
              <w:pStyle w:val="naiskr"/>
              <w:numPr>
                <w:ilvl w:val="0"/>
                <w:numId w:val="39"/>
              </w:numPr>
              <w:spacing w:before="0" w:after="0"/>
              <w:ind w:left="714" w:hanging="357"/>
              <w:jc w:val="both"/>
              <w:rPr>
                <w:i/>
                <w:iCs/>
              </w:rPr>
            </w:pPr>
            <w:r w:rsidRPr="00A676B1">
              <w:rPr>
                <w:i/>
                <w:iCs/>
              </w:rPr>
              <w:lastRenderedPageBreak/>
              <w:t xml:space="preserve">Komisijas paziņojums par darbības termiņa pagarināšanu un grozījumiem Reģionālā atbalsta pamatnostādnēs 2014.–2020. gadam, Pamatnostādnēs par valsts atbalstu, lai veicinātu riska finansējuma ieguldījumus, Pamatnostādnēs par valsts atbalstu vides aizsardzībai un enerģētikai 2014.–2020. gadam, Pamatnostādnēs par valsts atbalstu grūtībās nonākušu </w:t>
            </w:r>
            <w:proofErr w:type="spellStart"/>
            <w:r w:rsidRPr="00A676B1">
              <w:rPr>
                <w:i/>
                <w:iCs/>
              </w:rPr>
              <w:t>nefinanšu</w:t>
            </w:r>
            <w:proofErr w:type="spellEnd"/>
            <w:r w:rsidRPr="00A676B1">
              <w:rPr>
                <w:i/>
                <w:iCs/>
              </w:rPr>
              <w:t xml:space="preserve"> uzņēmumu glābšanai un pārstrukturēšanai un Paziņojumā par kritērijiem, pēc kuriem analizē saderīgumu ar iekšējo tirgu valsts atbalstam ar mērķi sekmēt svarīgu projektu īstenošanu visas Eiropas interesēs, Komisijas paziņojumā – Nostādnes par valsts atbalstu pētniecībai, izstrādei un inovācijai un Komisijas Paziņojumā dalībvalstīm par Līguma par Eiropas Savienības darbību 107. un 108. panta piemērošanu īstermiņa eksporta kredīta apdrošināšanai (2020/C 224/02)</w:t>
            </w:r>
            <w:r>
              <w:rPr>
                <w:i/>
                <w:iCs/>
              </w:rPr>
              <w:t xml:space="preserve"> 15.punkts (Noteikumu projekta 10. un 11.punkts);</w:t>
            </w:r>
          </w:p>
          <w:p w14:paraId="41F0F48F" w14:textId="77777777" w:rsidR="003B2203" w:rsidRDefault="00E7553C" w:rsidP="00E7553C">
            <w:pPr>
              <w:pStyle w:val="naiskr"/>
              <w:numPr>
                <w:ilvl w:val="0"/>
                <w:numId w:val="39"/>
              </w:numPr>
              <w:spacing w:before="0" w:after="0"/>
              <w:ind w:left="714" w:hanging="357"/>
              <w:jc w:val="both"/>
              <w:rPr>
                <w:i/>
                <w:iCs/>
              </w:rPr>
            </w:pPr>
            <w:r w:rsidRPr="00E7553C">
              <w:rPr>
                <w:i/>
                <w:iCs/>
              </w:rPr>
              <w:t>Komisijas paziņojums par ĪEKG</w:t>
            </w:r>
            <w:r>
              <w:rPr>
                <w:i/>
                <w:iCs/>
              </w:rPr>
              <w:t xml:space="preserve"> 21.punkta (Noteikumu projekta 16.punkts)</w:t>
            </w:r>
          </w:p>
          <w:p w14:paraId="10FD6544" w14:textId="68139B7E" w:rsidR="006E09BA" w:rsidRPr="006E09BA" w:rsidRDefault="006E09BA" w:rsidP="006E09BA">
            <w:pPr>
              <w:pStyle w:val="naiskr"/>
              <w:numPr>
                <w:ilvl w:val="0"/>
                <w:numId w:val="39"/>
              </w:numPr>
              <w:spacing w:before="0" w:after="0"/>
              <w:ind w:left="714" w:hanging="357"/>
              <w:jc w:val="both"/>
              <w:rPr>
                <w:i/>
                <w:iCs/>
              </w:rPr>
            </w:pPr>
            <w:r w:rsidRPr="0064515C">
              <w:rPr>
                <w:i/>
                <w:iCs/>
              </w:rPr>
              <w:t>Ceturtais grozījum</w:t>
            </w:r>
            <w:r>
              <w:rPr>
                <w:i/>
                <w:iCs/>
              </w:rPr>
              <w:t>s</w:t>
            </w:r>
            <w:r w:rsidRPr="0064515C">
              <w:rPr>
                <w:i/>
                <w:iCs/>
              </w:rPr>
              <w:t xml:space="preserve"> Pagaidu regulējumā valsts atbalsta pasākumiem, ar ko atbalsta ekonomiku</w:t>
            </w:r>
            <w:r>
              <w:rPr>
                <w:i/>
                <w:iCs/>
              </w:rPr>
              <w:t xml:space="preserve"> </w:t>
            </w:r>
            <w:r w:rsidRPr="0064515C">
              <w:rPr>
                <w:i/>
                <w:iCs/>
              </w:rPr>
              <w:t>pašreizējā Covid-19 uzliesmojuma situācijā, un grozījums pielikumā Komisijas Paziņojumam</w:t>
            </w:r>
            <w:r>
              <w:rPr>
                <w:i/>
                <w:iCs/>
              </w:rPr>
              <w:t xml:space="preserve"> </w:t>
            </w:r>
            <w:r w:rsidRPr="0064515C">
              <w:rPr>
                <w:i/>
                <w:iCs/>
              </w:rPr>
              <w:t>dalībvalstīm par Līguma par Eiropas Savienības darbību 107. un 108. panta piemērošanu īstermiņa</w:t>
            </w:r>
            <w:r>
              <w:rPr>
                <w:i/>
                <w:iCs/>
              </w:rPr>
              <w:t xml:space="preserve"> </w:t>
            </w:r>
            <w:r w:rsidRPr="0064515C">
              <w:rPr>
                <w:i/>
                <w:iCs/>
              </w:rPr>
              <w:t>eksporta kredīta apdrošināšanai(2020/C 340 I/01)</w:t>
            </w:r>
            <w:r>
              <w:rPr>
                <w:i/>
                <w:iCs/>
              </w:rPr>
              <w:t xml:space="preserve"> (turpmāk - Pagaidu regulējums) 3.punkts (Noteikumu projekta 21.punkts)</w:t>
            </w:r>
          </w:p>
        </w:tc>
      </w:tr>
    </w:tbl>
    <w:p w14:paraId="25CF5206" w14:textId="3A525C2C" w:rsidR="009B49EE" w:rsidRDefault="00844176" w:rsidP="00844176">
      <w:pPr>
        <w:rPr>
          <w:rFonts w:eastAsia="Times New Roman"/>
          <w:color w:val="000000"/>
          <w:sz w:val="26"/>
          <w:szCs w:val="26"/>
          <w:lang w:val="lv-LV" w:eastAsia="lv-LV"/>
        </w:rPr>
      </w:pPr>
      <w:r w:rsidRPr="00C136CD">
        <w:rPr>
          <w:rFonts w:eastAsia="Times New Roman"/>
          <w:color w:val="000000"/>
          <w:sz w:val="26"/>
          <w:szCs w:val="26"/>
          <w:lang w:val="lv-LV" w:eastAsia="lv-LV"/>
        </w:rPr>
        <w:lastRenderedPageBreak/>
        <w: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2948"/>
        <w:gridCol w:w="5953"/>
      </w:tblGrid>
      <w:tr w:rsidR="009B49EE" w:rsidRPr="0097715B" w14:paraId="125E19ED" w14:textId="77777777" w:rsidTr="00BD2A9F">
        <w:trPr>
          <w:trHeight w:val="421"/>
        </w:trPr>
        <w:tc>
          <w:tcPr>
            <w:tcW w:w="9214" w:type="dxa"/>
            <w:gridSpan w:val="3"/>
            <w:tcBorders>
              <w:top w:val="single" w:sz="2" w:space="0" w:color="auto"/>
            </w:tcBorders>
            <w:vAlign w:val="center"/>
          </w:tcPr>
          <w:p w14:paraId="05B881F4" w14:textId="77777777" w:rsidR="009B49EE" w:rsidRPr="006F4B13" w:rsidRDefault="009B49EE" w:rsidP="004937D3">
            <w:pPr>
              <w:ind w:left="57" w:right="57"/>
              <w:jc w:val="center"/>
              <w:rPr>
                <w:rFonts w:eastAsia="Times New Roman"/>
                <w:sz w:val="25"/>
                <w:szCs w:val="25"/>
                <w:lang w:val="lv-LV"/>
              </w:rPr>
            </w:pPr>
            <w:r w:rsidRPr="006F4B13">
              <w:rPr>
                <w:rFonts w:eastAsia="Times New Roman"/>
                <w:b/>
                <w:sz w:val="25"/>
                <w:szCs w:val="25"/>
                <w:lang w:val="lv-LV"/>
              </w:rPr>
              <w:t>VI. Sabiedrības līdzdalība un komunikācijas aktivitātes</w:t>
            </w:r>
          </w:p>
        </w:tc>
      </w:tr>
      <w:tr w:rsidR="002B3D52" w:rsidRPr="0097715B" w14:paraId="04EFA6C5" w14:textId="77777777" w:rsidTr="00BD2A9F">
        <w:trPr>
          <w:trHeight w:val="553"/>
        </w:trPr>
        <w:tc>
          <w:tcPr>
            <w:tcW w:w="313" w:type="dxa"/>
          </w:tcPr>
          <w:p w14:paraId="3F1559FC" w14:textId="77777777" w:rsidR="002B3D52" w:rsidRPr="00E6084B" w:rsidRDefault="002B3D52" w:rsidP="002B3D52">
            <w:pPr>
              <w:ind w:left="57" w:right="57"/>
              <w:jc w:val="both"/>
              <w:rPr>
                <w:rFonts w:eastAsia="PMingLiU"/>
                <w:bCs/>
                <w:sz w:val="25"/>
                <w:szCs w:val="25"/>
                <w:lang w:eastAsia="ja-JP"/>
              </w:rPr>
            </w:pPr>
            <w:r w:rsidRPr="00E6084B">
              <w:rPr>
                <w:rFonts w:eastAsia="PMingLiU"/>
                <w:bCs/>
                <w:sz w:val="25"/>
                <w:szCs w:val="25"/>
                <w:lang w:eastAsia="ja-JP"/>
              </w:rPr>
              <w:t>1.</w:t>
            </w:r>
          </w:p>
        </w:tc>
        <w:tc>
          <w:tcPr>
            <w:tcW w:w="2948" w:type="dxa"/>
          </w:tcPr>
          <w:p w14:paraId="3129FDED" w14:textId="77777777" w:rsidR="002B3D52" w:rsidRPr="006F4B13" w:rsidRDefault="002B3D52" w:rsidP="002B3D52">
            <w:pPr>
              <w:tabs>
                <w:tab w:val="left" w:pos="170"/>
              </w:tabs>
              <w:ind w:left="57" w:right="57"/>
              <w:rPr>
                <w:rFonts w:eastAsia="PMingLiU"/>
                <w:sz w:val="26"/>
                <w:szCs w:val="26"/>
                <w:lang w:val="lv-LV" w:eastAsia="ja-JP"/>
              </w:rPr>
            </w:pPr>
            <w:r w:rsidRPr="006F4B13">
              <w:rPr>
                <w:rFonts w:eastAsia="PMingLiU"/>
                <w:sz w:val="26"/>
                <w:szCs w:val="26"/>
                <w:lang w:val="lv-LV" w:eastAsia="ja-JP"/>
              </w:rPr>
              <w:t>Plānotās sabiedrības līdzdalības un komunikācijas aktivitātes saistībā ar projektu</w:t>
            </w:r>
          </w:p>
        </w:tc>
        <w:tc>
          <w:tcPr>
            <w:tcW w:w="5953" w:type="dxa"/>
          </w:tcPr>
          <w:p w14:paraId="33EA836C" w14:textId="77777777" w:rsidR="001F1430" w:rsidRDefault="006216EC" w:rsidP="002B3D52">
            <w:pPr>
              <w:jc w:val="both"/>
              <w:rPr>
                <w:color w:val="000000" w:themeColor="text1"/>
                <w:sz w:val="26"/>
                <w:szCs w:val="26"/>
                <w:lang w:val="lv-LV"/>
              </w:rPr>
            </w:pPr>
            <w:r w:rsidRPr="00826D15">
              <w:rPr>
                <w:color w:val="000000" w:themeColor="text1"/>
                <w:sz w:val="26"/>
                <w:szCs w:val="26"/>
                <w:lang w:val="lv-LV"/>
              </w:rPr>
              <w:t>Sabiedrības līdzdalība Projekta izstrādē īstenota atbilstoši Ministru kabineta 2009.gada 25.augusta noteikumiem Nr.970 “Sabiedrības līdzdalības kārtība attīstības plānošanas procesā” 5. punktā 7.4.</w:t>
            </w:r>
            <w:r w:rsidRPr="00826D15">
              <w:rPr>
                <w:color w:val="000000" w:themeColor="text1"/>
                <w:sz w:val="26"/>
                <w:szCs w:val="26"/>
                <w:vertAlign w:val="superscript"/>
                <w:lang w:val="lv-LV"/>
              </w:rPr>
              <w:t xml:space="preserve">1 </w:t>
            </w:r>
            <w:r w:rsidRPr="00826D15">
              <w:rPr>
                <w:color w:val="000000" w:themeColor="text1"/>
                <w:sz w:val="26"/>
                <w:szCs w:val="26"/>
                <w:lang w:val="lv-LV"/>
              </w:rPr>
              <w:t>apakšpunktā, proti, sabiedrības pārstāvjiem tika dota iespēja rakstiski sniegt viedokli par Projektu tā izstrādes stadijā.</w:t>
            </w:r>
          </w:p>
          <w:p w14:paraId="32FF3DB9" w14:textId="1632BF88" w:rsidR="002B3D52" w:rsidRPr="00826D15" w:rsidRDefault="00E7553C" w:rsidP="002B3D52">
            <w:pPr>
              <w:jc w:val="both"/>
              <w:rPr>
                <w:rFonts w:eastAsia="PMingLiU"/>
                <w:sz w:val="26"/>
                <w:szCs w:val="26"/>
                <w:lang w:val="lv-LV" w:eastAsia="ja-JP"/>
              </w:rPr>
            </w:pPr>
            <w:r>
              <w:rPr>
                <w:rFonts w:eastAsia="PMingLiU"/>
                <w:sz w:val="26"/>
                <w:szCs w:val="26"/>
                <w:lang w:val="lv-LV" w:eastAsia="ja-JP"/>
              </w:rPr>
              <w:t>Eiropas Komisija</w:t>
            </w:r>
            <w:r w:rsidR="00826D15">
              <w:rPr>
                <w:rFonts w:eastAsia="PMingLiU"/>
                <w:sz w:val="26"/>
                <w:szCs w:val="26"/>
                <w:lang w:val="lv-LV" w:eastAsia="ja-JP"/>
              </w:rPr>
              <w:t xml:space="preserve">s publiskā konsultācija </w:t>
            </w:r>
            <w:r w:rsidR="00826D15" w:rsidRPr="00826D15">
              <w:rPr>
                <w:rFonts w:eastAsia="PMingLiU"/>
                <w:sz w:val="26"/>
                <w:szCs w:val="26"/>
                <w:lang w:val="lv-LV" w:eastAsia="ja-JP"/>
              </w:rPr>
              <w:t>par īstermiņa eksporta kredīta apdrošināšanas pieejamīb</w:t>
            </w:r>
            <w:r w:rsidR="00826D15">
              <w:rPr>
                <w:rFonts w:eastAsia="PMingLiU"/>
                <w:sz w:val="26"/>
                <w:szCs w:val="26"/>
                <w:lang w:val="lv-LV" w:eastAsia="ja-JP"/>
              </w:rPr>
              <w:t>u no 30.09.2020. līdz 07.10.2020.</w:t>
            </w:r>
          </w:p>
        </w:tc>
      </w:tr>
      <w:tr w:rsidR="002B3D52" w:rsidRPr="00145D01" w14:paraId="6FDF4FBF" w14:textId="77777777" w:rsidTr="00BD2A9F">
        <w:trPr>
          <w:trHeight w:val="339"/>
        </w:trPr>
        <w:tc>
          <w:tcPr>
            <w:tcW w:w="313" w:type="dxa"/>
          </w:tcPr>
          <w:p w14:paraId="78DD8EC2" w14:textId="77777777" w:rsidR="002B3D52" w:rsidRPr="00E6084B" w:rsidRDefault="002B3D52" w:rsidP="002B3D52">
            <w:pPr>
              <w:ind w:left="57" w:right="57"/>
              <w:jc w:val="both"/>
              <w:rPr>
                <w:rFonts w:eastAsia="PMingLiU"/>
                <w:bCs/>
                <w:sz w:val="25"/>
                <w:szCs w:val="25"/>
                <w:lang w:eastAsia="ja-JP"/>
              </w:rPr>
            </w:pPr>
            <w:r w:rsidRPr="00E6084B">
              <w:rPr>
                <w:rFonts w:eastAsia="PMingLiU"/>
                <w:bCs/>
                <w:sz w:val="25"/>
                <w:szCs w:val="25"/>
                <w:lang w:eastAsia="ja-JP"/>
              </w:rPr>
              <w:t>2.</w:t>
            </w:r>
          </w:p>
        </w:tc>
        <w:tc>
          <w:tcPr>
            <w:tcW w:w="2948" w:type="dxa"/>
          </w:tcPr>
          <w:p w14:paraId="66BA9558" w14:textId="77777777" w:rsidR="002B3D52" w:rsidRPr="006F4B13" w:rsidRDefault="002B3D52" w:rsidP="002B3D52">
            <w:pPr>
              <w:ind w:left="57" w:right="57"/>
              <w:rPr>
                <w:rFonts w:eastAsia="PMingLiU"/>
                <w:sz w:val="26"/>
                <w:szCs w:val="26"/>
                <w:lang w:val="lv-LV" w:eastAsia="ja-JP"/>
              </w:rPr>
            </w:pPr>
            <w:r w:rsidRPr="006F4B13">
              <w:rPr>
                <w:rFonts w:eastAsia="PMingLiU"/>
                <w:sz w:val="26"/>
                <w:szCs w:val="26"/>
                <w:lang w:val="lv-LV" w:eastAsia="ja-JP"/>
              </w:rPr>
              <w:t>Sabiedrības līdzdalība projekta izstrādē</w:t>
            </w:r>
          </w:p>
        </w:tc>
        <w:tc>
          <w:tcPr>
            <w:tcW w:w="5953" w:type="dxa"/>
          </w:tcPr>
          <w:p w14:paraId="326B520D" w14:textId="1F2C0735" w:rsidR="00353073" w:rsidRPr="00826D15" w:rsidRDefault="00353073" w:rsidP="00353073">
            <w:pPr>
              <w:rPr>
                <w:sz w:val="24"/>
                <w:szCs w:val="24"/>
                <w:lang w:val="lv-LV"/>
              </w:rPr>
            </w:pPr>
            <w:r w:rsidRPr="00826D15">
              <w:rPr>
                <w:rFonts w:eastAsia="Times New Roman"/>
                <w:iCs/>
                <w:sz w:val="26"/>
                <w:szCs w:val="26"/>
                <w:lang w:val="lv-LV" w:eastAsia="lv-LV"/>
              </w:rPr>
              <w:t xml:space="preserve">Noteikumu projekts no 2020.gada </w:t>
            </w:r>
            <w:r w:rsidR="00826D15" w:rsidRPr="00826D15">
              <w:rPr>
                <w:rFonts w:eastAsia="Times New Roman"/>
                <w:iCs/>
                <w:sz w:val="26"/>
                <w:szCs w:val="26"/>
                <w:lang w:val="lv-LV" w:eastAsia="lv-LV"/>
              </w:rPr>
              <w:t>3.novembra</w:t>
            </w:r>
            <w:r w:rsidRPr="00826D15">
              <w:rPr>
                <w:rFonts w:eastAsia="Times New Roman"/>
                <w:iCs/>
                <w:sz w:val="26"/>
                <w:szCs w:val="26"/>
                <w:lang w:val="lv-LV" w:eastAsia="lv-LV"/>
              </w:rPr>
              <w:t xml:space="preserve"> līdz </w:t>
            </w:r>
            <w:r w:rsidR="00826D15" w:rsidRPr="00826D15">
              <w:rPr>
                <w:rFonts w:eastAsia="Times New Roman"/>
                <w:iCs/>
                <w:sz w:val="26"/>
                <w:szCs w:val="26"/>
                <w:lang w:val="lv-LV" w:eastAsia="lv-LV"/>
              </w:rPr>
              <w:t>16.novembrim</w:t>
            </w:r>
            <w:r w:rsidRPr="00826D15">
              <w:rPr>
                <w:rFonts w:eastAsia="Times New Roman"/>
                <w:iCs/>
                <w:sz w:val="26"/>
                <w:szCs w:val="26"/>
                <w:lang w:val="lv-LV" w:eastAsia="lv-LV"/>
              </w:rPr>
              <w:t xml:space="preserve"> ievietots Ekonomikas ministrijas tīmekļvietnē </w:t>
            </w:r>
            <w:hyperlink r:id="rId8" w:history="1">
              <w:r w:rsidRPr="00826D15">
                <w:rPr>
                  <w:rStyle w:val="Hyperlink"/>
                  <w:sz w:val="24"/>
                  <w:szCs w:val="24"/>
                  <w:lang w:val="lv-LV"/>
                </w:rPr>
                <w:t>https://www.em.gov.lv/lv/Ministrija/sabiedribas_lidzdaliba/diskusiju_dokumenti/</w:t>
              </w:r>
            </w:hyperlink>
            <w:r w:rsidRPr="00826D15">
              <w:rPr>
                <w:rFonts w:eastAsia="Times New Roman"/>
                <w:iCs/>
                <w:sz w:val="24"/>
                <w:szCs w:val="24"/>
                <w:lang w:val="lv-LV" w:eastAsia="lv-LV"/>
              </w:rPr>
              <w:t xml:space="preserve"> un Ministru kabineta tīmekļvietnē </w:t>
            </w:r>
            <w:hyperlink r:id="rId9" w:tgtFrame="_blank" w:tooltip="https://www.mk.gov.lv/content/ministru-kabineta-diskusiju-dokumenti" w:history="1">
              <w:r w:rsidRPr="00826D15">
                <w:rPr>
                  <w:rStyle w:val="Hyperlink"/>
                  <w:sz w:val="24"/>
                  <w:szCs w:val="24"/>
                  <w:lang w:val="lv-LV"/>
                </w:rPr>
                <w:t>https://www.mk.gov.lv/content/ministru-kabineta-diskusiju-dokumenti</w:t>
              </w:r>
            </w:hyperlink>
            <w:r w:rsidRPr="00826D15">
              <w:rPr>
                <w:rFonts w:eastAsia="Times New Roman"/>
                <w:iCs/>
                <w:sz w:val="24"/>
                <w:szCs w:val="24"/>
                <w:lang w:val="lv-LV" w:eastAsia="lv-LV"/>
              </w:rPr>
              <w:t>.</w:t>
            </w:r>
          </w:p>
          <w:p w14:paraId="2A8949C2" w14:textId="5B74C402" w:rsidR="002B3D52" w:rsidRPr="002B3D52" w:rsidRDefault="002B3D52" w:rsidP="002B3D52">
            <w:pPr>
              <w:shd w:val="clear" w:color="auto" w:fill="FFFFFF"/>
              <w:ind w:left="57" w:right="404"/>
              <w:jc w:val="both"/>
              <w:rPr>
                <w:rFonts w:eastAsia="PMingLiU"/>
                <w:sz w:val="26"/>
                <w:szCs w:val="26"/>
                <w:lang w:val="lv-LV" w:eastAsia="ja-JP"/>
              </w:rPr>
            </w:pPr>
          </w:p>
        </w:tc>
      </w:tr>
      <w:tr w:rsidR="002B3D52" w:rsidRPr="0097715B" w14:paraId="0A0B574D" w14:textId="77777777" w:rsidTr="00BD2A9F">
        <w:trPr>
          <w:trHeight w:val="476"/>
        </w:trPr>
        <w:tc>
          <w:tcPr>
            <w:tcW w:w="313" w:type="dxa"/>
          </w:tcPr>
          <w:p w14:paraId="65033C09" w14:textId="77777777" w:rsidR="002B3D52" w:rsidRPr="00E6084B" w:rsidRDefault="002B3D52" w:rsidP="002B3D52">
            <w:pPr>
              <w:ind w:left="57" w:right="57"/>
              <w:jc w:val="both"/>
              <w:rPr>
                <w:rFonts w:eastAsia="PMingLiU"/>
                <w:bCs/>
                <w:sz w:val="25"/>
                <w:szCs w:val="25"/>
                <w:lang w:eastAsia="ja-JP"/>
              </w:rPr>
            </w:pPr>
            <w:r w:rsidRPr="00E6084B">
              <w:rPr>
                <w:rFonts w:eastAsia="PMingLiU"/>
                <w:bCs/>
                <w:sz w:val="25"/>
                <w:szCs w:val="25"/>
                <w:lang w:eastAsia="ja-JP"/>
              </w:rPr>
              <w:t>3.</w:t>
            </w:r>
          </w:p>
        </w:tc>
        <w:tc>
          <w:tcPr>
            <w:tcW w:w="2948" w:type="dxa"/>
          </w:tcPr>
          <w:p w14:paraId="4823039B" w14:textId="77777777" w:rsidR="002B3D52" w:rsidRPr="006F4B13" w:rsidRDefault="002B3D52" w:rsidP="002B3D52">
            <w:pPr>
              <w:ind w:left="57" w:right="57"/>
              <w:rPr>
                <w:rFonts w:eastAsia="PMingLiU"/>
                <w:sz w:val="26"/>
                <w:szCs w:val="26"/>
                <w:lang w:val="lv-LV" w:eastAsia="ja-JP"/>
              </w:rPr>
            </w:pPr>
            <w:r w:rsidRPr="006F4B13">
              <w:rPr>
                <w:rFonts w:eastAsia="PMingLiU"/>
                <w:sz w:val="26"/>
                <w:szCs w:val="26"/>
                <w:lang w:val="lv-LV" w:eastAsia="ja-JP"/>
              </w:rPr>
              <w:t>Sabiedrības līdzdalības rezultāti</w:t>
            </w:r>
          </w:p>
        </w:tc>
        <w:tc>
          <w:tcPr>
            <w:tcW w:w="5953" w:type="dxa"/>
          </w:tcPr>
          <w:p w14:paraId="024E1F17" w14:textId="49F873D0" w:rsidR="002B3D52" w:rsidRPr="006F4B13" w:rsidRDefault="00353073" w:rsidP="002B3D52">
            <w:pPr>
              <w:shd w:val="clear" w:color="auto" w:fill="FFFFFF"/>
              <w:ind w:right="113"/>
              <w:jc w:val="both"/>
              <w:rPr>
                <w:rFonts w:eastAsia="PMingLiU"/>
                <w:sz w:val="26"/>
                <w:szCs w:val="26"/>
                <w:shd w:val="clear" w:color="auto" w:fill="FFFFFF"/>
                <w:lang w:val="lv-LV" w:eastAsia="ja-JP"/>
              </w:rPr>
            </w:pPr>
            <w:r>
              <w:rPr>
                <w:rFonts w:eastAsia="PMingLiU"/>
                <w:sz w:val="26"/>
                <w:szCs w:val="26"/>
                <w:shd w:val="clear" w:color="auto" w:fill="FFFFFF"/>
                <w:lang w:val="lv-LV" w:eastAsia="ja-JP"/>
              </w:rPr>
              <w:t>Sabiedrības pārstāvju priekšlikumi un iebildumu par Noteikumu projektu nav saņemti.</w:t>
            </w:r>
          </w:p>
        </w:tc>
      </w:tr>
      <w:tr w:rsidR="002B3D52" w:rsidRPr="002B3D52" w14:paraId="099A963D" w14:textId="77777777" w:rsidTr="00BD2A9F">
        <w:trPr>
          <w:trHeight w:val="205"/>
        </w:trPr>
        <w:tc>
          <w:tcPr>
            <w:tcW w:w="313" w:type="dxa"/>
          </w:tcPr>
          <w:p w14:paraId="7020E350" w14:textId="77777777" w:rsidR="002B3D52" w:rsidRPr="00E6084B" w:rsidRDefault="002B3D52" w:rsidP="002B3D52">
            <w:pPr>
              <w:ind w:left="57" w:right="57"/>
              <w:jc w:val="both"/>
              <w:rPr>
                <w:rFonts w:eastAsia="PMingLiU"/>
                <w:bCs/>
                <w:sz w:val="25"/>
                <w:szCs w:val="25"/>
                <w:lang w:eastAsia="ja-JP"/>
              </w:rPr>
            </w:pPr>
            <w:r w:rsidRPr="00E6084B">
              <w:rPr>
                <w:rFonts w:eastAsia="PMingLiU"/>
                <w:bCs/>
                <w:sz w:val="25"/>
                <w:szCs w:val="25"/>
                <w:lang w:eastAsia="ja-JP"/>
              </w:rPr>
              <w:lastRenderedPageBreak/>
              <w:t>4.</w:t>
            </w:r>
          </w:p>
        </w:tc>
        <w:tc>
          <w:tcPr>
            <w:tcW w:w="2948" w:type="dxa"/>
          </w:tcPr>
          <w:p w14:paraId="38BD69B1" w14:textId="77777777" w:rsidR="002B3D52" w:rsidRPr="006F4B13" w:rsidRDefault="002B3D52" w:rsidP="002B3D52">
            <w:pPr>
              <w:ind w:left="57" w:right="57"/>
              <w:rPr>
                <w:rFonts w:eastAsia="PMingLiU"/>
                <w:sz w:val="26"/>
                <w:szCs w:val="26"/>
                <w:lang w:val="lv-LV" w:eastAsia="ja-JP"/>
              </w:rPr>
            </w:pPr>
            <w:r w:rsidRPr="006F4B13">
              <w:rPr>
                <w:rFonts w:eastAsia="PMingLiU"/>
                <w:sz w:val="26"/>
                <w:szCs w:val="26"/>
                <w:lang w:val="lv-LV" w:eastAsia="ja-JP"/>
              </w:rPr>
              <w:t>Cita informācija</w:t>
            </w:r>
          </w:p>
        </w:tc>
        <w:tc>
          <w:tcPr>
            <w:tcW w:w="5953" w:type="dxa"/>
          </w:tcPr>
          <w:p w14:paraId="558C7CBF" w14:textId="45DBE75B" w:rsidR="002B3D52" w:rsidRPr="006F4B13" w:rsidRDefault="002B3D52" w:rsidP="002B3D52">
            <w:pPr>
              <w:ind w:right="113"/>
              <w:contextualSpacing/>
              <w:jc w:val="both"/>
              <w:rPr>
                <w:rFonts w:eastAsia="PMingLiU"/>
                <w:sz w:val="26"/>
                <w:szCs w:val="26"/>
                <w:lang w:val="lv-LV" w:eastAsia="ja-JP"/>
              </w:rPr>
            </w:pPr>
            <w:r w:rsidRPr="008202CC">
              <w:rPr>
                <w:rFonts w:eastAsia="Times New Roman"/>
                <w:sz w:val="26"/>
                <w:szCs w:val="26"/>
                <w:lang w:val="lv-LV"/>
              </w:rPr>
              <w:t>Projekts šo jomu neskar</w:t>
            </w:r>
          </w:p>
        </w:tc>
      </w:tr>
    </w:tbl>
    <w:p w14:paraId="64254AEE" w14:textId="77777777" w:rsidR="009B49EE" w:rsidRPr="009B49EE" w:rsidRDefault="009B49EE" w:rsidP="00844176">
      <w:pPr>
        <w:rPr>
          <w:rFonts w:eastAsia="Times New Roman"/>
          <w:color w:val="000000"/>
          <w:sz w:val="26"/>
          <w:szCs w:val="26"/>
          <w:lang w:val="lv-LV" w:eastAsia="lv-LV"/>
        </w:rPr>
      </w:pPr>
    </w:p>
    <w:p w14:paraId="66341B1E" w14:textId="77777777" w:rsidR="009B49EE" w:rsidRPr="00C136CD" w:rsidRDefault="009B49EE" w:rsidP="00844176">
      <w:pPr>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843"/>
        <w:gridCol w:w="6018"/>
      </w:tblGrid>
      <w:tr w:rsidR="00844176" w:rsidRPr="0097715B" w14:paraId="72278BCA" w14:textId="77777777" w:rsidTr="00871E2F">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C136CD" w:rsidRDefault="00844176" w:rsidP="00FA2346">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VII. Tiesību akta projekta izpildes nodrošināšana un tās ietekme uz institūcijām</w:t>
            </w:r>
          </w:p>
        </w:tc>
      </w:tr>
      <w:tr w:rsidR="003B2203" w:rsidRPr="00C136CD" w14:paraId="3BE578E7" w14:textId="77777777" w:rsidTr="00B73A5D">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3B2203" w:rsidRPr="00C136CD" w:rsidRDefault="003B2203" w:rsidP="003B2203">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2843" w:type="dxa"/>
            <w:tcBorders>
              <w:top w:val="outset" w:sz="6" w:space="0" w:color="414142"/>
              <w:left w:val="outset" w:sz="6" w:space="0" w:color="414142"/>
              <w:bottom w:val="outset" w:sz="6" w:space="0" w:color="414142"/>
              <w:right w:val="outset" w:sz="6" w:space="0" w:color="414142"/>
            </w:tcBorders>
            <w:hideMark/>
          </w:tcPr>
          <w:p w14:paraId="6CB08CA7" w14:textId="77777777" w:rsidR="003B2203" w:rsidRPr="00C136CD" w:rsidRDefault="003B2203" w:rsidP="003B2203">
            <w:pPr>
              <w:ind w:right="112"/>
              <w:jc w:val="both"/>
              <w:rPr>
                <w:sz w:val="26"/>
                <w:szCs w:val="26"/>
                <w:lang w:val="lv-LV"/>
              </w:rPr>
            </w:pPr>
            <w:r w:rsidRPr="00C136CD">
              <w:rPr>
                <w:sz w:val="26"/>
                <w:szCs w:val="26"/>
                <w:lang w:val="lv-LV"/>
              </w:rPr>
              <w:t>Projekta izpildē iesaistītās institūcijas</w:t>
            </w:r>
          </w:p>
        </w:tc>
        <w:tc>
          <w:tcPr>
            <w:tcW w:w="6018" w:type="dxa"/>
            <w:tcBorders>
              <w:top w:val="outset" w:sz="6" w:space="0" w:color="414142"/>
              <w:left w:val="outset" w:sz="6" w:space="0" w:color="414142"/>
              <w:bottom w:val="outset" w:sz="6" w:space="0" w:color="414142"/>
              <w:right w:val="outset" w:sz="6" w:space="0" w:color="414142"/>
            </w:tcBorders>
            <w:hideMark/>
          </w:tcPr>
          <w:p w14:paraId="4C10CF17" w14:textId="38681284" w:rsidR="003B2203" w:rsidRPr="00C136CD" w:rsidRDefault="003B2203" w:rsidP="003B2203">
            <w:pPr>
              <w:ind w:left="82" w:right="161"/>
              <w:jc w:val="both"/>
              <w:rPr>
                <w:sz w:val="26"/>
                <w:szCs w:val="26"/>
                <w:lang w:val="lv-LV"/>
              </w:rPr>
            </w:pPr>
            <w:r w:rsidRPr="00583CBA">
              <w:rPr>
                <w:sz w:val="26"/>
                <w:szCs w:val="26"/>
                <w:lang w:val="lv-LV"/>
              </w:rPr>
              <w:t xml:space="preserve">Ekonomikas ministrija, sabiedrība </w:t>
            </w:r>
            <w:proofErr w:type="spellStart"/>
            <w:r w:rsidRPr="00583CBA">
              <w:rPr>
                <w:sz w:val="26"/>
                <w:szCs w:val="26"/>
                <w:lang w:val="lv-LV"/>
              </w:rPr>
              <w:t>Altum</w:t>
            </w:r>
            <w:proofErr w:type="spellEnd"/>
            <w:r w:rsidR="00353073">
              <w:rPr>
                <w:sz w:val="26"/>
                <w:szCs w:val="26"/>
                <w:lang w:val="lv-LV"/>
              </w:rPr>
              <w:t>.</w:t>
            </w:r>
          </w:p>
        </w:tc>
      </w:tr>
      <w:tr w:rsidR="003B2203" w:rsidRPr="0097715B" w14:paraId="2CF2C3EA" w14:textId="77777777" w:rsidTr="00B73A5D">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3B2203" w:rsidRPr="00C136CD" w:rsidRDefault="003B2203" w:rsidP="003B2203">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2843" w:type="dxa"/>
            <w:tcBorders>
              <w:top w:val="outset" w:sz="6" w:space="0" w:color="414142"/>
              <w:left w:val="outset" w:sz="6" w:space="0" w:color="414142"/>
              <w:bottom w:val="outset" w:sz="6" w:space="0" w:color="414142"/>
              <w:right w:val="outset" w:sz="6" w:space="0" w:color="414142"/>
            </w:tcBorders>
            <w:hideMark/>
          </w:tcPr>
          <w:p w14:paraId="7D209650" w14:textId="77777777" w:rsidR="003B2203" w:rsidRPr="00C136CD" w:rsidRDefault="003B2203" w:rsidP="003B2203">
            <w:pPr>
              <w:ind w:right="112"/>
              <w:jc w:val="both"/>
              <w:rPr>
                <w:sz w:val="26"/>
                <w:szCs w:val="26"/>
                <w:lang w:val="lv-LV"/>
              </w:rPr>
            </w:pPr>
            <w:r w:rsidRPr="00C136CD">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18" w:type="dxa"/>
            <w:tcBorders>
              <w:top w:val="outset" w:sz="6" w:space="0" w:color="414142"/>
              <w:left w:val="outset" w:sz="6" w:space="0" w:color="414142"/>
              <w:bottom w:val="outset" w:sz="6" w:space="0" w:color="414142"/>
              <w:right w:val="outset" w:sz="6" w:space="0" w:color="414142"/>
            </w:tcBorders>
            <w:hideMark/>
          </w:tcPr>
          <w:p w14:paraId="5F5A7977" w14:textId="456D6975" w:rsidR="003B2203" w:rsidRPr="00C136CD" w:rsidRDefault="00B57996" w:rsidP="003B2203">
            <w:pPr>
              <w:ind w:left="82" w:right="161"/>
              <w:jc w:val="both"/>
              <w:rPr>
                <w:sz w:val="26"/>
                <w:szCs w:val="26"/>
                <w:lang w:val="lv-LV"/>
              </w:rPr>
            </w:pPr>
            <w:r>
              <w:rPr>
                <w:sz w:val="26"/>
                <w:szCs w:val="26"/>
                <w:lang w:val="lv-LV"/>
              </w:rPr>
              <w:t>Projekta</w:t>
            </w:r>
            <w:r w:rsidR="00B92A20">
              <w:rPr>
                <w:sz w:val="26"/>
                <w:szCs w:val="26"/>
                <w:lang w:val="lv-LV"/>
              </w:rPr>
              <w:t xml:space="preserve"> </w:t>
            </w:r>
            <w:r w:rsidR="003B2203" w:rsidRPr="00583CBA">
              <w:rPr>
                <w:sz w:val="26"/>
                <w:szCs w:val="26"/>
                <w:lang w:val="lv-LV"/>
              </w:rPr>
              <w:t xml:space="preserve">izpilde tiks nodrošināta Ekonomikas ministrijas un sabiedrības </w:t>
            </w:r>
            <w:proofErr w:type="spellStart"/>
            <w:r w:rsidR="003B2203" w:rsidRPr="00583CBA">
              <w:rPr>
                <w:sz w:val="26"/>
                <w:szCs w:val="26"/>
                <w:lang w:val="lv-LV"/>
              </w:rPr>
              <w:t>Altum</w:t>
            </w:r>
            <w:proofErr w:type="spellEnd"/>
            <w:r w:rsidR="003B2203" w:rsidRPr="00583CBA">
              <w:rPr>
                <w:sz w:val="26"/>
                <w:szCs w:val="26"/>
                <w:lang w:val="lv-LV"/>
              </w:rPr>
              <w:t xml:space="preserve"> esošo funkciju un cilvēkresursu ietvaros, kā arī nav paredzēta jaunu institūciju izveide, esošu institūciju likvidācija vai reorganizācija.</w:t>
            </w:r>
          </w:p>
        </w:tc>
      </w:tr>
      <w:tr w:rsidR="00844176" w:rsidRPr="00310924" w14:paraId="2EBACAF6" w14:textId="77777777" w:rsidTr="00B73A5D">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843"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C136CD" w:rsidRDefault="00844176" w:rsidP="00871E2F">
            <w:pPr>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6018" w:type="dxa"/>
            <w:tcBorders>
              <w:top w:val="outset" w:sz="6" w:space="0" w:color="414142"/>
              <w:left w:val="outset" w:sz="6" w:space="0" w:color="414142"/>
              <w:bottom w:val="outset" w:sz="6" w:space="0" w:color="414142"/>
              <w:right w:val="outset" w:sz="6" w:space="0" w:color="414142"/>
            </w:tcBorders>
            <w:hideMark/>
          </w:tcPr>
          <w:p w14:paraId="539FA647" w14:textId="00DB32A0" w:rsidR="00844176" w:rsidRPr="00C136CD" w:rsidRDefault="00041B47" w:rsidP="002932D2">
            <w:pPr>
              <w:jc w:val="both"/>
              <w:rPr>
                <w:rFonts w:eastAsia="Times New Roman"/>
                <w:sz w:val="26"/>
                <w:szCs w:val="26"/>
                <w:lang w:val="lv-LV" w:eastAsia="lv-LV"/>
              </w:rPr>
            </w:pPr>
            <w:r w:rsidRPr="008202CC">
              <w:rPr>
                <w:rFonts w:eastAsia="Times New Roman"/>
                <w:sz w:val="26"/>
                <w:szCs w:val="26"/>
                <w:lang w:val="lv-LV"/>
              </w:rPr>
              <w:t>Projekts šo jomu neskar</w:t>
            </w:r>
          </w:p>
        </w:tc>
      </w:tr>
    </w:tbl>
    <w:p w14:paraId="7FC0F3F0" w14:textId="1E3ACBC7" w:rsidR="000A0059" w:rsidRPr="00C136CD" w:rsidRDefault="000A0059" w:rsidP="00EA6CD3">
      <w:pPr>
        <w:tabs>
          <w:tab w:val="right" w:pos="9072"/>
        </w:tabs>
        <w:rPr>
          <w:sz w:val="26"/>
          <w:szCs w:val="26"/>
          <w:lang w:val="lv-LV"/>
        </w:rPr>
      </w:pPr>
    </w:p>
    <w:p w14:paraId="03EE94B5" w14:textId="77777777" w:rsidR="00862580" w:rsidRPr="00826D15" w:rsidRDefault="00862580" w:rsidP="00862580">
      <w:pPr>
        <w:jc w:val="both"/>
        <w:rPr>
          <w:sz w:val="26"/>
          <w:szCs w:val="26"/>
        </w:rPr>
      </w:pPr>
    </w:p>
    <w:p w14:paraId="242B9321" w14:textId="703DC332" w:rsidR="00B73A5D" w:rsidRPr="005E6324" w:rsidRDefault="00B73A5D" w:rsidP="00B73A5D">
      <w:pPr>
        <w:ind w:firstLine="709"/>
        <w:jc w:val="both"/>
        <w:rPr>
          <w:sz w:val="26"/>
          <w:szCs w:val="26"/>
        </w:rPr>
      </w:pPr>
      <w:proofErr w:type="spellStart"/>
      <w:r w:rsidRPr="005E6324">
        <w:rPr>
          <w:sz w:val="26"/>
          <w:szCs w:val="26"/>
        </w:rPr>
        <w:t>Ekonomikas</w:t>
      </w:r>
      <w:proofErr w:type="spellEnd"/>
      <w:r w:rsidRPr="005E6324">
        <w:rPr>
          <w:sz w:val="26"/>
          <w:szCs w:val="26"/>
        </w:rPr>
        <w:t xml:space="preserve"> </w:t>
      </w:r>
      <w:proofErr w:type="spellStart"/>
      <w:r w:rsidRPr="005E6324">
        <w:rPr>
          <w:sz w:val="26"/>
          <w:szCs w:val="26"/>
        </w:rPr>
        <w:t>ministrs</w:t>
      </w:r>
      <w:proofErr w:type="spellEnd"/>
      <w:r w:rsidRPr="005E6324">
        <w:rPr>
          <w:sz w:val="26"/>
          <w:szCs w:val="26"/>
        </w:rPr>
        <w:t xml:space="preserve"> </w:t>
      </w:r>
      <w:r w:rsidRPr="005E6324">
        <w:rPr>
          <w:sz w:val="26"/>
          <w:szCs w:val="26"/>
        </w:rPr>
        <w:tab/>
      </w:r>
      <w:r w:rsidRPr="005E6324">
        <w:rPr>
          <w:sz w:val="26"/>
          <w:szCs w:val="26"/>
        </w:rPr>
        <w:tab/>
      </w:r>
      <w:r w:rsidRPr="005E6324">
        <w:rPr>
          <w:sz w:val="26"/>
          <w:szCs w:val="26"/>
        </w:rPr>
        <w:tab/>
      </w:r>
      <w:r w:rsidRPr="005E6324">
        <w:rPr>
          <w:sz w:val="26"/>
          <w:szCs w:val="26"/>
        </w:rPr>
        <w:tab/>
        <w:t xml:space="preserve">                          </w:t>
      </w:r>
      <w:r w:rsidR="00F773E1" w:rsidRPr="005E6324">
        <w:rPr>
          <w:sz w:val="26"/>
          <w:szCs w:val="26"/>
        </w:rPr>
        <w:t>J.</w:t>
      </w:r>
      <w:r w:rsidR="00353073" w:rsidRPr="005E6324">
        <w:rPr>
          <w:sz w:val="26"/>
          <w:szCs w:val="26"/>
        </w:rPr>
        <w:t> </w:t>
      </w:r>
      <w:proofErr w:type="spellStart"/>
      <w:r w:rsidR="00F773E1" w:rsidRPr="005E6324">
        <w:rPr>
          <w:sz w:val="26"/>
          <w:szCs w:val="26"/>
        </w:rPr>
        <w:t>Vitenbergs</w:t>
      </w:r>
      <w:proofErr w:type="spellEnd"/>
    </w:p>
    <w:p w14:paraId="36B81335" w14:textId="77777777" w:rsidR="00B73A5D" w:rsidRPr="00583CBA" w:rsidRDefault="00B73A5D" w:rsidP="00B73A5D">
      <w:pPr>
        <w:rPr>
          <w:sz w:val="26"/>
          <w:szCs w:val="26"/>
          <w:lang w:val="lv-LV"/>
        </w:rPr>
      </w:pPr>
      <w:r w:rsidRPr="00583CBA">
        <w:rPr>
          <w:sz w:val="26"/>
          <w:szCs w:val="26"/>
          <w:lang w:val="lv-LV"/>
        </w:rPr>
        <w:tab/>
      </w:r>
    </w:p>
    <w:p w14:paraId="4EC5B743" w14:textId="77777777" w:rsidR="00B73A5D" w:rsidRPr="00583CBA" w:rsidRDefault="00B73A5D" w:rsidP="00B73A5D">
      <w:pPr>
        <w:tabs>
          <w:tab w:val="left" w:pos="6237"/>
        </w:tabs>
        <w:contextualSpacing/>
        <w:rPr>
          <w:sz w:val="26"/>
          <w:szCs w:val="26"/>
          <w:lang w:val="lv-LV"/>
        </w:rPr>
      </w:pPr>
    </w:p>
    <w:p w14:paraId="12146B78" w14:textId="77777777" w:rsidR="00B73A5D" w:rsidRPr="00583CBA" w:rsidRDefault="00B73A5D" w:rsidP="00B73A5D">
      <w:pPr>
        <w:tabs>
          <w:tab w:val="left" w:pos="6237"/>
        </w:tabs>
        <w:ind w:firstLine="720"/>
        <w:contextualSpacing/>
        <w:rPr>
          <w:sz w:val="26"/>
          <w:szCs w:val="26"/>
          <w:lang w:val="lv-LV"/>
        </w:rPr>
      </w:pPr>
      <w:r w:rsidRPr="00583CBA">
        <w:rPr>
          <w:sz w:val="26"/>
          <w:szCs w:val="26"/>
          <w:lang w:val="lv-LV"/>
        </w:rPr>
        <w:t>Vīza:</w:t>
      </w:r>
    </w:p>
    <w:p w14:paraId="650C8ED7" w14:textId="77777777" w:rsidR="0097715B" w:rsidRDefault="00353073" w:rsidP="00B73A5D">
      <w:pPr>
        <w:tabs>
          <w:tab w:val="left" w:pos="6237"/>
        </w:tabs>
        <w:ind w:firstLine="720"/>
        <w:contextualSpacing/>
        <w:rPr>
          <w:sz w:val="26"/>
          <w:szCs w:val="26"/>
          <w:lang w:val="lv-LV"/>
        </w:rPr>
      </w:pPr>
      <w:bookmarkStart w:id="7" w:name="_GoBack"/>
      <w:r>
        <w:rPr>
          <w:sz w:val="26"/>
          <w:szCs w:val="26"/>
          <w:lang w:val="lv-LV"/>
        </w:rPr>
        <w:t>Valsts sekretār</w:t>
      </w:r>
      <w:r w:rsidR="0097715B">
        <w:rPr>
          <w:sz w:val="26"/>
          <w:szCs w:val="26"/>
          <w:lang w:val="lv-LV"/>
        </w:rPr>
        <w:t>a vietā</w:t>
      </w:r>
    </w:p>
    <w:p w14:paraId="2BF1C868" w14:textId="69D3D547" w:rsidR="0097715B" w:rsidRDefault="0097715B" w:rsidP="0097715B">
      <w:pPr>
        <w:tabs>
          <w:tab w:val="left" w:pos="6237"/>
        </w:tabs>
        <w:ind w:firstLine="720"/>
        <w:contextualSpacing/>
        <w:rPr>
          <w:sz w:val="26"/>
          <w:szCs w:val="26"/>
          <w:lang w:val="lv-LV"/>
        </w:rPr>
      </w:pPr>
      <w:r w:rsidRPr="0097715B">
        <w:rPr>
          <w:sz w:val="26"/>
          <w:szCs w:val="26"/>
          <w:lang w:val="lv-LV"/>
        </w:rPr>
        <w:t xml:space="preserve">valsts sekretāra vietniece </w:t>
      </w:r>
      <w:r>
        <w:rPr>
          <w:sz w:val="26"/>
          <w:szCs w:val="26"/>
          <w:lang w:val="lv-LV"/>
        </w:rPr>
        <w:tab/>
      </w:r>
      <w:r>
        <w:rPr>
          <w:sz w:val="26"/>
          <w:szCs w:val="26"/>
          <w:lang w:val="lv-LV"/>
        </w:rPr>
        <w:tab/>
      </w:r>
      <w:r w:rsidRPr="0097715B">
        <w:rPr>
          <w:sz w:val="26"/>
          <w:szCs w:val="26"/>
          <w:lang w:val="lv-LV"/>
        </w:rPr>
        <w:t>Zaiga Liepiņa</w:t>
      </w:r>
    </w:p>
    <w:bookmarkEnd w:id="7"/>
    <w:p w14:paraId="05FBE7A1" w14:textId="77777777" w:rsidR="0097715B" w:rsidRPr="00583CBA" w:rsidRDefault="0097715B" w:rsidP="00B73A5D">
      <w:pPr>
        <w:tabs>
          <w:tab w:val="left" w:pos="6237"/>
        </w:tabs>
        <w:ind w:firstLine="720"/>
        <w:contextualSpacing/>
        <w:rPr>
          <w:sz w:val="26"/>
          <w:szCs w:val="26"/>
          <w:lang w:val="lv-LV"/>
        </w:rPr>
      </w:pPr>
    </w:p>
    <w:p w14:paraId="2A024035" w14:textId="77777777" w:rsidR="00862580" w:rsidRPr="00B73A5D" w:rsidRDefault="00862580" w:rsidP="00862580">
      <w:pPr>
        <w:tabs>
          <w:tab w:val="left" w:pos="6237"/>
        </w:tabs>
        <w:ind w:firstLine="720"/>
        <w:rPr>
          <w:lang w:val="lv-LV"/>
        </w:rPr>
      </w:pPr>
    </w:p>
    <w:p w14:paraId="3365EE2C" w14:textId="77777777" w:rsidR="00862580" w:rsidRPr="008A104F" w:rsidRDefault="00862580" w:rsidP="00862580">
      <w:pPr>
        <w:tabs>
          <w:tab w:val="left" w:pos="6237"/>
        </w:tabs>
        <w:ind w:firstLine="720"/>
      </w:pPr>
    </w:p>
    <w:p w14:paraId="686EDB4F" w14:textId="77777777" w:rsidR="00862580" w:rsidRPr="008A104F" w:rsidRDefault="00862580" w:rsidP="00862580">
      <w:pPr>
        <w:tabs>
          <w:tab w:val="left" w:pos="6237"/>
        </w:tabs>
      </w:pPr>
    </w:p>
    <w:p w14:paraId="7FE050EB" w14:textId="77777777" w:rsidR="00862580" w:rsidRPr="00871792" w:rsidRDefault="00862580" w:rsidP="00862580">
      <w:pPr>
        <w:tabs>
          <w:tab w:val="left" w:pos="6840"/>
        </w:tabs>
        <w:jc w:val="both"/>
      </w:pPr>
      <w:r w:rsidRPr="00871792">
        <w:t>Tetere, 67013044</w:t>
      </w:r>
    </w:p>
    <w:p w14:paraId="5B8D44CD" w14:textId="77777777" w:rsidR="00862580" w:rsidRPr="00871792" w:rsidRDefault="0097715B" w:rsidP="00862580">
      <w:pPr>
        <w:pStyle w:val="Header"/>
        <w:tabs>
          <w:tab w:val="clear" w:pos="4153"/>
          <w:tab w:val="clear" w:pos="8306"/>
        </w:tabs>
      </w:pPr>
      <w:hyperlink r:id="rId10" w:history="1">
        <w:r w:rsidR="00862580" w:rsidRPr="00871792">
          <w:rPr>
            <w:rStyle w:val="Hyperlink"/>
          </w:rPr>
          <w:t>Dita.Tetere@em.gov.lv</w:t>
        </w:r>
      </w:hyperlink>
      <w:r w:rsidR="00862580" w:rsidRPr="008A104F">
        <w:t xml:space="preserve">  </w:t>
      </w:r>
    </w:p>
    <w:p w14:paraId="15AA3A25" w14:textId="77777777" w:rsidR="00733C32" w:rsidRPr="00C136CD" w:rsidRDefault="00733C32">
      <w:pPr>
        <w:rPr>
          <w:sz w:val="26"/>
          <w:szCs w:val="26"/>
        </w:rPr>
      </w:pPr>
    </w:p>
    <w:sectPr w:rsidR="00733C32" w:rsidRPr="00C136CD" w:rsidSect="006938D7">
      <w:headerReference w:type="default" r:id="rId11"/>
      <w:footerReference w:type="default" r:id="rId12"/>
      <w:footerReference w:type="first" r:id="rId13"/>
      <w:endnotePr>
        <w:numFmt w:val="decimal"/>
      </w:endnotePr>
      <w:type w:val="continuous"/>
      <w:pgSz w:w="11906" w:h="16838"/>
      <w:pgMar w:top="130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F49A" w14:textId="77777777" w:rsidR="00520B50" w:rsidRDefault="00520B50" w:rsidP="006B2FEF">
      <w:r>
        <w:separator/>
      </w:r>
    </w:p>
  </w:endnote>
  <w:endnote w:type="continuationSeparator" w:id="0">
    <w:p w14:paraId="049A7FC4" w14:textId="77777777" w:rsidR="00520B50" w:rsidRDefault="00520B50"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24DD65C9" w:rsidR="004937D3" w:rsidRPr="00BB55EA" w:rsidRDefault="004937D3" w:rsidP="00E37F50">
    <w:pPr>
      <w:pStyle w:val="Footer"/>
      <w:jc w:val="both"/>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337A7502" w:rsidR="004937D3" w:rsidRDefault="004937D3" w:rsidP="00CD6800">
    <w:pPr>
      <w:pStyle w:val="Footer"/>
      <w:tabs>
        <w:tab w:val="clear" w:pos="4153"/>
        <w:tab w:val="clear" w:pos="8306"/>
        <w:tab w:val="left" w:pos="628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47E61" w14:textId="77777777" w:rsidR="00520B50" w:rsidRDefault="00520B50" w:rsidP="006B2FEF">
      <w:r>
        <w:separator/>
      </w:r>
    </w:p>
  </w:footnote>
  <w:footnote w:type="continuationSeparator" w:id="0">
    <w:p w14:paraId="48D558A7" w14:textId="77777777" w:rsidR="00520B50" w:rsidRDefault="00520B50" w:rsidP="006B2FEF">
      <w:r>
        <w:continuationSeparator/>
      </w:r>
    </w:p>
  </w:footnote>
  <w:footnote w:id="1">
    <w:p w14:paraId="7A05C7C5" w14:textId="67E3008D" w:rsidR="004937D3" w:rsidRDefault="004937D3" w:rsidP="0064515C">
      <w:pPr>
        <w:pStyle w:val="FootnoteText"/>
      </w:pPr>
      <w:r>
        <w:rPr>
          <w:rStyle w:val="FootnoteReference"/>
        </w:rPr>
        <w:footnoteRef/>
      </w:r>
      <w:r>
        <w:t xml:space="preserve"> </w:t>
      </w:r>
      <w:r w:rsidRPr="0064515C">
        <w:rPr>
          <w:i/>
          <w:iCs/>
        </w:rPr>
        <w:t>Ceturtais grozījums Pagaidu regulējumā valsts atbalsta pasākumiem, ar ko atbalsta ekonomiku</w:t>
      </w:r>
      <w:r>
        <w:rPr>
          <w:i/>
          <w:iCs/>
        </w:rPr>
        <w:t xml:space="preserve"> </w:t>
      </w:r>
      <w:r w:rsidRPr="0064515C">
        <w:rPr>
          <w:i/>
          <w:iCs/>
        </w:rPr>
        <w:t>pašreizējā Covid-19 uzliesmojuma situācijā, un grozījums pielikumā Komisijas Paziņojumam</w:t>
      </w:r>
      <w:r>
        <w:rPr>
          <w:i/>
          <w:iCs/>
        </w:rPr>
        <w:t xml:space="preserve"> </w:t>
      </w:r>
      <w:r w:rsidRPr="0064515C">
        <w:rPr>
          <w:i/>
          <w:iCs/>
        </w:rPr>
        <w:t>dalībvalstīm par Līguma par Eiropas Savienības darbību 107. un 108. panta piemērošanu īstermiņa</w:t>
      </w:r>
      <w:r>
        <w:rPr>
          <w:i/>
          <w:iCs/>
        </w:rPr>
        <w:t xml:space="preserve"> </w:t>
      </w:r>
      <w:r w:rsidRPr="0064515C">
        <w:rPr>
          <w:i/>
          <w:iCs/>
        </w:rPr>
        <w:t xml:space="preserve">eksporta kredīta apdrošināšanai(2020/C 340 I/01) </w:t>
      </w:r>
      <w:r>
        <w:rPr>
          <w:i/>
          <w:iCs/>
        </w:rPr>
        <w:t xml:space="preserve">(turpmāk – </w:t>
      </w:r>
      <w:r w:rsidR="000032E8">
        <w:rPr>
          <w:i/>
          <w:iCs/>
        </w:rPr>
        <w:t>Pagaidu regulējums</w:t>
      </w:r>
      <w:r>
        <w:rPr>
          <w:i/>
          <w:iCs/>
        </w:rPr>
        <w:t>)</w:t>
      </w:r>
    </w:p>
  </w:footnote>
  <w:footnote w:id="2">
    <w:p w14:paraId="5965C195" w14:textId="262DD8FC" w:rsidR="0047735D" w:rsidRDefault="0047735D" w:rsidP="0047735D">
      <w:pPr>
        <w:pStyle w:val="FootnoteText"/>
      </w:pPr>
      <w:r>
        <w:rPr>
          <w:rStyle w:val="FootnoteReference"/>
        </w:rPr>
        <w:footnoteRef/>
      </w:r>
      <w:r w:rsidR="006251B0">
        <w:t xml:space="preserve"> </w:t>
      </w:r>
      <w:r w:rsidR="006251B0" w:rsidRPr="00A42112">
        <w:rPr>
          <w:i/>
          <w:iCs/>
        </w:rPr>
        <w:t>Komisijas Paziņojum</w:t>
      </w:r>
      <w:r w:rsidR="005B3CC0">
        <w:rPr>
          <w:i/>
          <w:iCs/>
        </w:rPr>
        <w:t>s</w:t>
      </w:r>
      <w:r w:rsidR="006251B0" w:rsidRPr="00A42112">
        <w:rPr>
          <w:i/>
          <w:iCs/>
        </w:rPr>
        <w:t xml:space="preserve"> dalībvalstīm par Līguma par Eiropas Savienības darbību 107. un 108. panta piemērošanu īstermiņa eksporta kredīta apdrošināšanai </w:t>
      </w:r>
      <w:r w:rsidR="006251B0" w:rsidRPr="00A42112">
        <w:rPr>
          <w:rFonts w:eastAsia="Calibri"/>
          <w:i/>
          <w:iCs/>
        </w:rPr>
        <w:t xml:space="preserve"> </w:t>
      </w:r>
      <w:r w:rsidR="006251B0" w:rsidRPr="00A42112">
        <w:rPr>
          <w:i/>
          <w:iCs/>
        </w:rPr>
        <w:t>(2012/C 392/01)</w:t>
      </w:r>
      <w:r w:rsidR="006251B0">
        <w:rPr>
          <w:i/>
          <w:iCs/>
        </w:rPr>
        <w:t xml:space="preserve"> (turpmāk – Komisijas paziņojums)</w:t>
      </w:r>
      <w:r>
        <w:rPr>
          <w:color w:val="444444"/>
          <w:sz w:val="27"/>
          <w:szCs w:val="27"/>
          <w:shd w:val="clear" w:color="auto" w:fill="FFFFFF"/>
        </w:rPr>
        <w:t xml:space="preserve"> </w:t>
      </w:r>
    </w:p>
  </w:footnote>
  <w:footnote w:id="3">
    <w:p w14:paraId="69FDB6AD" w14:textId="34C795CF" w:rsidR="004937D3" w:rsidRDefault="004937D3">
      <w:pPr>
        <w:pStyle w:val="FootnoteText"/>
      </w:pPr>
      <w:r>
        <w:rPr>
          <w:rStyle w:val="FootnoteReference"/>
        </w:rPr>
        <w:footnoteRef/>
      </w:r>
      <w:r>
        <w:t xml:space="preserve"> </w:t>
      </w:r>
      <w:r w:rsidRPr="00F45EAE">
        <w:t>https://www.em.gov.lv/files/tautsaimniecibas_attistiba/makro/makro75-2.pdf</w:t>
      </w:r>
    </w:p>
  </w:footnote>
  <w:footnote w:id="4">
    <w:p w14:paraId="026FA91E" w14:textId="626FCA50" w:rsidR="004937D3" w:rsidRDefault="004937D3">
      <w:pPr>
        <w:pStyle w:val="FootnoteText"/>
      </w:pPr>
      <w:r>
        <w:rPr>
          <w:rStyle w:val="FootnoteReference"/>
        </w:rPr>
        <w:footnoteRef/>
      </w:r>
      <w:r>
        <w:t xml:space="preserve"> </w:t>
      </w:r>
      <w:r w:rsidRPr="009043DD">
        <w:t>https://datnes.latvijasbanka.lv/mnp/MNP-2020-septembris.pdf</w:t>
      </w:r>
    </w:p>
  </w:footnote>
  <w:footnote w:id="5">
    <w:p w14:paraId="595A380C" w14:textId="77777777" w:rsidR="004937D3" w:rsidRDefault="004937D3" w:rsidP="00697025">
      <w:pPr>
        <w:pStyle w:val="FootnoteText"/>
      </w:pPr>
      <w:r>
        <w:rPr>
          <w:rStyle w:val="FootnoteReference"/>
        </w:rPr>
        <w:footnoteRef/>
      </w:r>
      <w:r>
        <w:t xml:space="preserve"> </w:t>
      </w:r>
      <w:r>
        <w:t xml:space="preserve">Saskaņā ar </w:t>
      </w:r>
      <w:r w:rsidRPr="00844A6C">
        <w:t xml:space="preserve">2020. gada 14. </w:t>
      </w:r>
      <w:r>
        <w:t>a</w:t>
      </w:r>
      <w:r w:rsidRPr="00844A6C">
        <w:t>prī</w:t>
      </w:r>
      <w:r>
        <w:t>ļa</w:t>
      </w:r>
      <w:r w:rsidRPr="00844A6C">
        <w:t xml:space="preserve"> Ministru kabineta noteikumi</w:t>
      </w:r>
      <w:r>
        <w:t>em</w:t>
      </w:r>
      <w:r w:rsidRPr="00844A6C">
        <w:t xml:space="preserve"> Nr. 206 “Grozījumi Ministru kabineta 2016. gada 20. decembra noteikumos Nr. 866 "Īstermiņa eksporta kredīta garantiju izsniegšanas noteikumi komersantiem un atbilstošām lauksaimniecības pakalpojumu kooperatīvajām sabiedrībām"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4937D3" w:rsidRPr="00B014C2" w:rsidRDefault="004937D3">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p w14:paraId="6CE91A04" w14:textId="77777777" w:rsidR="004937D3" w:rsidRDefault="004937D3">
    <w:pPr>
      <w:pStyle w:val="Header"/>
    </w:pPr>
  </w:p>
  <w:p w14:paraId="4597F8B3" w14:textId="77777777" w:rsidR="004937D3" w:rsidRDefault="004937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3975E69"/>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8234B5B"/>
    <w:multiLevelType w:val="hybridMultilevel"/>
    <w:tmpl w:val="C3D0B870"/>
    <w:lvl w:ilvl="0" w:tplc="5234076A">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15:restartNumberingAfterBreak="0">
    <w:nsid w:val="12EF10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0ED6D6B"/>
    <w:multiLevelType w:val="hybridMultilevel"/>
    <w:tmpl w:val="97702146"/>
    <w:lvl w:ilvl="0" w:tplc="E70C35C8">
      <w:numFmt w:val="bullet"/>
      <w:lvlText w:val="-"/>
      <w:lvlJc w:val="left"/>
      <w:pPr>
        <w:ind w:left="1080" w:hanging="360"/>
      </w:pPr>
      <w:rPr>
        <w:rFonts w:ascii="Century Gothic" w:eastAsia="Calibri" w:hAnsi="Century Gothic"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6"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CE6625"/>
    <w:multiLevelType w:val="hybridMultilevel"/>
    <w:tmpl w:val="CE320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9171A8"/>
    <w:multiLevelType w:val="hybridMultilevel"/>
    <w:tmpl w:val="CCE6514C"/>
    <w:lvl w:ilvl="0" w:tplc="62BE90F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166FC1"/>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4"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6"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38"/>
  </w:num>
  <w:num w:numId="3">
    <w:abstractNumId w:val="27"/>
  </w:num>
  <w:num w:numId="4">
    <w:abstractNumId w:val="10"/>
  </w:num>
  <w:num w:numId="5">
    <w:abstractNumId w:val="15"/>
  </w:num>
  <w:num w:numId="6">
    <w:abstractNumId w:val="5"/>
  </w:num>
  <w:num w:numId="7">
    <w:abstractNumId w:val="22"/>
  </w:num>
  <w:num w:numId="8">
    <w:abstractNumId w:val="39"/>
  </w:num>
  <w:num w:numId="9">
    <w:abstractNumId w:val="28"/>
  </w:num>
  <w:num w:numId="10">
    <w:abstractNumId w:val="0"/>
  </w:num>
  <w:num w:numId="11">
    <w:abstractNumId w:val="2"/>
  </w:num>
  <w:num w:numId="12">
    <w:abstractNumId w:val="16"/>
  </w:num>
  <w:num w:numId="13">
    <w:abstractNumId w:val="32"/>
  </w:num>
  <w:num w:numId="14">
    <w:abstractNumId w:val="34"/>
  </w:num>
  <w:num w:numId="15">
    <w:abstractNumId w:val="14"/>
  </w:num>
  <w:num w:numId="16">
    <w:abstractNumId w:val="35"/>
  </w:num>
  <w:num w:numId="17">
    <w:abstractNumId w:val="29"/>
  </w:num>
  <w:num w:numId="18">
    <w:abstractNumId w:val="33"/>
  </w:num>
  <w:num w:numId="19">
    <w:abstractNumId w:val="21"/>
  </w:num>
  <w:num w:numId="20">
    <w:abstractNumId w:val="7"/>
  </w:num>
  <w:num w:numId="21">
    <w:abstractNumId w:val="9"/>
  </w:num>
  <w:num w:numId="22">
    <w:abstractNumId w:val="8"/>
  </w:num>
  <w:num w:numId="23">
    <w:abstractNumId w:val="20"/>
  </w:num>
  <w:num w:numId="24">
    <w:abstractNumId w:val="12"/>
  </w:num>
  <w:num w:numId="25">
    <w:abstractNumId w:val="17"/>
  </w:num>
  <w:num w:numId="26">
    <w:abstractNumId w:val="18"/>
  </w:num>
  <w:num w:numId="27">
    <w:abstractNumId w:val="24"/>
  </w:num>
  <w:num w:numId="28">
    <w:abstractNumId w:val="30"/>
  </w:num>
  <w:num w:numId="29">
    <w:abstractNumId w:val="13"/>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3"/>
  </w:num>
  <w:num w:numId="33">
    <w:abstractNumId w:val="6"/>
  </w:num>
  <w:num w:numId="34">
    <w:abstractNumId w:val="31"/>
  </w:num>
  <w:num w:numId="35">
    <w:abstractNumId w:val="1"/>
  </w:num>
  <w:num w:numId="36">
    <w:abstractNumId w:val="19"/>
  </w:num>
  <w:num w:numId="37">
    <w:abstractNumId w:val="26"/>
  </w:num>
  <w:num w:numId="38">
    <w:abstractNumId w:val="4"/>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2BB4"/>
    <w:rsid w:val="000032E8"/>
    <w:rsid w:val="000058AA"/>
    <w:rsid w:val="0001048C"/>
    <w:rsid w:val="000136B6"/>
    <w:rsid w:val="00013B61"/>
    <w:rsid w:val="00014B9F"/>
    <w:rsid w:val="00015551"/>
    <w:rsid w:val="00016159"/>
    <w:rsid w:val="00017A7C"/>
    <w:rsid w:val="00017DD8"/>
    <w:rsid w:val="0002003C"/>
    <w:rsid w:val="0002596F"/>
    <w:rsid w:val="00026F18"/>
    <w:rsid w:val="00026FFF"/>
    <w:rsid w:val="0003012D"/>
    <w:rsid w:val="00030B7E"/>
    <w:rsid w:val="0003245D"/>
    <w:rsid w:val="0003265E"/>
    <w:rsid w:val="00041B47"/>
    <w:rsid w:val="000430AC"/>
    <w:rsid w:val="0004380E"/>
    <w:rsid w:val="00043C33"/>
    <w:rsid w:val="00044743"/>
    <w:rsid w:val="00045463"/>
    <w:rsid w:val="000463A8"/>
    <w:rsid w:val="00047095"/>
    <w:rsid w:val="000527A4"/>
    <w:rsid w:val="000541AA"/>
    <w:rsid w:val="000678CD"/>
    <w:rsid w:val="00070F56"/>
    <w:rsid w:val="00071082"/>
    <w:rsid w:val="0007156D"/>
    <w:rsid w:val="00071BC9"/>
    <w:rsid w:val="00072B02"/>
    <w:rsid w:val="0007330D"/>
    <w:rsid w:val="00074090"/>
    <w:rsid w:val="000773A5"/>
    <w:rsid w:val="00077C9F"/>
    <w:rsid w:val="00077D13"/>
    <w:rsid w:val="0008002B"/>
    <w:rsid w:val="00080352"/>
    <w:rsid w:val="00080880"/>
    <w:rsid w:val="00081EC5"/>
    <w:rsid w:val="0008515E"/>
    <w:rsid w:val="00085640"/>
    <w:rsid w:val="0009324B"/>
    <w:rsid w:val="00094B1E"/>
    <w:rsid w:val="00095280"/>
    <w:rsid w:val="00096060"/>
    <w:rsid w:val="000964C6"/>
    <w:rsid w:val="000A0059"/>
    <w:rsid w:val="000A14E3"/>
    <w:rsid w:val="000A3897"/>
    <w:rsid w:val="000B0748"/>
    <w:rsid w:val="000B1926"/>
    <w:rsid w:val="000B1B64"/>
    <w:rsid w:val="000B2C54"/>
    <w:rsid w:val="000B3449"/>
    <w:rsid w:val="000B3FAB"/>
    <w:rsid w:val="000B492B"/>
    <w:rsid w:val="000C33C1"/>
    <w:rsid w:val="000C4418"/>
    <w:rsid w:val="000D2474"/>
    <w:rsid w:val="000D3D56"/>
    <w:rsid w:val="000D43D9"/>
    <w:rsid w:val="000D74B9"/>
    <w:rsid w:val="000E257B"/>
    <w:rsid w:val="000E53C3"/>
    <w:rsid w:val="000E56F8"/>
    <w:rsid w:val="000E5DD2"/>
    <w:rsid w:val="000F0A62"/>
    <w:rsid w:val="000F4230"/>
    <w:rsid w:val="00102922"/>
    <w:rsid w:val="00102B1D"/>
    <w:rsid w:val="00106E43"/>
    <w:rsid w:val="00107B57"/>
    <w:rsid w:val="00110128"/>
    <w:rsid w:val="0011606F"/>
    <w:rsid w:val="0011609A"/>
    <w:rsid w:val="001256C6"/>
    <w:rsid w:val="0012624C"/>
    <w:rsid w:val="00137388"/>
    <w:rsid w:val="00137F96"/>
    <w:rsid w:val="00143BB6"/>
    <w:rsid w:val="00145366"/>
    <w:rsid w:val="00145D01"/>
    <w:rsid w:val="00146697"/>
    <w:rsid w:val="001511E3"/>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3B65"/>
    <w:rsid w:val="00186A4D"/>
    <w:rsid w:val="00187140"/>
    <w:rsid w:val="00190B3D"/>
    <w:rsid w:val="001935C8"/>
    <w:rsid w:val="001946C8"/>
    <w:rsid w:val="00195D43"/>
    <w:rsid w:val="001A02C5"/>
    <w:rsid w:val="001A1368"/>
    <w:rsid w:val="001A1439"/>
    <w:rsid w:val="001A38EA"/>
    <w:rsid w:val="001A3ED2"/>
    <w:rsid w:val="001A7C3A"/>
    <w:rsid w:val="001A7E1D"/>
    <w:rsid w:val="001B03B8"/>
    <w:rsid w:val="001B6A79"/>
    <w:rsid w:val="001B7454"/>
    <w:rsid w:val="001C0801"/>
    <w:rsid w:val="001C143C"/>
    <w:rsid w:val="001C1B72"/>
    <w:rsid w:val="001C2832"/>
    <w:rsid w:val="001C362D"/>
    <w:rsid w:val="001C563A"/>
    <w:rsid w:val="001C5ED6"/>
    <w:rsid w:val="001C6208"/>
    <w:rsid w:val="001C68A2"/>
    <w:rsid w:val="001D0561"/>
    <w:rsid w:val="001D0800"/>
    <w:rsid w:val="001D3167"/>
    <w:rsid w:val="001D43CE"/>
    <w:rsid w:val="001D7397"/>
    <w:rsid w:val="001D7DC1"/>
    <w:rsid w:val="001E1B0F"/>
    <w:rsid w:val="001E3588"/>
    <w:rsid w:val="001E4C2F"/>
    <w:rsid w:val="001E5FBC"/>
    <w:rsid w:val="001E76BE"/>
    <w:rsid w:val="001E7DAD"/>
    <w:rsid w:val="001F1430"/>
    <w:rsid w:val="001F2BA2"/>
    <w:rsid w:val="001F6DBE"/>
    <w:rsid w:val="001F7086"/>
    <w:rsid w:val="001F7AAD"/>
    <w:rsid w:val="00200E7D"/>
    <w:rsid w:val="0020468C"/>
    <w:rsid w:val="00205F08"/>
    <w:rsid w:val="0020712E"/>
    <w:rsid w:val="002107BF"/>
    <w:rsid w:val="00211315"/>
    <w:rsid w:val="00215C6A"/>
    <w:rsid w:val="002177B0"/>
    <w:rsid w:val="00217F5B"/>
    <w:rsid w:val="00224E84"/>
    <w:rsid w:val="002267E7"/>
    <w:rsid w:val="00230191"/>
    <w:rsid w:val="002326E5"/>
    <w:rsid w:val="0023582E"/>
    <w:rsid w:val="00237878"/>
    <w:rsid w:val="002425C9"/>
    <w:rsid w:val="002438ED"/>
    <w:rsid w:val="00244A9E"/>
    <w:rsid w:val="00246849"/>
    <w:rsid w:val="00250127"/>
    <w:rsid w:val="0025023B"/>
    <w:rsid w:val="00250F9F"/>
    <w:rsid w:val="00252EEF"/>
    <w:rsid w:val="00253B6C"/>
    <w:rsid w:val="00254651"/>
    <w:rsid w:val="00254901"/>
    <w:rsid w:val="00255BAC"/>
    <w:rsid w:val="002601C7"/>
    <w:rsid w:val="00261B97"/>
    <w:rsid w:val="002651EA"/>
    <w:rsid w:val="00265C6D"/>
    <w:rsid w:val="0027369F"/>
    <w:rsid w:val="00273700"/>
    <w:rsid w:val="00273B21"/>
    <w:rsid w:val="00277D9D"/>
    <w:rsid w:val="00281C0B"/>
    <w:rsid w:val="0028302E"/>
    <w:rsid w:val="00290EE2"/>
    <w:rsid w:val="00292062"/>
    <w:rsid w:val="002932D2"/>
    <w:rsid w:val="002957B7"/>
    <w:rsid w:val="002A0435"/>
    <w:rsid w:val="002A0BC1"/>
    <w:rsid w:val="002A166A"/>
    <w:rsid w:val="002A3EC2"/>
    <w:rsid w:val="002A6400"/>
    <w:rsid w:val="002B1DA2"/>
    <w:rsid w:val="002B3D52"/>
    <w:rsid w:val="002B3EAE"/>
    <w:rsid w:val="002B4900"/>
    <w:rsid w:val="002B6364"/>
    <w:rsid w:val="002B6DDD"/>
    <w:rsid w:val="002B7F82"/>
    <w:rsid w:val="002C1312"/>
    <w:rsid w:val="002C15A0"/>
    <w:rsid w:val="002C22CF"/>
    <w:rsid w:val="002C2A54"/>
    <w:rsid w:val="002C3A9B"/>
    <w:rsid w:val="002C3E23"/>
    <w:rsid w:val="002C3E51"/>
    <w:rsid w:val="002C504B"/>
    <w:rsid w:val="002C7BF6"/>
    <w:rsid w:val="002D5E34"/>
    <w:rsid w:val="002D6A10"/>
    <w:rsid w:val="002D6BDB"/>
    <w:rsid w:val="002D744A"/>
    <w:rsid w:val="002D7ABF"/>
    <w:rsid w:val="002D7D0E"/>
    <w:rsid w:val="002E024D"/>
    <w:rsid w:val="002E1075"/>
    <w:rsid w:val="002E2217"/>
    <w:rsid w:val="002E4452"/>
    <w:rsid w:val="002E5643"/>
    <w:rsid w:val="002E678E"/>
    <w:rsid w:val="002E708A"/>
    <w:rsid w:val="002E7635"/>
    <w:rsid w:val="002F06CE"/>
    <w:rsid w:val="002F06E1"/>
    <w:rsid w:val="002F5587"/>
    <w:rsid w:val="002F741D"/>
    <w:rsid w:val="00300B84"/>
    <w:rsid w:val="00301A6D"/>
    <w:rsid w:val="0030247A"/>
    <w:rsid w:val="00303955"/>
    <w:rsid w:val="00304810"/>
    <w:rsid w:val="003061FB"/>
    <w:rsid w:val="00306270"/>
    <w:rsid w:val="0031008A"/>
    <w:rsid w:val="00310924"/>
    <w:rsid w:val="0031259B"/>
    <w:rsid w:val="00314298"/>
    <w:rsid w:val="00314D9C"/>
    <w:rsid w:val="003176D3"/>
    <w:rsid w:val="003228DE"/>
    <w:rsid w:val="00323C8A"/>
    <w:rsid w:val="00326096"/>
    <w:rsid w:val="003334FB"/>
    <w:rsid w:val="0033779C"/>
    <w:rsid w:val="00337AC6"/>
    <w:rsid w:val="00341BEB"/>
    <w:rsid w:val="00343A18"/>
    <w:rsid w:val="0034476B"/>
    <w:rsid w:val="003469B5"/>
    <w:rsid w:val="00346CE0"/>
    <w:rsid w:val="00353073"/>
    <w:rsid w:val="00354ABE"/>
    <w:rsid w:val="00356AEA"/>
    <w:rsid w:val="00360657"/>
    <w:rsid w:val="00364B19"/>
    <w:rsid w:val="00366AFE"/>
    <w:rsid w:val="00367B98"/>
    <w:rsid w:val="003702AA"/>
    <w:rsid w:val="00373A49"/>
    <w:rsid w:val="00374F73"/>
    <w:rsid w:val="00375F30"/>
    <w:rsid w:val="00376F09"/>
    <w:rsid w:val="00380AC5"/>
    <w:rsid w:val="00381382"/>
    <w:rsid w:val="003814A5"/>
    <w:rsid w:val="00381B26"/>
    <w:rsid w:val="00382FEC"/>
    <w:rsid w:val="003855AD"/>
    <w:rsid w:val="00385772"/>
    <w:rsid w:val="00387734"/>
    <w:rsid w:val="00390C1B"/>
    <w:rsid w:val="0039139B"/>
    <w:rsid w:val="003913FB"/>
    <w:rsid w:val="00392998"/>
    <w:rsid w:val="00395460"/>
    <w:rsid w:val="00396152"/>
    <w:rsid w:val="00397D0E"/>
    <w:rsid w:val="003A1D77"/>
    <w:rsid w:val="003A24AD"/>
    <w:rsid w:val="003A40AD"/>
    <w:rsid w:val="003A554C"/>
    <w:rsid w:val="003A6A32"/>
    <w:rsid w:val="003B1693"/>
    <w:rsid w:val="003B2203"/>
    <w:rsid w:val="003B32EC"/>
    <w:rsid w:val="003B3488"/>
    <w:rsid w:val="003B412A"/>
    <w:rsid w:val="003B5E55"/>
    <w:rsid w:val="003B5F6A"/>
    <w:rsid w:val="003B63BE"/>
    <w:rsid w:val="003B7B62"/>
    <w:rsid w:val="003C072B"/>
    <w:rsid w:val="003C3D3D"/>
    <w:rsid w:val="003C7796"/>
    <w:rsid w:val="003D0448"/>
    <w:rsid w:val="003D1A86"/>
    <w:rsid w:val="003D1F27"/>
    <w:rsid w:val="003D3E7E"/>
    <w:rsid w:val="003D7F0B"/>
    <w:rsid w:val="003E145E"/>
    <w:rsid w:val="003E171B"/>
    <w:rsid w:val="003E33F9"/>
    <w:rsid w:val="003E3959"/>
    <w:rsid w:val="003E4132"/>
    <w:rsid w:val="003E58C7"/>
    <w:rsid w:val="003E5A6D"/>
    <w:rsid w:val="003E5D7B"/>
    <w:rsid w:val="003E637A"/>
    <w:rsid w:val="003F0341"/>
    <w:rsid w:val="003F0521"/>
    <w:rsid w:val="003F24C7"/>
    <w:rsid w:val="003F288B"/>
    <w:rsid w:val="003F2B20"/>
    <w:rsid w:val="003F2C34"/>
    <w:rsid w:val="003F30FC"/>
    <w:rsid w:val="003F45CD"/>
    <w:rsid w:val="003F4CC7"/>
    <w:rsid w:val="003F7C94"/>
    <w:rsid w:val="00401192"/>
    <w:rsid w:val="00401397"/>
    <w:rsid w:val="004038BC"/>
    <w:rsid w:val="00406AE2"/>
    <w:rsid w:val="0041036A"/>
    <w:rsid w:val="0041202B"/>
    <w:rsid w:val="0041316A"/>
    <w:rsid w:val="00413E61"/>
    <w:rsid w:val="004158F6"/>
    <w:rsid w:val="00415A66"/>
    <w:rsid w:val="00416A31"/>
    <w:rsid w:val="00417136"/>
    <w:rsid w:val="00420760"/>
    <w:rsid w:val="004224C2"/>
    <w:rsid w:val="004227D3"/>
    <w:rsid w:val="00423B46"/>
    <w:rsid w:val="00425AA9"/>
    <w:rsid w:val="00426250"/>
    <w:rsid w:val="00426A69"/>
    <w:rsid w:val="00426B77"/>
    <w:rsid w:val="00431019"/>
    <w:rsid w:val="00433EC2"/>
    <w:rsid w:val="004352F7"/>
    <w:rsid w:val="0043554A"/>
    <w:rsid w:val="0043619D"/>
    <w:rsid w:val="004362D3"/>
    <w:rsid w:val="00437DF1"/>
    <w:rsid w:val="00442A8B"/>
    <w:rsid w:val="00442D1E"/>
    <w:rsid w:val="00443016"/>
    <w:rsid w:val="00444344"/>
    <w:rsid w:val="00445945"/>
    <w:rsid w:val="00450691"/>
    <w:rsid w:val="00450D9C"/>
    <w:rsid w:val="00452140"/>
    <w:rsid w:val="00452889"/>
    <w:rsid w:val="00453BB3"/>
    <w:rsid w:val="0045729A"/>
    <w:rsid w:val="004619FE"/>
    <w:rsid w:val="00463574"/>
    <w:rsid w:val="004666F3"/>
    <w:rsid w:val="00467343"/>
    <w:rsid w:val="0047031A"/>
    <w:rsid w:val="004741BD"/>
    <w:rsid w:val="0047735D"/>
    <w:rsid w:val="0048125C"/>
    <w:rsid w:val="00481C20"/>
    <w:rsid w:val="00483B86"/>
    <w:rsid w:val="00485293"/>
    <w:rsid w:val="004853B1"/>
    <w:rsid w:val="00485E47"/>
    <w:rsid w:val="00490499"/>
    <w:rsid w:val="00493508"/>
    <w:rsid w:val="004937D3"/>
    <w:rsid w:val="0049647B"/>
    <w:rsid w:val="00497AB8"/>
    <w:rsid w:val="004A2EE3"/>
    <w:rsid w:val="004A4356"/>
    <w:rsid w:val="004A5EEF"/>
    <w:rsid w:val="004B0B1D"/>
    <w:rsid w:val="004B1EB2"/>
    <w:rsid w:val="004C0738"/>
    <w:rsid w:val="004C0C33"/>
    <w:rsid w:val="004C0FE6"/>
    <w:rsid w:val="004C20F1"/>
    <w:rsid w:val="004C253C"/>
    <w:rsid w:val="004C2FC4"/>
    <w:rsid w:val="004C56E9"/>
    <w:rsid w:val="004D0B68"/>
    <w:rsid w:val="004D0F95"/>
    <w:rsid w:val="004D232B"/>
    <w:rsid w:val="004D3010"/>
    <w:rsid w:val="004D3ABB"/>
    <w:rsid w:val="004E4946"/>
    <w:rsid w:val="004E5D38"/>
    <w:rsid w:val="004E603B"/>
    <w:rsid w:val="004E626B"/>
    <w:rsid w:val="004E6C7D"/>
    <w:rsid w:val="004F13BD"/>
    <w:rsid w:val="004F1F0D"/>
    <w:rsid w:val="004F27D9"/>
    <w:rsid w:val="004F478F"/>
    <w:rsid w:val="004F4D6B"/>
    <w:rsid w:val="0050230D"/>
    <w:rsid w:val="0050364D"/>
    <w:rsid w:val="00503D17"/>
    <w:rsid w:val="00504D6E"/>
    <w:rsid w:val="005116FB"/>
    <w:rsid w:val="00514B75"/>
    <w:rsid w:val="00515D44"/>
    <w:rsid w:val="00520B50"/>
    <w:rsid w:val="00530DE5"/>
    <w:rsid w:val="00531AFF"/>
    <w:rsid w:val="00531C6F"/>
    <w:rsid w:val="00532875"/>
    <w:rsid w:val="00534305"/>
    <w:rsid w:val="00534ADE"/>
    <w:rsid w:val="00534D4D"/>
    <w:rsid w:val="00537F6A"/>
    <w:rsid w:val="00537FF8"/>
    <w:rsid w:val="005464E6"/>
    <w:rsid w:val="00546938"/>
    <w:rsid w:val="00547ACF"/>
    <w:rsid w:val="00552639"/>
    <w:rsid w:val="00552AF1"/>
    <w:rsid w:val="00552F3A"/>
    <w:rsid w:val="00554561"/>
    <w:rsid w:val="00555557"/>
    <w:rsid w:val="00557AA8"/>
    <w:rsid w:val="00566916"/>
    <w:rsid w:val="00566F71"/>
    <w:rsid w:val="00567050"/>
    <w:rsid w:val="00567FC5"/>
    <w:rsid w:val="00571CCF"/>
    <w:rsid w:val="00572180"/>
    <w:rsid w:val="00572337"/>
    <w:rsid w:val="00573FFE"/>
    <w:rsid w:val="00575FC3"/>
    <w:rsid w:val="0057625C"/>
    <w:rsid w:val="00576743"/>
    <w:rsid w:val="005771D5"/>
    <w:rsid w:val="00581784"/>
    <w:rsid w:val="00584453"/>
    <w:rsid w:val="00591838"/>
    <w:rsid w:val="00592809"/>
    <w:rsid w:val="00593343"/>
    <w:rsid w:val="00594A83"/>
    <w:rsid w:val="00597F23"/>
    <w:rsid w:val="005A0C78"/>
    <w:rsid w:val="005A4807"/>
    <w:rsid w:val="005A5A80"/>
    <w:rsid w:val="005B224C"/>
    <w:rsid w:val="005B297A"/>
    <w:rsid w:val="005B29EF"/>
    <w:rsid w:val="005B2DA5"/>
    <w:rsid w:val="005B357B"/>
    <w:rsid w:val="005B3CC0"/>
    <w:rsid w:val="005B476F"/>
    <w:rsid w:val="005B4B5F"/>
    <w:rsid w:val="005B5F05"/>
    <w:rsid w:val="005B6095"/>
    <w:rsid w:val="005B65B8"/>
    <w:rsid w:val="005B6A0D"/>
    <w:rsid w:val="005B6D1C"/>
    <w:rsid w:val="005C04E5"/>
    <w:rsid w:val="005C1764"/>
    <w:rsid w:val="005C3B2C"/>
    <w:rsid w:val="005C3D03"/>
    <w:rsid w:val="005C51FA"/>
    <w:rsid w:val="005C5413"/>
    <w:rsid w:val="005C63C7"/>
    <w:rsid w:val="005C6628"/>
    <w:rsid w:val="005C6B2C"/>
    <w:rsid w:val="005C71A2"/>
    <w:rsid w:val="005C73E4"/>
    <w:rsid w:val="005C7B1F"/>
    <w:rsid w:val="005D06E8"/>
    <w:rsid w:val="005D1195"/>
    <w:rsid w:val="005D2167"/>
    <w:rsid w:val="005D2D68"/>
    <w:rsid w:val="005D688E"/>
    <w:rsid w:val="005D6B98"/>
    <w:rsid w:val="005D794E"/>
    <w:rsid w:val="005E30B2"/>
    <w:rsid w:val="005E39B3"/>
    <w:rsid w:val="005E4164"/>
    <w:rsid w:val="005E6324"/>
    <w:rsid w:val="005F188F"/>
    <w:rsid w:val="005F1D39"/>
    <w:rsid w:val="005F3FC6"/>
    <w:rsid w:val="005F75C4"/>
    <w:rsid w:val="006002BF"/>
    <w:rsid w:val="00600301"/>
    <w:rsid w:val="006008D1"/>
    <w:rsid w:val="006116E2"/>
    <w:rsid w:val="00611ADA"/>
    <w:rsid w:val="00611E0A"/>
    <w:rsid w:val="00611E18"/>
    <w:rsid w:val="00611FC0"/>
    <w:rsid w:val="00613A4A"/>
    <w:rsid w:val="00614157"/>
    <w:rsid w:val="00614A2A"/>
    <w:rsid w:val="00614ECD"/>
    <w:rsid w:val="006216EC"/>
    <w:rsid w:val="006226BA"/>
    <w:rsid w:val="006231D7"/>
    <w:rsid w:val="006251B0"/>
    <w:rsid w:val="00626031"/>
    <w:rsid w:val="00630C6C"/>
    <w:rsid w:val="00630ED2"/>
    <w:rsid w:val="00631935"/>
    <w:rsid w:val="00636B91"/>
    <w:rsid w:val="006373FF"/>
    <w:rsid w:val="00643C60"/>
    <w:rsid w:val="0064515C"/>
    <w:rsid w:val="00645799"/>
    <w:rsid w:val="00646A6F"/>
    <w:rsid w:val="00653397"/>
    <w:rsid w:val="006535C3"/>
    <w:rsid w:val="006553CD"/>
    <w:rsid w:val="006559F5"/>
    <w:rsid w:val="0065752A"/>
    <w:rsid w:val="00661782"/>
    <w:rsid w:val="00662C11"/>
    <w:rsid w:val="006678E3"/>
    <w:rsid w:val="00672822"/>
    <w:rsid w:val="006729D2"/>
    <w:rsid w:val="00673B07"/>
    <w:rsid w:val="00673BC6"/>
    <w:rsid w:val="006775B3"/>
    <w:rsid w:val="00684808"/>
    <w:rsid w:val="0068608E"/>
    <w:rsid w:val="006909B7"/>
    <w:rsid w:val="00690F72"/>
    <w:rsid w:val="00692AB0"/>
    <w:rsid w:val="006938D7"/>
    <w:rsid w:val="00697025"/>
    <w:rsid w:val="006978F7"/>
    <w:rsid w:val="006B2D92"/>
    <w:rsid w:val="006B2FEF"/>
    <w:rsid w:val="006B4B31"/>
    <w:rsid w:val="006B6581"/>
    <w:rsid w:val="006B6D6C"/>
    <w:rsid w:val="006C20C5"/>
    <w:rsid w:val="006C2EC1"/>
    <w:rsid w:val="006C5ECD"/>
    <w:rsid w:val="006D1520"/>
    <w:rsid w:val="006D2482"/>
    <w:rsid w:val="006D2F0C"/>
    <w:rsid w:val="006D3604"/>
    <w:rsid w:val="006D536E"/>
    <w:rsid w:val="006D5EB4"/>
    <w:rsid w:val="006E09BA"/>
    <w:rsid w:val="006E2082"/>
    <w:rsid w:val="006E3BE5"/>
    <w:rsid w:val="006E5D5B"/>
    <w:rsid w:val="006E67BA"/>
    <w:rsid w:val="006E6E53"/>
    <w:rsid w:val="006F2362"/>
    <w:rsid w:val="006F24AB"/>
    <w:rsid w:val="006F47EB"/>
    <w:rsid w:val="006F4B13"/>
    <w:rsid w:val="006F4DE9"/>
    <w:rsid w:val="006F5AAD"/>
    <w:rsid w:val="006F61B5"/>
    <w:rsid w:val="006F71C2"/>
    <w:rsid w:val="007008B0"/>
    <w:rsid w:val="00700AC3"/>
    <w:rsid w:val="00700AD6"/>
    <w:rsid w:val="00700E68"/>
    <w:rsid w:val="00701065"/>
    <w:rsid w:val="0070175E"/>
    <w:rsid w:val="007026AB"/>
    <w:rsid w:val="00703DC5"/>
    <w:rsid w:val="007040F2"/>
    <w:rsid w:val="007049DF"/>
    <w:rsid w:val="007120EE"/>
    <w:rsid w:val="0071279F"/>
    <w:rsid w:val="0071492B"/>
    <w:rsid w:val="007153C5"/>
    <w:rsid w:val="00716073"/>
    <w:rsid w:val="007161D3"/>
    <w:rsid w:val="00720C35"/>
    <w:rsid w:val="00720E7B"/>
    <w:rsid w:val="00722964"/>
    <w:rsid w:val="007262F0"/>
    <w:rsid w:val="007314F1"/>
    <w:rsid w:val="00731BE9"/>
    <w:rsid w:val="00731E2B"/>
    <w:rsid w:val="00733C32"/>
    <w:rsid w:val="007420D7"/>
    <w:rsid w:val="00742C92"/>
    <w:rsid w:val="0074545C"/>
    <w:rsid w:val="00752DBC"/>
    <w:rsid w:val="00753FF4"/>
    <w:rsid w:val="0075411D"/>
    <w:rsid w:val="00756F8A"/>
    <w:rsid w:val="00757367"/>
    <w:rsid w:val="00760295"/>
    <w:rsid w:val="00760B97"/>
    <w:rsid w:val="00762675"/>
    <w:rsid w:val="00762FC8"/>
    <w:rsid w:val="00763E5E"/>
    <w:rsid w:val="00764843"/>
    <w:rsid w:val="00765825"/>
    <w:rsid w:val="007700D3"/>
    <w:rsid w:val="00770970"/>
    <w:rsid w:val="0077131C"/>
    <w:rsid w:val="0077138B"/>
    <w:rsid w:val="007714B8"/>
    <w:rsid w:val="0077534E"/>
    <w:rsid w:val="0078045E"/>
    <w:rsid w:val="00780B70"/>
    <w:rsid w:val="00782847"/>
    <w:rsid w:val="00783777"/>
    <w:rsid w:val="00783D20"/>
    <w:rsid w:val="00785232"/>
    <w:rsid w:val="00785C6D"/>
    <w:rsid w:val="007862D0"/>
    <w:rsid w:val="0079247D"/>
    <w:rsid w:val="00794F2D"/>
    <w:rsid w:val="007954D3"/>
    <w:rsid w:val="00796159"/>
    <w:rsid w:val="00797AAD"/>
    <w:rsid w:val="007A2F02"/>
    <w:rsid w:val="007A5127"/>
    <w:rsid w:val="007A5C51"/>
    <w:rsid w:val="007B2C6C"/>
    <w:rsid w:val="007B41D7"/>
    <w:rsid w:val="007C1A7D"/>
    <w:rsid w:val="007C4094"/>
    <w:rsid w:val="007C45C5"/>
    <w:rsid w:val="007C608D"/>
    <w:rsid w:val="007D11C0"/>
    <w:rsid w:val="007D50AE"/>
    <w:rsid w:val="007D516C"/>
    <w:rsid w:val="007E1BAC"/>
    <w:rsid w:val="007E1EA6"/>
    <w:rsid w:val="007E2FDE"/>
    <w:rsid w:val="007E4C1F"/>
    <w:rsid w:val="007E6943"/>
    <w:rsid w:val="007F0204"/>
    <w:rsid w:val="007F2DB0"/>
    <w:rsid w:val="007F5C3C"/>
    <w:rsid w:val="007F5C58"/>
    <w:rsid w:val="007F6449"/>
    <w:rsid w:val="007F6674"/>
    <w:rsid w:val="007F6EA8"/>
    <w:rsid w:val="00803D1B"/>
    <w:rsid w:val="0080630B"/>
    <w:rsid w:val="00806AB5"/>
    <w:rsid w:val="00807142"/>
    <w:rsid w:val="008074E3"/>
    <w:rsid w:val="00807802"/>
    <w:rsid w:val="0080799C"/>
    <w:rsid w:val="008100EC"/>
    <w:rsid w:val="00810C18"/>
    <w:rsid w:val="0081196F"/>
    <w:rsid w:val="0081407D"/>
    <w:rsid w:val="00814421"/>
    <w:rsid w:val="00814AFC"/>
    <w:rsid w:val="00814B22"/>
    <w:rsid w:val="008202CC"/>
    <w:rsid w:val="00822862"/>
    <w:rsid w:val="0082350A"/>
    <w:rsid w:val="0082597B"/>
    <w:rsid w:val="00826D15"/>
    <w:rsid w:val="00830B1B"/>
    <w:rsid w:val="00831A5D"/>
    <w:rsid w:val="00831DB4"/>
    <w:rsid w:val="008340FF"/>
    <w:rsid w:val="008365EC"/>
    <w:rsid w:val="00837390"/>
    <w:rsid w:val="00842BD9"/>
    <w:rsid w:val="00844176"/>
    <w:rsid w:val="00844A6C"/>
    <w:rsid w:val="00846B2A"/>
    <w:rsid w:val="008503CA"/>
    <w:rsid w:val="008520B9"/>
    <w:rsid w:val="0085318D"/>
    <w:rsid w:val="008565FB"/>
    <w:rsid w:val="00862580"/>
    <w:rsid w:val="00862834"/>
    <w:rsid w:val="00865C34"/>
    <w:rsid w:val="00871516"/>
    <w:rsid w:val="00871E2F"/>
    <w:rsid w:val="008764DD"/>
    <w:rsid w:val="00877499"/>
    <w:rsid w:val="008841EB"/>
    <w:rsid w:val="00885759"/>
    <w:rsid w:val="0088688D"/>
    <w:rsid w:val="00891622"/>
    <w:rsid w:val="00891C00"/>
    <w:rsid w:val="0089560D"/>
    <w:rsid w:val="00895E41"/>
    <w:rsid w:val="00896281"/>
    <w:rsid w:val="0089734D"/>
    <w:rsid w:val="008A0A32"/>
    <w:rsid w:val="008A1056"/>
    <w:rsid w:val="008A3626"/>
    <w:rsid w:val="008A7CC5"/>
    <w:rsid w:val="008B1CC3"/>
    <w:rsid w:val="008B206C"/>
    <w:rsid w:val="008B4335"/>
    <w:rsid w:val="008B55D5"/>
    <w:rsid w:val="008B56DF"/>
    <w:rsid w:val="008B5B2C"/>
    <w:rsid w:val="008B5EFB"/>
    <w:rsid w:val="008C053B"/>
    <w:rsid w:val="008C4728"/>
    <w:rsid w:val="008C7959"/>
    <w:rsid w:val="008D081E"/>
    <w:rsid w:val="008D1364"/>
    <w:rsid w:val="008D4F09"/>
    <w:rsid w:val="008D539E"/>
    <w:rsid w:val="008D65D5"/>
    <w:rsid w:val="008D75EB"/>
    <w:rsid w:val="008D7F23"/>
    <w:rsid w:val="008E1D74"/>
    <w:rsid w:val="008E1F57"/>
    <w:rsid w:val="008E5D85"/>
    <w:rsid w:val="008E68AA"/>
    <w:rsid w:val="008E751B"/>
    <w:rsid w:val="00900C33"/>
    <w:rsid w:val="0090193D"/>
    <w:rsid w:val="009034C7"/>
    <w:rsid w:val="009043DD"/>
    <w:rsid w:val="0090549B"/>
    <w:rsid w:val="00906ABE"/>
    <w:rsid w:val="00906C1A"/>
    <w:rsid w:val="00907DD7"/>
    <w:rsid w:val="00910BBC"/>
    <w:rsid w:val="009129D8"/>
    <w:rsid w:val="009165D6"/>
    <w:rsid w:val="00917D6F"/>
    <w:rsid w:val="00921504"/>
    <w:rsid w:val="00922352"/>
    <w:rsid w:val="0092710C"/>
    <w:rsid w:val="00927893"/>
    <w:rsid w:val="0093112B"/>
    <w:rsid w:val="0093298F"/>
    <w:rsid w:val="00934AD3"/>
    <w:rsid w:val="00937BB0"/>
    <w:rsid w:val="0094022B"/>
    <w:rsid w:val="00942D63"/>
    <w:rsid w:val="00943EBA"/>
    <w:rsid w:val="00944067"/>
    <w:rsid w:val="0094437B"/>
    <w:rsid w:val="009455DB"/>
    <w:rsid w:val="00951ED7"/>
    <w:rsid w:val="00954428"/>
    <w:rsid w:val="00954541"/>
    <w:rsid w:val="00954C0F"/>
    <w:rsid w:val="00956218"/>
    <w:rsid w:val="00956C4B"/>
    <w:rsid w:val="009577FE"/>
    <w:rsid w:val="00957E64"/>
    <w:rsid w:val="00961605"/>
    <w:rsid w:val="00963C88"/>
    <w:rsid w:val="00965995"/>
    <w:rsid w:val="00966814"/>
    <w:rsid w:val="00970D58"/>
    <w:rsid w:val="00973167"/>
    <w:rsid w:val="009759F9"/>
    <w:rsid w:val="0097715B"/>
    <w:rsid w:val="00993596"/>
    <w:rsid w:val="00995A83"/>
    <w:rsid w:val="0099755E"/>
    <w:rsid w:val="009A6766"/>
    <w:rsid w:val="009A692C"/>
    <w:rsid w:val="009A7E10"/>
    <w:rsid w:val="009B1CEB"/>
    <w:rsid w:val="009B2576"/>
    <w:rsid w:val="009B3508"/>
    <w:rsid w:val="009B3AE3"/>
    <w:rsid w:val="009B43EB"/>
    <w:rsid w:val="009B49EE"/>
    <w:rsid w:val="009B584C"/>
    <w:rsid w:val="009B6613"/>
    <w:rsid w:val="009B7000"/>
    <w:rsid w:val="009B75D4"/>
    <w:rsid w:val="009C061A"/>
    <w:rsid w:val="009C0D4C"/>
    <w:rsid w:val="009C108E"/>
    <w:rsid w:val="009C1FE8"/>
    <w:rsid w:val="009C228A"/>
    <w:rsid w:val="009C282F"/>
    <w:rsid w:val="009C2E2D"/>
    <w:rsid w:val="009C3257"/>
    <w:rsid w:val="009C62D7"/>
    <w:rsid w:val="009C7F6E"/>
    <w:rsid w:val="009D0A96"/>
    <w:rsid w:val="009D1051"/>
    <w:rsid w:val="009D43B2"/>
    <w:rsid w:val="009D4B8F"/>
    <w:rsid w:val="009E1DDF"/>
    <w:rsid w:val="009E5C84"/>
    <w:rsid w:val="009F0FC9"/>
    <w:rsid w:val="009F1A7E"/>
    <w:rsid w:val="00A02CAC"/>
    <w:rsid w:val="00A03E32"/>
    <w:rsid w:val="00A06120"/>
    <w:rsid w:val="00A13FC8"/>
    <w:rsid w:val="00A14369"/>
    <w:rsid w:val="00A154D5"/>
    <w:rsid w:val="00A2067E"/>
    <w:rsid w:val="00A21E62"/>
    <w:rsid w:val="00A21F19"/>
    <w:rsid w:val="00A21F38"/>
    <w:rsid w:val="00A229AC"/>
    <w:rsid w:val="00A23E8B"/>
    <w:rsid w:val="00A2453E"/>
    <w:rsid w:val="00A25225"/>
    <w:rsid w:val="00A25F14"/>
    <w:rsid w:val="00A26676"/>
    <w:rsid w:val="00A267B2"/>
    <w:rsid w:val="00A27A02"/>
    <w:rsid w:val="00A30DAB"/>
    <w:rsid w:val="00A312C7"/>
    <w:rsid w:val="00A325F5"/>
    <w:rsid w:val="00A32A3F"/>
    <w:rsid w:val="00A337C5"/>
    <w:rsid w:val="00A33B10"/>
    <w:rsid w:val="00A34958"/>
    <w:rsid w:val="00A34EAB"/>
    <w:rsid w:val="00A350B9"/>
    <w:rsid w:val="00A37CD5"/>
    <w:rsid w:val="00A41FB2"/>
    <w:rsid w:val="00A42112"/>
    <w:rsid w:val="00A468F1"/>
    <w:rsid w:val="00A47501"/>
    <w:rsid w:val="00A5287A"/>
    <w:rsid w:val="00A541ED"/>
    <w:rsid w:val="00A562DC"/>
    <w:rsid w:val="00A56E9B"/>
    <w:rsid w:val="00A64B0F"/>
    <w:rsid w:val="00A66F1F"/>
    <w:rsid w:val="00A676B1"/>
    <w:rsid w:val="00A71979"/>
    <w:rsid w:val="00A73448"/>
    <w:rsid w:val="00A829D2"/>
    <w:rsid w:val="00A86F1C"/>
    <w:rsid w:val="00A9174A"/>
    <w:rsid w:val="00A92A07"/>
    <w:rsid w:val="00A93054"/>
    <w:rsid w:val="00A94B68"/>
    <w:rsid w:val="00A969CC"/>
    <w:rsid w:val="00A96C8D"/>
    <w:rsid w:val="00A9708B"/>
    <w:rsid w:val="00AA1BFB"/>
    <w:rsid w:val="00AA3A72"/>
    <w:rsid w:val="00AA5063"/>
    <w:rsid w:val="00AB3EB4"/>
    <w:rsid w:val="00AB3F37"/>
    <w:rsid w:val="00AB6AE8"/>
    <w:rsid w:val="00AC24BD"/>
    <w:rsid w:val="00AD00F6"/>
    <w:rsid w:val="00AD1D82"/>
    <w:rsid w:val="00AD2587"/>
    <w:rsid w:val="00AD3D79"/>
    <w:rsid w:val="00AD5B91"/>
    <w:rsid w:val="00AD5C75"/>
    <w:rsid w:val="00AD6AEF"/>
    <w:rsid w:val="00AE0055"/>
    <w:rsid w:val="00AE091D"/>
    <w:rsid w:val="00AE38CE"/>
    <w:rsid w:val="00AE4AB1"/>
    <w:rsid w:val="00AE5675"/>
    <w:rsid w:val="00AE57EC"/>
    <w:rsid w:val="00AE64F9"/>
    <w:rsid w:val="00AF13D9"/>
    <w:rsid w:val="00AF1C04"/>
    <w:rsid w:val="00AF254A"/>
    <w:rsid w:val="00AF3603"/>
    <w:rsid w:val="00AF36C9"/>
    <w:rsid w:val="00AF5DF5"/>
    <w:rsid w:val="00AF755E"/>
    <w:rsid w:val="00B02EDD"/>
    <w:rsid w:val="00B0569D"/>
    <w:rsid w:val="00B05F64"/>
    <w:rsid w:val="00B10B94"/>
    <w:rsid w:val="00B111A5"/>
    <w:rsid w:val="00B117F2"/>
    <w:rsid w:val="00B13379"/>
    <w:rsid w:val="00B13C6F"/>
    <w:rsid w:val="00B14D75"/>
    <w:rsid w:val="00B15DBA"/>
    <w:rsid w:val="00B2297A"/>
    <w:rsid w:val="00B230F6"/>
    <w:rsid w:val="00B26202"/>
    <w:rsid w:val="00B300C7"/>
    <w:rsid w:val="00B32793"/>
    <w:rsid w:val="00B35F05"/>
    <w:rsid w:val="00B404B6"/>
    <w:rsid w:val="00B414FF"/>
    <w:rsid w:val="00B4164D"/>
    <w:rsid w:val="00B4246F"/>
    <w:rsid w:val="00B450C4"/>
    <w:rsid w:val="00B457C4"/>
    <w:rsid w:val="00B462F7"/>
    <w:rsid w:val="00B4697F"/>
    <w:rsid w:val="00B46A16"/>
    <w:rsid w:val="00B50D88"/>
    <w:rsid w:val="00B51427"/>
    <w:rsid w:val="00B5564B"/>
    <w:rsid w:val="00B55A30"/>
    <w:rsid w:val="00B57996"/>
    <w:rsid w:val="00B618A9"/>
    <w:rsid w:val="00B621AF"/>
    <w:rsid w:val="00B652FE"/>
    <w:rsid w:val="00B65CF6"/>
    <w:rsid w:val="00B700CC"/>
    <w:rsid w:val="00B73A5D"/>
    <w:rsid w:val="00B74B38"/>
    <w:rsid w:val="00B762A0"/>
    <w:rsid w:val="00B77E56"/>
    <w:rsid w:val="00B80371"/>
    <w:rsid w:val="00B8269F"/>
    <w:rsid w:val="00B837AE"/>
    <w:rsid w:val="00B83EED"/>
    <w:rsid w:val="00B8453D"/>
    <w:rsid w:val="00B85A89"/>
    <w:rsid w:val="00B868AD"/>
    <w:rsid w:val="00B86F40"/>
    <w:rsid w:val="00B92A20"/>
    <w:rsid w:val="00B9742D"/>
    <w:rsid w:val="00BA2274"/>
    <w:rsid w:val="00BB0BAA"/>
    <w:rsid w:val="00BB1EA2"/>
    <w:rsid w:val="00BB480B"/>
    <w:rsid w:val="00BB4E62"/>
    <w:rsid w:val="00BB55EA"/>
    <w:rsid w:val="00BC3D73"/>
    <w:rsid w:val="00BC608E"/>
    <w:rsid w:val="00BC69DC"/>
    <w:rsid w:val="00BC7045"/>
    <w:rsid w:val="00BD20AE"/>
    <w:rsid w:val="00BD2A9F"/>
    <w:rsid w:val="00BD4E08"/>
    <w:rsid w:val="00BD7AE1"/>
    <w:rsid w:val="00BE15E4"/>
    <w:rsid w:val="00BE57D2"/>
    <w:rsid w:val="00BE6127"/>
    <w:rsid w:val="00BF13E6"/>
    <w:rsid w:val="00BF15B9"/>
    <w:rsid w:val="00BF7BD9"/>
    <w:rsid w:val="00BF7D60"/>
    <w:rsid w:val="00C017FE"/>
    <w:rsid w:val="00C0447C"/>
    <w:rsid w:val="00C04CAF"/>
    <w:rsid w:val="00C050AF"/>
    <w:rsid w:val="00C05EF2"/>
    <w:rsid w:val="00C12263"/>
    <w:rsid w:val="00C12CF8"/>
    <w:rsid w:val="00C136CD"/>
    <w:rsid w:val="00C14D1E"/>
    <w:rsid w:val="00C15EB7"/>
    <w:rsid w:val="00C212B4"/>
    <w:rsid w:val="00C21746"/>
    <w:rsid w:val="00C2191C"/>
    <w:rsid w:val="00C220E6"/>
    <w:rsid w:val="00C23051"/>
    <w:rsid w:val="00C23427"/>
    <w:rsid w:val="00C23F73"/>
    <w:rsid w:val="00C25016"/>
    <w:rsid w:val="00C2517F"/>
    <w:rsid w:val="00C26333"/>
    <w:rsid w:val="00C264E6"/>
    <w:rsid w:val="00C26E37"/>
    <w:rsid w:val="00C271E6"/>
    <w:rsid w:val="00C32742"/>
    <w:rsid w:val="00C32C97"/>
    <w:rsid w:val="00C353F8"/>
    <w:rsid w:val="00C35A54"/>
    <w:rsid w:val="00C416DB"/>
    <w:rsid w:val="00C423B7"/>
    <w:rsid w:val="00C42887"/>
    <w:rsid w:val="00C42ACD"/>
    <w:rsid w:val="00C446A5"/>
    <w:rsid w:val="00C45150"/>
    <w:rsid w:val="00C46737"/>
    <w:rsid w:val="00C50F67"/>
    <w:rsid w:val="00C52004"/>
    <w:rsid w:val="00C6333E"/>
    <w:rsid w:val="00C633A8"/>
    <w:rsid w:val="00C64DE5"/>
    <w:rsid w:val="00C65AAE"/>
    <w:rsid w:val="00C66A4D"/>
    <w:rsid w:val="00C70CB4"/>
    <w:rsid w:val="00C7141D"/>
    <w:rsid w:val="00C72945"/>
    <w:rsid w:val="00C77C68"/>
    <w:rsid w:val="00C80326"/>
    <w:rsid w:val="00C85115"/>
    <w:rsid w:val="00C86896"/>
    <w:rsid w:val="00C86AE5"/>
    <w:rsid w:val="00C933DE"/>
    <w:rsid w:val="00CA082C"/>
    <w:rsid w:val="00CA0BCB"/>
    <w:rsid w:val="00CA373F"/>
    <w:rsid w:val="00CA7442"/>
    <w:rsid w:val="00CB2A80"/>
    <w:rsid w:val="00CB5A26"/>
    <w:rsid w:val="00CB6AC4"/>
    <w:rsid w:val="00CC6AA4"/>
    <w:rsid w:val="00CD1C12"/>
    <w:rsid w:val="00CD1F7F"/>
    <w:rsid w:val="00CD2401"/>
    <w:rsid w:val="00CD6800"/>
    <w:rsid w:val="00CE0AC5"/>
    <w:rsid w:val="00CE14EA"/>
    <w:rsid w:val="00CE1DD6"/>
    <w:rsid w:val="00CE35E1"/>
    <w:rsid w:val="00CE5541"/>
    <w:rsid w:val="00CF4607"/>
    <w:rsid w:val="00CF6767"/>
    <w:rsid w:val="00CF747C"/>
    <w:rsid w:val="00D00576"/>
    <w:rsid w:val="00D0207F"/>
    <w:rsid w:val="00D02A2E"/>
    <w:rsid w:val="00D04299"/>
    <w:rsid w:val="00D0506F"/>
    <w:rsid w:val="00D05A7A"/>
    <w:rsid w:val="00D073AA"/>
    <w:rsid w:val="00D07B78"/>
    <w:rsid w:val="00D12B80"/>
    <w:rsid w:val="00D13BD0"/>
    <w:rsid w:val="00D13D6F"/>
    <w:rsid w:val="00D165F4"/>
    <w:rsid w:val="00D16C33"/>
    <w:rsid w:val="00D20CC5"/>
    <w:rsid w:val="00D217AC"/>
    <w:rsid w:val="00D26474"/>
    <w:rsid w:val="00D31BE1"/>
    <w:rsid w:val="00D328FA"/>
    <w:rsid w:val="00D33B93"/>
    <w:rsid w:val="00D33EC0"/>
    <w:rsid w:val="00D36EC8"/>
    <w:rsid w:val="00D37973"/>
    <w:rsid w:val="00D40161"/>
    <w:rsid w:val="00D41F46"/>
    <w:rsid w:val="00D42754"/>
    <w:rsid w:val="00D42A31"/>
    <w:rsid w:val="00D455A4"/>
    <w:rsid w:val="00D5265D"/>
    <w:rsid w:val="00D604E6"/>
    <w:rsid w:val="00D62E09"/>
    <w:rsid w:val="00D64101"/>
    <w:rsid w:val="00D64FFD"/>
    <w:rsid w:val="00D65474"/>
    <w:rsid w:val="00D67CE9"/>
    <w:rsid w:val="00D70AAA"/>
    <w:rsid w:val="00D71454"/>
    <w:rsid w:val="00D71684"/>
    <w:rsid w:val="00D767E6"/>
    <w:rsid w:val="00D76D7C"/>
    <w:rsid w:val="00D77A0C"/>
    <w:rsid w:val="00D8131B"/>
    <w:rsid w:val="00D8180A"/>
    <w:rsid w:val="00D81D94"/>
    <w:rsid w:val="00D8420C"/>
    <w:rsid w:val="00D84DE0"/>
    <w:rsid w:val="00D96FBA"/>
    <w:rsid w:val="00D97622"/>
    <w:rsid w:val="00DA1FCE"/>
    <w:rsid w:val="00DA239C"/>
    <w:rsid w:val="00DB3228"/>
    <w:rsid w:val="00DB3721"/>
    <w:rsid w:val="00DB3D04"/>
    <w:rsid w:val="00DC64F8"/>
    <w:rsid w:val="00DC72F1"/>
    <w:rsid w:val="00DD00BE"/>
    <w:rsid w:val="00DD02D4"/>
    <w:rsid w:val="00DD0953"/>
    <w:rsid w:val="00DD1CB9"/>
    <w:rsid w:val="00DD1F77"/>
    <w:rsid w:val="00DD2637"/>
    <w:rsid w:val="00DD2F35"/>
    <w:rsid w:val="00DD5986"/>
    <w:rsid w:val="00DD696D"/>
    <w:rsid w:val="00DE76B5"/>
    <w:rsid w:val="00DF0BB3"/>
    <w:rsid w:val="00DF2030"/>
    <w:rsid w:val="00DF3993"/>
    <w:rsid w:val="00DF6E16"/>
    <w:rsid w:val="00E00218"/>
    <w:rsid w:val="00E0029E"/>
    <w:rsid w:val="00E018E1"/>
    <w:rsid w:val="00E0333C"/>
    <w:rsid w:val="00E0484E"/>
    <w:rsid w:val="00E077DA"/>
    <w:rsid w:val="00E07AC4"/>
    <w:rsid w:val="00E10305"/>
    <w:rsid w:val="00E1062C"/>
    <w:rsid w:val="00E1136D"/>
    <w:rsid w:val="00E116BA"/>
    <w:rsid w:val="00E11D29"/>
    <w:rsid w:val="00E140A6"/>
    <w:rsid w:val="00E15447"/>
    <w:rsid w:val="00E15B7B"/>
    <w:rsid w:val="00E20773"/>
    <w:rsid w:val="00E2107F"/>
    <w:rsid w:val="00E23059"/>
    <w:rsid w:val="00E231E0"/>
    <w:rsid w:val="00E27E5A"/>
    <w:rsid w:val="00E30352"/>
    <w:rsid w:val="00E33146"/>
    <w:rsid w:val="00E37F50"/>
    <w:rsid w:val="00E40942"/>
    <w:rsid w:val="00E50E6F"/>
    <w:rsid w:val="00E539B3"/>
    <w:rsid w:val="00E55EC8"/>
    <w:rsid w:val="00E56469"/>
    <w:rsid w:val="00E56D02"/>
    <w:rsid w:val="00E57209"/>
    <w:rsid w:val="00E5727D"/>
    <w:rsid w:val="00E57FAB"/>
    <w:rsid w:val="00E713A7"/>
    <w:rsid w:val="00E72404"/>
    <w:rsid w:val="00E74A15"/>
    <w:rsid w:val="00E7553C"/>
    <w:rsid w:val="00E7567F"/>
    <w:rsid w:val="00E81F3E"/>
    <w:rsid w:val="00E834B0"/>
    <w:rsid w:val="00E85807"/>
    <w:rsid w:val="00E86211"/>
    <w:rsid w:val="00E86ACB"/>
    <w:rsid w:val="00E900E0"/>
    <w:rsid w:val="00E9122B"/>
    <w:rsid w:val="00E92209"/>
    <w:rsid w:val="00E93CFE"/>
    <w:rsid w:val="00E94399"/>
    <w:rsid w:val="00E953B9"/>
    <w:rsid w:val="00EA06FB"/>
    <w:rsid w:val="00EA0EBB"/>
    <w:rsid w:val="00EA1619"/>
    <w:rsid w:val="00EA49CE"/>
    <w:rsid w:val="00EA4CBA"/>
    <w:rsid w:val="00EA6CD3"/>
    <w:rsid w:val="00EA7EDF"/>
    <w:rsid w:val="00EB1612"/>
    <w:rsid w:val="00EB184B"/>
    <w:rsid w:val="00EC03E6"/>
    <w:rsid w:val="00EC218F"/>
    <w:rsid w:val="00EC3D51"/>
    <w:rsid w:val="00ED053C"/>
    <w:rsid w:val="00ED0911"/>
    <w:rsid w:val="00ED0A46"/>
    <w:rsid w:val="00ED18C9"/>
    <w:rsid w:val="00ED2979"/>
    <w:rsid w:val="00ED377A"/>
    <w:rsid w:val="00ED4255"/>
    <w:rsid w:val="00ED5CF7"/>
    <w:rsid w:val="00ED603E"/>
    <w:rsid w:val="00EE0244"/>
    <w:rsid w:val="00EE44FE"/>
    <w:rsid w:val="00EE4A54"/>
    <w:rsid w:val="00EE4C51"/>
    <w:rsid w:val="00EE61BD"/>
    <w:rsid w:val="00EE7BA0"/>
    <w:rsid w:val="00EF2696"/>
    <w:rsid w:val="00EF55B6"/>
    <w:rsid w:val="00F00E88"/>
    <w:rsid w:val="00F019FA"/>
    <w:rsid w:val="00F02EB7"/>
    <w:rsid w:val="00F0662E"/>
    <w:rsid w:val="00F066C5"/>
    <w:rsid w:val="00F06F21"/>
    <w:rsid w:val="00F12A88"/>
    <w:rsid w:val="00F15773"/>
    <w:rsid w:val="00F20489"/>
    <w:rsid w:val="00F30608"/>
    <w:rsid w:val="00F30A0A"/>
    <w:rsid w:val="00F32822"/>
    <w:rsid w:val="00F352DD"/>
    <w:rsid w:val="00F40762"/>
    <w:rsid w:val="00F40F20"/>
    <w:rsid w:val="00F418C2"/>
    <w:rsid w:val="00F42208"/>
    <w:rsid w:val="00F449A8"/>
    <w:rsid w:val="00F44B3E"/>
    <w:rsid w:val="00F45EAE"/>
    <w:rsid w:val="00F51164"/>
    <w:rsid w:val="00F522D4"/>
    <w:rsid w:val="00F53217"/>
    <w:rsid w:val="00F542FA"/>
    <w:rsid w:val="00F61989"/>
    <w:rsid w:val="00F64D33"/>
    <w:rsid w:val="00F652EB"/>
    <w:rsid w:val="00F65551"/>
    <w:rsid w:val="00F70443"/>
    <w:rsid w:val="00F7097D"/>
    <w:rsid w:val="00F716EF"/>
    <w:rsid w:val="00F773E1"/>
    <w:rsid w:val="00F77D50"/>
    <w:rsid w:val="00F81A0A"/>
    <w:rsid w:val="00F838F0"/>
    <w:rsid w:val="00F858D1"/>
    <w:rsid w:val="00F859FA"/>
    <w:rsid w:val="00F85A24"/>
    <w:rsid w:val="00F86B44"/>
    <w:rsid w:val="00F9016C"/>
    <w:rsid w:val="00F929ED"/>
    <w:rsid w:val="00F9305D"/>
    <w:rsid w:val="00F94D89"/>
    <w:rsid w:val="00F9522F"/>
    <w:rsid w:val="00F9767D"/>
    <w:rsid w:val="00FA2346"/>
    <w:rsid w:val="00FA3AB1"/>
    <w:rsid w:val="00FA4EC5"/>
    <w:rsid w:val="00FA5EE1"/>
    <w:rsid w:val="00FB1472"/>
    <w:rsid w:val="00FC3C7A"/>
    <w:rsid w:val="00FC6839"/>
    <w:rsid w:val="00FD01FC"/>
    <w:rsid w:val="00FD061B"/>
    <w:rsid w:val="00FD0BB0"/>
    <w:rsid w:val="00FD5F34"/>
    <w:rsid w:val="00FD5FEF"/>
    <w:rsid w:val="00FE2D33"/>
    <w:rsid w:val="00FE6FC3"/>
    <w:rsid w:val="00FE76B5"/>
    <w:rsid w:val="00FE76D2"/>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844A6C"/>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paragraph" w:customStyle="1" w:styleId="tvhtml">
    <w:name w:val="tv_html"/>
    <w:basedOn w:val="Normal"/>
    <w:rsid w:val="005B4B5F"/>
    <w:pPr>
      <w:spacing w:before="100" w:beforeAutospacing="1" w:after="100" w:afterAutospacing="1"/>
    </w:pPr>
    <w:rPr>
      <w:rFonts w:eastAsia="Times New Roman"/>
      <w:sz w:val="24"/>
      <w:szCs w:val="24"/>
      <w:lang w:val="lv-LV" w:eastAsia="lv-LV"/>
    </w:rPr>
  </w:style>
  <w:style w:type="paragraph" w:customStyle="1" w:styleId="doc-ti">
    <w:name w:val="doc-ti"/>
    <w:basedOn w:val="Normal"/>
    <w:rsid w:val="005C71A2"/>
    <w:pPr>
      <w:spacing w:before="100" w:beforeAutospacing="1" w:after="100" w:afterAutospacing="1"/>
    </w:pPr>
    <w:rPr>
      <w:rFonts w:eastAsia="Times New Roman"/>
      <w:sz w:val="24"/>
      <w:szCs w:val="24"/>
      <w:lang w:val="lv-LV" w:eastAsia="lv-LV"/>
    </w:rPr>
  </w:style>
  <w:style w:type="paragraph" w:customStyle="1" w:styleId="no-doc-c">
    <w:name w:val="no-doc-c"/>
    <w:basedOn w:val="Normal"/>
    <w:rsid w:val="005C71A2"/>
    <w:pPr>
      <w:spacing w:before="100" w:beforeAutospacing="1" w:after="100" w:afterAutospacing="1"/>
    </w:pPr>
    <w:rPr>
      <w:rFonts w:eastAsia="Times New Roman"/>
      <w:sz w:val="24"/>
      <w:szCs w:val="24"/>
      <w:lang w:val="lv-LV" w:eastAsia="lv-LV"/>
    </w:rPr>
  </w:style>
  <w:style w:type="table" w:styleId="PlainTable1">
    <w:name w:val="Plain Table 1"/>
    <w:basedOn w:val="TableNormal"/>
    <w:uiPriority w:val="41"/>
    <w:rsid w:val="002830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830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844A6C"/>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47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903">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8522940">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01000092">
      <w:bodyDiv w:val="1"/>
      <w:marLeft w:val="0"/>
      <w:marRight w:val="0"/>
      <w:marTop w:val="0"/>
      <w:marBottom w:val="0"/>
      <w:divBdr>
        <w:top w:val="none" w:sz="0" w:space="0" w:color="auto"/>
        <w:left w:val="none" w:sz="0" w:space="0" w:color="auto"/>
        <w:bottom w:val="none" w:sz="0" w:space="0" w:color="auto"/>
        <w:right w:val="none" w:sz="0" w:space="0" w:color="auto"/>
      </w:divBdr>
    </w:div>
    <w:div w:id="815999629">
      <w:bodyDiv w:val="1"/>
      <w:marLeft w:val="0"/>
      <w:marRight w:val="0"/>
      <w:marTop w:val="0"/>
      <w:marBottom w:val="0"/>
      <w:divBdr>
        <w:top w:val="none" w:sz="0" w:space="0" w:color="auto"/>
        <w:left w:val="none" w:sz="0" w:space="0" w:color="auto"/>
        <w:bottom w:val="none" w:sz="0" w:space="0" w:color="auto"/>
        <w:right w:val="none" w:sz="0" w:space="0" w:color="auto"/>
      </w:divBdr>
    </w:div>
    <w:div w:id="825973275">
      <w:bodyDiv w:val="1"/>
      <w:marLeft w:val="0"/>
      <w:marRight w:val="0"/>
      <w:marTop w:val="0"/>
      <w:marBottom w:val="0"/>
      <w:divBdr>
        <w:top w:val="none" w:sz="0" w:space="0" w:color="auto"/>
        <w:left w:val="none" w:sz="0" w:space="0" w:color="auto"/>
        <w:bottom w:val="none" w:sz="0" w:space="0" w:color="auto"/>
        <w:right w:val="none" w:sz="0" w:space="0" w:color="auto"/>
      </w:divBdr>
    </w:div>
    <w:div w:id="922841649">
      <w:bodyDiv w:val="1"/>
      <w:marLeft w:val="0"/>
      <w:marRight w:val="0"/>
      <w:marTop w:val="0"/>
      <w:marBottom w:val="0"/>
      <w:divBdr>
        <w:top w:val="none" w:sz="0" w:space="0" w:color="auto"/>
        <w:left w:val="none" w:sz="0" w:space="0" w:color="auto"/>
        <w:bottom w:val="none" w:sz="0" w:space="0" w:color="auto"/>
        <w:right w:val="none" w:sz="0" w:space="0" w:color="auto"/>
      </w:divBdr>
    </w:div>
    <w:div w:id="936519848">
      <w:bodyDiv w:val="1"/>
      <w:marLeft w:val="0"/>
      <w:marRight w:val="0"/>
      <w:marTop w:val="0"/>
      <w:marBottom w:val="0"/>
      <w:divBdr>
        <w:top w:val="none" w:sz="0" w:space="0" w:color="auto"/>
        <w:left w:val="none" w:sz="0" w:space="0" w:color="auto"/>
        <w:bottom w:val="none" w:sz="0" w:space="0" w:color="auto"/>
        <w:right w:val="none" w:sz="0" w:space="0" w:color="auto"/>
      </w:divBdr>
    </w:div>
    <w:div w:id="107744161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79022274">
      <w:bodyDiv w:val="1"/>
      <w:marLeft w:val="0"/>
      <w:marRight w:val="0"/>
      <w:marTop w:val="0"/>
      <w:marBottom w:val="0"/>
      <w:divBdr>
        <w:top w:val="none" w:sz="0" w:space="0" w:color="auto"/>
        <w:left w:val="none" w:sz="0" w:space="0" w:color="auto"/>
        <w:bottom w:val="none" w:sz="0" w:space="0" w:color="auto"/>
        <w:right w:val="none" w:sz="0" w:space="0" w:color="auto"/>
      </w:divBdr>
    </w:div>
    <w:div w:id="1294561877">
      <w:bodyDiv w:val="1"/>
      <w:marLeft w:val="0"/>
      <w:marRight w:val="0"/>
      <w:marTop w:val="0"/>
      <w:marBottom w:val="0"/>
      <w:divBdr>
        <w:top w:val="none" w:sz="0" w:space="0" w:color="auto"/>
        <w:left w:val="none" w:sz="0" w:space="0" w:color="auto"/>
        <w:bottom w:val="none" w:sz="0" w:space="0" w:color="auto"/>
        <w:right w:val="none" w:sz="0" w:space="0" w:color="auto"/>
      </w:divBdr>
    </w:div>
    <w:div w:id="1354841859">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6485280">
      <w:bodyDiv w:val="1"/>
      <w:marLeft w:val="0"/>
      <w:marRight w:val="0"/>
      <w:marTop w:val="0"/>
      <w:marBottom w:val="0"/>
      <w:divBdr>
        <w:top w:val="none" w:sz="0" w:space="0" w:color="auto"/>
        <w:left w:val="none" w:sz="0" w:space="0" w:color="auto"/>
        <w:bottom w:val="none" w:sz="0" w:space="0" w:color="auto"/>
        <w:right w:val="none" w:sz="0" w:space="0" w:color="auto"/>
      </w:divBdr>
    </w:div>
    <w:div w:id="1575118728">
      <w:bodyDiv w:val="1"/>
      <w:marLeft w:val="0"/>
      <w:marRight w:val="0"/>
      <w:marTop w:val="0"/>
      <w:marBottom w:val="0"/>
      <w:divBdr>
        <w:top w:val="none" w:sz="0" w:space="0" w:color="auto"/>
        <w:left w:val="none" w:sz="0" w:space="0" w:color="auto"/>
        <w:bottom w:val="none" w:sz="0" w:space="0" w:color="auto"/>
        <w:right w:val="none" w:sz="0" w:space="0" w:color="auto"/>
      </w:divBdr>
      <w:divsChild>
        <w:div w:id="1560093764">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32064246">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6773880">
      <w:bodyDiv w:val="1"/>
      <w:marLeft w:val="0"/>
      <w:marRight w:val="0"/>
      <w:marTop w:val="0"/>
      <w:marBottom w:val="0"/>
      <w:divBdr>
        <w:top w:val="none" w:sz="0" w:space="0" w:color="auto"/>
        <w:left w:val="none" w:sz="0" w:space="0" w:color="auto"/>
        <w:bottom w:val="none" w:sz="0" w:space="0" w:color="auto"/>
        <w:right w:val="none" w:sz="0" w:space="0" w:color="auto"/>
      </w:divBdr>
    </w:div>
    <w:div w:id="1872843452">
      <w:bodyDiv w:val="1"/>
      <w:marLeft w:val="0"/>
      <w:marRight w:val="0"/>
      <w:marTop w:val="0"/>
      <w:marBottom w:val="0"/>
      <w:divBdr>
        <w:top w:val="none" w:sz="0" w:space="0" w:color="auto"/>
        <w:left w:val="none" w:sz="0" w:space="0" w:color="auto"/>
        <w:bottom w:val="none" w:sz="0" w:space="0" w:color="auto"/>
        <w:right w:val="none" w:sz="0" w:space="0" w:color="auto"/>
      </w:divBdr>
    </w:div>
    <w:div w:id="1937401921">
      <w:bodyDiv w:val="1"/>
      <w:marLeft w:val="0"/>
      <w:marRight w:val="0"/>
      <w:marTop w:val="0"/>
      <w:marBottom w:val="0"/>
      <w:divBdr>
        <w:top w:val="none" w:sz="0" w:space="0" w:color="auto"/>
        <w:left w:val="none" w:sz="0" w:space="0" w:color="auto"/>
        <w:bottom w:val="none" w:sz="0" w:space="0" w:color="auto"/>
        <w:right w:val="none" w:sz="0" w:space="0" w:color="auto"/>
      </w:divBdr>
    </w:div>
    <w:div w:id="20522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ta.Tetere@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970E-D052-4F63-8BC2-0D677D36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9019</Words>
  <Characters>5141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10</cp:revision>
  <cp:lastPrinted>2019-12-03T13:26:00Z</cp:lastPrinted>
  <dcterms:created xsi:type="dcterms:W3CDTF">2020-10-27T06:15:00Z</dcterms:created>
  <dcterms:modified xsi:type="dcterms:W3CDTF">2020-11-16T11:12:00Z</dcterms:modified>
</cp:coreProperties>
</file>