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94FA5C" w14:textId="77777777" w:rsidR="00F405C9" w:rsidRDefault="00F405C9" w:rsidP="00F405C9">
      <w:pPr>
        <w:pStyle w:val="NoSpacing"/>
        <w:jc w:val="center"/>
        <w:rPr>
          <w:rFonts w:ascii="Times New Roman" w:hAnsi="Times New Roman" w:cs="Times New Roman"/>
          <w:b/>
          <w:bCs/>
          <w:lang w:eastAsia="lv-LV"/>
        </w:rPr>
      </w:pPr>
      <w:bookmarkStart w:id="0" w:name="OLE_LINK1"/>
      <w:bookmarkStart w:id="1" w:name="OLE_LINK2"/>
      <w:bookmarkStart w:id="2" w:name="OLE_LINK7"/>
      <w:bookmarkStart w:id="3" w:name="OLE_LINK8"/>
      <w:bookmarkStart w:id="4" w:name="OLE_LINK12"/>
      <w:bookmarkStart w:id="5" w:name="OLE_LINK9"/>
      <w:bookmarkStart w:id="6" w:name="OLE_LINK10"/>
      <w:r>
        <w:rPr>
          <w:rFonts w:ascii="Times New Roman" w:hAnsi="Times New Roman" w:cs="Times New Roman"/>
          <w:b/>
          <w:bCs/>
          <w:lang w:eastAsia="lv-LV"/>
        </w:rPr>
        <w:t>Izziņa par atzinumos sniegtajiem iebildumiem</w:t>
      </w:r>
      <w:bookmarkEnd w:id="0"/>
      <w:bookmarkEnd w:id="1"/>
    </w:p>
    <w:p w14:paraId="2E5561A2" w14:textId="77777777" w:rsidR="00F405C9" w:rsidRDefault="00F405C9" w:rsidP="00F405C9">
      <w:pPr>
        <w:spacing w:after="0" w:line="240" w:lineRule="auto"/>
        <w:rPr>
          <w:rFonts w:ascii="Times New Roman" w:eastAsia="Times New Roman" w:hAnsi="Times New Roman" w:cs="Times New Roman"/>
          <w:sz w:val="21"/>
          <w:szCs w:val="21"/>
          <w:lang w:eastAsia="lv-LV"/>
        </w:rPr>
      </w:pPr>
    </w:p>
    <w:bookmarkEnd w:id="2"/>
    <w:bookmarkEnd w:id="3"/>
    <w:bookmarkEnd w:id="4"/>
    <w:tbl>
      <w:tblPr>
        <w:tblW w:w="0" w:type="auto"/>
        <w:jc w:val="center"/>
        <w:tblLook w:val="00A0" w:firstRow="1" w:lastRow="0" w:firstColumn="1" w:lastColumn="0" w:noHBand="0" w:noVBand="0"/>
      </w:tblPr>
      <w:tblGrid>
        <w:gridCol w:w="13817"/>
      </w:tblGrid>
      <w:tr w:rsidR="00F405C9" w14:paraId="6B93C8C8" w14:textId="77777777" w:rsidTr="00F405C9">
        <w:trPr>
          <w:trHeight w:val="656"/>
          <w:jc w:val="center"/>
        </w:trPr>
        <w:tc>
          <w:tcPr>
            <w:tcW w:w="13817" w:type="dxa"/>
            <w:tcBorders>
              <w:top w:val="nil"/>
              <w:left w:val="nil"/>
              <w:bottom w:val="single" w:sz="6" w:space="0" w:color="000000"/>
              <w:right w:val="nil"/>
            </w:tcBorders>
          </w:tcPr>
          <w:p w14:paraId="1C8F3EE6" w14:textId="77777777" w:rsidR="00F405C9" w:rsidRDefault="00F405C9">
            <w:pPr>
              <w:spacing w:after="0" w:line="240" w:lineRule="auto"/>
              <w:rPr>
                <w:rFonts w:ascii="Times New Roman" w:eastAsia="Times New Roman" w:hAnsi="Times New Roman" w:cs="Times New Roman"/>
                <w:sz w:val="21"/>
                <w:szCs w:val="21"/>
                <w:lang w:eastAsia="lv-LV"/>
              </w:rPr>
            </w:pPr>
          </w:p>
          <w:p w14:paraId="3E6CB620" w14:textId="77777777" w:rsidR="00F405C9" w:rsidRDefault="00F405C9">
            <w:pPr>
              <w:spacing w:after="0" w:line="240" w:lineRule="auto"/>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Ministru kabineta noteikumu projektā "</w:t>
            </w:r>
            <w:r>
              <w:rPr>
                <w:rFonts w:ascii="Times New Roman" w:hAnsi="Times New Roman" w:cs="Times New Roman"/>
                <w:sz w:val="21"/>
                <w:szCs w:val="21"/>
              </w:rPr>
              <w:t>Grozījumi Ministru kabineta 2018. gada 16. janvāra noteikumos Nr. 38 “Darbības programmas “Izaugsme un nodarbinātība” 4.1.1. specifiskā atbalsta mērķa “Veicināt efektīvu energoresursu izmantošanu, enerģijas patēriņa samazināšanu un pāreju uz AER apstrādes rūpniecības nozarē” otrās projektu iesniegumu atlases kārtas īstenošanas noteikumi”” (turpmāk – Noteikumu projekts).</w:t>
            </w:r>
          </w:p>
        </w:tc>
      </w:tr>
    </w:tbl>
    <w:bookmarkEnd w:id="5"/>
    <w:bookmarkEnd w:id="6"/>
    <w:p w14:paraId="1F8A94B9" w14:textId="77777777" w:rsidR="00F405C9" w:rsidRDefault="00F405C9" w:rsidP="00F405C9">
      <w:pPr>
        <w:spacing w:after="0" w:line="240" w:lineRule="auto"/>
        <w:ind w:firstLine="1080"/>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(dokumenta veids un nosaukums)</w:t>
      </w:r>
    </w:p>
    <w:p w14:paraId="22783E9F" w14:textId="77777777" w:rsidR="00F405C9" w:rsidRDefault="00F405C9" w:rsidP="00F405C9">
      <w:pPr>
        <w:spacing w:after="0" w:line="240" w:lineRule="auto"/>
        <w:jc w:val="both"/>
        <w:rPr>
          <w:rFonts w:ascii="Times New Roman" w:eastAsia="Times New Roman" w:hAnsi="Times New Roman" w:cs="Times New Roman"/>
          <w:b/>
          <w:sz w:val="21"/>
          <w:szCs w:val="21"/>
          <w:lang w:eastAsia="lv-LV"/>
        </w:rPr>
      </w:pPr>
    </w:p>
    <w:p w14:paraId="7A072330" w14:textId="77777777" w:rsidR="00F405C9" w:rsidRDefault="00F405C9" w:rsidP="00F405C9">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t xml:space="preserve">Informācija par </w:t>
      </w:r>
      <w:proofErr w:type="spellStart"/>
      <w:r>
        <w:rPr>
          <w:rFonts w:ascii="Times New Roman" w:eastAsia="Times New Roman" w:hAnsi="Times New Roman" w:cs="Times New Roman"/>
          <w:b/>
          <w:sz w:val="21"/>
          <w:szCs w:val="21"/>
          <w:lang w:eastAsia="lv-LV"/>
        </w:rPr>
        <w:t>starpministriju</w:t>
      </w:r>
      <w:proofErr w:type="spellEnd"/>
      <w:r>
        <w:rPr>
          <w:rFonts w:ascii="Times New Roman" w:eastAsia="Times New Roman" w:hAnsi="Times New Roman" w:cs="Times New Roman"/>
          <w:b/>
          <w:sz w:val="21"/>
          <w:szCs w:val="21"/>
          <w:lang w:eastAsia="lv-LV"/>
        </w:rPr>
        <w:t xml:space="preserve"> (starpinstitūciju) sanāksmi vai elektronisko saskaņošanu</w:t>
      </w:r>
    </w:p>
    <w:p w14:paraId="7EDDE8F0" w14:textId="77777777" w:rsidR="00F405C9" w:rsidRDefault="00F405C9" w:rsidP="00F405C9">
      <w:pPr>
        <w:spacing w:after="0" w:line="240" w:lineRule="auto"/>
        <w:jc w:val="both"/>
        <w:rPr>
          <w:rFonts w:ascii="Times New Roman" w:eastAsia="Times New Roman" w:hAnsi="Times New Roman" w:cs="Times New Roman"/>
          <w:b/>
          <w:sz w:val="21"/>
          <w:szCs w:val="21"/>
          <w:lang w:eastAsia="lv-LV"/>
        </w:rPr>
      </w:pPr>
    </w:p>
    <w:tbl>
      <w:tblPr>
        <w:tblW w:w="15331" w:type="dxa"/>
        <w:tblLook w:val="00A0" w:firstRow="1" w:lastRow="0" w:firstColumn="1" w:lastColumn="0" w:noHBand="0" w:noVBand="0"/>
      </w:tblPr>
      <w:tblGrid>
        <w:gridCol w:w="8505"/>
        <w:gridCol w:w="1087"/>
        <w:gridCol w:w="4314"/>
        <w:gridCol w:w="1425"/>
      </w:tblGrid>
      <w:tr w:rsidR="00F405C9" w14:paraId="4EAF5028" w14:textId="77777777" w:rsidTr="00F405C9">
        <w:trPr>
          <w:gridAfter w:val="1"/>
          <w:wAfter w:w="1425" w:type="dxa"/>
        </w:trPr>
        <w:tc>
          <w:tcPr>
            <w:tcW w:w="8505" w:type="dxa"/>
            <w:hideMark/>
          </w:tcPr>
          <w:p w14:paraId="223E2CCF" w14:textId="77777777" w:rsidR="00F405C9" w:rsidRDefault="00F405C9">
            <w:pPr>
              <w:spacing w:after="0" w:line="240" w:lineRule="auto"/>
              <w:jc w:val="both"/>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Datums</w:t>
            </w:r>
          </w:p>
        </w:tc>
        <w:tc>
          <w:tcPr>
            <w:tcW w:w="5401" w:type="dxa"/>
            <w:gridSpan w:val="2"/>
            <w:tcBorders>
              <w:top w:val="nil"/>
              <w:left w:val="nil"/>
              <w:bottom w:val="single" w:sz="4" w:space="0" w:color="auto"/>
              <w:right w:val="nil"/>
            </w:tcBorders>
            <w:hideMark/>
          </w:tcPr>
          <w:p w14:paraId="4649D126" w14:textId="77777777" w:rsidR="00F405C9" w:rsidRDefault="00F405C9">
            <w:pPr>
              <w:spacing w:after="0" w:line="240" w:lineRule="auto"/>
              <w:ind w:firstLine="720"/>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11.11.2020. (</w:t>
            </w:r>
            <w:proofErr w:type="spellStart"/>
            <w:r>
              <w:rPr>
                <w:rFonts w:ascii="Times New Roman" w:eastAsia="Times New Roman" w:hAnsi="Times New Roman" w:cs="Times New Roman"/>
                <w:sz w:val="21"/>
                <w:szCs w:val="21"/>
                <w:lang w:eastAsia="lv-LV"/>
              </w:rPr>
              <w:t>ekektroniskā</w:t>
            </w:r>
            <w:proofErr w:type="spellEnd"/>
            <w:r>
              <w:rPr>
                <w:rFonts w:ascii="Times New Roman" w:eastAsia="Times New Roman" w:hAnsi="Times New Roman" w:cs="Times New Roman"/>
                <w:sz w:val="21"/>
                <w:szCs w:val="21"/>
                <w:lang w:eastAsia="lv-LV"/>
              </w:rPr>
              <w:t xml:space="preserve"> saskaņošana)</w:t>
            </w:r>
          </w:p>
          <w:p w14:paraId="18E97161" w14:textId="77777777" w:rsidR="00F405C9" w:rsidRDefault="00F405C9">
            <w:pPr>
              <w:spacing w:after="0" w:line="240" w:lineRule="auto"/>
              <w:ind w:firstLine="720"/>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17.11.2020. (</w:t>
            </w:r>
            <w:proofErr w:type="spellStart"/>
            <w:r>
              <w:rPr>
                <w:rFonts w:ascii="Times New Roman" w:eastAsia="Times New Roman" w:hAnsi="Times New Roman" w:cs="Times New Roman"/>
                <w:sz w:val="21"/>
                <w:szCs w:val="21"/>
                <w:lang w:eastAsia="lv-LV"/>
              </w:rPr>
              <w:t>ekektroniskā</w:t>
            </w:r>
            <w:proofErr w:type="spellEnd"/>
            <w:r>
              <w:rPr>
                <w:rFonts w:ascii="Times New Roman" w:eastAsia="Times New Roman" w:hAnsi="Times New Roman" w:cs="Times New Roman"/>
                <w:sz w:val="21"/>
                <w:szCs w:val="21"/>
                <w:lang w:eastAsia="lv-LV"/>
              </w:rPr>
              <w:t xml:space="preserve"> saskaņošana)</w:t>
            </w:r>
          </w:p>
        </w:tc>
      </w:tr>
      <w:tr w:rsidR="00F405C9" w14:paraId="42A8959D" w14:textId="77777777" w:rsidTr="00F405C9">
        <w:trPr>
          <w:gridAfter w:val="1"/>
          <w:wAfter w:w="1425" w:type="dxa"/>
        </w:trPr>
        <w:tc>
          <w:tcPr>
            <w:tcW w:w="8505" w:type="dxa"/>
          </w:tcPr>
          <w:p w14:paraId="36A2F808" w14:textId="77777777" w:rsidR="00F405C9" w:rsidRDefault="00F405C9">
            <w:pPr>
              <w:spacing w:after="0" w:line="240" w:lineRule="auto"/>
              <w:jc w:val="both"/>
              <w:rPr>
                <w:rFonts w:ascii="Times New Roman" w:eastAsia="Times New Roman" w:hAnsi="Times New Roman" w:cs="Times New Roman"/>
                <w:sz w:val="21"/>
                <w:szCs w:val="21"/>
                <w:lang w:eastAsia="lv-LV"/>
              </w:rPr>
            </w:pPr>
          </w:p>
        </w:tc>
        <w:tc>
          <w:tcPr>
            <w:tcW w:w="5401" w:type="dxa"/>
            <w:gridSpan w:val="2"/>
            <w:tcBorders>
              <w:top w:val="single" w:sz="4" w:space="0" w:color="auto"/>
              <w:left w:val="nil"/>
              <w:bottom w:val="nil"/>
              <w:right w:val="nil"/>
            </w:tcBorders>
          </w:tcPr>
          <w:p w14:paraId="25121B28" w14:textId="77777777" w:rsidR="00F405C9" w:rsidRDefault="00F405C9">
            <w:pPr>
              <w:spacing w:after="0" w:line="240" w:lineRule="auto"/>
              <w:ind w:firstLine="720"/>
              <w:rPr>
                <w:rFonts w:ascii="Times New Roman" w:eastAsia="Times New Roman" w:hAnsi="Times New Roman" w:cs="Times New Roman"/>
                <w:sz w:val="21"/>
                <w:szCs w:val="21"/>
                <w:lang w:eastAsia="lv-LV"/>
              </w:rPr>
            </w:pPr>
          </w:p>
        </w:tc>
      </w:tr>
      <w:tr w:rsidR="00F405C9" w14:paraId="3FE17866" w14:textId="77777777" w:rsidTr="00F405C9">
        <w:trPr>
          <w:gridAfter w:val="1"/>
          <w:wAfter w:w="1425" w:type="dxa"/>
        </w:trPr>
        <w:tc>
          <w:tcPr>
            <w:tcW w:w="8505" w:type="dxa"/>
            <w:hideMark/>
          </w:tcPr>
          <w:p w14:paraId="588077D5" w14:textId="77777777" w:rsidR="00F405C9" w:rsidRDefault="00F405C9">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Saskaņošanas dalībnieki</w:t>
            </w:r>
          </w:p>
        </w:tc>
        <w:tc>
          <w:tcPr>
            <w:tcW w:w="5401" w:type="dxa"/>
            <w:gridSpan w:val="2"/>
            <w:hideMark/>
          </w:tcPr>
          <w:p w14:paraId="53821160" w14:textId="77777777" w:rsidR="00F405C9" w:rsidRDefault="00F405C9">
            <w:pPr>
              <w:spacing w:after="0" w:line="240" w:lineRule="auto"/>
              <w:jc w:val="both"/>
              <w:rPr>
                <w:rFonts w:ascii="Times New Roman" w:hAnsi="Times New Roman" w:cs="Times New Roman"/>
                <w:sz w:val="21"/>
                <w:szCs w:val="21"/>
              </w:rPr>
            </w:pPr>
            <w:r>
              <w:rPr>
                <w:rFonts w:ascii="Times New Roman" w:eastAsia="Times New Roman" w:hAnsi="Times New Roman" w:cs="Times New Roman"/>
                <w:sz w:val="21"/>
                <w:szCs w:val="21"/>
                <w:lang w:eastAsia="lv-LV"/>
              </w:rPr>
              <w:t>Finanšu ministrija, Tieslietu ministrija</w:t>
            </w:r>
          </w:p>
        </w:tc>
      </w:tr>
      <w:tr w:rsidR="00F405C9" w14:paraId="4669226C" w14:textId="77777777" w:rsidTr="00F405C9">
        <w:trPr>
          <w:trHeight w:val="80"/>
        </w:trPr>
        <w:tc>
          <w:tcPr>
            <w:tcW w:w="8505" w:type="dxa"/>
          </w:tcPr>
          <w:p w14:paraId="47D4C9CE" w14:textId="77777777" w:rsidR="00F405C9" w:rsidRDefault="00F405C9">
            <w:pPr>
              <w:spacing w:after="0" w:line="240" w:lineRule="auto"/>
              <w:rPr>
                <w:rFonts w:ascii="Times New Roman" w:eastAsia="Times New Roman" w:hAnsi="Times New Roman" w:cs="Times New Roman"/>
                <w:sz w:val="21"/>
                <w:szCs w:val="21"/>
                <w:lang w:eastAsia="lv-LV"/>
              </w:rPr>
            </w:pPr>
          </w:p>
        </w:tc>
        <w:tc>
          <w:tcPr>
            <w:tcW w:w="1087" w:type="dxa"/>
          </w:tcPr>
          <w:p w14:paraId="494EBB21" w14:textId="77777777" w:rsidR="00F405C9" w:rsidRDefault="00F405C9">
            <w:pPr>
              <w:spacing w:after="0" w:line="240" w:lineRule="auto"/>
              <w:ind w:firstLine="720"/>
              <w:jc w:val="both"/>
              <w:rPr>
                <w:rFonts w:ascii="Times New Roman" w:eastAsia="Times New Roman" w:hAnsi="Times New Roman" w:cs="Times New Roman"/>
                <w:sz w:val="21"/>
                <w:szCs w:val="21"/>
                <w:lang w:eastAsia="lv-LV"/>
              </w:rPr>
            </w:pPr>
          </w:p>
        </w:tc>
        <w:tc>
          <w:tcPr>
            <w:tcW w:w="5739" w:type="dxa"/>
            <w:gridSpan w:val="2"/>
          </w:tcPr>
          <w:p w14:paraId="6C6DABEA" w14:textId="77777777" w:rsidR="00F405C9" w:rsidRDefault="00F405C9">
            <w:pPr>
              <w:spacing w:after="0" w:line="240" w:lineRule="auto"/>
              <w:ind w:firstLine="12"/>
              <w:jc w:val="both"/>
              <w:rPr>
                <w:rFonts w:ascii="Times New Roman" w:eastAsia="Times New Roman" w:hAnsi="Times New Roman" w:cs="Times New Roman"/>
                <w:sz w:val="21"/>
                <w:szCs w:val="21"/>
                <w:lang w:eastAsia="lv-LV"/>
              </w:rPr>
            </w:pPr>
          </w:p>
        </w:tc>
      </w:tr>
      <w:tr w:rsidR="00F405C9" w14:paraId="600BE917" w14:textId="77777777" w:rsidTr="00F405C9">
        <w:trPr>
          <w:trHeight w:val="501"/>
        </w:trPr>
        <w:tc>
          <w:tcPr>
            <w:tcW w:w="8505" w:type="dxa"/>
            <w:hideMark/>
          </w:tcPr>
          <w:p w14:paraId="4A5A7129" w14:textId="77777777" w:rsidR="00F405C9" w:rsidRDefault="00F405C9">
            <w:pPr>
              <w:spacing w:after="0" w:line="240" w:lineRule="auto"/>
              <w:jc w:val="both"/>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Saskaņošanas dalībnieki izskatīja šādu ministriju (citu institūciju) iebildumus</w:t>
            </w:r>
          </w:p>
        </w:tc>
        <w:tc>
          <w:tcPr>
            <w:tcW w:w="1087" w:type="dxa"/>
          </w:tcPr>
          <w:p w14:paraId="0AB40944" w14:textId="77777777" w:rsidR="00F405C9" w:rsidRDefault="00F405C9">
            <w:pPr>
              <w:spacing w:after="0" w:line="240" w:lineRule="auto"/>
              <w:ind w:firstLine="720"/>
              <w:jc w:val="both"/>
              <w:rPr>
                <w:rFonts w:ascii="Times New Roman" w:eastAsia="Times New Roman" w:hAnsi="Times New Roman" w:cs="Times New Roman"/>
                <w:sz w:val="21"/>
                <w:szCs w:val="21"/>
                <w:lang w:eastAsia="lv-LV"/>
              </w:rPr>
            </w:pPr>
          </w:p>
        </w:tc>
        <w:tc>
          <w:tcPr>
            <w:tcW w:w="5739" w:type="dxa"/>
            <w:gridSpan w:val="2"/>
            <w:hideMark/>
          </w:tcPr>
          <w:p w14:paraId="37D4213D" w14:textId="77777777" w:rsidR="00F405C9" w:rsidRDefault="00F405C9">
            <w:pPr>
              <w:rPr>
                <w:rFonts w:ascii="Times New Roman" w:eastAsia="Times New Roman" w:hAnsi="Times New Roman" w:cs="Times New Roman"/>
                <w:sz w:val="21"/>
                <w:szCs w:val="21"/>
                <w:lang w:eastAsia="lv-LV"/>
              </w:rPr>
            </w:pPr>
          </w:p>
        </w:tc>
      </w:tr>
      <w:tr w:rsidR="00F405C9" w14:paraId="5F424223" w14:textId="77777777" w:rsidTr="00F405C9">
        <w:trPr>
          <w:gridAfter w:val="1"/>
          <w:wAfter w:w="1425" w:type="dxa"/>
          <w:trHeight w:val="679"/>
        </w:trPr>
        <w:tc>
          <w:tcPr>
            <w:tcW w:w="8505" w:type="dxa"/>
            <w:hideMark/>
          </w:tcPr>
          <w:p w14:paraId="43F9FF95" w14:textId="77777777" w:rsidR="00F405C9" w:rsidRDefault="00F405C9">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Ministrijas (citas institūcijas), kuras nav ieradušās uz sanāksmi vai kuras nav atbildējušas uz uzaicinājumu piedalīties elektroniskajā saskaņošanā</w:t>
            </w:r>
          </w:p>
        </w:tc>
        <w:tc>
          <w:tcPr>
            <w:tcW w:w="5401" w:type="dxa"/>
            <w:gridSpan w:val="2"/>
            <w:hideMark/>
          </w:tcPr>
          <w:p w14:paraId="68CEC401" w14:textId="77777777" w:rsidR="00F405C9" w:rsidRDefault="00F405C9">
            <w:pPr>
              <w:spacing w:after="0" w:line="240" w:lineRule="auto"/>
              <w:ind w:firstLine="720"/>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w:t>
            </w:r>
          </w:p>
        </w:tc>
      </w:tr>
    </w:tbl>
    <w:p w14:paraId="0BF02883" w14:textId="77777777" w:rsidR="00F405C9" w:rsidRDefault="00F405C9" w:rsidP="00F405C9">
      <w:pPr>
        <w:pStyle w:val="naisf"/>
        <w:spacing w:before="0" w:after="0"/>
        <w:ind w:left="360" w:firstLine="0"/>
        <w:jc w:val="center"/>
        <w:rPr>
          <w:b/>
          <w:sz w:val="21"/>
          <w:szCs w:val="21"/>
        </w:rPr>
      </w:pPr>
      <w:r>
        <w:rPr>
          <w:b/>
          <w:sz w:val="21"/>
          <w:szCs w:val="21"/>
        </w:rPr>
        <w:t>II Jautājumi, par kuriem saskaņošanā vienošanās ir panākta</w:t>
      </w:r>
    </w:p>
    <w:tbl>
      <w:tblPr>
        <w:tblW w:w="4400" w:type="pct"/>
        <w:tblInd w:w="-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733"/>
        <w:gridCol w:w="2092"/>
        <w:gridCol w:w="116"/>
        <w:gridCol w:w="4306"/>
        <w:gridCol w:w="1304"/>
        <w:gridCol w:w="1537"/>
        <w:gridCol w:w="2852"/>
      </w:tblGrid>
      <w:tr w:rsidR="00F405C9" w14:paraId="0FDE2572" w14:textId="77777777" w:rsidTr="00F405C9">
        <w:trPr>
          <w:trHeight w:val="140"/>
        </w:trPr>
        <w:tc>
          <w:tcPr>
            <w:tcW w:w="283" w:type="pct"/>
            <w:tcBorders>
              <w:top w:val="single" w:sz="6" w:space="0" w:color="000000"/>
              <w:left w:val="single" w:sz="6" w:space="0" w:color="000000"/>
              <w:bottom w:val="single" w:sz="6" w:space="0" w:color="000000"/>
              <w:right w:val="single" w:sz="6" w:space="0" w:color="000000"/>
            </w:tcBorders>
            <w:vAlign w:val="center"/>
            <w:hideMark/>
          </w:tcPr>
          <w:p w14:paraId="174EDD5E" w14:textId="77777777" w:rsidR="00F405C9" w:rsidRDefault="00F405C9">
            <w:pPr>
              <w:spacing w:after="0" w:line="240" w:lineRule="auto"/>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Nr. p.k.</w:t>
            </w:r>
          </w:p>
        </w:tc>
        <w:tc>
          <w:tcPr>
            <w:tcW w:w="853" w:type="pct"/>
            <w:gridSpan w:val="2"/>
            <w:tcBorders>
              <w:top w:val="single" w:sz="6" w:space="0" w:color="000000"/>
              <w:left w:val="single" w:sz="6" w:space="0" w:color="000000"/>
              <w:bottom w:val="single" w:sz="6" w:space="0" w:color="000000"/>
              <w:right w:val="single" w:sz="6" w:space="0" w:color="000000"/>
            </w:tcBorders>
            <w:vAlign w:val="center"/>
            <w:hideMark/>
          </w:tcPr>
          <w:p w14:paraId="478F2655" w14:textId="77777777" w:rsidR="00F405C9" w:rsidRDefault="00F405C9">
            <w:pPr>
              <w:spacing w:after="0" w:line="240" w:lineRule="auto"/>
              <w:ind w:firstLine="12"/>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Saskaņošanai nosūtītā projekta redakcija (konkrēta punkta (panta) redakcija)</w:t>
            </w:r>
          </w:p>
        </w:tc>
        <w:tc>
          <w:tcPr>
            <w:tcW w:w="1664" w:type="pct"/>
            <w:tcBorders>
              <w:top w:val="single" w:sz="6" w:space="0" w:color="000000"/>
              <w:left w:val="single" w:sz="6" w:space="0" w:color="000000"/>
              <w:bottom w:val="single" w:sz="6" w:space="0" w:color="000000"/>
              <w:right w:val="single" w:sz="6" w:space="0" w:color="000000"/>
            </w:tcBorders>
            <w:vAlign w:val="center"/>
            <w:hideMark/>
          </w:tcPr>
          <w:p w14:paraId="59BE53C8" w14:textId="77777777" w:rsidR="00F405C9" w:rsidRDefault="00F405C9">
            <w:pPr>
              <w:spacing w:after="0" w:line="240" w:lineRule="auto"/>
              <w:ind w:right="3"/>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Atzinumā norādītais ministrijas (citas institūcijas) iebildums, kā arī saskaņošanā papildus izteiktais iebildums par projekta konkrēto punktu (pantu)</w:t>
            </w:r>
          </w:p>
        </w:tc>
        <w:tc>
          <w:tcPr>
            <w:tcW w:w="1098" w:type="pct"/>
            <w:gridSpan w:val="2"/>
            <w:tcBorders>
              <w:top w:val="single" w:sz="6" w:space="0" w:color="000000"/>
              <w:left w:val="single" w:sz="6" w:space="0" w:color="000000"/>
              <w:bottom w:val="single" w:sz="6" w:space="0" w:color="000000"/>
              <w:right w:val="single" w:sz="6" w:space="0" w:color="000000"/>
            </w:tcBorders>
            <w:vAlign w:val="center"/>
            <w:hideMark/>
          </w:tcPr>
          <w:p w14:paraId="75A115BE" w14:textId="77777777" w:rsidR="00F405C9" w:rsidRDefault="00F405C9">
            <w:pPr>
              <w:spacing w:after="0" w:line="240" w:lineRule="auto"/>
              <w:ind w:firstLine="21"/>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Atbildīgās ministrijas norāde par to, ka iebildums ir ņemts vērā, vai informācija par saskaņošanā panākto alternatīvo risinājumu</w:t>
            </w:r>
          </w:p>
        </w:tc>
        <w:tc>
          <w:tcPr>
            <w:tcW w:w="1099" w:type="pct"/>
            <w:tcBorders>
              <w:top w:val="single" w:sz="4" w:space="0" w:color="auto"/>
              <w:left w:val="single" w:sz="4" w:space="0" w:color="auto"/>
              <w:bottom w:val="single" w:sz="4" w:space="0" w:color="auto"/>
              <w:right w:val="single" w:sz="4" w:space="0" w:color="auto"/>
            </w:tcBorders>
            <w:vAlign w:val="center"/>
            <w:hideMark/>
          </w:tcPr>
          <w:p w14:paraId="3FCBFE0E" w14:textId="77777777" w:rsidR="00F405C9" w:rsidRDefault="00F405C9">
            <w:pPr>
              <w:spacing w:after="0" w:line="240" w:lineRule="auto"/>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Projekta attiecīgā punkta (panta) galīgā redakcija</w:t>
            </w:r>
          </w:p>
        </w:tc>
      </w:tr>
      <w:tr w:rsidR="00F405C9" w14:paraId="34D7DF1A" w14:textId="77777777" w:rsidTr="00F405C9">
        <w:trPr>
          <w:trHeight w:val="140"/>
        </w:trPr>
        <w:tc>
          <w:tcPr>
            <w:tcW w:w="283" w:type="pct"/>
            <w:tcBorders>
              <w:top w:val="single" w:sz="6" w:space="0" w:color="000000"/>
              <w:left w:val="single" w:sz="6" w:space="0" w:color="000000"/>
              <w:bottom w:val="single" w:sz="6" w:space="0" w:color="000000"/>
              <w:right w:val="single" w:sz="6" w:space="0" w:color="000000"/>
            </w:tcBorders>
            <w:hideMark/>
          </w:tcPr>
          <w:p w14:paraId="584F4F65" w14:textId="77777777" w:rsidR="00F405C9" w:rsidRDefault="00F405C9">
            <w:pPr>
              <w:spacing w:after="0" w:line="240" w:lineRule="auto"/>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1</w:t>
            </w:r>
          </w:p>
        </w:tc>
        <w:tc>
          <w:tcPr>
            <w:tcW w:w="853" w:type="pct"/>
            <w:gridSpan w:val="2"/>
            <w:tcBorders>
              <w:top w:val="single" w:sz="6" w:space="0" w:color="000000"/>
              <w:left w:val="single" w:sz="6" w:space="0" w:color="000000"/>
              <w:bottom w:val="single" w:sz="6" w:space="0" w:color="000000"/>
              <w:right w:val="single" w:sz="6" w:space="0" w:color="000000"/>
            </w:tcBorders>
            <w:hideMark/>
          </w:tcPr>
          <w:p w14:paraId="75A5AC61" w14:textId="77777777" w:rsidR="00F405C9" w:rsidRDefault="00F405C9">
            <w:pPr>
              <w:spacing w:after="0" w:line="240" w:lineRule="auto"/>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2</w:t>
            </w:r>
          </w:p>
        </w:tc>
        <w:tc>
          <w:tcPr>
            <w:tcW w:w="1664" w:type="pct"/>
            <w:tcBorders>
              <w:top w:val="single" w:sz="6" w:space="0" w:color="000000"/>
              <w:left w:val="single" w:sz="6" w:space="0" w:color="000000"/>
              <w:bottom w:val="single" w:sz="6" w:space="0" w:color="000000"/>
              <w:right w:val="single" w:sz="6" w:space="0" w:color="000000"/>
            </w:tcBorders>
            <w:hideMark/>
          </w:tcPr>
          <w:p w14:paraId="6FD30B82" w14:textId="77777777" w:rsidR="00F405C9" w:rsidRDefault="00F405C9">
            <w:pPr>
              <w:spacing w:after="0" w:line="240" w:lineRule="auto"/>
              <w:ind w:firstLine="35"/>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3</w:t>
            </w:r>
          </w:p>
        </w:tc>
        <w:tc>
          <w:tcPr>
            <w:tcW w:w="1098" w:type="pct"/>
            <w:gridSpan w:val="2"/>
            <w:tcBorders>
              <w:top w:val="single" w:sz="6" w:space="0" w:color="000000"/>
              <w:left w:val="single" w:sz="6" w:space="0" w:color="000000"/>
              <w:bottom w:val="single" w:sz="6" w:space="0" w:color="000000"/>
              <w:right w:val="single" w:sz="6" w:space="0" w:color="000000"/>
            </w:tcBorders>
            <w:hideMark/>
          </w:tcPr>
          <w:p w14:paraId="0E6D6740" w14:textId="77777777" w:rsidR="00F405C9" w:rsidRDefault="00F405C9">
            <w:pPr>
              <w:spacing w:after="0" w:line="240" w:lineRule="auto"/>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4</w:t>
            </w:r>
          </w:p>
        </w:tc>
        <w:tc>
          <w:tcPr>
            <w:tcW w:w="1099" w:type="pct"/>
            <w:tcBorders>
              <w:top w:val="single" w:sz="4" w:space="0" w:color="auto"/>
              <w:left w:val="single" w:sz="4" w:space="0" w:color="auto"/>
              <w:bottom w:val="single" w:sz="4" w:space="0" w:color="auto"/>
              <w:right w:val="single" w:sz="4" w:space="0" w:color="auto"/>
            </w:tcBorders>
            <w:hideMark/>
          </w:tcPr>
          <w:p w14:paraId="161EC0D1" w14:textId="77777777" w:rsidR="00F405C9" w:rsidRDefault="00F405C9">
            <w:pPr>
              <w:spacing w:after="0" w:line="240" w:lineRule="auto"/>
              <w:jc w:val="center"/>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5</w:t>
            </w:r>
          </w:p>
        </w:tc>
      </w:tr>
      <w:tr w:rsidR="00F405C9" w14:paraId="0A11B85B" w14:textId="77777777" w:rsidTr="00F405C9">
        <w:trPr>
          <w:trHeight w:val="140"/>
        </w:trPr>
        <w:tc>
          <w:tcPr>
            <w:tcW w:w="283" w:type="pct"/>
            <w:tcBorders>
              <w:top w:val="single" w:sz="6" w:space="0" w:color="000000"/>
              <w:left w:val="single" w:sz="6" w:space="0" w:color="000000"/>
              <w:bottom w:val="single" w:sz="6" w:space="0" w:color="000000"/>
              <w:right w:val="single" w:sz="6" w:space="0" w:color="000000"/>
            </w:tcBorders>
          </w:tcPr>
          <w:p w14:paraId="5896C5BB" w14:textId="77777777" w:rsidR="00F405C9" w:rsidRDefault="00F405C9" w:rsidP="00F405C9">
            <w:pPr>
              <w:pStyle w:val="ListParagraph"/>
              <w:numPr>
                <w:ilvl w:val="0"/>
                <w:numId w:val="12"/>
              </w:numPr>
              <w:spacing w:after="0" w:line="240" w:lineRule="auto"/>
              <w:rPr>
                <w:lang w:eastAsia="lv-LV"/>
              </w:rPr>
            </w:pPr>
          </w:p>
        </w:tc>
        <w:tc>
          <w:tcPr>
            <w:tcW w:w="853" w:type="pct"/>
            <w:gridSpan w:val="2"/>
            <w:tcBorders>
              <w:top w:val="single" w:sz="6" w:space="0" w:color="000000"/>
              <w:left w:val="single" w:sz="6" w:space="0" w:color="000000"/>
              <w:bottom w:val="single" w:sz="6" w:space="0" w:color="000000"/>
              <w:right w:val="single" w:sz="6" w:space="0" w:color="000000"/>
            </w:tcBorders>
            <w:hideMark/>
          </w:tcPr>
          <w:p w14:paraId="2B2C763E" w14:textId="77777777" w:rsidR="00F405C9" w:rsidRDefault="00F405C9">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b/>
                <w:bCs/>
                <w:sz w:val="21"/>
                <w:szCs w:val="21"/>
                <w:lang w:eastAsia="lv-LV"/>
              </w:rPr>
              <w:t>Anotācija</w:t>
            </w:r>
          </w:p>
        </w:tc>
        <w:tc>
          <w:tcPr>
            <w:tcW w:w="1664" w:type="pct"/>
            <w:tcBorders>
              <w:top w:val="single" w:sz="6" w:space="0" w:color="000000"/>
              <w:left w:val="single" w:sz="6" w:space="0" w:color="000000"/>
              <w:bottom w:val="single" w:sz="6" w:space="0" w:color="000000"/>
              <w:right w:val="single" w:sz="6" w:space="0" w:color="000000"/>
            </w:tcBorders>
            <w:hideMark/>
          </w:tcPr>
          <w:p w14:paraId="63C10429" w14:textId="77777777" w:rsidR="00F405C9" w:rsidRDefault="00F405C9">
            <w:pPr>
              <w:spacing w:after="0" w:line="240" w:lineRule="auto"/>
              <w:jc w:val="both"/>
              <w:rPr>
                <w:rFonts w:ascii="Times New Roman" w:hAnsi="Times New Roman" w:cs="Times New Roman"/>
                <w:b/>
                <w:bCs/>
                <w:sz w:val="21"/>
                <w:szCs w:val="21"/>
              </w:rPr>
            </w:pPr>
            <w:r>
              <w:rPr>
                <w:rFonts w:ascii="Times New Roman" w:hAnsi="Times New Roman" w:cs="Times New Roman"/>
                <w:b/>
                <w:bCs/>
                <w:sz w:val="21"/>
                <w:szCs w:val="21"/>
              </w:rPr>
              <w:t>Finanšu ministrijas 16.11.2020. atzinuma Nr. 12/A-21/6038 iebildums:</w:t>
            </w:r>
          </w:p>
          <w:p w14:paraId="7EC9785A" w14:textId="77777777" w:rsidR="00F405C9" w:rsidRDefault="00F405C9">
            <w:pPr>
              <w:spacing w:after="0" w:line="240" w:lineRule="auto"/>
              <w:jc w:val="both"/>
              <w:rPr>
                <w:rFonts w:ascii="Times New Roman" w:hAnsi="Times New Roman" w:cs="Times New Roman"/>
                <w:sz w:val="21"/>
                <w:szCs w:val="21"/>
              </w:rPr>
            </w:pPr>
            <w:r>
              <w:rPr>
                <w:rFonts w:ascii="Times New Roman" w:hAnsi="Times New Roman" w:cs="Times New Roman"/>
                <w:sz w:val="21"/>
                <w:szCs w:val="21"/>
              </w:rPr>
              <w:t xml:space="preserve">Ņemot vērā, ka </w:t>
            </w:r>
            <w:r>
              <w:rPr>
                <w:rFonts w:ascii="Times New Roman" w:eastAsia="Times New Roman" w:hAnsi="Times New Roman" w:cs="Times New Roman"/>
                <w:color w:val="000000"/>
                <w:sz w:val="21"/>
                <w:szCs w:val="21"/>
                <w:lang w:eastAsia="en-GB"/>
              </w:rPr>
              <w:t>Ministru kabineta 2016.</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gada 6.</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septembra noteikumu Nr.</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 xml:space="preserve">590 </w:t>
            </w:r>
            <w:r>
              <w:rPr>
                <w:rFonts w:ascii="Times New Roman" w:eastAsia="Times New Roman" w:hAnsi="Times New Roman" w:cs="Times New Roman"/>
                <w:sz w:val="21"/>
                <w:szCs w:val="21"/>
                <w:lang w:eastAsia="en-GB"/>
              </w:rPr>
              <w:t>"</w:t>
            </w:r>
            <w:r>
              <w:rPr>
                <w:rFonts w:ascii="Times New Roman" w:eastAsia="Times New Roman" w:hAnsi="Times New Roman" w:cs="Times New Roman"/>
                <w:color w:val="000000"/>
                <w:sz w:val="21"/>
                <w:szCs w:val="21"/>
                <w:lang w:eastAsia="en-GB"/>
              </w:rPr>
              <w:t xml:space="preserve">Darbības programmas </w:t>
            </w:r>
            <w:r>
              <w:rPr>
                <w:rFonts w:ascii="Times New Roman" w:eastAsia="Times New Roman" w:hAnsi="Times New Roman" w:cs="Times New Roman"/>
                <w:sz w:val="21"/>
                <w:szCs w:val="21"/>
                <w:lang w:eastAsia="en-GB"/>
              </w:rPr>
              <w:t>"</w:t>
            </w:r>
            <w:r>
              <w:rPr>
                <w:rFonts w:ascii="Times New Roman" w:eastAsia="Times New Roman" w:hAnsi="Times New Roman" w:cs="Times New Roman"/>
                <w:color w:val="000000"/>
                <w:sz w:val="21"/>
                <w:szCs w:val="21"/>
                <w:lang w:eastAsia="en-GB"/>
              </w:rPr>
              <w:t>Izaugsme un nodarbinātība</w:t>
            </w:r>
            <w:r>
              <w:rPr>
                <w:rFonts w:ascii="Times New Roman" w:eastAsia="Times New Roman" w:hAnsi="Times New Roman" w:cs="Times New Roman"/>
                <w:sz w:val="21"/>
                <w:szCs w:val="21"/>
                <w:lang w:eastAsia="en-GB"/>
              </w:rPr>
              <w:t>"</w:t>
            </w:r>
            <w:r>
              <w:rPr>
                <w:rFonts w:ascii="Times New Roman" w:eastAsia="Times New Roman" w:hAnsi="Times New Roman" w:cs="Times New Roman"/>
                <w:color w:val="000000"/>
                <w:sz w:val="21"/>
                <w:szCs w:val="21"/>
                <w:lang w:eastAsia="en-GB"/>
              </w:rPr>
              <w:t xml:space="preserve"> 4.1.1.</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 xml:space="preserve">specifiskā atbalsta mērķa </w:t>
            </w:r>
            <w:r>
              <w:rPr>
                <w:rFonts w:ascii="Times New Roman" w:eastAsia="Times New Roman" w:hAnsi="Times New Roman" w:cs="Times New Roman"/>
                <w:sz w:val="21"/>
                <w:szCs w:val="21"/>
                <w:lang w:eastAsia="en-GB"/>
              </w:rPr>
              <w:t>"</w:t>
            </w:r>
            <w:r>
              <w:rPr>
                <w:rFonts w:ascii="Times New Roman" w:eastAsia="Times New Roman" w:hAnsi="Times New Roman" w:cs="Times New Roman"/>
                <w:color w:val="000000"/>
                <w:sz w:val="21"/>
                <w:szCs w:val="21"/>
                <w:lang w:eastAsia="en-GB"/>
              </w:rPr>
              <w:t>Veicināt efektīvu energoresursu izmantošanu, enerģijas patēriņa samazināšanu un pāreju uz AER apstrādes rūpniec</w:t>
            </w:r>
            <w:bookmarkStart w:id="7" w:name="_GoBack"/>
            <w:bookmarkEnd w:id="7"/>
            <w:r>
              <w:rPr>
                <w:rFonts w:ascii="Times New Roman" w:eastAsia="Times New Roman" w:hAnsi="Times New Roman" w:cs="Times New Roman"/>
                <w:color w:val="000000"/>
                <w:sz w:val="21"/>
                <w:szCs w:val="21"/>
                <w:lang w:eastAsia="en-GB"/>
              </w:rPr>
              <w:t>ības nozarē</w:t>
            </w:r>
            <w:r>
              <w:rPr>
                <w:rFonts w:ascii="Times New Roman" w:eastAsia="Times New Roman" w:hAnsi="Times New Roman" w:cs="Times New Roman"/>
                <w:sz w:val="21"/>
                <w:szCs w:val="21"/>
                <w:lang w:eastAsia="en-GB"/>
              </w:rPr>
              <w:t>"</w:t>
            </w:r>
            <w:r>
              <w:rPr>
                <w:rFonts w:ascii="Times New Roman" w:eastAsia="Times New Roman" w:hAnsi="Times New Roman" w:cs="Times New Roman"/>
                <w:color w:val="000000"/>
                <w:sz w:val="21"/>
                <w:szCs w:val="21"/>
                <w:lang w:eastAsia="en-GB"/>
              </w:rPr>
              <w:t xml:space="preserve"> pirmās projektu iesniegumu atlases kārtas īstenošanas noteikumi</w:t>
            </w:r>
            <w:r>
              <w:rPr>
                <w:rFonts w:ascii="Times New Roman" w:eastAsia="Times New Roman" w:hAnsi="Times New Roman" w:cs="Times New Roman"/>
                <w:sz w:val="21"/>
                <w:szCs w:val="21"/>
                <w:lang w:eastAsia="en-GB"/>
              </w:rPr>
              <w:t xml:space="preserve">" </w:t>
            </w:r>
            <w:r>
              <w:rPr>
                <w:rFonts w:ascii="Times New Roman" w:eastAsia="Times New Roman" w:hAnsi="Times New Roman" w:cs="Times New Roman"/>
                <w:color w:val="000000"/>
                <w:sz w:val="21"/>
                <w:szCs w:val="21"/>
                <w:lang w:eastAsia="en-GB"/>
              </w:rPr>
              <w:t xml:space="preserve">(turpmāk – </w:t>
            </w:r>
            <w:r>
              <w:rPr>
                <w:rFonts w:ascii="Times New Roman" w:hAnsi="Times New Roman" w:cs="Times New Roman"/>
                <w:sz w:val="21"/>
                <w:szCs w:val="21"/>
              </w:rPr>
              <w:t xml:space="preserve">MK noteikumi Nr.590), </w:t>
            </w:r>
            <w:r>
              <w:rPr>
                <w:rFonts w:ascii="Times New Roman" w:eastAsia="Times New Roman" w:hAnsi="Times New Roman" w:cs="Times New Roman"/>
                <w:color w:val="000000"/>
                <w:sz w:val="21"/>
                <w:szCs w:val="21"/>
                <w:u w:val="single"/>
                <w:lang w:eastAsia="en-GB"/>
              </w:rPr>
              <w:t>Ministru kabineta 2018.</w:t>
            </w:r>
            <w:r>
              <w:rPr>
                <w:rFonts w:ascii="Times New Roman" w:eastAsia="Times New Roman" w:hAnsi="Times New Roman" w:cs="Times New Roman"/>
                <w:sz w:val="21"/>
                <w:szCs w:val="21"/>
                <w:u w:val="single"/>
                <w:lang w:eastAsia="en-GB"/>
              </w:rPr>
              <w:t> </w:t>
            </w:r>
            <w:r>
              <w:rPr>
                <w:rFonts w:ascii="Times New Roman" w:eastAsia="Times New Roman" w:hAnsi="Times New Roman" w:cs="Times New Roman"/>
                <w:color w:val="000000"/>
                <w:sz w:val="21"/>
                <w:szCs w:val="21"/>
                <w:u w:val="single"/>
                <w:lang w:eastAsia="en-GB"/>
              </w:rPr>
              <w:t>gada 16.</w:t>
            </w:r>
            <w:r>
              <w:rPr>
                <w:rFonts w:ascii="Times New Roman" w:eastAsia="Times New Roman" w:hAnsi="Times New Roman" w:cs="Times New Roman"/>
                <w:sz w:val="21"/>
                <w:szCs w:val="21"/>
                <w:u w:val="single"/>
                <w:lang w:eastAsia="en-GB"/>
              </w:rPr>
              <w:t> </w:t>
            </w:r>
            <w:r>
              <w:rPr>
                <w:rFonts w:ascii="Times New Roman" w:eastAsia="Times New Roman" w:hAnsi="Times New Roman" w:cs="Times New Roman"/>
                <w:color w:val="000000"/>
                <w:sz w:val="21"/>
                <w:szCs w:val="21"/>
                <w:u w:val="single"/>
                <w:lang w:eastAsia="en-GB"/>
              </w:rPr>
              <w:t>janvāra noteikumu Nr.</w:t>
            </w:r>
            <w:r>
              <w:rPr>
                <w:rFonts w:ascii="Times New Roman" w:eastAsia="Times New Roman" w:hAnsi="Times New Roman" w:cs="Times New Roman"/>
                <w:sz w:val="21"/>
                <w:szCs w:val="21"/>
                <w:u w:val="single"/>
                <w:lang w:eastAsia="en-GB"/>
              </w:rPr>
              <w:t> </w:t>
            </w:r>
            <w:r>
              <w:rPr>
                <w:rFonts w:ascii="Times New Roman" w:eastAsia="Times New Roman" w:hAnsi="Times New Roman" w:cs="Times New Roman"/>
                <w:b/>
                <w:bCs/>
                <w:color w:val="000000"/>
                <w:sz w:val="21"/>
                <w:szCs w:val="21"/>
                <w:u w:val="single"/>
                <w:lang w:eastAsia="en-GB"/>
              </w:rPr>
              <w:t>38</w:t>
            </w:r>
            <w:r>
              <w:rPr>
                <w:rFonts w:ascii="Times New Roman" w:eastAsia="Times New Roman" w:hAnsi="Times New Roman" w:cs="Times New Roman"/>
                <w:color w:val="000000"/>
                <w:sz w:val="21"/>
                <w:szCs w:val="21"/>
                <w:u w:val="single"/>
                <w:lang w:eastAsia="en-GB"/>
              </w:rPr>
              <w:t xml:space="preserve"> </w:t>
            </w:r>
            <w:r>
              <w:rPr>
                <w:rFonts w:ascii="Times New Roman" w:eastAsia="Times New Roman" w:hAnsi="Times New Roman" w:cs="Times New Roman"/>
                <w:sz w:val="21"/>
                <w:szCs w:val="21"/>
                <w:u w:val="single"/>
                <w:lang w:eastAsia="en-GB"/>
              </w:rPr>
              <w:t>"</w:t>
            </w:r>
            <w:r>
              <w:rPr>
                <w:rFonts w:ascii="Times New Roman" w:eastAsia="Times New Roman" w:hAnsi="Times New Roman" w:cs="Times New Roman"/>
                <w:color w:val="000000"/>
                <w:sz w:val="21"/>
                <w:szCs w:val="21"/>
                <w:u w:val="single"/>
                <w:lang w:eastAsia="en-GB"/>
              </w:rPr>
              <w:t xml:space="preserve">Darbības programmas </w:t>
            </w:r>
            <w:r>
              <w:rPr>
                <w:rFonts w:ascii="Times New Roman" w:eastAsia="Times New Roman" w:hAnsi="Times New Roman" w:cs="Times New Roman"/>
                <w:sz w:val="21"/>
                <w:szCs w:val="21"/>
                <w:u w:val="single"/>
                <w:lang w:eastAsia="en-GB"/>
              </w:rPr>
              <w:t>"</w:t>
            </w:r>
            <w:r>
              <w:rPr>
                <w:rFonts w:ascii="Times New Roman" w:eastAsia="Times New Roman" w:hAnsi="Times New Roman" w:cs="Times New Roman"/>
                <w:color w:val="000000"/>
                <w:sz w:val="21"/>
                <w:szCs w:val="21"/>
                <w:u w:val="single"/>
                <w:lang w:eastAsia="en-GB"/>
              </w:rPr>
              <w:t>Izaugsme un nodarbinātība</w:t>
            </w:r>
            <w:r>
              <w:rPr>
                <w:rFonts w:ascii="Times New Roman" w:eastAsia="Times New Roman" w:hAnsi="Times New Roman" w:cs="Times New Roman"/>
                <w:sz w:val="21"/>
                <w:szCs w:val="21"/>
                <w:u w:val="single"/>
                <w:lang w:eastAsia="en-GB"/>
              </w:rPr>
              <w:t>"</w:t>
            </w:r>
            <w:r>
              <w:rPr>
                <w:rFonts w:ascii="Times New Roman" w:eastAsia="Times New Roman" w:hAnsi="Times New Roman" w:cs="Times New Roman"/>
                <w:color w:val="000000"/>
                <w:sz w:val="21"/>
                <w:szCs w:val="21"/>
                <w:u w:val="single"/>
                <w:lang w:eastAsia="en-GB"/>
              </w:rPr>
              <w:t xml:space="preserve"> 4.1.1.</w:t>
            </w:r>
            <w:r>
              <w:rPr>
                <w:rFonts w:ascii="Times New Roman" w:eastAsia="Times New Roman" w:hAnsi="Times New Roman" w:cs="Times New Roman"/>
                <w:sz w:val="21"/>
                <w:szCs w:val="21"/>
                <w:u w:val="single"/>
                <w:lang w:eastAsia="en-GB"/>
              </w:rPr>
              <w:t> </w:t>
            </w:r>
            <w:r>
              <w:rPr>
                <w:rFonts w:ascii="Times New Roman" w:eastAsia="Times New Roman" w:hAnsi="Times New Roman" w:cs="Times New Roman"/>
                <w:color w:val="000000"/>
                <w:sz w:val="21"/>
                <w:szCs w:val="21"/>
                <w:u w:val="single"/>
                <w:lang w:eastAsia="en-GB"/>
              </w:rPr>
              <w:t xml:space="preserve">specifiskā atbalsta mērķa </w:t>
            </w:r>
            <w:r>
              <w:rPr>
                <w:rFonts w:ascii="Times New Roman" w:eastAsia="Times New Roman" w:hAnsi="Times New Roman" w:cs="Times New Roman"/>
                <w:sz w:val="21"/>
                <w:szCs w:val="21"/>
                <w:u w:val="single"/>
                <w:lang w:eastAsia="en-GB"/>
              </w:rPr>
              <w:lastRenderedPageBreak/>
              <w:t>"</w:t>
            </w:r>
            <w:r>
              <w:rPr>
                <w:rFonts w:ascii="Times New Roman" w:eastAsia="Times New Roman" w:hAnsi="Times New Roman" w:cs="Times New Roman"/>
                <w:color w:val="000000"/>
                <w:sz w:val="21"/>
                <w:szCs w:val="21"/>
                <w:u w:val="single"/>
                <w:lang w:eastAsia="en-GB"/>
              </w:rPr>
              <w:t>Veicināt efektīvu energoresursu izmantošanu, enerģijas patēriņa samazināšanu un pāreju uz AER apstrādes rūpniecības nozarē” otrās projektu iesniegumu atlases kārtas īstenošanas noteikumi</w:t>
            </w:r>
            <w:r>
              <w:rPr>
                <w:rFonts w:ascii="Times New Roman" w:eastAsia="Times New Roman" w:hAnsi="Times New Roman" w:cs="Times New Roman"/>
                <w:sz w:val="21"/>
                <w:szCs w:val="21"/>
                <w:u w:val="single"/>
                <w:lang w:eastAsia="en-GB"/>
              </w:rPr>
              <w:t>"</w:t>
            </w:r>
            <w:r>
              <w:rPr>
                <w:rFonts w:ascii="Times New Roman" w:eastAsia="Times New Roman" w:hAnsi="Times New Roman" w:cs="Times New Roman"/>
                <w:sz w:val="21"/>
                <w:szCs w:val="21"/>
                <w:lang w:eastAsia="en-GB"/>
              </w:rPr>
              <w:t xml:space="preserve"> (turpmāk – </w:t>
            </w:r>
            <w:r>
              <w:rPr>
                <w:rFonts w:ascii="Times New Roman" w:hAnsi="Times New Roman" w:cs="Times New Roman"/>
                <w:b/>
                <w:bCs/>
                <w:sz w:val="21"/>
                <w:szCs w:val="21"/>
              </w:rPr>
              <w:t>MK noteikumi Nr.38</w:t>
            </w:r>
            <w:r>
              <w:rPr>
                <w:rFonts w:ascii="Times New Roman" w:hAnsi="Times New Roman" w:cs="Times New Roman"/>
                <w:sz w:val="21"/>
                <w:szCs w:val="21"/>
              </w:rPr>
              <w:t xml:space="preserve">) un </w:t>
            </w:r>
            <w:r>
              <w:rPr>
                <w:rFonts w:ascii="Times New Roman" w:eastAsia="Times New Roman" w:hAnsi="Times New Roman" w:cs="Times New Roman"/>
                <w:color w:val="000000"/>
                <w:sz w:val="21"/>
                <w:szCs w:val="21"/>
                <w:lang w:eastAsia="en-GB"/>
              </w:rPr>
              <w:t>Ministru kabineta 2019.</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gada 5.</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novembra noteikumu Nr.</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 xml:space="preserve">506 </w:t>
            </w:r>
            <w:r>
              <w:rPr>
                <w:rFonts w:ascii="Times New Roman" w:eastAsia="Times New Roman" w:hAnsi="Times New Roman" w:cs="Times New Roman"/>
                <w:sz w:val="21"/>
                <w:szCs w:val="21"/>
                <w:lang w:eastAsia="en-GB"/>
              </w:rPr>
              <w:t>"</w:t>
            </w:r>
            <w:r>
              <w:rPr>
                <w:rFonts w:ascii="Times New Roman" w:eastAsia="Times New Roman" w:hAnsi="Times New Roman" w:cs="Times New Roman"/>
                <w:color w:val="000000"/>
                <w:sz w:val="21"/>
                <w:szCs w:val="21"/>
                <w:lang w:eastAsia="en-GB"/>
              </w:rPr>
              <w:t xml:space="preserve">Darbības programmas </w:t>
            </w:r>
            <w:r>
              <w:rPr>
                <w:rFonts w:ascii="Times New Roman" w:eastAsia="Times New Roman" w:hAnsi="Times New Roman" w:cs="Times New Roman"/>
                <w:sz w:val="21"/>
                <w:szCs w:val="21"/>
                <w:lang w:eastAsia="en-GB"/>
              </w:rPr>
              <w:t>"</w:t>
            </w:r>
            <w:r>
              <w:rPr>
                <w:rFonts w:ascii="Times New Roman" w:eastAsia="Times New Roman" w:hAnsi="Times New Roman" w:cs="Times New Roman"/>
                <w:color w:val="000000"/>
                <w:sz w:val="21"/>
                <w:szCs w:val="21"/>
                <w:lang w:eastAsia="en-GB"/>
              </w:rPr>
              <w:t>Izaugsme un nodarbinātība</w:t>
            </w:r>
            <w:r>
              <w:rPr>
                <w:rFonts w:ascii="Times New Roman" w:eastAsia="Times New Roman" w:hAnsi="Times New Roman" w:cs="Times New Roman"/>
                <w:sz w:val="21"/>
                <w:szCs w:val="21"/>
                <w:lang w:eastAsia="en-GB"/>
              </w:rPr>
              <w:t>"</w:t>
            </w:r>
            <w:r>
              <w:rPr>
                <w:rFonts w:ascii="Times New Roman" w:eastAsia="Times New Roman" w:hAnsi="Times New Roman" w:cs="Times New Roman"/>
                <w:color w:val="000000"/>
                <w:sz w:val="21"/>
                <w:szCs w:val="21"/>
                <w:lang w:eastAsia="en-GB"/>
              </w:rPr>
              <w:t xml:space="preserve"> 4.1.1.</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 xml:space="preserve">specifiskā atbalsta mērķa </w:t>
            </w:r>
            <w:r>
              <w:rPr>
                <w:rFonts w:ascii="Times New Roman" w:eastAsia="Times New Roman" w:hAnsi="Times New Roman" w:cs="Times New Roman"/>
                <w:sz w:val="21"/>
                <w:szCs w:val="21"/>
                <w:lang w:eastAsia="en-GB"/>
              </w:rPr>
              <w:t>"</w:t>
            </w:r>
            <w:r>
              <w:rPr>
                <w:rFonts w:ascii="Times New Roman" w:eastAsia="Times New Roman" w:hAnsi="Times New Roman" w:cs="Times New Roman"/>
                <w:color w:val="000000"/>
                <w:sz w:val="21"/>
                <w:szCs w:val="21"/>
                <w:lang w:eastAsia="en-GB"/>
              </w:rPr>
              <w:t>Veicināt efektīvu energoresursu izmantošanu, enerģijas patēriņa samazināšanu un pāreju uz AER apstrādes rūpniecības nozarē</w:t>
            </w:r>
            <w:r>
              <w:rPr>
                <w:rFonts w:ascii="Times New Roman" w:eastAsia="Times New Roman" w:hAnsi="Times New Roman" w:cs="Times New Roman"/>
                <w:sz w:val="21"/>
                <w:szCs w:val="21"/>
                <w:lang w:eastAsia="en-GB"/>
              </w:rPr>
              <w:t>"</w:t>
            </w:r>
            <w:r>
              <w:rPr>
                <w:rFonts w:ascii="Times New Roman" w:eastAsia="Times New Roman" w:hAnsi="Times New Roman" w:cs="Times New Roman"/>
                <w:color w:val="000000"/>
                <w:sz w:val="21"/>
                <w:szCs w:val="21"/>
                <w:lang w:eastAsia="en-GB"/>
              </w:rPr>
              <w:t xml:space="preserve"> trešās projektu iesniegumu atlases kārtas īstenošanas noteikumi''</w:t>
            </w:r>
            <w:r>
              <w:rPr>
                <w:rFonts w:ascii="Times New Roman" w:eastAsia="Times New Roman" w:hAnsi="Times New Roman" w:cs="Times New Roman"/>
                <w:sz w:val="21"/>
                <w:szCs w:val="21"/>
                <w:lang w:eastAsia="en-GB"/>
              </w:rPr>
              <w:t>"</w:t>
            </w:r>
            <w:r>
              <w:rPr>
                <w:rFonts w:ascii="Times New Roman" w:eastAsia="Times New Roman" w:hAnsi="Times New Roman" w:cs="Times New Roman"/>
                <w:color w:val="000000"/>
                <w:sz w:val="21"/>
                <w:szCs w:val="21"/>
                <w:lang w:eastAsia="en-GB"/>
              </w:rPr>
              <w:t xml:space="preserve"> (turpmāk –</w:t>
            </w:r>
            <w:r>
              <w:rPr>
                <w:rFonts w:ascii="Times New Roman" w:hAnsi="Times New Roman" w:cs="Times New Roman"/>
                <w:sz w:val="21"/>
                <w:szCs w:val="21"/>
              </w:rPr>
              <w:t xml:space="preserve"> MK noteikumi Nr.506) grozījumu projekti paredz papildināt attiecīgos noteikumus nosakot atbalsta intensitāti visām tām projektos plānoto darbību attiecināmajām izmaksām, kuras sedz kā </w:t>
            </w:r>
            <w:proofErr w:type="spellStart"/>
            <w:r>
              <w:rPr>
                <w:rFonts w:ascii="Times New Roman" w:hAnsi="Times New Roman" w:cs="Times New Roman"/>
                <w:sz w:val="21"/>
                <w:szCs w:val="21"/>
              </w:rPr>
              <w:t>de</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minimis</w:t>
            </w:r>
            <w:proofErr w:type="spellEnd"/>
            <w:r>
              <w:rPr>
                <w:rFonts w:ascii="Times New Roman" w:hAnsi="Times New Roman" w:cs="Times New Roman"/>
                <w:sz w:val="21"/>
                <w:szCs w:val="21"/>
              </w:rPr>
              <w:t>, lūdzam no anotāciju I sadaļas “Tiesību akta projekta izstrādes nepieciešamība” 2.punktā “Pašreizējā situācija un problēmas, kuru risināšanai tiesību akta projekts izstrādāts, tiesiskā regulējuma mērķis un būtība” dzēst ietverto informāciju “Par precizējumiem atbalsta aprēķināšanas pamatprincipos”, jo tā nav saistīta ar veiktajiem grozījumiem un būtu iekļaujama projektu vērtēšanas metodikā.</w:t>
            </w:r>
          </w:p>
        </w:tc>
        <w:tc>
          <w:tcPr>
            <w:tcW w:w="1098" w:type="pct"/>
            <w:gridSpan w:val="2"/>
            <w:tcBorders>
              <w:top w:val="single" w:sz="6" w:space="0" w:color="000000"/>
              <w:left w:val="single" w:sz="6" w:space="0" w:color="000000"/>
              <w:bottom w:val="single" w:sz="6" w:space="0" w:color="000000"/>
              <w:right w:val="single" w:sz="6" w:space="0" w:color="000000"/>
            </w:tcBorders>
            <w:hideMark/>
          </w:tcPr>
          <w:p w14:paraId="121AFE46" w14:textId="77777777" w:rsidR="00F405C9" w:rsidRDefault="00F405C9">
            <w:pPr>
              <w:spacing w:after="0" w:line="240" w:lineRule="auto"/>
              <w:jc w:val="center"/>
              <w:rPr>
                <w:rFonts w:ascii="Times New Roman" w:eastAsia="Times New Roman" w:hAnsi="Times New Roman" w:cs="Times New Roman"/>
                <w:b/>
                <w:bCs/>
                <w:sz w:val="21"/>
                <w:szCs w:val="21"/>
                <w:lang w:eastAsia="lv-LV"/>
              </w:rPr>
            </w:pPr>
            <w:r>
              <w:rPr>
                <w:rFonts w:ascii="Times New Roman" w:eastAsia="Times New Roman" w:hAnsi="Times New Roman" w:cs="Times New Roman"/>
                <w:b/>
                <w:sz w:val="21"/>
                <w:szCs w:val="21"/>
                <w:lang w:eastAsia="lv-LV"/>
              </w:rPr>
              <w:lastRenderedPageBreak/>
              <w:t>Ņemts vērā</w:t>
            </w:r>
          </w:p>
        </w:tc>
        <w:tc>
          <w:tcPr>
            <w:tcW w:w="1099" w:type="pct"/>
            <w:tcBorders>
              <w:top w:val="single" w:sz="4" w:space="0" w:color="auto"/>
              <w:left w:val="single" w:sz="4" w:space="0" w:color="auto"/>
              <w:bottom w:val="single" w:sz="4" w:space="0" w:color="auto"/>
              <w:right w:val="single" w:sz="4" w:space="0" w:color="auto"/>
            </w:tcBorders>
            <w:hideMark/>
          </w:tcPr>
          <w:p w14:paraId="3099745C" w14:textId="3862BD76" w:rsidR="00F405C9" w:rsidRDefault="00CD1927">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A</w:t>
            </w:r>
            <w:r w:rsidR="00F405C9">
              <w:rPr>
                <w:rFonts w:ascii="Times New Roman" w:eastAsia="Times New Roman" w:hAnsi="Times New Roman" w:cs="Times New Roman"/>
                <w:sz w:val="21"/>
                <w:szCs w:val="21"/>
                <w:lang w:eastAsia="lv-LV"/>
              </w:rPr>
              <w:t xml:space="preserve">notācijas I sadaļas 2. punktā </w:t>
            </w:r>
            <w:r w:rsidR="00F405C9">
              <w:rPr>
                <w:rFonts w:ascii="Times New Roman" w:eastAsia="Times New Roman" w:hAnsi="Times New Roman" w:cs="Times New Roman"/>
                <w:b/>
                <w:bCs/>
                <w:sz w:val="21"/>
                <w:szCs w:val="21"/>
                <w:lang w:eastAsia="lv-LV"/>
              </w:rPr>
              <w:t xml:space="preserve">dzēsta informācija </w:t>
            </w:r>
            <w:r w:rsidR="00F405C9">
              <w:rPr>
                <w:rFonts w:ascii="Times New Roman" w:eastAsia="Times New Roman" w:hAnsi="Times New Roman" w:cs="Times New Roman"/>
                <w:sz w:val="21"/>
                <w:szCs w:val="21"/>
                <w:lang w:eastAsia="lv-LV"/>
              </w:rPr>
              <w:t xml:space="preserve">“Par precizējumiem atbalsta aprēķināšanas pamatprincipos”. Atbalsta aprēķina pamatprincipi, demonstrējot arī piemērus, iekļauti projektu vērtēšanas metodikā. </w:t>
            </w:r>
          </w:p>
        </w:tc>
      </w:tr>
      <w:tr w:rsidR="00F405C9" w14:paraId="4DCDBD32" w14:textId="77777777" w:rsidTr="00F405C9">
        <w:trPr>
          <w:trHeight w:val="140"/>
        </w:trPr>
        <w:tc>
          <w:tcPr>
            <w:tcW w:w="283" w:type="pct"/>
            <w:tcBorders>
              <w:top w:val="single" w:sz="6" w:space="0" w:color="000000"/>
              <w:left w:val="single" w:sz="6" w:space="0" w:color="000000"/>
              <w:bottom w:val="single" w:sz="6" w:space="0" w:color="000000"/>
              <w:right w:val="single" w:sz="6" w:space="0" w:color="000000"/>
            </w:tcBorders>
          </w:tcPr>
          <w:p w14:paraId="64DA20BF" w14:textId="77777777" w:rsidR="00F405C9" w:rsidRDefault="00F405C9" w:rsidP="00F405C9">
            <w:pPr>
              <w:pStyle w:val="ListParagraph"/>
              <w:numPr>
                <w:ilvl w:val="0"/>
                <w:numId w:val="12"/>
              </w:numPr>
              <w:spacing w:after="0" w:line="240" w:lineRule="auto"/>
              <w:rPr>
                <w:rFonts w:ascii="Times New Roman" w:eastAsia="Times New Roman" w:hAnsi="Times New Roman" w:cs="Times New Roman"/>
                <w:sz w:val="21"/>
                <w:szCs w:val="21"/>
                <w:lang w:eastAsia="lv-LV"/>
              </w:rPr>
            </w:pPr>
          </w:p>
        </w:tc>
        <w:tc>
          <w:tcPr>
            <w:tcW w:w="853" w:type="pct"/>
            <w:gridSpan w:val="2"/>
            <w:tcBorders>
              <w:top w:val="single" w:sz="6" w:space="0" w:color="000000"/>
              <w:left w:val="single" w:sz="6" w:space="0" w:color="000000"/>
              <w:bottom w:val="single" w:sz="6" w:space="0" w:color="000000"/>
              <w:right w:val="single" w:sz="6" w:space="0" w:color="000000"/>
            </w:tcBorders>
            <w:hideMark/>
          </w:tcPr>
          <w:p w14:paraId="1F27273D" w14:textId="77777777" w:rsidR="00F405C9" w:rsidRDefault="00F405C9">
            <w:pPr>
              <w:spacing w:after="0" w:line="240" w:lineRule="auto"/>
              <w:rPr>
                <w:rFonts w:ascii="Times New Roman" w:eastAsia="Times New Roman" w:hAnsi="Times New Roman" w:cs="Times New Roman"/>
                <w:b/>
                <w:bCs/>
                <w:sz w:val="21"/>
                <w:szCs w:val="21"/>
                <w:lang w:eastAsia="lv-LV"/>
              </w:rPr>
            </w:pPr>
            <w:r>
              <w:rPr>
                <w:rFonts w:ascii="Times New Roman" w:eastAsia="Times New Roman" w:hAnsi="Times New Roman" w:cs="Times New Roman"/>
                <w:b/>
                <w:bCs/>
                <w:sz w:val="21"/>
                <w:szCs w:val="21"/>
                <w:lang w:eastAsia="lv-LV"/>
              </w:rPr>
              <w:t>Anotācija</w:t>
            </w:r>
          </w:p>
        </w:tc>
        <w:tc>
          <w:tcPr>
            <w:tcW w:w="1664" w:type="pct"/>
            <w:tcBorders>
              <w:top w:val="single" w:sz="6" w:space="0" w:color="000000"/>
              <w:left w:val="single" w:sz="6" w:space="0" w:color="000000"/>
              <w:bottom w:val="single" w:sz="6" w:space="0" w:color="000000"/>
              <w:right w:val="single" w:sz="6" w:space="0" w:color="000000"/>
            </w:tcBorders>
          </w:tcPr>
          <w:p w14:paraId="3C191F8F" w14:textId="77777777" w:rsidR="00F405C9" w:rsidRDefault="00F405C9">
            <w:pPr>
              <w:widowControl w:val="0"/>
              <w:spacing w:after="0" w:line="240" w:lineRule="auto"/>
              <w:jc w:val="both"/>
              <w:rPr>
                <w:rFonts w:ascii="Times New Roman" w:eastAsia="Times New Roman" w:hAnsi="Times New Roman" w:cs="Times New Roman"/>
                <w:b/>
                <w:bCs/>
                <w:sz w:val="21"/>
                <w:szCs w:val="21"/>
                <w:lang w:eastAsia="en-GB"/>
              </w:rPr>
            </w:pPr>
            <w:r>
              <w:rPr>
                <w:rFonts w:ascii="Times New Roman" w:eastAsia="Times New Roman" w:hAnsi="Times New Roman" w:cs="Times New Roman"/>
                <w:b/>
                <w:bCs/>
                <w:sz w:val="21"/>
                <w:szCs w:val="21"/>
                <w:lang w:eastAsia="en-GB"/>
              </w:rPr>
              <w:t>Tieslietu ministrijas 16.11.2020. atzinuma Nr. 1-9./1215 iebildums:</w:t>
            </w:r>
          </w:p>
          <w:p w14:paraId="2ADC86F8" w14:textId="090ED2B3" w:rsidR="00F405C9" w:rsidRDefault="00F405C9">
            <w:pPr>
              <w:widowControl w:val="0"/>
              <w:spacing w:after="0" w:line="240" w:lineRule="auto"/>
              <w:jc w:val="both"/>
              <w:rPr>
                <w:rFonts w:ascii="Times New Roman" w:eastAsia="Times New Roman" w:hAnsi="Times New Roman" w:cs="Times New Roman"/>
                <w:color w:val="000000"/>
                <w:sz w:val="21"/>
                <w:szCs w:val="21"/>
                <w:lang w:eastAsia="en-GB"/>
              </w:rPr>
            </w:pPr>
            <w:r>
              <w:rPr>
                <w:rFonts w:ascii="Times New Roman" w:eastAsia="Times New Roman" w:hAnsi="Times New Roman" w:cs="Times New Roman"/>
                <w:sz w:val="21"/>
                <w:szCs w:val="21"/>
                <w:lang w:eastAsia="en-GB"/>
              </w:rPr>
              <w:t xml:space="preserve">Vēršam uzmanību, ka </w:t>
            </w:r>
            <w:r>
              <w:rPr>
                <w:rFonts w:ascii="Times New Roman" w:eastAsia="Times New Roman" w:hAnsi="Times New Roman" w:cs="Times New Roman"/>
                <w:color w:val="000000"/>
                <w:sz w:val="21"/>
                <w:szCs w:val="21"/>
                <w:lang w:eastAsia="en-GB"/>
              </w:rPr>
              <w:t>4.1.1.</w:t>
            </w:r>
            <w:r>
              <w:rPr>
                <w:rFonts w:ascii="Times New Roman" w:eastAsia="Times New Roman" w:hAnsi="Times New Roman" w:cs="Times New Roman"/>
                <w:i/>
                <w:iCs/>
                <w:sz w:val="21"/>
                <w:szCs w:val="21"/>
                <w:lang w:eastAsia="en-GB"/>
              </w:rPr>
              <w:t> </w:t>
            </w:r>
            <w:r>
              <w:rPr>
                <w:rFonts w:ascii="Times New Roman" w:eastAsia="Times New Roman" w:hAnsi="Times New Roman" w:cs="Times New Roman"/>
                <w:color w:val="000000"/>
                <w:sz w:val="21"/>
                <w:szCs w:val="21"/>
                <w:lang w:eastAsia="en-GB"/>
              </w:rPr>
              <w:t xml:space="preserve">pasākuma noteikumu projekti papildināti ar jaunu regulējumu, kas noteic, ka </w:t>
            </w:r>
            <w:r>
              <w:rPr>
                <w:rFonts w:ascii="Times New Roman" w:eastAsia="Times New Roman" w:hAnsi="Times New Roman" w:cs="Times New Roman"/>
                <w:sz w:val="21"/>
                <w:szCs w:val="21"/>
                <w:lang w:eastAsia="en-GB"/>
              </w:rPr>
              <w:t>"</w:t>
            </w:r>
            <w:r>
              <w:rPr>
                <w:rFonts w:ascii="Times New Roman" w:eastAsia="Times New Roman" w:hAnsi="Times New Roman" w:cs="Times New Roman"/>
                <w:i/>
                <w:iCs/>
                <w:color w:val="000000"/>
                <w:sz w:val="21"/>
                <w:szCs w:val="21"/>
                <w:lang w:eastAsia="en-GB"/>
              </w:rPr>
              <w:t>Maksimāli pieļaujamā Kohēzijas fonda atbalsta intensitāte izmaksām, kuras atbilst Komisijas regulai Nr.</w:t>
            </w:r>
            <w:r>
              <w:rPr>
                <w:rFonts w:ascii="Times New Roman" w:eastAsia="Times New Roman" w:hAnsi="Times New Roman" w:cs="Times New Roman"/>
                <w:i/>
                <w:iCs/>
                <w:sz w:val="21"/>
                <w:szCs w:val="21"/>
                <w:lang w:eastAsia="en-GB"/>
              </w:rPr>
              <w:t> </w:t>
            </w:r>
            <w:r>
              <w:rPr>
                <w:rFonts w:ascii="Times New Roman" w:eastAsia="Times New Roman" w:hAnsi="Times New Roman" w:cs="Times New Roman"/>
                <w:i/>
                <w:iCs/>
                <w:color w:val="000000"/>
                <w:sz w:val="21"/>
                <w:szCs w:val="21"/>
                <w:lang w:eastAsia="en-GB"/>
              </w:rPr>
              <w:t>1407/2013, ir 30 % no attiecināmajām izmaksām</w:t>
            </w:r>
            <w:r>
              <w:rPr>
                <w:rFonts w:ascii="Times New Roman" w:eastAsia="Times New Roman" w:hAnsi="Times New Roman" w:cs="Times New Roman"/>
                <w:color w:val="000000"/>
                <w:sz w:val="21"/>
                <w:szCs w:val="21"/>
                <w:lang w:eastAsia="en-GB"/>
              </w:rPr>
              <w:t>.</w:t>
            </w:r>
            <w:r>
              <w:rPr>
                <w:rFonts w:ascii="Times New Roman" w:eastAsia="Times New Roman" w:hAnsi="Times New Roman" w:cs="Times New Roman"/>
                <w:sz w:val="21"/>
                <w:szCs w:val="21"/>
                <w:lang w:eastAsia="en-GB"/>
              </w:rPr>
              <w:t xml:space="preserve">" Šie grozījumi </w:t>
            </w:r>
            <w:r>
              <w:rPr>
                <w:rFonts w:ascii="Times New Roman" w:eastAsia="Times New Roman" w:hAnsi="Times New Roman" w:cs="Times New Roman"/>
                <w:color w:val="000000"/>
                <w:sz w:val="21"/>
                <w:szCs w:val="21"/>
                <w:lang w:eastAsia="en-GB"/>
              </w:rPr>
              <w:t>4.1.1.</w:t>
            </w:r>
            <w:r>
              <w:rPr>
                <w:rFonts w:ascii="Times New Roman" w:eastAsia="Times New Roman" w:hAnsi="Times New Roman" w:cs="Times New Roman"/>
                <w:i/>
                <w:iCs/>
                <w:sz w:val="21"/>
                <w:szCs w:val="21"/>
                <w:lang w:eastAsia="en-GB"/>
              </w:rPr>
              <w:t> </w:t>
            </w:r>
            <w:r>
              <w:rPr>
                <w:rFonts w:ascii="Times New Roman" w:eastAsia="Times New Roman" w:hAnsi="Times New Roman" w:cs="Times New Roman"/>
                <w:color w:val="000000"/>
                <w:sz w:val="21"/>
                <w:szCs w:val="21"/>
                <w:lang w:eastAsia="en-GB"/>
              </w:rPr>
              <w:t xml:space="preserve">pasākuma noteikumu projektu </w:t>
            </w:r>
            <w:r>
              <w:rPr>
                <w:rFonts w:ascii="Times New Roman" w:eastAsia="Times New Roman" w:hAnsi="Times New Roman" w:cs="Times New Roman"/>
                <w:sz w:val="21"/>
                <w:szCs w:val="21"/>
                <w:lang w:eastAsia="en-GB"/>
              </w:rPr>
              <w:t>anotācijā pamatoti ar faktu, ka "</w:t>
            </w:r>
            <w:r>
              <w:rPr>
                <w:rFonts w:ascii="Times New Roman" w:eastAsia="Times New Roman" w:hAnsi="Times New Roman" w:cs="Times New Roman"/>
                <w:i/>
                <w:iCs/>
                <w:sz w:val="21"/>
                <w:szCs w:val="21"/>
                <w:lang w:eastAsia="en-GB"/>
              </w:rPr>
              <w:t>s</w:t>
            </w:r>
            <w:r>
              <w:rPr>
                <w:rFonts w:ascii="Times New Roman" w:eastAsia="Calibri" w:hAnsi="Times New Roman" w:cs="Times New Roman"/>
                <w:i/>
                <w:iCs/>
                <w:sz w:val="21"/>
                <w:szCs w:val="21"/>
              </w:rPr>
              <w:t>niedzot atbalstu komersantiem, tika pieņemts, ka arī to atsevišķo darbību attiecināmajām izmaksām, kuras sedz ar Komisijas regulu Nr.</w:t>
            </w:r>
            <w:r>
              <w:rPr>
                <w:rFonts w:ascii="Times New Roman" w:eastAsia="Times New Roman" w:hAnsi="Times New Roman" w:cs="Times New Roman"/>
                <w:i/>
                <w:iCs/>
                <w:sz w:val="21"/>
                <w:szCs w:val="21"/>
                <w:lang w:eastAsia="en-GB"/>
              </w:rPr>
              <w:t> </w:t>
            </w:r>
            <w:r>
              <w:rPr>
                <w:rFonts w:ascii="Times New Roman" w:eastAsia="Calibri" w:hAnsi="Times New Roman" w:cs="Times New Roman"/>
                <w:i/>
                <w:iCs/>
                <w:sz w:val="21"/>
                <w:szCs w:val="21"/>
              </w:rPr>
              <w:t xml:space="preserve">1407/2013, </w:t>
            </w:r>
            <w:r>
              <w:rPr>
                <w:rFonts w:ascii="Times New Roman" w:eastAsia="Calibri" w:hAnsi="Times New Roman" w:cs="Times New Roman"/>
                <w:i/>
                <w:iCs/>
                <w:sz w:val="21"/>
                <w:szCs w:val="21"/>
              </w:rPr>
              <w:lastRenderedPageBreak/>
              <w:t>piemērojama</w:t>
            </w:r>
            <w:r>
              <w:rPr>
                <w:rFonts w:ascii="Times New Roman" w:eastAsia="Times New Roman" w:hAnsi="Times New Roman" w:cs="Times New Roman"/>
                <w:i/>
                <w:iCs/>
                <w:sz w:val="21"/>
                <w:szCs w:val="21"/>
                <w:lang w:eastAsia="en-GB"/>
              </w:rPr>
              <w:t> </w:t>
            </w:r>
            <w:r>
              <w:rPr>
                <w:rFonts w:ascii="Times New Roman" w:eastAsia="Calibri" w:hAnsi="Times New Roman" w:cs="Times New Roman"/>
                <w:i/>
                <w:iCs/>
                <w:sz w:val="21"/>
                <w:szCs w:val="21"/>
              </w:rPr>
              <w:t>30 % atbalsta intensitāte, tomēr tas skaidri un nepārprotami netika atspoguļots normatīvajā regulējumā</w:t>
            </w:r>
            <w:r>
              <w:rPr>
                <w:rFonts w:ascii="Times New Roman" w:eastAsia="Calibri" w:hAnsi="Times New Roman" w:cs="Times New Roman"/>
                <w:sz w:val="21"/>
                <w:szCs w:val="21"/>
              </w:rPr>
              <w:t>.</w:t>
            </w:r>
            <w:r>
              <w:rPr>
                <w:rFonts w:ascii="Times New Roman" w:eastAsia="Times New Roman" w:hAnsi="Times New Roman" w:cs="Times New Roman"/>
                <w:sz w:val="21"/>
                <w:szCs w:val="21"/>
                <w:lang w:eastAsia="en-GB"/>
              </w:rPr>
              <w:t xml:space="preserve">" Attiecīgi pēc anotācijā sniegtā skaidrojuma jāsecina, ka </w:t>
            </w:r>
            <w:r>
              <w:rPr>
                <w:rFonts w:ascii="Times New Roman" w:eastAsia="Times New Roman" w:hAnsi="Times New Roman" w:cs="Times New Roman"/>
                <w:color w:val="000000"/>
                <w:sz w:val="21"/>
                <w:szCs w:val="21"/>
                <w:lang w:eastAsia="en-GB"/>
              </w:rPr>
              <w:t>4.1.1.</w:t>
            </w:r>
            <w:r>
              <w:rPr>
                <w:rFonts w:ascii="Times New Roman" w:eastAsia="Times New Roman" w:hAnsi="Times New Roman" w:cs="Times New Roman"/>
                <w:i/>
                <w:iCs/>
                <w:sz w:val="21"/>
                <w:szCs w:val="21"/>
                <w:lang w:eastAsia="en-GB"/>
              </w:rPr>
              <w:t> </w:t>
            </w:r>
            <w:r>
              <w:rPr>
                <w:rFonts w:ascii="Times New Roman" w:eastAsia="Times New Roman" w:hAnsi="Times New Roman" w:cs="Times New Roman"/>
                <w:color w:val="000000"/>
                <w:sz w:val="21"/>
                <w:szCs w:val="21"/>
                <w:lang w:eastAsia="en-GB"/>
              </w:rPr>
              <w:t xml:space="preserve">pasākuma noteikumu projektā paredzētie grozījumi, kas nosaka maksimāli pieļaujamo Kohēzijas fonda atbalsta intensitāti izmaksām, kas atbilst Komisijas 2013. gada 18. decembra Regulai (ES) Nr.1407/2013 par Līguma par </w:t>
            </w:r>
            <w:r w:rsidR="00575A70">
              <w:rPr>
                <w:rFonts w:ascii="Times New Roman" w:eastAsia="Times New Roman" w:hAnsi="Times New Roman" w:cs="Times New Roman"/>
                <w:color w:val="000000"/>
                <w:sz w:val="21"/>
                <w:szCs w:val="21"/>
                <w:lang w:eastAsia="en-GB"/>
              </w:rPr>
              <w:t xml:space="preserve">Eiropas Savienības </w:t>
            </w:r>
            <w:r>
              <w:rPr>
                <w:rFonts w:ascii="Times New Roman" w:eastAsia="Times New Roman" w:hAnsi="Times New Roman" w:cs="Times New Roman"/>
                <w:color w:val="000000"/>
                <w:sz w:val="21"/>
                <w:szCs w:val="21"/>
                <w:lang w:eastAsia="en-GB"/>
              </w:rPr>
              <w:t xml:space="preserve">darbību 107.un 108. panta piemērošanu </w:t>
            </w:r>
            <w:proofErr w:type="spellStart"/>
            <w:r>
              <w:rPr>
                <w:rFonts w:ascii="Times New Roman" w:eastAsia="Times New Roman" w:hAnsi="Times New Roman" w:cs="Times New Roman"/>
                <w:color w:val="000000"/>
                <w:sz w:val="21"/>
                <w:szCs w:val="21"/>
                <w:lang w:eastAsia="en-GB"/>
              </w:rPr>
              <w:t>de</w:t>
            </w:r>
            <w:proofErr w:type="spellEnd"/>
            <w:r>
              <w:rPr>
                <w:rFonts w:ascii="Times New Roman" w:eastAsia="Times New Roman" w:hAnsi="Times New Roman" w:cs="Times New Roman"/>
                <w:color w:val="000000"/>
                <w:sz w:val="21"/>
                <w:szCs w:val="21"/>
                <w:lang w:eastAsia="en-GB"/>
              </w:rPr>
              <w:t xml:space="preserve"> </w:t>
            </w:r>
            <w:proofErr w:type="spellStart"/>
            <w:r>
              <w:rPr>
                <w:rFonts w:ascii="Times New Roman" w:eastAsia="Times New Roman" w:hAnsi="Times New Roman" w:cs="Times New Roman"/>
                <w:color w:val="000000"/>
                <w:sz w:val="21"/>
                <w:szCs w:val="21"/>
                <w:lang w:eastAsia="en-GB"/>
              </w:rPr>
              <w:t>minimis</w:t>
            </w:r>
            <w:proofErr w:type="spellEnd"/>
            <w:r>
              <w:rPr>
                <w:rFonts w:ascii="Times New Roman" w:eastAsia="Times New Roman" w:hAnsi="Times New Roman" w:cs="Times New Roman"/>
                <w:color w:val="000000"/>
                <w:sz w:val="21"/>
                <w:szCs w:val="21"/>
                <w:lang w:eastAsia="en-GB"/>
              </w:rPr>
              <w:t xml:space="preserve"> atbalstam (turpmāk – Komisijas regula Nr.1407/2013), ir veikti tikai tāpēc, ka, sniedzot atbalstu komersantiem, jau ir piemērota šāda attiecināmo izmaksu ierobežošana, neskatoties uz faktu, ka šādi ierobežojumi nav noteikti normatīvajā regulējumā. </w:t>
            </w:r>
          </w:p>
          <w:p w14:paraId="69329FA6" w14:textId="48CCC016" w:rsidR="00F405C9" w:rsidRDefault="00F405C9">
            <w:pPr>
              <w:spacing w:after="0" w:line="240" w:lineRule="auto"/>
              <w:ind w:firstLine="567"/>
              <w:jc w:val="both"/>
              <w:rPr>
                <w:rFonts w:ascii="Times New Roman" w:eastAsia="Times New Roman" w:hAnsi="Times New Roman" w:cs="Times New Roman"/>
                <w:color w:val="000000"/>
                <w:sz w:val="21"/>
                <w:szCs w:val="21"/>
                <w:lang w:eastAsia="en-GB"/>
              </w:rPr>
            </w:pPr>
            <w:r>
              <w:rPr>
                <w:rFonts w:ascii="Times New Roman" w:eastAsia="Times New Roman" w:hAnsi="Times New Roman" w:cs="Times New Roman"/>
                <w:b/>
                <w:bCs/>
                <w:color w:val="000000"/>
                <w:sz w:val="21"/>
                <w:szCs w:val="21"/>
                <w:lang w:eastAsia="en-GB"/>
              </w:rPr>
              <w:t xml:space="preserve">Pirmkārt, norādām, ka šobrīd </w:t>
            </w:r>
            <w:r>
              <w:rPr>
                <w:rFonts w:ascii="Times New Roman" w:eastAsia="Times New Roman" w:hAnsi="Times New Roman" w:cs="Times New Roman"/>
                <w:color w:val="000000"/>
                <w:sz w:val="21"/>
                <w:szCs w:val="21"/>
                <w:lang w:eastAsia="en-GB"/>
              </w:rPr>
              <w:t>(ja anotācijā noradītā informācija ir korekta)</w:t>
            </w:r>
            <w:r>
              <w:rPr>
                <w:rFonts w:ascii="Times New Roman" w:eastAsia="Times New Roman" w:hAnsi="Times New Roman" w:cs="Times New Roman"/>
                <w:b/>
                <w:bCs/>
                <w:color w:val="000000"/>
                <w:sz w:val="21"/>
                <w:szCs w:val="21"/>
                <w:lang w:eastAsia="en-GB"/>
              </w:rPr>
              <w:t>, sniedzot atbalstu komersantiem, ir nepamatoti ierobežota maksimāli pieļaujamā Kohēzijas fonda atbalsta intensitāte izmaksām, kas atbilst Komisijas regulai Nr.</w:t>
            </w:r>
            <w:r>
              <w:rPr>
                <w:rFonts w:ascii="Times New Roman" w:eastAsia="Times New Roman" w:hAnsi="Times New Roman" w:cs="Times New Roman"/>
                <w:b/>
                <w:bCs/>
                <w:sz w:val="21"/>
                <w:szCs w:val="21"/>
                <w:lang w:eastAsia="en-GB"/>
              </w:rPr>
              <w:t> </w:t>
            </w:r>
            <w:r>
              <w:rPr>
                <w:rFonts w:ascii="Times New Roman" w:eastAsia="Times New Roman" w:hAnsi="Times New Roman" w:cs="Times New Roman"/>
                <w:b/>
                <w:bCs/>
                <w:color w:val="000000"/>
                <w:sz w:val="21"/>
                <w:szCs w:val="21"/>
                <w:lang w:eastAsia="en-GB"/>
              </w:rPr>
              <w:t>1407/2013.</w:t>
            </w:r>
            <w:r>
              <w:rPr>
                <w:rFonts w:ascii="Times New Roman" w:eastAsia="Times New Roman" w:hAnsi="Times New Roman" w:cs="Times New Roman"/>
                <w:color w:val="000000"/>
                <w:sz w:val="21"/>
                <w:szCs w:val="21"/>
                <w:lang w:eastAsia="en-GB"/>
              </w:rPr>
              <w:t xml:space="preserve"> Norādām, ka </w:t>
            </w:r>
            <w:r>
              <w:rPr>
                <w:rFonts w:ascii="Times New Roman" w:hAnsi="Times New Roman" w:cs="Times New Roman"/>
                <w:sz w:val="21"/>
                <w:szCs w:val="21"/>
              </w:rPr>
              <w:t>MK noteikumos Nr.590</w:t>
            </w:r>
            <w:r>
              <w:rPr>
                <w:rFonts w:ascii="Times New Roman" w:eastAsia="Times New Roman" w:hAnsi="Times New Roman" w:cs="Times New Roman"/>
                <w:color w:val="000000"/>
                <w:sz w:val="21"/>
                <w:szCs w:val="21"/>
                <w:lang w:eastAsia="en-GB"/>
              </w:rPr>
              <w:t xml:space="preserve">, </w:t>
            </w:r>
            <w:r>
              <w:rPr>
                <w:rFonts w:ascii="Times New Roman" w:eastAsia="Times New Roman" w:hAnsi="Times New Roman" w:cs="Times New Roman"/>
                <w:sz w:val="21"/>
                <w:szCs w:val="21"/>
                <w:lang w:eastAsia="en-GB"/>
              </w:rPr>
              <w:t>MK noteikumos Nr.38</w:t>
            </w:r>
            <w:r>
              <w:rPr>
                <w:rFonts w:ascii="Times New Roman" w:eastAsia="Times New Roman" w:hAnsi="Times New Roman" w:cs="Times New Roman"/>
                <w:color w:val="000000"/>
                <w:sz w:val="21"/>
                <w:szCs w:val="21"/>
                <w:lang w:eastAsia="en-GB"/>
              </w:rPr>
              <w:t xml:space="preserve"> un </w:t>
            </w:r>
            <w:r>
              <w:rPr>
                <w:rFonts w:ascii="Times New Roman" w:hAnsi="Times New Roman" w:cs="Times New Roman"/>
                <w:sz w:val="21"/>
                <w:szCs w:val="21"/>
              </w:rPr>
              <w:t>MK noteikumos Nr.506</w:t>
            </w:r>
            <w:r>
              <w:rPr>
                <w:rFonts w:ascii="Times New Roman" w:eastAsia="Times New Roman" w:hAnsi="Times New Roman" w:cs="Times New Roman"/>
                <w:color w:val="000000"/>
                <w:sz w:val="21"/>
                <w:szCs w:val="21"/>
                <w:lang w:eastAsia="en-GB"/>
              </w:rPr>
              <w:t xml:space="preserve">  (turpmāk visi kopā – 4.1.1.</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 xml:space="preserve">pasākuma noteikumi) </w:t>
            </w:r>
            <w:r>
              <w:rPr>
                <w:rFonts w:ascii="Times New Roman" w:eastAsia="Times New Roman" w:hAnsi="Times New Roman" w:cs="Times New Roman"/>
                <w:b/>
                <w:bCs/>
                <w:color w:val="000000"/>
                <w:sz w:val="21"/>
                <w:szCs w:val="21"/>
                <w:lang w:eastAsia="en-GB"/>
              </w:rPr>
              <w:t xml:space="preserve">nav ierobežota </w:t>
            </w:r>
            <w:r>
              <w:rPr>
                <w:rFonts w:ascii="Times New Roman" w:eastAsia="Times New Roman" w:hAnsi="Times New Roman" w:cs="Times New Roman"/>
                <w:color w:val="000000"/>
                <w:sz w:val="21"/>
                <w:szCs w:val="21"/>
                <w:lang w:eastAsia="en-GB"/>
              </w:rPr>
              <w:t>maksimāli pieļaujamā Kohēzijas fonda atbalsta intensitāte izmaksām, kuras atbilst Komisijas regulai Nr.</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1407/2013. Attiecīgi, izsniedzot 4.1.1.</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pasākuma noteikumos sniegto atbalstu, kas atbilst Komisijas regulai Nr.</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1407/2013, šobrīd nedrīkst tik</w:t>
            </w:r>
            <w:r w:rsidR="00575A70">
              <w:rPr>
                <w:rFonts w:ascii="Times New Roman" w:eastAsia="Times New Roman" w:hAnsi="Times New Roman" w:cs="Times New Roman"/>
                <w:color w:val="000000"/>
                <w:sz w:val="21"/>
                <w:szCs w:val="21"/>
                <w:lang w:eastAsia="en-GB"/>
              </w:rPr>
              <w:t>t</w:t>
            </w:r>
            <w:r>
              <w:rPr>
                <w:rFonts w:ascii="Times New Roman" w:eastAsia="Times New Roman" w:hAnsi="Times New Roman" w:cs="Times New Roman"/>
                <w:color w:val="000000"/>
                <w:sz w:val="21"/>
                <w:szCs w:val="21"/>
                <w:lang w:eastAsia="en-GB"/>
              </w:rPr>
              <w:t xml:space="preserve"> piemērota maksimāli pieļaujamā atbalsta intensitāte izmaksām 30% apmērā no attiecināmajām izmaksām, bet Komisijas regulas Nr.1407/2013 3.</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 xml:space="preserve">pantā noteiktās maksimālā pieļaujamā atbalsta robežas. </w:t>
            </w:r>
          </w:p>
          <w:p w14:paraId="56238F0D" w14:textId="77777777" w:rsidR="00F405C9" w:rsidRDefault="00F405C9">
            <w:pPr>
              <w:spacing w:after="0" w:line="240" w:lineRule="auto"/>
              <w:ind w:firstLine="720"/>
              <w:jc w:val="both"/>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 xml:space="preserve">Pamatojoties uz minēto, lūdzam skaidrot, vai anotācijā norādītā informācija par </w:t>
            </w:r>
            <w:r>
              <w:rPr>
                <w:rFonts w:ascii="Times New Roman" w:eastAsia="Times New Roman" w:hAnsi="Times New Roman" w:cs="Times New Roman"/>
                <w:color w:val="000000"/>
                <w:sz w:val="21"/>
                <w:szCs w:val="21"/>
                <w:lang w:eastAsia="en-GB"/>
              </w:rPr>
              <w:t xml:space="preserve">jau izsniegto atbalstu komersantiem, ir korekta. </w:t>
            </w:r>
            <w:r>
              <w:rPr>
                <w:rFonts w:ascii="Times New Roman" w:eastAsia="Times New Roman" w:hAnsi="Times New Roman" w:cs="Times New Roman"/>
                <w:color w:val="000000"/>
                <w:sz w:val="21"/>
                <w:szCs w:val="21"/>
                <w:lang w:eastAsia="en-GB"/>
              </w:rPr>
              <w:lastRenderedPageBreak/>
              <w:t>Attiecīgi, vai šobrīd, izsniedzot atbalstu, tiek ierobežota maksimāli pieļaujamā Kohēzijas fonda atbalsta intensitāte izmaksām, kas atbilst Komisijas regulai Nr.</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 xml:space="preserve">1407/2013, 30 % no attiecināmajām izmaksām. </w:t>
            </w:r>
          </w:p>
          <w:p w14:paraId="2D33C735" w14:textId="77777777" w:rsidR="00F405C9" w:rsidRDefault="00F405C9">
            <w:pPr>
              <w:spacing w:after="0" w:line="240" w:lineRule="auto"/>
              <w:ind w:firstLine="567"/>
              <w:jc w:val="both"/>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Ja iepriekš minētais atbalsts ir ticis ierobežots, neskatoties uz šādu ierobežojumu neesamību 4.1.1.</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pasākuma noteikumos, ir jānovērš nepamatotie ierobežojumi komersantiem. Gadījumos, kad, izsniedzot komersantiem atbalstu, ir tikusi ierobežota maksimāli pieļaujamā Kohēzijas fonda atbalsta intensitāte izmaksām, kas atbilst Komisijas regulai Nr.</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1407/2013, 30% apmērā no attiecināmajām izmaksām, un šīs izmaksas ir zemākas par Komisijas regulas Nr.1407/2013 3.</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pantā noteiktajām maksimālā pieļaujamā atbalsta robežām, komersantiem ir atbilstoši jāpalielina atbalsta apmērs, līdz Komisijas regulas Nr.1407/2013 3.</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 xml:space="preserve">pantā noteiktajam. </w:t>
            </w:r>
          </w:p>
          <w:p w14:paraId="366DFBCB" w14:textId="77777777" w:rsidR="00F405C9" w:rsidRDefault="00F405C9">
            <w:pPr>
              <w:spacing w:after="0" w:line="240" w:lineRule="auto"/>
              <w:ind w:firstLine="720"/>
              <w:jc w:val="both"/>
              <w:rPr>
                <w:rFonts w:ascii="Times New Roman" w:eastAsia="Times New Roman" w:hAnsi="Times New Roman" w:cs="Times New Roman"/>
                <w:b/>
                <w:bCs/>
                <w:color w:val="000000"/>
                <w:sz w:val="21"/>
                <w:szCs w:val="21"/>
                <w:lang w:eastAsia="en-GB"/>
              </w:rPr>
            </w:pPr>
            <w:r>
              <w:rPr>
                <w:rFonts w:ascii="Times New Roman" w:eastAsia="Times New Roman" w:hAnsi="Times New Roman" w:cs="Times New Roman"/>
                <w:b/>
                <w:bCs/>
                <w:sz w:val="21"/>
                <w:szCs w:val="21"/>
                <w:lang w:eastAsia="en-GB"/>
              </w:rPr>
              <w:t xml:space="preserve">Otrkārt, norādām, ka </w:t>
            </w:r>
            <w:r>
              <w:rPr>
                <w:rFonts w:ascii="Times New Roman" w:eastAsia="Times New Roman" w:hAnsi="Times New Roman" w:cs="Times New Roman"/>
                <w:b/>
                <w:bCs/>
                <w:color w:val="000000"/>
                <w:sz w:val="21"/>
                <w:szCs w:val="21"/>
                <w:lang w:eastAsia="en-GB"/>
              </w:rPr>
              <w:t>Komisijas regulā Nr.</w:t>
            </w:r>
            <w:r>
              <w:rPr>
                <w:rFonts w:ascii="Times New Roman" w:eastAsia="Times New Roman" w:hAnsi="Times New Roman" w:cs="Times New Roman"/>
                <w:b/>
                <w:bCs/>
                <w:sz w:val="21"/>
                <w:szCs w:val="21"/>
                <w:lang w:eastAsia="en-GB"/>
              </w:rPr>
              <w:t> </w:t>
            </w:r>
            <w:r>
              <w:rPr>
                <w:rFonts w:ascii="Times New Roman" w:eastAsia="Times New Roman" w:hAnsi="Times New Roman" w:cs="Times New Roman"/>
                <w:b/>
                <w:bCs/>
                <w:color w:val="000000"/>
                <w:sz w:val="21"/>
                <w:szCs w:val="21"/>
                <w:lang w:eastAsia="en-GB"/>
              </w:rPr>
              <w:t xml:space="preserve">1407/2013 nav noteikta </w:t>
            </w:r>
            <w:r>
              <w:rPr>
                <w:rFonts w:ascii="Times New Roman" w:eastAsia="Times New Roman" w:hAnsi="Times New Roman" w:cs="Times New Roman"/>
                <w:b/>
                <w:bCs/>
                <w:sz w:val="21"/>
                <w:szCs w:val="21"/>
                <w:lang w:eastAsia="en-GB"/>
              </w:rPr>
              <w:t xml:space="preserve">maksimāli piemērojamā atbalsta intensitāte, kas atbilst 30 % apmēram no attiecināmajām izmaksām. </w:t>
            </w:r>
            <w:r>
              <w:rPr>
                <w:rFonts w:ascii="Times New Roman" w:eastAsia="Times New Roman" w:hAnsi="Times New Roman" w:cs="Times New Roman"/>
                <w:b/>
                <w:bCs/>
                <w:color w:val="000000"/>
                <w:sz w:val="21"/>
                <w:szCs w:val="21"/>
                <w:lang w:eastAsia="en-GB"/>
              </w:rPr>
              <w:t>Komisijas regulas Nr.</w:t>
            </w:r>
            <w:r>
              <w:rPr>
                <w:rFonts w:ascii="Times New Roman" w:eastAsia="Times New Roman" w:hAnsi="Times New Roman" w:cs="Times New Roman"/>
                <w:b/>
                <w:bCs/>
                <w:sz w:val="21"/>
                <w:szCs w:val="21"/>
                <w:lang w:eastAsia="en-GB"/>
              </w:rPr>
              <w:t> </w:t>
            </w:r>
            <w:r>
              <w:rPr>
                <w:rFonts w:ascii="Times New Roman" w:eastAsia="Times New Roman" w:hAnsi="Times New Roman" w:cs="Times New Roman"/>
                <w:b/>
                <w:bCs/>
                <w:color w:val="000000"/>
                <w:sz w:val="21"/>
                <w:szCs w:val="21"/>
                <w:lang w:eastAsia="en-GB"/>
              </w:rPr>
              <w:t>1407/2013 3.</w:t>
            </w:r>
            <w:r>
              <w:rPr>
                <w:rFonts w:ascii="Times New Roman" w:eastAsia="Times New Roman" w:hAnsi="Times New Roman" w:cs="Times New Roman"/>
                <w:b/>
                <w:bCs/>
                <w:sz w:val="21"/>
                <w:szCs w:val="21"/>
                <w:lang w:eastAsia="en-GB"/>
              </w:rPr>
              <w:t> </w:t>
            </w:r>
            <w:r>
              <w:rPr>
                <w:rFonts w:ascii="Times New Roman" w:eastAsia="Times New Roman" w:hAnsi="Times New Roman" w:cs="Times New Roman"/>
                <w:b/>
                <w:bCs/>
                <w:color w:val="000000"/>
                <w:sz w:val="21"/>
                <w:szCs w:val="21"/>
                <w:lang w:eastAsia="en-GB"/>
              </w:rPr>
              <w:t>panta 2.</w:t>
            </w:r>
            <w:r>
              <w:rPr>
                <w:rFonts w:ascii="Times New Roman" w:eastAsia="Times New Roman" w:hAnsi="Times New Roman" w:cs="Times New Roman"/>
                <w:b/>
                <w:bCs/>
                <w:sz w:val="21"/>
                <w:szCs w:val="21"/>
                <w:lang w:eastAsia="en-GB"/>
              </w:rPr>
              <w:t> </w:t>
            </w:r>
            <w:r>
              <w:rPr>
                <w:rFonts w:ascii="Times New Roman" w:eastAsia="Times New Roman" w:hAnsi="Times New Roman" w:cs="Times New Roman"/>
                <w:b/>
                <w:bCs/>
                <w:color w:val="000000"/>
                <w:sz w:val="21"/>
                <w:szCs w:val="21"/>
                <w:lang w:eastAsia="en-GB"/>
              </w:rPr>
              <w:t xml:space="preserve"> punktā ir noteiktas maksimālā pieļaujamā atbalsta robežas (norādīta konkrēta pieļaujamā atbalsta summa). Attiecīgi 4.1.1.</w:t>
            </w:r>
            <w:r>
              <w:rPr>
                <w:rFonts w:ascii="Times New Roman" w:eastAsia="Times New Roman" w:hAnsi="Times New Roman" w:cs="Times New Roman"/>
                <w:b/>
                <w:bCs/>
                <w:i/>
                <w:iCs/>
                <w:sz w:val="21"/>
                <w:szCs w:val="21"/>
                <w:lang w:eastAsia="en-GB"/>
              </w:rPr>
              <w:t> </w:t>
            </w:r>
            <w:r>
              <w:rPr>
                <w:rFonts w:ascii="Times New Roman" w:eastAsia="Times New Roman" w:hAnsi="Times New Roman" w:cs="Times New Roman"/>
                <w:b/>
                <w:bCs/>
                <w:color w:val="000000"/>
                <w:sz w:val="21"/>
                <w:szCs w:val="21"/>
                <w:lang w:eastAsia="en-GB"/>
              </w:rPr>
              <w:t>pasākuma noteikumu projektos noteiktais regulējums neatbilst Komisijas regulas Nr.</w:t>
            </w:r>
            <w:r>
              <w:rPr>
                <w:rFonts w:ascii="Times New Roman" w:eastAsia="Times New Roman" w:hAnsi="Times New Roman" w:cs="Times New Roman"/>
                <w:b/>
                <w:bCs/>
                <w:sz w:val="21"/>
                <w:szCs w:val="21"/>
                <w:lang w:eastAsia="en-GB"/>
              </w:rPr>
              <w:t xml:space="preserve">  </w:t>
            </w:r>
            <w:r>
              <w:rPr>
                <w:rFonts w:ascii="Times New Roman" w:eastAsia="Times New Roman" w:hAnsi="Times New Roman" w:cs="Times New Roman"/>
                <w:b/>
                <w:bCs/>
                <w:color w:val="000000"/>
                <w:sz w:val="21"/>
                <w:szCs w:val="21"/>
                <w:lang w:eastAsia="en-GB"/>
              </w:rPr>
              <w:t xml:space="preserve">1407/2013 </w:t>
            </w:r>
            <w:r>
              <w:rPr>
                <w:rFonts w:ascii="Times New Roman" w:eastAsia="Times New Roman" w:hAnsi="Times New Roman" w:cs="Times New Roman"/>
                <w:b/>
                <w:bCs/>
                <w:sz w:val="21"/>
                <w:szCs w:val="21"/>
                <w:lang w:eastAsia="en-GB"/>
              </w:rPr>
              <w:t> </w:t>
            </w:r>
            <w:r>
              <w:rPr>
                <w:rFonts w:ascii="Times New Roman" w:eastAsia="Times New Roman" w:hAnsi="Times New Roman" w:cs="Times New Roman"/>
                <w:b/>
                <w:bCs/>
                <w:color w:val="000000"/>
                <w:sz w:val="21"/>
                <w:szCs w:val="21"/>
                <w:lang w:eastAsia="en-GB"/>
              </w:rPr>
              <w:t xml:space="preserve">noteiktajam. </w:t>
            </w:r>
          </w:p>
          <w:p w14:paraId="346175C9" w14:textId="77777777" w:rsidR="00F405C9" w:rsidRDefault="00F405C9">
            <w:pPr>
              <w:spacing w:after="0" w:line="240" w:lineRule="auto"/>
              <w:ind w:firstLine="720"/>
              <w:jc w:val="both"/>
              <w:rPr>
                <w:rFonts w:ascii="Times New Roman" w:eastAsia="Times New Roman" w:hAnsi="Times New Roman" w:cs="Times New Roman"/>
                <w:color w:val="000000"/>
                <w:sz w:val="21"/>
                <w:szCs w:val="21"/>
                <w:lang w:eastAsia="en-GB"/>
              </w:rPr>
            </w:pPr>
            <w:r>
              <w:rPr>
                <w:rFonts w:ascii="Times New Roman" w:eastAsia="Times New Roman" w:hAnsi="Times New Roman" w:cs="Times New Roman"/>
                <w:color w:val="000000"/>
                <w:sz w:val="21"/>
                <w:szCs w:val="21"/>
                <w:lang w:eastAsia="en-GB"/>
              </w:rPr>
              <w:t>Skaidrojam, ka 4.1.1.</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pasākuma noteikumu projektu grozījumi var noteikt stingrākas prasības nekā attiecīgais Eiropas Savienības tiesību akts. Tas būtu gadījumos, kad maksimāli pieļaujamā Kohēzijas fonda atbalsta intensitāte izmaksām, kas atbilst Komisijas regulai Nr.</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 xml:space="preserve">1407/2013, ir 30 % no attiecināmajām izmaksām, kur 30 % no attiecināmajām izmaksām ir zemākas par </w:t>
            </w:r>
            <w:r>
              <w:rPr>
                <w:rFonts w:ascii="Times New Roman" w:eastAsia="Times New Roman" w:hAnsi="Times New Roman" w:cs="Times New Roman"/>
                <w:color w:val="000000"/>
                <w:sz w:val="21"/>
                <w:szCs w:val="21"/>
                <w:lang w:eastAsia="en-GB"/>
              </w:rPr>
              <w:lastRenderedPageBreak/>
              <w:t>Komisijas regulas Nr.</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1407/2013 3.</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pantā noteikto pieļaujamo maksimālo atbalsta intensitāti. Turpretim, gadījumos, kad maksimāli pieļaujamā Kohēzijas fonda atbalsta intensitāte izmaksām, kuras atbilst Komisijas regulai Nr.</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1407/2013, ir 30 % no attiecināmajām izmaksām, kur 30 % no attiecināmajām izmaksām ir augstākas par Komisijas regulas Nr.</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1407/2013 3.</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pantā noteikto pieļaujamo maksimālo atbalsta intensitāti, tiktu pārkāptas Komisijas regulas Nr.</w:t>
            </w:r>
            <w:r>
              <w:rPr>
                <w:rFonts w:ascii="Times New Roman" w:eastAsia="Times New Roman" w:hAnsi="Times New Roman" w:cs="Times New Roman"/>
                <w:sz w:val="21"/>
                <w:szCs w:val="21"/>
                <w:lang w:eastAsia="en-GB"/>
              </w:rPr>
              <w:t> </w:t>
            </w:r>
            <w:r>
              <w:rPr>
                <w:rFonts w:ascii="Times New Roman" w:eastAsia="Times New Roman" w:hAnsi="Times New Roman" w:cs="Times New Roman"/>
                <w:color w:val="000000"/>
                <w:sz w:val="21"/>
                <w:szCs w:val="21"/>
                <w:lang w:eastAsia="en-GB"/>
              </w:rPr>
              <w:t>1407/2013 prasības un atbalsts tiktu uzskatīts par nelikumīgu.</w:t>
            </w:r>
          </w:p>
          <w:p w14:paraId="19F06E19" w14:textId="77777777" w:rsidR="00F405C9" w:rsidRDefault="00F405C9">
            <w:pPr>
              <w:spacing w:after="0" w:line="240" w:lineRule="auto"/>
              <w:ind w:firstLine="567"/>
              <w:jc w:val="both"/>
              <w:rPr>
                <w:rFonts w:ascii="Times New Roman" w:eastAsia="Times New Roman" w:hAnsi="Times New Roman" w:cs="Times New Roman"/>
                <w:sz w:val="21"/>
                <w:szCs w:val="21"/>
                <w:lang w:eastAsia="en-GB"/>
              </w:rPr>
            </w:pPr>
            <w:r>
              <w:rPr>
                <w:rFonts w:ascii="Times New Roman" w:eastAsia="Times New Roman" w:hAnsi="Times New Roman" w:cs="Times New Roman"/>
                <w:color w:val="000000"/>
                <w:sz w:val="21"/>
                <w:szCs w:val="21"/>
                <w:lang w:eastAsia="en-GB"/>
              </w:rPr>
              <w:t>Papildus vēršam uzmanību, ka 4.1.1.</w:t>
            </w:r>
            <w:r>
              <w:rPr>
                <w:rFonts w:ascii="Times New Roman" w:eastAsia="Times New Roman" w:hAnsi="Times New Roman" w:cs="Times New Roman"/>
                <w:i/>
                <w:iCs/>
                <w:sz w:val="21"/>
                <w:szCs w:val="21"/>
                <w:lang w:eastAsia="en-GB"/>
              </w:rPr>
              <w:t> </w:t>
            </w:r>
            <w:r>
              <w:rPr>
                <w:rFonts w:ascii="Times New Roman" w:eastAsia="Times New Roman" w:hAnsi="Times New Roman" w:cs="Times New Roman"/>
                <w:color w:val="000000"/>
                <w:sz w:val="21"/>
                <w:szCs w:val="21"/>
                <w:lang w:eastAsia="en-GB"/>
              </w:rPr>
              <w:t xml:space="preserve">pasākuma noteikumu projektu anotācijā nav pamatota, skaidrota maksimālās atbalsta intensitātes noteikšana tieši 30% apmērā no attiecināmajām izmaksām. </w:t>
            </w:r>
          </w:p>
          <w:p w14:paraId="37BC72E6" w14:textId="77777777" w:rsidR="00F405C9" w:rsidRDefault="00F405C9">
            <w:pPr>
              <w:spacing w:after="0" w:line="240" w:lineRule="auto"/>
              <w:ind w:firstLine="567"/>
              <w:jc w:val="both"/>
              <w:rPr>
                <w:rFonts w:ascii="Times New Roman" w:eastAsia="Times New Roman" w:hAnsi="Times New Roman" w:cs="Times New Roman"/>
                <w:sz w:val="21"/>
                <w:szCs w:val="21"/>
                <w:u w:val="single"/>
                <w:lang w:eastAsia="en-GB"/>
              </w:rPr>
            </w:pPr>
            <w:r>
              <w:rPr>
                <w:rFonts w:ascii="Times New Roman" w:eastAsia="Times New Roman" w:hAnsi="Times New Roman" w:cs="Times New Roman"/>
                <w:sz w:val="21"/>
                <w:szCs w:val="21"/>
                <w:u w:val="single"/>
                <w:lang w:eastAsia="en-GB"/>
              </w:rPr>
              <w:t xml:space="preserve">Pamatojoties uz minēto, lūdzam </w:t>
            </w:r>
            <w:r>
              <w:rPr>
                <w:rFonts w:ascii="Times New Roman" w:eastAsia="Times New Roman" w:hAnsi="Times New Roman" w:cs="Times New Roman"/>
                <w:color w:val="000000"/>
                <w:sz w:val="21"/>
                <w:szCs w:val="21"/>
                <w:u w:val="single"/>
                <w:lang w:eastAsia="en-GB"/>
              </w:rPr>
              <w:t>izvērtēt 4.1.1.</w:t>
            </w:r>
            <w:r>
              <w:rPr>
                <w:rFonts w:ascii="Times New Roman" w:eastAsia="Times New Roman" w:hAnsi="Times New Roman" w:cs="Times New Roman"/>
                <w:i/>
                <w:iCs/>
                <w:sz w:val="21"/>
                <w:szCs w:val="21"/>
                <w:u w:val="single"/>
                <w:lang w:eastAsia="en-GB"/>
              </w:rPr>
              <w:t> </w:t>
            </w:r>
            <w:r>
              <w:rPr>
                <w:rFonts w:ascii="Times New Roman" w:eastAsia="Times New Roman" w:hAnsi="Times New Roman" w:cs="Times New Roman"/>
                <w:color w:val="000000"/>
                <w:sz w:val="21"/>
                <w:szCs w:val="21"/>
                <w:u w:val="single"/>
                <w:lang w:eastAsia="en-GB"/>
              </w:rPr>
              <w:t>pasākuma noteikumu projektos veikto grozījumu atbilstību Komisijas regulai Nr.1407/2013 un atbilstoši precizēt 4.1.1.</w:t>
            </w:r>
            <w:r>
              <w:rPr>
                <w:rFonts w:ascii="Times New Roman" w:eastAsia="Times New Roman" w:hAnsi="Times New Roman" w:cs="Times New Roman"/>
                <w:i/>
                <w:iCs/>
                <w:sz w:val="21"/>
                <w:szCs w:val="21"/>
                <w:u w:val="single"/>
                <w:lang w:eastAsia="en-GB"/>
              </w:rPr>
              <w:t> </w:t>
            </w:r>
            <w:r>
              <w:rPr>
                <w:rFonts w:ascii="Times New Roman" w:eastAsia="Times New Roman" w:hAnsi="Times New Roman" w:cs="Times New Roman"/>
                <w:color w:val="000000"/>
                <w:sz w:val="21"/>
                <w:szCs w:val="21"/>
                <w:u w:val="single"/>
                <w:lang w:eastAsia="en-GB"/>
              </w:rPr>
              <w:t xml:space="preserve">pasākuma noteikumu projektus un to anotācijas. </w:t>
            </w:r>
            <w:r>
              <w:rPr>
                <w:rFonts w:ascii="Times New Roman" w:eastAsia="Times New Roman" w:hAnsi="Times New Roman" w:cs="Times New Roman"/>
                <w:sz w:val="21"/>
                <w:szCs w:val="21"/>
                <w:u w:val="single"/>
                <w:lang w:eastAsia="en-GB"/>
              </w:rPr>
              <w:t>Tieslietu ministrija varēs sniegt precīzu izvērtējumu par 4.1.1.</w:t>
            </w:r>
            <w:r>
              <w:rPr>
                <w:rFonts w:ascii="Times New Roman" w:eastAsia="Times New Roman" w:hAnsi="Times New Roman" w:cs="Times New Roman"/>
                <w:i/>
                <w:iCs/>
                <w:sz w:val="21"/>
                <w:szCs w:val="21"/>
                <w:u w:val="single"/>
                <w:lang w:eastAsia="en-GB"/>
              </w:rPr>
              <w:t> </w:t>
            </w:r>
            <w:r>
              <w:rPr>
                <w:rFonts w:ascii="Times New Roman" w:eastAsia="Times New Roman" w:hAnsi="Times New Roman" w:cs="Times New Roman"/>
                <w:sz w:val="21"/>
                <w:szCs w:val="21"/>
                <w:u w:val="single"/>
                <w:lang w:eastAsia="en-GB"/>
              </w:rPr>
              <w:t xml:space="preserve">pasākuma noteikumu projektu atbilstību </w:t>
            </w:r>
            <w:r>
              <w:rPr>
                <w:rFonts w:ascii="Times New Roman" w:eastAsia="Times New Roman" w:hAnsi="Times New Roman" w:cs="Times New Roman"/>
                <w:color w:val="000000"/>
                <w:sz w:val="21"/>
                <w:szCs w:val="21"/>
                <w:u w:val="single"/>
                <w:lang w:eastAsia="en-GB"/>
              </w:rPr>
              <w:t xml:space="preserve">Komisijas regulai Nr.1407/2013 </w:t>
            </w:r>
            <w:r>
              <w:rPr>
                <w:rFonts w:ascii="Times New Roman" w:eastAsia="Times New Roman" w:hAnsi="Times New Roman" w:cs="Times New Roman"/>
                <w:sz w:val="21"/>
                <w:szCs w:val="21"/>
                <w:u w:val="single"/>
                <w:lang w:eastAsia="en-GB"/>
              </w:rPr>
              <w:t>pēc anotācijas precizēšanas, aizpildot anotācijas V sadaļu, jo īpaši tās 1.</w:t>
            </w:r>
            <w:r>
              <w:rPr>
                <w:rFonts w:ascii="Times New Roman" w:eastAsia="Times New Roman" w:hAnsi="Times New Roman" w:cs="Times New Roman"/>
                <w:i/>
                <w:iCs/>
                <w:sz w:val="21"/>
                <w:szCs w:val="21"/>
                <w:u w:val="single"/>
                <w:lang w:eastAsia="en-GB"/>
              </w:rPr>
              <w:t> </w:t>
            </w:r>
            <w:r>
              <w:rPr>
                <w:rFonts w:ascii="Times New Roman" w:eastAsia="Times New Roman" w:hAnsi="Times New Roman" w:cs="Times New Roman"/>
                <w:sz w:val="21"/>
                <w:szCs w:val="21"/>
                <w:u w:val="single"/>
                <w:lang w:eastAsia="en-GB"/>
              </w:rPr>
              <w:t>Tabulas D aili (ja attiecināms).</w:t>
            </w:r>
          </w:p>
          <w:p w14:paraId="5390B5C6" w14:textId="77777777" w:rsidR="00F405C9" w:rsidRDefault="00F405C9">
            <w:pPr>
              <w:spacing w:after="0" w:line="240" w:lineRule="auto"/>
              <w:ind w:firstLine="567"/>
              <w:jc w:val="both"/>
              <w:rPr>
                <w:rFonts w:ascii="Times New Roman" w:eastAsia="Times New Roman" w:hAnsi="Times New Roman" w:cs="Times New Roman"/>
                <w:sz w:val="21"/>
                <w:szCs w:val="21"/>
                <w:lang w:eastAsia="en-GB"/>
              </w:rPr>
            </w:pPr>
            <w:r>
              <w:rPr>
                <w:rFonts w:ascii="Times New Roman" w:eastAsia="Times New Roman" w:hAnsi="Times New Roman" w:cs="Times New Roman"/>
                <w:b/>
                <w:bCs/>
                <w:sz w:val="21"/>
                <w:szCs w:val="21"/>
                <w:lang w:eastAsia="en-GB"/>
              </w:rPr>
              <w:t xml:space="preserve">Treškārt, noradām, ka no </w:t>
            </w:r>
            <w:r>
              <w:rPr>
                <w:rFonts w:ascii="Times New Roman" w:eastAsia="Times New Roman" w:hAnsi="Times New Roman" w:cs="Times New Roman"/>
                <w:b/>
                <w:bCs/>
                <w:color w:val="000000"/>
                <w:sz w:val="21"/>
                <w:szCs w:val="21"/>
                <w:lang w:eastAsia="en-GB"/>
              </w:rPr>
              <w:t>4.1.1.</w:t>
            </w:r>
            <w:r>
              <w:rPr>
                <w:rFonts w:ascii="Times New Roman" w:eastAsia="Times New Roman" w:hAnsi="Times New Roman" w:cs="Times New Roman"/>
                <w:b/>
                <w:bCs/>
                <w:i/>
                <w:iCs/>
                <w:sz w:val="21"/>
                <w:szCs w:val="21"/>
                <w:lang w:eastAsia="en-GB"/>
              </w:rPr>
              <w:t> </w:t>
            </w:r>
            <w:r>
              <w:rPr>
                <w:rFonts w:ascii="Times New Roman" w:eastAsia="Times New Roman" w:hAnsi="Times New Roman" w:cs="Times New Roman"/>
                <w:b/>
                <w:bCs/>
                <w:color w:val="000000"/>
                <w:sz w:val="21"/>
                <w:szCs w:val="21"/>
                <w:lang w:eastAsia="en-GB"/>
              </w:rPr>
              <w:t xml:space="preserve">pasākuma noteikumu projektu </w:t>
            </w:r>
            <w:r>
              <w:rPr>
                <w:rFonts w:ascii="Times New Roman" w:eastAsia="Times New Roman" w:hAnsi="Times New Roman" w:cs="Times New Roman"/>
                <w:b/>
                <w:bCs/>
                <w:sz w:val="21"/>
                <w:szCs w:val="21"/>
                <w:lang w:eastAsia="en-GB"/>
              </w:rPr>
              <w:t xml:space="preserve">anotācijās sniegtā skaidrojuma nerodas pārliecība, ka iepriekš minētais grozījums sader ar tiesiskās paļāvības principu un kā tas ietekmēs jau izsniegto atbalstu komersantiem. </w:t>
            </w:r>
            <w:r>
              <w:rPr>
                <w:rFonts w:ascii="Times New Roman" w:eastAsia="Times New Roman" w:hAnsi="Times New Roman" w:cs="Times New Roman"/>
                <w:sz w:val="21"/>
                <w:szCs w:val="21"/>
                <w:lang w:eastAsia="en-GB"/>
              </w:rPr>
              <w:t>Tiesiskās paļāvības princips noteic, ka privātpersona var paļauties, ka iestādes rīcība ir tiesiska un konsekventa, tai skaitā persona var paļauties, ka tā noteiktajā laikā varēs īstenot tai iegūtās tiesības. Satversmes tiesa ir norādījusi (</w:t>
            </w:r>
            <w:r>
              <w:rPr>
                <w:rFonts w:ascii="Times New Roman" w:eastAsia="Times New Roman" w:hAnsi="Times New Roman" w:cs="Times New Roman"/>
                <w:i/>
                <w:iCs/>
                <w:sz w:val="21"/>
                <w:szCs w:val="21"/>
                <w:lang w:eastAsia="en-GB"/>
              </w:rPr>
              <w:t>2009. gada 26.</w:t>
            </w:r>
            <w:r>
              <w:rPr>
                <w:rFonts w:ascii="Times New Roman" w:eastAsia="Times New Roman" w:hAnsi="Times New Roman" w:cs="Times New Roman"/>
                <w:sz w:val="21"/>
                <w:szCs w:val="21"/>
                <w:lang w:eastAsia="en-GB"/>
              </w:rPr>
              <w:t> </w:t>
            </w:r>
            <w:r>
              <w:rPr>
                <w:rFonts w:ascii="Times New Roman" w:eastAsia="Times New Roman" w:hAnsi="Times New Roman" w:cs="Times New Roman"/>
                <w:i/>
                <w:iCs/>
                <w:sz w:val="21"/>
                <w:szCs w:val="21"/>
                <w:lang w:eastAsia="en-GB"/>
              </w:rPr>
              <w:t xml:space="preserve">novembra spriedums lietā </w:t>
            </w:r>
            <w:r>
              <w:rPr>
                <w:rFonts w:ascii="Times New Roman" w:eastAsia="Times New Roman" w:hAnsi="Times New Roman" w:cs="Times New Roman"/>
                <w:i/>
                <w:iCs/>
                <w:sz w:val="21"/>
                <w:szCs w:val="21"/>
                <w:lang w:eastAsia="en-GB"/>
              </w:rPr>
              <w:lastRenderedPageBreak/>
              <w:t>Nr.</w:t>
            </w:r>
            <w:r>
              <w:rPr>
                <w:rFonts w:ascii="Times New Roman" w:eastAsia="Times New Roman" w:hAnsi="Times New Roman" w:cs="Times New Roman"/>
                <w:sz w:val="21"/>
                <w:szCs w:val="21"/>
                <w:lang w:eastAsia="en-GB"/>
              </w:rPr>
              <w:t> </w:t>
            </w:r>
            <w:r>
              <w:rPr>
                <w:rFonts w:ascii="Times New Roman" w:eastAsia="Times New Roman" w:hAnsi="Times New Roman" w:cs="Times New Roman"/>
                <w:i/>
                <w:iCs/>
                <w:sz w:val="21"/>
                <w:szCs w:val="21"/>
                <w:lang w:eastAsia="en-GB"/>
              </w:rPr>
              <w:t>2009-08-01</w:t>
            </w:r>
            <w:r>
              <w:rPr>
                <w:rFonts w:ascii="Times New Roman" w:eastAsia="Times New Roman" w:hAnsi="Times New Roman" w:cs="Times New Roman"/>
                <w:i/>
                <w:iCs/>
                <w:sz w:val="21"/>
                <w:szCs w:val="21"/>
                <w:vertAlign w:val="superscript"/>
                <w:lang w:eastAsia="en-GB"/>
              </w:rPr>
              <w:footnoteReference w:id="1"/>
            </w:r>
            <w:r>
              <w:rPr>
                <w:rFonts w:ascii="Times New Roman" w:eastAsia="Times New Roman" w:hAnsi="Times New Roman" w:cs="Times New Roman"/>
                <w:i/>
                <w:iCs/>
                <w:sz w:val="21"/>
                <w:szCs w:val="21"/>
                <w:lang w:eastAsia="en-GB"/>
              </w:rPr>
              <w:t>),</w:t>
            </w:r>
            <w:r>
              <w:rPr>
                <w:rFonts w:ascii="Times New Roman" w:eastAsia="Times New Roman" w:hAnsi="Times New Roman" w:cs="Times New Roman"/>
                <w:sz w:val="21"/>
                <w:szCs w:val="21"/>
                <w:lang w:eastAsia="en-GB"/>
              </w:rPr>
              <w:t xml:space="preserve"> ka gadījumā, kad normatīvā regulējuma grozījumu rezultātā notiek vai ir iespējama privātpersonu tiesiskā stāvokļa pasliktināšanās, tiesiskās paļāvības princips nodrošina šo personu tiesību aizsardzību, proti, persona var paļauties, ka tā noteiktajā laikā varēs īstenot tai iegūtās tiesības. </w:t>
            </w:r>
          </w:p>
          <w:p w14:paraId="719A4D0F" w14:textId="77777777" w:rsidR="00F405C9" w:rsidRDefault="00F405C9">
            <w:pPr>
              <w:spacing w:after="0" w:line="240" w:lineRule="auto"/>
              <w:ind w:firstLine="567"/>
              <w:jc w:val="both"/>
              <w:rPr>
                <w:rFonts w:ascii="Times New Roman" w:eastAsia="Times New Roman" w:hAnsi="Times New Roman" w:cs="Times New Roman"/>
                <w:sz w:val="21"/>
                <w:szCs w:val="21"/>
                <w:lang w:eastAsia="en-GB"/>
              </w:rPr>
            </w:pPr>
            <w:r>
              <w:rPr>
                <w:rFonts w:ascii="Times New Roman" w:eastAsia="Times New Roman" w:hAnsi="Times New Roman" w:cs="Times New Roman"/>
                <w:sz w:val="21"/>
                <w:szCs w:val="21"/>
                <w:lang w:eastAsia="en-GB"/>
              </w:rPr>
              <w:t xml:space="preserve">Papildus norādām, ka no </w:t>
            </w:r>
            <w:r>
              <w:rPr>
                <w:rFonts w:ascii="Times New Roman" w:eastAsia="Times New Roman" w:hAnsi="Times New Roman" w:cs="Times New Roman"/>
                <w:color w:val="000000"/>
                <w:sz w:val="21"/>
                <w:szCs w:val="21"/>
                <w:lang w:eastAsia="en-GB"/>
              </w:rPr>
              <w:t>4.1.1.</w:t>
            </w:r>
            <w:r>
              <w:rPr>
                <w:rFonts w:ascii="Times New Roman" w:eastAsia="Times New Roman" w:hAnsi="Times New Roman" w:cs="Times New Roman"/>
                <w:i/>
                <w:iCs/>
                <w:sz w:val="21"/>
                <w:szCs w:val="21"/>
                <w:lang w:eastAsia="en-GB"/>
              </w:rPr>
              <w:t> </w:t>
            </w:r>
            <w:r>
              <w:rPr>
                <w:rFonts w:ascii="Times New Roman" w:eastAsia="Times New Roman" w:hAnsi="Times New Roman" w:cs="Times New Roman"/>
                <w:color w:val="000000"/>
                <w:sz w:val="21"/>
                <w:szCs w:val="21"/>
                <w:lang w:eastAsia="en-GB"/>
              </w:rPr>
              <w:t xml:space="preserve">pasākuma noteikumu projektu grozījumu </w:t>
            </w:r>
            <w:r>
              <w:rPr>
                <w:rFonts w:ascii="Times New Roman" w:eastAsia="Times New Roman" w:hAnsi="Times New Roman" w:cs="Times New Roman"/>
                <w:sz w:val="21"/>
                <w:szCs w:val="21"/>
                <w:lang w:eastAsia="en-GB"/>
              </w:rPr>
              <w:t xml:space="preserve">redakcijas izriet regulējuma piemērošana ar atpakaļejošu spēku. Latvijas tiesību sistēmā nav piemērojamas tiesību normas ar atpakaļejošu spēku. Proti, </w:t>
            </w:r>
            <w:r>
              <w:rPr>
                <w:rFonts w:ascii="Times New Roman" w:eastAsia="Times New Roman" w:hAnsi="Times New Roman" w:cs="Times New Roman"/>
                <w:i/>
                <w:iCs/>
                <w:sz w:val="21"/>
                <w:szCs w:val="21"/>
                <w:lang w:eastAsia="en-GB"/>
              </w:rPr>
              <w:t>Oficiālo publikāciju un tiesiskās informācijas likuma</w:t>
            </w:r>
            <w:r>
              <w:rPr>
                <w:rFonts w:ascii="Times New Roman" w:eastAsia="Times New Roman" w:hAnsi="Times New Roman" w:cs="Times New Roman"/>
                <w:sz w:val="21"/>
                <w:szCs w:val="21"/>
                <w:lang w:eastAsia="en-GB"/>
              </w:rPr>
              <w:t xml:space="preserve"> 9. panta ceturtā daļa noteic, ka normatīvajam aktam vai tā daļai nav atpakaļejoša spēka, izņemot likumā īpaši paredzētus gadījumus.</w:t>
            </w:r>
          </w:p>
          <w:p w14:paraId="478B3A60" w14:textId="77777777" w:rsidR="00F405C9" w:rsidRDefault="00F405C9">
            <w:pPr>
              <w:spacing w:after="0" w:line="240" w:lineRule="auto"/>
              <w:ind w:firstLine="567"/>
              <w:jc w:val="both"/>
              <w:rPr>
                <w:rFonts w:ascii="Times New Roman" w:eastAsia="Times New Roman" w:hAnsi="Times New Roman" w:cs="Times New Roman"/>
                <w:sz w:val="21"/>
                <w:szCs w:val="21"/>
                <w:u w:val="single"/>
                <w:lang w:eastAsia="en-GB"/>
              </w:rPr>
            </w:pPr>
            <w:r>
              <w:rPr>
                <w:rFonts w:ascii="Times New Roman" w:eastAsia="Times New Roman" w:hAnsi="Times New Roman" w:cs="Times New Roman"/>
                <w:sz w:val="21"/>
                <w:szCs w:val="21"/>
                <w:u w:val="single"/>
                <w:lang w:eastAsia="en-GB"/>
              </w:rPr>
              <w:t xml:space="preserve">Līdz ar to lūdzam 4.1.1. pasākuma noteikumu projekta anotācijā </w:t>
            </w:r>
            <w:r>
              <w:rPr>
                <w:rFonts w:ascii="Times New Roman" w:eastAsia="Times New Roman" w:hAnsi="Times New Roman" w:cs="Times New Roman"/>
                <w:b/>
                <w:bCs/>
                <w:sz w:val="21"/>
                <w:szCs w:val="21"/>
                <w:u w:val="single"/>
                <w:lang w:eastAsia="en-GB"/>
              </w:rPr>
              <w:t xml:space="preserve">izvērsti </w:t>
            </w:r>
            <w:r>
              <w:rPr>
                <w:rFonts w:ascii="Times New Roman" w:eastAsia="Times New Roman" w:hAnsi="Times New Roman" w:cs="Times New Roman"/>
                <w:sz w:val="21"/>
                <w:szCs w:val="21"/>
                <w:u w:val="single"/>
                <w:lang w:eastAsia="en-GB"/>
              </w:rPr>
              <w:t>skaidrot, kā šajā projektā paredzētais grozījums par maksimālā atbalsta ierobežošanu ietekmēs personas, kuras jau ir saņēmušas atbalstu (vai minētajām personām pasliktināsies tiesiski iegūtais stāvoklis), tai skaitā, vai atbalstu saņēmušās personas ir informētas par iespējamo grozījumu un tās brīvprātīgi piekritušas šādam grozījumam. Ja minētais grozījums negatīvi un bez būtiska pamatojuma ietekmēs personu jau iegūtās tiesības, Tieslietu ministrija nevar atbalstīt projekta tālāku virzību.</w:t>
            </w:r>
          </w:p>
          <w:p w14:paraId="434B4D84" w14:textId="77777777" w:rsidR="00F405C9" w:rsidRDefault="00F405C9">
            <w:pPr>
              <w:spacing w:after="0" w:line="240" w:lineRule="auto"/>
              <w:jc w:val="both"/>
              <w:rPr>
                <w:rFonts w:ascii="Times New Roman" w:hAnsi="Times New Roman" w:cs="Times New Roman"/>
                <w:b/>
                <w:bCs/>
                <w:sz w:val="21"/>
                <w:szCs w:val="21"/>
              </w:rPr>
            </w:pPr>
          </w:p>
        </w:tc>
        <w:tc>
          <w:tcPr>
            <w:tcW w:w="1098" w:type="pct"/>
            <w:gridSpan w:val="2"/>
            <w:tcBorders>
              <w:top w:val="single" w:sz="6" w:space="0" w:color="000000"/>
              <w:left w:val="single" w:sz="6" w:space="0" w:color="000000"/>
              <w:bottom w:val="single" w:sz="6" w:space="0" w:color="000000"/>
              <w:right w:val="single" w:sz="6" w:space="0" w:color="000000"/>
            </w:tcBorders>
            <w:hideMark/>
          </w:tcPr>
          <w:p w14:paraId="3AE99639" w14:textId="77777777" w:rsidR="00F405C9" w:rsidRDefault="00F405C9">
            <w:pPr>
              <w:spacing w:after="0" w:line="240" w:lineRule="auto"/>
              <w:jc w:val="center"/>
              <w:rPr>
                <w:rFonts w:ascii="Times New Roman" w:eastAsia="Times New Roman" w:hAnsi="Times New Roman" w:cs="Times New Roman"/>
                <w:b/>
                <w:sz w:val="21"/>
                <w:szCs w:val="21"/>
                <w:lang w:eastAsia="lv-LV"/>
              </w:rPr>
            </w:pPr>
            <w:r>
              <w:rPr>
                <w:rFonts w:ascii="Times New Roman" w:eastAsia="Times New Roman" w:hAnsi="Times New Roman" w:cs="Times New Roman"/>
                <w:b/>
                <w:sz w:val="21"/>
                <w:szCs w:val="21"/>
                <w:lang w:eastAsia="lv-LV"/>
              </w:rPr>
              <w:lastRenderedPageBreak/>
              <w:t>Ņemts vērā</w:t>
            </w:r>
          </w:p>
          <w:p w14:paraId="2E34D74F" w14:textId="77777777" w:rsidR="00F405C9" w:rsidRDefault="00F405C9">
            <w:pPr>
              <w:spacing w:after="0" w:line="240" w:lineRule="auto"/>
              <w:jc w:val="both"/>
              <w:rPr>
                <w:rFonts w:ascii="Times New Roman" w:eastAsia="Times New Roman" w:hAnsi="Times New Roman" w:cs="Times New Roman"/>
                <w:b/>
                <w:sz w:val="21"/>
                <w:szCs w:val="21"/>
                <w:lang w:eastAsia="lv-LV"/>
              </w:rPr>
            </w:pPr>
            <w:r>
              <w:rPr>
                <w:rFonts w:ascii="Times New Roman" w:eastAsia="Times New Roman" w:hAnsi="Times New Roman" w:cs="Times New Roman"/>
                <w:bCs/>
                <w:sz w:val="21"/>
                <w:szCs w:val="21"/>
                <w:lang w:eastAsia="lv-LV"/>
              </w:rPr>
              <w:t>Detalizēts skaidrojums iekļauts Noteikumu projekta anotācijas I sadaļas “Tiesību akta projekta izstrādes nepieciešamība” 2. punktā “Pašreizējā situācija un problēmas, kuru risināšanai tiesību akta projekts izstrādāts, tiesiskā regulējuma mērķis un būtība” un V sadaļas “Tiesību akta projekta atbilstība Latvijas Republikas starptautiskajām saistībām” 1. tabulā.</w:t>
            </w:r>
          </w:p>
        </w:tc>
        <w:tc>
          <w:tcPr>
            <w:tcW w:w="1099" w:type="pct"/>
            <w:tcBorders>
              <w:top w:val="single" w:sz="4" w:space="0" w:color="auto"/>
              <w:left w:val="single" w:sz="4" w:space="0" w:color="auto"/>
              <w:bottom w:val="single" w:sz="4" w:space="0" w:color="auto"/>
              <w:right w:val="single" w:sz="4" w:space="0" w:color="auto"/>
            </w:tcBorders>
            <w:hideMark/>
          </w:tcPr>
          <w:p w14:paraId="3C34B9EE" w14:textId="77777777" w:rsidR="00F405C9" w:rsidRDefault="00F405C9">
            <w:pPr>
              <w:spacing w:after="0" w:line="240" w:lineRule="auto"/>
              <w:rPr>
                <w:rFonts w:ascii="Times New Roman" w:eastAsia="Times New Roman" w:hAnsi="Times New Roman" w:cs="Times New Roman"/>
                <w:sz w:val="21"/>
                <w:szCs w:val="21"/>
                <w:lang w:eastAsia="lv-LV"/>
              </w:rPr>
            </w:pPr>
            <w:r>
              <w:rPr>
                <w:rFonts w:ascii="Times New Roman" w:eastAsia="Times New Roman" w:hAnsi="Times New Roman" w:cs="Times New Roman"/>
                <w:sz w:val="21"/>
                <w:szCs w:val="21"/>
                <w:lang w:eastAsia="lv-LV"/>
              </w:rPr>
              <w:t xml:space="preserve">Sniegts skaidrojums anotācijas I sadaļas 2. punktā un V sadaļas </w:t>
            </w:r>
            <w:r>
              <w:rPr>
                <w:rFonts w:ascii="Times New Roman" w:eastAsia="Times New Roman" w:hAnsi="Times New Roman" w:cs="Times New Roman"/>
                <w:bCs/>
                <w:sz w:val="21"/>
                <w:szCs w:val="21"/>
                <w:lang w:eastAsia="lv-LV"/>
              </w:rPr>
              <w:t>1. tabulā</w:t>
            </w:r>
          </w:p>
        </w:tc>
      </w:tr>
      <w:tr w:rsidR="00F405C9" w14:paraId="15ED4CA7" w14:textId="77777777" w:rsidTr="00F405C9">
        <w:trPr>
          <w:gridAfter w:val="2"/>
          <w:wAfter w:w="1696" w:type="pct"/>
          <w:trHeight w:val="300"/>
        </w:trPr>
        <w:tc>
          <w:tcPr>
            <w:tcW w:w="1091" w:type="pct"/>
            <w:gridSpan w:val="2"/>
            <w:tcBorders>
              <w:top w:val="nil"/>
              <w:left w:val="nil"/>
              <w:bottom w:val="nil"/>
              <w:right w:val="nil"/>
            </w:tcBorders>
            <w:noWrap/>
            <w:tcMar>
              <w:top w:w="20" w:type="dxa"/>
              <w:left w:w="20" w:type="dxa"/>
              <w:bottom w:w="20" w:type="dxa"/>
              <w:right w:w="20" w:type="dxa"/>
            </w:tcMar>
            <w:vAlign w:val="bottom"/>
            <w:hideMark/>
          </w:tcPr>
          <w:p w14:paraId="68E009EB" w14:textId="77777777" w:rsidR="00F405C9" w:rsidRDefault="00F405C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Atbildīgā amatpersona</w:t>
            </w:r>
          </w:p>
        </w:tc>
        <w:tc>
          <w:tcPr>
            <w:tcW w:w="2213" w:type="pct"/>
            <w:gridSpan w:val="3"/>
            <w:tcBorders>
              <w:top w:val="nil"/>
              <w:left w:val="nil"/>
              <w:bottom w:val="single" w:sz="6" w:space="0" w:color="414142"/>
              <w:right w:val="nil"/>
            </w:tcBorders>
            <w:tcMar>
              <w:top w:w="20" w:type="dxa"/>
              <w:left w:w="20" w:type="dxa"/>
              <w:bottom w:w="20" w:type="dxa"/>
              <w:right w:w="20" w:type="dxa"/>
            </w:tcMar>
            <w:hideMark/>
          </w:tcPr>
          <w:p w14:paraId="75E965A4" w14:textId="77777777" w:rsidR="00F405C9" w:rsidRDefault="00F405C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w:t>
            </w:r>
          </w:p>
        </w:tc>
      </w:tr>
      <w:tr w:rsidR="00F405C9" w14:paraId="0CB0B8CD" w14:textId="77777777" w:rsidTr="00F405C9">
        <w:trPr>
          <w:gridAfter w:val="2"/>
          <w:wAfter w:w="1696" w:type="pct"/>
        </w:trPr>
        <w:tc>
          <w:tcPr>
            <w:tcW w:w="1091" w:type="pct"/>
            <w:gridSpan w:val="2"/>
            <w:tcBorders>
              <w:top w:val="nil"/>
              <w:left w:val="nil"/>
              <w:bottom w:val="nil"/>
              <w:right w:val="nil"/>
            </w:tcBorders>
            <w:tcMar>
              <w:top w:w="20" w:type="dxa"/>
              <w:left w:w="20" w:type="dxa"/>
              <w:bottom w:w="20" w:type="dxa"/>
              <w:right w:w="20" w:type="dxa"/>
            </w:tcMar>
            <w:hideMark/>
          </w:tcPr>
          <w:p w14:paraId="4BA250C0" w14:textId="77777777" w:rsidR="00F405C9" w:rsidRDefault="00F405C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w:t>
            </w:r>
          </w:p>
        </w:tc>
        <w:tc>
          <w:tcPr>
            <w:tcW w:w="2213" w:type="pct"/>
            <w:gridSpan w:val="3"/>
            <w:tcBorders>
              <w:top w:val="single" w:sz="6" w:space="0" w:color="414142"/>
              <w:left w:val="nil"/>
              <w:bottom w:val="nil"/>
              <w:right w:val="nil"/>
            </w:tcBorders>
            <w:tcMar>
              <w:top w:w="20" w:type="dxa"/>
              <w:left w:w="20" w:type="dxa"/>
              <w:bottom w:w="20" w:type="dxa"/>
              <w:right w:w="20" w:type="dxa"/>
            </w:tcMar>
            <w:hideMark/>
          </w:tcPr>
          <w:p w14:paraId="2D00A46D" w14:textId="77777777" w:rsidR="00F405C9" w:rsidRDefault="00F405C9">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(paraksts)*</w:t>
            </w:r>
          </w:p>
        </w:tc>
      </w:tr>
    </w:tbl>
    <w:p w14:paraId="72AE43B9" w14:textId="77777777" w:rsidR="00F405C9" w:rsidRDefault="00F405C9" w:rsidP="00F405C9">
      <w:pPr>
        <w:spacing w:before="100" w:beforeAutospacing="1" w:after="100" w:afterAutospacing="1" w:line="293" w:lineRule="atLeast"/>
        <w:ind w:firstLine="300"/>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lastRenderedPageBreak/>
        <w:t>Piezīme. * Dokumenta rekvizītu "paraksts" neaizpilda, ja elektroniskais dokuments ir sagatavots atbilstoši normatīvajiem aktiem par elektronisko dokumentu noformēšanu.</w:t>
      </w:r>
    </w:p>
    <w:tbl>
      <w:tblPr>
        <w:tblW w:w="5000" w:type="pct"/>
        <w:tblCellMar>
          <w:top w:w="20" w:type="dxa"/>
          <w:left w:w="20" w:type="dxa"/>
          <w:bottom w:w="20" w:type="dxa"/>
          <w:right w:w="20" w:type="dxa"/>
        </w:tblCellMar>
        <w:tblLook w:val="04A0" w:firstRow="1" w:lastRow="0" w:firstColumn="1" w:lastColumn="0" w:noHBand="0" w:noVBand="1"/>
      </w:tblPr>
      <w:tblGrid>
        <w:gridCol w:w="13005"/>
        <w:gridCol w:w="1713"/>
      </w:tblGrid>
      <w:tr w:rsidR="00F405C9" w14:paraId="1411569D" w14:textId="77777777" w:rsidTr="00F405C9">
        <w:trPr>
          <w:trHeight w:val="200"/>
        </w:trPr>
        <w:tc>
          <w:tcPr>
            <w:tcW w:w="13005" w:type="dxa"/>
            <w:tcBorders>
              <w:top w:val="nil"/>
              <w:left w:val="nil"/>
              <w:bottom w:val="single" w:sz="6" w:space="0" w:color="414142"/>
              <w:right w:val="nil"/>
            </w:tcBorders>
            <w:hideMark/>
          </w:tcPr>
          <w:p w14:paraId="2268F357" w14:textId="77777777" w:rsidR="00F405C9" w:rsidRDefault="00F405C9">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Dace Beļajeva</w:t>
            </w:r>
          </w:p>
        </w:tc>
        <w:tc>
          <w:tcPr>
            <w:tcW w:w="0" w:type="auto"/>
            <w:hideMark/>
          </w:tcPr>
          <w:p w14:paraId="2F4C1012" w14:textId="77777777" w:rsidR="00F405C9" w:rsidRDefault="00F405C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w:t>
            </w:r>
          </w:p>
        </w:tc>
      </w:tr>
      <w:tr w:rsidR="00F405C9" w14:paraId="7CAEB1E1" w14:textId="77777777" w:rsidTr="00F405C9">
        <w:trPr>
          <w:trHeight w:val="200"/>
        </w:trPr>
        <w:tc>
          <w:tcPr>
            <w:tcW w:w="13005" w:type="dxa"/>
            <w:tcBorders>
              <w:top w:val="single" w:sz="6" w:space="0" w:color="414142"/>
              <w:left w:val="nil"/>
              <w:bottom w:val="nil"/>
              <w:right w:val="nil"/>
            </w:tcBorders>
            <w:hideMark/>
          </w:tcPr>
          <w:p w14:paraId="783470DD" w14:textId="77777777" w:rsidR="00F405C9" w:rsidRDefault="00F405C9">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(par projektu atbildīgās amatpersonas vārds un uzvārds)</w:t>
            </w:r>
          </w:p>
        </w:tc>
        <w:tc>
          <w:tcPr>
            <w:tcW w:w="0" w:type="auto"/>
            <w:hideMark/>
          </w:tcPr>
          <w:p w14:paraId="0EDAD875" w14:textId="77777777" w:rsidR="00F405C9" w:rsidRDefault="00F405C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w:t>
            </w:r>
          </w:p>
        </w:tc>
      </w:tr>
      <w:tr w:rsidR="00F405C9" w14:paraId="01C0D192" w14:textId="77777777" w:rsidTr="00F405C9">
        <w:trPr>
          <w:trHeight w:val="200"/>
        </w:trPr>
        <w:tc>
          <w:tcPr>
            <w:tcW w:w="13005" w:type="dxa"/>
            <w:tcBorders>
              <w:top w:val="nil"/>
              <w:left w:val="nil"/>
              <w:bottom w:val="single" w:sz="6" w:space="0" w:color="414142"/>
              <w:right w:val="nil"/>
            </w:tcBorders>
            <w:hideMark/>
          </w:tcPr>
          <w:p w14:paraId="54EAF97A" w14:textId="77777777" w:rsidR="00F405C9" w:rsidRDefault="00F405C9">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Vecākā eksperte </w:t>
            </w:r>
          </w:p>
        </w:tc>
        <w:tc>
          <w:tcPr>
            <w:tcW w:w="0" w:type="auto"/>
            <w:hideMark/>
          </w:tcPr>
          <w:p w14:paraId="55719729" w14:textId="77777777" w:rsidR="00F405C9" w:rsidRDefault="00F405C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w:t>
            </w:r>
          </w:p>
        </w:tc>
      </w:tr>
      <w:tr w:rsidR="00F405C9" w14:paraId="67824D2C" w14:textId="77777777" w:rsidTr="00F405C9">
        <w:trPr>
          <w:trHeight w:val="200"/>
        </w:trPr>
        <w:tc>
          <w:tcPr>
            <w:tcW w:w="13005" w:type="dxa"/>
            <w:tcBorders>
              <w:top w:val="single" w:sz="6" w:space="0" w:color="414142"/>
              <w:left w:val="nil"/>
              <w:bottom w:val="nil"/>
              <w:right w:val="nil"/>
            </w:tcBorders>
            <w:hideMark/>
          </w:tcPr>
          <w:p w14:paraId="5D348110" w14:textId="77777777" w:rsidR="00F405C9" w:rsidRDefault="00F405C9">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(amats)</w:t>
            </w:r>
          </w:p>
        </w:tc>
        <w:tc>
          <w:tcPr>
            <w:tcW w:w="0" w:type="auto"/>
            <w:hideMark/>
          </w:tcPr>
          <w:p w14:paraId="42483767" w14:textId="77777777" w:rsidR="00F405C9" w:rsidRDefault="00F405C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w:t>
            </w:r>
          </w:p>
        </w:tc>
      </w:tr>
      <w:tr w:rsidR="00F405C9" w14:paraId="03EB6906" w14:textId="77777777" w:rsidTr="00F405C9">
        <w:trPr>
          <w:trHeight w:val="200"/>
        </w:trPr>
        <w:tc>
          <w:tcPr>
            <w:tcW w:w="13005" w:type="dxa"/>
            <w:tcBorders>
              <w:top w:val="nil"/>
              <w:left w:val="nil"/>
              <w:bottom w:val="single" w:sz="6" w:space="0" w:color="414142"/>
              <w:right w:val="nil"/>
            </w:tcBorders>
            <w:hideMark/>
          </w:tcPr>
          <w:p w14:paraId="0CD77A43" w14:textId="77777777" w:rsidR="00F405C9" w:rsidRDefault="00F405C9">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67013107</w:t>
            </w:r>
          </w:p>
        </w:tc>
        <w:tc>
          <w:tcPr>
            <w:tcW w:w="0" w:type="auto"/>
            <w:hideMark/>
          </w:tcPr>
          <w:p w14:paraId="417A17AF" w14:textId="77777777" w:rsidR="00F405C9" w:rsidRDefault="00F405C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w:t>
            </w:r>
          </w:p>
        </w:tc>
      </w:tr>
      <w:tr w:rsidR="00F405C9" w14:paraId="63F0A525" w14:textId="77777777" w:rsidTr="00F405C9">
        <w:trPr>
          <w:trHeight w:val="200"/>
        </w:trPr>
        <w:tc>
          <w:tcPr>
            <w:tcW w:w="13005" w:type="dxa"/>
            <w:tcBorders>
              <w:top w:val="single" w:sz="6" w:space="0" w:color="414142"/>
              <w:left w:val="nil"/>
              <w:bottom w:val="nil"/>
              <w:right w:val="nil"/>
            </w:tcBorders>
            <w:hideMark/>
          </w:tcPr>
          <w:p w14:paraId="7928B37D" w14:textId="77777777" w:rsidR="00F405C9" w:rsidRDefault="00F405C9">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(tālruņa un faksa numurs)</w:t>
            </w:r>
          </w:p>
        </w:tc>
        <w:tc>
          <w:tcPr>
            <w:tcW w:w="0" w:type="auto"/>
            <w:hideMark/>
          </w:tcPr>
          <w:p w14:paraId="297AB7F9" w14:textId="77777777" w:rsidR="00F405C9" w:rsidRDefault="00F405C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w:t>
            </w:r>
          </w:p>
        </w:tc>
      </w:tr>
      <w:tr w:rsidR="00F405C9" w14:paraId="120F35AF" w14:textId="77777777" w:rsidTr="00F405C9">
        <w:trPr>
          <w:trHeight w:val="200"/>
        </w:trPr>
        <w:tc>
          <w:tcPr>
            <w:tcW w:w="13005" w:type="dxa"/>
            <w:tcBorders>
              <w:top w:val="nil"/>
              <w:left w:val="nil"/>
              <w:bottom w:val="single" w:sz="6" w:space="0" w:color="414142"/>
              <w:right w:val="nil"/>
            </w:tcBorders>
            <w:hideMark/>
          </w:tcPr>
          <w:p w14:paraId="21FC668B" w14:textId="77777777" w:rsidR="00F405C9" w:rsidRDefault="00F405C9">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Dace.Belajeva@em.gov.lv </w:t>
            </w:r>
          </w:p>
        </w:tc>
        <w:tc>
          <w:tcPr>
            <w:tcW w:w="0" w:type="auto"/>
            <w:hideMark/>
          </w:tcPr>
          <w:p w14:paraId="6AF69DC3" w14:textId="77777777" w:rsidR="00F405C9" w:rsidRDefault="00F405C9">
            <w:pPr>
              <w:spacing w:after="0" w:line="240" w:lineRule="auto"/>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 </w:t>
            </w:r>
          </w:p>
        </w:tc>
      </w:tr>
      <w:tr w:rsidR="00F405C9" w14:paraId="4B80404A" w14:textId="77777777" w:rsidTr="00F405C9">
        <w:trPr>
          <w:trHeight w:val="200"/>
        </w:trPr>
        <w:tc>
          <w:tcPr>
            <w:tcW w:w="13005" w:type="dxa"/>
            <w:tcBorders>
              <w:top w:val="single" w:sz="6" w:space="0" w:color="414142"/>
              <w:left w:val="nil"/>
              <w:bottom w:val="nil"/>
              <w:right w:val="nil"/>
            </w:tcBorders>
            <w:shd w:val="clear" w:color="auto" w:fill="FFFFFF"/>
            <w:hideMark/>
          </w:tcPr>
          <w:p w14:paraId="6C8B2727" w14:textId="77777777" w:rsidR="00F405C9" w:rsidRDefault="00F405C9">
            <w:pPr>
              <w:spacing w:after="0" w:line="240" w:lineRule="auto"/>
              <w:jc w:val="center"/>
              <w:rPr>
                <w:rFonts w:ascii="Times New Roman" w:eastAsia="Times New Roman" w:hAnsi="Times New Roman" w:cs="Times New Roman"/>
                <w:color w:val="414142"/>
                <w:sz w:val="20"/>
                <w:szCs w:val="20"/>
                <w:lang w:eastAsia="lv-LV"/>
              </w:rPr>
            </w:pPr>
            <w:r>
              <w:rPr>
                <w:rFonts w:ascii="Times New Roman" w:eastAsia="Times New Roman" w:hAnsi="Times New Roman" w:cs="Times New Roman"/>
                <w:color w:val="414142"/>
                <w:sz w:val="20"/>
                <w:szCs w:val="20"/>
                <w:lang w:eastAsia="lv-LV"/>
              </w:rPr>
              <w:t>(e-pasta adrese)</w:t>
            </w:r>
          </w:p>
        </w:tc>
        <w:tc>
          <w:tcPr>
            <w:tcW w:w="0" w:type="auto"/>
            <w:vAlign w:val="center"/>
            <w:hideMark/>
          </w:tcPr>
          <w:p w14:paraId="316A064B" w14:textId="77777777" w:rsidR="00F405C9" w:rsidRDefault="00F405C9">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br/>
            </w:r>
          </w:p>
        </w:tc>
      </w:tr>
    </w:tbl>
    <w:p w14:paraId="122F36F2" w14:textId="77777777" w:rsidR="00F405C9" w:rsidRDefault="00F405C9" w:rsidP="00F405C9">
      <w:pPr>
        <w:tabs>
          <w:tab w:val="left" w:pos="1170"/>
        </w:tabs>
        <w:rPr>
          <w:rFonts w:ascii="Times New Roman" w:hAnsi="Times New Roman" w:cs="Times New Roman"/>
          <w:sz w:val="21"/>
          <w:szCs w:val="21"/>
        </w:rPr>
      </w:pPr>
    </w:p>
    <w:p w14:paraId="385B9025" w14:textId="77777777" w:rsidR="00F405C9" w:rsidRDefault="00F405C9" w:rsidP="00F405C9">
      <w:pPr>
        <w:tabs>
          <w:tab w:val="left" w:pos="1170"/>
        </w:tabs>
        <w:rPr>
          <w:rFonts w:ascii="Times New Roman" w:hAnsi="Times New Roman" w:cs="Times New Roman"/>
          <w:sz w:val="21"/>
          <w:szCs w:val="21"/>
        </w:rPr>
      </w:pPr>
    </w:p>
    <w:p w14:paraId="2BB5B80E" w14:textId="77777777" w:rsidR="00F405C9" w:rsidRDefault="00F405C9" w:rsidP="00F405C9">
      <w:pPr>
        <w:rPr>
          <w:rFonts w:ascii="Times New Roman" w:hAnsi="Times New Roman" w:cs="Times New Roman"/>
          <w:sz w:val="18"/>
          <w:szCs w:val="18"/>
        </w:rPr>
      </w:pPr>
      <w:r>
        <w:rPr>
          <w:rFonts w:ascii="Times New Roman" w:hAnsi="Times New Roman" w:cs="Times New Roman"/>
          <w:sz w:val="18"/>
          <w:szCs w:val="18"/>
        </w:rPr>
        <w:t xml:space="preserve">Beļajeva, </w:t>
      </w:r>
      <w:r>
        <w:rPr>
          <w:rFonts w:ascii="Times New Roman" w:eastAsia="Times New Roman" w:hAnsi="Times New Roman" w:cs="Times New Roman"/>
          <w:color w:val="414142"/>
          <w:sz w:val="20"/>
          <w:szCs w:val="20"/>
          <w:lang w:eastAsia="lv-LV"/>
        </w:rPr>
        <w:t>67013107</w:t>
      </w:r>
    </w:p>
    <w:p w14:paraId="741BDD44" w14:textId="1F2DF176" w:rsidR="00C90EB3" w:rsidRPr="00F405C9" w:rsidRDefault="00C90EB3" w:rsidP="00F405C9"/>
    <w:sectPr w:rsidR="00C90EB3" w:rsidRPr="00F405C9" w:rsidSect="00D65CFE">
      <w:headerReference w:type="default" r:id="rId8"/>
      <w:footerReference w:type="default" r:id="rId9"/>
      <w:footerReference w:type="first" r:id="rId10"/>
      <w:pgSz w:w="16838" w:h="11906" w:orient="landscape"/>
      <w:pgMar w:top="992" w:right="822" w:bottom="851" w:left="129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468F0" w14:textId="77777777" w:rsidR="00950172" w:rsidRDefault="00950172" w:rsidP="003A0F64">
      <w:pPr>
        <w:spacing w:after="0" w:line="240" w:lineRule="auto"/>
      </w:pPr>
      <w:r>
        <w:separator/>
      </w:r>
    </w:p>
  </w:endnote>
  <w:endnote w:type="continuationSeparator" w:id="0">
    <w:p w14:paraId="6FA6C0DE" w14:textId="77777777" w:rsidR="00950172" w:rsidRDefault="00950172" w:rsidP="003A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670BF" w14:textId="783D7FBB" w:rsidR="008C0DA9" w:rsidRPr="00746C15" w:rsidRDefault="008C0DA9" w:rsidP="0095381B">
    <w:pPr>
      <w:pStyle w:val="Footer"/>
      <w:tabs>
        <w:tab w:val="clear" w:pos="4153"/>
        <w:tab w:val="clear" w:pos="8306"/>
        <w:tab w:val="left" w:pos="1860"/>
        <w:tab w:val="left" w:pos="4230"/>
      </w:tabs>
      <w:rPr>
        <w:noProof/>
        <w:sz w:val="20"/>
        <w:lang w:val="lv-LV"/>
      </w:rPr>
    </w:pPr>
    <w:r w:rsidRPr="00F66122">
      <w:rPr>
        <w:sz w:val="20"/>
      </w:rPr>
      <w:fldChar w:fldCharType="begin"/>
    </w:r>
    <w:r w:rsidRPr="00F66122">
      <w:rPr>
        <w:sz w:val="20"/>
      </w:rPr>
      <w:instrText xml:space="preserve"> FILENAME   \* MERGEFORMAT </w:instrText>
    </w:r>
    <w:r w:rsidRPr="00F66122">
      <w:rPr>
        <w:sz w:val="20"/>
      </w:rPr>
      <w:fldChar w:fldCharType="separate"/>
    </w:r>
    <w:r w:rsidR="002634F2">
      <w:rPr>
        <w:noProof/>
        <w:sz w:val="20"/>
      </w:rPr>
      <w:t>EMIzz_</w:t>
    </w:r>
    <w:r w:rsidR="00CF5EB0">
      <w:rPr>
        <w:noProof/>
        <w:sz w:val="20"/>
        <w:lang w:val="lv-LV"/>
      </w:rPr>
      <w:t>1</w:t>
    </w:r>
    <w:r w:rsidR="002A615C">
      <w:rPr>
        <w:noProof/>
        <w:sz w:val="20"/>
        <w:lang w:val="lv-LV"/>
      </w:rPr>
      <w:t>9</w:t>
    </w:r>
    <w:r w:rsidR="00CF5EB0">
      <w:rPr>
        <w:noProof/>
        <w:sz w:val="20"/>
        <w:lang w:val="lv-LV"/>
      </w:rPr>
      <w:t>11</w:t>
    </w:r>
    <w:r w:rsidR="002634F2" w:rsidRPr="002634F2">
      <w:rPr>
        <w:noProof/>
        <w:sz w:val="20"/>
        <w:lang w:val="lv-LV"/>
      </w:rPr>
      <w:t>2020</w:t>
    </w:r>
    <w:r w:rsidR="002634F2">
      <w:rPr>
        <w:noProof/>
        <w:sz w:val="20"/>
      </w:rPr>
      <w:t>_</w:t>
    </w:r>
    <w:r w:rsidR="006546C1">
      <w:rPr>
        <w:noProof/>
        <w:sz w:val="20"/>
        <w:lang w:val="lv-LV"/>
      </w:rPr>
      <w:t>Groz</w:t>
    </w:r>
    <w:r w:rsidR="00C90EB3">
      <w:rPr>
        <w:noProof/>
        <w:sz w:val="20"/>
        <w:lang w:val="lv-LV"/>
      </w:rPr>
      <w:t>_3</w:t>
    </w:r>
    <w:r w:rsidR="00CF5EB0">
      <w:rPr>
        <w:noProof/>
        <w:sz w:val="20"/>
        <w:lang w:val="lv-LV"/>
      </w:rPr>
      <w:t>8</w:t>
    </w:r>
    <w:r w:rsidR="002634F2">
      <w:rPr>
        <w:noProof/>
        <w:sz w:val="20"/>
      </w:rPr>
      <w:t>.docx</w:t>
    </w:r>
    <w:r w:rsidRPr="00F66122">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8056E6" w14:textId="6AA3872F" w:rsidR="00D65CFE" w:rsidRDefault="00D65CFE" w:rsidP="00D65CFE">
    <w:pPr>
      <w:pStyle w:val="Footer"/>
      <w:tabs>
        <w:tab w:val="clear" w:pos="4153"/>
        <w:tab w:val="clear" w:pos="8306"/>
        <w:tab w:val="left" w:pos="1860"/>
        <w:tab w:val="left" w:pos="4230"/>
      </w:tabs>
    </w:pPr>
    <w:r w:rsidRPr="00F66122">
      <w:rPr>
        <w:sz w:val="20"/>
      </w:rPr>
      <w:fldChar w:fldCharType="begin"/>
    </w:r>
    <w:r w:rsidRPr="00F66122">
      <w:rPr>
        <w:sz w:val="20"/>
      </w:rPr>
      <w:instrText xml:space="preserve"> FILENAME   \* MERGEFORMAT </w:instrText>
    </w:r>
    <w:r w:rsidRPr="00F66122">
      <w:rPr>
        <w:sz w:val="20"/>
      </w:rPr>
      <w:fldChar w:fldCharType="separate"/>
    </w:r>
    <w:r>
      <w:rPr>
        <w:noProof/>
        <w:sz w:val="20"/>
      </w:rPr>
      <w:t>EMIzz_</w:t>
    </w:r>
    <w:r>
      <w:rPr>
        <w:noProof/>
        <w:sz w:val="20"/>
        <w:lang w:val="lv-LV"/>
      </w:rPr>
      <w:t>1911</w:t>
    </w:r>
    <w:r w:rsidRPr="002634F2">
      <w:rPr>
        <w:noProof/>
        <w:sz w:val="20"/>
        <w:lang w:val="lv-LV"/>
      </w:rPr>
      <w:t>2020</w:t>
    </w:r>
    <w:r>
      <w:rPr>
        <w:noProof/>
        <w:sz w:val="20"/>
      </w:rPr>
      <w:t>_</w:t>
    </w:r>
    <w:r>
      <w:rPr>
        <w:noProof/>
        <w:sz w:val="20"/>
        <w:lang w:val="lv-LV"/>
      </w:rPr>
      <w:t>Groz_38</w:t>
    </w:r>
    <w:r>
      <w:rPr>
        <w:noProof/>
        <w:sz w:val="20"/>
      </w:rPr>
      <w:t>.docx</w:t>
    </w:r>
    <w:r w:rsidRPr="00F66122">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C7E03" w14:textId="77777777" w:rsidR="00950172" w:rsidRDefault="00950172" w:rsidP="003A0F64">
      <w:pPr>
        <w:spacing w:after="0" w:line="240" w:lineRule="auto"/>
      </w:pPr>
      <w:r>
        <w:separator/>
      </w:r>
    </w:p>
  </w:footnote>
  <w:footnote w:type="continuationSeparator" w:id="0">
    <w:p w14:paraId="43AE5A1D" w14:textId="77777777" w:rsidR="00950172" w:rsidRDefault="00950172" w:rsidP="003A0F64">
      <w:pPr>
        <w:spacing w:after="0" w:line="240" w:lineRule="auto"/>
      </w:pPr>
      <w:r>
        <w:continuationSeparator/>
      </w:r>
    </w:p>
  </w:footnote>
  <w:footnote w:id="1">
    <w:p w14:paraId="7562B80A" w14:textId="77777777" w:rsidR="00F405C9" w:rsidRDefault="00F405C9" w:rsidP="00F405C9">
      <w:pPr>
        <w:pStyle w:val="FootnoteText"/>
      </w:pPr>
      <w:r>
        <w:rPr>
          <w:rStyle w:val="FootnoteReference"/>
        </w:rPr>
        <w:footnoteRef/>
      </w:r>
      <w:r>
        <w:t xml:space="preserve"> Latvijas Republikas Satversmes tiesas 2009. gada 26. novembra spriedums lietā Nr. 2009-08-01; Pieejams: </w:t>
      </w:r>
      <w:hyperlink r:id="rId1" w:history="1">
        <w:r>
          <w:rPr>
            <w:rStyle w:val="Hyperlink"/>
          </w:rPr>
          <w:t>http://www.satv.tiesa.gov.lv/wp-content/uploads/2016/02/2009-08-01_Spriedums.pdf</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F3C82" w14:textId="66A62B8C" w:rsidR="008C0DA9" w:rsidRDefault="008C0DA9">
    <w:pPr>
      <w:pStyle w:val="Header"/>
      <w:jc w:val="center"/>
    </w:pPr>
    <w:r>
      <w:fldChar w:fldCharType="begin"/>
    </w:r>
    <w:r>
      <w:instrText xml:space="preserve"> PAGE   \* MERGEFORMAT </w:instrText>
    </w:r>
    <w:r>
      <w:fldChar w:fldCharType="separate"/>
    </w:r>
    <w:r w:rsidR="0024488C">
      <w:rPr>
        <w:noProof/>
      </w:rPr>
      <w:t>24</w:t>
    </w:r>
    <w:r>
      <w:rPr>
        <w:noProof/>
      </w:rPr>
      <w:fldChar w:fldCharType="end"/>
    </w:r>
  </w:p>
  <w:p w14:paraId="30013286" w14:textId="77777777" w:rsidR="008C0DA9" w:rsidRDefault="008C0D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81482"/>
    <w:multiLevelType w:val="hybridMultilevel"/>
    <w:tmpl w:val="6A920218"/>
    <w:lvl w:ilvl="0" w:tplc="0426000F">
      <w:start w:val="1"/>
      <w:numFmt w:val="decimal"/>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090358F1"/>
    <w:multiLevelType w:val="hybridMultilevel"/>
    <w:tmpl w:val="AD5AC8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9646CD"/>
    <w:multiLevelType w:val="hybridMultilevel"/>
    <w:tmpl w:val="6BBEDB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346AF3"/>
    <w:multiLevelType w:val="hybridMultilevel"/>
    <w:tmpl w:val="32FE8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1315742"/>
    <w:multiLevelType w:val="hybridMultilevel"/>
    <w:tmpl w:val="659208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41534B7C"/>
    <w:multiLevelType w:val="hybridMultilevel"/>
    <w:tmpl w:val="87763A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50761114"/>
    <w:multiLevelType w:val="hybridMultilevel"/>
    <w:tmpl w:val="3FE003A2"/>
    <w:lvl w:ilvl="0" w:tplc="0426000F">
      <w:start w:val="1"/>
      <w:numFmt w:val="decimal"/>
      <w:lvlText w:val="%1."/>
      <w:lvlJc w:val="left"/>
      <w:pPr>
        <w:ind w:left="786"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936645B"/>
    <w:multiLevelType w:val="hybridMultilevel"/>
    <w:tmpl w:val="A13E5C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A043C6F"/>
    <w:multiLevelType w:val="hybridMultilevel"/>
    <w:tmpl w:val="32FE8A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7C3262B6"/>
    <w:multiLevelType w:val="hybridMultilevel"/>
    <w:tmpl w:val="9DE007C0"/>
    <w:lvl w:ilvl="0" w:tplc="626AF94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9"/>
  </w:num>
  <w:num w:numId="3">
    <w:abstractNumId w:val="7"/>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
  </w:num>
  <w:num w:numId="10">
    <w:abstractNumId w:val="4"/>
  </w:num>
  <w:num w:numId="11">
    <w:abstractNumId w:val="0"/>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hideSpellingErrors/>
  <w:hideGrammaticalErrors/>
  <w:proofState w:spelling="clean" w:grammar="clean"/>
  <w:defaultTabStop w:val="720"/>
  <w:doNotShadeFormData/>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F9"/>
    <w:rsid w:val="000005E5"/>
    <w:rsid w:val="000037B2"/>
    <w:rsid w:val="000076BF"/>
    <w:rsid w:val="00013FAE"/>
    <w:rsid w:val="000141A1"/>
    <w:rsid w:val="0001655E"/>
    <w:rsid w:val="00016DB6"/>
    <w:rsid w:val="0001736A"/>
    <w:rsid w:val="00020398"/>
    <w:rsid w:val="00020499"/>
    <w:rsid w:val="00020ECF"/>
    <w:rsid w:val="00022A62"/>
    <w:rsid w:val="000238E4"/>
    <w:rsid w:val="000239F9"/>
    <w:rsid w:val="00024421"/>
    <w:rsid w:val="00025B7C"/>
    <w:rsid w:val="000265A7"/>
    <w:rsid w:val="0002684F"/>
    <w:rsid w:val="00031546"/>
    <w:rsid w:val="00033B9E"/>
    <w:rsid w:val="00035669"/>
    <w:rsid w:val="00035E65"/>
    <w:rsid w:val="00040836"/>
    <w:rsid w:val="000413EB"/>
    <w:rsid w:val="000417B1"/>
    <w:rsid w:val="00043735"/>
    <w:rsid w:val="000440AD"/>
    <w:rsid w:val="00044557"/>
    <w:rsid w:val="00045B37"/>
    <w:rsid w:val="00045C75"/>
    <w:rsid w:val="000475AB"/>
    <w:rsid w:val="00047E7B"/>
    <w:rsid w:val="0005115E"/>
    <w:rsid w:val="000544C0"/>
    <w:rsid w:val="00054B74"/>
    <w:rsid w:val="000565A6"/>
    <w:rsid w:val="0005741B"/>
    <w:rsid w:val="0005797F"/>
    <w:rsid w:val="00060F8C"/>
    <w:rsid w:val="00062272"/>
    <w:rsid w:val="00063B77"/>
    <w:rsid w:val="000657C1"/>
    <w:rsid w:val="000661D9"/>
    <w:rsid w:val="000675F6"/>
    <w:rsid w:val="00067911"/>
    <w:rsid w:val="00067F65"/>
    <w:rsid w:val="00070BA7"/>
    <w:rsid w:val="0007183A"/>
    <w:rsid w:val="0007212A"/>
    <w:rsid w:val="00072558"/>
    <w:rsid w:val="0007292A"/>
    <w:rsid w:val="000739C7"/>
    <w:rsid w:val="00073EA9"/>
    <w:rsid w:val="00075666"/>
    <w:rsid w:val="000757A0"/>
    <w:rsid w:val="00081ABA"/>
    <w:rsid w:val="000821FA"/>
    <w:rsid w:val="00082A4B"/>
    <w:rsid w:val="00082C90"/>
    <w:rsid w:val="000850C8"/>
    <w:rsid w:val="000869D8"/>
    <w:rsid w:val="00086A01"/>
    <w:rsid w:val="00087403"/>
    <w:rsid w:val="000902C7"/>
    <w:rsid w:val="00091A67"/>
    <w:rsid w:val="00092D7E"/>
    <w:rsid w:val="00094919"/>
    <w:rsid w:val="00097F38"/>
    <w:rsid w:val="000A00C2"/>
    <w:rsid w:val="000A3B3C"/>
    <w:rsid w:val="000A514A"/>
    <w:rsid w:val="000A58A5"/>
    <w:rsid w:val="000B1513"/>
    <w:rsid w:val="000B2084"/>
    <w:rsid w:val="000B3145"/>
    <w:rsid w:val="000B4ECB"/>
    <w:rsid w:val="000B6293"/>
    <w:rsid w:val="000B7F63"/>
    <w:rsid w:val="000C04D5"/>
    <w:rsid w:val="000C0829"/>
    <w:rsid w:val="000C0E26"/>
    <w:rsid w:val="000C15FE"/>
    <w:rsid w:val="000C1B81"/>
    <w:rsid w:val="000C2B97"/>
    <w:rsid w:val="000C3CDB"/>
    <w:rsid w:val="000C5F37"/>
    <w:rsid w:val="000C6E91"/>
    <w:rsid w:val="000D1B4A"/>
    <w:rsid w:val="000D644B"/>
    <w:rsid w:val="000D6EBF"/>
    <w:rsid w:val="000E3ACC"/>
    <w:rsid w:val="000E3ED8"/>
    <w:rsid w:val="000E710D"/>
    <w:rsid w:val="000E792C"/>
    <w:rsid w:val="000E7C21"/>
    <w:rsid w:val="000F161C"/>
    <w:rsid w:val="000F35F9"/>
    <w:rsid w:val="000F3FD7"/>
    <w:rsid w:val="000F5E06"/>
    <w:rsid w:val="000F6088"/>
    <w:rsid w:val="000F7939"/>
    <w:rsid w:val="00102989"/>
    <w:rsid w:val="00106DE8"/>
    <w:rsid w:val="00107644"/>
    <w:rsid w:val="00107F48"/>
    <w:rsid w:val="00110561"/>
    <w:rsid w:val="001122AD"/>
    <w:rsid w:val="00112644"/>
    <w:rsid w:val="0011331D"/>
    <w:rsid w:val="00114194"/>
    <w:rsid w:val="00116F6A"/>
    <w:rsid w:val="001217A7"/>
    <w:rsid w:val="00124809"/>
    <w:rsid w:val="0012591F"/>
    <w:rsid w:val="001318E8"/>
    <w:rsid w:val="001333AA"/>
    <w:rsid w:val="00137304"/>
    <w:rsid w:val="001407C1"/>
    <w:rsid w:val="001420BE"/>
    <w:rsid w:val="00144377"/>
    <w:rsid w:val="00145700"/>
    <w:rsid w:val="0014586B"/>
    <w:rsid w:val="001536A4"/>
    <w:rsid w:val="00157742"/>
    <w:rsid w:val="00157818"/>
    <w:rsid w:val="00157EB6"/>
    <w:rsid w:val="001620B0"/>
    <w:rsid w:val="0016242F"/>
    <w:rsid w:val="00163694"/>
    <w:rsid w:val="00164E9E"/>
    <w:rsid w:val="00170174"/>
    <w:rsid w:val="0017079F"/>
    <w:rsid w:val="0017126A"/>
    <w:rsid w:val="00174428"/>
    <w:rsid w:val="00174A3B"/>
    <w:rsid w:val="00176AE3"/>
    <w:rsid w:val="00176D2C"/>
    <w:rsid w:val="00180FA4"/>
    <w:rsid w:val="00187CF8"/>
    <w:rsid w:val="00191955"/>
    <w:rsid w:val="00192962"/>
    <w:rsid w:val="00194149"/>
    <w:rsid w:val="0019699F"/>
    <w:rsid w:val="00196E78"/>
    <w:rsid w:val="001973D2"/>
    <w:rsid w:val="00197C5D"/>
    <w:rsid w:val="001A03A4"/>
    <w:rsid w:val="001A0D97"/>
    <w:rsid w:val="001A1323"/>
    <w:rsid w:val="001A151A"/>
    <w:rsid w:val="001A296D"/>
    <w:rsid w:val="001A4587"/>
    <w:rsid w:val="001A47B0"/>
    <w:rsid w:val="001A715F"/>
    <w:rsid w:val="001B0B15"/>
    <w:rsid w:val="001B1E02"/>
    <w:rsid w:val="001B357D"/>
    <w:rsid w:val="001B6007"/>
    <w:rsid w:val="001B640E"/>
    <w:rsid w:val="001B77BF"/>
    <w:rsid w:val="001B77D1"/>
    <w:rsid w:val="001C24FA"/>
    <w:rsid w:val="001C5DC4"/>
    <w:rsid w:val="001C5EEF"/>
    <w:rsid w:val="001C68F1"/>
    <w:rsid w:val="001D0644"/>
    <w:rsid w:val="001D2424"/>
    <w:rsid w:val="001D255D"/>
    <w:rsid w:val="001D5F97"/>
    <w:rsid w:val="001D61C4"/>
    <w:rsid w:val="001D7744"/>
    <w:rsid w:val="001D7E85"/>
    <w:rsid w:val="001E0B73"/>
    <w:rsid w:val="001E2C77"/>
    <w:rsid w:val="001E5544"/>
    <w:rsid w:val="001E5547"/>
    <w:rsid w:val="001E7B3F"/>
    <w:rsid w:val="001F0E91"/>
    <w:rsid w:val="001F112A"/>
    <w:rsid w:val="001F1887"/>
    <w:rsid w:val="001F505E"/>
    <w:rsid w:val="001F51BE"/>
    <w:rsid w:val="0020004D"/>
    <w:rsid w:val="00200813"/>
    <w:rsid w:val="00201CDC"/>
    <w:rsid w:val="00203B25"/>
    <w:rsid w:val="002042F9"/>
    <w:rsid w:val="00204E04"/>
    <w:rsid w:val="00204E3F"/>
    <w:rsid w:val="00204EB8"/>
    <w:rsid w:val="00205324"/>
    <w:rsid w:val="002105A3"/>
    <w:rsid w:val="00212BAE"/>
    <w:rsid w:val="00216B40"/>
    <w:rsid w:val="002217A5"/>
    <w:rsid w:val="00221B68"/>
    <w:rsid w:val="00223389"/>
    <w:rsid w:val="002246DE"/>
    <w:rsid w:val="00225E19"/>
    <w:rsid w:val="00231143"/>
    <w:rsid w:val="0023141B"/>
    <w:rsid w:val="00235825"/>
    <w:rsid w:val="00235F58"/>
    <w:rsid w:val="00236E42"/>
    <w:rsid w:val="0023732E"/>
    <w:rsid w:val="00241FFC"/>
    <w:rsid w:val="0024396C"/>
    <w:rsid w:val="0024488C"/>
    <w:rsid w:val="002454E4"/>
    <w:rsid w:val="00245E6E"/>
    <w:rsid w:val="00247248"/>
    <w:rsid w:val="0024763B"/>
    <w:rsid w:val="002513AF"/>
    <w:rsid w:val="002536EE"/>
    <w:rsid w:val="00253A1A"/>
    <w:rsid w:val="002544AA"/>
    <w:rsid w:val="00254F0E"/>
    <w:rsid w:val="00256A45"/>
    <w:rsid w:val="002603CB"/>
    <w:rsid w:val="00262000"/>
    <w:rsid w:val="002621FD"/>
    <w:rsid w:val="00263352"/>
    <w:rsid w:val="002634F2"/>
    <w:rsid w:val="0026519A"/>
    <w:rsid w:val="0026758B"/>
    <w:rsid w:val="00267655"/>
    <w:rsid w:val="002705C7"/>
    <w:rsid w:val="00271867"/>
    <w:rsid w:val="002720F3"/>
    <w:rsid w:val="00272267"/>
    <w:rsid w:val="00274913"/>
    <w:rsid w:val="00276883"/>
    <w:rsid w:val="00281A31"/>
    <w:rsid w:val="00281D9A"/>
    <w:rsid w:val="00283C4D"/>
    <w:rsid w:val="00285248"/>
    <w:rsid w:val="00285AD1"/>
    <w:rsid w:val="00285C51"/>
    <w:rsid w:val="00285FE2"/>
    <w:rsid w:val="00286D88"/>
    <w:rsid w:val="00287651"/>
    <w:rsid w:val="00291241"/>
    <w:rsid w:val="00291A7C"/>
    <w:rsid w:val="0029582C"/>
    <w:rsid w:val="002A0DE6"/>
    <w:rsid w:val="002A4955"/>
    <w:rsid w:val="002A5A06"/>
    <w:rsid w:val="002A615C"/>
    <w:rsid w:val="002A704E"/>
    <w:rsid w:val="002A74C6"/>
    <w:rsid w:val="002A7878"/>
    <w:rsid w:val="002B1002"/>
    <w:rsid w:val="002B28E0"/>
    <w:rsid w:val="002B3DB2"/>
    <w:rsid w:val="002B5646"/>
    <w:rsid w:val="002C0282"/>
    <w:rsid w:val="002C27F5"/>
    <w:rsid w:val="002C51F4"/>
    <w:rsid w:val="002C5365"/>
    <w:rsid w:val="002C7BB3"/>
    <w:rsid w:val="002D0EA2"/>
    <w:rsid w:val="002D1A6E"/>
    <w:rsid w:val="002D23C7"/>
    <w:rsid w:val="002D3D01"/>
    <w:rsid w:val="002D52B8"/>
    <w:rsid w:val="002D5A4D"/>
    <w:rsid w:val="002E0113"/>
    <w:rsid w:val="002E023D"/>
    <w:rsid w:val="002E0A02"/>
    <w:rsid w:val="002E17EA"/>
    <w:rsid w:val="002E1D87"/>
    <w:rsid w:val="002E324F"/>
    <w:rsid w:val="002E36E6"/>
    <w:rsid w:val="002E4D35"/>
    <w:rsid w:val="002E59B7"/>
    <w:rsid w:val="002E6A1D"/>
    <w:rsid w:val="002F025E"/>
    <w:rsid w:val="002F2399"/>
    <w:rsid w:val="002F31A8"/>
    <w:rsid w:val="002F3470"/>
    <w:rsid w:val="002F37E6"/>
    <w:rsid w:val="002F4727"/>
    <w:rsid w:val="002F4F3A"/>
    <w:rsid w:val="002F560D"/>
    <w:rsid w:val="002F57E7"/>
    <w:rsid w:val="002F5D9C"/>
    <w:rsid w:val="00301231"/>
    <w:rsid w:val="0030306B"/>
    <w:rsid w:val="0030344D"/>
    <w:rsid w:val="00306A91"/>
    <w:rsid w:val="00310223"/>
    <w:rsid w:val="003108FC"/>
    <w:rsid w:val="0031277A"/>
    <w:rsid w:val="003146DA"/>
    <w:rsid w:val="00314EA3"/>
    <w:rsid w:val="00315C3F"/>
    <w:rsid w:val="00317389"/>
    <w:rsid w:val="003176EF"/>
    <w:rsid w:val="003177FC"/>
    <w:rsid w:val="00317BB4"/>
    <w:rsid w:val="0032032B"/>
    <w:rsid w:val="003226E9"/>
    <w:rsid w:val="003235F8"/>
    <w:rsid w:val="00323A33"/>
    <w:rsid w:val="00324C4A"/>
    <w:rsid w:val="0033143A"/>
    <w:rsid w:val="0033336C"/>
    <w:rsid w:val="00337DAC"/>
    <w:rsid w:val="00337F56"/>
    <w:rsid w:val="00340A2B"/>
    <w:rsid w:val="00345ED9"/>
    <w:rsid w:val="00347533"/>
    <w:rsid w:val="00347F90"/>
    <w:rsid w:val="00352A82"/>
    <w:rsid w:val="00354EB2"/>
    <w:rsid w:val="00355939"/>
    <w:rsid w:val="00355949"/>
    <w:rsid w:val="00356C65"/>
    <w:rsid w:val="0036433B"/>
    <w:rsid w:val="00370670"/>
    <w:rsid w:val="00370E5E"/>
    <w:rsid w:val="003735E1"/>
    <w:rsid w:val="00373EC5"/>
    <w:rsid w:val="00376221"/>
    <w:rsid w:val="003811A2"/>
    <w:rsid w:val="00382230"/>
    <w:rsid w:val="003834F1"/>
    <w:rsid w:val="00385B1B"/>
    <w:rsid w:val="00385E8B"/>
    <w:rsid w:val="00386771"/>
    <w:rsid w:val="003874C9"/>
    <w:rsid w:val="00387623"/>
    <w:rsid w:val="003878BF"/>
    <w:rsid w:val="00387BB3"/>
    <w:rsid w:val="003913DB"/>
    <w:rsid w:val="00393511"/>
    <w:rsid w:val="003946DB"/>
    <w:rsid w:val="0039637F"/>
    <w:rsid w:val="003A08FE"/>
    <w:rsid w:val="003A0F64"/>
    <w:rsid w:val="003A21A8"/>
    <w:rsid w:val="003A2FBC"/>
    <w:rsid w:val="003A384D"/>
    <w:rsid w:val="003A5057"/>
    <w:rsid w:val="003A6CBD"/>
    <w:rsid w:val="003A6DE6"/>
    <w:rsid w:val="003B191F"/>
    <w:rsid w:val="003B1A15"/>
    <w:rsid w:val="003B2BF5"/>
    <w:rsid w:val="003B3741"/>
    <w:rsid w:val="003B45DF"/>
    <w:rsid w:val="003B7BF8"/>
    <w:rsid w:val="003C02D4"/>
    <w:rsid w:val="003C19C8"/>
    <w:rsid w:val="003C2199"/>
    <w:rsid w:val="003C3CA2"/>
    <w:rsid w:val="003C408A"/>
    <w:rsid w:val="003C45B7"/>
    <w:rsid w:val="003C6BA5"/>
    <w:rsid w:val="003C7996"/>
    <w:rsid w:val="003D1CA2"/>
    <w:rsid w:val="003D4281"/>
    <w:rsid w:val="003D4AB0"/>
    <w:rsid w:val="003D739B"/>
    <w:rsid w:val="003D7474"/>
    <w:rsid w:val="003D784E"/>
    <w:rsid w:val="003D7955"/>
    <w:rsid w:val="003E106A"/>
    <w:rsid w:val="003E15CB"/>
    <w:rsid w:val="003E21E4"/>
    <w:rsid w:val="003E24FF"/>
    <w:rsid w:val="003E2CE8"/>
    <w:rsid w:val="003E4047"/>
    <w:rsid w:val="003E4F71"/>
    <w:rsid w:val="003E621E"/>
    <w:rsid w:val="003E7F3A"/>
    <w:rsid w:val="003F069F"/>
    <w:rsid w:val="003F100E"/>
    <w:rsid w:val="003F2754"/>
    <w:rsid w:val="003F56E3"/>
    <w:rsid w:val="003F7D8F"/>
    <w:rsid w:val="004029AA"/>
    <w:rsid w:val="004059FD"/>
    <w:rsid w:val="00405C03"/>
    <w:rsid w:val="004101F0"/>
    <w:rsid w:val="00412FC4"/>
    <w:rsid w:val="00415117"/>
    <w:rsid w:val="004153CD"/>
    <w:rsid w:val="004168AA"/>
    <w:rsid w:val="00417060"/>
    <w:rsid w:val="00417D3D"/>
    <w:rsid w:val="0042154C"/>
    <w:rsid w:val="004221C2"/>
    <w:rsid w:val="004247FE"/>
    <w:rsid w:val="00434C96"/>
    <w:rsid w:val="00434E63"/>
    <w:rsid w:val="00437BCE"/>
    <w:rsid w:val="00443583"/>
    <w:rsid w:val="00444F03"/>
    <w:rsid w:val="00445C4D"/>
    <w:rsid w:val="004474A0"/>
    <w:rsid w:val="00450931"/>
    <w:rsid w:val="00450AAF"/>
    <w:rsid w:val="004512B2"/>
    <w:rsid w:val="00451E91"/>
    <w:rsid w:val="00451EBA"/>
    <w:rsid w:val="00455240"/>
    <w:rsid w:val="004564E1"/>
    <w:rsid w:val="00457345"/>
    <w:rsid w:val="004576BE"/>
    <w:rsid w:val="00460511"/>
    <w:rsid w:val="00465678"/>
    <w:rsid w:val="004715F3"/>
    <w:rsid w:val="00471E10"/>
    <w:rsid w:val="004727D8"/>
    <w:rsid w:val="00476DD6"/>
    <w:rsid w:val="00480C91"/>
    <w:rsid w:val="00482CB7"/>
    <w:rsid w:val="00492807"/>
    <w:rsid w:val="004940C0"/>
    <w:rsid w:val="0049449B"/>
    <w:rsid w:val="00496A6D"/>
    <w:rsid w:val="00497CAE"/>
    <w:rsid w:val="004A490E"/>
    <w:rsid w:val="004A4CE9"/>
    <w:rsid w:val="004A6C54"/>
    <w:rsid w:val="004B24A4"/>
    <w:rsid w:val="004B2571"/>
    <w:rsid w:val="004B2FA5"/>
    <w:rsid w:val="004B57D2"/>
    <w:rsid w:val="004B6592"/>
    <w:rsid w:val="004C07EB"/>
    <w:rsid w:val="004C0DEF"/>
    <w:rsid w:val="004C0E57"/>
    <w:rsid w:val="004C2784"/>
    <w:rsid w:val="004C28AB"/>
    <w:rsid w:val="004C3223"/>
    <w:rsid w:val="004D1387"/>
    <w:rsid w:val="004D1A5B"/>
    <w:rsid w:val="004D6617"/>
    <w:rsid w:val="004D66B7"/>
    <w:rsid w:val="004D7CC5"/>
    <w:rsid w:val="004E1D8B"/>
    <w:rsid w:val="004E22DD"/>
    <w:rsid w:val="004E282D"/>
    <w:rsid w:val="004E35B1"/>
    <w:rsid w:val="004E36BD"/>
    <w:rsid w:val="004E43A0"/>
    <w:rsid w:val="004E568D"/>
    <w:rsid w:val="004E67CE"/>
    <w:rsid w:val="004E687F"/>
    <w:rsid w:val="004F00AC"/>
    <w:rsid w:val="004F099C"/>
    <w:rsid w:val="004F300C"/>
    <w:rsid w:val="004F517E"/>
    <w:rsid w:val="004F64B1"/>
    <w:rsid w:val="004F6704"/>
    <w:rsid w:val="004F7986"/>
    <w:rsid w:val="00500C79"/>
    <w:rsid w:val="00503731"/>
    <w:rsid w:val="005068CD"/>
    <w:rsid w:val="0050695F"/>
    <w:rsid w:val="00506B61"/>
    <w:rsid w:val="005074E0"/>
    <w:rsid w:val="0050777D"/>
    <w:rsid w:val="00510D04"/>
    <w:rsid w:val="00515BD8"/>
    <w:rsid w:val="005216EF"/>
    <w:rsid w:val="005225B4"/>
    <w:rsid w:val="005229CE"/>
    <w:rsid w:val="00525501"/>
    <w:rsid w:val="005267E6"/>
    <w:rsid w:val="00526D17"/>
    <w:rsid w:val="0053044B"/>
    <w:rsid w:val="00531071"/>
    <w:rsid w:val="0053194A"/>
    <w:rsid w:val="005321D4"/>
    <w:rsid w:val="00534933"/>
    <w:rsid w:val="00534F52"/>
    <w:rsid w:val="005359C7"/>
    <w:rsid w:val="0053792C"/>
    <w:rsid w:val="005401F0"/>
    <w:rsid w:val="00540FDB"/>
    <w:rsid w:val="00541A25"/>
    <w:rsid w:val="00541AC0"/>
    <w:rsid w:val="005422A1"/>
    <w:rsid w:val="005464D4"/>
    <w:rsid w:val="00550B2A"/>
    <w:rsid w:val="00553923"/>
    <w:rsid w:val="00563C44"/>
    <w:rsid w:val="005647A9"/>
    <w:rsid w:val="0056560F"/>
    <w:rsid w:val="0056742D"/>
    <w:rsid w:val="00567CC1"/>
    <w:rsid w:val="00567CC8"/>
    <w:rsid w:val="00570619"/>
    <w:rsid w:val="00571F8E"/>
    <w:rsid w:val="00572F03"/>
    <w:rsid w:val="00573DFC"/>
    <w:rsid w:val="00574D00"/>
    <w:rsid w:val="00575A70"/>
    <w:rsid w:val="0057655B"/>
    <w:rsid w:val="00580C87"/>
    <w:rsid w:val="00584EFF"/>
    <w:rsid w:val="0058592F"/>
    <w:rsid w:val="005865AD"/>
    <w:rsid w:val="00586871"/>
    <w:rsid w:val="00593240"/>
    <w:rsid w:val="005956E9"/>
    <w:rsid w:val="00595761"/>
    <w:rsid w:val="00596AB5"/>
    <w:rsid w:val="005972B7"/>
    <w:rsid w:val="005A03DB"/>
    <w:rsid w:val="005A2ABD"/>
    <w:rsid w:val="005A2FCC"/>
    <w:rsid w:val="005A47D2"/>
    <w:rsid w:val="005A61FE"/>
    <w:rsid w:val="005A741E"/>
    <w:rsid w:val="005A7819"/>
    <w:rsid w:val="005A7830"/>
    <w:rsid w:val="005B132B"/>
    <w:rsid w:val="005B19BA"/>
    <w:rsid w:val="005B30B9"/>
    <w:rsid w:val="005B4887"/>
    <w:rsid w:val="005B5364"/>
    <w:rsid w:val="005B79B1"/>
    <w:rsid w:val="005C534F"/>
    <w:rsid w:val="005D05D7"/>
    <w:rsid w:val="005D098A"/>
    <w:rsid w:val="005D0DC2"/>
    <w:rsid w:val="005D1639"/>
    <w:rsid w:val="005D182D"/>
    <w:rsid w:val="005D1BDB"/>
    <w:rsid w:val="005D2119"/>
    <w:rsid w:val="005D2C83"/>
    <w:rsid w:val="005D3299"/>
    <w:rsid w:val="005D4E75"/>
    <w:rsid w:val="005D5481"/>
    <w:rsid w:val="005D5AEB"/>
    <w:rsid w:val="005D5C33"/>
    <w:rsid w:val="005D7C23"/>
    <w:rsid w:val="005E0888"/>
    <w:rsid w:val="005E0B18"/>
    <w:rsid w:val="005E1555"/>
    <w:rsid w:val="005E2C35"/>
    <w:rsid w:val="005E359E"/>
    <w:rsid w:val="005E5BBE"/>
    <w:rsid w:val="005E6431"/>
    <w:rsid w:val="005F1D6E"/>
    <w:rsid w:val="005F1DB5"/>
    <w:rsid w:val="005F36A2"/>
    <w:rsid w:val="005F5BA7"/>
    <w:rsid w:val="005F5EAD"/>
    <w:rsid w:val="005F71F9"/>
    <w:rsid w:val="0060163E"/>
    <w:rsid w:val="006028DB"/>
    <w:rsid w:val="00602F65"/>
    <w:rsid w:val="00603296"/>
    <w:rsid w:val="006038F2"/>
    <w:rsid w:val="00606F7E"/>
    <w:rsid w:val="00610233"/>
    <w:rsid w:val="006108ED"/>
    <w:rsid w:val="0061225A"/>
    <w:rsid w:val="00612345"/>
    <w:rsid w:val="0061302E"/>
    <w:rsid w:val="0061382C"/>
    <w:rsid w:val="0061456E"/>
    <w:rsid w:val="00615AEF"/>
    <w:rsid w:val="00615CA2"/>
    <w:rsid w:val="00615D5C"/>
    <w:rsid w:val="00616F85"/>
    <w:rsid w:val="006200E6"/>
    <w:rsid w:val="006232B2"/>
    <w:rsid w:val="00624D0E"/>
    <w:rsid w:val="00624F89"/>
    <w:rsid w:val="006310D7"/>
    <w:rsid w:val="00634457"/>
    <w:rsid w:val="006403D1"/>
    <w:rsid w:val="00642218"/>
    <w:rsid w:val="006439C7"/>
    <w:rsid w:val="00646454"/>
    <w:rsid w:val="006466DE"/>
    <w:rsid w:val="0064708D"/>
    <w:rsid w:val="0064799E"/>
    <w:rsid w:val="006511F4"/>
    <w:rsid w:val="00651B0C"/>
    <w:rsid w:val="00651FAE"/>
    <w:rsid w:val="006546C1"/>
    <w:rsid w:val="006548D4"/>
    <w:rsid w:val="00655219"/>
    <w:rsid w:val="006569F5"/>
    <w:rsid w:val="0065725C"/>
    <w:rsid w:val="00657580"/>
    <w:rsid w:val="006610D9"/>
    <w:rsid w:val="006619B7"/>
    <w:rsid w:val="0066233A"/>
    <w:rsid w:val="00662A78"/>
    <w:rsid w:val="006639C7"/>
    <w:rsid w:val="00665D8F"/>
    <w:rsid w:val="0066766A"/>
    <w:rsid w:val="00670AC3"/>
    <w:rsid w:val="006728D6"/>
    <w:rsid w:val="00675267"/>
    <w:rsid w:val="00681AB9"/>
    <w:rsid w:val="0068277E"/>
    <w:rsid w:val="00687971"/>
    <w:rsid w:val="00690FDD"/>
    <w:rsid w:val="00691566"/>
    <w:rsid w:val="00691E45"/>
    <w:rsid w:val="00691EE7"/>
    <w:rsid w:val="00693806"/>
    <w:rsid w:val="00694641"/>
    <w:rsid w:val="0069528D"/>
    <w:rsid w:val="0069635D"/>
    <w:rsid w:val="006964A5"/>
    <w:rsid w:val="006A0227"/>
    <w:rsid w:val="006A42ED"/>
    <w:rsid w:val="006A71B7"/>
    <w:rsid w:val="006B122C"/>
    <w:rsid w:val="006B63CB"/>
    <w:rsid w:val="006B77C7"/>
    <w:rsid w:val="006C496F"/>
    <w:rsid w:val="006C5061"/>
    <w:rsid w:val="006C60C3"/>
    <w:rsid w:val="006C7BF3"/>
    <w:rsid w:val="006D0D26"/>
    <w:rsid w:val="006D2796"/>
    <w:rsid w:val="006D2B5B"/>
    <w:rsid w:val="006D5A7A"/>
    <w:rsid w:val="006D5ACD"/>
    <w:rsid w:val="006E02A8"/>
    <w:rsid w:val="006E0EFC"/>
    <w:rsid w:val="006E1950"/>
    <w:rsid w:val="006E29C1"/>
    <w:rsid w:val="006E32B3"/>
    <w:rsid w:val="006E3792"/>
    <w:rsid w:val="006E3AF2"/>
    <w:rsid w:val="006E5B2F"/>
    <w:rsid w:val="006F0082"/>
    <w:rsid w:val="006F04DD"/>
    <w:rsid w:val="006F1245"/>
    <w:rsid w:val="006F1254"/>
    <w:rsid w:val="006F2506"/>
    <w:rsid w:val="006F3C83"/>
    <w:rsid w:val="00700ACE"/>
    <w:rsid w:val="00701E1C"/>
    <w:rsid w:val="00703922"/>
    <w:rsid w:val="00703F14"/>
    <w:rsid w:val="00707370"/>
    <w:rsid w:val="00710C8E"/>
    <w:rsid w:val="00711F92"/>
    <w:rsid w:val="007143B2"/>
    <w:rsid w:val="00715570"/>
    <w:rsid w:val="00716507"/>
    <w:rsid w:val="007167CF"/>
    <w:rsid w:val="00716B50"/>
    <w:rsid w:val="007171DE"/>
    <w:rsid w:val="00726C06"/>
    <w:rsid w:val="0072722A"/>
    <w:rsid w:val="00727B4C"/>
    <w:rsid w:val="00727EC4"/>
    <w:rsid w:val="0073066B"/>
    <w:rsid w:val="00734A64"/>
    <w:rsid w:val="00735A95"/>
    <w:rsid w:val="00735BBC"/>
    <w:rsid w:val="007375A5"/>
    <w:rsid w:val="00741522"/>
    <w:rsid w:val="00741EFF"/>
    <w:rsid w:val="007424B4"/>
    <w:rsid w:val="00743900"/>
    <w:rsid w:val="0074452D"/>
    <w:rsid w:val="00744BD4"/>
    <w:rsid w:val="00745369"/>
    <w:rsid w:val="00745839"/>
    <w:rsid w:val="00746BE9"/>
    <w:rsid w:val="00746C15"/>
    <w:rsid w:val="00747CFA"/>
    <w:rsid w:val="00747CFB"/>
    <w:rsid w:val="007502AD"/>
    <w:rsid w:val="0075074D"/>
    <w:rsid w:val="0075121F"/>
    <w:rsid w:val="007521A4"/>
    <w:rsid w:val="00752579"/>
    <w:rsid w:val="00752B14"/>
    <w:rsid w:val="00752BE7"/>
    <w:rsid w:val="00754031"/>
    <w:rsid w:val="007547AF"/>
    <w:rsid w:val="00755667"/>
    <w:rsid w:val="0075577E"/>
    <w:rsid w:val="00763C45"/>
    <w:rsid w:val="0076573A"/>
    <w:rsid w:val="0076624F"/>
    <w:rsid w:val="00771E25"/>
    <w:rsid w:val="00773F20"/>
    <w:rsid w:val="0077611A"/>
    <w:rsid w:val="007766FC"/>
    <w:rsid w:val="007778E8"/>
    <w:rsid w:val="00777925"/>
    <w:rsid w:val="0078055F"/>
    <w:rsid w:val="007831E5"/>
    <w:rsid w:val="0078371C"/>
    <w:rsid w:val="00784523"/>
    <w:rsid w:val="00790052"/>
    <w:rsid w:val="00791F30"/>
    <w:rsid w:val="00793E28"/>
    <w:rsid w:val="00795F14"/>
    <w:rsid w:val="00797ABE"/>
    <w:rsid w:val="007A3EBB"/>
    <w:rsid w:val="007A4D39"/>
    <w:rsid w:val="007A6AAD"/>
    <w:rsid w:val="007B1A04"/>
    <w:rsid w:val="007B241A"/>
    <w:rsid w:val="007B2E8C"/>
    <w:rsid w:val="007B4933"/>
    <w:rsid w:val="007B6127"/>
    <w:rsid w:val="007B6390"/>
    <w:rsid w:val="007B7646"/>
    <w:rsid w:val="007C1C4B"/>
    <w:rsid w:val="007C2688"/>
    <w:rsid w:val="007C41A6"/>
    <w:rsid w:val="007C58BE"/>
    <w:rsid w:val="007C6C3F"/>
    <w:rsid w:val="007D0AAC"/>
    <w:rsid w:val="007D36BE"/>
    <w:rsid w:val="007D48CF"/>
    <w:rsid w:val="007E3426"/>
    <w:rsid w:val="007E4545"/>
    <w:rsid w:val="007E47DD"/>
    <w:rsid w:val="007E4DB5"/>
    <w:rsid w:val="007E61E1"/>
    <w:rsid w:val="007E777A"/>
    <w:rsid w:val="007E7970"/>
    <w:rsid w:val="007F1048"/>
    <w:rsid w:val="007F24B7"/>
    <w:rsid w:val="007F3072"/>
    <w:rsid w:val="007F3C2E"/>
    <w:rsid w:val="007F4219"/>
    <w:rsid w:val="007F4AE6"/>
    <w:rsid w:val="007F5A5E"/>
    <w:rsid w:val="007F5E64"/>
    <w:rsid w:val="007F67BC"/>
    <w:rsid w:val="0080378D"/>
    <w:rsid w:val="0080482F"/>
    <w:rsid w:val="00806DAF"/>
    <w:rsid w:val="0081136C"/>
    <w:rsid w:val="00812682"/>
    <w:rsid w:val="00815199"/>
    <w:rsid w:val="00816FD7"/>
    <w:rsid w:val="008204DC"/>
    <w:rsid w:val="008210BA"/>
    <w:rsid w:val="00821BC2"/>
    <w:rsid w:val="00821D2F"/>
    <w:rsid w:val="00821EAA"/>
    <w:rsid w:val="008232D1"/>
    <w:rsid w:val="00823CA9"/>
    <w:rsid w:val="0082549E"/>
    <w:rsid w:val="00825871"/>
    <w:rsid w:val="00825E4D"/>
    <w:rsid w:val="00825E7F"/>
    <w:rsid w:val="00826BAE"/>
    <w:rsid w:val="00826C55"/>
    <w:rsid w:val="00827DB7"/>
    <w:rsid w:val="008306BB"/>
    <w:rsid w:val="00830A8D"/>
    <w:rsid w:val="0083143F"/>
    <w:rsid w:val="008324BA"/>
    <w:rsid w:val="00833007"/>
    <w:rsid w:val="00833240"/>
    <w:rsid w:val="008348AD"/>
    <w:rsid w:val="00836FE9"/>
    <w:rsid w:val="00841895"/>
    <w:rsid w:val="00842A8A"/>
    <w:rsid w:val="008443AF"/>
    <w:rsid w:val="00846D36"/>
    <w:rsid w:val="00847C9F"/>
    <w:rsid w:val="00847FDA"/>
    <w:rsid w:val="00852BF3"/>
    <w:rsid w:val="00853E73"/>
    <w:rsid w:val="008562AC"/>
    <w:rsid w:val="0086169C"/>
    <w:rsid w:val="0086169E"/>
    <w:rsid w:val="00863493"/>
    <w:rsid w:val="008638F3"/>
    <w:rsid w:val="00864CA3"/>
    <w:rsid w:val="00867E01"/>
    <w:rsid w:val="008770CC"/>
    <w:rsid w:val="008775F9"/>
    <w:rsid w:val="00882C3A"/>
    <w:rsid w:val="008832CF"/>
    <w:rsid w:val="00887929"/>
    <w:rsid w:val="0089245B"/>
    <w:rsid w:val="00892732"/>
    <w:rsid w:val="00893075"/>
    <w:rsid w:val="008935CB"/>
    <w:rsid w:val="008A1DDF"/>
    <w:rsid w:val="008A3232"/>
    <w:rsid w:val="008A61F5"/>
    <w:rsid w:val="008B31E7"/>
    <w:rsid w:val="008B6B8E"/>
    <w:rsid w:val="008C0DA9"/>
    <w:rsid w:val="008C2E86"/>
    <w:rsid w:val="008D0A3C"/>
    <w:rsid w:val="008D0F43"/>
    <w:rsid w:val="008D23B2"/>
    <w:rsid w:val="008D5268"/>
    <w:rsid w:val="008D6EC4"/>
    <w:rsid w:val="008D6EE4"/>
    <w:rsid w:val="008E174E"/>
    <w:rsid w:val="008E1842"/>
    <w:rsid w:val="008E36C2"/>
    <w:rsid w:val="008E3B12"/>
    <w:rsid w:val="008E4CE6"/>
    <w:rsid w:val="008E5D73"/>
    <w:rsid w:val="008F15A9"/>
    <w:rsid w:val="008F26F6"/>
    <w:rsid w:val="008F3C74"/>
    <w:rsid w:val="008F43B1"/>
    <w:rsid w:val="008F462F"/>
    <w:rsid w:val="008F4E3B"/>
    <w:rsid w:val="008F5017"/>
    <w:rsid w:val="008F58FA"/>
    <w:rsid w:val="009001F9"/>
    <w:rsid w:val="0090111A"/>
    <w:rsid w:val="0090190C"/>
    <w:rsid w:val="00901CB6"/>
    <w:rsid w:val="0090410F"/>
    <w:rsid w:val="00906E96"/>
    <w:rsid w:val="009101EE"/>
    <w:rsid w:val="00910B16"/>
    <w:rsid w:val="00920754"/>
    <w:rsid w:val="0092554C"/>
    <w:rsid w:val="009259E9"/>
    <w:rsid w:val="00926CA1"/>
    <w:rsid w:val="00927044"/>
    <w:rsid w:val="009276B8"/>
    <w:rsid w:val="00930288"/>
    <w:rsid w:val="009315EB"/>
    <w:rsid w:val="00931BA4"/>
    <w:rsid w:val="00931FCF"/>
    <w:rsid w:val="00932015"/>
    <w:rsid w:val="00932A62"/>
    <w:rsid w:val="00933FC4"/>
    <w:rsid w:val="00934BA5"/>
    <w:rsid w:val="009362A7"/>
    <w:rsid w:val="0093631C"/>
    <w:rsid w:val="00937D1D"/>
    <w:rsid w:val="009419F0"/>
    <w:rsid w:val="00943D6E"/>
    <w:rsid w:val="00943DFF"/>
    <w:rsid w:val="009442F4"/>
    <w:rsid w:val="009456A2"/>
    <w:rsid w:val="009464F4"/>
    <w:rsid w:val="00947491"/>
    <w:rsid w:val="00950172"/>
    <w:rsid w:val="009515D3"/>
    <w:rsid w:val="0095176B"/>
    <w:rsid w:val="0095199B"/>
    <w:rsid w:val="00952245"/>
    <w:rsid w:val="0095381B"/>
    <w:rsid w:val="009538A3"/>
    <w:rsid w:val="00953B2E"/>
    <w:rsid w:val="00953F9E"/>
    <w:rsid w:val="009626FE"/>
    <w:rsid w:val="0096469B"/>
    <w:rsid w:val="009651F0"/>
    <w:rsid w:val="009658B1"/>
    <w:rsid w:val="00965EE9"/>
    <w:rsid w:val="00967E42"/>
    <w:rsid w:val="00967F2C"/>
    <w:rsid w:val="00972CC0"/>
    <w:rsid w:val="00972D4A"/>
    <w:rsid w:val="00973484"/>
    <w:rsid w:val="009737A0"/>
    <w:rsid w:val="00974B3F"/>
    <w:rsid w:val="009753B8"/>
    <w:rsid w:val="00975728"/>
    <w:rsid w:val="00975FC5"/>
    <w:rsid w:val="009765A7"/>
    <w:rsid w:val="009773B4"/>
    <w:rsid w:val="00980A80"/>
    <w:rsid w:val="009812DE"/>
    <w:rsid w:val="00981890"/>
    <w:rsid w:val="00981EB4"/>
    <w:rsid w:val="009824F1"/>
    <w:rsid w:val="00984DBD"/>
    <w:rsid w:val="00984DE3"/>
    <w:rsid w:val="009850DA"/>
    <w:rsid w:val="00985B07"/>
    <w:rsid w:val="009877B5"/>
    <w:rsid w:val="009925C1"/>
    <w:rsid w:val="009927B8"/>
    <w:rsid w:val="00992FB6"/>
    <w:rsid w:val="00993EA7"/>
    <w:rsid w:val="0099549D"/>
    <w:rsid w:val="0099651A"/>
    <w:rsid w:val="009A0F68"/>
    <w:rsid w:val="009A1FED"/>
    <w:rsid w:val="009A2CF2"/>
    <w:rsid w:val="009A33FB"/>
    <w:rsid w:val="009A37C4"/>
    <w:rsid w:val="009A41A8"/>
    <w:rsid w:val="009A60F6"/>
    <w:rsid w:val="009A734F"/>
    <w:rsid w:val="009B3CC5"/>
    <w:rsid w:val="009B66F0"/>
    <w:rsid w:val="009C2762"/>
    <w:rsid w:val="009C59EC"/>
    <w:rsid w:val="009C6599"/>
    <w:rsid w:val="009C68AE"/>
    <w:rsid w:val="009D1ADC"/>
    <w:rsid w:val="009D48E4"/>
    <w:rsid w:val="009D4A9C"/>
    <w:rsid w:val="009D7132"/>
    <w:rsid w:val="009D7D0F"/>
    <w:rsid w:val="009D7EFA"/>
    <w:rsid w:val="009E50A9"/>
    <w:rsid w:val="009F00FE"/>
    <w:rsid w:val="009F14D3"/>
    <w:rsid w:val="009F643F"/>
    <w:rsid w:val="009F6DAD"/>
    <w:rsid w:val="00A001C8"/>
    <w:rsid w:val="00A00FC9"/>
    <w:rsid w:val="00A01269"/>
    <w:rsid w:val="00A01C2E"/>
    <w:rsid w:val="00A03B45"/>
    <w:rsid w:val="00A05CC6"/>
    <w:rsid w:val="00A11E4D"/>
    <w:rsid w:val="00A132CE"/>
    <w:rsid w:val="00A1349B"/>
    <w:rsid w:val="00A14A80"/>
    <w:rsid w:val="00A15D7C"/>
    <w:rsid w:val="00A169F9"/>
    <w:rsid w:val="00A20982"/>
    <w:rsid w:val="00A20CD7"/>
    <w:rsid w:val="00A212B8"/>
    <w:rsid w:val="00A22B94"/>
    <w:rsid w:val="00A248B1"/>
    <w:rsid w:val="00A24E8F"/>
    <w:rsid w:val="00A255C6"/>
    <w:rsid w:val="00A26722"/>
    <w:rsid w:val="00A268AC"/>
    <w:rsid w:val="00A26C67"/>
    <w:rsid w:val="00A272E7"/>
    <w:rsid w:val="00A30A4E"/>
    <w:rsid w:val="00A3112F"/>
    <w:rsid w:val="00A33F1F"/>
    <w:rsid w:val="00A34CB3"/>
    <w:rsid w:val="00A35DFD"/>
    <w:rsid w:val="00A37D12"/>
    <w:rsid w:val="00A37F2F"/>
    <w:rsid w:val="00A40F52"/>
    <w:rsid w:val="00A41766"/>
    <w:rsid w:val="00A4185C"/>
    <w:rsid w:val="00A51FE9"/>
    <w:rsid w:val="00A53EC3"/>
    <w:rsid w:val="00A548B0"/>
    <w:rsid w:val="00A5689F"/>
    <w:rsid w:val="00A578F7"/>
    <w:rsid w:val="00A6031C"/>
    <w:rsid w:val="00A6072C"/>
    <w:rsid w:val="00A61D66"/>
    <w:rsid w:val="00A6203A"/>
    <w:rsid w:val="00A620AD"/>
    <w:rsid w:val="00A628E3"/>
    <w:rsid w:val="00A62B2C"/>
    <w:rsid w:val="00A63AFB"/>
    <w:rsid w:val="00A64F97"/>
    <w:rsid w:val="00A66073"/>
    <w:rsid w:val="00A673F5"/>
    <w:rsid w:val="00A6740F"/>
    <w:rsid w:val="00A7324E"/>
    <w:rsid w:val="00A7330E"/>
    <w:rsid w:val="00A73FCB"/>
    <w:rsid w:val="00A74BD0"/>
    <w:rsid w:val="00A758A1"/>
    <w:rsid w:val="00A82C04"/>
    <w:rsid w:val="00A8556C"/>
    <w:rsid w:val="00A86BE9"/>
    <w:rsid w:val="00A8708E"/>
    <w:rsid w:val="00A87C83"/>
    <w:rsid w:val="00A911D5"/>
    <w:rsid w:val="00A94082"/>
    <w:rsid w:val="00A94729"/>
    <w:rsid w:val="00AA1AB0"/>
    <w:rsid w:val="00AA2523"/>
    <w:rsid w:val="00AA2A55"/>
    <w:rsid w:val="00AA5450"/>
    <w:rsid w:val="00AA5C5D"/>
    <w:rsid w:val="00AB39A3"/>
    <w:rsid w:val="00AB60D6"/>
    <w:rsid w:val="00AB7F98"/>
    <w:rsid w:val="00AC05AE"/>
    <w:rsid w:val="00AC075A"/>
    <w:rsid w:val="00AC0DAB"/>
    <w:rsid w:val="00AC13EA"/>
    <w:rsid w:val="00AC22C3"/>
    <w:rsid w:val="00AC2AB4"/>
    <w:rsid w:val="00AC4283"/>
    <w:rsid w:val="00AC497E"/>
    <w:rsid w:val="00AC6D1F"/>
    <w:rsid w:val="00AD3D1D"/>
    <w:rsid w:val="00AD5546"/>
    <w:rsid w:val="00AD61DD"/>
    <w:rsid w:val="00AD7AE0"/>
    <w:rsid w:val="00AE3777"/>
    <w:rsid w:val="00AE38FE"/>
    <w:rsid w:val="00AE42D8"/>
    <w:rsid w:val="00AE4914"/>
    <w:rsid w:val="00AE7BF2"/>
    <w:rsid w:val="00AE7C7E"/>
    <w:rsid w:val="00AF0D63"/>
    <w:rsid w:val="00AF20BA"/>
    <w:rsid w:val="00AF28B6"/>
    <w:rsid w:val="00AF4697"/>
    <w:rsid w:val="00AF4A1D"/>
    <w:rsid w:val="00AF53D6"/>
    <w:rsid w:val="00AF6275"/>
    <w:rsid w:val="00AF6621"/>
    <w:rsid w:val="00AF6759"/>
    <w:rsid w:val="00AF6A52"/>
    <w:rsid w:val="00AF6FAD"/>
    <w:rsid w:val="00AF7CD5"/>
    <w:rsid w:val="00B016AC"/>
    <w:rsid w:val="00B01925"/>
    <w:rsid w:val="00B01C19"/>
    <w:rsid w:val="00B03BA3"/>
    <w:rsid w:val="00B0421A"/>
    <w:rsid w:val="00B04BAC"/>
    <w:rsid w:val="00B05123"/>
    <w:rsid w:val="00B05D8C"/>
    <w:rsid w:val="00B0657D"/>
    <w:rsid w:val="00B11116"/>
    <w:rsid w:val="00B14231"/>
    <w:rsid w:val="00B15A64"/>
    <w:rsid w:val="00B17415"/>
    <w:rsid w:val="00B17A79"/>
    <w:rsid w:val="00B17E72"/>
    <w:rsid w:val="00B31EEF"/>
    <w:rsid w:val="00B33585"/>
    <w:rsid w:val="00B34D4E"/>
    <w:rsid w:val="00B34E40"/>
    <w:rsid w:val="00B37134"/>
    <w:rsid w:val="00B41002"/>
    <w:rsid w:val="00B41AB6"/>
    <w:rsid w:val="00B4388C"/>
    <w:rsid w:val="00B45CC8"/>
    <w:rsid w:val="00B45EF1"/>
    <w:rsid w:val="00B46892"/>
    <w:rsid w:val="00B47ED9"/>
    <w:rsid w:val="00B50729"/>
    <w:rsid w:val="00B51EFB"/>
    <w:rsid w:val="00B53A96"/>
    <w:rsid w:val="00B57E4A"/>
    <w:rsid w:val="00B61FDD"/>
    <w:rsid w:val="00B64048"/>
    <w:rsid w:val="00B70CFB"/>
    <w:rsid w:val="00B7269B"/>
    <w:rsid w:val="00B72DD2"/>
    <w:rsid w:val="00B73881"/>
    <w:rsid w:val="00B7602E"/>
    <w:rsid w:val="00B80743"/>
    <w:rsid w:val="00B8076C"/>
    <w:rsid w:val="00B82761"/>
    <w:rsid w:val="00B82B01"/>
    <w:rsid w:val="00B84183"/>
    <w:rsid w:val="00B8463F"/>
    <w:rsid w:val="00B84D32"/>
    <w:rsid w:val="00B856F2"/>
    <w:rsid w:val="00B868EC"/>
    <w:rsid w:val="00B86ABF"/>
    <w:rsid w:val="00B86F24"/>
    <w:rsid w:val="00B9223E"/>
    <w:rsid w:val="00BA0508"/>
    <w:rsid w:val="00BA213A"/>
    <w:rsid w:val="00BA262B"/>
    <w:rsid w:val="00BA3E43"/>
    <w:rsid w:val="00BA5D8A"/>
    <w:rsid w:val="00BA5F8E"/>
    <w:rsid w:val="00BA65C8"/>
    <w:rsid w:val="00BA684B"/>
    <w:rsid w:val="00BB0F95"/>
    <w:rsid w:val="00BB2048"/>
    <w:rsid w:val="00BB4298"/>
    <w:rsid w:val="00BB4C73"/>
    <w:rsid w:val="00BB697D"/>
    <w:rsid w:val="00BC24E1"/>
    <w:rsid w:val="00BC28EE"/>
    <w:rsid w:val="00BC31F6"/>
    <w:rsid w:val="00BC5CAC"/>
    <w:rsid w:val="00BD2100"/>
    <w:rsid w:val="00BD3623"/>
    <w:rsid w:val="00BD4C1A"/>
    <w:rsid w:val="00BD6CB9"/>
    <w:rsid w:val="00BD7C5A"/>
    <w:rsid w:val="00BE1781"/>
    <w:rsid w:val="00BE3B61"/>
    <w:rsid w:val="00BE4081"/>
    <w:rsid w:val="00BE63BE"/>
    <w:rsid w:val="00BE71E8"/>
    <w:rsid w:val="00BF31DD"/>
    <w:rsid w:val="00BF3450"/>
    <w:rsid w:val="00BF5287"/>
    <w:rsid w:val="00BF5543"/>
    <w:rsid w:val="00C069C4"/>
    <w:rsid w:val="00C10B4B"/>
    <w:rsid w:val="00C10EA6"/>
    <w:rsid w:val="00C12C9E"/>
    <w:rsid w:val="00C13072"/>
    <w:rsid w:val="00C14DD1"/>
    <w:rsid w:val="00C16410"/>
    <w:rsid w:val="00C20C52"/>
    <w:rsid w:val="00C21216"/>
    <w:rsid w:val="00C23288"/>
    <w:rsid w:val="00C23647"/>
    <w:rsid w:val="00C24EAB"/>
    <w:rsid w:val="00C26FC7"/>
    <w:rsid w:val="00C31FD8"/>
    <w:rsid w:val="00C327EB"/>
    <w:rsid w:val="00C32E65"/>
    <w:rsid w:val="00C34D85"/>
    <w:rsid w:val="00C36099"/>
    <w:rsid w:val="00C37BB2"/>
    <w:rsid w:val="00C4338D"/>
    <w:rsid w:val="00C46A13"/>
    <w:rsid w:val="00C46C10"/>
    <w:rsid w:val="00C46E46"/>
    <w:rsid w:val="00C50132"/>
    <w:rsid w:val="00C51070"/>
    <w:rsid w:val="00C55A24"/>
    <w:rsid w:val="00C563A8"/>
    <w:rsid w:val="00C61B47"/>
    <w:rsid w:val="00C62762"/>
    <w:rsid w:val="00C6569B"/>
    <w:rsid w:val="00C65B2C"/>
    <w:rsid w:val="00C67354"/>
    <w:rsid w:val="00C702CC"/>
    <w:rsid w:val="00C710C3"/>
    <w:rsid w:val="00C73308"/>
    <w:rsid w:val="00C75448"/>
    <w:rsid w:val="00C7553A"/>
    <w:rsid w:val="00C761E6"/>
    <w:rsid w:val="00C76BAB"/>
    <w:rsid w:val="00C76C59"/>
    <w:rsid w:val="00C76EE8"/>
    <w:rsid w:val="00C80799"/>
    <w:rsid w:val="00C8092C"/>
    <w:rsid w:val="00C816F0"/>
    <w:rsid w:val="00C82EDD"/>
    <w:rsid w:val="00C82FA8"/>
    <w:rsid w:val="00C843B5"/>
    <w:rsid w:val="00C8645E"/>
    <w:rsid w:val="00C90EB3"/>
    <w:rsid w:val="00C91C19"/>
    <w:rsid w:val="00C93547"/>
    <w:rsid w:val="00C9606A"/>
    <w:rsid w:val="00C96DA4"/>
    <w:rsid w:val="00CA276B"/>
    <w:rsid w:val="00CA2E88"/>
    <w:rsid w:val="00CA4B23"/>
    <w:rsid w:val="00CA5357"/>
    <w:rsid w:val="00CA58A7"/>
    <w:rsid w:val="00CA653F"/>
    <w:rsid w:val="00CB2DFA"/>
    <w:rsid w:val="00CB35AF"/>
    <w:rsid w:val="00CB4E2F"/>
    <w:rsid w:val="00CB5B38"/>
    <w:rsid w:val="00CB60F9"/>
    <w:rsid w:val="00CB7322"/>
    <w:rsid w:val="00CB75BA"/>
    <w:rsid w:val="00CC2D48"/>
    <w:rsid w:val="00CC36CA"/>
    <w:rsid w:val="00CC7DDC"/>
    <w:rsid w:val="00CD0455"/>
    <w:rsid w:val="00CD0BA6"/>
    <w:rsid w:val="00CD1927"/>
    <w:rsid w:val="00CD1FED"/>
    <w:rsid w:val="00CD207E"/>
    <w:rsid w:val="00CD3C84"/>
    <w:rsid w:val="00CD58AF"/>
    <w:rsid w:val="00CD701D"/>
    <w:rsid w:val="00CD70A6"/>
    <w:rsid w:val="00CE07DC"/>
    <w:rsid w:val="00CE1A3D"/>
    <w:rsid w:val="00CE795C"/>
    <w:rsid w:val="00CF1E32"/>
    <w:rsid w:val="00CF406C"/>
    <w:rsid w:val="00CF47EB"/>
    <w:rsid w:val="00CF5C80"/>
    <w:rsid w:val="00CF5EB0"/>
    <w:rsid w:val="00CF6108"/>
    <w:rsid w:val="00D005D8"/>
    <w:rsid w:val="00D00C95"/>
    <w:rsid w:val="00D01D95"/>
    <w:rsid w:val="00D046F2"/>
    <w:rsid w:val="00D05BF0"/>
    <w:rsid w:val="00D10BE8"/>
    <w:rsid w:val="00D12097"/>
    <w:rsid w:val="00D15EA8"/>
    <w:rsid w:val="00D17C15"/>
    <w:rsid w:val="00D21A8C"/>
    <w:rsid w:val="00D22265"/>
    <w:rsid w:val="00D27532"/>
    <w:rsid w:val="00D352DC"/>
    <w:rsid w:val="00D35DD7"/>
    <w:rsid w:val="00D42003"/>
    <w:rsid w:val="00D43117"/>
    <w:rsid w:val="00D4368B"/>
    <w:rsid w:val="00D43F4A"/>
    <w:rsid w:val="00D44C80"/>
    <w:rsid w:val="00D47875"/>
    <w:rsid w:val="00D512A1"/>
    <w:rsid w:val="00D51CDD"/>
    <w:rsid w:val="00D52905"/>
    <w:rsid w:val="00D53595"/>
    <w:rsid w:val="00D53888"/>
    <w:rsid w:val="00D54E7F"/>
    <w:rsid w:val="00D556AA"/>
    <w:rsid w:val="00D55CBC"/>
    <w:rsid w:val="00D57C1F"/>
    <w:rsid w:val="00D62640"/>
    <w:rsid w:val="00D62C0E"/>
    <w:rsid w:val="00D630F7"/>
    <w:rsid w:val="00D64632"/>
    <w:rsid w:val="00D653F5"/>
    <w:rsid w:val="00D65CFE"/>
    <w:rsid w:val="00D66872"/>
    <w:rsid w:val="00D70AAD"/>
    <w:rsid w:val="00D71DA1"/>
    <w:rsid w:val="00D7378F"/>
    <w:rsid w:val="00D7692B"/>
    <w:rsid w:val="00D82AFC"/>
    <w:rsid w:val="00D84DC1"/>
    <w:rsid w:val="00D84DFF"/>
    <w:rsid w:val="00D84ECD"/>
    <w:rsid w:val="00D861D9"/>
    <w:rsid w:val="00D86EE7"/>
    <w:rsid w:val="00D87E93"/>
    <w:rsid w:val="00D900E7"/>
    <w:rsid w:val="00D9135D"/>
    <w:rsid w:val="00D914B1"/>
    <w:rsid w:val="00D94186"/>
    <w:rsid w:val="00D95F61"/>
    <w:rsid w:val="00D96D52"/>
    <w:rsid w:val="00D973FA"/>
    <w:rsid w:val="00D97BD6"/>
    <w:rsid w:val="00DA1CAB"/>
    <w:rsid w:val="00DA1D9C"/>
    <w:rsid w:val="00DA3CA3"/>
    <w:rsid w:val="00DA55A2"/>
    <w:rsid w:val="00DA56A4"/>
    <w:rsid w:val="00DA6FFC"/>
    <w:rsid w:val="00DB2D99"/>
    <w:rsid w:val="00DB3D45"/>
    <w:rsid w:val="00DB7B3F"/>
    <w:rsid w:val="00DC06E2"/>
    <w:rsid w:val="00DC441B"/>
    <w:rsid w:val="00DC466C"/>
    <w:rsid w:val="00DC48FE"/>
    <w:rsid w:val="00DC5357"/>
    <w:rsid w:val="00DC623F"/>
    <w:rsid w:val="00DC66F9"/>
    <w:rsid w:val="00DD0F45"/>
    <w:rsid w:val="00DD24AF"/>
    <w:rsid w:val="00DD4E44"/>
    <w:rsid w:val="00DE101A"/>
    <w:rsid w:val="00DE22CC"/>
    <w:rsid w:val="00DF0E6A"/>
    <w:rsid w:val="00DF2C5E"/>
    <w:rsid w:val="00DF6F10"/>
    <w:rsid w:val="00E0025D"/>
    <w:rsid w:val="00E0041D"/>
    <w:rsid w:val="00E00CC3"/>
    <w:rsid w:val="00E01452"/>
    <w:rsid w:val="00E015DF"/>
    <w:rsid w:val="00E0251A"/>
    <w:rsid w:val="00E03251"/>
    <w:rsid w:val="00E03E18"/>
    <w:rsid w:val="00E04326"/>
    <w:rsid w:val="00E05241"/>
    <w:rsid w:val="00E06F93"/>
    <w:rsid w:val="00E109FF"/>
    <w:rsid w:val="00E12380"/>
    <w:rsid w:val="00E12573"/>
    <w:rsid w:val="00E13C2C"/>
    <w:rsid w:val="00E13DF8"/>
    <w:rsid w:val="00E21233"/>
    <w:rsid w:val="00E22185"/>
    <w:rsid w:val="00E275C7"/>
    <w:rsid w:val="00E326F8"/>
    <w:rsid w:val="00E35560"/>
    <w:rsid w:val="00E3747C"/>
    <w:rsid w:val="00E42BAC"/>
    <w:rsid w:val="00E43D28"/>
    <w:rsid w:val="00E450BA"/>
    <w:rsid w:val="00E45667"/>
    <w:rsid w:val="00E46407"/>
    <w:rsid w:val="00E4730E"/>
    <w:rsid w:val="00E4784A"/>
    <w:rsid w:val="00E5196D"/>
    <w:rsid w:val="00E5684B"/>
    <w:rsid w:val="00E575F1"/>
    <w:rsid w:val="00E606D3"/>
    <w:rsid w:val="00E60810"/>
    <w:rsid w:val="00E61125"/>
    <w:rsid w:val="00E62732"/>
    <w:rsid w:val="00E632C9"/>
    <w:rsid w:val="00E63CED"/>
    <w:rsid w:val="00E63DD0"/>
    <w:rsid w:val="00E65B15"/>
    <w:rsid w:val="00E65C2B"/>
    <w:rsid w:val="00E665E9"/>
    <w:rsid w:val="00E668D1"/>
    <w:rsid w:val="00E6700A"/>
    <w:rsid w:val="00E72523"/>
    <w:rsid w:val="00E73385"/>
    <w:rsid w:val="00E748F7"/>
    <w:rsid w:val="00E750FF"/>
    <w:rsid w:val="00E80286"/>
    <w:rsid w:val="00E80353"/>
    <w:rsid w:val="00E82344"/>
    <w:rsid w:val="00E8253A"/>
    <w:rsid w:val="00E8445C"/>
    <w:rsid w:val="00E84888"/>
    <w:rsid w:val="00E9388A"/>
    <w:rsid w:val="00E94C68"/>
    <w:rsid w:val="00E96ACA"/>
    <w:rsid w:val="00EA1AC4"/>
    <w:rsid w:val="00EA3128"/>
    <w:rsid w:val="00EA4FC7"/>
    <w:rsid w:val="00EA61F6"/>
    <w:rsid w:val="00EB43C5"/>
    <w:rsid w:val="00EC01AE"/>
    <w:rsid w:val="00EC18F1"/>
    <w:rsid w:val="00EC29AB"/>
    <w:rsid w:val="00EC325B"/>
    <w:rsid w:val="00EC754E"/>
    <w:rsid w:val="00ED02C9"/>
    <w:rsid w:val="00ED4F15"/>
    <w:rsid w:val="00ED52E2"/>
    <w:rsid w:val="00ED65A4"/>
    <w:rsid w:val="00ED7211"/>
    <w:rsid w:val="00ED772E"/>
    <w:rsid w:val="00EE565A"/>
    <w:rsid w:val="00EE7EF3"/>
    <w:rsid w:val="00EF0973"/>
    <w:rsid w:val="00EF0D59"/>
    <w:rsid w:val="00EF0E7D"/>
    <w:rsid w:val="00EF32CF"/>
    <w:rsid w:val="00EF42AF"/>
    <w:rsid w:val="00F00234"/>
    <w:rsid w:val="00F02372"/>
    <w:rsid w:val="00F07647"/>
    <w:rsid w:val="00F07D0B"/>
    <w:rsid w:val="00F1028B"/>
    <w:rsid w:val="00F121C0"/>
    <w:rsid w:val="00F140D3"/>
    <w:rsid w:val="00F144F9"/>
    <w:rsid w:val="00F1497F"/>
    <w:rsid w:val="00F15A88"/>
    <w:rsid w:val="00F15FA8"/>
    <w:rsid w:val="00F1604B"/>
    <w:rsid w:val="00F204CE"/>
    <w:rsid w:val="00F20781"/>
    <w:rsid w:val="00F209FC"/>
    <w:rsid w:val="00F22E92"/>
    <w:rsid w:val="00F2346C"/>
    <w:rsid w:val="00F26113"/>
    <w:rsid w:val="00F30589"/>
    <w:rsid w:val="00F306AA"/>
    <w:rsid w:val="00F307C4"/>
    <w:rsid w:val="00F3168D"/>
    <w:rsid w:val="00F405C9"/>
    <w:rsid w:val="00F4097C"/>
    <w:rsid w:val="00F41677"/>
    <w:rsid w:val="00F41F57"/>
    <w:rsid w:val="00F43A6F"/>
    <w:rsid w:val="00F44223"/>
    <w:rsid w:val="00F449B3"/>
    <w:rsid w:val="00F510C1"/>
    <w:rsid w:val="00F5155A"/>
    <w:rsid w:val="00F5240E"/>
    <w:rsid w:val="00F5697A"/>
    <w:rsid w:val="00F6103E"/>
    <w:rsid w:val="00F61E62"/>
    <w:rsid w:val="00F62C9F"/>
    <w:rsid w:val="00F64103"/>
    <w:rsid w:val="00F65033"/>
    <w:rsid w:val="00F66122"/>
    <w:rsid w:val="00F7286F"/>
    <w:rsid w:val="00F72974"/>
    <w:rsid w:val="00F739CB"/>
    <w:rsid w:val="00F73E5F"/>
    <w:rsid w:val="00F76333"/>
    <w:rsid w:val="00F76C88"/>
    <w:rsid w:val="00F7722C"/>
    <w:rsid w:val="00F77CB8"/>
    <w:rsid w:val="00F817CB"/>
    <w:rsid w:val="00F82AFA"/>
    <w:rsid w:val="00F83C76"/>
    <w:rsid w:val="00F855A5"/>
    <w:rsid w:val="00F864E0"/>
    <w:rsid w:val="00F865CA"/>
    <w:rsid w:val="00F91109"/>
    <w:rsid w:val="00F921CF"/>
    <w:rsid w:val="00F9471A"/>
    <w:rsid w:val="00F95F8A"/>
    <w:rsid w:val="00F96503"/>
    <w:rsid w:val="00F977A9"/>
    <w:rsid w:val="00FA1453"/>
    <w:rsid w:val="00FA1C90"/>
    <w:rsid w:val="00FA22A8"/>
    <w:rsid w:val="00FA2AD8"/>
    <w:rsid w:val="00FB3952"/>
    <w:rsid w:val="00FC7DB0"/>
    <w:rsid w:val="00FC7FE3"/>
    <w:rsid w:val="00FD1519"/>
    <w:rsid w:val="00FD15E2"/>
    <w:rsid w:val="00FD2634"/>
    <w:rsid w:val="00FD518B"/>
    <w:rsid w:val="00FD7F83"/>
    <w:rsid w:val="00FE0147"/>
    <w:rsid w:val="00FE1C67"/>
    <w:rsid w:val="00FE2F49"/>
    <w:rsid w:val="00FE30C7"/>
    <w:rsid w:val="00FE3F58"/>
    <w:rsid w:val="00FF00BE"/>
    <w:rsid w:val="00FF3A63"/>
    <w:rsid w:val="00FF5039"/>
    <w:rsid w:val="00FF74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6008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HeaderChar">
    <w:name w:val="Header Char"/>
    <w:basedOn w:val="DefaultParagraphFont"/>
    <w:link w:val="Header"/>
    <w:uiPriority w:val="99"/>
    <w:rsid w:val="000239F9"/>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0239F9"/>
    <w:pPr>
      <w:tabs>
        <w:tab w:val="center" w:pos="4153"/>
        <w:tab w:val="right" w:pos="8306"/>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239F9"/>
    <w:rPr>
      <w:rFonts w:ascii="Times New Roman" w:eastAsia="Times New Roman" w:hAnsi="Times New Roman" w:cs="Times New Roman"/>
      <w:sz w:val="24"/>
      <w:szCs w:val="24"/>
      <w:lang w:val="x-none" w:eastAsia="x-none"/>
    </w:rPr>
  </w:style>
  <w:style w:type="paragraph" w:styleId="ListParagraph">
    <w:name w:val="List Paragraph"/>
    <w:aliases w:val="2,H&amp;P List Paragraph,Strip"/>
    <w:basedOn w:val="Normal"/>
    <w:link w:val="ListParagraphChar"/>
    <w:uiPriority w:val="34"/>
    <w:qFormat/>
    <w:rsid w:val="00DC441B"/>
    <w:pPr>
      <w:ind w:left="720"/>
      <w:contextualSpacing/>
    </w:pPr>
  </w:style>
  <w:style w:type="character" w:styleId="Hyperlink">
    <w:name w:val="Hyperlink"/>
    <w:basedOn w:val="DefaultParagraphFont"/>
    <w:uiPriority w:val="99"/>
    <w:unhideWhenUsed/>
    <w:rsid w:val="00E46407"/>
    <w:rPr>
      <w:color w:val="0000FF" w:themeColor="hyperlink"/>
      <w:u w:val="single"/>
    </w:rPr>
  </w:style>
  <w:style w:type="paragraph" w:styleId="BalloonText">
    <w:name w:val="Balloon Text"/>
    <w:basedOn w:val="Normal"/>
    <w:link w:val="BalloonTextChar"/>
    <w:uiPriority w:val="99"/>
    <w:semiHidden/>
    <w:unhideWhenUsed/>
    <w:rsid w:val="00CE7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795C"/>
    <w:rPr>
      <w:rFonts w:ascii="Tahoma" w:hAnsi="Tahoma" w:cs="Tahoma"/>
      <w:sz w:val="16"/>
      <w:szCs w:val="16"/>
    </w:rPr>
  </w:style>
  <w:style w:type="character" w:styleId="CommentReference">
    <w:name w:val="annotation reference"/>
    <w:basedOn w:val="DefaultParagraphFont"/>
    <w:uiPriority w:val="99"/>
    <w:semiHidden/>
    <w:unhideWhenUsed/>
    <w:rsid w:val="00204E04"/>
    <w:rPr>
      <w:sz w:val="16"/>
      <w:szCs w:val="16"/>
    </w:rPr>
  </w:style>
  <w:style w:type="paragraph" w:styleId="CommentText">
    <w:name w:val="annotation text"/>
    <w:basedOn w:val="Normal"/>
    <w:link w:val="CommentTextChar"/>
    <w:uiPriority w:val="99"/>
    <w:unhideWhenUsed/>
    <w:rsid w:val="00204E04"/>
    <w:pPr>
      <w:spacing w:line="240" w:lineRule="auto"/>
    </w:pPr>
    <w:rPr>
      <w:sz w:val="20"/>
      <w:szCs w:val="20"/>
    </w:rPr>
  </w:style>
  <w:style w:type="character" w:customStyle="1" w:styleId="CommentTextChar">
    <w:name w:val="Comment Text Char"/>
    <w:basedOn w:val="DefaultParagraphFont"/>
    <w:link w:val="CommentText"/>
    <w:uiPriority w:val="99"/>
    <w:rsid w:val="00204E04"/>
    <w:rPr>
      <w:sz w:val="20"/>
      <w:szCs w:val="20"/>
    </w:rPr>
  </w:style>
  <w:style w:type="paragraph" w:styleId="CommentSubject">
    <w:name w:val="annotation subject"/>
    <w:basedOn w:val="CommentText"/>
    <w:next w:val="CommentText"/>
    <w:link w:val="CommentSubjectChar"/>
    <w:uiPriority w:val="99"/>
    <w:semiHidden/>
    <w:unhideWhenUsed/>
    <w:rsid w:val="00204E04"/>
    <w:rPr>
      <w:b/>
      <w:bCs/>
    </w:rPr>
  </w:style>
  <w:style w:type="character" w:customStyle="1" w:styleId="CommentSubjectChar">
    <w:name w:val="Comment Subject Char"/>
    <w:basedOn w:val="CommentTextChar"/>
    <w:link w:val="CommentSubject"/>
    <w:uiPriority w:val="99"/>
    <w:semiHidden/>
    <w:rsid w:val="00204E04"/>
    <w:rPr>
      <w:b/>
      <w:bCs/>
      <w:sz w:val="20"/>
      <w:szCs w:val="20"/>
    </w:rPr>
  </w:style>
  <w:style w:type="paragraph" w:styleId="FootnoteText">
    <w:name w:val="footnote text"/>
    <w:basedOn w:val="Normal"/>
    <w:link w:val="FootnoteTextChar"/>
    <w:rsid w:val="0020004D"/>
    <w:pPr>
      <w:spacing w:after="0" w:line="240" w:lineRule="auto"/>
      <w:jc w:val="both"/>
    </w:pPr>
    <w:rPr>
      <w:rFonts w:ascii="Times New Roman" w:eastAsiaTheme="minorEastAsia" w:hAnsi="Times New Roman" w:cs="Times New Roman"/>
      <w:sz w:val="20"/>
      <w:szCs w:val="20"/>
    </w:rPr>
  </w:style>
  <w:style w:type="character" w:customStyle="1" w:styleId="FootnoteTextChar">
    <w:name w:val="Footnote Text Char"/>
    <w:basedOn w:val="DefaultParagraphFont"/>
    <w:link w:val="FootnoteText"/>
    <w:rsid w:val="0020004D"/>
    <w:rPr>
      <w:rFonts w:ascii="Times New Roman" w:eastAsiaTheme="minorEastAsia" w:hAnsi="Times New Roman" w:cs="Times New Roman"/>
      <w:sz w:val="20"/>
      <w:szCs w:val="20"/>
    </w:rPr>
  </w:style>
  <w:style w:type="character" w:styleId="FootnoteReference">
    <w:name w:val="footnote reference"/>
    <w:basedOn w:val="DefaultParagraphFont"/>
    <w:semiHidden/>
    <w:unhideWhenUsed/>
    <w:rsid w:val="0020004D"/>
    <w:rPr>
      <w:vertAlign w:val="superscript"/>
    </w:rPr>
  </w:style>
  <w:style w:type="character" w:customStyle="1" w:styleId="ListParagraphChar">
    <w:name w:val="List Paragraph Char"/>
    <w:aliases w:val="2 Char,H&amp;P List Paragraph Char,Strip Char"/>
    <w:link w:val="ListParagraph"/>
    <w:uiPriority w:val="34"/>
    <w:qFormat/>
    <w:locked/>
    <w:rsid w:val="0020004D"/>
  </w:style>
  <w:style w:type="paragraph" w:styleId="Revision">
    <w:name w:val="Revision"/>
    <w:hidden/>
    <w:uiPriority w:val="99"/>
    <w:semiHidden/>
    <w:rsid w:val="003176EF"/>
    <w:pPr>
      <w:spacing w:after="0" w:line="240" w:lineRule="auto"/>
    </w:pPr>
  </w:style>
  <w:style w:type="character" w:styleId="Emphasis">
    <w:name w:val="Emphasis"/>
    <w:basedOn w:val="DefaultParagraphFont"/>
    <w:uiPriority w:val="20"/>
    <w:qFormat/>
    <w:rsid w:val="00082C90"/>
    <w:rPr>
      <w:b/>
      <w:bCs/>
      <w:i w:val="0"/>
      <w:iCs w:val="0"/>
    </w:rPr>
  </w:style>
  <w:style w:type="character" w:customStyle="1" w:styleId="st1">
    <w:name w:val="st1"/>
    <w:basedOn w:val="DefaultParagraphFont"/>
    <w:rsid w:val="00082C90"/>
  </w:style>
  <w:style w:type="character" w:styleId="FollowedHyperlink">
    <w:name w:val="FollowedHyperlink"/>
    <w:basedOn w:val="DefaultParagraphFont"/>
    <w:uiPriority w:val="99"/>
    <w:semiHidden/>
    <w:unhideWhenUsed/>
    <w:rsid w:val="00F65033"/>
    <w:rPr>
      <w:color w:val="800080" w:themeColor="followedHyperlink"/>
      <w:u w:val="single"/>
    </w:rPr>
  </w:style>
  <w:style w:type="paragraph" w:customStyle="1" w:styleId="c3">
    <w:name w:val="c3"/>
    <w:basedOn w:val="Normal"/>
    <w:rsid w:val="00022A62"/>
    <w:pPr>
      <w:spacing w:before="100" w:beforeAutospacing="1" w:after="100" w:afterAutospacing="1" w:line="240" w:lineRule="auto"/>
      <w:jc w:val="both"/>
    </w:pPr>
    <w:rPr>
      <w:rFonts w:ascii="Times New Roman" w:hAnsi="Times New Roman" w:cs="Times New Roman"/>
      <w:sz w:val="24"/>
      <w:szCs w:val="24"/>
      <w:lang w:eastAsia="lv-LV"/>
    </w:rPr>
  </w:style>
  <w:style w:type="character" w:customStyle="1" w:styleId="c4">
    <w:name w:val="c4"/>
    <w:basedOn w:val="DefaultParagraphFont"/>
    <w:rsid w:val="00022A62"/>
    <w:rPr>
      <w:rFonts w:ascii="Symbol" w:hAnsi="Symbol" w:hint="default"/>
      <w:sz w:val="28"/>
      <w:szCs w:val="28"/>
    </w:rPr>
  </w:style>
  <w:style w:type="paragraph" w:customStyle="1" w:styleId="naisf">
    <w:name w:val="naisf"/>
    <w:basedOn w:val="Normal"/>
    <w:rsid w:val="00022A62"/>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Default">
    <w:name w:val="Default"/>
    <w:rsid w:val="00276883"/>
    <w:pPr>
      <w:autoSpaceDE w:val="0"/>
      <w:autoSpaceDN w:val="0"/>
      <w:adjustRightInd w:val="0"/>
      <w:spacing w:after="0" w:line="240" w:lineRule="auto"/>
    </w:pPr>
    <w:rPr>
      <w:rFonts w:ascii="Times New Roman" w:eastAsia="Calibri" w:hAnsi="Times New Roman" w:cs="Times New Roman"/>
      <w:color w:val="000000"/>
      <w:sz w:val="24"/>
      <w:szCs w:val="24"/>
      <w:lang w:eastAsia="lv-LV"/>
    </w:rPr>
  </w:style>
  <w:style w:type="paragraph" w:customStyle="1" w:styleId="naiskr">
    <w:name w:val="naiskr"/>
    <w:basedOn w:val="Normal"/>
    <w:rsid w:val="0075403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606F7E"/>
  </w:style>
  <w:style w:type="paragraph" w:customStyle="1" w:styleId="tv2132">
    <w:name w:val="tv2132"/>
    <w:basedOn w:val="Normal"/>
    <w:rsid w:val="005B30B9"/>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tv213">
    <w:name w:val="tv213"/>
    <w:basedOn w:val="Normal"/>
    <w:rsid w:val="000417B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A33F1F"/>
    <w:pPr>
      <w:spacing w:before="75" w:after="75" w:line="240" w:lineRule="auto"/>
      <w:jc w:val="center"/>
    </w:pPr>
    <w:rPr>
      <w:rFonts w:ascii="Times New Roman" w:eastAsia="Times New Roman" w:hAnsi="Times New Roman" w:cs="Times New Roman"/>
      <w:sz w:val="24"/>
      <w:szCs w:val="24"/>
      <w:lang w:eastAsia="lv-LV"/>
    </w:rPr>
  </w:style>
  <w:style w:type="paragraph" w:customStyle="1" w:styleId="Normal1">
    <w:name w:val="Normal1"/>
    <w:basedOn w:val="Normal"/>
    <w:rsid w:val="0002684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UnresolvedMention1">
    <w:name w:val="Unresolved Mention1"/>
    <w:basedOn w:val="DefaultParagraphFont"/>
    <w:uiPriority w:val="99"/>
    <w:semiHidden/>
    <w:unhideWhenUsed/>
    <w:rsid w:val="00144377"/>
    <w:rPr>
      <w:color w:val="808080"/>
      <w:shd w:val="clear" w:color="auto" w:fill="E6E6E6"/>
    </w:rPr>
  </w:style>
  <w:style w:type="paragraph" w:styleId="NoSpacing">
    <w:name w:val="No Spacing"/>
    <w:uiPriority w:val="1"/>
    <w:qFormat/>
    <w:rsid w:val="006E3AF2"/>
    <w:pPr>
      <w:spacing w:after="0" w:line="240" w:lineRule="auto"/>
    </w:pPr>
  </w:style>
  <w:style w:type="paragraph" w:customStyle="1" w:styleId="xmsolistparagraph">
    <w:name w:val="x_msolistparagraph"/>
    <w:basedOn w:val="Normal"/>
    <w:uiPriority w:val="99"/>
    <w:rsid w:val="002E17EA"/>
    <w:pPr>
      <w:spacing w:after="160" w:line="252" w:lineRule="auto"/>
      <w:ind w:left="720"/>
    </w:pPr>
    <w:rPr>
      <w:rFonts w:ascii="Times New Roman" w:hAnsi="Times New Roman" w:cs="Times New Roman"/>
      <w:sz w:val="24"/>
      <w:szCs w:val="24"/>
      <w:lang w:eastAsia="lv-LV"/>
    </w:rPr>
  </w:style>
  <w:style w:type="paragraph" w:customStyle="1" w:styleId="xmsonormal">
    <w:name w:val="x_msonormal"/>
    <w:basedOn w:val="Normal"/>
    <w:uiPriority w:val="99"/>
    <w:rsid w:val="002E17EA"/>
    <w:pPr>
      <w:spacing w:after="0" w:line="240" w:lineRule="auto"/>
    </w:pPr>
    <w:rPr>
      <w:rFonts w:ascii="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480C91"/>
    <w:rPr>
      <w:color w:val="605E5C"/>
      <w:shd w:val="clear" w:color="auto" w:fill="E1DFDD"/>
    </w:rPr>
  </w:style>
  <w:style w:type="paragraph" w:customStyle="1" w:styleId="tvhtml">
    <w:name w:val="tv_html"/>
    <w:basedOn w:val="Normal"/>
    <w:rsid w:val="00F41677"/>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343482">
      <w:bodyDiv w:val="1"/>
      <w:marLeft w:val="0"/>
      <w:marRight w:val="0"/>
      <w:marTop w:val="0"/>
      <w:marBottom w:val="0"/>
      <w:divBdr>
        <w:top w:val="none" w:sz="0" w:space="0" w:color="auto"/>
        <w:left w:val="none" w:sz="0" w:space="0" w:color="auto"/>
        <w:bottom w:val="none" w:sz="0" w:space="0" w:color="auto"/>
        <w:right w:val="none" w:sz="0" w:space="0" w:color="auto"/>
      </w:divBdr>
    </w:div>
    <w:div w:id="124011265">
      <w:bodyDiv w:val="1"/>
      <w:marLeft w:val="0"/>
      <w:marRight w:val="0"/>
      <w:marTop w:val="0"/>
      <w:marBottom w:val="0"/>
      <w:divBdr>
        <w:top w:val="none" w:sz="0" w:space="0" w:color="auto"/>
        <w:left w:val="none" w:sz="0" w:space="0" w:color="auto"/>
        <w:bottom w:val="none" w:sz="0" w:space="0" w:color="auto"/>
        <w:right w:val="none" w:sz="0" w:space="0" w:color="auto"/>
      </w:divBdr>
      <w:divsChild>
        <w:div w:id="191919462">
          <w:marLeft w:val="1440"/>
          <w:marRight w:val="0"/>
          <w:marTop w:val="115"/>
          <w:marBottom w:val="0"/>
          <w:divBdr>
            <w:top w:val="none" w:sz="0" w:space="0" w:color="auto"/>
            <w:left w:val="none" w:sz="0" w:space="0" w:color="auto"/>
            <w:bottom w:val="none" w:sz="0" w:space="0" w:color="auto"/>
            <w:right w:val="none" w:sz="0" w:space="0" w:color="auto"/>
          </w:divBdr>
        </w:div>
        <w:div w:id="556278350">
          <w:marLeft w:val="1440"/>
          <w:marRight w:val="0"/>
          <w:marTop w:val="115"/>
          <w:marBottom w:val="0"/>
          <w:divBdr>
            <w:top w:val="none" w:sz="0" w:space="0" w:color="auto"/>
            <w:left w:val="none" w:sz="0" w:space="0" w:color="auto"/>
            <w:bottom w:val="none" w:sz="0" w:space="0" w:color="auto"/>
            <w:right w:val="none" w:sz="0" w:space="0" w:color="auto"/>
          </w:divBdr>
        </w:div>
        <w:div w:id="638268564">
          <w:marLeft w:val="1440"/>
          <w:marRight w:val="0"/>
          <w:marTop w:val="115"/>
          <w:marBottom w:val="0"/>
          <w:divBdr>
            <w:top w:val="none" w:sz="0" w:space="0" w:color="auto"/>
            <w:left w:val="none" w:sz="0" w:space="0" w:color="auto"/>
            <w:bottom w:val="none" w:sz="0" w:space="0" w:color="auto"/>
            <w:right w:val="none" w:sz="0" w:space="0" w:color="auto"/>
          </w:divBdr>
        </w:div>
        <w:div w:id="1772629175">
          <w:marLeft w:val="1440"/>
          <w:marRight w:val="0"/>
          <w:marTop w:val="115"/>
          <w:marBottom w:val="0"/>
          <w:divBdr>
            <w:top w:val="none" w:sz="0" w:space="0" w:color="auto"/>
            <w:left w:val="none" w:sz="0" w:space="0" w:color="auto"/>
            <w:bottom w:val="none" w:sz="0" w:space="0" w:color="auto"/>
            <w:right w:val="none" w:sz="0" w:space="0" w:color="auto"/>
          </w:divBdr>
        </w:div>
      </w:divsChild>
    </w:div>
    <w:div w:id="138497731">
      <w:bodyDiv w:val="1"/>
      <w:marLeft w:val="0"/>
      <w:marRight w:val="0"/>
      <w:marTop w:val="0"/>
      <w:marBottom w:val="0"/>
      <w:divBdr>
        <w:top w:val="none" w:sz="0" w:space="0" w:color="auto"/>
        <w:left w:val="none" w:sz="0" w:space="0" w:color="auto"/>
        <w:bottom w:val="none" w:sz="0" w:space="0" w:color="auto"/>
        <w:right w:val="none" w:sz="0" w:space="0" w:color="auto"/>
      </w:divBdr>
    </w:div>
    <w:div w:id="157499217">
      <w:bodyDiv w:val="1"/>
      <w:marLeft w:val="0"/>
      <w:marRight w:val="0"/>
      <w:marTop w:val="0"/>
      <w:marBottom w:val="0"/>
      <w:divBdr>
        <w:top w:val="none" w:sz="0" w:space="0" w:color="auto"/>
        <w:left w:val="none" w:sz="0" w:space="0" w:color="auto"/>
        <w:bottom w:val="none" w:sz="0" w:space="0" w:color="auto"/>
        <w:right w:val="none" w:sz="0" w:space="0" w:color="auto"/>
      </w:divBdr>
    </w:div>
    <w:div w:id="179470172">
      <w:bodyDiv w:val="1"/>
      <w:marLeft w:val="0"/>
      <w:marRight w:val="0"/>
      <w:marTop w:val="0"/>
      <w:marBottom w:val="0"/>
      <w:divBdr>
        <w:top w:val="none" w:sz="0" w:space="0" w:color="auto"/>
        <w:left w:val="none" w:sz="0" w:space="0" w:color="auto"/>
        <w:bottom w:val="none" w:sz="0" w:space="0" w:color="auto"/>
        <w:right w:val="none" w:sz="0" w:space="0" w:color="auto"/>
      </w:divBdr>
      <w:divsChild>
        <w:div w:id="261376744">
          <w:marLeft w:val="0"/>
          <w:marRight w:val="0"/>
          <w:marTop w:val="0"/>
          <w:marBottom w:val="0"/>
          <w:divBdr>
            <w:top w:val="none" w:sz="0" w:space="0" w:color="auto"/>
            <w:left w:val="none" w:sz="0" w:space="0" w:color="auto"/>
            <w:bottom w:val="none" w:sz="0" w:space="0" w:color="auto"/>
            <w:right w:val="none" w:sz="0" w:space="0" w:color="auto"/>
          </w:divBdr>
        </w:div>
        <w:div w:id="439838530">
          <w:marLeft w:val="0"/>
          <w:marRight w:val="0"/>
          <w:marTop w:val="0"/>
          <w:marBottom w:val="0"/>
          <w:divBdr>
            <w:top w:val="none" w:sz="0" w:space="0" w:color="auto"/>
            <w:left w:val="none" w:sz="0" w:space="0" w:color="auto"/>
            <w:bottom w:val="none" w:sz="0" w:space="0" w:color="auto"/>
            <w:right w:val="none" w:sz="0" w:space="0" w:color="auto"/>
          </w:divBdr>
        </w:div>
        <w:div w:id="445537594">
          <w:marLeft w:val="0"/>
          <w:marRight w:val="0"/>
          <w:marTop w:val="0"/>
          <w:marBottom w:val="0"/>
          <w:divBdr>
            <w:top w:val="none" w:sz="0" w:space="0" w:color="auto"/>
            <w:left w:val="none" w:sz="0" w:space="0" w:color="auto"/>
            <w:bottom w:val="none" w:sz="0" w:space="0" w:color="auto"/>
            <w:right w:val="none" w:sz="0" w:space="0" w:color="auto"/>
          </w:divBdr>
        </w:div>
        <w:div w:id="451632360">
          <w:marLeft w:val="0"/>
          <w:marRight w:val="0"/>
          <w:marTop w:val="0"/>
          <w:marBottom w:val="0"/>
          <w:divBdr>
            <w:top w:val="none" w:sz="0" w:space="0" w:color="auto"/>
            <w:left w:val="none" w:sz="0" w:space="0" w:color="auto"/>
            <w:bottom w:val="none" w:sz="0" w:space="0" w:color="auto"/>
            <w:right w:val="none" w:sz="0" w:space="0" w:color="auto"/>
          </w:divBdr>
        </w:div>
        <w:div w:id="640035535">
          <w:marLeft w:val="0"/>
          <w:marRight w:val="0"/>
          <w:marTop w:val="0"/>
          <w:marBottom w:val="0"/>
          <w:divBdr>
            <w:top w:val="none" w:sz="0" w:space="0" w:color="auto"/>
            <w:left w:val="none" w:sz="0" w:space="0" w:color="auto"/>
            <w:bottom w:val="none" w:sz="0" w:space="0" w:color="auto"/>
            <w:right w:val="none" w:sz="0" w:space="0" w:color="auto"/>
          </w:divBdr>
        </w:div>
        <w:div w:id="916135896">
          <w:marLeft w:val="0"/>
          <w:marRight w:val="0"/>
          <w:marTop w:val="0"/>
          <w:marBottom w:val="0"/>
          <w:divBdr>
            <w:top w:val="none" w:sz="0" w:space="0" w:color="auto"/>
            <w:left w:val="none" w:sz="0" w:space="0" w:color="auto"/>
            <w:bottom w:val="none" w:sz="0" w:space="0" w:color="auto"/>
            <w:right w:val="none" w:sz="0" w:space="0" w:color="auto"/>
          </w:divBdr>
        </w:div>
        <w:div w:id="963147968">
          <w:marLeft w:val="0"/>
          <w:marRight w:val="0"/>
          <w:marTop w:val="0"/>
          <w:marBottom w:val="0"/>
          <w:divBdr>
            <w:top w:val="none" w:sz="0" w:space="0" w:color="auto"/>
            <w:left w:val="none" w:sz="0" w:space="0" w:color="auto"/>
            <w:bottom w:val="none" w:sz="0" w:space="0" w:color="auto"/>
            <w:right w:val="none" w:sz="0" w:space="0" w:color="auto"/>
          </w:divBdr>
        </w:div>
        <w:div w:id="1013647352">
          <w:marLeft w:val="0"/>
          <w:marRight w:val="0"/>
          <w:marTop w:val="0"/>
          <w:marBottom w:val="0"/>
          <w:divBdr>
            <w:top w:val="none" w:sz="0" w:space="0" w:color="auto"/>
            <w:left w:val="none" w:sz="0" w:space="0" w:color="auto"/>
            <w:bottom w:val="none" w:sz="0" w:space="0" w:color="auto"/>
            <w:right w:val="none" w:sz="0" w:space="0" w:color="auto"/>
          </w:divBdr>
        </w:div>
        <w:div w:id="1297684363">
          <w:marLeft w:val="0"/>
          <w:marRight w:val="0"/>
          <w:marTop w:val="0"/>
          <w:marBottom w:val="0"/>
          <w:divBdr>
            <w:top w:val="none" w:sz="0" w:space="0" w:color="auto"/>
            <w:left w:val="none" w:sz="0" w:space="0" w:color="auto"/>
            <w:bottom w:val="none" w:sz="0" w:space="0" w:color="auto"/>
            <w:right w:val="none" w:sz="0" w:space="0" w:color="auto"/>
          </w:divBdr>
        </w:div>
        <w:div w:id="1324549613">
          <w:marLeft w:val="0"/>
          <w:marRight w:val="0"/>
          <w:marTop w:val="0"/>
          <w:marBottom w:val="0"/>
          <w:divBdr>
            <w:top w:val="none" w:sz="0" w:space="0" w:color="auto"/>
            <w:left w:val="none" w:sz="0" w:space="0" w:color="auto"/>
            <w:bottom w:val="none" w:sz="0" w:space="0" w:color="auto"/>
            <w:right w:val="none" w:sz="0" w:space="0" w:color="auto"/>
          </w:divBdr>
        </w:div>
        <w:div w:id="1359701553">
          <w:marLeft w:val="0"/>
          <w:marRight w:val="0"/>
          <w:marTop w:val="0"/>
          <w:marBottom w:val="0"/>
          <w:divBdr>
            <w:top w:val="none" w:sz="0" w:space="0" w:color="auto"/>
            <w:left w:val="none" w:sz="0" w:space="0" w:color="auto"/>
            <w:bottom w:val="none" w:sz="0" w:space="0" w:color="auto"/>
            <w:right w:val="none" w:sz="0" w:space="0" w:color="auto"/>
          </w:divBdr>
        </w:div>
        <w:div w:id="1400205804">
          <w:marLeft w:val="0"/>
          <w:marRight w:val="0"/>
          <w:marTop w:val="0"/>
          <w:marBottom w:val="0"/>
          <w:divBdr>
            <w:top w:val="none" w:sz="0" w:space="0" w:color="auto"/>
            <w:left w:val="none" w:sz="0" w:space="0" w:color="auto"/>
            <w:bottom w:val="none" w:sz="0" w:space="0" w:color="auto"/>
            <w:right w:val="none" w:sz="0" w:space="0" w:color="auto"/>
          </w:divBdr>
        </w:div>
        <w:div w:id="1506362199">
          <w:marLeft w:val="0"/>
          <w:marRight w:val="0"/>
          <w:marTop w:val="0"/>
          <w:marBottom w:val="0"/>
          <w:divBdr>
            <w:top w:val="none" w:sz="0" w:space="0" w:color="auto"/>
            <w:left w:val="none" w:sz="0" w:space="0" w:color="auto"/>
            <w:bottom w:val="none" w:sz="0" w:space="0" w:color="auto"/>
            <w:right w:val="none" w:sz="0" w:space="0" w:color="auto"/>
          </w:divBdr>
        </w:div>
        <w:div w:id="1591507459">
          <w:marLeft w:val="0"/>
          <w:marRight w:val="0"/>
          <w:marTop w:val="0"/>
          <w:marBottom w:val="0"/>
          <w:divBdr>
            <w:top w:val="none" w:sz="0" w:space="0" w:color="auto"/>
            <w:left w:val="none" w:sz="0" w:space="0" w:color="auto"/>
            <w:bottom w:val="none" w:sz="0" w:space="0" w:color="auto"/>
            <w:right w:val="none" w:sz="0" w:space="0" w:color="auto"/>
          </w:divBdr>
        </w:div>
        <w:div w:id="1663924949">
          <w:marLeft w:val="0"/>
          <w:marRight w:val="0"/>
          <w:marTop w:val="0"/>
          <w:marBottom w:val="0"/>
          <w:divBdr>
            <w:top w:val="none" w:sz="0" w:space="0" w:color="auto"/>
            <w:left w:val="none" w:sz="0" w:space="0" w:color="auto"/>
            <w:bottom w:val="none" w:sz="0" w:space="0" w:color="auto"/>
            <w:right w:val="none" w:sz="0" w:space="0" w:color="auto"/>
          </w:divBdr>
        </w:div>
        <w:div w:id="1867868931">
          <w:marLeft w:val="0"/>
          <w:marRight w:val="0"/>
          <w:marTop w:val="0"/>
          <w:marBottom w:val="0"/>
          <w:divBdr>
            <w:top w:val="none" w:sz="0" w:space="0" w:color="auto"/>
            <w:left w:val="none" w:sz="0" w:space="0" w:color="auto"/>
            <w:bottom w:val="none" w:sz="0" w:space="0" w:color="auto"/>
            <w:right w:val="none" w:sz="0" w:space="0" w:color="auto"/>
          </w:divBdr>
        </w:div>
        <w:div w:id="1887522865">
          <w:marLeft w:val="0"/>
          <w:marRight w:val="0"/>
          <w:marTop w:val="0"/>
          <w:marBottom w:val="0"/>
          <w:divBdr>
            <w:top w:val="none" w:sz="0" w:space="0" w:color="auto"/>
            <w:left w:val="none" w:sz="0" w:space="0" w:color="auto"/>
            <w:bottom w:val="none" w:sz="0" w:space="0" w:color="auto"/>
            <w:right w:val="none" w:sz="0" w:space="0" w:color="auto"/>
          </w:divBdr>
        </w:div>
        <w:div w:id="1974016151">
          <w:marLeft w:val="0"/>
          <w:marRight w:val="0"/>
          <w:marTop w:val="0"/>
          <w:marBottom w:val="0"/>
          <w:divBdr>
            <w:top w:val="none" w:sz="0" w:space="0" w:color="auto"/>
            <w:left w:val="none" w:sz="0" w:space="0" w:color="auto"/>
            <w:bottom w:val="none" w:sz="0" w:space="0" w:color="auto"/>
            <w:right w:val="none" w:sz="0" w:space="0" w:color="auto"/>
          </w:divBdr>
        </w:div>
        <w:div w:id="1977711640">
          <w:marLeft w:val="0"/>
          <w:marRight w:val="0"/>
          <w:marTop w:val="0"/>
          <w:marBottom w:val="0"/>
          <w:divBdr>
            <w:top w:val="none" w:sz="0" w:space="0" w:color="auto"/>
            <w:left w:val="none" w:sz="0" w:space="0" w:color="auto"/>
            <w:bottom w:val="none" w:sz="0" w:space="0" w:color="auto"/>
            <w:right w:val="none" w:sz="0" w:space="0" w:color="auto"/>
          </w:divBdr>
        </w:div>
        <w:div w:id="2008286230">
          <w:marLeft w:val="0"/>
          <w:marRight w:val="0"/>
          <w:marTop w:val="0"/>
          <w:marBottom w:val="0"/>
          <w:divBdr>
            <w:top w:val="none" w:sz="0" w:space="0" w:color="auto"/>
            <w:left w:val="none" w:sz="0" w:space="0" w:color="auto"/>
            <w:bottom w:val="none" w:sz="0" w:space="0" w:color="auto"/>
            <w:right w:val="none" w:sz="0" w:space="0" w:color="auto"/>
          </w:divBdr>
        </w:div>
        <w:div w:id="2027247439">
          <w:marLeft w:val="0"/>
          <w:marRight w:val="0"/>
          <w:marTop w:val="0"/>
          <w:marBottom w:val="0"/>
          <w:divBdr>
            <w:top w:val="none" w:sz="0" w:space="0" w:color="auto"/>
            <w:left w:val="none" w:sz="0" w:space="0" w:color="auto"/>
            <w:bottom w:val="none" w:sz="0" w:space="0" w:color="auto"/>
            <w:right w:val="none" w:sz="0" w:space="0" w:color="auto"/>
          </w:divBdr>
        </w:div>
        <w:div w:id="2045790616">
          <w:marLeft w:val="0"/>
          <w:marRight w:val="0"/>
          <w:marTop w:val="0"/>
          <w:marBottom w:val="0"/>
          <w:divBdr>
            <w:top w:val="none" w:sz="0" w:space="0" w:color="auto"/>
            <w:left w:val="none" w:sz="0" w:space="0" w:color="auto"/>
            <w:bottom w:val="none" w:sz="0" w:space="0" w:color="auto"/>
            <w:right w:val="none" w:sz="0" w:space="0" w:color="auto"/>
          </w:divBdr>
        </w:div>
      </w:divsChild>
    </w:div>
    <w:div w:id="190728687">
      <w:bodyDiv w:val="1"/>
      <w:marLeft w:val="0"/>
      <w:marRight w:val="0"/>
      <w:marTop w:val="0"/>
      <w:marBottom w:val="0"/>
      <w:divBdr>
        <w:top w:val="none" w:sz="0" w:space="0" w:color="auto"/>
        <w:left w:val="none" w:sz="0" w:space="0" w:color="auto"/>
        <w:bottom w:val="none" w:sz="0" w:space="0" w:color="auto"/>
        <w:right w:val="none" w:sz="0" w:space="0" w:color="auto"/>
      </w:divBdr>
    </w:div>
    <w:div w:id="196964507">
      <w:bodyDiv w:val="1"/>
      <w:marLeft w:val="0"/>
      <w:marRight w:val="0"/>
      <w:marTop w:val="0"/>
      <w:marBottom w:val="0"/>
      <w:divBdr>
        <w:top w:val="none" w:sz="0" w:space="0" w:color="auto"/>
        <w:left w:val="none" w:sz="0" w:space="0" w:color="auto"/>
        <w:bottom w:val="none" w:sz="0" w:space="0" w:color="auto"/>
        <w:right w:val="none" w:sz="0" w:space="0" w:color="auto"/>
      </w:divBdr>
    </w:div>
    <w:div w:id="202376340">
      <w:bodyDiv w:val="1"/>
      <w:marLeft w:val="0"/>
      <w:marRight w:val="0"/>
      <w:marTop w:val="0"/>
      <w:marBottom w:val="0"/>
      <w:divBdr>
        <w:top w:val="none" w:sz="0" w:space="0" w:color="auto"/>
        <w:left w:val="none" w:sz="0" w:space="0" w:color="auto"/>
        <w:bottom w:val="none" w:sz="0" w:space="0" w:color="auto"/>
        <w:right w:val="none" w:sz="0" w:space="0" w:color="auto"/>
      </w:divBdr>
    </w:div>
    <w:div w:id="235944133">
      <w:bodyDiv w:val="1"/>
      <w:marLeft w:val="0"/>
      <w:marRight w:val="0"/>
      <w:marTop w:val="0"/>
      <w:marBottom w:val="0"/>
      <w:divBdr>
        <w:top w:val="none" w:sz="0" w:space="0" w:color="auto"/>
        <w:left w:val="none" w:sz="0" w:space="0" w:color="auto"/>
        <w:bottom w:val="none" w:sz="0" w:space="0" w:color="auto"/>
        <w:right w:val="none" w:sz="0" w:space="0" w:color="auto"/>
      </w:divBdr>
    </w:div>
    <w:div w:id="359360820">
      <w:bodyDiv w:val="1"/>
      <w:marLeft w:val="0"/>
      <w:marRight w:val="0"/>
      <w:marTop w:val="0"/>
      <w:marBottom w:val="0"/>
      <w:divBdr>
        <w:top w:val="none" w:sz="0" w:space="0" w:color="auto"/>
        <w:left w:val="none" w:sz="0" w:space="0" w:color="auto"/>
        <w:bottom w:val="none" w:sz="0" w:space="0" w:color="auto"/>
        <w:right w:val="none" w:sz="0" w:space="0" w:color="auto"/>
      </w:divBdr>
    </w:div>
    <w:div w:id="373774310">
      <w:bodyDiv w:val="1"/>
      <w:marLeft w:val="0"/>
      <w:marRight w:val="0"/>
      <w:marTop w:val="0"/>
      <w:marBottom w:val="0"/>
      <w:divBdr>
        <w:top w:val="none" w:sz="0" w:space="0" w:color="auto"/>
        <w:left w:val="none" w:sz="0" w:space="0" w:color="auto"/>
        <w:bottom w:val="none" w:sz="0" w:space="0" w:color="auto"/>
        <w:right w:val="none" w:sz="0" w:space="0" w:color="auto"/>
      </w:divBdr>
    </w:div>
    <w:div w:id="407700047">
      <w:bodyDiv w:val="1"/>
      <w:marLeft w:val="0"/>
      <w:marRight w:val="0"/>
      <w:marTop w:val="0"/>
      <w:marBottom w:val="0"/>
      <w:divBdr>
        <w:top w:val="none" w:sz="0" w:space="0" w:color="auto"/>
        <w:left w:val="none" w:sz="0" w:space="0" w:color="auto"/>
        <w:bottom w:val="none" w:sz="0" w:space="0" w:color="auto"/>
        <w:right w:val="none" w:sz="0" w:space="0" w:color="auto"/>
      </w:divBdr>
    </w:div>
    <w:div w:id="485172408">
      <w:bodyDiv w:val="1"/>
      <w:marLeft w:val="0"/>
      <w:marRight w:val="0"/>
      <w:marTop w:val="0"/>
      <w:marBottom w:val="0"/>
      <w:divBdr>
        <w:top w:val="none" w:sz="0" w:space="0" w:color="auto"/>
        <w:left w:val="none" w:sz="0" w:space="0" w:color="auto"/>
        <w:bottom w:val="none" w:sz="0" w:space="0" w:color="auto"/>
        <w:right w:val="none" w:sz="0" w:space="0" w:color="auto"/>
      </w:divBdr>
    </w:div>
    <w:div w:id="497572517">
      <w:bodyDiv w:val="1"/>
      <w:marLeft w:val="0"/>
      <w:marRight w:val="0"/>
      <w:marTop w:val="0"/>
      <w:marBottom w:val="0"/>
      <w:divBdr>
        <w:top w:val="none" w:sz="0" w:space="0" w:color="auto"/>
        <w:left w:val="none" w:sz="0" w:space="0" w:color="auto"/>
        <w:bottom w:val="none" w:sz="0" w:space="0" w:color="auto"/>
        <w:right w:val="none" w:sz="0" w:space="0" w:color="auto"/>
      </w:divBdr>
    </w:div>
    <w:div w:id="592711869">
      <w:bodyDiv w:val="1"/>
      <w:marLeft w:val="0"/>
      <w:marRight w:val="0"/>
      <w:marTop w:val="0"/>
      <w:marBottom w:val="0"/>
      <w:divBdr>
        <w:top w:val="none" w:sz="0" w:space="0" w:color="auto"/>
        <w:left w:val="none" w:sz="0" w:space="0" w:color="auto"/>
        <w:bottom w:val="none" w:sz="0" w:space="0" w:color="auto"/>
        <w:right w:val="none" w:sz="0" w:space="0" w:color="auto"/>
      </w:divBdr>
    </w:div>
    <w:div w:id="601764463">
      <w:bodyDiv w:val="1"/>
      <w:marLeft w:val="0"/>
      <w:marRight w:val="0"/>
      <w:marTop w:val="0"/>
      <w:marBottom w:val="0"/>
      <w:divBdr>
        <w:top w:val="none" w:sz="0" w:space="0" w:color="auto"/>
        <w:left w:val="none" w:sz="0" w:space="0" w:color="auto"/>
        <w:bottom w:val="none" w:sz="0" w:space="0" w:color="auto"/>
        <w:right w:val="none" w:sz="0" w:space="0" w:color="auto"/>
      </w:divBdr>
    </w:div>
    <w:div w:id="615647262">
      <w:bodyDiv w:val="1"/>
      <w:marLeft w:val="0"/>
      <w:marRight w:val="0"/>
      <w:marTop w:val="0"/>
      <w:marBottom w:val="0"/>
      <w:divBdr>
        <w:top w:val="none" w:sz="0" w:space="0" w:color="auto"/>
        <w:left w:val="none" w:sz="0" w:space="0" w:color="auto"/>
        <w:bottom w:val="none" w:sz="0" w:space="0" w:color="auto"/>
        <w:right w:val="none" w:sz="0" w:space="0" w:color="auto"/>
      </w:divBdr>
    </w:div>
    <w:div w:id="620036404">
      <w:bodyDiv w:val="1"/>
      <w:marLeft w:val="0"/>
      <w:marRight w:val="0"/>
      <w:marTop w:val="0"/>
      <w:marBottom w:val="0"/>
      <w:divBdr>
        <w:top w:val="none" w:sz="0" w:space="0" w:color="auto"/>
        <w:left w:val="none" w:sz="0" w:space="0" w:color="auto"/>
        <w:bottom w:val="none" w:sz="0" w:space="0" w:color="auto"/>
        <w:right w:val="none" w:sz="0" w:space="0" w:color="auto"/>
      </w:divBdr>
    </w:div>
    <w:div w:id="622619012">
      <w:bodyDiv w:val="1"/>
      <w:marLeft w:val="0"/>
      <w:marRight w:val="0"/>
      <w:marTop w:val="0"/>
      <w:marBottom w:val="0"/>
      <w:divBdr>
        <w:top w:val="none" w:sz="0" w:space="0" w:color="auto"/>
        <w:left w:val="none" w:sz="0" w:space="0" w:color="auto"/>
        <w:bottom w:val="none" w:sz="0" w:space="0" w:color="auto"/>
        <w:right w:val="none" w:sz="0" w:space="0" w:color="auto"/>
      </w:divBdr>
    </w:div>
    <w:div w:id="682323710">
      <w:bodyDiv w:val="1"/>
      <w:marLeft w:val="0"/>
      <w:marRight w:val="0"/>
      <w:marTop w:val="0"/>
      <w:marBottom w:val="0"/>
      <w:divBdr>
        <w:top w:val="none" w:sz="0" w:space="0" w:color="auto"/>
        <w:left w:val="none" w:sz="0" w:space="0" w:color="auto"/>
        <w:bottom w:val="none" w:sz="0" w:space="0" w:color="auto"/>
        <w:right w:val="none" w:sz="0" w:space="0" w:color="auto"/>
      </w:divBdr>
    </w:div>
    <w:div w:id="781539227">
      <w:bodyDiv w:val="1"/>
      <w:marLeft w:val="0"/>
      <w:marRight w:val="0"/>
      <w:marTop w:val="0"/>
      <w:marBottom w:val="0"/>
      <w:divBdr>
        <w:top w:val="none" w:sz="0" w:space="0" w:color="auto"/>
        <w:left w:val="none" w:sz="0" w:space="0" w:color="auto"/>
        <w:bottom w:val="none" w:sz="0" w:space="0" w:color="auto"/>
        <w:right w:val="none" w:sz="0" w:space="0" w:color="auto"/>
      </w:divBdr>
    </w:div>
    <w:div w:id="918447589">
      <w:bodyDiv w:val="1"/>
      <w:marLeft w:val="0"/>
      <w:marRight w:val="0"/>
      <w:marTop w:val="0"/>
      <w:marBottom w:val="0"/>
      <w:divBdr>
        <w:top w:val="none" w:sz="0" w:space="0" w:color="auto"/>
        <w:left w:val="none" w:sz="0" w:space="0" w:color="auto"/>
        <w:bottom w:val="none" w:sz="0" w:space="0" w:color="auto"/>
        <w:right w:val="none" w:sz="0" w:space="0" w:color="auto"/>
      </w:divBdr>
    </w:div>
    <w:div w:id="933827074">
      <w:bodyDiv w:val="1"/>
      <w:marLeft w:val="0"/>
      <w:marRight w:val="0"/>
      <w:marTop w:val="0"/>
      <w:marBottom w:val="0"/>
      <w:divBdr>
        <w:top w:val="none" w:sz="0" w:space="0" w:color="auto"/>
        <w:left w:val="none" w:sz="0" w:space="0" w:color="auto"/>
        <w:bottom w:val="none" w:sz="0" w:space="0" w:color="auto"/>
        <w:right w:val="none" w:sz="0" w:space="0" w:color="auto"/>
      </w:divBdr>
    </w:div>
    <w:div w:id="948855274">
      <w:bodyDiv w:val="1"/>
      <w:marLeft w:val="0"/>
      <w:marRight w:val="0"/>
      <w:marTop w:val="0"/>
      <w:marBottom w:val="0"/>
      <w:divBdr>
        <w:top w:val="none" w:sz="0" w:space="0" w:color="auto"/>
        <w:left w:val="none" w:sz="0" w:space="0" w:color="auto"/>
        <w:bottom w:val="none" w:sz="0" w:space="0" w:color="auto"/>
        <w:right w:val="none" w:sz="0" w:space="0" w:color="auto"/>
      </w:divBdr>
    </w:div>
    <w:div w:id="950670628">
      <w:bodyDiv w:val="1"/>
      <w:marLeft w:val="0"/>
      <w:marRight w:val="0"/>
      <w:marTop w:val="0"/>
      <w:marBottom w:val="0"/>
      <w:divBdr>
        <w:top w:val="none" w:sz="0" w:space="0" w:color="auto"/>
        <w:left w:val="none" w:sz="0" w:space="0" w:color="auto"/>
        <w:bottom w:val="none" w:sz="0" w:space="0" w:color="auto"/>
        <w:right w:val="none" w:sz="0" w:space="0" w:color="auto"/>
      </w:divBdr>
    </w:div>
    <w:div w:id="976227320">
      <w:bodyDiv w:val="1"/>
      <w:marLeft w:val="0"/>
      <w:marRight w:val="0"/>
      <w:marTop w:val="0"/>
      <w:marBottom w:val="0"/>
      <w:divBdr>
        <w:top w:val="none" w:sz="0" w:space="0" w:color="auto"/>
        <w:left w:val="none" w:sz="0" w:space="0" w:color="auto"/>
        <w:bottom w:val="none" w:sz="0" w:space="0" w:color="auto"/>
        <w:right w:val="none" w:sz="0" w:space="0" w:color="auto"/>
      </w:divBdr>
    </w:div>
    <w:div w:id="985549441">
      <w:bodyDiv w:val="1"/>
      <w:marLeft w:val="0"/>
      <w:marRight w:val="0"/>
      <w:marTop w:val="0"/>
      <w:marBottom w:val="0"/>
      <w:divBdr>
        <w:top w:val="none" w:sz="0" w:space="0" w:color="auto"/>
        <w:left w:val="none" w:sz="0" w:space="0" w:color="auto"/>
        <w:bottom w:val="none" w:sz="0" w:space="0" w:color="auto"/>
        <w:right w:val="none" w:sz="0" w:space="0" w:color="auto"/>
      </w:divBdr>
    </w:div>
    <w:div w:id="1051463030">
      <w:bodyDiv w:val="1"/>
      <w:marLeft w:val="0"/>
      <w:marRight w:val="0"/>
      <w:marTop w:val="0"/>
      <w:marBottom w:val="0"/>
      <w:divBdr>
        <w:top w:val="none" w:sz="0" w:space="0" w:color="auto"/>
        <w:left w:val="none" w:sz="0" w:space="0" w:color="auto"/>
        <w:bottom w:val="none" w:sz="0" w:space="0" w:color="auto"/>
        <w:right w:val="none" w:sz="0" w:space="0" w:color="auto"/>
      </w:divBdr>
    </w:div>
    <w:div w:id="1062870273">
      <w:bodyDiv w:val="1"/>
      <w:marLeft w:val="0"/>
      <w:marRight w:val="0"/>
      <w:marTop w:val="0"/>
      <w:marBottom w:val="0"/>
      <w:divBdr>
        <w:top w:val="none" w:sz="0" w:space="0" w:color="auto"/>
        <w:left w:val="none" w:sz="0" w:space="0" w:color="auto"/>
        <w:bottom w:val="none" w:sz="0" w:space="0" w:color="auto"/>
        <w:right w:val="none" w:sz="0" w:space="0" w:color="auto"/>
      </w:divBdr>
    </w:div>
    <w:div w:id="1134055272">
      <w:bodyDiv w:val="1"/>
      <w:marLeft w:val="0"/>
      <w:marRight w:val="0"/>
      <w:marTop w:val="0"/>
      <w:marBottom w:val="0"/>
      <w:divBdr>
        <w:top w:val="none" w:sz="0" w:space="0" w:color="auto"/>
        <w:left w:val="none" w:sz="0" w:space="0" w:color="auto"/>
        <w:bottom w:val="none" w:sz="0" w:space="0" w:color="auto"/>
        <w:right w:val="none" w:sz="0" w:space="0" w:color="auto"/>
      </w:divBdr>
    </w:div>
    <w:div w:id="1158810909">
      <w:bodyDiv w:val="1"/>
      <w:marLeft w:val="0"/>
      <w:marRight w:val="0"/>
      <w:marTop w:val="0"/>
      <w:marBottom w:val="0"/>
      <w:divBdr>
        <w:top w:val="none" w:sz="0" w:space="0" w:color="auto"/>
        <w:left w:val="none" w:sz="0" w:space="0" w:color="auto"/>
        <w:bottom w:val="none" w:sz="0" w:space="0" w:color="auto"/>
        <w:right w:val="none" w:sz="0" w:space="0" w:color="auto"/>
      </w:divBdr>
    </w:div>
    <w:div w:id="1186409399">
      <w:bodyDiv w:val="1"/>
      <w:marLeft w:val="0"/>
      <w:marRight w:val="0"/>
      <w:marTop w:val="0"/>
      <w:marBottom w:val="0"/>
      <w:divBdr>
        <w:top w:val="none" w:sz="0" w:space="0" w:color="auto"/>
        <w:left w:val="none" w:sz="0" w:space="0" w:color="auto"/>
        <w:bottom w:val="none" w:sz="0" w:space="0" w:color="auto"/>
        <w:right w:val="none" w:sz="0" w:space="0" w:color="auto"/>
      </w:divBdr>
    </w:div>
    <w:div w:id="1232933238">
      <w:bodyDiv w:val="1"/>
      <w:marLeft w:val="0"/>
      <w:marRight w:val="0"/>
      <w:marTop w:val="0"/>
      <w:marBottom w:val="0"/>
      <w:divBdr>
        <w:top w:val="none" w:sz="0" w:space="0" w:color="auto"/>
        <w:left w:val="none" w:sz="0" w:space="0" w:color="auto"/>
        <w:bottom w:val="none" w:sz="0" w:space="0" w:color="auto"/>
        <w:right w:val="none" w:sz="0" w:space="0" w:color="auto"/>
      </w:divBdr>
    </w:div>
    <w:div w:id="1241988720">
      <w:bodyDiv w:val="1"/>
      <w:marLeft w:val="0"/>
      <w:marRight w:val="0"/>
      <w:marTop w:val="0"/>
      <w:marBottom w:val="0"/>
      <w:divBdr>
        <w:top w:val="none" w:sz="0" w:space="0" w:color="auto"/>
        <w:left w:val="none" w:sz="0" w:space="0" w:color="auto"/>
        <w:bottom w:val="none" w:sz="0" w:space="0" w:color="auto"/>
        <w:right w:val="none" w:sz="0" w:space="0" w:color="auto"/>
      </w:divBdr>
    </w:div>
    <w:div w:id="1253860350">
      <w:bodyDiv w:val="1"/>
      <w:marLeft w:val="0"/>
      <w:marRight w:val="0"/>
      <w:marTop w:val="0"/>
      <w:marBottom w:val="0"/>
      <w:divBdr>
        <w:top w:val="none" w:sz="0" w:space="0" w:color="auto"/>
        <w:left w:val="none" w:sz="0" w:space="0" w:color="auto"/>
        <w:bottom w:val="none" w:sz="0" w:space="0" w:color="auto"/>
        <w:right w:val="none" w:sz="0" w:space="0" w:color="auto"/>
      </w:divBdr>
      <w:divsChild>
        <w:div w:id="1773283279">
          <w:marLeft w:val="0"/>
          <w:marRight w:val="0"/>
          <w:marTop w:val="0"/>
          <w:marBottom w:val="0"/>
          <w:divBdr>
            <w:top w:val="none" w:sz="0" w:space="0" w:color="auto"/>
            <w:left w:val="none" w:sz="0" w:space="0" w:color="auto"/>
            <w:bottom w:val="none" w:sz="0" w:space="0" w:color="auto"/>
            <w:right w:val="none" w:sz="0" w:space="0" w:color="auto"/>
          </w:divBdr>
          <w:divsChild>
            <w:div w:id="998772716">
              <w:marLeft w:val="0"/>
              <w:marRight w:val="0"/>
              <w:marTop w:val="0"/>
              <w:marBottom w:val="0"/>
              <w:divBdr>
                <w:top w:val="none" w:sz="0" w:space="0" w:color="auto"/>
                <w:left w:val="none" w:sz="0" w:space="0" w:color="auto"/>
                <w:bottom w:val="none" w:sz="0" w:space="0" w:color="auto"/>
                <w:right w:val="none" w:sz="0" w:space="0" w:color="auto"/>
              </w:divBdr>
              <w:divsChild>
                <w:div w:id="1772507120">
                  <w:marLeft w:val="0"/>
                  <w:marRight w:val="0"/>
                  <w:marTop w:val="0"/>
                  <w:marBottom w:val="0"/>
                  <w:divBdr>
                    <w:top w:val="none" w:sz="0" w:space="0" w:color="auto"/>
                    <w:left w:val="none" w:sz="0" w:space="0" w:color="auto"/>
                    <w:bottom w:val="none" w:sz="0" w:space="0" w:color="auto"/>
                    <w:right w:val="none" w:sz="0" w:space="0" w:color="auto"/>
                  </w:divBdr>
                  <w:divsChild>
                    <w:div w:id="511116668">
                      <w:marLeft w:val="0"/>
                      <w:marRight w:val="0"/>
                      <w:marTop w:val="0"/>
                      <w:marBottom w:val="0"/>
                      <w:divBdr>
                        <w:top w:val="none" w:sz="0" w:space="0" w:color="auto"/>
                        <w:left w:val="none" w:sz="0" w:space="0" w:color="auto"/>
                        <w:bottom w:val="none" w:sz="0" w:space="0" w:color="auto"/>
                        <w:right w:val="none" w:sz="0" w:space="0" w:color="auto"/>
                      </w:divBdr>
                      <w:divsChild>
                        <w:div w:id="124932149">
                          <w:marLeft w:val="0"/>
                          <w:marRight w:val="0"/>
                          <w:marTop w:val="0"/>
                          <w:marBottom w:val="0"/>
                          <w:divBdr>
                            <w:top w:val="none" w:sz="0" w:space="0" w:color="auto"/>
                            <w:left w:val="none" w:sz="0" w:space="0" w:color="auto"/>
                            <w:bottom w:val="none" w:sz="0" w:space="0" w:color="auto"/>
                            <w:right w:val="none" w:sz="0" w:space="0" w:color="auto"/>
                          </w:divBdr>
                          <w:divsChild>
                            <w:div w:id="224069886">
                              <w:marLeft w:val="0"/>
                              <w:marRight w:val="0"/>
                              <w:marTop w:val="0"/>
                              <w:marBottom w:val="0"/>
                              <w:divBdr>
                                <w:top w:val="none" w:sz="0" w:space="0" w:color="auto"/>
                                <w:left w:val="none" w:sz="0" w:space="0" w:color="auto"/>
                                <w:bottom w:val="none" w:sz="0" w:space="0" w:color="auto"/>
                                <w:right w:val="none" w:sz="0" w:space="0" w:color="auto"/>
                              </w:divBdr>
                              <w:divsChild>
                                <w:div w:id="2137484940">
                                  <w:marLeft w:val="0"/>
                                  <w:marRight w:val="0"/>
                                  <w:marTop w:val="0"/>
                                  <w:marBottom w:val="0"/>
                                  <w:divBdr>
                                    <w:top w:val="none" w:sz="0" w:space="0" w:color="auto"/>
                                    <w:left w:val="none" w:sz="0" w:space="0" w:color="auto"/>
                                    <w:bottom w:val="none" w:sz="0" w:space="0" w:color="auto"/>
                                    <w:right w:val="none" w:sz="0" w:space="0" w:color="auto"/>
                                  </w:divBdr>
                                  <w:divsChild>
                                    <w:div w:id="1068459906">
                                      <w:marLeft w:val="0"/>
                                      <w:marRight w:val="0"/>
                                      <w:marTop w:val="0"/>
                                      <w:marBottom w:val="0"/>
                                      <w:divBdr>
                                        <w:top w:val="none" w:sz="0" w:space="0" w:color="auto"/>
                                        <w:left w:val="none" w:sz="0" w:space="0" w:color="auto"/>
                                        <w:bottom w:val="none" w:sz="0" w:space="0" w:color="auto"/>
                                        <w:right w:val="none" w:sz="0" w:space="0" w:color="auto"/>
                                      </w:divBdr>
                                      <w:divsChild>
                                        <w:div w:id="1161236533">
                                          <w:marLeft w:val="0"/>
                                          <w:marRight w:val="0"/>
                                          <w:marTop w:val="0"/>
                                          <w:marBottom w:val="0"/>
                                          <w:divBdr>
                                            <w:top w:val="none" w:sz="0" w:space="0" w:color="auto"/>
                                            <w:left w:val="none" w:sz="0" w:space="0" w:color="auto"/>
                                            <w:bottom w:val="none" w:sz="0" w:space="0" w:color="auto"/>
                                            <w:right w:val="none" w:sz="0" w:space="0" w:color="auto"/>
                                          </w:divBdr>
                                          <w:divsChild>
                                            <w:div w:id="302541573">
                                              <w:marLeft w:val="0"/>
                                              <w:marRight w:val="0"/>
                                              <w:marTop w:val="0"/>
                                              <w:marBottom w:val="0"/>
                                              <w:divBdr>
                                                <w:top w:val="none" w:sz="0" w:space="0" w:color="auto"/>
                                                <w:left w:val="none" w:sz="0" w:space="0" w:color="auto"/>
                                                <w:bottom w:val="none" w:sz="0" w:space="0" w:color="auto"/>
                                                <w:right w:val="none" w:sz="0" w:space="0" w:color="auto"/>
                                              </w:divBdr>
                                              <w:divsChild>
                                                <w:div w:id="123426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156153">
      <w:bodyDiv w:val="1"/>
      <w:marLeft w:val="0"/>
      <w:marRight w:val="0"/>
      <w:marTop w:val="0"/>
      <w:marBottom w:val="0"/>
      <w:divBdr>
        <w:top w:val="none" w:sz="0" w:space="0" w:color="auto"/>
        <w:left w:val="none" w:sz="0" w:space="0" w:color="auto"/>
        <w:bottom w:val="none" w:sz="0" w:space="0" w:color="auto"/>
        <w:right w:val="none" w:sz="0" w:space="0" w:color="auto"/>
      </w:divBdr>
    </w:div>
    <w:div w:id="1334798139">
      <w:bodyDiv w:val="1"/>
      <w:marLeft w:val="0"/>
      <w:marRight w:val="0"/>
      <w:marTop w:val="0"/>
      <w:marBottom w:val="0"/>
      <w:divBdr>
        <w:top w:val="none" w:sz="0" w:space="0" w:color="auto"/>
        <w:left w:val="none" w:sz="0" w:space="0" w:color="auto"/>
        <w:bottom w:val="none" w:sz="0" w:space="0" w:color="auto"/>
        <w:right w:val="none" w:sz="0" w:space="0" w:color="auto"/>
      </w:divBdr>
    </w:div>
    <w:div w:id="1480539797">
      <w:bodyDiv w:val="1"/>
      <w:marLeft w:val="0"/>
      <w:marRight w:val="0"/>
      <w:marTop w:val="0"/>
      <w:marBottom w:val="0"/>
      <w:divBdr>
        <w:top w:val="none" w:sz="0" w:space="0" w:color="auto"/>
        <w:left w:val="none" w:sz="0" w:space="0" w:color="auto"/>
        <w:bottom w:val="none" w:sz="0" w:space="0" w:color="auto"/>
        <w:right w:val="none" w:sz="0" w:space="0" w:color="auto"/>
      </w:divBdr>
    </w:div>
    <w:div w:id="1484814514">
      <w:bodyDiv w:val="1"/>
      <w:marLeft w:val="0"/>
      <w:marRight w:val="0"/>
      <w:marTop w:val="0"/>
      <w:marBottom w:val="0"/>
      <w:divBdr>
        <w:top w:val="none" w:sz="0" w:space="0" w:color="auto"/>
        <w:left w:val="none" w:sz="0" w:space="0" w:color="auto"/>
        <w:bottom w:val="none" w:sz="0" w:space="0" w:color="auto"/>
        <w:right w:val="none" w:sz="0" w:space="0" w:color="auto"/>
      </w:divBdr>
    </w:div>
    <w:div w:id="1521746375">
      <w:bodyDiv w:val="1"/>
      <w:marLeft w:val="0"/>
      <w:marRight w:val="0"/>
      <w:marTop w:val="0"/>
      <w:marBottom w:val="0"/>
      <w:divBdr>
        <w:top w:val="none" w:sz="0" w:space="0" w:color="auto"/>
        <w:left w:val="none" w:sz="0" w:space="0" w:color="auto"/>
        <w:bottom w:val="none" w:sz="0" w:space="0" w:color="auto"/>
        <w:right w:val="none" w:sz="0" w:space="0" w:color="auto"/>
      </w:divBdr>
    </w:div>
    <w:div w:id="1567957553">
      <w:bodyDiv w:val="1"/>
      <w:marLeft w:val="0"/>
      <w:marRight w:val="0"/>
      <w:marTop w:val="0"/>
      <w:marBottom w:val="0"/>
      <w:divBdr>
        <w:top w:val="none" w:sz="0" w:space="0" w:color="auto"/>
        <w:left w:val="none" w:sz="0" w:space="0" w:color="auto"/>
        <w:bottom w:val="none" w:sz="0" w:space="0" w:color="auto"/>
        <w:right w:val="none" w:sz="0" w:space="0" w:color="auto"/>
      </w:divBdr>
    </w:div>
    <w:div w:id="1631665155">
      <w:bodyDiv w:val="1"/>
      <w:marLeft w:val="0"/>
      <w:marRight w:val="0"/>
      <w:marTop w:val="0"/>
      <w:marBottom w:val="0"/>
      <w:divBdr>
        <w:top w:val="none" w:sz="0" w:space="0" w:color="auto"/>
        <w:left w:val="none" w:sz="0" w:space="0" w:color="auto"/>
        <w:bottom w:val="none" w:sz="0" w:space="0" w:color="auto"/>
        <w:right w:val="none" w:sz="0" w:space="0" w:color="auto"/>
      </w:divBdr>
    </w:div>
    <w:div w:id="1638072490">
      <w:bodyDiv w:val="1"/>
      <w:marLeft w:val="0"/>
      <w:marRight w:val="0"/>
      <w:marTop w:val="0"/>
      <w:marBottom w:val="0"/>
      <w:divBdr>
        <w:top w:val="none" w:sz="0" w:space="0" w:color="auto"/>
        <w:left w:val="none" w:sz="0" w:space="0" w:color="auto"/>
        <w:bottom w:val="none" w:sz="0" w:space="0" w:color="auto"/>
        <w:right w:val="none" w:sz="0" w:space="0" w:color="auto"/>
      </w:divBdr>
      <w:divsChild>
        <w:div w:id="764233365">
          <w:marLeft w:val="0"/>
          <w:marRight w:val="0"/>
          <w:marTop w:val="0"/>
          <w:marBottom w:val="567"/>
          <w:divBdr>
            <w:top w:val="none" w:sz="0" w:space="0" w:color="auto"/>
            <w:left w:val="none" w:sz="0" w:space="0" w:color="auto"/>
            <w:bottom w:val="none" w:sz="0" w:space="0" w:color="auto"/>
            <w:right w:val="none" w:sz="0" w:space="0" w:color="auto"/>
          </w:divBdr>
        </w:div>
        <w:div w:id="929317373">
          <w:marLeft w:val="0"/>
          <w:marRight w:val="0"/>
          <w:marTop w:val="480"/>
          <w:marBottom w:val="240"/>
          <w:divBdr>
            <w:top w:val="none" w:sz="0" w:space="0" w:color="auto"/>
            <w:left w:val="none" w:sz="0" w:space="0" w:color="auto"/>
            <w:bottom w:val="none" w:sz="0" w:space="0" w:color="auto"/>
            <w:right w:val="none" w:sz="0" w:space="0" w:color="auto"/>
          </w:divBdr>
        </w:div>
      </w:divsChild>
    </w:div>
    <w:div w:id="1658722364">
      <w:bodyDiv w:val="1"/>
      <w:marLeft w:val="0"/>
      <w:marRight w:val="0"/>
      <w:marTop w:val="0"/>
      <w:marBottom w:val="0"/>
      <w:divBdr>
        <w:top w:val="none" w:sz="0" w:space="0" w:color="auto"/>
        <w:left w:val="none" w:sz="0" w:space="0" w:color="auto"/>
        <w:bottom w:val="none" w:sz="0" w:space="0" w:color="auto"/>
        <w:right w:val="none" w:sz="0" w:space="0" w:color="auto"/>
      </w:divBdr>
    </w:div>
    <w:div w:id="1666861990">
      <w:bodyDiv w:val="1"/>
      <w:marLeft w:val="0"/>
      <w:marRight w:val="0"/>
      <w:marTop w:val="0"/>
      <w:marBottom w:val="0"/>
      <w:divBdr>
        <w:top w:val="none" w:sz="0" w:space="0" w:color="auto"/>
        <w:left w:val="none" w:sz="0" w:space="0" w:color="auto"/>
        <w:bottom w:val="none" w:sz="0" w:space="0" w:color="auto"/>
        <w:right w:val="none" w:sz="0" w:space="0" w:color="auto"/>
      </w:divBdr>
    </w:div>
    <w:div w:id="1708410001">
      <w:bodyDiv w:val="1"/>
      <w:marLeft w:val="0"/>
      <w:marRight w:val="0"/>
      <w:marTop w:val="0"/>
      <w:marBottom w:val="0"/>
      <w:divBdr>
        <w:top w:val="none" w:sz="0" w:space="0" w:color="auto"/>
        <w:left w:val="none" w:sz="0" w:space="0" w:color="auto"/>
        <w:bottom w:val="none" w:sz="0" w:space="0" w:color="auto"/>
        <w:right w:val="none" w:sz="0" w:space="0" w:color="auto"/>
      </w:divBdr>
    </w:div>
    <w:div w:id="1862236377">
      <w:bodyDiv w:val="1"/>
      <w:marLeft w:val="0"/>
      <w:marRight w:val="0"/>
      <w:marTop w:val="0"/>
      <w:marBottom w:val="0"/>
      <w:divBdr>
        <w:top w:val="none" w:sz="0" w:space="0" w:color="auto"/>
        <w:left w:val="none" w:sz="0" w:space="0" w:color="auto"/>
        <w:bottom w:val="none" w:sz="0" w:space="0" w:color="auto"/>
        <w:right w:val="none" w:sz="0" w:space="0" w:color="auto"/>
      </w:divBdr>
    </w:div>
    <w:div w:id="1873028741">
      <w:bodyDiv w:val="1"/>
      <w:marLeft w:val="0"/>
      <w:marRight w:val="0"/>
      <w:marTop w:val="0"/>
      <w:marBottom w:val="0"/>
      <w:divBdr>
        <w:top w:val="none" w:sz="0" w:space="0" w:color="auto"/>
        <w:left w:val="none" w:sz="0" w:space="0" w:color="auto"/>
        <w:bottom w:val="none" w:sz="0" w:space="0" w:color="auto"/>
        <w:right w:val="none" w:sz="0" w:space="0" w:color="auto"/>
      </w:divBdr>
    </w:div>
    <w:div w:id="1948653552">
      <w:bodyDiv w:val="1"/>
      <w:marLeft w:val="0"/>
      <w:marRight w:val="0"/>
      <w:marTop w:val="0"/>
      <w:marBottom w:val="0"/>
      <w:divBdr>
        <w:top w:val="none" w:sz="0" w:space="0" w:color="auto"/>
        <w:left w:val="none" w:sz="0" w:space="0" w:color="auto"/>
        <w:bottom w:val="none" w:sz="0" w:space="0" w:color="auto"/>
        <w:right w:val="none" w:sz="0" w:space="0" w:color="auto"/>
      </w:divBdr>
    </w:div>
    <w:div w:id="1981304511">
      <w:bodyDiv w:val="1"/>
      <w:marLeft w:val="0"/>
      <w:marRight w:val="0"/>
      <w:marTop w:val="0"/>
      <w:marBottom w:val="0"/>
      <w:divBdr>
        <w:top w:val="none" w:sz="0" w:space="0" w:color="auto"/>
        <w:left w:val="none" w:sz="0" w:space="0" w:color="auto"/>
        <w:bottom w:val="none" w:sz="0" w:space="0" w:color="auto"/>
        <w:right w:val="none" w:sz="0" w:space="0" w:color="auto"/>
      </w:divBdr>
    </w:div>
    <w:div w:id="2041319575">
      <w:bodyDiv w:val="1"/>
      <w:marLeft w:val="0"/>
      <w:marRight w:val="0"/>
      <w:marTop w:val="0"/>
      <w:marBottom w:val="0"/>
      <w:divBdr>
        <w:top w:val="none" w:sz="0" w:space="0" w:color="auto"/>
        <w:left w:val="none" w:sz="0" w:space="0" w:color="auto"/>
        <w:bottom w:val="none" w:sz="0" w:space="0" w:color="auto"/>
        <w:right w:val="none" w:sz="0" w:space="0" w:color="auto"/>
      </w:divBdr>
    </w:div>
    <w:div w:id="2101297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atv.tiesa.gov.lv/wp-content/uploads/2016/02/2009-08-01_Spriedum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EFCB3-3EEA-46B1-8BD4-25BA51900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7105</Words>
  <Characters>4050</Characters>
  <Application>Microsoft Office Word</Application>
  <DocSecurity>0</DocSecurity>
  <Lines>33</Lines>
  <Paragraphs>22</Paragraphs>
  <ScaleCrop>false</ScaleCrop>
  <HeadingPairs>
    <vt:vector size="2" baseType="variant">
      <vt:variant>
        <vt:lpstr>Title</vt:lpstr>
      </vt:variant>
      <vt:variant>
        <vt:i4>1</vt:i4>
      </vt:variant>
    </vt:vector>
  </HeadingPairs>
  <TitlesOfParts>
    <vt:vector size="1" baseType="lpstr">
      <vt:lpstr>Izziņa par atzinumos sniegtajiem iebildumiem par Ministru kabineta noteikumu projektu  „Grozījumi Ministru kabineta 2010.gada 26.oktobra noteikumos Nr.997 “Noteikumi par garantijām komersantu un atbilstošu lauksaimniecības pakalpojumu kooperatīvo sabiedrī</vt:lpstr>
    </vt:vector>
  </TitlesOfParts>
  <LinksUpToDate>false</LinksUpToDate>
  <CharactersWithSpaces>11133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„Grozījumi Ministru kabineta 2010.gada 26.oktobra noteikumos Nr.997 “Noteikumi par garantijām komersantu un atbilstošu lauksaimniecības pakalpojumu kooperatīvo sabiedrī</dc:title>
  <dc:subject/>
  <dc:creator/>
  <cp:keywords/>
  <dc:description/>
  <cp:lastModifiedBy/>
  <cp:revision>1</cp:revision>
  <dcterms:created xsi:type="dcterms:W3CDTF">2020-11-17T07:59:00Z</dcterms:created>
  <dcterms:modified xsi:type="dcterms:W3CDTF">2020-11-23T12:57:00Z</dcterms:modified>
  <cp:contentStatus/>
</cp:coreProperties>
</file>