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55" w:rsidRPr="0053069A" w:rsidRDefault="00E63731" w:rsidP="00E63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  <w:r w:rsidRPr="005306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</w:t>
      </w:r>
      <w:r w:rsidR="0012544B" w:rsidRPr="005306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stru kabineta noteikumu projekta</w:t>
      </w:r>
      <w:r w:rsidRPr="005306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12544B" w:rsidRPr="005306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„</w:t>
      </w:r>
      <w:r w:rsidRPr="005306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2017.gada 14.novembra noteikumos Nr.676 “Noteikumi par neapliekamā minimuma un nodokļa atvieglojuma apmēru iedzīvotāju ienākuma nodokļa aprēķināšanai”</w:t>
      </w:r>
      <w:r w:rsidR="0012544B" w:rsidRPr="005306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Pr="005306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53069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E63731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63731" w:rsidRPr="00E63731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63731" w:rsidRPr="00E63731" w:rsidTr="00881DD7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9AB" w:rsidRPr="005A0635" w:rsidRDefault="003B10E7" w:rsidP="00076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10E7">
              <w:rPr>
                <w:rFonts w:ascii="Times New Roman" w:eastAsia="Calibri" w:hAnsi="Times New Roman" w:cs="Times New Roman"/>
                <w:sz w:val="24"/>
                <w:szCs w:val="24"/>
              </w:rPr>
              <w:t>Atbilstoši Ministru kabineta 2009.gada 15.decembra instrukcijas Nr.19 “Tiesību akta projekta sākotnējās ietekmes izvērtēšanas kārtība” 5.</w:t>
            </w:r>
            <w:r w:rsidRPr="003B10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3B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punktam, nav nepieciešams aizpildīt.  </w:t>
            </w:r>
          </w:p>
        </w:tc>
      </w:tr>
    </w:tbl>
    <w:p w:rsidR="00E5323B" w:rsidRPr="00E6373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E63731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63731" w:rsidRPr="00E63731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63731" w:rsidRPr="00E63731" w:rsidTr="00F742F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DD7DE5" w:rsidRDefault="00AC6530" w:rsidP="004C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65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2020.gada 2.septembra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sēdes protokola Nr.51 45.§ 2.2.3</w:t>
            </w:r>
            <w:r w:rsidRPr="00AC65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apakšpunkts.</w:t>
            </w:r>
          </w:p>
        </w:tc>
      </w:tr>
      <w:tr w:rsidR="00E63731" w:rsidRPr="00E63731" w:rsidTr="00F742F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4F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1F5AC6" w:rsidRPr="00AD04FC" w:rsidRDefault="001F5AC6" w:rsidP="00D7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F5AC6" w:rsidRPr="001F5AC6" w:rsidRDefault="001F5AC6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1F5AC6" w:rsidRDefault="00E5323B" w:rsidP="001F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12C" w:rsidRDefault="003F532A" w:rsidP="00D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C">
              <w:rPr>
                <w:rFonts w:ascii="Times New Roman" w:hAnsi="Times New Roman" w:cs="Times New Roman"/>
                <w:sz w:val="24"/>
                <w:szCs w:val="24"/>
              </w:rPr>
              <w:t xml:space="preserve">Šobrīd </w:t>
            </w:r>
            <w:r w:rsidR="00D9512C" w:rsidRPr="00D9512C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D9512C">
              <w:rPr>
                <w:rFonts w:ascii="Times New Roman" w:hAnsi="Times New Roman" w:cs="Times New Roman"/>
                <w:sz w:val="24"/>
                <w:szCs w:val="24"/>
              </w:rPr>
              <w:t>2017.gada 14.novembra noteikumi</w:t>
            </w:r>
            <w:r w:rsidR="00D9512C" w:rsidRPr="00D9512C">
              <w:rPr>
                <w:rFonts w:ascii="Times New Roman" w:hAnsi="Times New Roman" w:cs="Times New Roman"/>
                <w:sz w:val="24"/>
                <w:szCs w:val="24"/>
              </w:rPr>
              <w:t xml:space="preserve"> Nr.676 “Noteikumi par neapliekamā minimuma un nodokļa atvieglojuma apmēru iedzīvotāju ienākuma nodokļa aprēķināšanai””</w:t>
            </w:r>
            <w:r w:rsidR="00D9512C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Noteikumi) nosaka, ka </w:t>
            </w:r>
            <w:r w:rsidR="00484CF9" w:rsidRPr="00484CF9">
              <w:rPr>
                <w:rFonts w:ascii="Times New Roman" w:hAnsi="Times New Roman" w:cs="Times New Roman"/>
                <w:sz w:val="24"/>
                <w:szCs w:val="24"/>
              </w:rPr>
              <w:t>gada apliekamā ienākuma apmērs, virs kura nepiemēro gada diferencēto neapliekamo minimumu</w:t>
            </w:r>
            <w:r w:rsidR="00484CF9">
              <w:rPr>
                <w:rFonts w:ascii="Times New Roman" w:hAnsi="Times New Roman" w:cs="Times New Roman"/>
                <w:sz w:val="24"/>
                <w:szCs w:val="24"/>
              </w:rPr>
              <w:t xml:space="preserve"> ir 14 400 </w:t>
            </w:r>
            <w:proofErr w:type="spellStart"/>
            <w:r w:rsidR="00484CF9" w:rsidRPr="00484CF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84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4CF9">
              <w:rPr>
                <w:rFonts w:ascii="Times New Roman" w:hAnsi="Times New Roman" w:cs="Times New Roman"/>
                <w:sz w:val="24"/>
                <w:szCs w:val="24"/>
              </w:rPr>
              <w:t xml:space="preserve">(1 200 </w:t>
            </w:r>
            <w:proofErr w:type="spellStart"/>
            <w:r w:rsidR="00484CF9" w:rsidRPr="00484CF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84CF9">
              <w:rPr>
                <w:rFonts w:ascii="Times New Roman" w:hAnsi="Times New Roman" w:cs="Times New Roman"/>
                <w:sz w:val="24"/>
                <w:szCs w:val="24"/>
              </w:rPr>
              <w:t xml:space="preserve"> mēnesī). </w:t>
            </w:r>
          </w:p>
          <w:p w:rsidR="00D9512C" w:rsidRDefault="00D9512C" w:rsidP="00D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F9" w:rsidRDefault="00484CF9" w:rsidP="00D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>Ministru kabineta 2020.gada 2.septembra sēdes protokol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Nr.51 45.§ 2.2.3. apakšpunktam, grozījumi Noteiktumos paredz ka, 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lai samazinātu darba spēka nodokļu slogu  personām ar zemiem un vidējiem ieņēmumiem, no 2021.gada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jāpalielina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 gada apliekamā ienākuma apmēru </w:t>
            </w:r>
            <w:r w:rsidR="001522DA" w:rsidRPr="00484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22DA" w:rsidRPr="00771C9C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  <w:r w:rsidR="001522DA" w:rsidRPr="00771C9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="001522DA" w:rsidRPr="001522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līdz 21 600 </w:t>
            </w:r>
            <w:proofErr w:type="spellStart"/>
            <w:r w:rsidRPr="00484CF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152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2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484CF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 mēnesī),  virs kura nepiemēro gada d</w:t>
            </w:r>
            <w:r w:rsidR="009411CD">
              <w:rPr>
                <w:rFonts w:ascii="Times New Roman" w:hAnsi="Times New Roman" w:cs="Times New Roman"/>
                <w:sz w:val="24"/>
                <w:szCs w:val="24"/>
              </w:rPr>
              <w:t>iferencēto neapliekamo minimumu</w:t>
            </w:r>
            <w:r w:rsidR="007813A5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9411CD">
              <w:rPr>
                <w:rFonts w:ascii="Times New Roman" w:hAnsi="Times New Roman" w:cs="Times New Roman"/>
                <w:sz w:val="24"/>
                <w:szCs w:val="24"/>
              </w:rPr>
              <w:t>ienlaicīgi saglabāsies līdzšinējais maksimālais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CD">
              <w:rPr>
                <w:rFonts w:ascii="Times New Roman" w:hAnsi="Times New Roman" w:cs="Times New Roman"/>
                <w:sz w:val="24"/>
                <w:szCs w:val="24"/>
              </w:rPr>
              <w:t xml:space="preserve">gada neapliekamā minimuma </w:t>
            </w:r>
            <w:r w:rsidR="009411CD" w:rsidRPr="007A058E">
              <w:rPr>
                <w:rFonts w:ascii="Times New Roman" w:hAnsi="Times New Roman" w:cs="Times New Roman"/>
                <w:sz w:val="24"/>
                <w:szCs w:val="24"/>
              </w:rPr>
              <w:t>apmērs</w:t>
            </w:r>
            <w:r w:rsidR="007813A5" w:rsidRPr="007A05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56C5" w:rsidRPr="0015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GNM</w:t>
            </w:r>
            <w:r w:rsidR="007756C5" w:rsidRPr="001522D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max</w:t>
            </w:r>
            <w:proofErr w:type="spellEnd"/>
            <w:r w:rsidR="001522DA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522D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="001522D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13A5" w:rsidRPr="007A0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2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13A5" w:rsidRPr="007A058E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="007813A5" w:rsidRPr="007A058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813A5" w:rsidRPr="007A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58E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="007A058E" w:rsidRPr="007A058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A058E">
              <w:rPr>
                <w:rFonts w:ascii="Times New Roman" w:hAnsi="Times New Roman" w:cs="Times New Roman"/>
                <w:sz w:val="24"/>
                <w:szCs w:val="24"/>
              </w:rPr>
              <w:t xml:space="preserve"> mēnesī) </w:t>
            </w:r>
            <w:r w:rsidR="007813A5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7813A5" w:rsidRPr="007813A5">
              <w:rPr>
                <w:rFonts w:ascii="Times New Roman" w:hAnsi="Times New Roman" w:cs="Times New Roman"/>
                <w:sz w:val="24"/>
                <w:szCs w:val="24"/>
              </w:rPr>
              <w:t>gada apliekamā ienākuma apmērs, līdz kuram piemēro maksimālo gada neapliekamo minimumu</w:t>
            </w:r>
            <w:r w:rsidR="007A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8E" w:rsidRPr="007A0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22DA" w:rsidRPr="0015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="001522DA" w:rsidRPr="001522D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min</w:t>
            </w:r>
            <w:proofErr w:type="spellEnd"/>
            <w:r w:rsidR="001522DA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152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7A058E" w:rsidRPr="007A0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2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58E" w:rsidRPr="007A058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7A058E" w:rsidRPr="007A058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A058E" w:rsidRPr="007A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2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58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="007A058E" w:rsidRPr="007A058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A058E">
              <w:rPr>
                <w:rFonts w:ascii="Times New Roman" w:hAnsi="Times New Roman" w:cs="Times New Roman"/>
                <w:sz w:val="24"/>
                <w:szCs w:val="24"/>
              </w:rPr>
              <w:t xml:space="preserve"> mēnesī)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CF9" w:rsidRDefault="00484CF9" w:rsidP="00DE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5" w:rsidRPr="001522DA" w:rsidRDefault="003E6F8D" w:rsidP="00775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</w:t>
            </w:r>
            <w:r w:rsidR="00515013">
              <w:rPr>
                <w:rFonts w:ascii="Times New Roman" w:hAnsi="Times New Roman" w:cs="Times New Roman"/>
                <w:sz w:val="24"/>
                <w:szCs w:val="24"/>
              </w:rPr>
              <w:t>vērā, ka projekts paredz no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Pr="007813A5">
              <w:rPr>
                <w:rFonts w:ascii="Times New Roman" w:hAnsi="Times New Roman" w:cs="Times New Roman"/>
                <w:sz w:val="24"/>
                <w:szCs w:val="24"/>
              </w:rPr>
              <w:t>paaugstinā</w:t>
            </w:r>
            <w:r w:rsidR="003F532A" w:rsidRPr="007813A5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7813A5">
              <w:rPr>
                <w:rFonts w:ascii="Times New Roman" w:hAnsi="Times New Roman" w:cs="Times New Roman"/>
                <w:sz w:val="24"/>
                <w:szCs w:val="24"/>
              </w:rPr>
              <w:t xml:space="preserve">apliekamā ienākuma apmēru, virs kura nepiemēro </w:t>
            </w:r>
            <w:r w:rsidR="00076CFC" w:rsidRPr="007813A5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3F532A" w:rsidRPr="0078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3A5">
              <w:rPr>
                <w:rFonts w:ascii="Times New Roman" w:hAnsi="Times New Roman" w:cs="Times New Roman"/>
                <w:sz w:val="24"/>
                <w:szCs w:val="24"/>
              </w:rPr>
              <w:t xml:space="preserve">diferencēto </w:t>
            </w:r>
            <w:r w:rsidR="003F532A" w:rsidRPr="007813A5">
              <w:rPr>
                <w:rFonts w:ascii="Times New Roman" w:hAnsi="Times New Roman" w:cs="Times New Roman"/>
                <w:sz w:val="24"/>
                <w:szCs w:val="24"/>
              </w:rPr>
              <w:t xml:space="preserve">neapliekamo minimumu, </w:t>
            </w:r>
            <w:r w:rsidRPr="007813A5">
              <w:rPr>
                <w:rFonts w:ascii="Times New Roman" w:hAnsi="Times New Roman" w:cs="Times New Roman"/>
                <w:sz w:val="24"/>
                <w:szCs w:val="24"/>
              </w:rPr>
              <w:t xml:space="preserve">nepieciešams precizēt </w:t>
            </w:r>
            <w:r w:rsidRPr="007813A5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noteikumu Nr.676 3.4.3.apakšpun</w:t>
            </w:r>
            <w:r w:rsidR="00484CF9" w:rsidRPr="007813A5">
              <w:rPr>
                <w:rFonts w:ascii="Times New Roman" w:eastAsia="Calibri" w:hAnsi="Times New Roman" w:cs="Times New Roman"/>
                <w:sz w:val="24"/>
                <w:szCs w:val="24"/>
              </w:rPr>
              <w:t>ktā noteikto koeficientu</w:t>
            </w:r>
            <w:r w:rsidR="00152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522DA" w:rsidRPr="00152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1522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84CF9" w:rsidRPr="0078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2021</w:t>
            </w:r>
            <w:r w:rsidRPr="007813A5">
              <w:rPr>
                <w:rFonts w:ascii="Times New Roman" w:eastAsia="Calibri" w:hAnsi="Times New Roman" w:cs="Times New Roman"/>
                <w:sz w:val="24"/>
                <w:szCs w:val="24"/>
              </w:rPr>
              <w:t>.gada uz</w:t>
            </w:r>
            <w:r w:rsidRPr="0078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13" w:rsidRPr="007813A5">
              <w:rPr>
                <w:rFonts w:ascii="Times New Roman" w:hAnsi="Times New Roman" w:cs="Times New Roman"/>
                <w:sz w:val="24"/>
                <w:szCs w:val="24"/>
              </w:rPr>
              <w:t>0,23077</w:t>
            </w:r>
            <w:r w:rsidR="007813A5" w:rsidRPr="0078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C2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756C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7813A5" w:rsidRPr="007756C5">
              <w:rPr>
                <w:rFonts w:ascii="Times New Roman" w:hAnsi="Times New Roman" w:cs="Times New Roman"/>
                <w:bCs/>
                <w:sz w:val="24"/>
                <w:szCs w:val="24"/>
              </w:rPr>
              <w:t>koeficient</w:t>
            </w:r>
            <w:r w:rsidR="00775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r w:rsidR="004F4C26" w:rsidRPr="007813A5">
              <w:rPr>
                <w:rFonts w:ascii="Times New Roman" w:hAnsi="Times New Roman" w:cs="Times New Roman"/>
                <w:sz w:val="24"/>
                <w:szCs w:val="24"/>
              </w:rPr>
              <w:t xml:space="preserve">saskaņā </w:t>
            </w:r>
            <w:r w:rsidR="004F4C26" w:rsidRPr="0078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Ministru kabineta noteikumu Nr.676 </w:t>
            </w:r>
            <w:r w:rsidR="004F4C26">
              <w:rPr>
                <w:rFonts w:ascii="Times New Roman" w:eastAsia="Calibri" w:hAnsi="Times New Roman" w:cs="Times New Roman"/>
                <w:sz w:val="24"/>
                <w:szCs w:val="24"/>
              </w:rPr>
              <w:t>2..</w:t>
            </w:r>
            <w:r w:rsidR="004F4C26" w:rsidRPr="007813A5">
              <w:rPr>
                <w:rFonts w:ascii="Times New Roman" w:eastAsia="Calibri" w:hAnsi="Times New Roman" w:cs="Times New Roman"/>
                <w:sz w:val="24"/>
                <w:szCs w:val="24"/>
              </w:rPr>
              <w:t>punkt</w:t>
            </w:r>
            <w:r w:rsidR="004F4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r w:rsidR="001522DA">
              <w:rPr>
                <w:rFonts w:ascii="Times New Roman" w:eastAsia="Calibri" w:hAnsi="Times New Roman" w:cs="Times New Roman"/>
                <w:sz w:val="24"/>
                <w:szCs w:val="24"/>
              </w:rPr>
              <w:t>aprēķina, izmantojot</w:t>
            </w:r>
            <w:r w:rsidR="007813A5" w:rsidRPr="007813A5">
              <w:rPr>
                <w:rFonts w:ascii="Times New Roman" w:hAnsi="Times New Roman" w:cs="Times New Roman"/>
                <w:sz w:val="24"/>
                <w:szCs w:val="24"/>
              </w:rPr>
              <w:t xml:space="preserve"> formulu: </w:t>
            </w:r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4F4C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4F4C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>GNM</w:t>
            </w:r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max</w:t>
            </w:r>
            <w:proofErr w:type="spellEnd"/>
            <w:r w:rsidR="004F4C2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 </w:t>
            </w:r>
            <w:r w:rsidR="001522D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4F4C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>AI</w:t>
            </w:r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max</w:t>
            </w:r>
            <w:proofErr w:type="spellEnd"/>
            <w:r w:rsidR="004F4C2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 </w:t>
            </w:r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F4C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</w:rPr>
              <w:t>AI</w:t>
            </w:r>
            <w:r w:rsidR="007813A5" w:rsidRPr="001522D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min</w:t>
            </w:r>
            <w:proofErr w:type="spellEnd"/>
            <w:r w:rsidR="004F4C26">
              <w:rPr>
                <w:rFonts w:ascii="Times New Roman" w:hAnsi="Times New Roman" w:cs="Times New Roman"/>
                <w:bCs/>
                <w:sz w:val="24"/>
                <w:szCs w:val="24"/>
              </w:rPr>
              <w:t>) jeb no 2021.gada K = 3 600 / (21 600 – 6 000) = 0,23077.  </w:t>
            </w:r>
          </w:p>
          <w:p w:rsidR="00484CF9" w:rsidRDefault="00484CF9" w:rsidP="00AE5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</w:p>
          <w:p w:rsidR="00484CF9" w:rsidRDefault="00674E76" w:rsidP="00DE41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lastRenderedPageBreak/>
              <w:t>Tāpat mainīsies prognozētais</w:t>
            </w:r>
            <w:r w:rsidRPr="0067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mēneša neapliekama minimuma aprēķināšanas formula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s ienākumu pieauguma koeficients</w:t>
            </w:r>
            <w:r w:rsidRPr="0067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(</w:t>
            </w:r>
            <w:r w:rsidRPr="0067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K2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)</w:t>
            </w:r>
            <w:r w:rsidRPr="0067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no 1,09</w:t>
            </w:r>
            <w:r w:rsidRPr="0067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uz 1,06. </w:t>
            </w:r>
            <w:r w:rsidR="00DE41EC">
              <w:t xml:space="preserve"> </w:t>
            </w:r>
          </w:p>
          <w:p w:rsidR="00F078FC" w:rsidRPr="008975E9" w:rsidRDefault="00F078FC" w:rsidP="00F078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</w:pPr>
            <w:r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Ņemot vērā faktisko darba samaksas fonda pieaugumu 2018. un 2019.gadā, attiecīgi +10,2% un +7,2%, un pēdējo prognozēto (Finanšu ministrijas makroekonomiskās prognozes uz 2020.gada jūniju</w:t>
            </w:r>
            <w:r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lv-LV"/>
              </w:rPr>
              <w:t>*</w:t>
            </w:r>
            <w:r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) darba samaksas fonda pieaugumu no 2021. līdz 2023.gadam (2021.gadā +3,6%, 2022.gadā </w:t>
            </w:r>
            <w:r w:rsid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+</w:t>
            </w:r>
            <w:r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6,1% un 2023.gadā </w:t>
            </w:r>
            <w:r w:rsid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+</w:t>
            </w:r>
            <w:r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4,9%), vidējais darba samaksas fonda pieaugums laika posmā no 2018.gada līdz 2023.gadam ir </w:t>
            </w:r>
            <w:r w:rsid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+</w:t>
            </w:r>
            <w:r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6,4% (aprēķinos netiek ņemts vērā 2020.gada </w:t>
            </w:r>
            <w:r w:rsidR="008975E9"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darba samaksas fonda </w:t>
            </w:r>
            <w:r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pieauguma samazinājums (</w:t>
            </w:r>
            <w:r w:rsidRPr="0089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noBreakHyphen/>
              <w:t>5,4%), jo to ietekmēja Covid-19 izplatība).</w:t>
            </w:r>
          </w:p>
          <w:p w:rsidR="00F078FC" w:rsidRPr="00484CF9" w:rsidRDefault="00F078FC" w:rsidP="008975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75E9">
              <w:rPr>
                <w:i/>
                <w:iCs/>
                <w:sz w:val="16"/>
                <w:szCs w:val="20"/>
                <w:vertAlign w:val="superscript"/>
              </w:rPr>
              <w:t>*</w:t>
            </w:r>
            <w:r w:rsidR="008975E9">
              <w:rPr>
                <w:i/>
                <w:iCs/>
                <w:sz w:val="16"/>
                <w:szCs w:val="20"/>
              </w:rPr>
              <w:t>M</w:t>
            </w:r>
            <w:r w:rsidRPr="008975E9">
              <w:rPr>
                <w:i/>
                <w:iCs/>
                <w:sz w:val="16"/>
                <w:szCs w:val="20"/>
              </w:rPr>
              <w:t>akroekonomiskās prognozes apstiprinātas 2020.gada 18.augusta Ministru kabineta sēdē, izskatot informatīvo ziņojumu "Par makroekonomisko rādītāju, ieņēmumu un vispārējās valdības budžeta bilances prognozēm 2021.-2023.gadā"</w:t>
            </w:r>
          </w:p>
        </w:tc>
      </w:tr>
      <w:tr w:rsidR="00E63731" w:rsidRPr="00E63731" w:rsidTr="00F742F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2B7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ministrija, </w:t>
            </w:r>
            <w:r w:rsidR="00AE508E" w:rsidRPr="00AE50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dienests.</w:t>
            </w:r>
          </w:p>
        </w:tc>
      </w:tr>
      <w:tr w:rsidR="00F742FA" w:rsidRPr="00F742FA" w:rsidTr="00F742F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FA" w:rsidRPr="00F742FA" w:rsidRDefault="00F742FA" w:rsidP="00F74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2FA" w:rsidRPr="00F742FA" w:rsidRDefault="00F742FA" w:rsidP="00F74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2FA" w:rsidRPr="00F742FA" w:rsidRDefault="00F742FA" w:rsidP="00F74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6373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373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3059"/>
        <w:gridCol w:w="5424"/>
      </w:tblGrid>
      <w:tr w:rsidR="00E63731" w:rsidRPr="00E63731" w:rsidTr="006E701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2068B" w:rsidRPr="00E63731" w:rsidTr="008C35D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905C68" w:rsidP="0084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</w:t>
            </w:r>
            <w:r w:rsidRPr="0090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iziskās personas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 nodokļa </w:t>
            </w:r>
            <w:r w:rsidRPr="0090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maksātāji, kuriem</w:t>
            </w:r>
            <w:r w:rsidR="00674E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piemēro Valsts ieņēmumu dienesta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prognozēto mēneša neapliekamo minimumu</w:t>
            </w:r>
            <w:r w:rsidR="00721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21586" w:rsidRPr="00A63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gada diferencēto neapliekamo minimumu</w:t>
            </w:r>
            <w:r w:rsidR="0084278A" w:rsidRPr="00A63E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2068B" w:rsidRPr="00E63731" w:rsidTr="008C35D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809D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8E9" w:rsidRPr="00D70907" w:rsidRDefault="009C0C35" w:rsidP="0037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Nodokļa maksātājiem</w:t>
            </w:r>
            <w:r w:rsidR="00711FDC"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D77BF3"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kuriem veidojas iedzīvotāju ienākuma nodokļa piemaksa,</w:t>
            </w:r>
            <w:r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71131"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 šobrīd ir </w:t>
            </w:r>
            <w:r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jāsniedz gada ienākumu deklarācijas, bet p</w:t>
            </w:r>
            <w:r w:rsidR="00905C68"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 ieviešana</w:t>
            </w:r>
            <w:r w:rsidR="003526C5"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novērsīs nodokļa maksātājiem, kuriem taksācijas gada laikā palielinās ar iedzīvotāju ienākuma nodokli apliekamais ienākums,  nepieciešamību</w:t>
            </w:r>
            <w:r w:rsidR="00905C68"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526C5" w:rsidRPr="00D7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veikt iedzīvotāju ienākuma nodokļa piemaksu rezumējošā kārtībā. Iespējams, ka pieaugs tādu nodokļa maksātāju skaits, kuri varēs saņemt nodokļa atmaksu. </w:t>
            </w:r>
          </w:p>
        </w:tc>
      </w:tr>
      <w:tr w:rsidR="0032068B" w:rsidRPr="00E63731" w:rsidTr="008C35D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905C6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2068B" w:rsidRPr="00E63731" w:rsidTr="008C35D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905C6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0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2068B" w:rsidRPr="00E63731" w:rsidTr="008C35D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905C6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2742D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373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054"/>
        <w:gridCol w:w="867"/>
        <w:gridCol w:w="1054"/>
        <w:gridCol w:w="867"/>
        <w:gridCol w:w="1054"/>
        <w:gridCol w:w="1571"/>
      </w:tblGrid>
      <w:tr w:rsidR="00B60B3E" w:rsidRPr="006F4392" w:rsidTr="00661929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60B3E" w:rsidRPr="006F4392" w:rsidTr="00DB4D81">
        <w:trPr>
          <w:tblCellSpacing w:w="15" w:type="dxa"/>
        </w:trPr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0E6A1D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2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680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C53E23" w:rsidRPr="006F4392" w:rsidTr="00CE795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0E6A1D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0E6A1D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0E6A1D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</w:t>
            </w:r>
          </w:p>
        </w:tc>
      </w:tr>
      <w:tr w:rsidR="00C53E23" w:rsidRPr="006F4392" w:rsidTr="00CE795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674E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  <w:r w:rsidR="00C53E23"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674E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  <w:r w:rsidR="00C53E23"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0E6A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  <w:r w:rsidR="00C53E23"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C53E23" w:rsidRPr="006F4392" w:rsidTr="00CE7956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27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27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27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27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27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27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27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27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3D5A9A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A9A" w:rsidRPr="006809DD" w:rsidRDefault="003D5A9A" w:rsidP="003D5A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3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3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3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3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B4D81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81" w:rsidRPr="006809DD" w:rsidRDefault="00DB4D81" w:rsidP="00DB4D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  <w:r w:rsidR="003D5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t.sk.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3D5A9A" w:rsidRPr="006F4392" w:rsidTr="00CE7956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A9A" w:rsidRPr="006809DD" w:rsidRDefault="003D5A9A" w:rsidP="003D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Iedzīvotāju ienākuma nodoklis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Pr="006809DD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F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F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3D5A9A" w:rsidRPr="006F4392" w:rsidTr="00CE7956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A9A" w:rsidRDefault="003D5A9A" w:rsidP="003D5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Pievienotās vērtības nodoklis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A9A" w:rsidRDefault="003D5A9A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53E2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</w:tr>
      <w:tr w:rsidR="00CE7956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56" w:rsidRPr="006809DD" w:rsidRDefault="00CE7956" w:rsidP="00CE79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35525" w:rsidRPr="006F4392" w:rsidTr="00CE7956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25" w:rsidRPr="006809DD" w:rsidRDefault="00A35525" w:rsidP="00A35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Iedzīvotāju ienākuma nodoklis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25" w:rsidRPr="006809DD" w:rsidRDefault="00A35525" w:rsidP="00A3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25" w:rsidRPr="006809DD" w:rsidRDefault="00A35525" w:rsidP="00A3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25" w:rsidRPr="006809DD" w:rsidRDefault="00A35525" w:rsidP="00A3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25" w:rsidRDefault="00A35525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25" w:rsidRPr="006809DD" w:rsidRDefault="00A35525" w:rsidP="00A3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25" w:rsidRDefault="00A35525" w:rsidP="00A3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25" w:rsidRDefault="00A35525" w:rsidP="00A3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B4D81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81" w:rsidRPr="006809DD" w:rsidRDefault="00DB4D81" w:rsidP="00DB4D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B4D81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81" w:rsidRPr="006809DD" w:rsidRDefault="00DB4D81" w:rsidP="00DB4D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D81" w:rsidRPr="006809DD" w:rsidRDefault="00DB4D81" w:rsidP="00DB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53E2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53E2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6809DD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E7956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56" w:rsidRPr="006809DD" w:rsidRDefault="00CE7956" w:rsidP="00CE79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E7956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56" w:rsidRPr="006809DD" w:rsidRDefault="00CE7956" w:rsidP="00CE79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D6B6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B63" w:rsidRPr="006809DD" w:rsidRDefault="002D6B63" w:rsidP="002D6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3" w:rsidRPr="006809DD" w:rsidRDefault="002D6B63" w:rsidP="002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3" w:rsidRPr="006809DD" w:rsidRDefault="002D6B63" w:rsidP="002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3" w:rsidRPr="006809DD" w:rsidRDefault="002D6B63" w:rsidP="002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3" w:rsidRPr="006809DD" w:rsidRDefault="002D6B63" w:rsidP="002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3" w:rsidRPr="006809DD" w:rsidRDefault="002D6B63" w:rsidP="002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3" w:rsidRPr="006809DD" w:rsidRDefault="002D6B63" w:rsidP="002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3" w:rsidRPr="006809DD" w:rsidRDefault="002D6B63" w:rsidP="002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E7956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956" w:rsidRPr="006809DD" w:rsidRDefault="00CE7956" w:rsidP="00CE79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Pr="006809DD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956" w:rsidRDefault="00CE7956" w:rsidP="00CE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53E2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C53E2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</w:pPr>
          </w:p>
        </w:tc>
      </w:tr>
      <w:tr w:rsidR="00C53E2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53E2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53E23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E23" w:rsidRPr="006809DD" w:rsidRDefault="00C53E23" w:rsidP="00C53E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E23" w:rsidRPr="005649BE" w:rsidRDefault="00C53E23" w:rsidP="00C5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0B3E" w:rsidRPr="006F4392" w:rsidTr="004E3252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7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B3E" w:rsidRPr="006809DD" w:rsidRDefault="00F54935" w:rsidP="00C5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549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B60B3E" w:rsidRPr="006F4392" w:rsidTr="00DB4D81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0B3E" w:rsidRPr="006F4392" w:rsidTr="00DB4D81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60B3E" w:rsidRPr="006F4392" w:rsidTr="00DB4D81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B3E" w:rsidRPr="006809DD" w:rsidRDefault="00C53E23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lv-LV"/>
              </w:rPr>
              <w:t>Nav attiecināms.</w:t>
            </w:r>
          </w:p>
        </w:tc>
      </w:tr>
      <w:tr w:rsidR="00B60B3E" w:rsidRPr="006F4392" w:rsidTr="00DB4D81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B3E" w:rsidRPr="006809DD" w:rsidRDefault="00B60B3E" w:rsidP="0066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09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8. Cita informācija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67B" w:rsidRPr="00924A2C" w:rsidRDefault="00924A2C" w:rsidP="0092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2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Tiesību akta projekta ietekme uz valsts budžetu un pašvaldību budžetiem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ņemta vērā, izstrādājot </w:t>
            </w:r>
            <w:r w:rsidRPr="001A5AD8">
              <w:rPr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likumprojektu</w:t>
            </w:r>
            <w:r w:rsidRPr="00F742F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Pr="00F742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Par valsts budžetu 2021.gadam</w:t>
            </w:r>
            <w:r w:rsidRPr="00F742F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likump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rojektu</w:t>
            </w:r>
            <w:r w:rsidRPr="00F7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"Par vidēja termiņa budžeta ietv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2021., 2022. un 2023.gadam". Proti, prognozēts, ka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palielinot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>apliekamā ienākuma apmēru,  virs kura nepiemēro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iferencēto neapliekamo minimumu,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 līdz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484CF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84CF9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valsts budžeta ieņēmumi samazināsies par: </w:t>
            </w:r>
            <w:r w:rsidRPr="00C46AA7"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milj. </w:t>
            </w:r>
            <w:proofErr w:type="spellStart"/>
            <w:r w:rsidRPr="00F742F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A7">
              <w:rPr>
                <w:rFonts w:ascii="Times New Roman" w:hAnsi="Times New Roman" w:cs="Times New Roman"/>
                <w:b/>
                <w:sz w:val="24"/>
                <w:szCs w:val="24"/>
              </w:rPr>
              <w:t>2021.gadā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tā par 9,5 milj. </w:t>
            </w:r>
            <w:proofErr w:type="spellStart"/>
            <w:r w:rsidRPr="00F742F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valsts pamatbudžetā un par 28,6 milj. </w:t>
            </w:r>
            <w:proofErr w:type="spellStart"/>
            <w:r w:rsidRPr="008B076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pašvaldību budžetos), </w:t>
            </w:r>
            <w:r w:rsidRPr="000A3A9D"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  <w:r w:rsidRPr="000A3A9D">
              <w:t> </w:t>
            </w:r>
            <w:r w:rsidRPr="000A3A9D">
              <w:rPr>
                <w:rFonts w:ascii="Times New Roman" w:hAnsi="Times New Roman" w:cs="Times New Roman"/>
                <w:sz w:val="24"/>
                <w:szCs w:val="24"/>
              </w:rPr>
              <w:t xml:space="preserve">milj. </w:t>
            </w:r>
            <w:proofErr w:type="spellStart"/>
            <w:r w:rsidRPr="000A3A9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A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9D">
              <w:rPr>
                <w:rFonts w:ascii="Times New Roman" w:hAnsi="Times New Roman" w:cs="Times New Roman"/>
                <w:b/>
                <w:sz w:val="24"/>
                <w:szCs w:val="24"/>
              </w:rPr>
              <w:t>2022.gadā</w:t>
            </w:r>
            <w:r w:rsidRPr="000A3A9D">
              <w:rPr>
                <w:rFonts w:ascii="Times New Roman" w:hAnsi="Times New Roman" w:cs="Times New Roman"/>
                <w:sz w:val="24"/>
                <w:szCs w:val="24"/>
              </w:rPr>
              <w:t xml:space="preserve"> (no tā par 10,4 milj. </w:t>
            </w:r>
            <w:proofErr w:type="spellStart"/>
            <w:r w:rsidRPr="000A3A9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A3A9D">
              <w:rPr>
                <w:rFonts w:ascii="Times New Roman" w:hAnsi="Times New Roman" w:cs="Times New Roman"/>
                <w:sz w:val="24"/>
                <w:szCs w:val="24"/>
              </w:rPr>
              <w:t xml:space="preserve"> valsts pamatbudžetā un par 31,2 milj. </w:t>
            </w:r>
            <w:proofErr w:type="spellStart"/>
            <w:r w:rsidRPr="000A3A9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A3A9D">
              <w:rPr>
                <w:rFonts w:ascii="Times New Roman" w:hAnsi="Times New Roman" w:cs="Times New Roman"/>
                <w:sz w:val="24"/>
                <w:szCs w:val="24"/>
              </w:rPr>
              <w:t xml:space="preserve"> pašvaldību budžetos)  un </w:t>
            </w:r>
            <w:r w:rsidRPr="000A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41,6 </w:t>
            </w:r>
            <w:r w:rsidRPr="000A3A9D">
              <w:rPr>
                <w:rFonts w:ascii="Times New Roman" w:hAnsi="Times New Roman" w:cs="Times New Roman"/>
                <w:sz w:val="24"/>
                <w:szCs w:val="24"/>
              </w:rPr>
              <w:t xml:space="preserve">milj. </w:t>
            </w:r>
            <w:proofErr w:type="spellStart"/>
            <w:r w:rsidRPr="000A3A9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A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9D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  <w:r w:rsidRPr="00C46AA7">
              <w:rPr>
                <w:rFonts w:ascii="Times New Roman" w:hAnsi="Times New Roman" w:cs="Times New Roman"/>
                <w:b/>
                <w:sz w:val="24"/>
                <w:szCs w:val="24"/>
              </w:rPr>
              <w:t>gadā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tā par 10,4 milj. </w:t>
            </w:r>
            <w:proofErr w:type="spellStart"/>
            <w:r w:rsidRPr="00F742F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valsts pamatbudžetā un par 31,2 milj. </w:t>
            </w:r>
            <w:proofErr w:type="spellStart"/>
            <w:r w:rsidRPr="008B076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pašvaldību budžetos)</w:t>
            </w:r>
            <w:r w:rsidR="00F5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294" w:rsidRDefault="006452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63731" w:rsidRPr="00E6373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36909" w:rsidRPr="00E6373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909" w:rsidRPr="00C36909" w:rsidRDefault="00C36909" w:rsidP="00C3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369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Default="00920DF2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p w:rsidR="00645294" w:rsidRPr="00E63731" w:rsidRDefault="006452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63731" w:rsidRPr="00E6373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63731" w:rsidRPr="00E6373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731" w:rsidRPr="00E63731" w:rsidRDefault="00E63731" w:rsidP="00E6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373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63731" w:rsidRPr="00E63731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63731" w:rsidRPr="00E63731" w:rsidTr="008C35D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1E7FE3" w:rsidP="0003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E7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Informatīvais ziņojums “Par nodokļu politikas attīstības virzieniem, valsts sociālās ilgtspējas un ekonomikas konkurētspējas veicināšanai” tika izskatīts Ministru kabineta 2020.gada 2.septembra sēdē (TA-1643, 5.2.apakšpunkts).</w:t>
            </w:r>
          </w:p>
        </w:tc>
      </w:tr>
      <w:tr w:rsidR="00E63731" w:rsidRPr="00E63731" w:rsidTr="008C35D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849" w:rsidRPr="00A96F1F" w:rsidRDefault="001E7FE3" w:rsidP="0031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E7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Informatīvā ziņojuma “Par nodokļu politikas attīstības virzieniem, valsts sociālās ilgtspējas un ekonomikas konkurētspējas veicināšanai” saskaņošanas procesā Nacionālās trīspusējās sadarbības padomes Budžeta un nodokļu </w:t>
            </w:r>
            <w:proofErr w:type="spellStart"/>
            <w:r w:rsidRPr="001E7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apakšpadomes</w:t>
            </w:r>
            <w:proofErr w:type="spellEnd"/>
            <w:r w:rsidRPr="001E7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sēžu ietvaros piedalījās: Latvijas Darba devēju konfederācija, Latvijas Tirdzniecības un rūpniecības kamera un Latvijas Brīvo arodbiedrību savienība.</w:t>
            </w:r>
          </w:p>
        </w:tc>
      </w:tr>
      <w:tr w:rsidR="00E63731" w:rsidRPr="00E63731" w:rsidTr="008C35D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A96F1F" w:rsidRDefault="00592A1E" w:rsidP="00FC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92A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Darba devēju konfederācija, Latvijas Tirdzniecības un rūpniecības kamera un Latvijas Brīvo arodbiedrību savienība kopumā atbalsta</w:t>
            </w:r>
            <w:r w:rsidR="00FC6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darbaspēka vispārējā režīma nodokļu samazinājumu, kas veicina Latvijas uzņēmumu konkurētspēju. </w:t>
            </w:r>
          </w:p>
        </w:tc>
      </w:tr>
      <w:tr w:rsidR="00E63731" w:rsidRPr="00E63731" w:rsidTr="008C35D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67794" w:rsidRDefault="00881DD7" w:rsidP="00367794">
            <w:pPr>
              <w:pStyle w:val="NormalWeb"/>
            </w:pPr>
            <w:r w:rsidRPr="00881DD7">
              <w:t xml:space="preserve">Nav. </w:t>
            </w:r>
            <w:r w:rsidR="00367794" w:rsidRPr="00881DD7">
              <w:t xml:space="preserve"> </w:t>
            </w:r>
          </w:p>
        </w:tc>
      </w:tr>
    </w:tbl>
    <w:p w:rsidR="00E5323B" w:rsidRPr="00E6373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373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63731" w:rsidRPr="00E63731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63731" w:rsidRPr="00E6373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36779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794"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  <w:t>Valsts ieņēmumu dienests.</w:t>
            </w:r>
          </w:p>
        </w:tc>
      </w:tr>
      <w:tr w:rsidR="00E63731" w:rsidRPr="00E6373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794" w:rsidRPr="00367794" w:rsidRDefault="00367794" w:rsidP="008D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Funkcijas un uzdevumi netiek grozīti. Jaunu institūciju izveide, esošo institūciju likvidācija vai reorganizācija netiek paredzēta.</w:t>
            </w:r>
          </w:p>
          <w:p w:rsidR="00E5323B" w:rsidRPr="00E63731" w:rsidRDefault="00367794" w:rsidP="0087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367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 tiks </w:t>
            </w:r>
            <w:r w:rsidR="00874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īstenots</w:t>
            </w:r>
            <w:r w:rsidRPr="00367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esošo cilvēkresursu </w:t>
            </w:r>
            <w:r w:rsidR="00E602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finanšu līdzekļu</w:t>
            </w:r>
            <w:r w:rsidR="00E60253" w:rsidRPr="00367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67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ietvaros.</w:t>
            </w:r>
          </w:p>
        </w:tc>
      </w:tr>
      <w:tr w:rsidR="00E63731" w:rsidRPr="00E6373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3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63731" w:rsidRDefault="0036779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645294" w:rsidRDefault="00645294" w:rsidP="009B3220">
      <w:pPr>
        <w:pStyle w:val="NormalWeb"/>
        <w:rPr>
          <w:sz w:val="28"/>
        </w:rPr>
      </w:pPr>
    </w:p>
    <w:p w:rsidR="00894C55" w:rsidRPr="009B3220" w:rsidRDefault="00881DD7" w:rsidP="009B3220">
      <w:pPr>
        <w:pStyle w:val="NormalWeb"/>
        <w:rPr>
          <w:sz w:val="28"/>
        </w:rPr>
      </w:pPr>
      <w:r w:rsidRPr="0053069A">
        <w:rPr>
          <w:sz w:val="28"/>
        </w:rPr>
        <w:t>Finanšu ministrs  </w:t>
      </w:r>
      <w:r w:rsidRPr="0053069A">
        <w:rPr>
          <w:sz w:val="28"/>
        </w:rPr>
        <w:tab/>
      </w:r>
      <w:r w:rsidRPr="0053069A">
        <w:rPr>
          <w:sz w:val="28"/>
        </w:rPr>
        <w:tab/>
      </w:r>
      <w:r w:rsidRPr="0053069A">
        <w:rPr>
          <w:sz w:val="28"/>
        </w:rPr>
        <w:tab/>
      </w:r>
      <w:r w:rsidRPr="0053069A">
        <w:rPr>
          <w:sz w:val="28"/>
        </w:rPr>
        <w:tab/>
      </w:r>
      <w:r w:rsidRPr="0053069A">
        <w:rPr>
          <w:sz w:val="28"/>
        </w:rPr>
        <w:tab/>
      </w:r>
      <w:r w:rsidRPr="0053069A">
        <w:rPr>
          <w:sz w:val="28"/>
        </w:rPr>
        <w:tab/>
      </w:r>
      <w:r w:rsidRPr="0053069A">
        <w:rPr>
          <w:sz w:val="28"/>
        </w:rPr>
        <w:tab/>
      </w:r>
      <w:r w:rsidRPr="0053069A">
        <w:rPr>
          <w:sz w:val="28"/>
        </w:rPr>
        <w:tab/>
      </w:r>
      <w:r w:rsidRPr="0053069A">
        <w:rPr>
          <w:sz w:val="28"/>
        </w:rPr>
        <w:tab/>
        <w:t xml:space="preserve"> </w:t>
      </w:r>
      <w:proofErr w:type="spellStart"/>
      <w:r w:rsidRPr="0053069A">
        <w:rPr>
          <w:sz w:val="28"/>
        </w:rPr>
        <w:t>J.Reirs</w:t>
      </w:r>
      <w:proofErr w:type="spellEnd"/>
      <w:r w:rsidRPr="0053069A">
        <w:rPr>
          <w:sz w:val="28"/>
        </w:rPr>
        <w:t xml:space="preserve"> </w:t>
      </w:r>
    </w:p>
    <w:p w:rsidR="00B47251" w:rsidRDefault="00B4725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47251" w:rsidRDefault="00B4725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94C55" w:rsidRDefault="001304A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Smirnova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67083843</w:t>
      </w:r>
    </w:p>
    <w:p w:rsidR="001304A0" w:rsidRPr="00881DD7" w:rsidRDefault="00511DE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hyperlink r:id="rId10" w:history="1">
        <w:r w:rsidR="001304A0" w:rsidRPr="0019310A">
          <w:rPr>
            <w:rStyle w:val="Hyperlink"/>
            <w:rFonts w:ascii="Times New Roman" w:hAnsi="Times New Roman" w:cs="Times New Roman"/>
            <w:sz w:val="20"/>
            <w:szCs w:val="28"/>
          </w:rPr>
          <w:t>Irina.Smirnova@fm.gov.lv</w:t>
        </w:r>
      </w:hyperlink>
      <w:r w:rsidR="001304A0">
        <w:rPr>
          <w:rFonts w:ascii="Times New Roman" w:hAnsi="Times New Roman" w:cs="Times New Roman"/>
          <w:sz w:val="20"/>
          <w:szCs w:val="28"/>
        </w:rPr>
        <w:t xml:space="preserve"> </w:t>
      </w:r>
    </w:p>
    <w:sectPr w:rsidR="001304A0" w:rsidRPr="00881DD7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EA" w:rsidRDefault="00511DEA" w:rsidP="00894C55">
      <w:pPr>
        <w:spacing w:after="0" w:line="240" w:lineRule="auto"/>
      </w:pPr>
      <w:r>
        <w:separator/>
      </w:r>
    </w:p>
  </w:endnote>
  <w:endnote w:type="continuationSeparator" w:id="0">
    <w:p w:rsidR="00511DEA" w:rsidRDefault="00511DE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55" w:rsidRPr="00BE0A82" w:rsidRDefault="00BE0A82" w:rsidP="00BE0A82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5537D">
      <w:rPr>
        <w:rFonts w:ascii="Times New Roman" w:hAnsi="Times New Roman" w:cs="Times New Roman"/>
        <w:noProof/>
        <w:sz w:val="20"/>
        <w:szCs w:val="20"/>
      </w:rPr>
      <w:t>FMAnot_131020_MK676.docx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54" w:rsidRPr="00BE0A82" w:rsidRDefault="00BE0A82" w:rsidP="00BE0A82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5537D">
      <w:rPr>
        <w:rFonts w:ascii="Times New Roman" w:hAnsi="Times New Roman" w:cs="Times New Roman"/>
        <w:noProof/>
        <w:sz w:val="20"/>
        <w:szCs w:val="20"/>
      </w:rPr>
      <w:t>FMAnot_131020_MK676.docx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EA" w:rsidRDefault="00511DEA" w:rsidP="00894C55">
      <w:pPr>
        <w:spacing w:after="0" w:line="240" w:lineRule="auto"/>
      </w:pPr>
      <w:r>
        <w:separator/>
      </w:r>
    </w:p>
  </w:footnote>
  <w:footnote w:type="continuationSeparator" w:id="0">
    <w:p w:rsidR="00511DEA" w:rsidRDefault="00511DE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26113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70A8"/>
    <w:rsid w:val="000205D4"/>
    <w:rsid w:val="000213CA"/>
    <w:rsid w:val="00024F29"/>
    <w:rsid w:val="00026113"/>
    <w:rsid w:val="00033849"/>
    <w:rsid w:val="00046395"/>
    <w:rsid w:val="00064397"/>
    <w:rsid w:val="000651D0"/>
    <w:rsid w:val="00066128"/>
    <w:rsid w:val="00075946"/>
    <w:rsid w:val="00076CFC"/>
    <w:rsid w:val="00081970"/>
    <w:rsid w:val="000A3A9D"/>
    <w:rsid w:val="000C21E0"/>
    <w:rsid w:val="000D07FE"/>
    <w:rsid w:val="000D3813"/>
    <w:rsid w:val="000E6A1D"/>
    <w:rsid w:val="001009A0"/>
    <w:rsid w:val="00103F22"/>
    <w:rsid w:val="001075CA"/>
    <w:rsid w:val="00122C29"/>
    <w:rsid w:val="0012544B"/>
    <w:rsid w:val="00127219"/>
    <w:rsid w:val="001304A0"/>
    <w:rsid w:val="001422F8"/>
    <w:rsid w:val="00145434"/>
    <w:rsid w:val="001522DA"/>
    <w:rsid w:val="001A0275"/>
    <w:rsid w:val="001A5E73"/>
    <w:rsid w:val="001C0998"/>
    <w:rsid w:val="001D5573"/>
    <w:rsid w:val="001E45C2"/>
    <w:rsid w:val="001E7FE3"/>
    <w:rsid w:val="001F5AC6"/>
    <w:rsid w:val="001F6BB3"/>
    <w:rsid w:val="002402D2"/>
    <w:rsid w:val="00243426"/>
    <w:rsid w:val="002710B0"/>
    <w:rsid w:val="002742DF"/>
    <w:rsid w:val="00277C74"/>
    <w:rsid w:val="00284D25"/>
    <w:rsid w:val="002943DD"/>
    <w:rsid w:val="002B75EE"/>
    <w:rsid w:val="002B7658"/>
    <w:rsid w:val="002B77D1"/>
    <w:rsid w:val="002D47AA"/>
    <w:rsid w:val="002D6B63"/>
    <w:rsid w:val="002E1C05"/>
    <w:rsid w:val="002E4AEA"/>
    <w:rsid w:val="002F533E"/>
    <w:rsid w:val="00310B55"/>
    <w:rsid w:val="0032068B"/>
    <w:rsid w:val="00331409"/>
    <w:rsid w:val="00341253"/>
    <w:rsid w:val="003414CD"/>
    <w:rsid w:val="003526C5"/>
    <w:rsid w:val="0036309A"/>
    <w:rsid w:val="00364F06"/>
    <w:rsid w:val="00367794"/>
    <w:rsid w:val="00371131"/>
    <w:rsid w:val="003B0BF9"/>
    <w:rsid w:val="003B10E7"/>
    <w:rsid w:val="003B1842"/>
    <w:rsid w:val="003D083A"/>
    <w:rsid w:val="003D5A9A"/>
    <w:rsid w:val="003E0791"/>
    <w:rsid w:val="003E18B0"/>
    <w:rsid w:val="003E6F8D"/>
    <w:rsid w:val="003F28AC"/>
    <w:rsid w:val="003F532A"/>
    <w:rsid w:val="0041518E"/>
    <w:rsid w:val="004155F8"/>
    <w:rsid w:val="00423224"/>
    <w:rsid w:val="00431542"/>
    <w:rsid w:val="004319E6"/>
    <w:rsid w:val="00432071"/>
    <w:rsid w:val="00437890"/>
    <w:rsid w:val="004454FE"/>
    <w:rsid w:val="004520C1"/>
    <w:rsid w:val="00456E40"/>
    <w:rsid w:val="00460F4E"/>
    <w:rsid w:val="004653B1"/>
    <w:rsid w:val="00471F27"/>
    <w:rsid w:val="004736B3"/>
    <w:rsid w:val="00484CF9"/>
    <w:rsid w:val="00497CC1"/>
    <w:rsid w:val="004A6BB4"/>
    <w:rsid w:val="004C5E00"/>
    <w:rsid w:val="004D5F17"/>
    <w:rsid w:val="004E3252"/>
    <w:rsid w:val="004F1F65"/>
    <w:rsid w:val="004F4C26"/>
    <w:rsid w:val="0050178F"/>
    <w:rsid w:val="00506044"/>
    <w:rsid w:val="00511DEA"/>
    <w:rsid w:val="00515013"/>
    <w:rsid w:val="0053069A"/>
    <w:rsid w:val="00531D5B"/>
    <w:rsid w:val="00544C93"/>
    <w:rsid w:val="00557EF9"/>
    <w:rsid w:val="00561ACE"/>
    <w:rsid w:val="005649BE"/>
    <w:rsid w:val="005714EB"/>
    <w:rsid w:val="00581D3D"/>
    <w:rsid w:val="00583841"/>
    <w:rsid w:val="005845B5"/>
    <w:rsid w:val="00592411"/>
    <w:rsid w:val="00592A1E"/>
    <w:rsid w:val="005A0635"/>
    <w:rsid w:val="005B515D"/>
    <w:rsid w:val="005B704F"/>
    <w:rsid w:val="005C40BC"/>
    <w:rsid w:val="005E1E08"/>
    <w:rsid w:val="00625CC7"/>
    <w:rsid w:val="00631584"/>
    <w:rsid w:val="00645294"/>
    <w:rsid w:val="006460D6"/>
    <w:rsid w:val="00655F2C"/>
    <w:rsid w:val="00674E76"/>
    <w:rsid w:val="00675AEF"/>
    <w:rsid w:val="006809DD"/>
    <w:rsid w:val="006840D9"/>
    <w:rsid w:val="00692884"/>
    <w:rsid w:val="006932C2"/>
    <w:rsid w:val="006A7ED5"/>
    <w:rsid w:val="006D2F39"/>
    <w:rsid w:val="006E1081"/>
    <w:rsid w:val="006E7019"/>
    <w:rsid w:val="006F1FC4"/>
    <w:rsid w:val="006F4392"/>
    <w:rsid w:val="007022A9"/>
    <w:rsid w:val="0070467B"/>
    <w:rsid w:val="00704EBD"/>
    <w:rsid w:val="00711FDC"/>
    <w:rsid w:val="00720585"/>
    <w:rsid w:val="00721586"/>
    <w:rsid w:val="0072748D"/>
    <w:rsid w:val="00750129"/>
    <w:rsid w:val="00761DD7"/>
    <w:rsid w:val="00773AF6"/>
    <w:rsid w:val="007756C5"/>
    <w:rsid w:val="007813A5"/>
    <w:rsid w:val="00784540"/>
    <w:rsid w:val="00795F71"/>
    <w:rsid w:val="007A058E"/>
    <w:rsid w:val="007D3C50"/>
    <w:rsid w:val="007E5F7A"/>
    <w:rsid w:val="007E73AB"/>
    <w:rsid w:val="00801B6B"/>
    <w:rsid w:val="00804518"/>
    <w:rsid w:val="0080523A"/>
    <w:rsid w:val="00816C11"/>
    <w:rsid w:val="008242E9"/>
    <w:rsid w:val="0084278A"/>
    <w:rsid w:val="00843211"/>
    <w:rsid w:val="00862AB5"/>
    <w:rsid w:val="00862F66"/>
    <w:rsid w:val="00870DDD"/>
    <w:rsid w:val="008744EF"/>
    <w:rsid w:val="008804D9"/>
    <w:rsid w:val="00881210"/>
    <w:rsid w:val="00881DD7"/>
    <w:rsid w:val="00891473"/>
    <w:rsid w:val="00894C55"/>
    <w:rsid w:val="00895441"/>
    <w:rsid w:val="008975E9"/>
    <w:rsid w:val="008B0768"/>
    <w:rsid w:val="008B3DF0"/>
    <w:rsid w:val="008C35DC"/>
    <w:rsid w:val="008C4CAE"/>
    <w:rsid w:val="008C5104"/>
    <w:rsid w:val="008C6B6D"/>
    <w:rsid w:val="008D4CEC"/>
    <w:rsid w:val="008D78BD"/>
    <w:rsid w:val="008E3D3E"/>
    <w:rsid w:val="008E5D87"/>
    <w:rsid w:val="008F7620"/>
    <w:rsid w:val="00905C68"/>
    <w:rsid w:val="009107F7"/>
    <w:rsid w:val="00915930"/>
    <w:rsid w:val="00920DF2"/>
    <w:rsid w:val="00924A2C"/>
    <w:rsid w:val="00932A0D"/>
    <w:rsid w:val="009411CD"/>
    <w:rsid w:val="00944D4E"/>
    <w:rsid w:val="00945A9C"/>
    <w:rsid w:val="0095537D"/>
    <w:rsid w:val="00962586"/>
    <w:rsid w:val="00964354"/>
    <w:rsid w:val="00980035"/>
    <w:rsid w:val="009800FA"/>
    <w:rsid w:val="00984697"/>
    <w:rsid w:val="009A2654"/>
    <w:rsid w:val="009B14DD"/>
    <w:rsid w:val="009B15E6"/>
    <w:rsid w:val="009B3220"/>
    <w:rsid w:val="009B3E09"/>
    <w:rsid w:val="009C0C35"/>
    <w:rsid w:val="009D57A9"/>
    <w:rsid w:val="009E022B"/>
    <w:rsid w:val="009E5757"/>
    <w:rsid w:val="009F24A5"/>
    <w:rsid w:val="00A10FC3"/>
    <w:rsid w:val="00A12201"/>
    <w:rsid w:val="00A23038"/>
    <w:rsid w:val="00A35525"/>
    <w:rsid w:val="00A4099D"/>
    <w:rsid w:val="00A424E3"/>
    <w:rsid w:val="00A459A9"/>
    <w:rsid w:val="00A461FD"/>
    <w:rsid w:val="00A6073E"/>
    <w:rsid w:val="00A63E4D"/>
    <w:rsid w:val="00A70C55"/>
    <w:rsid w:val="00A736D0"/>
    <w:rsid w:val="00A75CA3"/>
    <w:rsid w:val="00A86F8B"/>
    <w:rsid w:val="00A96F1F"/>
    <w:rsid w:val="00AA7BD1"/>
    <w:rsid w:val="00AB6197"/>
    <w:rsid w:val="00AC04D1"/>
    <w:rsid w:val="00AC42F5"/>
    <w:rsid w:val="00AC6530"/>
    <w:rsid w:val="00AD04FC"/>
    <w:rsid w:val="00AD0C80"/>
    <w:rsid w:val="00AE508E"/>
    <w:rsid w:val="00AE5567"/>
    <w:rsid w:val="00AF1239"/>
    <w:rsid w:val="00B00944"/>
    <w:rsid w:val="00B05BC5"/>
    <w:rsid w:val="00B14E57"/>
    <w:rsid w:val="00B16480"/>
    <w:rsid w:val="00B2165C"/>
    <w:rsid w:val="00B33131"/>
    <w:rsid w:val="00B44E7A"/>
    <w:rsid w:val="00B47251"/>
    <w:rsid w:val="00B60B3E"/>
    <w:rsid w:val="00B7337C"/>
    <w:rsid w:val="00BA20AA"/>
    <w:rsid w:val="00BC201D"/>
    <w:rsid w:val="00BC63E8"/>
    <w:rsid w:val="00BD2256"/>
    <w:rsid w:val="00BD4425"/>
    <w:rsid w:val="00BE0A82"/>
    <w:rsid w:val="00BE1C25"/>
    <w:rsid w:val="00BF315F"/>
    <w:rsid w:val="00C072C4"/>
    <w:rsid w:val="00C078E9"/>
    <w:rsid w:val="00C11896"/>
    <w:rsid w:val="00C25B49"/>
    <w:rsid w:val="00C36909"/>
    <w:rsid w:val="00C46AA7"/>
    <w:rsid w:val="00C53E23"/>
    <w:rsid w:val="00C569AB"/>
    <w:rsid w:val="00C64AD8"/>
    <w:rsid w:val="00C80E9A"/>
    <w:rsid w:val="00C9659B"/>
    <w:rsid w:val="00CA57B5"/>
    <w:rsid w:val="00CB0B30"/>
    <w:rsid w:val="00CC0D2D"/>
    <w:rsid w:val="00CC53A7"/>
    <w:rsid w:val="00CD21E9"/>
    <w:rsid w:val="00CE5657"/>
    <w:rsid w:val="00CE7956"/>
    <w:rsid w:val="00CF607B"/>
    <w:rsid w:val="00CF7C70"/>
    <w:rsid w:val="00D103F7"/>
    <w:rsid w:val="00D133F8"/>
    <w:rsid w:val="00D14A3E"/>
    <w:rsid w:val="00D15667"/>
    <w:rsid w:val="00D221AA"/>
    <w:rsid w:val="00D268C6"/>
    <w:rsid w:val="00D27E9A"/>
    <w:rsid w:val="00D309A8"/>
    <w:rsid w:val="00D4392D"/>
    <w:rsid w:val="00D45A9B"/>
    <w:rsid w:val="00D46CE8"/>
    <w:rsid w:val="00D568FD"/>
    <w:rsid w:val="00D6455A"/>
    <w:rsid w:val="00D70907"/>
    <w:rsid w:val="00D70FD7"/>
    <w:rsid w:val="00D77BF3"/>
    <w:rsid w:val="00D861D1"/>
    <w:rsid w:val="00D9043E"/>
    <w:rsid w:val="00D914EC"/>
    <w:rsid w:val="00D9512C"/>
    <w:rsid w:val="00DB4D81"/>
    <w:rsid w:val="00DB5728"/>
    <w:rsid w:val="00DC2351"/>
    <w:rsid w:val="00DD0F86"/>
    <w:rsid w:val="00DD5F56"/>
    <w:rsid w:val="00DD7DE5"/>
    <w:rsid w:val="00DE04D4"/>
    <w:rsid w:val="00DE2E98"/>
    <w:rsid w:val="00DE320A"/>
    <w:rsid w:val="00DE3F20"/>
    <w:rsid w:val="00DE41EC"/>
    <w:rsid w:val="00E03F2B"/>
    <w:rsid w:val="00E05A4A"/>
    <w:rsid w:val="00E05F53"/>
    <w:rsid w:val="00E060DA"/>
    <w:rsid w:val="00E12805"/>
    <w:rsid w:val="00E12952"/>
    <w:rsid w:val="00E13908"/>
    <w:rsid w:val="00E15273"/>
    <w:rsid w:val="00E1549D"/>
    <w:rsid w:val="00E240CF"/>
    <w:rsid w:val="00E34B40"/>
    <w:rsid w:val="00E3716B"/>
    <w:rsid w:val="00E41DE9"/>
    <w:rsid w:val="00E443AC"/>
    <w:rsid w:val="00E5323B"/>
    <w:rsid w:val="00E60253"/>
    <w:rsid w:val="00E63731"/>
    <w:rsid w:val="00E6696C"/>
    <w:rsid w:val="00E714FC"/>
    <w:rsid w:val="00E75958"/>
    <w:rsid w:val="00E764A0"/>
    <w:rsid w:val="00E77CCD"/>
    <w:rsid w:val="00E801E3"/>
    <w:rsid w:val="00E86D1E"/>
    <w:rsid w:val="00E8749E"/>
    <w:rsid w:val="00E90C01"/>
    <w:rsid w:val="00EA486E"/>
    <w:rsid w:val="00EA69FF"/>
    <w:rsid w:val="00EA7031"/>
    <w:rsid w:val="00ED68F4"/>
    <w:rsid w:val="00EE6B71"/>
    <w:rsid w:val="00F06DBB"/>
    <w:rsid w:val="00F078FC"/>
    <w:rsid w:val="00F11C03"/>
    <w:rsid w:val="00F27759"/>
    <w:rsid w:val="00F515E2"/>
    <w:rsid w:val="00F54935"/>
    <w:rsid w:val="00F57B0C"/>
    <w:rsid w:val="00F7116B"/>
    <w:rsid w:val="00F742FA"/>
    <w:rsid w:val="00F8044B"/>
    <w:rsid w:val="00F832EA"/>
    <w:rsid w:val="00F85EC7"/>
    <w:rsid w:val="00FB02A8"/>
    <w:rsid w:val="00FB62A2"/>
    <w:rsid w:val="00FB6FEF"/>
    <w:rsid w:val="00FC3FCF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07896-AF11-440C-8091-FB8783B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46395"/>
    <w:pPr>
      <w:ind w:left="720"/>
      <w:contextualSpacing/>
    </w:pPr>
  </w:style>
  <w:style w:type="paragraph" w:customStyle="1" w:styleId="tv213">
    <w:name w:val="tv213"/>
    <w:basedOn w:val="Normal"/>
    <w:rsid w:val="007813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rina.Smirnova@fm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Kaļāne (TND)</Vad_x012b_t_x0101_js>
    <TAP xmlns="49b0bb89-35b3-4114-9b1c-a376ef2ba045">75</TAP>
    <Kategorija xmlns="2e5bb04e-596e-45bd-9003-43ca78b1ba16">Anotācija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568E-3D52-463D-87AA-97E991D09C1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2F30AAD7-0008-4F91-9933-A0553F78A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6EC27-5EBC-41A7-A715-75B983D22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C0142-8443-4F60-9DF6-95840DB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2017.gada 14.novembra noteikumos Nr.676 “Noteikumi par neapliekamā minimuma un nodokļa atvieglojuma apmēru iedzīvotāju ienākuma nodokļa aprēķināšanai”" sākotnējās ietekmes novērtējuma ziņojums (anotācija)</vt:lpstr>
    </vt:vector>
  </TitlesOfParts>
  <Company>Finanšu ministrija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2017.gada 14.novembra noteikumos Nr.676 “Noteikumi par neapliekamā minimuma un nodokļa atvieglojuma apmēru iedzīvotāju ienākuma nodokļa aprēķināšanai”" sākotnējās ietekmes novērtējuma ziņojums (anotācija)</dc:title>
  <dc:subject>Anotācija</dc:subject>
  <dc:creator>Irina Smirnova</dc:creator>
  <dc:description>67083843, Irina.Smirnova@fm.gov.lv</dc:description>
  <cp:lastModifiedBy>Laimdota Adlere</cp:lastModifiedBy>
  <cp:revision>2</cp:revision>
  <cp:lastPrinted>2019-09-25T10:51:00Z</cp:lastPrinted>
  <dcterms:created xsi:type="dcterms:W3CDTF">2020-10-30T08:20:00Z</dcterms:created>
  <dcterms:modified xsi:type="dcterms:W3CDTF">2020-10-30T08:20:00Z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