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AA14F" w14:textId="77777777" w:rsidR="00DB5A7F" w:rsidRPr="009D1C04" w:rsidRDefault="00DB5A7F" w:rsidP="004E72EB">
      <w:pPr>
        <w:jc w:val="center"/>
        <w:rPr>
          <w:b/>
          <w:bCs/>
        </w:rPr>
      </w:pPr>
      <w:r w:rsidRPr="009D1C04">
        <w:rPr>
          <w:b/>
          <w:bCs/>
        </w:rPr>
        <w:t xml:space="preserve">Ministru kabineta rīkojuma projekta “Par apropriācijas </w:t>
      </w:r>
      <w:r w:rsidR="00615766" w:rsidRPr="009D1C04">
        <w:rPr>
          <w:b/>
          <w:bCs/>
        </w:rPr>
        <w:t>pārdali</w:t>
      </w:r>
      <w:r w:rsidRPr="009D1C04">
        <w:rPr>
          <w:b/>
          <w:bCs/>
        </w:rPr>
        <w:t>” sākotnējās ietekmes novērtējuma ziņojums (anotācija)</w:t>
      </w:r>
    </w:p>
    <w:p w14:paraId="1A3DB28B" w14:textId="77777777" w:rsidR="009D36DE" w:rsidRPr="009D1C04"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9D1C04" w14:paraId="69E539D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F750D8" w14:textId="77777777" w:rsidR="009D36DE" w:rsidRPr="009D1C04" w:rsidRDefault="009D36DE" w:rsidP="00B27138">
            <w:pPr>
              <w:spacing w:before="120" w:after="120"/>
              <w:jc w:val="center"/>
              <w:rPr>
                <w:b/>
                <w:bCs/>
              </w:rPr>
            </w:pPr>
            <w:r w:rsidRPr="009D1C04">
              <w:rPr>
                <w:b/>
                <w:bCs/>
              </w:rPr>
              <w:t>Tiesību aktu projektu anotācijas kopsavilkums</w:t>
            </w:r>
          </w:p>
        </w:tc>
      </w:tr>
      <w:tr w:rsidR="009D36DE" w:rsidRPr="009D1C04" w14:paraId="6EB9C1FA"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E90955" w14:textId="77777777" w:rsidR="009D36DE" w:rsidRPr="009D1C04" w:rsidRDefault="009D36DE" w:rsidP="00B27138">
            <w:pPr>
              <w:spacing w:before="120" w:after="120"/>
              <w:ind w:right="125"/>
              <w:jc w:val="both"/>
            </w:pPr>
            <w:r w:rsidRPr="009D1C04">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5F856D" w14:textId="3683F106" w:rsidR="00DF7062" w:rsidRPr="00B47322" w:rsidRDefault="00853AC5" w:rsidP="00FB72F9">
            <w:pPr>
              <w:pStyle w:val="NoSpacing"/>
              <w:spacing w:before="120" w:after="120"/>
              <w:ind w:left="125" w:right="113"/>
              <w:jc w:val="both"/>
              <w:rPr>
                <w:rFonts w:ascii="Times New Roman" w:eastAsia="Times New Roman" w:hAnsi="Times New Roman"/>
                <w:iCs/>
                <w:sz w:val="24"/>
                <w:szCs w:val="24"/>
                <w:lang w:eastAsia="lv-LV"/>
              </w:rPr>
            </w:pPr>
            <w:r w:rsidRPr="00B47322">
              <w:rPr>
                <w:rFonts w:ascii="Times New Roman" w:eastAsia="Times New Roman" w:hAnsi="Times New Roman"/>
                <w:iCs/>
                <w:sz w:val="24"/>
                <w:szCs w:val="24"/>
                <w:lang w:eastAsia="lv-LV"/>
              </w:rPr>
              <w:t>Ministru kabineta rīkojuma projekta “</w:t>
            </w:r>
            <w:r w:rsidRPr="00B47322">
              <w:rPr>
                <w:rFonts w:ascii="Times New Roman" w:hAnsi="Times New Roman"/>
                <w:bCs/>
                <w:sz w:val="24"/>
                <w:szCs w:val="24"/>
              </w:rPr>
              <w:t xml:space="preserve">Par apropriācijas </w:t>
            </w:r>
            <w:r w:rsidR="00064D12" w:rsidRPr="00B47322">
              <w:rPr>
                <w:rFonts w:ascii="Times New Roman" w:hAnsi="Times New Roman"/>
                <w:bCs/>
                <w:sz w:val="24"/>
                <w:szCs w:val="24"/>
              </w:rPr>
              <w:t>pārdali</w:t>
            </w:r>
            <w:r w:rsidRPr="00B47322">
              <w:rPr>
                <w:rFonts w:ascii="Times New Roman" w:eastAsia="Times New Roman" w:hAnsi="Times New Roman"/>
                <w:iCs/>
                <w:sz w:val="24"/>
                <w:szCs w:val="24"/>
                <w:lang w:eastAsia="lv-LV"/>
              </w:rPr>
              <w:t>” (turpmāk –</w:t>
            </w:r>
            <w:r w:rsidR="00FB72F9">
              <w:rPr>
                <w:rFonts w:ascii="Times New Roman" w:eastAsia="Times New Roman" w:hAnsi="Times New Roman"/>
                <w:iCs/>
                <w:sz w:val="24"/>
                <w:szCs w:val="24"/>
                <w:lang w:eastAsia="lv-LV"/>
              </w:rPr>
              <w:t xml:space="preserve"> </w:t>
            </w:r>
            <w:r w:rsidRPr="00B47322">
              <w:rPr>
                <w:rFonts w:ascii="Times New Roman" w:eastAsia="Times New Roman" w:hAnsi="Times New Roman"/>
                <w:iCs/>
                <w:sz w:val="24"/>
                <w:szCs w:val="24"/>
                <w:lang w:eastAsia="lv-LV"/>
              </w:rPr>
              <w:t xml:space="preserve">projekts) mērķis ir </w:t>
            </w:r>
            <w:r w:rsidR="00493BE8" w:rsidRPr="00B47322">
              <w:rPr>
                <w:rFonts w:ascii="Times New Roman" w:eastAsia="Times New Roman" w:hAnsi="Times New Roman"/>
                <w:iCs/>
                <w:sz w:val="24"/>
                <w:szCs w:val="24"/>
                <w:lang w:eastAsia="lv-LV"/>
              </w:rPr>
              <w:t xml:space="preserve">efektīva valsts budžeta līdzekļu izlietošana, </w:t>
            </w:r>
            <w:r w:rsidR="008A3323" w:rsidRPr="00B47322">
              <w:rPr>
                <w:rFonts w:ascii="Times New Roman" w:eastAsia="Times New Roman" w:hAnsi="Times New Roman"/>
                <w:iCs/>
                <w:sz w:val="24"/>
                <w:szCs w:val="24"/>
                <w:lang w:eastAsia="lv-LV"/>
              </w:rPr>
              <w:t>paredzot</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apropriācijas</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pārdali</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 xml:space="preserve">no </w:t>
            </w:r>
            <w:r w:rsidR="001A55AA">
              <w:rPr>
                <w:rFonts w:ascii="Times New Roman" w:eastAsia="Times New Roman" w:hAnsi="Times New Roman"/>
                <w:iCs/>
                <w:sz w:val="24"/>
                <w:szCs w:val="24"/>
                <w:lang w:eastAsia="lv-LV"/>
              </w:rPr>
              <w:t>Saeimas budžetā ietaupītajiem līdzekļiem uz Veselības ministrijas budžeta apakšprogrammām</w:t>
            </w:r>
            <w:r w:rsidR="00451A93">
              <w:rPr>
                <w:rFonts w:ascii="Times New Roman" w:eastAsia="Times New Roman" w:hAnsi="Times New Roman"/>
                <w:iCs/>
                <w:sz w:val="24"/>
                <w:szCs w:val="24"/>
                <w:lang w:eastAsia="lv-LV"/>
              </w:rPr>
              <w:t>.</w:t>
            </w:r>
          </w:p>
          <w:p w14:paraId="58B9E602" w14:textId="3D6711E9" w:rsidR="00853AC5" w:rsidRPr="009D1C04" w:rsidRDefault="00FB72F9" w:rsidP="00FB72F9">
            <w:pPr>
              <w:pStyle w:val="NoSpacing"/>
              <w:spacing w:before="120" w:after="120"/>
              <w:ind w:left="125" w:right="113"/>
              <w:jc w:val="both"/>
              <w:rPr>
                <w:rFonts w:ascii="Times New Roman" w:hAnsi="Times New Roman"/>
                <w:sz w:val="24"/>
                <w:szCs w:val="24"/>
              </w:rPr>
            </w:pPr>
            <w:r>
              <w:rPr>
                <w:rFonts w:ascii="Times New Roman" w:hAnsi="Times New Roman"/>
                <w:sz w:val="24"/>
                <w:szCs w:val="24"/>
              </w:rPr>
              <w:t>P</w:t>
            </w:r>
            <w:r w:rsidR="00853AC5" w:rsidRPr="00B47322">
              <w:rPr>
                <w:rFonts w:ascii="Times New Roman" w:hAnsi="Times New Roman"/>
                <w:sz w:val="24"/>
                <w:szCs w:val="24"/>
              </w:rPr>
              <w:t xml:space="preserve">rojekts stājas spēkā tā </w:t>
            </w:r>
            <w:r w:rsidR="000A6B9A" w:rsidRPr="00B47322">
              <w:rPr>
                <w:rFonts w:ascii="Times New Roman" w:hAnsi="Times New Roman"/>
                <w:sz w:val="24"/>
                <w:szCs w:val="24"/>
              </w:rPr>
              <w:t>parakstīšanas brīdī</w:t>
            </w:r>
            <w:r w:rsidR="004B0522" w:rsidRPr="00B47322">
              <w:rPr>
                <w:rFonts w:ascii="Times New Roman" w:hAnsi="Times New Roman"/>
                <w:sz w:val="24"/>
                <w:szCs w:val="24"/>
              </w:rPr>
              <w:t xml:space="preserve"> atbilstoši Oficiālo publikāciju un tiesiskās informācijas likuma 7.panta trešajā daļā noteiktajam</w:t>
            </w:r>
            <w:r w:rsidR="00853AC5" w:rsidRPr="00B47322">
              <w:rPr>
                <w:rFonts w:ascii="Times New Roman" w:hAnsi="Times New Roman"/>
                <w:sz w:val="24"/>
                <w:szCs w:val="24"/>
              </w:rPr>
              <w:t>.</w:t>
            </w:r>
          </w:p>
        </w:tc>
      </w:tr>
    </w:tbl>
    <w:p w14:paraId="67537932" w14:textId="77777777" w:rsidR="009D36DE" w:rsidRPr="009D1C04" w:rsidRDefault="009D36DE" w:rsidP="00B27138">
      <w:pPr>
        <w:spacing w:before="120" w:after="120"/>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9D1C04" w14:paraId="02C0FE9A"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85D6A3B" w14:textId="77777777" w:rsidR="009D36DE" w:rsidRPr="009D1C04" w:rsidRDefault="009D36DE" w:rsidP="00B27138">
            <w:pPr>
              <w:spacing w:before="120" w:after="120"/>
              <w:jc w:val="center"/>
              <w:rPr>
                <w:b/>
                <w:bCs/>
              </w:rPr>
            </w:pPr>
            <w:r w:rsidRPr="009D1C04">
              <w:rPr>
                <w:b/>
                <w:bCs/>
              </w:rPr>
              <w:t>I. Tiesību aktu projektu izstrādes nepieciešamība</w:t>
            </w:r>
          </w:p>
        </w:tc>
      </w:tr>
      <w:tr w:rsidR="009D36DE" w:rsidRPr="009D1C04" w14:paraId="073360BE"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F41105" w14:textId="77777777" w:rsidR="009D36DE" w:rsidRPr="009D1C04" w:rsidRDefault="009D36DE" w:rsidP="00B27138">
            <w:pPr>
              <w:spacing w:before="120" w:after="120"/>
            </w:pPr>
            <w:r w:rsidRPr="009D1C04">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3DB3B3" w14:textId="77777777" w:rsidR="009D36DE" w:rsidRPr="009D1C04" w:rsidRDefault="009D36DE" w:rsidP="00B27138">
            <w:pPr>
              <w:spacing w:before="120" w:after="120"/>
            </w:pPr>
            <w:r w:rsidRPr="009D1C04">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A440DA" w14:textId="2F42F5E1" w:rsidR="00D12A16" w:rsidRPr="00C4331C" w:rsidRDefault="007F2E09" w:rsidP="00D12A16">
            <w:pPr>
              <w:spacing w:before="120" w:after="120"/>
              <w:ind w:left="123" w:right="111"/>
              <w:jc w:val="both"/>
            </w:pPr>
            <w:r w:rsidRPr="00C4331C">
              <w:t>Likuma par budžetu un finanšu vadību 9.panta piecpadsmitā daļa</w:t>
            </w:r>
            <w:r w:rsidR="001A55AA">
              <w:t xml:space="preserve"> nosaka</w:t>
            </w:r>
            <w:r w:rsidRPr="00C4331C">
              <w:t xml:space="preserve">, </w:t>
            </w:r>
            <w:r w:rsidR="001A55AA">
              <w:t>ka</w:t>
            </w:r>
            <w:r w:rsidRPr="00C4331C">
              <w:t xml:space="preserve"> finanšu ministram </w:t>
            </w:r>
            <w:r w:rsidR="00113049">
              <w:t xml:space="preserve">ir </w:t>
            </w:r>
            <w:r w:rsidRPr="00C4331C">
              <w:t>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p w14:paraId="5023C46D" w14:textId="0063AE77" w:rsidR="00D12A16" w:rsidRPr="009D1C04" w:rsidRDefault="001A55AA" w:rsidP="00BB292A">
            <w:pPr>
              <w:spacing w:before="120" w:after="120"/>
              <w:ind w:left="123" w:right="111"/>
              <w:jc w:val="both"/>
            </w:pPr>
            <w:r>
              <w:t>Minist</w:t>
            </w:r>
            <w:r w:rsidR="00462C22">
              <w:t>ru kabineta rīkojuma projekts “P</w:t>
            </w:r>
            <w:r>
              <w:t>ar apropriācijas pārdali” sagatavots</w:t>
            </w:r>
            <w:r w:rsidR="00A85F0B">
              <w:t>,</w:t>
            </w:r>
            <w:r>
              <w:t xml:space="preserve"> pamatojoties uz Saeimas </w:t>
            </w:r>
            <w:r w:rsidR="00994CE2">
              <w:t xml:space="preserve">2020.gada 23.novembra </w:t>
            </w:r>
            <w:r>
              <w:t>lēmumu “Par Saeimas 2020.gada budžeta samazināšanu un finansējuma novirzīšanu Veselības ministrijai”.</w:t>
            </w:r>
          </w:p>
        </w:tc>
      </w:tr>
      <w:tr w:rsidR="00140526" w:rsidRPr="009E7875" w14:paraId="7427A13F" w14:textId="77777777" w:rsidTr="003E6601">
        <w:trPr>
          <w:trHeight w:val="16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131604" w14:textId="77777777" w:rsidR="00140526" w:rsidRPr="009E7875" w:rsidRDefault="00140526" w:rsidP="00B27138">
            <w:pPr>
              <w:spacing w:before="120" w:after="120"/>
            </w:pPr>
            <w:r w:rsidRPr="009E7875">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406BBF" w14:textId="77777777" w:rsidR="00140526" w:rsidRPr="009E7875" w:rsidRDefault="00140526" w:rsidP="00B27138">
            <w:pPr>
              <w:spacing w:before="120" w:after="120"/>
            </w:pPr>
            <w:r w:rsidRPr="009E7875">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674280" w14:textId="77777777" w:rsidR="00BB292A" w:rsidRDefault="007F2E09" w:rsidP="00BB292A">
            <w:pPr>
              <w:autoSpaceDE w:val="0"/>
              <w:autoSpaceDN w:val="0"/>
              <w:adjustRightInd w:val="0"/>
              <w:spacing w:before="120" w:after="120"/>
              <w:ind w:left="102" w:right="130"/>
              <w:jc w:val="both"/>
            </w:pPr>
            <w:r>
              <w:rPr>
                <w:rFonts w:eastAsiaTheme="minorHAnsi"/>
                <w:lang w:eastAsia="en-US"/>
              </w:rPr>
              <w:t>Saskaņā ar</w:t>
            </w:r>
            <w:r w:rsidR="00BB292A">
              <w:rPr>
                <w:rFonts w:eastAsiaTheme="minorHAnsi"/>
                <w:lang w:eastAsia="en-US"/>
              </w:rPr>
              <w:t xml:space="preserve"> </w:t>
            </w:r>
            <w:r w:rsidR="00BB292A">
              <w:t>Saeimas lēmumu “Par Saeimas 2020.gada budžeta samazināšanu un finansējuma novirzīšanu Veselības ministrijai” Saeimas Prezidijs ir nolēmis:</w:t>
            </w:r>
          </w:p>
          <w:p w14:paraId="33337EC8" w14:textId="19E0F7CE" w:rsidR="003E6601" w:rsidRPr="003E6601" w:rsidRDefault="00BB292A" w:rsidP="003E6601">
            <w:pPr>
              <w:autoSpaceDE w:val="0"/>
              <w:autoSpaceDN w:val="0"/>
              <w:adjustRightInd w:val="0"/>
              <w:spacing w:before="120" w:after="120"/>
              <w:ind w:left="102" w:right="130"/>
              <w:jc w:val="both"/>
              <w:rPr>
                <w:rFonts w:eastAsiaTheme="minorHAnsi"/>
                <w:lang w:eastAsia="en-US"/>
              </w:rPr>
            </w:pPr>
            <w:r>
              <w:rPr>
                <w:rFonts w:eastAsiaTheme="minorHAnsi"/>
                <w:lang w:eastAsia="en-US"/>
              </w:rPr>
              <w:t>Pamatojoties uz Saeimas Sociālo un darba lietu komisijas 2020.gada 20.novembra vēstuli Nr. 111.9/9-83-13/20 “Par Saeimas piešķirtā budžeta līdzekļiem” Saeimas Prezidijam un Veselības ministrijas 2020.gada 19.novembra vēstuli Nr. 01-11.1/5984 “Par finansējuma piešķiršanu kompensējamiem medikamentiem” Saeimai un</w:t>
            </w:r>
            <w:r w:rsidR="003E6601">
              <w:rPr>
                <w:rFonts w:eastAsiaTheme="minorHAnsi"/>
                <w:lang w:eastAsia="en-US"/>
              </w:rPr>
              <w:t>,</w:t>
            </w:r>
            <w:r>
              <w:rPr>
                <w:rFonts w:eastAsiaTheme="minorHAnsi"/>
                <w:lang w:eastAsia="en-US"/>
              </w:rPr>
              <w:t xml:space="preserve"> ņemot vērā Saeimas budžeta līdzekļu ietaupījumu</w:t>
            </w:r>
            <w:r w:rsidR="003E6601">
              <w:rPr>
                <w:rFonts w:eastAsiaTheme="minorHAnsi"/>
                <w:lang w:eastAsia="en-US"/>
              </w:rPr>
              <w:t>, s</w:t>
            </w:r>
            <w:r w:rsidRPr="003E6601">
              <w:rPr>
                <w:bCs/>
              </w:rPr>
              <w:t>amazināt Saeimas 2020.gada bud</w:t>
            </w:r>
            <w:r w:rsidR="00AC2DC9">
              <w:rPr>
                <w:bCs/>
              </w:rPr>
              <w:t>žetu, veicot izmaiņas programmā</w:t>
            </w:r>
            <w:r w:rsidRPr="003E6601">
              <w:rPr>
                <w:bCs/>
              </w:rPr>
              <w:t xml:space="preserve"> 01.00.00 “Saeimas darbības nodrošināšana”</w:t>
            </w:r>
            <w:r w:rsidR="003E6601" w:rsidRPr="003E6601">
              <w:rPr>
                <w:bCs/>
              </w:rPr>
              <w:t xml:space="preserve">, finansējuma samazinājumu 2 610 000 </w:t>
            </w:r>
            <w:proofErr w:type="spellStart"/>
            <w:r w:rsidR="003E6601" w:rsidRPr="003E6601">
              <w:rPr>
                <w:bCs/>
                <w:i/>
              </w:rPr>
              <w:t>euro</w:t>
            </w:r>
            <w:proofErr w:type="spellEnd"/>
            <w:r w:rsidR="003E6601" w:rsidRPr="003E6601">
              <w:rPr>
                <w:bCs/>
              </w:rPr>
              <w:t xml:space="preserve"> apmērā novirzot šādām Veselības ministrijas budžeta apakšprogrammām un aktivitātēm:</w:t>
            </w:r>
          </w:p>
          <w:p w14:paraId="05C5F9D6" w14:textId="132BE6B5" w:rsidR="003E6601" w:rsidRDefault="003E6601" w:rsidP="003E6601">
            <w:pPr>
              <w:pStyle w:val="ListParagraph"/>
              <w:autoSpaceDE w:val="0"/>
              <w:autoSpaceDN w:val="0"/>
              <w:adjustRightInd w:val="0"/>
              <w:spacing w:before="120" w:after="120"/>
              <w:ind w:left="462" w:right="130"/>
              <w:jc w:val="both"/>
            </w:pPr>
            <w:r w:rsidRPr="003E6601">
              <w:t xml:space="preserve">1. budžeta apakšprogrammai 33.03.00 “Kompensējamo medikamentu un materiālu apmaksāšana” 1 400 752 </w:t>
            </w:r>
            <w:proofErr w:type="spellStart"/>
            <w:r w:rsidRPr="003E6601">
              <w:rPr>
                <w:i/>
              </w:rPr>
              <w:t>euro</w:t>
            </w:r>
            <w:proofErr w:type="spellEnd"/>
            <w:r w:rsidRPr="003E6601">
              <w:t xml:space="preserve"> apmērā inovatīviem medikamentiem onkoloģijas un sirds un asinsvadu slimību pacientiem;</w:t>
            </w:r>
          </w:p>
          <w:p w14:paraId="2BB069F9" w14:textId="2481D73E" w:rsidR="003E6601" w:rsidRDefault="003E6601" w:rsidP="003E6601">
            <w:pPr>
              <w:pStyle w:val="ListParagraph"/>
              <w:autoSpaceDE w:val="0"/>
              <w:autoSpaceDN w:val="0"/>
              <w:adjustRightInd w:val="0"/>
              <w:spacing w:before="120" w:after="120"/>
              <w:ind w:left="462" w:right="130"/>
              <w:jc w:val="both"/>
            </w:pPr>
            <w:r w:rsidRPr="003E6601">
              <w:t xml:space="preserve">2. budžeta apakšprogrammai 33.18.00 “Plānveida stacionāro veselības aprūpes pakalpojumu nodrošināšana” 1 209 248 </w:t>
            </w:r>
            <w:proofErr w:type="spellStart"/>
            <w:r w:rsidRPr="003E6601">
              <w:rPr>
                <w:i/>
              </w:rPr>
              <w:t>euro</w:t>
            </w:r>
            <w:proofErr w:type="spellEnd"/>
            <w:r w:rsidRPr="003E6601">
              <w:t xml:space="preserve"> apmērā, tai skaitā:</w:t>
            </w:r>
          </w:p>
          <w:p w14:paraId="5852204B" w14:textId="01DB7704" w:rsidR="003E6601" w:rsidRDefault="003E6601" w:rsidP="003E6601">
            <w:pPr>
              <w:pStyle w:val="ListParagraph"/>
              <w:autoSpaceDE w:val="0"/>
              <w:autoSpaceDN w:val="0"/>
              <w:adjustRightInd w:val="0"/>
              <w:spacing w:before="120" w:after="120"/>
              <w:ind w:left="462" w:right="130"/>
              <w:jc w:val="both"/>
            </w:pPr>
            <w:r w:rsidRPr="003E6601">
              <w:lastRenderedPageBreak/>
              <w:t xml:space="preserve">2.1. paredzot līdzekļus </w:t>
            </w:r>
            <w:r w:rsidR="00147C52">
              <w:t xml:space="preserve">VSIA “Nacionālais rehabilitācijas centrs </w:t>
            </w:r>
            <w:r w:rsidRPr="003E6601">
              <w:t xml:space="preserve"> “Vaivari”</w:t>
            </w:r>
            <w:r w:rsidR="00147C52">
              <w:t>”</w:t>
            </w:r>
            <w:r w:rsidRPr="003E6601">
              <w:t xml:space="preserve"> 519 248 </w:t>
            </w:r>
            <w:proofErr w:type="spellStart"/>
            <w:r w:rsidRPr="003E6601">
              <w:rPr>
                <w:i/>
              </w:rPr>
              <w:t>euro</w:t>
            </w:r>
            <w:proofErr w:type="spellEnd"/>
            <w:r w:rsidRPr="003E6601">
              <w:t xml:space="preserve"> apmērā saistību dzēšanai par iegādāto robotizētu gaitas treniņa ierīci “</w:t>
            </w:r>
            <w:proofErr w:type="spellStart"/>
            <w:r w:rsidRPr="003E6601">
              <w:t>Lokomat</w:t>
            </w:r>
            <w:proofErr w:type="spellEnd"/>
            <w:r w:rsidRPr="003E6601">
              <w:t xml:space="preserve"> </w:t>
            </w:r>
            <w:proofErr w:type="spellStart"/>
            <w:r w:rsidRPr="003E6601">
              <w:t>Pro</w:t>
            </w:r>
            <w:proofErr w:type="spellEnd"/>
            <w:r w:rsidRPr="003E6601">
              <w:t>”;</w:t>
            </w:r>
          </w:p>
          <w:p w14:paraId="06227D25" w14:textId="3541001C" w:rsidR="003E6601" w:rsidRPr="009E7875" w:rsidRDefault="003E6601" w:rsidP="003E6601">
            <w:pPr>
              <w:pStyle w:val="ListParagraph"/>
              <w:autoSpaceDE w:val="0"/>
              <w:autoSpaceDN w:val="0"/>
              <w:adjustRightInd w:val="0"/>
              <w:spacing w:before="120" w:after="120"/>
              <w:ind w:left="462" w:right="130"/>
              <w:jc w:val="both"/>
              <w:rPr>
                <w:bCs/>
                <w:highlight w:val="yellow"/>
              </w:rPr>
            </w:pPr>
            <w:r w:rsidRPr="003E6601">
              <w:t xml:space="preserve">2.2. paredzot līdzekļus </w:t>
            </w:r>
            <w:r w:rsidR="00147C52">
              <w:t>VSIA “Bērnu klīniskās universitātes slimnīca”</w:t>
            </w:r>
            <w:r w:rsidRPr="003E6601">
              <w:t xml:space="preserve"> 690 000 </w:t>
            </w:r>
            <w:proofErr w:type="spellStart"/>
            <w:r w:rsidRPr="003E6601">
              <w:rPr>
                <w:i/>
              </w:rPr>
              <w:t>euro</w:t>
            </w:r>
            <w:proofErr w:type="spellEnd"/>
            <w:r w:rsidRPr="003E6601">
              <w:rPr>
                <w:i/>
              </w:rPr>
              <w:t xml:space="preserve"> </w:t>
            </w:r>
            <w:r w:rsidRPr="003E6601">
              <w:t>apmērā četru ultrasonogrāfijas iekārtu iegādei.</w:t>
            </w:r>
          </w:p>
        </w:tc>
      </w:tr>
      <w:tr w:rsidR="009D36DE" w:rsidRPr="009D1C04" w14:paraId="047F7C9B"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61DF8E" w14:textId="77777777" w:rsidR="009D36DE" w:rsidRPr="009D1C04" w:rsidRDefault="009D36DE" w:rsidP="00B27138">
            <w:pPr>
              <w:spacing w:before="120" w:after="120"/>
            </w:pPr>
            <w:r w:rsidRPr="009D1C04">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CA1331" w14:textId="77777777" w:rsidR="009D36DE" w:rsidRPr="009D1C04" w:rsidRDefault="009D36DE" w:rsidP="00B27138">
            <w:pPr>
              <w:spacing w:before="120" w:after="120"/>
            </w:pPr>
            <w:r w:rsidRPr="009D1C04">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4F1903" w14:textId="77777777" w:rsidR="009D36DE" w:rsidRPr="009D1C04" w:rsidRDefault="003B60B8" w:rsidP="00B27138">
            <w:pPr>
              <w:spacing w:before="120" w:after="120"/>
              <w:ind w:firstLine="123"/>
              <w:jc w:val="both"/>
            </w:pPr>
            <w:r w:rsidRPr="009D1C04">
              <w:t>Nav</w:t>
            </w:r>
          </w:p>
        </w:tc>
      </w:tr>
      <w:tr w:rsidR="009D36DE" w:rsidRPr="009D1C04" w14:paraId="4925835D"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DC0B18" w14:textId="77777777" w:rsidR="009D36DE" w:rsidRPr="009D1C04" w:rsidRDefault="009D36DE" w:rsidP="00B27138">
            <w:pPr>
              <w:spacing w:before="120" w:after="120"/>
            </w:pPr>
            <w:r w:rsidRPr="009D1C04">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A267D0" w14:textId="77777777" w:rsidR="009D36DE" w:rsidRPr="009D1C04" w:rsidRDefault="009D36DE" w:rsidP="00B27138">
            <w:pPr>
              <w:spacing w:before="120" w:after="120"/>
            </w:pPr>
            <w:r w:rsidRPr="009D1C04">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759D6E" w14:textId="77777777" w:rsidR="009D36DE" w:rsidRPr="009D1C04" w:rsidRDefault="003B60B8" w:rsidP="00B27138">
            <w:pPr>
              <w:spacing w:before="120" w:after="120"/>
              <w:ind w:firstLine="123"/>
              <w:jc w:val="both"/>
            </w:pPr>
            <w:r w:rsidRPr="009D1C04">
              <w:rPr>
                <w:bCs/>
              </w:rPr>
              <w:t>Nav</w:t>
            </w:r>
          </w:p>
        </w:tc>
      </w:tr>
    </w:tbl>
    <w:p w14:paraId="3F2D7109" w14:textId="77777777" w:rsidR="009D36DE" w:rsidRPr="009D1C04" w:rsidRDefault="009D36DE" w:rsidP="00B27138">
      <w:pPr>
        <w:spacing w:before="120" w:after="120"/>
      </w:pPr>
    </w:p>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9D1C04" w14:paraId="7BB5BB21"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D562F79" w14:textId="77777777" w:rsidR="009D36DE" w:rsidRPr="009D1C04" w:rsidRDefault="009D36DE" w:rsidP="00B27138">
            <w:pPr>
              <w:spacing w:before="120" w:after="120"/>
              <w:ind w:right="-19"/>
              <w:jc w:val="center"/>
              <w:rPr>
                <w:b/>
                <w:bCs/>
              </w:rPr>
            </w:pPr>
            <w:r w:rsidRPr="009D1C04">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7E68208D" w14:textId="77777777" w:rsidR="009D36DE" w:rsidRPr="009D1C04" w:rsidRDefault="009D36DE" w:rsidP="00B27138">
            <w:pPr>
              <w:spacing w:before="120" w:after="120"/>
              <w:ind w:firstLine="1113"/>
              <w:jc w:val="center"/>
              <w:rPr>
                <w:b/>
                <w:bCs/>
              </w:rPr>
            </w:pPr>
          </w:p>
        </w:tc>
      </w:tr>
      <w:tr w:rsidR="001611E9" w:rsidRPr="009D1C04" w14:paraId="21ED2376"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D8CF36" w14:textId="77777777" w:rsidR="001611E9" w:rsidRPr="009D1C04" w:rsidRDefault="001611E9" w:rsidP="00B27138">
            <w:pPr>
              <w:spacing w:before="120" w:after="120"/>
              <w:jc w:val="center"/>
              <w:rPr>
                <w:b/>
                <w:bCs/>
                <w:highlight w:val="green"/>
              </w:rPr>
            </w:pPr>
            <w:r w:rsidRPr="009D1C04">
              <w:t>Projekts šo jomu neskar</w:t>
            </w:r>
          </w:p>
        </w:tc>
        <w:tc>
          <w:tcPr>
            <w:tcW w:w="40" w:type="dxa"/>
            <w:shd w:val="clear" w:color="auto" w:fill="auto"/>
            <w:tcMar>
              <w:top w:w="0" w:type="dxa"/>
              <w:left w:w="10" w:type="dxa"/>
              <w:bottom w:w="0" w:type="dxa"/>
              <w:right w:w="10" w:type="dxa"/>
            </w:tcMar>
          </w:tcPr>
          <w:p w14:paraId="69920595" w14:textId="77777777" w:rsidR="001611E9" w:rsidRPr="009D1C04" w:rsidRDefault="001611E9" w:rsidP="00B27138">
            <w:pPr>
              <w:spacing w:before="120" w:after="120"/>
              <w:ind w:firstLine="1113"/>
              <w:jc w:val="center"/>
              <w:rPr>
                <w:b/>
                <w:bCs/>
                <w:highlight w:val="green"/>
              </w:rPr>
            </w:pPr>
          </w:p>
        </w:tc>
      </w:tr>
    </w:tbl>
    <w:p w14:paraId="217622C9" w14:textId="77777777" w:rsidR="00064F32" w:rsidRPr="009D1C04"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696"/>
        <w:gridCol w:w="1276"/>
        <w:gridCol w:w="1276"/>
        <w:gridCol w:w="992"/>
        <w:gridCol w:w="992"/>
        <w:gridCol w:w="993"/>
        <w:gridCol w:w="992"/>
        <w:gridCol w:w="1276"/>
        <w:gridCol w:w="8"/>
      </w:tblGrid>
      <w:tr w:rsidR="00064F32" w:rsidRPr="009D1C04" w14:paraId="33948931" w14:textId="77777777" w:rsidTr="00962079">
        <w:trPr>
          <w:jc w:val="center"/>
        </w:trPr>
        <w:tc>
          <w:tcPr>
            <w:tcW w:w="9501" w:type="dxa"/>
            <w:gridSpan w:val="9"/>
          </w:tcPr>
          <w:p w14:paraId="4C214658"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b/>
                <w:sz w:val="24"/>
                <w:szCs w:val="24"/>
                <w:lang w:eastAsia="lv-LV"/>
              </w:rPr>
              <w:t>III. Tiesību akta projekta ietekme uz valsts budžetu un pašvaldību budžetiem</w:t>
            </w:r>
          </w:p>
        </w:tc>
      </w:tr>
      <w:tr w:rsidR="00064F32" w:rsidRPr="009D1C04" w14:paraId="43E1954D" w14:textId="77777777" w:rsidTr="008E5F54">
        <w:trPr>
          <w:jc w:val="center"/>
        </w:trPr>
        <w:tc>
          <w:tcPr>
            <w:tcW w:w="1696" w:type="dxa"/>
            <w:vMerge w:val="restart"/>
          </w:tcPr>
          <w:p w14:paraId="645FF3DE" w14:textId="77777777" w:rsidR="00064F32" w:rsidRPr="009D1C04" w:rsidRDefault="00064F32" w:rsidP="00BB603C">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Rādītāji</w:t>
            </w:r>
          </w:p>
        </w:tc>
        <w:tc>
          <w:tcPr>
            <w:tcW w:w="2552" w:type="dxa"/>
            <w:gridSpan w:val="2"/>
            <w:vMerge w:val="restart"/>
          </w:tcPr>
          <w:p w14:paraId="501B6809" w14:textId="097DA7C8" w:rsidR="00064F32" w:rsidRPr="009D1C04" w:rsidRDefault="00064F32" w:rsidP="00BA0D84">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20</w:t>
            </w:r>
            <w:r w:rsidRPr="009D1C04">
              <w:rPr>
                <w:rFonts w:ascii="Times New Roman" w:hAnsi="Times New Roman"/>
                <w:sz w:val="24"/>
                <w:szCs w:val="24"/>
                <w:lang w:eastAsia="lv-LV"/>
              </w:rPr>
              <w:t>. gads</w:t>
            </w:r>
          </w:p>
        </w:tc>
        <w:tc>
          <w:tcPr>
            <w:tcW w:w="5253" w:type="dxa"/>
            <w:gridSpan w:val="6"/>
          </w:tcPr>
          <w:p w14:paraId="4672F9AF" w14:textId="77777777"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Turpmākie trīs gadi (</w:t>
            </w:r>
            <w:proofErr w:type="spellStart"/>
            <w:r w:rsidRPr="009D1C04">
              <w:rPr>
                <w:rFonts w:ascii="Times New Roman" w:hAnsi="Times New Roman"/>
                <w:i/>
                <w:iCs/>
                <w:sz w:val="24"/>
                <w:szCs w:val="24"/>
                <w:lang w:eastAsia="lv-LV"/>
              </w:rPr>
              <w:t>euro</w:t>
            </w:r>
            <w:proofErr w:type="spellEnd"/>
            <w:r w:rsidRPr="009D1C04">
              <w:rPr>
                <w:rFonts w:ascii="Times New Roman" w:hAnsi="Times New Roman"/>
                <w:sz w:val="24"/>
                <w:szCs w:val="24"/>
                <w:lang w:eastAsia="lv-LV"/>
              </w:rPr>
              <w:t>)</w:t>
            </w:r>
          </w:p>
        </w:tc>
      </w:tr>
      <w:tr w:rsidR="00064F32" w:rsidRPr="009D1C04" w14:paraId="14B5751D" w14:textId="77777777" w:rsidTr="008E5F54">
        <w:trPr>
          <w:jc w:val="center"/>
        </w:trPr>
        <w:tc>
          <w:tcPr>
            <w:tcW w:w="1696" w:type="dxa"/>
            <w:vMerge/>
          </w:tcPr>
          <w:p w14:paraId="402985F0" w14:textId="77777777" w:rsidR="00064F32" w:rsidRPr="009D1C04" w:rsidRDefault="00064F32" w:rsidP="000044FA">
            <w:pPr>
              <w:pStyle w:val="NoSpacing"/>
              <w:rPr>
                <w:rFonts w:ascii="Times New Roman" w:hAnsi="Times New Roman"/>
                <w:sz w:val="24"/>
                <w:szCs w:val="24"/>
                <w:lang w:eastAsia="lv-LV"/>
              </w:rPr>
            </w:pPr>
          </w:p>
        </w:tc>
        <w:tc>
          <w:tcPr>
            <w:tcW w:w="2552" w:type="dxa"/>
            <w:gridSpan w:val="2"/>
            <w:vMerge/>
          </w:tcPr>
          <w:p w14:paraId="14040F4C" w14:textId="77777777" w:rsidR="00064F32" w:rsidRPr="009D1C04" w:rsidRDefault="00064F32" w:rsidP="000044FA">
            <w:pPr>
              <w:pStyle w:val="NoSpacing"/>
              <w:rPr>
                <w:rFonts w:ascii="Times New Roman" w:hAnsi="Times New Roman"/>
                <w:sz w:val="24"/>
                <w:szCs w:val="24"/>
                <w:lang w:eastAsia="lv-LV"/>
              </w:rPr>
            </w:pPr>
          </w:p>
        </w:tc>
        <w:tc>
          <w:tcPr>
            <w:tcW w:w="1984" w:type="dxa"/>
            <w:gridSpan w:val="2"/>
          </w:tcPr>
          <w:p w14:paraId="7ACB988B" w14:textId="4BA290C7"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21</w:t>
            </w:r>
            <w:r w:rsidRPr="009D1C04">
              <w:rPr>
                <w:rFonts w:ascii="Times New Roman" w:hAnsi="Times New Roman"/>
                <w:sz w:val="24"/>
                <w:szCs w:val="24"/>
                <w:lang w:eastAsia="lv-LV"/>
              </w:rPr>
              <w:t>.gads</w:t>
            </w:r>
          </w:p>
        </w:tc>
        <w:tc>
          <w:tcPr>
            <w:tcW w:w="1985" w:type="dxa"/>
            <w:gridSpan w:val="2"/>
          </w:tcPr>
          <w:p w14:paraId="6FA806B4" w14:textId="094FACED"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2</w:t>
            </w:r>
            <w:r w:rsidRPr="009D1C04">
              <w:rPr>
                <w:rFonts w:ascii="Times New Roman" w:hAnsi="Times New Roman"/>
                <w:sz w:val="24"/>
                <w:szCs w:val="24"/>
                <w:lang w:eastAsia="lv-LV"/>
              </w:rPr>
              <w:t>.gads</w:t>
            </w:r>
          </w:p>
        </w:tc>
        <w:tc>
          <w:tcPr>
            <w:tcW w:w="1284" w:type="dxa"/>
            <w:gridSpan w:val="2"/>
          </w:tcPr>
          <w:p w14:paraId="1C160B1F" w14:textId="68F2BC22"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3</w:t>
            </w:r>
            <w:r w:rsidRPr="009D1C04">
              <w:rPr>
                <w:rFonts w:ascii="Times New Roman" w:hAnsi="Times New Roman"/>
                <w:sz w:val="24"/>
                <w:szCs w:val="24"/>
                <w:lang w:eastAsia="lv-LV"/>
              </w:rPr>
              <w:t>.gads</w:t>
            </w:r>
          </w:p>
        </w:tc>
      </w:tr>
      <w:tr w:rsidR="00064F32" w:rsidRPr="009D1C04" w14:paraId="07327E53" w14:textId="77777777" w:rsidTr="008E5F54">
        <w:trPr>
          <w:gridAfter w:val="1"/>
          <w:wAfter w:w="8" w:type="dxa"/>
          <w:jc w:val="center"/>
        </w:trPr>
        <w:tc>
          <w:tcPr>
            <w:tcW w:w="1696" w:type="dxa"/>
            <w:vMerge/>
          </w:tcPr>
          <w:p w14:paraId="105A8CA4" w14:textId="77777777" w:rsidR="00064F32" w:rsidRPr="009D1C04" w:rsidRDefault="00064F32" w:rsidP="000044FA">
            <w:pPr>
              <w:pStyle w:val="NoSpacing"/>
              <w:rPr>
                <w:rFonts w:ascii="Times New Roman" w:hAnsi="Times New Roman"/>
                <w:sz w:val="24"/>
                <w:szCs w:val="24"/>
                <w:lang w:eastAsia="lv-LV"/>
              </w:rPr>
            </w:pPr>
          </w:p>
        </w:tc>
        <w:tc>
          <w:tcPr>
            <w:tcW w:w="1276" w:type="dxa"/>
          </w:tcPr>
          <w:p w14:paraId="7CD21E68" w14:textId="64F19FBC"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valsts budžetu kārtējam gadam</w:t>
            </w:r>
            <w:r w:rsidR="00147C52">
              <w:rPr>
                <w:rFonts w:ascii="Times New Roman" w:hAnsi="Times New Roman"/>
                <w:sz w:val="20"/>
                <w:szCs w:val="20"/>
                <w:lang w:eastAsia="lv-LV"/>
              </w:rPr>
              <w:t>*</w:t>
            </w:r>
          </w:p>
        </w:tc>
        <w:tc>
          <w:tcPr>
            <w:tcW w:w="1276" w:type="dxa"/>
          </w:tcPr>
          <w:p w14:paraId="23E569C7"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kārtējā gadā, salīdzinot ar valsts budžetu kārtējam gadam</w:t>
            </w:r>
          </w:p>
        </w:tc>
        <w:tc>
          <w:tcPr>
            <w:tcW w:w="992" w:type="dxa"/>
          </w:tcPr>
          <w:p w14:paraId="3317C3A5"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992" w:type="dxa"/>
          </w:tcPr>
          <w:p w14:paraId="31B96E4E" w14:textId="650A2A5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w:t>
            </w:r>
            <w:r w:rsidR="003C7722" w:rsidRPr="00CA40C3">
              <w:rPr>
                <w:rFonts w:ascii="Times New Roman" w:hAnsi="Times New Roman"/>
                <w:sz w:val="20"/>
                <w:szCs w:val="20"/>
                <w:lang w:eastAsia="lv-LV"/>
              </w:rPr>
              <w:t>21</w:t>
            </w:r>
            <w:r w:rsidRPr="00CA40C3">
              <w:rPr>
                <w:rFonts w:ascii="Times New Roman" w:hAnsi="Times New Roman"/>
                <w:sz w:val="20"/>
                <w:szCs w:val="20"/>
                <w:lang w:eastAsia="lv-LV"/>
              </w:rPr>
              <w:t>. gadam</w:t>
            </w:r>
          </w:p>
        </w:tc>
        <w:tc>
          <w:tcPr>
            <w:tcW w:w="993" w:type="dxa"/>
          </w:tcPr>
          <w:p w14:paraId="31C96640" w14:textId="77777777" w:rsidR="00064F32" w:rsidRPr="00CA40C3" w:rsidRDefault="00064F32" w:rsidP="00133B7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992" w:type="dxa"/>
          </w:tcPr>
          <w:p w14:paraId="16647CC5" w14:textId="31BDECEA" w:rsidR="00064F32" w:rsidRPr="00CA40C3" w:rsidRDefault="00064F32" w:rsidP="00133B7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 gadam</w:t>
            </w:r>
          </w:p>
        </w:tc>
        <w:tc>
          <w:tcPr>
            <w:tcW w:w="1276" w:type="dxa"/>
          </w:tcPr>
          <w:p w14:paraId="28134B0A" w14:textId="421A18ED"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 gadam</w:t>
            </w:r>
          </w:p>
        </w:tc>
      </w:tr>
      <w:tr w:rsidR="00064F32" w:rsidRPr="009D1C04" w14:paraId="35F42E0B" w14:textId="77777777" w:rsidTr="008E5F54">
        <w:trPr>
          <w:gridAfter w:val="1"/>
          <w:wAfter w:w="8" w:type="dxa"/>
          <w:trHeight w:val="152"/>
          <w:jc w:val="center"/>
        </w:trPr>
        <w:tc>
          <w:tcPr>
            <w:tcW w:w="1696" w:type="dxa"/>
            <w:vAlign w:val="center"/>
          </w:tcPr>
          <w:p w14:paraId="3724F8C4"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1</w:t>
            </w:r>
          </w:p>
        </w:tc>
        <w:tc>
          <w:tcPr>
            <w:tcW w:w="1276" w:type="dxa"/>
            <w:vAlign w:val="center"/>
          </w:tcPr>
          <w:p w14:paraId="20683D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w:t>
            </w:r>
          </w:p>
        </w:tc>
        <w:tc>
          <w:tcPr>
            <w:tcW w:w="1276" w:type="dxa"/>
            <w:vAlign w:val="center"/>
          </w:tcPr>
          <w:p w14:paraId="59FA6732"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3</w:t>
            </w:r>
          </w:p>
        </w:tc>
        <w:tc>
          <w:tcPr>
            <w:tcW w:w="992" w:type="dxa"/>
            <w:vAlign w:val="center"/>
          </w:tcPr>
          <w:p w14:paraId="7655DCB3"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4</w:t>
            </w:r>
          </w:p>
        </w:tc>
        <w:tc>
          <w:tcPr>
            <w:tcW w:w="992" w:type="dxa"/>
            <w:vAlign w:val="center"/>
          </w:tcPr>
          <w:p w14:paraId="5700C2AD"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5</w:t>
            </w:r>
          </w:p>
        </w:tc>
        <w:tc>
          <w:tcPr>
            <w:tcW w:w="993" w:type="dxa"/>
            <w:vAlign w:val="center"/>
          </w:tcPr>
          <w:p w14:paraId="5339463B"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6</w:t>
            </w:r>
          </w:p>
        </w:tc>
        <w:tc>
          <w:tcPr>
            <w:tcW w:w="992" w:type="dxa"/>
            <w:vAlign w:val="center"/>
          </w:tcPr>
          <w:p w14:paraId="574828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7</w:t>
            </w:r>
          </w:p>
        </w:tc>
        <w:tc>
          <w:tcPr>
            <w:tcW w:w="1276" w:type="dxa"/>
            <w:vAlign w:val="center"/>
          </w:tcPr>
          <w:p w14:paraId="0634E2F9"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8</w:t>
            </w:r>
          </w:p>
        </w:tc>
      </w:tr>
      <w:tr w:rsidR="008E5F54" w:rsidRPr="009D1C04" w14:paraId="09349498" w14:textId="77777777" w:rsidTr="008E5F54">
        <w:trPr>
          <w:gridAfter w:val="1"/>
          <w:wAfter w:w="8" w:type="dxa"/>
          <w:jc w:val="center"/>
        </w:trPr>
        <w:tc>
          <w:tcPr>
            <w:tcW w:w="1696" w:type="dxa"/>
          </w:tcPr>
          <w:p w14:paraId="73972FB0" w14:textId="77777777" w:rsidR="008E5F54" w:rsidRPr="009D1C04" w:rsidRDefault="008E5F54" w:rsidP="008E5F54">
            <w:pPr>
              <w:pStyle w:val="NoSpacing"/>
              <w:rPr>
                <w:rFonts w:ascii="Times New Roman" w:hAnsi="Times New Roman"/>
                <w:sz w:val="24"/>
                <w:szCs w:val="24"/>
                <w:lang w:eastAsia="lv-LV"/>
              </w:rPr>
            </w:pPr>
            <w:r w:rsidRPr="009D1C04">
              <w:rPr>
                <w:rFonts w:ascii="Times New Roman" w:hAnsi="Times New Roman"/>
                <w:sz w:val="24"/>
                <w:szCs w:val="24"/>
                <w:lang w:eastAsia="lv-LV"/>
              </w:rPr>
              <w:t>1. Budžeta ieņēmumi</w:t>
            </w:r>
          </w:p>
        </w:tc>
        <w:tc>
          <w:tcPr>
            <w:tcW w:w="1276" w:type="dxa"/>
          </w:tcPr>
          <w:p w14:paraId="0A0D6F06" w14:textId="5C4DF224" w:rsidR="008E5F54" w:rsidRPr="00D74838" w:rsidRDefault="008E5F54" w:rsidP="008E5F54">
            <w:pPr>
              <w:pStyle w:val="NoSpacing"/>
              <w:ind w:left="-253"/>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1276" w:type="dxa"/>
          </w:tcPr>
          <w:p w14:paraId="4068E4DD" w14:textId="77777777"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1320C828"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6BAB6026"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289485CC"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64DD9D7A"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4EF3E45"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8E5F54" w:rsidRPr="009D1C04" w14:paraId="0AD26997" w14:textId="77777777" w:rsidTr="008E5F54">
        <w:trPr>
          <w:gridAfter w:val="1"/>
          <w:wAfter w:w="8" w:type="dxa"/>
          <w:jc w:val="center"/>
        </w:trPr>
        <w:tc>
          <w:tcPr>
            <w:tcW w:w="1696" w:type="dxa"/>
          </w:tcPr>
          <w:p w14:paraId="41352F2F" w14:textId="4D58399D" w:rsidR="008E5F54" w:rsidRPr="009D1C04" w:rsidRDefault="008E5F54" w:rsidP="008E5F54">
            <w:pPr>
              <w:pStyle w:val="NoSpacing"/>
              <w:rPr>
                <w:rFonts w:ascii="Times New Roman" w:hAnsi="Times New Roman"/>
                <w:sz w:val="24"/>
                <w:szCs w:val="24"/>
                <w:lang w:eastAsia="lv-LV"/>
              </w:rPr>
            </w:pPr>
            <w:r w:rsidRPr="009D1C04">
              <w:rPr>
                <w:rFonts w:ascii="Times New Roman" w:hAnsi="Times New Roman"/>
                <w:sz w:val="24"/>
                <w:szCs w:val="24"/>
                <w:lang w:eastAsia="lv-LV"/>
              </w:rPr>
              <w:t>1.1. valsts pamatbudžets, tai skaitā ieņēmumi no maksas pakalpojumiem un citi pašu ieņēmumi</w:t>
            </w:r>
            <w:r>
              <w:rPr>
                <w:rFonts w:ascii="Times New Roman" w:hAnsi="Times New Roman"/>
                <w:sz w:val="24"/>
                <w:szCs w:val="24"/>
                <w:lang w:eastAsia="lv-LV"/>
              </w:rPr>
              <w:t xml:space="preserve"> (neto)</w:t>
            </w:r>
          </w:p>
        </w:tc>
        <w:tc>
          <w:tcPr>
            <w:tcW w:w="1276" w:type="dxa"/>
          </w:tcPr>
          <w:p w14:paraId="305FFF1C" w14:textId="386316BC" w:rsidR="008E5F54" w:rsidRPr="00D74838" w:rsidRDefault="008E5F54" w:rsidP="008E5F54">
            <w:pPr>
              <w:pStyle w:val="NoSpacing"/>
              <w:ind w:left="-253"/>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1276" w:type="dxa"/>
          </w:tcPr>
          <w:p w14:paraId="6DCA9143" w14:textId="77777777"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0F33AB1B"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C37F6B6"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1A007E09"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FEFD18C"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E46BD21"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8E5F54" w:rsidRPr="009D1C04" w14:paraId="419170E1" w14:textId="77777777" w:rsidTr="008E5F54">
        <w:trPr>
          <w:gridAfter w:val="1"/>
          <w:wAfter w:w="8" w:type="dxa"/>
          <w:jc w:val="center"/>
        </w:trPr>
        <w:tc>
          <w:tcPr>
            <w:tcW w:w="1696" w:type="dxa"/>
          </w:tcPr>
          <w:p w14:paraId="45298E16" w14:textId="2C1BDB1B" w:rsidR="008E5F54" w:rsidRPr="009D1C04" w:rsidRDefault="008E5F54" w:rsidP="008E5F54">
            <w:pPr>
              <w:pStyle w:val="NoSpacing"/>
              <w:rPr>
                <w:rFonts w:ascii="Times New Roman" w:hAnsi="Times New Roman"/>
                <w:sz w:val="24"/>
                <w:szCs w:val="24"/>
                <w:lang w:eastAsia="lv-LV"/>
              </w:rPr>
            </w:pPr>
            <w:r w:rsidRPr="009D1C04">
              <w:rPr>
                <w:rFonts w:ascii="Times New Roman" w:hAnsi="Times New Roman"/>
                <w:sz w:val="24"/>
                <w:szCs w:val="24"/>
                <w:lang w:eastAsia="lv-LV"/>
              </w:rPr>
              <w:t>1.2. valsts speciālais budžets</w:t>
            </w:r>
            <w:r>
              <w:rPr>
                <w:rFonts w:ascii="Times New Roman" w:hAnsi="Times New Roman"/>
                <w:sz w:val="24"/>
                <w:szCs w:val="24"/>
                <w:lang w:eastAsia="lv-LV"/>
              </w:rPr>
              <w:t xml:space="preserve"> (neto)</w:t>
            </w:r>
          </w:p>
        </w:tc>
        <w:tc>
          <w:tcPr>
            <w:tcW w:w="1276" w:type="dxa"/>
          </w:tcPr>
          <w:p w14:paraId="663CBFBA" w14:textId="6543D744" w:rsidR="008E5F54" w:rsidRPr="00D74838" w:rsidRDefault="008E5F54" w:rsidP="008E5F54">
            <w:pPr>
              <w:pStyle w:val="NoSpacing"/>
              <w:ind w:left="-253"/>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1276" w:type="dxa"/>
          </w:tcPr>
          <w:p w14:paraId="43942553" w14:textId="77777777"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2568CA6E"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02A994E"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3D4819C8"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211DC56"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23E7814"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8E5F54" w:rsidRPr="009D1C04" w14:paraId="5520316F" w14:textId="77777777" w:rsidTr="008E5F54">
        <w:trPr>
          <w:gridAfter w:val="1"/>
          <w:wAfter w:w="8" w:type="dxa"/>
          <w:jc w:val="center"/>
        </w:trPr>
        <w:tc>
          <w:tcPr>
            <w:tcW w:w="1696" w:type="dxa"/>
          </w:tcPr>
          <w:p w14:paraId="03A44ADF" w14:textId="77777777" w:rsidR="008E5F54" w:rsidRPr="009D1C04" w:rsidRDefault="008E5F54" w:rsidP="008E5F54">
            <w:pPr>
              <w:pStyle w:val="NoSpacing"/>
              <w:rPr>
                <w:rFonts w:ascii="Times New Roman" w:hAnsi="Times New Roman"/>
                <w:sz w:val="24"/>
                <w:szCs w:val="24"/>
                <w:lang w:eastAsia="lv-LV"/>
              </w:rPr>
            </w:pPr>
            <w:r w:rsidRPr="009D1C04">
              <w:rPr>
                <w:rFonts w:ascii="Times New Roman" w:hAnsi="Times New Roman"/>
                <w:sz w:val="24"/>
                <w:szCs w:val="24"/>
                <w:lang w:eastAsia="lv-LV"/>
              </w:rPr>
              <w:t>1.3. pašvaldību budžets</w:t>
            </w:r>
          </w:p>
        </w:tc>
        <w:tc>
          <w:tcPr>
            <w:tcW w:w="1276" w:type="dxa"/>
          </w:tcPr>
          <w:p w14:paraId="50D90C66" w14:textId="62D7EAAE" w:rsidR="008E5F54" w:rsidRPr="00D74838" w:rsidRDefault="008E5F54" w:rsidP="008E5F54">
            <w:pPr>
              <w:pStyle w:val="NoSpacing"/>
              <w:ind w:left="-253"/>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1276" w:type="dxa"/>
          </w:tcPr>
          <w:p w14:paraId="31BD9885" w14:textId="77777777"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5190FCA2"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238B648"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14B5C36C"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C16C2DB"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03DFD03"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8E5F54" w:rsidRPr="009D1C04" w14:paraId="1C449863" w14:textId="77777777" w:rsidTr="008E5F54">
        <w:trPr>
          <w:gridAfter w:val="1"/>
          <w:wAfter w:w="8" w:type="dxa"/>
          <w:jc w:val="center"/>
        </w:trPr>
        <w:tc>
          <w:tcPr>
            <w:tcW w:w="1696" w:type="dxa"/>
          </w:tcPr>
          <w:p w14:paraId="4F1544E4" w14:textId="77777777" w:rsidR="008E5F54" w:rsidRPr="009D1C04" w:rsidRDefault="008E5F54" w:rsidP="008E5F54">
            <w:pPr>
              <w:pStyle w:val="NoSpacing"/>
              <w:rPr>
                <w:rFonts w:ascii="Times New Roman" w:hAnsi="Times New Roman"/>
                <w:sz w:val="24"/>
                <w:szCs w:val="24"/>
                <w:lang w:eastAsia="lv-LV"/>
              </w:rPr>
            </w:pPr>
            <w:r w:rsidRPr="009D1C04">
              <w:rPr>
                <w:rFonts w:ascii="Times New Roman" w:hAnsi="Times New Roman"/>
                <w:sz w:val="24"/>
                <w:szCs w:val="24"/>
                <w:lang w:eastAsia="lv-LV"/>
              </w:rPr>
              <w:lastRenderedPageBreak/>
              <w:t>2. Budžeta izdevumi</w:t>
            </w:r>
          </w:p>
        </w:tc>
        <w:tc>
          <w:tcPr>
            <w:tcW w:w="1276" w:type="dxa"/>
          </w:tcPr>
          <w:p w14:paraId="7E00C94C" w14:textId="58E314CF" w:rsidR="008E5F54" w:rsidRPr="00D74838" w:rsidRDefault="008E5F54" w:rsidP="008E5F54">
            <w:pPr>
              <w:pStyle w:val="NoSpacing"/>
              <w:ind w:left="-253"/>
              <w:jc w:val="right"/>
              <w:rPr>
                <w:rFonts w:ascii="Times New Roman" w:hAnsi="Times New Roman"/>
                <w:sz w:val="20"/>
                <w:szCs w:val="20"/>
                <w:lang w:eastAsia="lv-LV"/>
              </w:rPr>
            </w:pPr>
            <w:r w:rsidRPr="00D74838">
              <w:rPr>
                <w:rFonts w:ascii="Times New Roman" w:hAnsi="Times New Roman"/>
                <w:b/>
                <w:sz w:val="20"/>
                <w:szCs w:val="20"/>
              </w:rPr>
              <w:t>0</w:t>
            </w:r>
          </w:p>
        </w:tc>
        <w:tc>
          <w:tcPr>
            <w:tcW w:w="1276" w:type="dxa"/>
          </w:tcPr>
          <w:p w14:paraId="7F376D14" w14:textId="77777777" w:rsidR="008E5F54" w:rsidRPr="00D74838" w:rsidRDefault="008E5F54" w:rsidP="008E5F54">
            <w:pPr>
              <w:pStyle w:val="NoSpacing"/>
              <w:jc w:val="right"/>
              <w:rPr>
                <w:rFonts w:ascii="Times New Roman" w:hAnsi="Times New Roman"/>
                <w:b/>
                <w:sz w:val="20"/>
                <w:szCs w:val="20"/>
                <w:lang w:eastAsia="lv-LV"/>
              </w:rPr>
            </w:pPr>
            <w:r w:rsidRPr="00D74838">
              <w:rPr>
                <w:rFonts w:ascii="Times New Roman" w:hAnsi="Times New Roman"/>
                <w:b/>
                <w:sz w:val="20"/>
                <w:szCs w:val="20"/>
              </w:rPr>
              <w:t>0</w:t>
            </w:r>
          </w:p>
        </w:tc>
        <w:tc>
          <w:tcPr>
            <w:tcW w:w="992" w:type="dxa"/>
          </w:tcPr>
          <w:p w14:paraId="0C609DDE"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7194FC07"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7B958316"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31D2EE96"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417B342"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8E5F54" w:rsidRPr="009D1C04" w14:paraId="68696F6A" w14:textId="77777777" w:rsidTr="008E5F54">
        <w:trPr>
          <w:gridAfter w:val="1"/>
          <w:wAfter w:w="8" w:type="dxa"/>
          <w:jc w:val="center"/>
        </w:trPr>
        <w:tc>
          <w:tcPr>
            <w:tcW w:w="1696" w:type="dxa"/>
          </w:tcPr>
          <w:p w14:paraId="0E96C44B" w14:textId="2D3DC9FD" w:rsidR="008E5F54" w:rsidRPr="009D1C04" w:rsidRDefault="008E5F54" w:rsidP="008E5F54">
            <w:pPr>
              <w:pStyle w:val="NoSpacing"/>
              <w:rPr>
                <w:rFonts w:ascii="Times New Roman" w:hAnsi="Times New Roman"/>
                <w:sz w:val="24"/>
                <w:szCs w:val="24"/>
                <w:lang w:eastAsia="lv-LV"/>
              </w:rPr>
            </w:pPr>
            <w:r w:rsidRPr="009D1C04">
              <w:rPr>
                <w:rFonts w:ascii="Times New Roman" w:hAnsi="Times New Roman"/>
                <w:sz w:val="24"/>
                <w:szCs w:val="24"/>
                <w:lang w:eastAsia="lv-LV"/>
              </w:rPr>
              <w:t>2.1. valsts pamatbudžets</w:t>
            </w:r>
            <w:r>
              <w:rPr>
                <w:rFonts w:ascii="Times New Roman" w:hAnsi="Times New Roman"/>
                <w:sz w:val="24"/>
                <w:szCs w:val="24"/>
                <w:lang w:eastAsia="lv-LV"/>
              </w:rPr>
              <w:t xml:space="preserve"> (neto)</w:t>
            </w:r>
          </w:p>
        </w:tc>
        <w:tc>
          <w:tcPr>
            <w:tcW w:w="1276" w:type="dxa"/>
          </w:tcPr>
          <w:p w14:paraId="48F518CF" w14:textId="583B52E9" w:rsidR="008E5F54" w:rsidRPr="00D74838" w:rsidRDefault="008E5F54" w:rsidP="008E5F54">
            <w:pPr>
              <w:pStyle w:val="NoSpacing"/>
              <w:ind w:left="-253"/>
              <w:jc w:val="right"/>
              <w:rPr>
                <w:rFonts w:ascii="Times New Roman" w:hAnsi="Times New Roman"/>
                <w:sz w:val="20"/>
                <w:szCs w:val="20"/>
                <w:lang w:eastAsia="lv-LV"/>
              </w:rPr>
            </w:pPr>
            <w:r w:rsidRPr="00D74838">
              <w:rPr>
                <w:rFonts w:ascii="Times New Roman" w:hAnsi="Times New Roman"/>
                <w:b/>
                <w:sz w:val="20"/>
                <w:szCs w:val="20"/>
              </w:rPr>
              <w:t>0</w:t>
            </w:r>
          </w:p>
        </w:tc>
        <w:tc>
          <w:tcPr>
            <w:tcW w:w="1276" w:type="dxa"/>
          </w:tcPr>
          <w:p w14:paraId="7DC59370" w14:textId="77777777"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b/>
                <w:sz w:val="20"/>
                <w:szCs w:val="20"/>
              </w:rPr>
              <w:t>0</w:t>
            </w:r>
          </w:p>
        </w:tc>
        <w:tc>
          <w:tcPr>
            <w:tcW w:w="992" w:type="dxa"/>
          </w:tcPr>
          <w:p w14:paraId="1FB63284"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BBCAB20"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7FFDB4CD"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30E15EE"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E6C363D"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3E3BD5" w:rsidRPr="009D1C04" w14:paraId="3DBF9203" w14:textId="77777777" w:rsidTr="008E5F54">
        <w:trPr>
          <w:gridAfter w:val="1"/>
          <w:wAfter w:w="8" w:type="dxa"/>
          <w:jc w:val="center"/>
        </w:trPr>
        <w:tc>
          <w:tcPr>
            <w:tcW w:w="1696" w:type="dxa"/>
            <w:tcBorders>
              <w:bottom w:val="single" w:sz="4" w:space="0" w:color="auto"/>
            </w:tcBorders>
          </w:tcPr>
          <w:p w14:paraId="2FE42A9F" w14:textId="77777777" w:rsidR="003E3BD5" w:rsidRPr="00B65ECC" w:rsidRDefault="003E3BD5" w:rsidP="003E3BD5">
            <w:pPr>
              <w:pStyle w:val="NoSpacing"/>
              <w:jc w:val="right"/>
              <w:rPr>
                <w:rFonts w:ascii="Times New Roman" w:hAnsi="Times New Roman"/>
                <w:i/>
                <w:sz w:val="18"/>
                <w:szCs w:val="18"/>
                <w:lang w:eastAsia="lv-LV"/>
              </w:rPr>
            </w:pPr>
            <w:r w:rsidRPr="00B65ECC">
              <w:rPr>
                <w:rFonts w:ascii="Times New Roman" w:hAnsi="Times New Roman"/>
                <w:i/>
                <w:sz w:val="18"/>
                <w:szCs w:val="18"/>
                <w:lang w:eastAsia="lv-LV"/>
              </w:rPr>
              <w:t>tajā skaitā</w:t>
            </w:r>
          </w:p>
        </w:tc>
        <w:tc>
          <w:tcPr>
            <w:tcW w:w="1276" w:type="dxa"/>
          </w:tcPr>
          <w:p w14:paraId="5F43EBED" w14:textId="77777777" w:rsidR="003E3BD5" w:rsidRPr="00D74838" w:rsidRDefault="003E3BD5" w:rsidP="00962079">
            <w:pPr>
              <w:pStyle w:val="NoSpacing"/>
              <w:ind w:left="-253"/>
              <w:jc w:val="right"/>
              <w:rPr>
                <w:rFonts w:ascii="Times New Roman" w:hAnsi="Times New Roman"/>
                <w:sz w:val="20"/>
                <w:szCs w:val="20"/>
                <w:lang w:eastAsia="lv-LV"/>
              </w:rPr>
            </w:pPr>
          </w:p>
        </w:tc>
        <w:tc>
          <w:tcPr>
            <w:tcW w:w="1276" w:type="dxa"/>
          </w:tcPr>
          <w:p w14:paraId="4BBEDEF4" w14:textId="77777777" w:rsidR="003E3BD5" w:rsidRPr="00D74838" w:rsidRDefault="003E3BD5" w:rsidP="000044FA">
            <w:pPr>
              <w:pStyle w:val="NoSpacing"/>
              <w:jc w:val="right"/>
              <w:rPr>
                <w:rFonts w:ascii="Times New Roman" w:hAnsi="Times New Roman"/>
                <w:b/>
                <w:sz w:val="20"/>
                <w:szCs w:val="20"/>
              </w:rPr>
            </w:pPr>
          </w:p>
        </w:tc>
        <w:tc>
          <w:tcPr>
            <w:tcW w:w="992" w:type="dxa"/>
          </w:tcPr>
          <w:p w14:paraId="747C1A24" w14:textId="77777777" w:rsidR="003E3BD5" w:rsidRPr="009D1C04" w:rsidRDefault="003E3BD5" w:rsidP="000044FA">
            <w:pPr>
              <w:pStyle w:val="NoSpacing"/>
              <w:jc w:val="right"/>
              <w:rPr>
                <w:rFonts w:ascii="Times New Roman" w:hAnsi="Times New Roman"/>
                <w:sz w:val="24"/>
                <w:szCs w:val="24"/>
                <w:lang w:eastAsia="lv-LV"/>
              </w:rPr>
            </w:pPr>
          </w:p>
        </w:tc>
        <w:tc>
          <w:tcPr>
            <w:tcW w:w="992" w:type="dxa"/>
          </w:tcPr>
          <w:p w14:paraId="5803DFAC" w14:textId="77777777" w:rsidR="003E3BD5" w:rsidRPr="009D1C04" w:rsidRDefault="003E3BD5" w:rsidP="000044FA">
            <w:pPr>
              <w:pStyle w:val="NoSpacing"/>
              <w:jc w:val="right"/>
              <w:rPr>
                <w:rFonts w:ascii="Times New Roman" w:hAnsi="Times New Roman"/>
                <w:sz w:val="24"/>
                <w:szCs w:val="24"/>
                <w:lang w:eastAsia="lv-LV"/>
              </w:rPr>
            </w:pPr>
          </w:p>
        </w:tc>
        <w:tc>
          <w:tcPr>
            <w:tcW w:w="993" w:type="dxa"/>
          </w:tcPr>
          <w:p w14:paraId="27A8A86C" w14:textId="77777777" w:rsidR="003E3BD5" w:rsidRPr="009D1C04" w:rsidRDefault="003E3BD5" w:rsidP="000044FA">
            <w:pPr>
              <w:pStyle w:val="NoSpacing"/>
              <w:jc w:val="right"/>
              <w:rPr>
                <w:rFonts w:ascii="Times New Roman" w:hAnsi="Times New Roman"/>
                <w:sz w:val="24"/>
                <w:szCs w:val="24"/>
                <w:lang w:eastAsia="lv-LV"/>
              </w:rPr>
            </w:pPr>
          </w:p>
        </w:tc>
        <w:tc>
          <w:tcPr>
            <w:tcW w:w="992" w:type="dxa"/>
          </w:tcPr>
          <w:p w14:paraId="0C51F009" w14:textId="77777777" w:rsidR="003E3BD5" w:rsidRPr="009D1C04" w:rsidRDefault="003E3BD5" w:rsidP="000044FA">
            <w:pPr>
              <w:pStyle w:val="NoSpacing"/>
              <w:jc w:val="right"/>
              <w:rPr>
                <w:rFonts w:ascii="Times New Roman" w:hAnsi="Times New Roman"/>
                <w:sz w:val="24"/>
                <w:szCs w:val="24"/>
                <w:lang w:eastAsia="lv-LV"/>
              </w:rPr>
            </w:pPr>
          </w:p>
        </w:tc>
        <w:tc>
          <w:tcPr>
            <w:tcW w:w="1276" w:type="dxa"/>
          </w:tcPr>
          <w:p w14:paraId="3E72309B" w14:textId="77777777" w:rsidR="003E3BD5" w:rsidRPr="009D1C04" w:rsidRDefault="003E3BD5" w:rsidP="000044FA">
            <w:pPr>
              <w:pStyle w:val="NoSpacing"/>
              <w:jc w:val="right"/>
              <w:rPr>
                <w:rFonts w:ascii="Times New Roman" w:hAnsi="Times New Roman"/>
                <w:sz w:val="24"/>
                <w:szCs w:val="24"/>
                <w:lang w:eastAsia="lv-LV"/>
              </w:rPr>
            </w:pPr>
          </w:p>
        </w:tc>
      </w:tr>
      <w:tr w:rsidR="008E5F54" w:rsidRPr="009D1C04" w14:paraId="366A92D9" w14:textId="77777777" w:rsidTr="00F74531">
        <w:trPr>
          <w:gridAfter w:val="1"/>
          <w:wAfter w:w="8" w:type="dxa"/>
          <w:jc w:val="center"/>
        </w:trPr>
        <w:tc>
          <w:tcPr>
            <w:tcW w:w="1696" w:type="dxa"/>
            <w:tcBorders>
              <w:bottom w:val="single" w:sz="4" w:space="0" w:color="auto"/>
            </w:tcBorders>
            <w:vAlign w:val="bottom"/>
          </w:tcPr>
          <w:p w14:paraId="22E3F786" w14:textId="353C0D33" w:rsidR="008E5F54" w:rsidRPr="003E6601" w:rsidRDefault="008E5F54" w:rsidP="008E5F54">
            <w:pPr>
              <w:pStyle w:val="NoSpacing"/>
              <w:rPr>
                <w:rFonts w:ascii="Times New Roman" w:hAnsi="Times New Roman"/>
                <w:i/>
                <w:sz w:val="24"/>
                <w:szCs w:val="24"/>
                <w:highlight w:val="yellow"/>
                <w:lang w:eastAsia="lv-LV"/>
              </w:rPr>
            </w:pPr>
            <w:r w:rsidRPr="003E6601">
              <w:rPr>
                <w:rFonts w:ascii="Times New Roman" w:hAnsi="Times New Roman"/>
                <w:color w:val="000000"/>
                <w:sz w:val="24"/>
                <w:szCs w:val="24"/>
              </w:rPr>
              <w:t>02. Saeima</w:t>
            </w:r>
          </w:p>
        </w:tc>
        <w:tc>
          <w:tcPr>
            <w:tcW w:w="1276" w:type="dxa"/>
          </w:tcPr>
          <w:p w14:paraId="1E9B997D" w14:textId="09B965B9" w:rsidR="008E5F54" w:rsidRPr="008E5F54" w:rsidRDefault="008E5F54" w:rsidP="008E5F54">
            <w:pPr>
              <w:pStyle w:val="NoSpacing"/>
              <w:ind w:left="-253"/>
              <w:jc w:val="right"/>
              <w:rPr>
                <w:rFonts w:ascii="Times New Roman" w:hAnsi="Times New Roman"/>
                <w:sz w:val="20"/>
                <w:szCs w:val="20"/>
                <w:lang w:eastAsia="lv-LV"/>
              </w:rPr>
            </w:pPr>
            <w:r w:rsidRPr="008E5F54">
              <w:rPr>
                <w:rFonts w:ascii="Times New Roman" w:hAnsi="Times New Roman"/>
                <w:sz w:val="20"/>
                <w:szCs w:val="20"/>
                <w:lang w:eastAsia="lv-LV"/>
              </w:rPr>
              <w:t>26 075 808</w:t>
            </w:r>
          </w:p>
        </w:tc>
        <w:tc>
          <w:tcPr>
            <w:tcW w:w="1276" w:type="dxa"/>
          </w:tcPr>
          <w:p w14:paraId="525C00AA" w14:textId="103F4671" w:rsidR="008E5F54" w:rsidRPr="00D74838" w:rsidRDefault="008E5F54" w:rsidP="008E5F54">
            <w:pPr>
              <w:pStyle w:val="NoSpacing"/>
              <w:jc w:val="right"/>
              <w:rPr>
                <w:rFonts w:ascii="Times New Roman" w:hAnsi="Times New Roman"/>
                <w:b/>
                <w:i/>
                <w:sz w:val="20"/>
                <w:szCs w:val="20"/>
                <w:highlight w:val="yellow"/>
              </w:rPr>
            </w:pPr>
            <w:r>
              <w:rPr>
                <w:rFonts w:ascii="Times New Roman" w:hAnsi="Times New Roman"/>
                <w:sz w:val="20"/>
                <w:szCs w:val="20"/>
                <w:lang w:eastAsia="lv-LV"/>
              </w:rPr>
              <w:t>-2 610 000</w:t>
            </w:r>
          </w:p>
        </w:tc>
        <w:tc>
          <w:tcPr>
            <w:tcW w:w="992" w:type="dxa"/>
          </w:tcPr>
          <w:p w14:paraId="2E9252B3" w14:textId="77777777" w:rsidR="008E5F54" w:rsidRPr="009D1C04" w:rsidRDefault="008E5F54" w:rsidP="008E5F54">
            <w:pPr>
              <w:pStyle w:val="NoSpacing"/>
              <w:jc w:val="right"/>
              <w:rPr>
                <w:rFonts w:ascii="Times New Roman" w:hAnsi="Times New Roman"/>
                <w:sz w:val="24"/>
                <w:szCs w:val="24"/>
                <w:lang w:eastAsia="lv-LV"/>
              </w:rPr>
            </w:pPr>
          </w:p>
        </w:tc>
        <w:tc>
          <w:tcPr>
            <w:tcW w:w="992" w:type="dxa"/>
          </w:tcPr>
          <w:p w14:paraId="3E7B67CE" w14:textId="77777777" w:rsidR="008E5F54" w:rsidRPr="009D1C04" w:rsidRDefault="008E5F54" w:rsidP="008E5F54">
            <w:pPr>
              <w:pStyle w:val="NoSpacing"/>
              <w:jc w:val="right"/>
              <w:rPr>
                <w:rFonts w:ascii="Times New Roman" w:hAnsi="Times New Roman"/>
                <w:sz w:val="24"/>
                <w:szCs w:val="24"/>
                <w:lang w:eastAsia="lv-LV"/>
              </w:rPr>
            </w:pPr>
          </w:p>
        </w:tc>
        <w:tc>
          <w:tcPr>
            <w:tcW w:w="993" w:type="dxa"/>
          </w:tcPr>
          <w:p w14:paraId="1F4A2E51" w14:textId="77777777" w:rsidR="008E5F54" w:rsidRPr="009D1C04" w:rsidRDefault="008E5F54" w:rsidP="008E5F54">
            <w:pPr>
              <w:pStyle w:val="NoSpacing"/>
              <w:jc w:val="right"/>
              <w:rPr>
                <w:rFonts w:ascii="Times New Roman" w:hAnsi="Times New Roman"/>
                <w:sz w:val="24"/>
                <w:szCs w:val="24"/>
                <w:lang w:eastAsia="lv-LV"/>
              </w:rPr>
            </w:pPr>
          </w:p>
        </w:tc>
        <w:tc>
          <w:tcPr>
            <w:tcW w:w="992" w:type="dxa"/>
          </w:tcPr>
          <w:p w14:paraId="7BDFA327" w14:textId="77777777" w:rsidR="008E5F54" w:rsidRPr="009D1C04" w:rsidRDefault="008E5F54" w:rsidP="008E5F54">
            <w:pPr>
              <w:pStyle w:val="NoSpacing"/>
              <w:jc w:val="right"/>
              <w:rPr>
                <w:rFonts w:ascii="Times New Roman" w:hAnsi="Times New Roman"/>
                <w:sz w:val="24"/>
                <w:szCs w:val="24"/>
                <w:lang w:eastAsia="lv-LV"/>
              </w:rPr>
            </w:pPr>
          </w:p>
        </w:tc>
        <w:tc>
          <w:tcPr>
            <w:tcW w:w="1276" w:type="dxa"/>
          </w:tcPr>
          <w:p w14:paraId="4D83052E" w14:textId="77777777" w:rsidR="008E5F54" w:rsidRPr="009D1C04" w:rsidRDefault="008E5F54" w:rsidP="008E5F54">
            <w:pPr>
              <w:pStyle w:val="NoSpacing"/>
              <w:jc w:val="right"/>
              <w:rPr>
                <w:rFonts w:ascii="Times New Roman" w:hAnsi="Times New Roman"/>
                <w:sz w:val="24"/>
                <w:szCs w:val="24"/>
                <w:lang w:eastAsia="lv-LV"/>
              </w:rPr>
            </w:pPr>
          </w:p>
        </w:tc>
      </w:tr>
      <w:tr w:rsidR="008E5F54" w:rsidRPr="009D1C04" w14:paraId="6A6B6D31" w14:textId="77777777" w:rsidTr="00F74531">
        <w:trPr>
          <w:gridAfter w:val="1"/>
          <w:wAfter w:w="8" w:type="dxa"/>
          <w:jc w:val="center"/>
        </w:trPr>
        <w:tc>
          <w:tcPr>
            <w:tcW w:w="1696" w:type="dxa"/>
            <w:tcBorders>
              <w:bottom w:val="single" w:sz="4" w:space="0" w:color="auto"/>
            </w:tcBorders>
            <w:vAlign w:val="bottom"/>
          </w:tcPr>
          <w:p w14:paraId="31C54E17" w14:textId="1359EFDE" w:rsidR="008E5F54" w:rsidRPr="008E5F54" w:rsidRDefault="008E5F54" w:rsidP="008E5F54">
            <w:pPr>
              <w:pStyle w:val="NoSpacing"/>
              <w:rPr>
                <w:rFonts w:ascii="Times New Roman" w:hAnsi="Times New Roman"/>
                <w:color w:val="000000"/>
                <w:sz w:val="24"/>
                <w:szCs w:val="24"/>
              </w:rPr>
            </w:pPr>
            <w:r w:rsidRPr="008E5F54">
              <w:rPr>
                <w:rFonts w:ascii="Times New Roman" w:hAnsi="Times New Roman"/>
                <w:sz w:val="24"/>
                <w:szCs w:val="24"/>
              </w:rPr>
              <w:t>01.00.00 “Saeimas darbības nodrošināšana”</w:t>
            </w:r>
          </w:p>
        </w:tc>
        <w:tc>
          <w:tcPr>
            <w:tcW w:w="1276" w:type="dxa"/>
          </w:tcPr>
          <w:p w14:paraId="79518D10" w14:textId="1573D0E8" w:rsidR="008E5F54" w:rsidRPr="008E5F54" w:rsidRDefault="008E5F54" w:rsidP="008E5F54">
            <w:pPr>
              <w:pStyle w:val="NoSpacing"/>
              <w:ind w:left="-253"/>
              <w:jc w:val="right"/>
              <w:rPr>
                <w:rFonts w:ascii="Times New Roman" w:hAnsi="Times New Roman"/>
                <w:sz w:val="20"/>
                <w:szCs w:val="20"/>
                <w:lang w:eastAsia="lv-LV"/>
              </w:rPr>
            </w:pPr>
            <w:r w:rsidRPr="008E5F54">
              <w:rPr>
                <w:rFonts w:ascii="Times New Roman" w:hAnsi="Times New Roman"/>
                <w:sz w:val="20"/>
                <w:szCs w:val="20"/>
                <w:lang w:eastAsia="lv-LV"/>
              </w:rPr>
              <w:t>25 933 488</w:t>
            </w:r>
          </w:p>
        </w:tc>
        <w:tc>
          <w:tcPr>
            <w:tcW w:w="1276" w:type="dxa"/>
          </w:tcPr>
          <w:p w14:paraId="489D8E4E" w14:textId="1B1C8ED1" w:rsidR="008E5F54" w:rsidRDefault="008E5F54" w:rsidP="008E5F54">
            <w:pPr>
              <w:pStyle w:val="NoSpacing"/>
              <w:jc w:val="right"/>
              <w:rPr>
                <w:rFonts w:ascii="Times New Roman" w:hAnsi="Times New Roman"/>
                <w:color w:val="000000"/>
                <w:sz w:val="20"/>
                <w:szCs w:val="20"/>
              </w:rPr>
            </w:pPr>
            <w:r>
              <w:rPr>
                <w:rFonts w:ascii="Times New Roman" w:hAnsi="Times New Roman"/>
                <w:sz w:val="20"/>
                <w:szCs w:val="20"/>
                <w:lang w:eastAsia="lv-LV"/>
              </w:rPr>
              <w:t>-2 610 000</w:t>
            </w:r>
          </w:p>
        </w:tc>
        <w:tc>
          <w:tcPr>
            <w:tcW w:w="992" w:type="dxa"/>
          </w:tcPr>
          <w:p w14:paraId="5F692AF7" w14:textId="77777777" w:rsidR="008E5F54" w:rsidRPr="009D1C04" w:rsidRDefault="008E5F54" w:rsidP="008E5F54">
            <w:pPr>
              <w:pStyle w:val="NoSpacing"/>
              <w:jc w:val="right"/>
              <w:rPr>
                <w:rFonts w:ascii="Times New Roman" w:hAnsi="Times New Roman"/>
                <w:sz w:val="24"/>
                <w:szCs w:val="24"/>
                <w:lang w:eastAsia="lv-LV"/>
              </w:rPr>
            </w:pPr>
          </w:p>
        </w:tc>
        <w:tc>
          <w:tcPr>
            <w:tcW w:w="992" w:type="dxa"/>
          </w:tcPr>
          <w:p w14:paraId="60A21D65" w14:textId="77777777" w:rsidR="008E5F54" w:rsidRPr="009D1C04" w:rsidRDefault="008E5F54" w:rsidP="008E5F54">
            <w:pPr>
              <w:pStyle w:val="NoSpacing"/>
              <w:jc w:val="right"/>
              <w:rPr>
                <w:rFonts w:ascii="Times New Roman" w:hAnsi="Times New Roman"/>
                <w:sz w:val="24"/>
                <w:szCs w:val="24"/>
                <w:lang w:eastAsia="lv-LV"/>
              </w:rPr>
            </w:pPr>
          </w:p>
        </w:tc>
        <w:tc>
          <w:tcPr>
            <w:tcW w:w="993" w:type="dxa"/>
          </w:tcPr>
          <w:p w14:paraId="464E9976" w14:textId="77777777" w:rsidR="008E5F54" w:rsidRPr="009D1C04" w:rsidRDefault="008E5F54" w:rsidP="008E5F54">
            <w:pPr>
              <w:pStyle w:val="NoSpacing"/>
              <w:jc w:val="right"/>
              <w:rPr>
                <w:rFonts w:ascii="Times New Roman" w:hAnsi="Times New Roman"/>
                <w:sz w:val="24"/>
                <w:szCs w:val="24"/>
                <w:lang w:eastAsia="lv-LV"/>
              </w:rPr>
            </w:pPr>
          </w:p>
        </w:tc>
        <w:tc>
          <w:tcPr>
            <w:tcW w:w="992" w:type="dxa"/>
          </w:tcPr>
          <w:p w14:paraId="506221AD" w14:textId="77777777" w:rsidR="008E5F54" w:rsidRPr="009D1C04" w:rsidRDefault="008E5F54" w:rsidP="008E5F54">
            <w:pPr>
              <w:pStyle w:val="NoSpacing"/>
              <w:jc w:val="right"/>
              <w:rPr>
                <w:rFonts w:ascii="Times New Roman" w:hAnsi="Times New Roman"/>
                <w:sz w:val="24"/>
                <w:szCs w:val="24"/>
                <w:lang w:eastAsia="lv-LV"/>
              </w:rPr>
            </w:pPr>
          </w:p>
        </w:tc>
        <w:tc>
          <w:tcPr>
            <w:tcW w:w="1276" w:type="dxa"/>
          </w:tcPr>
          <w:p w14:paraId="5FB2D392" w14:textId="77777777" w:rsidR="008E5F54" w:rsidRPr="009D1C04" w:rsidRDefault="008E5F54" w:rsidP="008E5F54">
            <w:pPr>
              <w:pStyle w:val="NoSpacing"/>
              <w:jc w:val="right"/>
              <w:rPr>
                <w:rFonts w:ascii="Times New Roman" w:hAnsi="Times New Roman"/>
                <w:sz w:val="24"/>
                <w:szCs w:val="24"/>
                <w:lang w:eastAsia="lv-LV"/>
              </w:rPr>
            </w:pPr>
          </w:p>
        </w:tc>
      </w:tr>
      <w:tr w:rsidR="008E5F54" w:rsidRPr="009D1C04" w14:paraId="5590AA81" w14:textId="77777777" w:rsidTr="00F74531">
        <w:trPr>
          <w:gridAfter w:val="1"/>
          <w:wAfter w:w="8" w:type="dxa"/>
          <w:jc w:val="center"/>
        </w:trPr>
        <w:tc>
          <w:tcPr>
            <w:tcW w:w="1696" w:type="dxa"/>
            <w:tcBorders>
              <w:bottom w:val="single" w:sz="4" w:space="0" w:color="auto"/>
            </w:tcBorders>
            <w:vAlign w:val="bottom"/>
          </w:tcPr>
          <w:p w14:paraId="4F3464A3" w14:textId="1088047B" w:rsidR="008E5F54" w:rsidRPr="003E6601" w:rsidRDefault="008E5F54" w:rsidP="008E5F54">
            <w:pPr>
              <w:pStyle w:val="NoSpacing"/>
              <w:rPr>
                <w:rFonts w:ascii="Times New Roman" w:hAnsi="Times New Roman"/>
                <w:i/>
                <w:sz w:val="24"/>
                <w:szCs w:val="24"/>
                <w:highlight w:val="yellow"/>
                <w:lang w:eastAsia="lv-LV"/>
              </w:rPr>
            </w:pPr>
            <w:r w:rsidRPr="003E6601">
              <w:rPr>
                <w:rFonts w:ascii="Times New Roman" w:hAnsi="Times New Roman"/>
                <w:color w:val="000000"/>
                <w:sz w:val="24"/>
                <w:szCs w:val="24"/>
              </w:rPr>
              <w:t>29. Veselības ministrija</w:t>
            </w:r>
          </w:p>
        </w:tc>
        <w:tc>
          <w:tcPr>
            <w:tcW w:w="1276" w:type="dxa"/>
          </w:tcPr>
          <w:p w14:paraId="2805A2C6" w14:textId="59EF9E0A" w:rsidR="008E5F54" w:rsidRPr="008E5F54" w:rsidRDefault="008E5F54" w:rsidP="008E5F54">
            <w:pPr>
              <w:pStyle w:val="NoSpacing"/>
              <w:ind w:left="-253"/>
              <w:jc w:val="right"/>
              <w:rPr>
                <w:rFonts w:ascii="Times New Roman" w:hAnsi="Times New Roman"/>
                <w:sz w:val="20"/>
                <w:szCs w:val="20"/>
                <w:lang w:eastAsia="lv-LV"/>
              </w:rPr>
            </w:pPr>
            <w:r w:rsidRPr="008E5F54">
              <w:rPr>
                <w:rFonts w:ascii="Times New Roman" w:hAnsi="Times New Roman"/>
                <w:sz w:val="20"/>
                <w:szCs w:val="20"/>
                <w:lang w:eastAsia="lv-LV"/>
              </w:rPr>
              <w:t>1 219 207 064</w:t>
            </w:r>
          </w:p>
        </w:tc>
        <w:tc>
          <w:tcPr>
            <w:tcW w:w="1276" w:type="dxa"/>
          </w:tcPr>
          <w:p w14:paraId="7B424C6F" w14:textId="747670B3" w:rsidR="008E5F54" w:rsidRPr="00D74838" w:rsidRDefault="008E5F54" w:rsidP="008E5F54">
            <w:pPr>
              <w:pStyle w:val="NoSpacing"/>
              <w:jc w:val="right"/>
              <w:rPr>
                <w:rFonts w:ascii="Times New Roman" w:hAnsi="Times New Roman"/>
                <w:b/>
                <w:i/>
                <w:sz w:val="20"/>
                <w:szCs w:val="20"/>
                <w:highlight w:val="yellow"/>
              </w:rPr>
            </w:pPr>
            <w:r>
              <w:rPr>
                <w:rFonts w:ascii="Times New Roman" w:hAnsi="Times New Roman"/>
                <w:sz w:val="20"/>
                <w:szCs w:val="20"/>
                <w:lang w:eastAsia="lv-LV"/>
              </w:rPr>
              <w:t>2 610 000</w:t>
            </w:r>
          </w:p>
        </w:tc>
        <w:tc>
          <w:tcPr>
            <w:tcW w:w="992" w:type="dxa"/>
          </w:tcPr>
          <w:p w14:paraId="397B3B9B" w14:textId="77777777" w:rsidR="008E5F54" w:rsidRPr="009D1C04" w:rsidRDefault="008E5F54" w:rsidP="008E5F54">
            <w:pPr>
              <w:pStyle w:val="NoSpacing"/>
              <w:jc w:val="right"/>
              <w:rPr>
                <w:rFonts w:ascii="Times New Roman" w:hAnsi="Times New Roman"/>
                <w:sz w:val="24"/>
                <w:szCs w:val="24"/>
                <w:lang w:eastAsia="lv-LV"/>
              </w:rPr>
            </w:pPr>
          </w:p>
        </w:tc>
        <w:tc>
          <w:tcPr>
            <w:tcW w:w="992" w:type="dxa"/>
          </w:tcPr>
          <w:p w14:paraId="47AA77C2" w14:textId="77777777" w:rsidR="008E5F54" w:rsidRPr="009D1C04" w:rsidRDefault="008E5F54" w:rsidP="008E5F54">
            <w:pPr>
              <w:pStyle w:val="NoSpacing"/>
              <w:jc w:val="right"/>
              <w:rPr>
                <w:rFonts w:ascii="Times New Roman" w:hAnsi="Times New Roman"/>
                <w:sz w:val="24"/>
                <w:szCs w:val="24"/>
                <w:lang w:eastAsia="lv-LV"/>
              </w:rPr>
            </w:pPr>
          </w:p>
        </w:tc>
        <w:tc>
          <w:tcPr>
            <w:tcW w:w="993" w:type="dxa"/>
          </w:tcPr>
          <w:p w14:paraId="71C12E22" w14:textId="77777777" w:rsidR="008E5F54" w:rsidRPr="009D1C04" w:rsidRDefault="008E5F54" w:rsidP="008E5F54">
            <w:pPr>
              <w:pStyle w:val="NoSpacing"/>
              <w:jc w:val="right"/>
              <w:rPr>
                <w:rFonts w:ascii="Times New Roman" w:hAnsi="Times New Roman"/>
                <w:sz w:val="24"/>
                <w:szCs w:val="24"/>
                <w:lang w:eastAsia="lv-LV"/>
              </w:rPr>
            </w:pPr>
          </w:p>
        </w:tc>
        <w:tc>
          <w:tcPr>
            <w:tcW w:w="992" w:type="dxa"/>
          </w:tcPr>
          <w:p w14:paraId="1B13B455" w14:textId="77777777" w:rsidR="008E5F54" w:rsidRPr="009D1C04" w:rsidRDefault="008E5F54" w:rsidP="008E5F54">
            <w:pPr>
              <w:pStyle w:val="NoSpacing"/>
              <w:jc w:val="right"/>
              <w:rPr>
                <w:rFonts w:ascii="Times New Roman" w:hAnsi="Times New Roman"/>
                <w:sz w:val="24"/>
                <w:szCs w:val="24"/>
                <w:lang w:eastAsia="lv-LV"/>
              </w:rPr>
            </w:pPr>
          </w:p>
        </w:tc>
        <w:tc>
          <w:tcPr>
            <w:tcW w:w="1276" w:type="dxa"/>
          </w:tcPr>
          <w:p w14:paraId="5DF9DC98" w14:textId="77777777" w:rsidR="008E5F54" w:rsidRPr="009D1C04" w:rsidRDefault="008E5F54" w:rsidP="008E5F54">
            <w:pPr>
              <w:pStyle w:val="NoSpacing"/>
              <w:jc w:val="right"/>
              <w:rPr>
                <w:rFonts w:ascii="Times New Roman" w:hAnsi="Times New Roman"/>
                <w:sz w:val="24"/>
                <w:szCs w:val="24"/>
                <w:lang w:eastAsia="lv-LV"/>
              </w:rPr>
            </w:pPr>
          </w:p>
        </w:tc>
      </w:tr>
      <w:tr w:rsidR="008E5F54" w:rsidRPr="009D1C04" w14:paraId="529D4ECF" w14:textId="77777777" w:rsidTr="00F74531">
        <w:trPr>
          <w:gridAfter w:val="1"/>
          <w:wAfter w:w="8" w:type="dxa"/>
          <w:jc w:val="center"/>
        </w:trPr>
        <w:tc>
          <w:tcPr>
            <w:tcW w:w="1696" w:type="dxa"/>
            <w:tcBorders>
              <w:bottom w:val="single" w:sz="4" w:space="0" w:color="auto"/>
            </w:tcBorders>
            <w:vAlign w:val="bottom"/>
          </w:tcPr>
          <w:p w14:paraId="2A3D0C49" w14:textId="6AFD9B28" w:rsidR="008E5F54" w:rsidRPr="008E5F54" w:rsidRDefault="008E5F54" w:rsidP="008E5F54">
            <w:pPr>
              <w:pStyle w:val="NoSpacing"/>
              <w:rPr>
                <w:rFonts w:ascii="Times New Roman" w:hAnsi="Times New Roman"/>
                <w:color w:val="000000"/>
                <w:sz w:val="24"/>
                <w:szCs w:val="24"/>
              </w:rPr>
            </w:pPr>
            <w:r w:rsidRPr="008E5F54">
              <w:rPr>
                <w:rFonts w:ascii="Times New Roman" w:hAnsi="Times New Roman"/>
                <w:sz w:val="24"/>
                <w:szCs w:val="24"/>
              </w:rPr>
              <w:t>33.03.00 “Kompensējamo medikamentu un materiālu apmaksāšana”</w:t>
            </w:r>
          </w:p>
        </w:tc>
        <w:tc>
          <w:tcPr>
            <w:tcW w:w="1276" w:type="dxa"/>
          </w:tcPr>
          <w:p w14:paraId="030D065E" w14:textId="32C0A95A" w:rsidR="008E5F54" w:rsidRPr="008E5F54" w:rsidRDefault="008E5F54" w:rsidP="008E5F54">
            <w:pPr>
              <w:pStyle w:val="NoSpacing"/>
              <w:ind w:left="-253"/>
              <w:jc w:val="right"/>
              <w:rPr>
                <w:rFonts w:ascii="Times New Roman" w:hAnsi="Times New Roman"/>
                <w:sz w:val="20"/>
                <w:szCs w:val="20"/>
                <w:lang w:eastAsia="lv-LV"/>
              </w:rPr>
            </w:pPr>
            <w:r w:rsidRPr="008E5F54">
              <w:rPr>
                <w:rFonts w:ascii="Times New Roman" w:hAnsi="Times New Roman"/>
                <w:sz w:val="20"/>
                <w:szCs w:val="20"/>
                <w:lang w:eastAsia="lv-LV"/>
              </w:rPr>
              <w:t>167 530 684</w:t>
            </w:r>
          </w:p>
        </w:tc>
        <w:tc>
          <w:tcPr>
            <w:tcW w:w="1276" w:type="dxa"/>
          </w:tcPr>
          <w:p w14:paraId="25BA0051" w14:textId="6776AA51" w:rsidR="008E5F54" w:rsidRDefault="008E5F54" w:rsidP="008E5F54">
            <w:pPr>
              <w:pStyle w:val="NoSpacing"/>
              <w:jc w:val="right"/>
              <w:rPr>
                <w:rFonts w:ascii="Times New Roman" w:hAnsi="Times New Roman"/>
                <w:color w:val="000000"/>
                <w:sz w:val="20"/>
                <w:szCs w:val="20"/>
              </w:rPr>
            </w:pPr>
            <w:r>
              <w:rPr>
                <w:rFonts w:ascii="Times New Roman" w:hAnsi="Times New Roman"/>
                <w:sz w:val="20"/>
                <w:szCs w:val="20"/>
                <w:lang w:eastAsia="lv-LV"/>
              </w:rPr>
              <w:t>1 400 752</w:t>
            </w:r>
          </w:p>
        </w:tc>
        <w:tc>
          <w:tcPr>
            <w:tcW w:w="992" w:type="dxa"/>
          </w:tcPr>
          <w:p w14:paraId="6BAAF7CC" w14:textId="77777777" w:rsidR="008E5F54" w:rsidRPr="009D1C04" w:rsidRDefault="008E5F54" w:rsidP="008E5F54">
            <w:pPr>
              <w:pStyle w:val="NoSpacing"/>
              <w:jc w:val="right"/>
              <w:rPr>
                <w:rFonts w:ascii="Times New Roman" w:hAnsi="Times New Roman"/>
                <w:sz w:val="24"/>
                <w:szCs w:val="24"/>
                <w:lang w:eastAsia="lv-LV"/>
              </w:rPr>
            </w:pPr>
          </w:p>
        </w:tc>
        <w:tc>
          <w:tcPr>
            <w:tcW w:w="992" w:type="dxa"/>
          </w:tcPr>
          <w:p w14:paraId="18F12BD2" w14:textId="77777777" w:rsidR="008E5F54" w:rsidRPr="009D1C04" w:rsidRDefault="008E5F54" w:rsidP="008E5F54">
            <w:pPr>
              <w:pStyle w:val="NoSpacing"/>
              <w:jc w:val="right"/>
              <w:rPr>
                <w:rFonts w:ascii="Times New Roman" w:hAnsi="Times New Roman"/>
                <w:sz w:val="24"/>
                <w:szCs w:val="24"/>
                <w:lang w:eastAsia="lv-LV"/>
              </w:rPr>
            </w:pPr>
          </w:p>
        </w:tc>
        <w:tc>
          <w:tcPr>
            <w:tcW w:w="993" w:type="dxa"/>
          </w:tcPr>
          <w:p w14:paraId="772AE18A" w14:textId="77777777" w:rsidR="008E5F54" w:rsidRPr="009D1C04" w:rsidRDefault="008E5F54" w:rsidP="008E5F54">
            <w:pPr>
              <w:pStyle w:val="NoSpacing"/>
              <w:jc w:val="right"/>
              <w:rPr>
                <w:rFonts w:ascii="Times New Roman" w:hAnsi="Times New Roman"/>
                <w:sz w:val="24"/>
                <w:szCs w:val="24"/>
                <w:lang w:eastAsia="lv-LV"/>
              </w:rPr>
            </w:pPr>
          </w:p>
        </w:tc>
        <w:tc>
          <w:tcPr>
            <w:tcW w:w="992" w:type="dxa"/>
          </w:tcPr>
          <w:p w14:paraId="431B6B8F" w14:textId="77777777" w:rsidR="008E5F54" w:rsidRPr="009D1C04" w:rsidRDefault="008E5F54" w:rsidP="008E5F54">
            <w:pPr>
              <w:pStyle w:val="NoSpacing"/>
              <w:jc w:val="right"/>
              <w:rPr>
                <w:rFonts w:ascii="Times New Roman" w:hAnsi="Times New Roman"/>
                <w:sz w:val="24"/>
                <w:szCs w:val="24"/>
                <w:lang w:eastAsia="lv-LV"/>
              </w:rPr>
            </w:pPr>
          </w:p>
        </w:tc>
        <w:tc>
          <w:tcPr>
            <w:tcW w:w="1276" w:type="dxa"/>
          </w:tcPr>
          <w:p w14:paraId="0DFA33AE" w14:textId="77777777" w:rsidR="008E5F54" w:rsidRPr="009D1C04" w:rsidRDefault="008E5F54" w:rsidP="008E5F54">
            <w:pPr>
              <w:pStyle w:val="NoSpacing"/>
              <w:jc w:val="right"/>
              <w:rPr>
                <w:rFonts w:ascii="Times New Roman" w:hAnsi="Times New Roman"/>
                <w:sz w:val="24"/>
                <w:szCs w:val="24"/>
                <w:lang w:eastAsia="lv-LV"/>
              </w:rPr>
            </w:pPr>
          </w:p>
        </w:tc>
      </w:tr>
      <w:tr w:rsidR="008E5F54" w:rsidRPr="009D1C04" w14:paraId="24E27CFB" w14:textId="77777777" w:rsidTr="00F74531">
        <w:trPr>
          <w:gridAfter w:val="1"/>
          <w:wAfter w:w="8" w:type="dxa"/>
          <w:jc w:val="center"/>
        </w:trPr>
        <w:tc>
          <w:tcPr>
            <w:tcW w:w="1696" w:type="dxa"/>
            <w:tcBorders>
              <w:bottom w:val="single" w:sz="4" w:space="0" w:color="auto"/>
            </w:tcBorders>
            <w:vAlign w:val="bottom"/>
          </w:tcPr>
          <w:p w14:paraId="618A4772" w14:textId="678BB98E" w:rsidR="008E5F54" w:rsidRPr="008E5F54" w:rsidRDefault="008E5F54" w:rsidP="008E5F54">
            <w:pPr>
              <w:pStyle w:val="NoSpacing"/>
              <w:rPr>
                <w:rFonts w:ascii="Times New Roman" w:hAnsi="Times New Roman"/>
                <w:color w:val="000000"/>
                <w:sz w:val="24"/>
                <w:szCs w:val="24"/>
              </w:rPr>
            </w:pPr>
            <w:r w:rsidRPr="008E5F54">
              <w:rPr>
                <w:rFonts w:ascii="Times New Roman" w:hAnsi="Times New Roman"/>
                <w:sz w:val="24"/>
                <w:szCs w:val="24"/>
              </w:rPr>
              <w:t>33.18.00 “Plānveida stacionāro veselības aprūpes pakalpojumu nodrošināšana”</w:t>
            </w:r>
          </w:p>
        </w:tc>
        <w:tc>
          <w:tcPr>
            <w:tcW w:w="1276" w:type="dxa"/>
          </w:tcPr>
          <w:p w14:paraId="10E3D934" w14:textId="2F7F4918" w:rsidR="008E5F54" w:rsidRPr="008E5F54" w:rsidRDefault="008E5F54" w:rsidP="008E5F54">
            <w:pPr>
              <w:pStyle w:val="NoSpacing"/>
              <w:ind w:left="-253"/>
              <w:jc w:val="right"/>
              <w:rPr>
                <w:rFonts w:ascii="Times New Roman" w:hAnsi="Times New Roman"/>
                <w:sz w:val="20"/>
                <w:szCs w:val="20"/>
                <w:lang w:eastAsia="lv-LV"/>
              </w:rPr>
            </w:pPr>
            <w:r w:rsidRPr="008E5F54">
              <w:rPr>
                <w:rFonts w:ascii="Times New Roman" w:hAnsi="Times New Roman"/>
                <w:sz w:val="20"/>
                <w:szCs w:val="20"/>
                <w:lang w:eastAsia="lv-LV"/>
              </w:rPr>
              <w:t>157 939 363</w:t>
            </w:r>
          </w:p>
        </w:tc>
        <w:tc>
          <w:tcPr>
            <w:tcW w:w="1276" w:type="dxa"/>
          </w:tcPr>
          <w:p w14:paraId="10104BE0" w14:textId="05D3D7D4" w:rsidR="008E5F54" w:rsidRDefault="008E5F54" w:rsidP="008E5F54">
            <w:pPr>
              <w:pStyle w:val="NoSpacing"/>
              <w:jc w:val="right"/>
              <w:rPr>
                <w:rFonts w:ascii="Times New Roman" w:hAnsi="Times New Roman"/>
                <w:color w:val="000000"/>
                <w:sz w:val="20"/>
                <w:szCs w:val="20"/>
              </w:rPr>
            </w:pPr>
            <w:r>
              <w:rPr>
                <w:rFonts w:ascii="Times New Roman" w:hAnsi="Times New Roman"/>
                <w:sz w:val="20"/>
                <w:szCs w:val="20"/>
                <w:lang w:eastAsia="lv-LV"/>
              </w:rPr>
              <w:t>1 209 248</w:t>
            </w:r>
          </w:p>
        </w:tc>
        <w:tc>
          <w:tcPr>
            <w:tcW w:w="992" w:type="dxa"/>
          </w:tcPr>
          <w:p w14:paraId="5C3B9BC0" w14:textId="77777777" w:rsidR="008E5F54" w:rsidRPr="009D1C04" w:rsidRDefault="008E5F54" w:rsidP="008E5F54">
            <w:pPr>
              <w:pStyle w:val="NoSpacing"/>
              <w:jc w:val="right"/>
              <w:rPr>
                <w:rFonts w:ascii="Times New Roman" w:hAnsi="Times New Roman"/>
                <w:sz w:val="24"/>
                <w:szCs w:val="24"/>
                <w:lang w:eastAsia="lv-LV"/>
              </w:rPr>
            </w:pPr>
          </w:p>
        </w:tc>
        <w:tc>
          <w:tcPr>
            <w:tcW w:w="992" w:type="dxa"/>
          </w:tcPr>
          <w:p w14:paraId="75D30A9C" w14:textId="77777777" w:rsidR="008E5F54" w:rsidRPr="009D1C04" w:rsidRDefault="008E5F54" w:rsidP="008E5F54">
            <w:pPr>
              <w:pStyle w:val="NoSpacing"/>
              <w:jc w:val="right"/>
              <w:rPr>
                <w:rFonts w:ascii="Times New Roman" w:hAnsi="Times New Roman"/>
                <w:sz w:val="24"/>
                <w:szCs w:val="24"/>
                <w:lang w:eastAsia="lv-LV"/>
              </w:rPr>
            </w:pPr>
          </w:p>
        </w:tc>
        <w:tc>
          <w:tcPr>
            <w:tcW w:w="993" w:type="dxa"/>
          </w:tcPr>
          <w:p w14:paraId="3C4AF829" w14:textId="77777777" w:rsidR="008E5F54" w:rsidRPr="009D1C04" w:rsidRDefault="008E5F54" w:rsidP="008E5F54">
            <w:pPr>
              <w:pStyle w:val="NoSpacing"/>
              <w:jc w:val="right"/>
              <w:rPr>
                <w:rFonts w:ascii="Times New Roman" w:hAnsi="Times New Roman"/>
                <w:sz w:val="24"/>
                <w:szCs w:val="24"/>
                <w:lang w:eastAsia="lv-LV"/>
              </w:rPr>
            </w:pPr>
          </w:p>
        </w:tc>
        <w:tc>
          <w:tcPr>
            <w:tcW w:w="992" w:type="dxa"/>
          </w:tcPr>
          <w:p w14:paraId="231F0F8B" w14:textId="77777777" w:rsidR="008E5F54" w:rsidRPr="009D1C04" w:rsidRDefault="008E5F54" w:rsidP="008E5F54">
            <w:pPr>
              <w:pStyle w:val="NoSpacing"/>
              <w:jc w:val="right"/>
              <w:rPr>
                <w:rFonts w:ascii="Times New Roman" w:hAnsi="Times New Roman"/>
                <w:sz w:val="24"/>
                <w:szCs w:val="24"/>
                <w:lang w:eastAsia="lv-LV"/>
              </w:rPr>
            </w:pPr>
          </w:p>
        </w:tc>
        <w:tc>
          <w:tcPr>
            <w:tcW w:w="1276" w:type="dxa"/>
          </w:tcPr>
          <w:p w14:paraId="79A40861" w14:textId="77777777" w:rsidR="008E5F54" w:rsidRPr="009D1C04" w:rsidRDefault="008E5F54" w:rsidP="008E5F54">
            <w:pPr>
              <w:pStyle w:val="NoSpacing"/>
              <w:jc w:val="right"/>
              <w:rPr>
                <w:rFonts w:ascii="Times New Roman" w:hAnsi="Times New Roman"/>
                <w:sz w:val="24"/>
                <w:szCs w:val="24"/>
                <w:lang w:eastAsia="lv-LV"/>
              </w:rPr>
            </w:pPr>
          </w:p>
        </w:tc>
      </w:tr>
      <w:tr w:rsidR="008E5F54" w:rsidRPr="009D1C04" w14:paraId="1F34EF0D" w14:textId="77777777" w:rsidTr="008E5F54">
        <w:trPr>
          <w:gridAfter w:val="1"/>
          <w:wAfter w:w="8" w:type="dxa"/>
          <w:jc w:val="center"/>
        </w:trPr>
        <w:tc>
          <w:tcPr>
            <w:tcW w:w="1696" w:type="dxa"/>
          </w:tcPr>
          <w:p w14:paraId="1A7389D3" w14:textId="77777777" w:rsidR="008E5F54" w:rsidRPr="009D1C04" w:rsidRDefault="008E5F54" w:rsidP="008E5F54">
            <w:pPr>
              <w:pStyle w:val="NoSpacing"/>
              <w:rPr>
                <w:rFonts w:ascii="Times New Roman" w:hAnsi="Times New Roman"/>
                <w:sz w:val="24"/>
                <w:szCs w:val="24"/>
                <w:lang w:eastAsia="lv-LV"/>
              </w:rPr>
            </w:pPr>
            <w:r w:rsidRPr="009D1C04">
              <w:rPr>
                <w:rFonts w:ascii="Times New Roman" w:hAnsi="Times New Roman"/>
                <w:sz w:val="24"/>
                <w:szCs w:val="24"/>
                <w:lang w:eastAsia="lv-LV"/>
              </w:rPr>
              <w:t>2.2. valsts speciālais budžets</w:t>
            </w:r>
          </w:p>
        </w:tc>
        <w:tc>
          <w:tcPr>
            <w:tcW w:w="1276" w:type="dxa"/>
          </w:tcPr>
          <w:p w14:paraId="5D7B365F" w14:textId="720B212C"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1276" w:type="dxa"/>
          </w:tcPr>
          <w:p w14:paraId="5AE1C8BB" w14:textId="77777777"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22DE8F31"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F281BCC"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50BF4882"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54D968A"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C951AE1"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8E5F54" w:rsidRPr="009D1C04" w14:paraId="446AB02A" w14:textId="77777777" w:rsidTr="008E5F54">
        <w:trPr>
          <w:gridAfter w:val="1"/>
          <w:wAfter w:w="8" w:type="dxa"/>
          <w:jc w:val="center"/>
        </w:trPr>
        <w:tc>
          <w:tcPr>
            <w:tcW w:w="1696" w:type="dxa"/>
          </w:tcPr>
          <w:p w14:paraId="4CC379DF" w14:textId="77777777" w:rsidR="008E5F54" w:rsidRPr="009D1C04" w:rsidRDefault="008E5F54" w:rsidP="008E5F54">
            <w:pPr>
              <w:pStyle w:val="NoSpacing"/>
              <w:rPr>
                <w:rFonts w:ascii="Times New Roman" w:hAnsi="Times New Roman"/>
                <w:sz w:val="24"/>
                <w:szCs w:val="24"/>
                <w:lang w:eastAsia="lv-LV"/>
              </w:rPr>
            </w:pPr>
            <w:r w:rsidRPr="009D1C04">
              <w:rPr>
                <w:rFonts w:ascii="Times New Roman" w:hAnsi="Times New Roman"/>
                <w:sz w:val="24"/>
                <w:szCs w:val="24"/>
                <w:lang w:eastAsia="lv-LV"/>
              </w:rPr>
              <w:t>2.3. pašvaldību budžets</w:t>
            </w:r>
          </w:p>
        </w:tc>
        <w:tc>
          <w:tcPr>
            <w:tcW w:w="1276" w:type="dxa"/>
          </w:tcPr>
          <w:p w14:paraId="02274A0A" w14:textId="37FF2517"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1276" w:type="dxa"/>
          </w:tcPr>
          <w:p w14:paraId="385015EF" w14:textId="77777777"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7366436C"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35356FA9"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5E096FBF"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B10EBEC"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337880A"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8E5F54" w:rsidRPr="009D1C04" w14:paraId="564BD697" w14:textId="77777777" w:rsidTr="008E5F54">
        <w:trPr>
          <w:gridAfter w:val="1"/>
          <w:wAfter w:w="8" w:type="dxa"/>
          <w:jc w:val="center"/>
        </w:trPr>
        <w:tc>
          <w:tcPr>
            <w:tcW w:w="1696" w:type="dxa"/>
          </w:tcPr>
          <w:p w14:paraId="4BF50E81" w14:textId="77777777" w:rsidR="008E5F54" w:rsidRPr="009D1C04" w:rsidRDefault="008E5F54" w:rsidP="008E5F54">
            <w:pPr>
              <w:pStyle w:val="NoSpacing"/>
              <w:rPr>
                <w:rFonts w:ascii="Times New Roman" w:hAnsi="Times New Roman"/>
                <w:sz w:val="24"/>
                <w:szCs w:val="24"/>
                <w:lang w:eastAsia="lv-LV"/>
              </w:rPr>
            </w:pPr>
            <w:r w:rsidRPr="009D1C04">
              <w:rPr>
                <w:rFonts w:ascii="Times New Roman" w:hAnsi="Times New Roman"/>
                <w:sz w:val="24"/>
                <w:szCs w:val="24"/>
                <w:lang w:eastAsia="lv-LV"/>
              </w:rPr>
              <w:t>3. Finansiālā ietekme</w:t>
            </w:r>
          </w:p>
        </w:tc>
        <w:tc>
          <w:tcPr>
            <w:tcW w:w="1276" w:type="dxa"/>
          </w:tcPr>
          <w:p w14:paraId="133A3D23" w14:textId="485DC1D5"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1276" w:type="dxa"/>
          </w:tcPr>
          <w:p w14:paraId="3C482C20" w14:textId="77777777" w:rsidR="008E5F54" w:rsidRPr="00D74838" w:rsidRDefault="008E5F54" w:rsidP="008E5F54">
            <w:pPr>
              <w:ind w:left="-112"/>
              <w:jc w:val="right"/>
              <w:rPr>
                <w:sz w:val="20"/>
                <w:szCs w:val="20"/>
              </w:rPr>
            </w:pPr>
            <w:r w:rsidRPr="00D74838">
              <w:rPr>
                <w:sz w:val="20"/>
                <w:szCs w:val="20"/>
              </w:rPr>
              <w:t>0</w:t>
            </w:r>
          </w:p>
        </w:tc>
        <w:tc>
          <w:tcPr>
            <w:tcW w:w="992" w:type="dxa"/>
          </w:tcPr>
          <w:p w14:paraId="37D19B3F"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7F3D8EA2"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7795D961"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AC15A3F"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76AFEE09"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8E5F54" w:rsidRPr="009D1C04" w14:paraId="3E1455C4" w14:textId="77777777" w:rsidTr="008E5F54">
        <w:trPr>
          <w:gridAfter w:val="1"/>
          <w:wAfter w:w="8" w:type="dxa"/>
          <w:jc w:val="center"/>
        </w:trPr>
        <w:tc>
          <w:tcPr>
            <w:tcW w:w="1696" w:type="dxa"/>
          </w:tcPr>
          <w:p w14:paraId="36743A7E" w14:textId="77777777" w:rsidR="008E5F54" w:rsidRPr="009D1C04" w:rsidRDefault="008E5F54" w:rsidP="008E5F54">
            <w:pPr>
              <w:pStyle w:val="NoSpacing"/>
              <w:rPr>
                <w:rFonts w:ascii="Times New Roman" w:hAnsi="Times New Roman"/>
                <w:sz w:val="24"/>
                <w:szCs w:val="24"/>
                <w:lang w:eastAsia="lv-LV"/>
              </w:rPr>
            </w:pPr>
            <w:r w:rsidRPr="009D1C04">
              <w:rPr>
                <w:rFonts w:ascii="Times New Roman" w:hAnsi="Times New Roman"/>
                <w:sz w:val="24"/>
                <w:szCs w:val="24"/>
                <w:lang w:eastAsia="lv-LV"/>
              </w:rPr>
              <w:t>3.1. valsts pamatbudžets</w:t>
            </w:r>
          </w:p>
        </w:tc>
        <w:tc>
          <w:tcPr>
            <w:tcW w:w="1276" w:type="dxa"/>
          </w:tcPr>
          <w:p w14:paraId="23F4D33C" w14:textId="27ECAD4D"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1276" w:type="dxa"/>
          </w:tcPr>
          <w:p w14:paraId="02586803" w14:textId="77777777" w:rsidR="008E5F54" w:rsidRPr="00D74838" w:rsidRDefault="008E5F54" w:rsidP="008E5F54">
            <w:pPr>
              <w:ind w:left="-112"/>
              <w:jc w:val="right"/>
              <w:rPr>
                <w:sz w:val="20"/>
                <w:szCs w:val="20"/>
              </w:rPr>
            </w:pPr>
            <w:r w:rsidRPr="00D74838">
              <w:rPr>
                <w:sz w:val="20"/>
                <w:szCs w:val="20"/>
              </w:rPr>
              <w:t>0</w:t>
            </w:r>
          </w:p>
        </w:tc>
        <w:tc>
          <w:tcPr>
            <w:tcW w:w="992" w:type="dxa"/>
          </w:tcPr>
          <w:p w14:paraId="149AEBF2"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65A66E1"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2529868E"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51BADA2"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1E0F498"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8E5F54" w:rsidRPr="009D1C04" w14:paraId="25C755ED" w14:textId="77777777" w:rsidTr="008E5F54">
        <w:trPr>
          <w:gridAfter w:val="1"/>
          <w:wAfter w:w="8" w:type="dxa"/>
          <w:jc w:val="center"/>
        </w:trPr>
        <w:tc>
          <w:tcPr>
            <w:tcW w:w="1696" w:type="dxa"/>
          </w:tcPr>
          <w:p w14:paraId="2D2B2548" w14:textId="77777777" w:rsidR="008E5F54" w:rsidRPr="009D1C04" w:rsidRDefault="008E5F54" w:rsidP="008E5F54">
            <w:pPr>
              <w:pStyle w:val="NoSpacing"/>
              <w:rPr>
                <w:rFonts w:ascii="Times New Roman" w:hAnsi="Times New Roman"/>
                <w:sz w:val="24"/>
                <w:szCs w:val="24"/>
                <w:lang w:eastAsia="lv-LV"/>
              </w:rPr>
            </w:pPr>
            <w:r w:rsidRPr="009D1C04">
              <w:rPr>
                <w:rFonts w:ascii="Times New Roman" w:hAnsi="Times New Roman"/>
                <w:sz w:val="24"/>
                <w:szCs w:val="24"/>
                <w:lang w:eastAsia="lv-LV"/>
              </w:rPr>
              <w:t>3.2. speciālais budžets</w:t>
            </w:r>
          </w:p>
        </w:tc>
        <w:tc>
          <w:tcPr>
            <w:tcW w:w="1276" w:type="dxa"/>
          </w:tcPr>
          <w:p w14:paraId="6B421644" w14:textId="37BCFAF4"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b/>
                <w:sz w:val="20"/>
                <w:szCs w:val="20"/>
              </w:rPr>
              <w:t>0</w:t>
            </w:r>
          </w:p>
        </w:tc>
        <w:tc>
          <w:tcPr>
            <w:tcW w:w="1276" w:type="dxa"/>
          </w:tcPr>
          <w:p w14:paraId="615D2A1C" w14:textId="77777777" w:rsidR="008E5F54" w:rsidRPr="00D74838" w:rsidRDefault="008E5F54" w:rsidP="008E5F54">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4E25544E"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09200FE7"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2E0EC30C"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075D6AB2"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5D2DF25" w14:textId="77777777" w:rsidR="008E5F54" w:rsidRPr="009D1C04" w:rsidRDefault="008E5F54" w:rsidP="008E5F54">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6E244F5B" w14:textId="77777777" w:rsidTr="008E5F54">
        <w:trPr>
          <w:gridAfter w:val="1"/>
          <w:wAfter w:w="8" w:type="dxa"/>
          <w:jc w:val="center"/>
        </w:trPr>
        <w:tc>
          <w:tcPr>
            <w:tcW w:w="1696" w:type="dxa"/>
          </w:tcPr>
          <w:p w14:paraId="6B382383"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3.3. pašvaldību budžets</w:t>
            </w:r>
          </w:p>
        </w:tc>
        <w:tc>
          <w:tcPr>
            <w:tcW w:w="1276" w:type="dxa"/>
          </w:tcPr>
          <w:p w14:paraId="63B73E3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7D9C35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8274C13"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69E5796"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2392D17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279752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8902D3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0F939377" w14:textId="77777777" w:rsidTr="008E5F54">
        <w:trPr>
          <w:gridAfter w:val="1"/>
          <w:wAfter w:w="8" w:type="dxa"/>
          <w:jc w:val="center"/>
        </w:trPr>
        <w:tc>
          <w:tcPr>
            <w:tcW w:w="1696" w:type="dxa"/>
          </w:tcPr>
          <w:p w14:paraId="020539D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4. Finanšu līdzekļi papildu izdevumu finansēšanai (kompensējošu izdevumu samazinājumu norāda ar "+" zīmi)</w:t>
            </w:r>
          </w:p>
        </w:tc>
        <w:tc>
          <w:tcPr>
            <w:tcW w:w="1276" w:type="dxa"/>
          </w:tcPr>
          <w:p w14:paraId="1D89AB0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276" w:type="dxa"/>
          </w:tcPr>
          <w:p w14:paraId="4572F9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992" w:type="dxa"/>
          </w:tcPr>
          <w:p w14:paraId="66EA9D1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1984FD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5B3BF3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609988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92C3254"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33023F73" w14:textId="77777777" w:rsidTr="008E5F54">
        <w:trPr>
          <w:gridAfter w:val="1"/>
          <w:wAfter w:w="8" w:type="dxa"/>
          <w:jc w:val="center"/>
        </w:trPr>
        <w:tc>
          <w:tcPr>
            <w:tcW w:w="1696" w:type="dxa"/>
          </w:tcPr>
          <w:p w14:paraId="2B8CF2A1"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 Precizēta finansiālā ietekme</w:t>
            </w:r>
          </w:p>
        </w:tc>
        <w:tc>
          <w:tcPr>
            <w:tcW w:w="1276" w:type="dxa"/>
            <w:vMerge w:val="restart"/>
          </w:tcPr>
          <w:p w14:paraId="5944DF6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276" w:type="dxa"/>
          </w:tcPr>
          <w:p w14:paraId="423A84B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992" w:type="dxa"/>
            <w:vMerge w:val="restart"/>
          </w:tcPr>
          <w:p w14:paraId="5A028A0B"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E76A3D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vMerge w:val="restart"/>
          </w:tcPr>
          <w:p w14:paraId="1878FCE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748BC6F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15C0A4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7B11E881" w14:textId="77777777" w:rsidTr="008E5F54">
        <w:trPr>
          <w:gridAfter w:val="1"/>
          <w:wAfter w:w="8" w:type="dxa"/>
          <w:jc w:val="center"/>
        </w:trPr>
        <w:tc>
          <w:tcPr>
            <w:tcW w:w="1696" w:type="dxa"/>
          </w:tcPr>
          <w:p w14:paraId="7848DE77"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lastRenderedPageBreak/>
              <w:t>5.1. valsts pamatbudžets</w:t>
            </w:r>
          </w:p>
        </w:tc>
        <w:tc>
          <w:tcPr>
            <w:tcW w:w="1276" w:type="dxa"/>
            <w:vMerge/>
          </w:tcPr>
          <w:p w14:paraId="1E8B6435"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64900B2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992" w:type="dxa"/>
            <w:vMerge/>
          </w:tcPr>
          <w:p w14:paraId="05090FCC"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47AFA7C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vMerge/>
          </w:tcPr>
          <w:p w14:paraId="38C54122"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0260912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DACD91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7B3EBB8F" w14:textId="77777777" w:rsidTr="008E5F54">
        <w:trPr>
          <w:gridAfter w:val="1"/>
          <w:wAfter w:w="8" w:type="dxa"/>
          <w:jc w:val="center"/>
        </w:trPr>
        <w:tc>
          <w:tcPr>
            <w:tcW w:w="1696" w:type="dxa"/>
          </w:tcPr>
          <w:p w14:paraId="79118BD4"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5.2. speciālais budžets</w:t>
            </w:r>
          </w:p>
        </w:tc>
        <w:tc>
          <w:tcPr>
            <w:tcW w:w="1276" w:type="dxa"/>
            <w:vMerge/>
          </w:tcPr>
          <w:p w14:paraId="312E44AB"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570D295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vMerge/>
          </w:tcPr>
          <w:p w14:paraId="2EF6D00F"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4D989BC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vMerge/>
          </w:tcPr>
          <w:p w14:paraId="729DE4D5"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2E60A5A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CBFF59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581BE10A" w14:textId="77777777" w:rsidTr="008E5F54">
        <w:trPr>
          <w:gridAfter w:val="1"/>
          <w:wAfter w:w="8" w:type="dxa"/>
          <w:jc w:val="center"/>
        </w:trPr>
        <w:tc>
          <w:tcPr>
            <w:tcW w:w="1696" w:type="dxa"/>
          </w:tcPr>
          <w:p w14:paraId="30AE653F"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5.3. pašvaldību budžets</w:t>
            </w:r>
          </w:p>
        </w:tc>
        <w:tc>
          <w:tcPr>
            <w:tcW w:w="1276" w:type="dxa"/>
            <w:vMerge/>
          </w:tcPr>
          <w:p w14:paraId="2D6EE4F3"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1252078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vMerge/>
          </w:tcPr>
          <w:p w14:paraId="6FF8C526"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35B0389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vMerge/>
          </w:tcPr>
          <w:p w14:paraId="4477E760"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46F424A4"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F2E8E7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1FD858CE" w14:textId="77777777" w:rsidTr="008E5F54">
        <w:trPr>
          <w:jc w:val="center"/>
        </w:trPr>
        <w:tc>
          <w:tcPr>
            <w:tcW w:w="1696" w:type="dxa"/>
          </w:tcPr>
          <w:p w14:paraId="409521DC"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805" w:type="dxa"/>
            <w:gridSpan w:val="8"/>
            <w:vMerge w:val="restart"/>
          </w:tcPr>
          <w:p w14:paraId="7A51F967" w14:textId="6A70AC87" w:rsidR="009057D3" w:rsidRDefault="00147C52" w:rsidP="00E06C5A">
            <w:pPr>
              <w:pStyle w:val="NoSpacing"/>
              <w:rPr>
                <w:rFonts w:ascii="Times New Roman" w:hAnsi="Times New Roman"/>
                <w:sz w:val="24"/>
                <w:szCs w:val="24"/>
              </w:rPr>
            </w:pPr>
            <w:r>
              <w:rPr>
                <w:rFonts w:ascii="Times New Roman" w:hAnsi="Times New Roman"/>
                <w:sz w:val="24"/>
                <w:szCs w:val="24"/>
              </w:rPr>
              <w:t>* Saskaņā ar apstiprināto likum</w:t>
            </w:r>
            <w:r w:rsidR="00AC2DC9">
              <w:rPr>
                <w:rFonts w:ascii="Times New Roman" w:hAnsi="Times New Roman"/>
                <w:sz w:val="24"/>
                <w:szCs w:val="24"/>
              </w:rPr>
              <w:t>u</w:t>
            </w:r>
            <w:r w:rsidR="00E84173">
              <w:rPr>
                <w:rFonts w:ascii="Times New Roman" w:hAnsi="Times New Roman"/>
                <w:sz w:val="24"/>
                <w:szCs w:val="24"/>
              </w:rPr>
              <w:t xml:space="preserve"> </w:t>
            </w:r>
            <w:r>
              <w:rPr>
                <w:rFonts w:ascii="Times New Roman" w:hAnsi="Times New Roman"/>
                <w:sz w:val="24"/>
                <w:szCs w:val="24"/>
              </w:rPr>
              <w:t>“Par valsts budžetu 2020.gadam”</w:t>
            </w:r>
          </w:p>
          <w:p w14:paraId="17AF082C" w14:textId="4C74530B" w:rsidR="006267BF" w:rsidRDefault="00997653" w:rsidP="00997653">
            <w:pPr>
              <w:pStyle w:val="NoSpacing"/>
              <w:spacing w:before="120" w:after="120"/>
              <w:rPr>
                <w:rFonts w:ascii="Times New Roman" w:eastAsia="Times New Roman" w:hAnsi="Times New Roman"/>
                <w:iCs/>
                <w:sz w:val="24"/>
                <w:szCs w:val="24"/>
              </w:rPr>
            </w:pPr>
            <w:r>
              <w:rPr>
                <w:rFonts w:ascii="Times New Roman" w:hAnsi="Times New Roman"/>
                <w:sz w:val="24"/>
                <w:szCs w:val="24"/>
              </w:rPr>
              <w:t>P</w:t>
            </w:r>
            <w:r w:rsidR="006267BF" w:rsidRPr="009D1C04">
              <w:rPr>
                <w:rFonts w:ascii="Times New Roman" w:hAnsi="Times New Roman"/>
                <w:sz w:val="24"/>
                <w:szCs w:val="24"/>
              </w:rPr>
              <w:t>rojektam nav ietekmes uz</w:t>
            </w:r>
            <w:r w:rsidR="006267BF" w:rsidRPr="009D1C04">
              <w:rPr>
                <w:rFonts w:ascii="Times New Roman" w:eastAsia="Times New Roman" w:hAnsi="Times New Roman"/>
                <w:iCs/>
                <w:sz w:val="24"/>
                <w:szCs w:val="24"/>
              </w:rPr>
              <w:t xml:space="preserve"> valsts konsolidētā budžeta finansiālo bilanci.</w:t>
            </w:r>
          </w:p>
          <w:p w14:paraId="29363692" w14:textId="23A1F7E0" w:rsidR="00E06C5A" w:rsidRPr="009D1C04" w:rsidRDefault="00E06C5A" w:rsidP="00E06C5A">
            <w:pPr>
              <w:pStyle w:val="NoSpacing"/>
              <w:rPr>
                <w:rFonts w:ascii="Times New Roman" w:hAnsi="Times New Roman"/>
                <w:color w:val="FF0000"/>
                <w:sz w:val="24"/>
                <w:szCs w:val="24"/>
              </w:rPr>
            </w:pPr>
          </w:p>
        </w:tc>
      </w:tr>
      <w:tr w:rsidR="006267BF" w:rsidRPr="009D1C04" w14:paraId="44FD6FCB" w14:textId="77777777" w:rsidTr="008E5F54">
        <w:trPr>
          <w:jc w:val="center"/>
        </w:trPr>
        <w:tc>
          <w:tcPr>
            <w:tcW w:w="1696" w:type="dxa"/>
          </w:tcPr>
          <w:p w14:paraId="49D3A18A"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6.1. detalizēts ieņēmumu aprēķins</w:t>
            </w:r>
          </w:p>
        </w:tc>
        <w:tc>
          <w:tcPr>
            <w:tcW w:w="7805" w:type="dxa"/>
            <w:gridSpan w:val="8"/>
            <w:vMerge/>
          </w:tcPr>
          <w:p w14:paraId="56E908A4"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0DFAC611" w14:textId="77777777" w:rsidTr="008E5F54">
        <w:trPr>
          <w:jc w:val="center"/>
        </w:trPr>
        <w:tc>
          <w:tcPr>
            <w:tcW w:w="1696" w:type="dxa"/>
          </w:tcPr>
          <w:p w14:paraId="49B68E05"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6.2. detalizēts izdevumu aprēķins</w:t>
            </w:r>
          </w:p>
        </w:tc>
        <w:tc>
          <w:tcPr>
            <w:tcW w:w="7805" w:type="dxa"/>
            <w:gridSpan w:val="8"/>
            <w:vMerge/>
          </w:tcPr>
          <w:p w14:paraId="7B733665"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1F168611" w14:textId="77777777" w:rsidTr="008E5F54">
        <w:trPr>
          <w:jc w:val="center"/>
        </w:trPr>
        <w:tc>
          <w:tcPr>
            <w:tcW w:w="1696" w:type="dxa"/>
          </w:tcPr>
          <w:p w14:paraId="688D39F0"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7. Amata vietu skaita izmaiņas</w:t>
            </w:r>
          </w:p>
        </w:tc>
        <w:tc>
          <w:tcPr>
            <w:tcW w:w="7805" w:type="dxa"/>
            <w:gridSpan w:val="8"/>
          </w:tcPr>
          <w:p w14:paraId="0CF49C22"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rPr>
              <w:t>Projekts šo jomu neskar</w:t>
            </w:r>
          </w:p>
        </w:tc>
      </w:tr>
      <w:tr w:rsidR="006267BF" w:rsidRPr="009D1C04" w14:paraId="259AB945" w14:textId="77777777" w:rsidTr="008E5F54">
        <w:trPr>
          <w:jc w:val="center"/>
        </w:trPr>
        <w:tc>
          <w:tcPr>
            <w:tcW w:w="1696" w:type="dxa"/>
          </w:tcPr>
          <w:p w14:paraId="3E21F91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8. Cita informācija</w:t>
            </w:r>
          </w:p>
        </w:tc>
        <w:tc>
          <w:tcPr>
            <w:tcW w:w="7805" w:type="dxa"/>
            <w:gridSpan w:val="8"/>
          </w:tcPr>
          <w:p w14:paraId="385EBD8E" w14:textId="4D6FA664" w:rsidR="006267BF" w:rsidRPr="009D1C04" w:rsidRDefault="006267BF" w:rsidP="006267BF">
            <w:pPr>
              <w:jc w:val="both"/>
              <w:rPr>
                <w:bCs/>
                <w:color w:val="000000"/>
              </w:rPr>
            </w:pPr>
            <w:r w:rsidRPr="009D1C04">
              <w:rPr>
                <w:bCs/>
                <w:color w:val="000000"/>
              </w:rPr>
              <w:t>Nav</w:t>
            </w:r>
          </w:p>
        </w:tc>
      </w:tr>
    </w:tbl>
    <w:p w14:paraId="3BC246E3" w14:textId="77777777" w:rsidR="009D36DE" w:rsidRPr="009D1C04"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00EB994D"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7263C7F" w14:textId="77777777" w:rsidR="009D36DE" w:rsidRPr="009D1C04" w:rsidRDefault="009D36DE" w:rsidP="007A7036">
            <w:pPr>
              <w:spacing w:before="120" w:after="120"/>
              <w:jc w:val="center"/>
            </w:pPr>
            <w:r w:rsidRPr="009D1C04">
              <w:rPr>
                <w:b/>
                <w:bCs/>
              </w:rPr>
              <w:t>IV. Tiesību aktu projektu ietekme uz spēkā esošo tiesību normu sistēmu</w:t>
            </w:r>
          </w:p>
        </w:tc>
      </w:tr>
      <w:tr w:rsidR="009D36DE" w:rsidRPr="009D1C04" w14:paraId="59ED8E57"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964C52F" w14:textId="77777777" w:rsidR="009D36DE" w:rsidRPr="009D1C04" w:rsidRDefault="009D36DE" w:rsidP="007A7036">
            <w:pPr>
              <w:spacing w:before="120" w:after="120"/>
              <w:jc w:val="center"/>
            </w:pPr>
            <w:r w:rsidRPr="009D1C04">
              <w:t>Projekts šo jomu neskar</w:t>
            </w:r>
          </w:p>
        </w:tc>
      </w:tr>
    </w:tbl>
    <w:p w14:paraId="097A84FD" w14:textId="77777777" w:rsidR="009D36DE" w:rsidRPr="009D1C04" w:rsidRDefault="009D36DE" w:rsidP="007A7036">
      <w:pPr>
        <w:spacing w:before="120" w:after="120"/>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5F10C48B"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C4C882C" w14:textId="77777777" w:rsidR="009D36DE" w:rsidRPr="009D1C04" w:rsidRDefault="009D36DE" w:rsidP="007A7036">
            <w:pPr>
              <w:spacing w:before="120" w:after="120"/>
              <w:jc w:val="center"/>
            </w:pPr>
            <w:r w:rsidRPr="009D1C04">
              <w:rPr>
                <w:b/>
                <w:bCs/>
              </w:rPr>
              <w:t>V. Tiesību aktu projektu atbilstība Latvijas Republikas starptautiskajām saistībām</w:t>
            </w:r>
          </w:p>
        </w:tc>
      </w:tr>
      <w:tr w:rsidR="009D36DE" w:rsidRPr="009D1C04" w14:paraId="382FE198"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150EA0E" w14:textId="77777777" w:rsidR="009D36DE" w:rsidRPr="009D1C04" w:rsidRDefault="009D36DE" w:rsidP="007A7036">
            <w:pPr>
              <w:spacing w:before="120" w:after="120"/>
              <w:jc w:val="center"/>
            </w:pPr>
            <w:r w:rsidRPr="009D1C04">
              <w:t>Projekts šo jomu neskar</w:t>
            </w:r>
          </w:p>
        </w:tc>
      </w:tr>
    </w:tbl>
    <w:p w14:paraId="1FEE5B23" w14:textId="77777777" w:rsidR="009D36DE" w:rsidRPr="009D1C04" w:rsidRDefault="009D36DE" w:rsidP="007A7036">
      <w:pPr>
        <w:spacing w:before="120" w:after="120"/>
      </w:pPr>
    </w:p>
    <w:tbl>
      <w:tblPr>
        <w:tblW w:w="5159" w:type="pct"/>
        <w:jc w:val="center"/>
        <w:tblCellMar>
          <w:left w:w="10" w:type="dxa"/>
          <w:right w:w="10" w:type="dxa"/>
        </w:tblCellMar>
        <w:tblLook w:val="0000" w:firstRow="0" w:lastRow="0" w:firstColumn="0" w:lastColumn="0" w:noHBand="0" w:noVBand="0"/>
      </w:tblPr>
      <w:tblGrid>
        <w:gridCol w:w="9350"/>
      </w:tblGrid>
      <w:tr w:rsidR="009D36DE" w:rsidRPr="009D1C04" w14:paraId="0EE457EB"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62B1C2B" w14:textId="77777777" w:rsidR="009D36DE" w:rsidRPr="009D1C04" w:rsidRDefault="009D36DE" w:rsidP="007A7036">
            <w:pPr>
              <w:spacing w:before="120" w:after="120"/>
              <w:ind w:firstLine="300"/>
              <w:jc w:val="center"/>
              <w:rPr>
                <w:b/>
                <w:bCs/>
              </w:rPr>
            </w:pPr>
            <w:r w:rsidRPr="009D1C04">
              <w:rPr>
                <w:b/>
                <w:bCs/>
              </w:rPr>
              <w:t>VI. Sabiedrības līdzdalība un komunikācijas aktivitātes</w:t>
            </w:r>
          </w:p>
        </w:tc>
      </w:tr>
      <w:tr w:rsidR="003B60B8" w:rsidRPr="009D1C04" w14:paraId="48A6528E"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90D91FC" w14:textId="77777777" w:rsidR="003B60B8" w:rsidRPr="009D1C04" w:rsidRDefault="003B60B8" w:rsidP="007A7036">
            <w:pPr>
              <w:spacing w:before="120" w:after="120"/>
              <w:ind w:firstLine="300"/>
              <w:jc w:val="center"/>
              <w:rPr>
                <w:b/>
                <w:bCs/>
              </w:rPr>
            </w:pPr>
            <w:r w:rsidRPr="009D1C04">
              <w:t>Projekts šo jomu neskar</w:t>
            </w:r>
          </w:p>
        </w:tc>
      </w:tr>
    </w:tbl>
    <w:p w14:paraId="2FB9DB8B" w14:textId="77777777" w:rsidR="009D36DE" w:rsidRPr="009D1C04" w:rsidRDefault="009D36DE" w:rsidP="007A7036">
      <w:pPr>
        <w:spacing w:before="120" w:after="120"/>
      </w:pPr>
    </w:p>
    <w:tbl>
      <w:tblPr>
        <w:tblW w:w="5166" w:type="pct"/>
        <w:tblInd w:w="-150" w:type="dxa"/>
        <w:tblCellMar>
          <w:left w:w="10" w:type="dxa"/>
          <w:right w:w="10" w:type="dxa"/>
        </w:tblCellMar>
        <w:tblLook w:val="0000" w:firstRow="0" w:lastRow="0" w:firstColumn="0" w:lastColumn="0" w:noHBand="0" w:noVBand="0"/>
      </w:tblPr>
      <w:tblGrid>
        <w:gridCol w:w="748"/>
        <w:gridCol w:w="2206"/>
        <w:gridCol w:w="6403"/>
      </w:tblGrid>
      <w:tr w:rsidR="009D36DE" w:rsidRPr="009D1C04" w14:paraId="06A12DA4" w14:textId="77777777" w:rsidTr="001611E9">
        <w:tc>
          <w:tcPr>
            <w:tcW w:w="9356"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2821B1" w14:textId="77777777" w:rsidR="009D36DE" w:rsidRPr="009D1C04" w:rsidRDefault="009D36DE" w:rsidP="007A7036">
            <w:pPr>
              <w:spacing w:before="120" w:after="120"/>
              <w:jc w:val="center"/>
              <w:rPr>
                <w:b/>
                <w:bCs/>
              </w:rPr>
            </w:pPr>
            <w:r w:rsidRPr="009D1C04">
              <w:rPr>
                <w:b/>
                <w:bCs/>
              </w:rPr>
              <w:t>VII. Tiesību akta projekta izpildes nodrošināšana un tās ietekme uz institūcijām</w:t>
            </w:r>
          </w:p>
        </w:tc>
      </w:tr>
      <w:tr w:rsidR="003B60B8" w:rsidRPr="009D1C04" w14:paraId="22B85505"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6091BD" w14:textId="77777777" w:rsidR="003B60B8" w:rsidRPr="009D1C04" w:rsidRDefault="003B60B8" w:rsidP="007A7036">
            <w:pPr>
              <w:spacing w:before="120" w:after="120"/>
            </w:pPr>
            <w:r w:rsidRPr="009D1C04">
              <w:lastRenderedPageBreak/>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40376" w14:textId="77777777" w:rsidR="003B60B8" w:rsidRPr="009D1C04" w:rsidRDefault="003B60B8" w:rsidP="007A7036">
            <w:pPr>
              <w:spacing w:before="120" w:after="120"/>
            </w:pPr>
            <w:r w:rsidRPr="009D1C04">
              <w:t>Projekta izpildē iesaistītās institūcijas</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C58CD3" w14:textId="25D72102" w:rsidR="003B60B8" w:rsidRPr="009D1C04" w:rsidRDefault="00CF7DBB" w:rsidP="00CC0712">
            <w:pPr>
              <w:shd w:val="clear" w:color="auto" w:fill="FFFFFF"/>
              <w:spacing w:before="120" w:after="120"/>
              <w:ind w:left="125" w:right="113"/>
              <w:jc w:val="both"/>
            </w:pPr>
            <w:r>
              <w:rPr>
                <w:bCs/>
                <w:color w:val="000000"/>
              </w:rPr>
              <w:t xml:space="preserve">Saeima, </w:t>
            </w:r>
            <w:bookmarkStart w:id="0" w:name="_GoBack"/>
            <w:r>
              <w:rPr>
                <w:bCs/>
                <w:color w:val="000000"/>
              </w:rPr>
              <w:t>Veselības ministrija un</w:t>
            </w:r>
            <w:bookmarkEnd w:id="0"/>
            <w:r>
              <w:rPr>
                <w:bCs/>
                <w:color w:val="000000"/>
              </w:rPr>
              <w:t xml:space="preserve"> Finanšu ministrija</w:t>
            </w:r>
          </w:p>
        </w:tc>
      </w:tr>
      <w:tr w:rsidR="003B60B8" w:rsidRPr="009D1C04" w14:paraId="7F80E9B4"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2568B" w14:textId="77777777" w:rsidR="003B60B8" w:rsidRPr="009D1C04" w:rsidRDefault="003B60B8" w:rsidP="007A7036">
            <w:pPr>
              <w:spacing w:before="120" w:after="120"/>
            </w:pPr>
            <w:r w:rsidRPr="009D1C04">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ECF0A" w14:textId="77777777" w:rsidR="003B60B8" w:rsidRPr="009D1C04" w:rsidRDefault="003B60B8" w:rsidP="007A7036">
            <w:pPr>
              <w:spacing w:before="120" w:after="120"/>
            </w:pPr>
            <w:r w:rsidRPr="009D1C04">
              <w:t xml:space="preserve">Projekta izpildes ietekme uz pārvaldes funkcijām un institucionālo struktūru. </w:t>
            </w:r>
          </w:p>
          <w:p w14:paraId="28B9837B" w14:textId="77777777" w:rsidR="003B60B8" w:rsidRPr="009D1C04" w:rsidRDefault="003B60B8" w:rsidP="007A7036">
            <w:pPr>
              <w:spacing w:before="120" w:after="120"/>
            </w:pPr>
            <w:r w:rsidRPr="009D1C04">
              <w:t>Jaunu institūciju izveide, esošu institūciju likvidācija vai reorganizācija, to ietekme uz institūcijas cilvēkresursiem</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E8A00" w14:textId="7D4E4836" w:rsidR="003B60B8" w:rsidRPr="009D1C04" w:rsidRDefault="003A1F70" w:rsidP="00CC0712">
            <w:pPr>
              <w:shd w:val="clear" w:color="auto" w:fill="FFFFFF"/>
              <w:spacing w:before="120" w:after="120"/>
              <w:ind w:left="125" w:right="113"/>
              <w:jc w:val="both"/>
            </w:pPr>
            <w:r w:rsidRPr="007D3E6E">
              <w:t>Projekts šo jomu neskar</w:t>
            </w:r>
          </w:p>
        </w:tc>
      </w:tr>
      <w:tr w:rsidR="009D36DE" w:rsidRPr="009D1C04" w14:paraId="6849D2ED"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929814" w14:textId="77777777" w:rsidR="009D36DE" w:rsidRPr="009D1C04" w:rsidRDefault="009D36DE" w:rsidP="007A7036">
            <w:pPr>
              <w:spacing w:before="120" w:after="120"/>
            </w:pPr>
            <w:r w:rsidRPr="009D1C04">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E0EA25" w14:textId="77777777" w:rsidR="009D36DE" w:rsidRPr="009D1C04" w:rsidRDefault="009D36DE" w:rsidP="007A7036">
            <w:pPr>
              <w:spacing w:before="120" w:after="120"/>
            </w:pPr>
            <w:r w:rsidRPr="009D1C04">
              <w:t>Cita informācija</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834DBB" w14:textId="64755FB6" w:rsidR="009D36DE" w:rsidRPr="009D1C04" w:rsidRDefault="008927D8" w:rsidP="007A7036">
            <w:pPr>
              <w:spacing w:before="120" w:after="120"/>
              <w:ind w:firstLine="1"/>
              <w:jc w:val="both"/>
            </w:pPr>
            <w:r>
              <w:t xml:space="preserve">    </w:t>
            </w:r>
            <w:r w:rsidR="009D36DE" w:rsidRPr="009D1C04">
              <w:t>Nav</w:t>
            </w:r>
          </w:p>
        </w:tc>
      </w:tr>
    </w:tbl>
    <w:p w14:paraId="732DBFB0" w14:textId="77777777" w:rsidR="009D36DE" w:rsidRPr="009D1C04" w:rsidRDefault="009D36DE" w:rsidP="000044FA">
      <w:pPr>
        <w:ind w:firstLine="720"/>
      </w:pPr>
    </w:p>
    <w:p w14:paraId="209D1381" w14:textId="55099FD2" w:rsidR="00D444BA" w:rsidRPr="00CE332B" w:rsidRDefault="00857FA9" w:rsidP="00AD7755">
      <w:pPr>
        <w:pStyle w:val="BodyText"/>
        <w:spacing w:before="120" w:after="120"/>
        <w:jc w:val="both"/>
        <w:rPr>
          <w:sz w:val="24"/>
        </w:rPr>
      </w:pPr>
      <w:r w:rsidRPr="00CE332B">
        <w:rPr>
          <w:sz w:val="24"/>
        </w:rPr>
        <w:t>Finanšu ministr</w:t>
      </w:r>
      <w:r w:rsidR="00866FAC">
        <w:rPr>
          <w:sz w:val="24"/>
        </w:rPr>
        <w:t>s</w:t>
      </w:r>
      <w:r w:rsidR="00A541A8" w:rsidRPr="00CE332B">
        <w:rPr>
          <w:sz w:val="24"/>
        </w:rPr>
        <w:tab/>
      </w:r>
      <w:r w:rsidR="00A541A8" w:rsidRPr="00CE332B">
        <w:rPr>
          <w:sz w:val="24"/>
        </w:rPr>
        <w:tab/>
      </w:r>
      <w:r w:rsidR="00A541A8" w:rsidRPr="00CE332B">
        <w:rPr>
          <w:sz w:val="24"/>
        </w:rPr>
        <w:tab/>
      </w:r>
      <w:r w:rsidR="00A541A8" w:rsidRPr="00CE332B">
        <w:rPr>
          <w:sz w:val="24"/>
        </w:rPr>
        <w:tab/>
      </w:r>
      <w:r w:rsidR="00A541A8" w:rsidRPr="00CE332B">
        <w:rPr>
          <w:sz w:val="24"/>
        </w:rPr>
        <w:tab/>
      </w:r>
      <w:r w:rsidR="00A541A8" w:rsidRPr="00CE332B">
        <w:rPr>
          <w:sz w:val="24"/>
        </w:rPr>
        <w:tab/>
      </w:r>
      <w:r w:rsidR="00A541A8" w:rsidRPr="00CE332B">
        <w:rPr>
          <w:sz w:val="24"/>
        </w:rPr>
        <w:tab/>
      </w:r>
      <w:r w:rsidR="00866FAC">
        <w:rPr>
          <w:sz w:val="24"/>
        </w:rPr>
        <w:tab/>
        <w:t>J. Reirs</w:t>
      </w:r>
    </w:p>
    <w:p w14:paraId="43C1EB7F" w14:textId="77777777" w:rsidR="000C703D" w:rsidRPr="009D1C04" w:rsidRDefault="000C703D" w:rsidP="000C703D">
      <w:pPr>
        <w:pStyle w:val="BodyText"/>
        <w:jc w:val="left"/>
        <w:rPr>
          <w:sz w:val="24"/>
        </w:rPr>
      </w:pPr>
    </w:p>
    <w:p w14:paraId="03EC0B71" w14:textId="77777777" w:rsidR="001A55AA" w:rsidRDefault="001A55AA" w:rsidP="000C703D">
      <w:pPr>
        <w:pStyle w:val="BodyText"/>
        <w:jc w:val="left"/>
        <w:rPr>
          <w:sz w:val="20"/>
          <w:szCs w:val="20"/>
        </w:rPr>
      </w:pPr>
    </w:p>
    <w:p w14:paraId="1BFBD1F5" w14:textId="77777777" w:rsidR="001A55AA" w:rsidRDefault="001A55AA" w:rsidP="000C703D">
      <w:pPr>
        <w:pStyle w:val="BodyText"/>
        <w:jc w:val="left"/>
        <w:rPr>
          <w:sz w:val="20"/>
          <w:szCs w:val="20"/>
        </w:rPr>
      </w:pPr>
    </w:p>
    <w:p w14:paraId="1534EE1A" w14:textId="77777777" w:rsidR="001A55AA" w:rsidRDefault="001A55AA" w:rsidP="000C703D">
      <w:pPr>
        <w:pStyle w:val="BodyText"/>
        <w:jc w:val="left"/>
        <w:rPr>
          <w:sz w:val="20"/>
          <w:szCs w:val="20"/>
        </w:rPr>
      </w:pPr>
    </w:p>
    <w:p w14:paraId="703FC368" w14:textId="77777777" w:rsidR="001A55AA" w:rsidRDefault="001A55AA" w:rsidP="000C703D">
      <w:pPr>
        <w:pStyle w:val="BodyText"/>
        <w:jc w:val="left"/>
        <w:rPr>
          <w:sz w:val="20"/>
          <w:szCs w:val="20"/>
        </w:rPr>
      </w:pPr>
    </w:p>
    <w:p w14:paraId="216C1385" w14:textId="77777777" w:rsidR="001A55AA" w:rsidRDefault="001A55AA" w:rsidP="000C703D">
      <w:pPr>
        <w:pStyle w:val="BodyText"/>
        <w:jc w:val="left"/>
        <w:rPr>
          <w:sz w:val="20"/>
          <w:szCs w:val="20"/>
        </w:rPr>
      </w:pPr>
    </w:p>
    <w:p w14:paraId="0A146DB6" w14:textId="77777777" w:rsidR="001A55AA" w:rsidRDefault="001A55AA" w:rsidP="000C703D">
      <w:pPr>
        <w:pStyle w:val="BodyText"/>
        <w:jc w:val="left"/>
        <w:rPr>
          <w:sz w:val="20"/>
          <w:szCs w:val="20"/>
        </w:rPr>
      </w:pPr>
    </w:p>
    <w:p w14:paraId="52B3EEDD" w14:textId="77777777" w:rsidR="001A55AA" w:rsidRDefault="001A55AA" w:rsidP="000C703D">
      <w:pPr>
        <w:pStyle w:val="BodyText"/>
        <w:jc w:val="left"/>
        <w:rPr>
          <w:sz w:val="20"/>
          <w:szCs w:val="20"/>
        </w:rPr>
      </w:pPr>
    </w:p>
    <w:p w14:paraId="21A544D2" w14:textId="77777777" w:rsidR="001A55AA" w:rsidRDefault="001A55AA" w:rsidP="000C703D">
      <w:pPr>
        <w:pStyle w:val="BodyText"/>
        <w:jc w:val="left"/>
        <w:rPr>
          <w:sz w:val="20"/>
          <w:szCs w:val="20"/>
        </w:rPr>
      </w:pPr>
    </w:p>
    <w:p w14:paraId="580F8F35" w14:textId="77777777" w:rsidR="00EC1E50" w:rsidRDefault="00EC1E50" w:rsidP="000C703D">
      <w:pPr>
        <w:pStyle w:val="BodyText"/>
        <w:jc w:val="left"/>
        <w:rPr>
          <w:sz w:val="20"/>
          <w:szCs w:val="20"/>
        </w:rPr>
      </w:pPr>
    </w:p>
    <w:p w14:paraId="613E5665" w14:textId="77777777" w:rsidR="00EC1E50" w:rsidRDefault="00EC1E50" w:rsidP="000C703D">
      <w:pPr>
        <w:pStyle w:val="BodyText"/>
        <w:jc w:val="left"/>
        <w:rPr>
          <w:sz w:val="20"/>
          <w:szCs w:val="20"/>
        </w:rPr>
      </w:pPr>
    </w:p>
    <w:p w14:paraId="2718163C" w14:textId="77777777" w:rsidR="00EC1E50" w:rsidRDefault="00EC1E50" w:rsidP="000C703D">
      <w:pPr>
        <w:pStyle w:val="BodyText"/>
        <w:jc w:val="left"/>
        <w:rPr>
          <w:sz w:val="20"/>
          <w:szCs w:val="20"/>
        </w:rPr>
      </w:pPr>
    </w:p>
    <w:p w14:paraId="734242DE" w14:textId="77777777" w:rsidR="00EC1E50" w:rsidRDefault="00EC1E50" w:rsidP="000C703D">
      <w:pPr>
        <w:pStyle w:val="BodyText"/>
        <w:jc w:val="left"/>
        <w:rPr>
          <w:sz w:val="20"/>
          <w:szCs w:val="20"/>
        </w:rPr>
      </w:pPr>
    </w:p>
    <w:p w14:paraId="01744C12" w14:textId="719EC6EC" w:rsidR="000C703D" w:rsidRPr="00A541A8" w:rsidRDefault="00866FAC" w:rsidP="000C703D">
      <w:pPr>
        <w:pStyle w:val="BodyText"/>
        <w:jc w:val="left"/>
        <w:rPr>
          <w:sz w:val="20"/>
          <w:szCs w:val="20"/>
        </w:rPr>
      </w:pPr>
      <w:r>
        <w:rPr>
          <w:sz w:val="20"/>
          <w:szCs w:val="20"/>
        </w:rPr>
        <w:t>Adijāne</w:t>
      </w:r>
      <w:r w:rsidR="000C703D" w:rsidRPr="00A541A8">
        <w:rPr>
          <w:sz w:val="20"/>
          <w:szCs w:val="20"/>
        </w:rPr>
        <w:t xml:space="preserve"> </w:t>
      </w:r>
      <w:r w:rsidR="00BF7635" w:rsidRPr="00A541A8">
        <w:rPr>
          <w:sz w:val="20"/>
          <w:szCs w:val="20"/>
        </w:rPr>
        <w:t>6</w:t>
      </w:r>
      <w:r w:rsidR="00DB37C4" w:rsidRPr="00A541A8">
        <w:rPr>
          <w:sz w:val="20"/>
          <w:szCs w:val="20"/>
        </w:rPr>
        <w:t>70</w:t>
      </w:r>
      <w:r>
        <w:rPr>
          <w:sz w:val="20"/>
          <w:szCs w:val="20"/>
        </w:rPr>
        <w:t>95437</w:t>
      </w:r>
    </w:p>
    <w:p w14:paraId="0B0080FC" w14:textId="1F6B090B" w:rsidR="002204E8" w:rsidRPr="006D49B1" w:rsidRDefault="00AF7FA2" w:rsidP="0093420F">
      <w:pPr>
        <w:pStyle w:val="BodyText"/>
        <w:jc w:val="left"/>
      </w:pPr>
      <w:hyperlink r:id="rId8" w:history="1">
        <w:r w:rsidR="00866FAC" w:rsidRPr="004E4979">
          <w:rPr>
            <w:rStyle w:val="Hyperlink"/>
            <w:sz w:val="20"/>
            <w:szCs w:val="20"/>
          </w:rPr>
          <w:t>zane.adijane@fm.gov.lv</w:t>
        </w:r>
      </w:hyperlink>
    </w:p>
    <w:sectPr w:rsidR="002204E8" w:rsidRPr="006D49B1" w:rsidSect="00332E30">
      <w:headerReference w:type="default" r:id="rId9"/>
      <w:footerReference w:type="default" r:id="rId10"/>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1DE1" w14:textId="77777777" w:rsidR="003A32DC" w:rsidRDefault="003A32DC" w:rsidP="009A7EE9">
      <w:r>
        <w:separator/>
      </w:r>
    </w:p>
  </w:endnote>
  <w:endnote w:type="continuationSeparator" w:id="0">
    <w:p w14:paraId="72F798C0" w14:textId="77777777" w:rsidR="003A32DC" w:rsidRDefault="003A32DC"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D748" w14:textId="59E202C8" w:rsidR="004B59D9" w:rsidRDefault="00936066">
    <w:pPr>
      <w:pStyle w:val="Footer"/>
    </w:pPr>
    <w:r>
      <w:rPr>
        <w:noProof/>
      </w:rPr>
      <w:fldChar w:fldCharType="begin"/>
    </w:r>
    <w:r>
      <w:rPr>
        <w:noProof/>
      </w:rPr>
      <w:instrText xml:space="preserve"> FILENAME \* MERGEFORMAT </w:instrText>
    </w:r>
    <w:r>
      <w:rPr>
        <w:noProof/>
      </w:rPr>
      <w:fldChar w:fldCharType="separate"/>
    </w:r>
    <w:r w:rsidR="001A55AA">
      <w:rPr>
        <w:noProof/>
      </w:rPr>
      <w:t>FMAnot_231120_pardale.docx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F06F" w14:textId="77777777" w:rsidR="003A32DC" w:rsidRDefault="003A32DC" w:rsidP="009A7EE9">
      <w:r>
        <w:separator/>
      </w:r>
    </w:p>
  </w:footnote>
  <w:footnote w:type="continuationSeparator" w:id="0">
    <w:p w14:paraId="2D5B1FA8" w14:textId="77777777" w:rsidR="003A32DC" w:rsidRDefault="003A32DC"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33290"/>
      <w:docPartObj>
        <w:docPartGallery w:val="Page Numbers (Top of Page)"/>
        <w:docPartUnique/>
      </w:docPartObj>
    </w:sdtPr>
    <w:sdtEndPr>
      <w:rPr>
        <w:noProof/>
      </w:rPr>
    </w:sdtEndPr>
    <w:sdtContent>
      <w:p w14:paraId="27F8A893" w14:textId="27093FE1" w:rsidR="00332E30" w:rsidRDefault="00332E30">
        <w:pPr>
          <w:pStyle w:val="Header"/>
          <w:jc w:val="center"/>
        </w:pPr>
        <w:r>
          <w:fldChar w:fldCharType="begin"/>
        </w:r>
        <w:r>
          <w:instrText xml:space="preserve"> PAGE   \* MERGEFORMAT </w:instrText>
        </w:r>
        <w:r>
          <w:fldChar w:fldCharType="separate"/>
        </w:r>
        <w:r w:rsidR="00AF7FA2">
          <w:rPr>
            <w:noProof/>
          </w:rPr>
          <w:t>3</w:t>
        </w:r>
        <w:r>
          <w:rPr>
            <w:noProof/>
          </w:rPr>
          <w:fldChar w:fldCharType="end"/>
        </w:r>
      </w:p>
    </w:sdtContent>
  </w:sdt>
  <w:p w14:paraId="61E88100"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24633"/>
    <w:multiLevelType w:val="hybridMultilevel"/>
    <w:tmpl w:val="241828BC"/>
    <w:lvl w:ilvl="0" w:tplc="31E44090">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9"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2"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3"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10"/>
  </w:num>
  <w:num w:numId="6">
    <w:abstractNumId w:val="14"/>
  </w:num>
  <w:num w:numId="7">
    <w:abstractNumId w:val="7"/>
  </w:num>
  <w:num w:numId="8">
    <w:abstractNumId w:val="15"/>
  </w:num>
  <w:num w:numId="9">
    <w:abstractNumId w:val="13"/>
  </w:num>
  <w:num w:numId="10">
    <w:abstractNumId w:val="12"/>
  </w:num>
  <w:num w:numId="11">
    <w:abstractNumId w:val="4"/>
  </w:num>
  <w:num w:numId="12">
    <w:abstractNumId w:val="2"/>
  </w:num>
  <w:num w:numId="13">
    <w:abstractNumId w:val="1"/>
  </w:num>
  <w:num w:numId="14">
    <w:abstractNumId w:val="1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1492C"/>
    <w:rsid w:val="00025B05"/>
    <w:rsid w:val="00034980"/>
    <w:rsid w:val="0005038A"/>
    <w:rsid w:val="00051512"/>
    <w:rsid w:val="000614F5"/>
    <w:rsid w:val="00061813"/>
    <w:rsid w:val="00064D12"/>
    <w:rsid w:val="00064E3F"/>
    <w:rsid w:val="00064F32"/>
    <w:rsid w:val="000766F8"/>
    <w:rsid w:val="000818D2"/>
    <w:rsid w:val="00085845"/>
    <w:rsid w:val="000916CE"/>
    <w:rsid w:val="0009380D"/>
    <w:rsid w:val="00094E3E"/>
    <w:rsid w:val="000A6B9A"/>
    <w:rsid w:val="000B283D"/>
    <w:rsid w:val="000B2CA0"/>
    <w:rsid w:val="000C07B8"/>
    <w:rsid w:val="000C703D"/>
    <w:rsid w:val="000D0EFF"/>
    <w:rsid w:val="000E4F21"/>
    <w:rsid w:val="000E5764"/>
    <w:rsid w:val="00103C3B"/>
    <w:rsid w:val="00110F94"/>
    <w:rsid w:val="00111617"/>
    <w:rsid w:val="00113049"/>
    <w:rsid w:val="00114BC2"/>
    <w:rsid w:val="0012264C"/>
    <w:rsid w:val="00132A31"/>
    <w:rsid w:val="00133B71"/>
    <w:rsid w:val="00140526"/>
    <w:rsid w:val="00147C52"/>
    <w:rsid w:val="001509E7"/>
    <w:rsid w:val="00152ECC"/>
    <w:rsid w:val="001554B8"/>
    <w:rsid w:val="00156E18"/>
    <w:rsid w:val="001611E9"/>
    <w:rsid w:val="00162EB9"/>
    <w:rsid w:val="00170CFC"/>
    <w:rsid w:val="00171A81"/>
    <w:rsid w:val="001769F9"/>
    <w:rsid w:val="00183027"/>
    <w:rsid w:val="00190648"/>
    <w:rsid w:val="00191879"/>
    <w:rsid w:val="0019469A"/>
    <w:rsid w:val="001A4ED5"/>
    <w:rsid w:val="001A5406"/>
    <w:rsid w:val="001A55AA"/>
    <w:rsid w:val="001B13DD"/>
    <w:rsid w:val="001B419D"/>
    <w:rsid w:val="001B4D01"/>
    <w:rsid w:val="001C0756"/>
    <w:rsid w:val="001C1669"/>
    <w:rsid w:val="001C59ED"/>
    <w:rsid w:val="001D036F"/>
    <w:rsid w:val="001E4212"/>
    <w:rsid w:val="0020584E"/>
    <w:rsid w:val="002125CA"/>
    <w:rsid w:val="002128BD"/>
    <w:rsid w:val="002204E8"/>
    <w:rsid w:val="002453D3"/>
    <w:rsid w:val="00261740"/>
    <w:rsid w:val="0027336A"/>
    <w:rsid w:val="00283E0D"/>
    <w:rsid w:val="00285775"/>
    <w:rsid w:val="002B19A5"/>
    <w:rsid w:val="002B3D2F"/>
    <w:rsid w:val="002B5EE7"/>
    <w:rsid w:val="002C3DC9"/>
    <w:rsid w:val="002D1159"/>
    <w:rsid w:val="002D3E38"/>
    <w:rsid w:val="002F1F4A"/>
    <w:rsid w:val="002F5428"/>
    <w:rsid w:val="002F6FE7"/>
    <w:rsid w:val="00301CBB"/>
    <w:rsid w:val="00303690"/>
    <w:rsid w:val="00304F3B"/>
    <w:rsid w:val="003102C3"/>
    <w:rsid w:val="00316575"/>
    <w:rsid w:val="00320C6A"/>
    <w:rsid w:val="0032120D"/>
    <w:rsid w:val="0032647A"/>
    <w:rsid w:val="00332E30"/>
    <w:rsid w:val="00335619"/>
    <w:rsid w:val="00345A45"/>
    <w:rsid w:val="00351240"/>
    <w:rsid w:val="00352431"/>
    <w:rsid w:val="00354448"/>
    <w:rsid w:val="00363F9A"/>
    <w:rsid w:val="00364193"/>
    <w:rsid w:val="00370F44"/>
    <w:rsid w:val="003735E2"/>
    <w:rsid w:val="003740D7"/>
    <w:rsid w:val="003A1F70"/>
    <w:rsid w:val="003A32DC"/>
    <w:rsid w:val="003B60B8"/>
    <w:rsid w:val="003C21F6"/>
    <w:rsid w:val="003C25E3"/>
    <w:rsid w:val="003C6F6D"/>
    <w:rsid w:val="003C7722"/>
    <w:rsid w:val="003D0E24"/>
    <w:rsid w:val="003D6A45"/>
    <w:rsid w:val="003D6BD2"/>
    <w:rsid w:val="003E3BD5"/>
    <w:rsid w:val="003E6601"/>
    <w:rsid w:val="003F10D1"/>
    <w:rsid w:val="003F1B84"/>
    <w:rsid w:val="003F4BF1"/>
    <w:rsid w:val="003F51B4"/>
    <w:rsid w:val="00403421"/>
    <w:rsid w:val="004071E3"/>
    <w:rsid w:val="00407869"/>
    <w:rsid w:val="0041332B"/>
    <w:rsid w:val="004170B3"/>
    <w:rsid w:val="00422A90"/>
    <w:rsid w:val="00422AFA"/>
    <w:rsid w:val="004407BB"/>
    <w:rsid w:val="004407DB"/>
    <w:rsid w:val="004422AA"/>
    <w:rsid w:val="00451A93"/>
    <w:rsid w:val="00455577"/>
    <w:rsid w:val="00457174"/>
    <w:rsid w:val="00462C22"/>
    <w:rsid w:val="0047084C"/>
    <w:rsid w:val="004727DB"/>
    <w:rsid w:val="00474ED8"/>
    <w:rsid w:val="00480A1B"/>
    <w:rsid w:val="00482307"/>
    <w:rsid w:val="0048561D"/>
    <w:rsid w:val="00486ED9"/>
    <w:rsid w:val="004876F3"/>
    <w:rsid w:val="00493060"/>
    <w:rsid w:val="00493BE8"/>
    <w:rsid w:val="004A456A"/>
    <w:rsid w:val="004A7D0E"/>
    <w:rsid w:val="004B0522"/>
    <w:rsid w:val="004B2FE6"/>
    <w:rsid w:val="004B4E72"/>
    <w:rsid w:val="004B59D9"/>
    <w:rsid w:val="004C4D7F"/>
    <w:rsid w:val="004D0A41"/>
    <w:rsid w:val="004D0D60"/>
    <w:rsid w:val="004D1D9A"/>
    <w:rsid w:val="004D5D23"/>
    <w:rsid w:val="004E661C"/>
    <w:rsid w:val="004E72EB"/>
    <w:rsid w:val="004F70B8"/>
    <w:rsid w:val="005222BD"/>
    <w:rsid w:val="00524414"/>
    <w:rsid w:val="00524926"/>
    <w:rsid w:val="005326E9"/>
    <w:rsid w:val="00532A75"/>
    <w:rsid w:val="005331D5"/>
    <w:rsid w:val="0053409A"/>
    <w:rsid w:val="00536C44"/>
    <w:rsid w:val="005419ED"/>
    <w:rsid w:val="00542B98"/>
    <w:rsid w:val="005437C3"/>
    <w:rsid w:val="00545A7B"/>
    <w:rsid w:val="005648B2"/>
    <w:rsid w:val="00567C3A"/>
    <w:rsid w:val="005717CC"/>
    <w:rsid w:val="005802FC"/>
    <w:rsid w:val="00580CBE"/>
    <w:rsid w:val="00583D19"/>
    <w:rsid w:val="005A1805"/>
    <w:rsid w:val="005B0615"/>
    <w:rsid w:val="005B08DC"/>
    <w:rsid w:val="005B7346"/>
    <w:rsid w:val="005C4DD7"/>
    <w:rsid w:val="005C5BDA"/>
    <w:rsid w:val="005D2988"/>
    <w:rsid w:val="005D32B1"/>
    <w:rsid w:val="005D489A"/>
    <w:rsid w:val="005D7715"/>
    <w:rsid w:val="005E0012"/>
    <w:rsid w:val="005E435A"/>
    <w:rsid w:val="005E6150"/>
    <w:rsid w:val="00603455"/>
    <w:rsid w:val="00611862"/>
    <w:rsid w:val="00612D73"/>
    <w:rsid w:val="00615766"/>
    <w:rsid w:val="006267BF"/>
    <w:rsid w:val="00630442"/>
    <w:rsid w:val="00632159"/>
    <w:rsid w:val="00632E11"/>
    <w:rsid w:val="006379D5"/>
    <w:rsid w:val="00641D60"/>
    <w:rsid w:val="00645290"/>
    <w:rsid w:val="0065034A"/>
    <w:rsid w:val="00652E48"/>
    <w:rsid w:val="00664DE2"/>
    <w:rsid w:val="00666039"/>
    <w:rsid w:val="00683A6E"/>
    <w:rsid w:val="00683B10"/>
    <w:rsid w:val="00684B77"/>
    <w:rsid w:val="0068729C"/>
    <w:rsid w:val="00693E8E"/>
    <w:rsid w:val="006B3BBA"/>
    <w:rsid w:val="006B61BD"/>
    <w:rsid w:val="006C79A1"/>
    <w:rsid w:val="006D245F"/>
    <w:rsid w:val="006D497B"/>
    <w:rsid w:val="006D49B1"/>
    <w:rsid w:val="006E12D2"/>
    <w:rsid w:val="006F2B5A"/>
    <w:rsid w:val="006F4715"/>
    <w:rsid w:val="0070316C"/>
    <w:rsid w:val="00705A8F"/>
    <w:rsid w:val="0071285B"/>
    <w:rsid w:val="00715709"/>
    <w:rsid w:val="00725640"/>
    <w:rsid w:val="00751999"/>
    <w:rsid w:val="00754E7D"/>
    <w:rsid w:val="007617A8"/>
    <w:rsid w:val="00763F04"/>
    <w:rsid w:val="0076428F"/>
    <w:rsid w:val="00764807"/>
    <w:rsid w:val="007733C9"/>
    <w:rsid w:val="00777791"/>
    <w:rsid w:val="00784421"/>
    <w:rsid w:val="00790DC9"/>
    <w:rsid w:val="00792495"/>
    <w:rsid w:val="00793B6F"/>
    <w:rsid w:val="00796134"/>
    <w:rsid w:val="007A1D9F"/>
    <w:rsid w:val="007A7036"/>
    <w:rsid w:val="007B6C93"/>
    <w:rsid w:val="007C300C"/>
    <w:rsid w:val="007D693E"/>
    <w:rsid w:val="007E0FA9"/>
    <w:rsid w:val="007E157D"/>
    <w:rsid w:val="007E492A"/>
    <w:rsid w:val="007F18B8"/>
    <w:rsid w:val="007F2E09"/>
    <w:rsid w:val="00811EAA"/>
    <w:rsid w:val="00814BB4"/>
    <w:rsid w:val="008278B4"/>
    <w:rsid w:val="00836717"/>
    <w:rsid w:val="008412CC"/>
    <w:rsid w:val="0084746C"/>
    <w:rsid w:val="00852507"/>
    <w:rsid w:val="00853AC5"/>
    <w:rsid w:val="00857FA9"/>
    <w:rsid w:val="0086037C"/>
    <w:rsid w:val="00860930"/>
    <w:rsid w:val="00860AA4"/>
    <w:rsid w:val="00866FAC"/>
    <w:rsid w:val="00867BB4"/>
    <w:rsid w:val="00870008"/>
    <w:rsid w:val="00871282"/>
    <w:rsid w:val="00875E3E"/>
    <w:rsid w:val="0088215D"/>
    <w:rsid w:val="008927D8"/>
    <w:rsid w:val="008A3323"/>
    <w:rsid w:val="008B46B2"/>
    <w:rsid w:val="008C0091"/>
    <w:rsid w:val="008C153E"/>
    <w:rsid w:val="008C4C8E"/>
    <w:rsid w:val="008C54BF"/>
    <w:rsid w:val="008D6352"/>
    <w:rsid w:val="008E0870"/>
    <w:rsid w:val="008E3A5B"/>
    <w:rsid w:val="008E3C19"/>
    <w:rsid w:val="008E5F54"/>
    <w:rsid w:val="008F0A2E"/>
    <w:rsid w:val="008F67C8"/>
    <w:rsid w:val="008F6918"/>
    <w:rsid w:val="00905312"/>
    <w:rsid w:val="009057D3"/>
    <w:rsid w:val="00916266"/>
    <w:rsid w:val="0091691A"/>
    <w:rsid w:val="009226DC"/>
    <w:rsid w:val="009228D2"/>
    <w:rsid w:val="00923946"/>
    <w:rsid w:val="00930BF9"/>
    <w:rsid w:val="00932481"/>
    <w:rsid w:val="0093420F"/>
    <w:rsid w:val="00936066"/>
    <w:rsid w:val="00945363"/>
    <w:rsid w:val="00945B73"/>
    <w:rsid w:val="009501D1"/>
    <w:rsid w:val="00962079"/>
    <w:rsid w:val="0097484D"/>
    <w:rsid w:val="009757FD"/>
    <w:rsid w:val="00977221"/>
    <w:rsid w:val="009807A5"/>
    <w:rsid w:val="00982034"/>
    <w:rsid w:val="009873B8"/>
    <w:rsid w:val="0099499C"/>
    <w:rsid w:val="00994CE2"/>
    <w:rsid w:val="00996A8E"/>
    <w:rsid w:val="00997653"/>
    <w:rsid w:val="00997DE8"/>
    <w:rsid w:val="009A48FE"/>
    <w:rsid w:val="009A4A62"/>
    <w:rsid w:val="009A7EE9"/>
    <w:rsid w:val="009C6D89"/>
    <w:rsid w:val="009D1C04"/>
    <w:rsid w:val="009D36DE"/>
    <w:rsid w:val="009D6BD4"/>
    <w:rsid w:val="009D6DC8"/>
    <w:rsid w:val="009E1890"/>
    <w:rsid w:val="009E4130"/>
    <w:rsid w:val="009E5A67"/>
    <w:rsid w:val="009E7875"/>
    <w:rsid w:val="009F065F"/>
    <w:rsid w:val="00A0018F"/>
    <w:rsid w:val="00A11E5A"/>
    <w:rsid w:val="00A12EFD"/>
    <w:rsid w:val="00A23985"/>
    <w:rsid w:val="00A310DC"/>
    <w:rsid w:val="00A37ADF"/>
    <w:rsid w:val="00A502A9"/>
    <w:rsid w:val="00A511BA"/>
    <w:rsid w:val="00A541A8"/>
    <w:rsid w:val="00A5756A"/>
    <w:rsid w:val="00A605A5"/>
    <w:rsid w:val="00A6237C"/>
    <w:rsid w:val="00A77AB6"/>
    <w:rsid w:val="00A8127B"/>
    <w:rsid w:val="00A85919"/>
    <w:rsid w:val="00A85F0B"/>
    <w:rsid w:val="00A914D2"/>
    <w:rsid w:val="00A93CF7"/>
    <w:rsid w:val="00A95B87"/>
    <w:rsid w:val="00A97350"/>
    <w:rsid w:val="00A97367"/>
    <w:rsid w:val="00AA1528"/>
    <w:rsid w:val="00AA4A17"/>
    <w:rsid w:val="00AA5033"/>
    <w:rsid w:val="00AB45E9"/>
    <w:rsid w:val="00AB7DDF"/>
    <w:rsid w:val="00AC14B6"/>
    <w:rsid w:val="00AC2DC9"/>
    <w:rsid w:val="00AC7C0E"/>
    <w:rsid w:val="00AD2335"/>
    <w:rsid w:val="00AD6E8B"/>
    <w:rsid w:val="00AD7755"/>
    <w:rsid w:val="00AE7DAC"/>
    <w:rsid w:val="00AF62AE"/>
    <w:rsid w:val="00AF7FA2"/>
    <w:rsid w:val="00B03683"/>
    <w:rsid w:val="00B14C2E"/>
    <w:rsid w:val="00B17BAC"/>
    <w:rsid w:val="00B27138"/>
    <w:rsid w:val="00B2761E"/>
    <w:rsid w:val="00B2791A"/>
    <w:rsid w:val="00B32D11"/>
    <w:rsid w:val="00B344E5"/>
    <w:rsid w:val="00B34B2E"/>
    <w:rsid w:val="00B3568E"/>
    <w:rsid w:val="00B37017"/>
    <w:rsid w:val="00B47322"/>
    <w:rsid w:val="00B4749B"/>
    <w:rsid w:val="00B50A1F"/>
    <w:rsid w:val="00B52F16"/>
    <w:rsid w:val="00B61A29"/>
    <w:rsid w:val="00B64477"/>
    <w:rsid w:val="00B65ECC"/>
    <w:rsid w:val="00B66D73"/>
    <w:rsid w:val="00B672D4"/>
    <w:rsid w:val="00B71A99"/>
    <w:rsid w:val="00B7663C"/>
    <w:rsid w:val="00B80688"/>
    <w:rsid w:val="00B87AF4"/>
    <w:rsid w:val="00B9673B"/>
    <w:rsid w:val="00BA091C"/>
    <w:rsid w:val="00BA0D84"/>
    <w:rsid w:val="00BA10D2"/>
    <w:rsid w:val="00BA4D20"/>
    <w:rsid w:val="00BA7EB5"/>
    <w:rsid w:val="00BB292A"/>
    <w:rsid w:val="00BB2AB5"/>
    <w:rsid w:val="00BB5CD5"/>
    <w:rsid w:val="00BB603C"/>
    <w:rsid w:val="00BD03C9"/>
    <w:rsid w:val="00BD2338"/>
    <w:rsid w:val="00BD4180"/>
    <w:rsid w:val="00BD7B24"/>
    <w:rsid w:val="00BE1183"/>
    <w:rsid w:val="00BE55E1"/>
    <w:rsid w:val="00BE6099"/>
    <w:rsid w:val="00BF0C19"/>
    <w:rsid w:val="00BF18C9"/>
    <w:rsid w:val="00BF7635"/>
    <w:rsid w:val="00C074A6"/>
    <w:rsid w:val="00C13638"/>
    <w:rsid w:val="00C24DBA"/>
    <w:rsid w:val="00C27C5D"/>
    <w:rsid w:val="00C30971"/>
    <w:rsid w:val="00C36718"/>
    <w:rsid w:val="00C41B93"/>
    <w:rsid w:val="00C4331C"/>
    <w:rsid w:val="00C437F7"/>
    <w:rsid w:val="00C44880"/>
    <w:rsid w:val="00C47FFC"/>
    <w:rsid w:val="00C57036"/>
    <w:rsid w:val="00C621A0"/>
    <w:rsid w:val="00C63899"/>
    <w:rsid w:val="00C64112"/>
    <w:rsid w:val="00C656FF"/>
    <w:rsid w:val="00C65820"/>
    <w:rsid w:val="00C66B75"/>
    <w:rsid w:val="00C73478"/>
    <w:rsid w:val="00C93AF9"/>
    <w:rsid w:val="00C94740"/>
    <w:rsid w:val="00CA1D83"/>
    <w:rsid w:val="00CA40C3"/>
    <w:rsid w:val="00CB2E04"/>
    <w:rsid w:val="00CC0712"/>
    <w:rsid w:val="00CC1E07"/>
    <w:rsid w:val="00CC55FA"/>
    <w:rsid w:val="00CE332B"/>
    <w:rsid w:val="00CE430D"/>
    <w:rsid w:val="00CF1350"/>
    <w:rsid w:val="00CF2F7B"/>
    <w:rsid w:val="00CF6797"/>
    <w:rsid w:val="00CF6DF6"/>
    <w:rsid w:val="00CF7DBB"/>
    <w:rsid w:val="00D03619"/>
    <w:rsid w:val="00D12A16"/>
    <w:rsid w:val="00D176A2"/>
    <w:rsid w:val="00D25421"/>
    <w:rsid w:val="00D309B0"/>
    <w:rsid w:val="00D312A6"/>
    <w:rsid w:val="00D3668B"/>
    <w:rsid w:val="00D41F3E"/>
    <w:rsid w:val="00D42E07"/>
    <w:rsid w:val="00D43AB3"/>
    <w:rsid w:val="00D444BA"/>
    <w:rsid w:val="00D54B2D"/>
    <w:rsid w:val="00D57F31"/>
    <w:rsid w:val="00D6079A"/>
    <w:rsid w:val="00D676DA"/>
    <w:rsid w:val="00D74838"/>
    <w:rsid w:val="00D82EC1"/>
    <w:rsid w:val="00D84D37"/>
    <w:rsid w:val="00D9234C"/>
    <w:rsid w:val="00D9355E"/>
    <w:rsid w:val="00D94EC3"/>
    <w:rsid w:val="00D97850"/>
    <w:rsid w:val="00DA2BB8"/>
    <w:rsid w:val="00DA451A"/>
    <w:rsid w:val="00DB1865"/>
    <w:rsid w:val="00DB37C4"/>
    <w:rsid w:val="00DB5A7F"/>
    <w:rsid w:val="00DB7B48"/>
    <w:rsid w:val="00DC2494"/>
    <w:rsid w:val="00DC37EA"/>
    <w:rsid w:val="00DC7876"/>
    <w:rsid w:val="00DE1003"/>
    <w:rsid w:val="00DE3336"/>
    <w:rsid w:val="00DF7062"/>
    <w:rsid w:val="00E06C5A"/>
    <w:rsid w:val="00E0769A"/>
    <w:rsid w:val="00E16501"/>
    <w:rsid w:val="00E218B9"/>
    <w:rsid w:val="00E315C4"/>
    <w:rsid w:val="00E33DB6"/>
    <w:rsid w:val="00E366AD"/>
    <w:rsid w:val="00E416EE"/>
    <w:rsid w:val="00E458CF"/>
    <w:rsid w:val="00E47E33"/>
    <w:rsid w:val="00E50E39"/>
    <w:rsid w:val="00E622DA"/>
    <w:rsid w:val="00E6509E"/>
    <w:rsid w:val="00E83006"/>
    <w:rsid w:val="00E84173"/>
    <w:rsid w:val="00E8499A"/>
    <w:rsid w:val="00E87600"/>
    <w:rsid w:val="00E9063D"/>
    <w:rsid w:val="00EA5D90"/>
    <w:rsid w:val="00EA673A"/>
    <w:rsid w:val="00EB7284"/>
    <w:rsid w:val="00EC1E50"/>
    <w:rsid w:val="00EC5F52"/>
    <w:rsid w:val="00ED0497"/>
    <w:rsid w:val="00ED59B9"/>
    <w:rsid w:val="00EE3ADF"/>
    <w:rsid w:val="00EE4F3E"/>
    <w:rsid w:val="00EE4FC4"/>
    <w:rsid w:val="00EF1444"/>
    <w:rsid w:val="00EF3BDC"/>
    <w:rsid w:val="00F10C52"/>
    <w:rsid w:val="00F14DB0"/>
    <w:rsid w:val="00F14F02"/>
    <w:rsid w:val="00F154FE"/>
    <w:rsid w:val="00F21AC1"/>
    <w:rsid w:val="00F270FF"/>
    <w:rsid w:val="00F32B28"/>
    <w:rsid w:val="00F405EC"/>
    <w:rsid w:val="00F418CA"/>
    <w:rsid w:val="00F46C31"/>
    <w:rsid w:val="00F529F2"/>
    <w:rsid w:val="00F5651C"/>
    <w:rsid w:val="00F6324C"/>
    <w:rsid w:val="00F72B01"/>
    <w:rsid w:val="00F81063"/>
    <w:rsid w:val="00F920C2"/>
    <w:rsid w:val="00F95876"/>
    <w:rsid w:val="00FA0AC6"/>
    <w:rsid w:val="00FA753E"/>
    <w:rsid w:val="00FB0AD6"/>
    <w:rsid w:val="00FB41DD"/>
    <w:rsid w:val="00FB72F9"/>
    <w:rsid w:val="00FC19DE"/>
    <w:rsid w:val="00FC2EA2"/>
    <w:rsid w:val="00FC73BD"/>
    <w:rsid w:val="00FD4884"/>
    <w:rsid w:val="00FD6AD3"/>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7430"/>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aliases w:val="2,Strip,H&amp;P List Paragraph,Saraksta rindkopa,Saraksta rindkopa1"/>
    <w:basedOn w:val="Normal"/>
    <w:link w:val="ListParagraphChar"/>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355E"/>
    <w:rPr>
      <w:sz w:val="16"/>
      <w:szCs w:val="16"/>
    </w:rPr>
  </w:style>
  <w:style w:type="paragraph" w:styleId="CommentText">
    <w:name w:val="annotation text"/>
    <w:basedOn w:val="Normal"/>
    <w:link w:val="CommentTextChar"/>
    <w:uiPriority w:val="99"/>
    <w:semiHidden/>
    <w:unhideWhenUsed/>
    <w:rsid w:val="00D9355E"/>
    <w:rPr>
      <w:sz w:val="20"/>
      <w:szCs w:val="20"/>
    </w:rPr>
  </w:style>
  <w:style w:type="character" w:customStyle="1" w:styleId="CommentTextChar">
    <w:name w:val="Comment Text Char"/>
    <w:basedOn w:val="DefaultParagraphFont"/>
    <w:link w:val="CommentText"/>
    <w:uiPriority w:val="99"/>
    <w:semiHidden/>
    <w:rsid w:val="00D9355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9355E"/>
    <w:rPr>
      <w:b/>
      <w:bCs/>
    </w:rPr>
  </w:style>
  <w:style w:type="character" w:customStyle="1" w:styleId="CommentSubjectChar">
    <w:name w:val="Comment Subject Char"/>
    <w:basedOn w:val="CommentTextChar"/>
    <w:link w:val="CommentSubject"/>
    <w:uiPriority w:val="99"/>
    <w:semiHidden/>
    <w:rsid w:val="00D9355E"/>
    <w:rPr>
      <w:rFonts w:ascii="Times New Roman" w:eastAsia="Times New Roman" w:hAnsi="Times New Roman" w:cs="Times New Roman"/>
      <w:b/>
      <w:bCs/>
      <w:sz w:val="20"/>
      <w:szCs w:val="20"/>
      <w:lang w:eastAsia="lv-LV"/>
    </w:rPr>
  </w:style>
  <w:style w:type="paragraph" w:styleId="NormalWeb">
    <w:name w:val="Normal (Web)"/>
    <w:basedOn w:val="Normal"/>
    <w:uiPriority w:val="99"/>
    <w:semiHidden/>
    <w:unhideWhenUsed/>
    <w:rsid w:val="00B47322"/>
    <w:rPr>
      <w:rFonts w:eastAsiaTheme="minorHAnsi"/>
      <w:lang w:val="en-US" w:eastAsia="en-US"/>
    </w:rPr>
  </w:style>
  <w:style w:type="character" w:customStyle="1" w:styleId="ListParagraphChar">
    <w:name w:val="List Paragraph Char"/>
    <w:aliases w:val="2 Char,Strip Char,H&amp;P List Paragraph Char,Saraksta rindkopa Char,Saraksta rindkopa1 Char"/>
    <w:link w:val="ListParagraph"/>
    <w:uiPriority w:val="34"/>
    <w:locked/>
    <w:rsid w:val="00C074A6"/>
    <w:rPr>
      <w:rFonts w:ascii="Times New Roman" w:eastAsia="Times New Roman" w:hAnsi="Times New Roman" w:cs="Times New Roman"/>
      <w:sz w:val="24"/>
      <w:szCs w:val="24"/>
      <w:lang w:eastAsia="lv-LV"/>
    </w:rPr>
  </w:style>
  <w:style w:type="paragraph" w:customStyle="1" w:styleId="tv213">
    <w:name w:val="tv213"/>
    <w:basedOn w:val="Normal"/>
    <w:rsid w:val="00C433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325059764">
      <w:bodyDiv w:val="1"/>
      <w:marLeft w:val="0"/>
      <w:marRight w:val="0"/>
      <w:marTop w:val="0"/>
      <w:marBottom w:val="0"/>
      <w:divBdr>
        <w:top w:val="none" w:sz="0" w:space="0" w:color="auto"/>
        <w:left w:val="none" w:sz="0" w:space="0" w:color="auto"/>
        <w:bottom w:val="none" w:sz="0" w:space="0" w:color="auto"/>
        <w:right w:val="none" w:sz="0" w:space="0" w:color="auto"/>
      </w:divBdr>
    </w:div>
    <w:div w:id="757940385">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069813662">
      <w:bodyDiv w:val="1"/>
      <w:marLeft w:val="0"/>
      <w:marRight w:val="0"/>
      <w:marTop w:val="0"/>
      <w:marBottom w:val="0"/>
      <w:divBdr>
        <w:top w:val="none" w:sz="0" w:space="0" w:color="auto"/>
        <w:left w:val="none" w:sz="0" w:space="0" w:color="auto"/>
        <w:bottom w:val="none" w:sz="0" w:space="0" w:color="auto"/>
        <w:right w:val="none" w:sz="0" w:space="0" w:color="auto"/>
      </w:divBdr>
    </w:div>
    <w:div w:id="1160921269">
      <w:bodyDiv w:val="1"/>
      <w:marLeft w:val="0"/>
      <w:marRight w:val="0"/>
      <w:marTop w:val="0"/>
      <w:marBottom w:val="0"/>
      <w:divBdr>
        <w:top w:val="none" w:sz="0" w:space="0" w:color="auto"/>
        <w:left w:val="none" w:sz="0" w:space="0" w:color="auto"/>
        <w:bottom w:val="none" w:sz="0" w:space="0" w:color="auto"/>
        <w:right w:val="none" w:sz="0" w:space="0" w:color="auto"/>
      </w:divBdr>
    </w:div>
    <w:div w:id="1249845728">
      <w:bodyDiv w:val="1"/>
      <w:marLeft w:val="0"/>
      <w:marRight w:val="0"/>
      <w:marTop w:val="0"/>
      <w:marBottom w:val="0"/>
      <w:divBdr>
        <w:top w:val="none" w:sz="0" w:space="0" w:color="auto"/>
        <w:left w:val="none" w:sz="0" w:space="0" w:color="auto"/>
        <w:bottom w:val="none" w:sz="0" w:space="0" w:color="auto"/>
        <w:right w:val="none" w:sz="0" w:space="0" w:color="auto"/>
      </w:divBdr>
    </w:div>
    <w:div w:id="1350795054">
      <w:bodyDiv w:val="1"/>
      <w:marLeft w:val="0"/>
      <w:marRight w:val="0"/>
      <w:marTop w:val="0"/>
      <w:marBottom w:val="0"/>
      <w:divBdr>
        <w:top w:val="none" w:sz="0" w:space="0" w:color="auto"/>
        <w:left w:val="none" w:sz="0" w:space="0" w:color="auto"/>
        <w:bottom w:val="none" w:sz="0" w:space="0" w:color="auto"/>
        <w:right w:val="none" w:sz="0" w:space="0" w:color="auto"/>
      </w:divBdr>
    </w:div>
    <w:div w:id="1838841549">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 w:id="20948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6B430-EA05-4CF3-A049-F24302A6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5</Pages>
  <Words>3901</Words>
  <Characters>2225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Finanšu ministrija</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Zane Adijāne</dc:creator>
  <cp:keywords/>
  <dc:description>zane.adijane@fm.gov.lv; 67095437</dc:description>
  <cp:lastModifiedBy>Zane Adijāne</cp:lastModifiedBy>
  <cp:revision>71</cp:revision>
  <cp:lastPrinted>2018-10-17T11:35:00Z</cp:lastPrinted>
  <dcterms:created xsi:type="dcterms:W3CDTF">2020-03-18T07:16:00Z</dcterms:created>
  <dcterms:modified xsi:type="dcterms:W3CDTF">2020-11-23T12:51:00Z</dcterms:modified>
</cp:coreProperties>
</file>