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7B" w:rsidRPr="00782B5F" w:rsidRDefault="0008027B" w:rsidP="00A97D63">
      <w:pPr>
        <w:shd w:val="clear" w:color="auto" w:fill="FFFFFF"/>
        <w:spacing w:after="0" w:line="240" w:lineRule="auto"/>
        <w:jc w:val="center"/>
        <w:rPr>
          <w:rFonts w:eastAsia="Times New Roman"/>
          <w:b/>
          <w:bCs/>
          <w:color w:val="414142"/>
          <w:sz w:val="27"/>
          <w:szCs w:val="27"/>
          <w:lang w:eastAsia="lv-LV"/>
        </w:rPr>
      </w:pPr>
      <w:bookmarkStart w:id="0" w:name="_GoBack"/>
      <w:bookmarkEnd w:id="0"/>
      <w:r w:rsidRPr="00782B5F">
        <w:rPr>
          <w:rFonts w:eastAsia="Times New Roman"/>
          <w:b/>
          <w:bCs/>
          <w:color w:val="414142"/>
          <w:sz w:val="27"/>
          <w:szCs w:val="27"/>
          <w:lang w:eastAsia="lv-LV"/>
        </w:rPr>
        <w:t>Finanšu sektora attīstības plāns 2021.–2023. gadam</w:t>
      </w:r>
    </w:p>
    <w:sdt>
      <w:sdtPr>
        <w:rPr>
          <w:rFonts w:eastAsiaTheme="minorHAnsi"/>
          <w:b w:val="0"/>
          <w:sz w:val="24"/>
          <w:szCs w:val="24"/>
          <w:lang w:val="lv-LV" w:eastAsia="en-US"/>
        </w:rPr>
        <w:id w:val="566851424"/>
        <w:docPartObj>
          <w:docPartGallery w:val="Table of Contents"/>
          <w:docPartUnique/>
        </w:docPartObj>
      </w:sdtPr>
      <w:sdtEndPr>
        <w:rPr>
          <w:bCs/>
          <w:noProof/>
        </w:rPr>
      </w:sdtEndPr>
      <w:sdtContent>
        <w:p w:rsidR="003E6F7E" w:rsidRDefault="00DF78F1">
          <w:pPr>
            <w:pStyle w:val="TOCHeading"/>
          </w:pPr>
          <w:r>
            <w:t>Saturs</w:t>
          </w:r>
        </w:p>
        <w:p w:rsidR="002849C5" w:rsidRDefault="003E6F7E">
          <w:pPr>
            <w:pStyle w:val="TOC1"/>
            <w:tabs>
              <w:tab w:val="right" w:leader="dot" w:pos="13948"/>
            </w:tabs>
            <w:rPr>
              <w:rFonts w:cstheme="minorBidi"/>
              <w:noProof/>
              <w:lang w:val="lv-LV" w:eastAsia="lv-LV"/>
            </w:rPr>
          </w:pPr>
          <w:r>
            <w:fldChar w:fldCharType="begin"/>
          </w:r>
          <w:r>
            <w:instrText xml:space="preserve"> TOC \o "1-3" \h \z \u </w:instrText>
          </w:r>
          <w:r>
            <w:fldChar w:fldCharType="separate"/>
          </w:r>
          <w:hyperlink w:anchor="_Toc55202479" w:history="1">
            <w:r w:rsidR="002849C5" w:rsidRPr="00E207BE">
              <w:rPr>
                <w:rStyle w:val="Hyperlink"/>
                <w:noProof/>
              </w:rPr>
              <w:t>Kopsavilkums</w:t>
            </w:r>
            <w:r w:rsidR="002849C5">
              <w:rPr>
                <w:noProof/>
                <w:webHidden/>
              </w:rPr>
              <w:tab/>
            </w:r>
            <w:r w:rsidR="002849C5">
              <w:rPr>
                <w:noProof/>
                <w:webHidden/>
              </w:rPr>
              <w:fldChar w:fldCharType="begin"/>
            </w:r>
            <w:r w:rsidR="002849C5">
              <w:rPr>
                <w:noProof/>
                <w:webHidden/>
              </w:rPr>
              <w:instrText xml:space="preserve"> PAGEREF _Toc55202479 \h </w:instrText>
            </w:r>
            <w:r w:rsidR="002849C5">
              <w:rPr>
                <w:noProof/>
                <w:webHidden/>
              </w:rPr>
            </w:r>
            <w:r w:rsidR="002849C5">
              <w:rPr>
                <w:noProof/>
                <w:webHidden/>
              </w:rPr>
              <w:fldChar w:fldCharType="separate"/>
            </w:r>
            <w:r w:rsidR="002849C5">
              <w:rPr>
                <w:noProof/>
                <w:webHidden/>
              </w:rPr>
              <w:t>5</w:t>
            </w:r>
            <w:r w:rsidR="002849C5">
              <w:rPr>
                <w:noProof/>
                <w:webHidden/>
              </w:rPr>
              <w:fldChar w:fldCharType="end"/>
            </w:r>
          </w:hyperlink>
        </w:p>
        <w:p w:rsidR="002849C5" w:rsidRDefault="00AD70AB">
          <w:pPr>
            <w:pStyle w:val="TOC1"/>
            <w:tabs>
              <w:tab w:val="right" w:leader="dot" w:pos="13948"/>
            </w:tabs>
            <w:rPr>
              <w:rFonts w:cstheme="minorBidi"/>
              <w:noProof/>
              <w:lang w:val="lv-LV" w:eastAsia="lv-LV"/>
            </w:rPr>
          </w:pPr>
          <w:hyperlink w:anchor="_Toc55202480" w:history="1">
            <w:r w:rsidR="002849C5" w:rsidRPr="00E207BE">
              <w:rPr>
                <w:rStyle w:val="Hyperlink"/>
                <w:noProof/>
              </w:rPr>
              <w:t>1. Esošās situācijas raksturojums</w:t>
            </w:r>
            <w:r w:rsidR="002849C5">
              <w:rPr>
                <w:noProof/>
                <w:webHidden/>
              </w:rPr>
              <w:tab/>
            </w:r>
            <w:r w:rsidR="002849C5">
              <w:rPr>
                <w:noProof/>
                <w:webHidden/>
              </w:rPr>
              <w:fldChar w:fldCharType="begin"/>
            </w:r>
            <w:r w:rsidR="002849C5">
              <w:rPr>
                <w:noProof/>
                <w:webHidden/>
              </w:rPr>
              <w:instrText xml:space="preserve"> PAGEREF _Toc55202480 \h </w:instrText>
            </w:r>
            <w:r w:rsidR="002849C5">
              <w:rPr>
                <w:noProof/>
                <w:webHidden/>
              </w:rPr>
            </w:r>
            <w:r w:rsidR="002849C5">
              <w:rPr>
                <w:noProof/>
                <w:webHidden/>
              </w:rPr>
              <w:fldChar w:fldCharType="separate"/>
            </w:r>
            <w:r w:rsidR="002849C5">
              <w:rPr>
                <w:noProof/>
                <w:webHidden/>
              </w:rPr>
              <w:t>6</w:t>
            </w:r>
            <w:r w:rsidR="002849C5">
              <w:rPr>
                <w:noProof/>
                <w:webHidden/>
              </w:rPr>
              <w:fldChar w:fldCharType="end"/>
            </w:r>
          </w:hyperlink>
        </w:p>
        <w:p w:rsidR="002849C5" w:rsidRDefault="00AD70AB">
          <w:pPr>
            <w:pStyle w:val="TOC1"/>
            <w:tabs>
              <w:tab w:val="right" w:leader="dot" w:pos="13948"/>
            </w:tabs>
            <w:rPr>
              <w:rFonts w:cstheme="minorBidi"/>
              <w:noProof/>
              <w:lang w:val="lv-LV" w:eastAsia="lv-LV"/>
            </w:rPr>
          </w:pPr>
          <w:hyperlink w:anchor="_Toc55202481" w:history="1">
            <w:r w:rsidR="002849C5" w:rsidRPr="00E207BE">
              <w:rPr>
                <w:rStyle w:val="Hyperlink"/>
                <w:noProof/>
              </w:rPr>
              <w:t>2. Plāna mērķis un rīcības virzieni</w:t>
            </w:r>
            <w:r w:rsidR="002849C5">
              <w:rPr>
                <w:noProof/>
                <w:webHidden/>
              </w:rPr>
              <w:tab/>
            </w:r>
            <w:r w:rsidR="002849C5">
              <w:rPr>
                <w:noProof/>
                <w:webHidden/>
              </w:rPr>
              <w:fldChar w:fldCharType="begin"/>
            </w:r>
            <w:r w:rsidR="002849C5">
              <w:rPr>
                <w:noProof/>
                <w:webHidden/>
              </w:rPr>
              <w:instrText xml:space="preserve"> PAGEREF _Toc55202481 \h </w:instrText>
            </w:r>
            <w:r w:rsidR="002849C5">
              <w:rPr>
                <w:noProof/>
                <w:webHidden/>
              </w:rPr>
            </w:r>
            <w:r w:rsidR="002849C5">
              <w:rPr>
                <w:noProof/>
                <w:webHidden/>
              </w:rPr>
              <w:fldChar w:fldCharType="separate"/>
            </w:r>
            <w:r w:rsidR="002849C5">
              <w:rPr>
                <w:noProof/>
                <w:webHidden/>
              </w:rPr>
              <w:t>10</w:t>
            </w:r>
            <w:r w:rsidR="002849C5">
              <w:rPr>
                <w:noProof/>
                <w:webHidden/>
              </w:rPr>
              <w:fldChar w:fldCharType="end"/>
            </w:r>
          </w:hyperlink>
        </w:p>
        <w:p w:rsidR="002849C5" w:rsidRDefault="00AD70AB">
          <w:pPr>
            <w:pStyle w:val="TOC1"/>
            <w:tabs>
              <w:tab w:val="right" w:leader="dot" w:pos="13948"/>
            </w:tabs>
            <w:rPr>
              <w:rFonts w:cstheme="minorBidi"/>
              <w:noProof/>
              <w:lang w:val="lv-LV" w:eastAsia="lv-LV"/>
            </w:rPr>
          </w:pPr>
          <w:hyperlink w:anchor="_Toc55202482" w:history="1">
            <w:r w:rsidR="002849C5" w:rsidRPr="00E207BE">
              <w:rPr>
                <w:rStyle w:val="Hyperlink"/>
                <w:noProof/>
              </w:rPr>
              <w:t>3. Finansējuma pieejamība un investīciju iespējas</w:t>
            </w:r>
            <w:r w:rsidR="002849C5">
              <w:rPr>
                <w:noProof/>
                <w:webHidden/>
              </w:rPr>
              <w:tab/>
            </w:r>
            <w:r w:rsidR="002849C5">
              <w:rPr>
                <w:noProof/>
                <w:webHidden/>
              </w:rPr>
              <w:fldChar w:fldCharType="begin"/>
            </w:r>
            <w:r w:rsidR="002849C5">
              <w:rPr>
                <w:noProof/>
                <w:webHidden/>
              </w:rPr>
              <w:instrText xml:space="preserve"> PAGEREF _Toc55202482 \h </w:instrText>
            </w:r>
            <w:r w:rsidR="002849C5">
              <w:rPr>
                <w:noProof/>
                <w:webHidden/>
              </w:rPr>
            </w:r>
            <w:r w:rsidR="002849C5">
              <w:rPr>
                <w:noProof/>
                <w:webHidden/>
              </w:rPr>
              <w:fldChar w:fldCharType="separate"/>
            </w:r>
            <w:r w:rsidR="002849C5">
              <w:rPr>
                <w:noProof/>
                <w:webHidden/>
              </w:rPr>
              <w:t>11</w:t>
            </w:r>
            <w:r w:rsidR="002849C5">
              <w:rPr>
                <w:noProof/>
                <w:webHidden/>
              </w:rPr>
              <w:fldChar w:fldCharType="end"/>
            </w:r>
          </w:hyperlink>
        </w:p>
        <w:p w:rsidR="002849C5" w:rsidRDefault="00AD70AB">
          <w:pPr>
            <w:pStyle w:val="TOC2"/>
            <w:tabs>
              <w:tab w:val="right" w:leader="dot" w:pos="13948"/>
            </w:tabs>
            <w:rPr>
              <w:rFonts w:cstheme="minorBidi"/>
              <w:noProof/>
              <w:lang w:val="lv-LV" w:eastAsia="lv-LV"/>
            </w:rPr>
          </w:pPr>
          <w:hyperlink w:anchor="_Toc55202483" w:history="1">
            <w:r w:rsidR="002849C5" w:rsidRPr="00E207BE">
              <w:rPr>
                <w:rStyle w:val="Hyperlink"/>
                <w:noProof/>
              </w:rPr>
              <w:t>3.1. Kreditēšana</w:t>
            </w:r>
            <w:r w:rsidR="002849C5">
              <w:rPr>
                <w:noProof/>
                <w:webHidden/>
              </w:rPr>
              <w:tab/>
            </w:r>
            <w:r w:rsidR="002849C5">
              <w:rPr>
                <w:noProof/>
                <w:webHidden/>
              </w:rPr>
              <w:fldChar w:fldCharType="begin"/>
            </w:r>
            <w:r w:rsidR="002849C5">
              <w:rPr>
                <w:noProof/>
                <w:webHidden/>
              </w:rPr>
              <w:instrText xml:space="preserve"> PAGEREF _Toc55202483 \h </w:instrText>
            </w:r>
            <w:r w:rsidR="002849C5">
              <w:rPr>
                <w:noProof/>
                <w:webHidden/>
              </w:rPr>
            </w:r>
            <w:r w:rsidR="002849C5">
              <w:rPr>
                <w:noProof/>
                <w:webHidden/>
              </w:rPr>
              <w:fldChar w:fldCharType="separate"/>
            </w:r>
            <w:r w:rsidR="002849C5">
              <w:rPr>
                <w:noProof/>
                <w:webHidden/>
              </w:rPr>
              <w:t>11</w:t>
            </w:r>
            <w:r w:rsidR="002849C5">
              <w:rPr>
                <w:noProof/>
                <w:webHidden/>
              </w:rPr>
              <w:fldChar w:fldCharType="end"/>
            </w:r>
          </w:hyperlink>
        </w:p>
        <w:p w:rsidR="002849C5" w:rsidRDefault="00AD70AB">
          <w:pPr>
            <w:pStyle w:val="TOC2"/>
            <w:tabs>
              <w:tab w:val="right" w:leader="dot" w:pos="13948"/>
            </w:tabs>
            <w:rPr>
              <w:rFonts w:cstheme="minorBidi"/>
              <w:noProof/>
              <w:lang w:val="lv-LV" w:eastAsia="lv-LV"/>
            </w:rPr>
          </w:pPr>
          <w:hyperlink w:anchor="_Toc55202484" w:history="1">
            <w:r w:rsidR="002849C5" w:rsidRPr="00E207BE">
              <w:rPr>
                <w:rStyle w:val="Hyperlink"/>
                <w:noProof/>
              </w:rPr>
              <w:t>3.2. Kapitāla tirgus</w:t>
            </w:r>
            <w:r w:rsidR="002849C5">
              <w:rPr>
                <w:noProof/>
                <w:webHidden/>
              </w:rPr>
              <w:tab/>
            </w:r>
            <w:r w:rsidR="002849C5">
              <w:rPr>
                <w:noProof/>
                <w:webHidden/>
              </w:rPr>
              <w:fldChar w:fldCharType="begin"/>
            </w:r>
            <w:r w:rsidR="002849C5">
              <w:rPr>
                <w:noProof/>
                <w:webHidden/>
              </w:rPr>
              <w:instrText xml:space="preserve"> PAGEREF _Toc55202484 \h </w:instrText>
            </w:r>
            <w:r w:rsidR="002849C5">
              <w:rPr>
                <w:noProof/>
                <w:webHidden/>
              </w:rPr>
            </w:r>
            <w:r w:rsidR="002849C5">
              <w:rPr>
                <w:noProof/>
                <w:webHidden/>
              </w:rPr>
              <w:fldChar w:fldCharType="separate"/>
            </w:r>
            <w:r w:rsidR="002849C5">
              <w:rPr>
                <w:noProof/>
                <w:webHidden/>
              </w:rPr>
              <w:t>14</w:t>
            </w:r>
            <w:r w:rsidR="002849C5">
              <w:rPr>
                <w:noProof/>
                <w:webHidden/>
              </w:rPr>
              <w:fldChar w:fldCharType="end"/>
            </w:r>
          </w:hyperlink>
        </w:p>
        <w:p w:rsidR="002849C5" w:rsidRDefault="00AD70AB">
          <w:pPr>
            <w:pStyle w:val="TOC2"/>
            <w:tabs>
              <w:tab w:val="right" w:leader="dot" w:pos="13948"/>
            </w:tabs>
            <w:rPr>
              <w:rFonts w:cstheme="minorBidi"/>
              <w:noProof/>
              <w:lang w:val="lv-LV" w:eastAsia="lv-LV"/>
            </w:rPr>
          </w:pPr>
          <w:hyperlink w:anchor="_Toc55202485" w:history="1">
            <w:r w:rsidR="002849C5" w:rsidRPr="00E207BE">
              <w:rPr>
                <w:rStyle w:val="Hyperlink"/>
                <w:noProof/>
              </w:rPr>
              <w:t>3.3. Pensiju fondi</w:t>
            </w:r>
            <w:r w:rsidR="002849C5">
              <w:rPr>
                <w:noProof/>
                <w:webHidden/>
              </w:rPr>
              <w:tab/>
            </w:r>
            <w:r w:rsidR="002849C5">
              <w:rPr>
                <w:noProof/>
                <w:webHidden/>
              </w:rPr>
              <w:fldChar w:fldCharType="begin"/>
            </w:r>
            <w:r w:rsidR="002849C5">
              <w:rPr>
                <w:noProof/>
                <w:webHidden/>
              </w:rPr>
              <w:instrText xml:space="preserve"> PAGEREF _Toc55202485 \h </w:instrText>
            </w:r>
            <w:r w:rsidR="002849C5">
              <w:rPr>
                <w:noProof/>
                <w:webHidden/>
              </w:rPr>
            </w:r>
            <w:r w:rsidR="002849C5">
              <w:rPr>
                <w:noProof/>
                <w:webHidden/>
              </w:rPr>
              <w:fldChar w:fldCharType="separate"/>
            </w:r>
            <w:r w:rsidR="002849C5">
              <w:rPr>
                <w:noProof/>
                <w:webHidden/>
              </w:rPr>
              <w:t>16</w:t>
            </w:r>
            <w:r w:rsidR="002849C5">
              <w:rPr>
                <w:noProof/>
                <w:webHidden/>
              </w:rPr>
              <w:fldChar w:fldCharType="end"/>
            </w:r>
          </w:hyperlink>
        </w:p>
        <w:p w:rsidR="002849C5" w:rsidRDefault="00AD70AB">
          <w:pPr>
            <w:pStyle w:val="TOC2"/>
            <w:tabs>
              <w:tab w:val="right" w:leader="dot" w:pos="13948"/>
            </w:tabs>
            <w:rPr>
              <w:rFonts w:cstheme="minorBidi"/>
              <w:noProof/>
              <w:lang w:val="lv-LV" w:eastAsia="lv-LV"/>
            </w:rPr>
          </w:pPr>
          <w:hyperlink w:anchor="_Toc55202486" w:history="1">
            <w:r w:rsidR="002849C5" w:rsidRPr="00E207BE">
              <w:rPr>
                <w:rStyle w:val="Hyperlink"/>
                <w:noProof/>
              </w:rPr>
              <w:t>3.4. Apdrošināšana</w:t>
            </w:r>
            <w:r w:rsidR="002849C5">
              <w:rPr>
                <w:noProof/>
                <w:webHidden/>
              </w:rPr>
              <w:tab/>
            </w:r>
            <w:r w:rsidR="002849C5">
              <w:rPr>
                <w:noProof/>
                <w:webHidden/>
              </w:rPr>
              <w:fldChar w:fldCharType="begin"/>
            </w:r>
            <w:r w:rsidR="002849C5">
              <w:rPr>
                <w:noProof/>
                <w:webHidden/>
              </w:rPr>
              <w:instrText xml:space="preserve"> PAGEREF _Toc55202486 \h </w:instrText>
            </w:r>
            <w:r w:rsidR="002849C5">
              <w:rPr>
                <w:noProof/>
                <w:webHidden/>
              </w:rPr>
            </w:r>
            <w:r w:rsidR="002849C5">
              <w:rPr>
                <w:noProof/>
                <w:webHidden/>
              </w:rPr>
              <w:fldChar w:fldCharType="separate"/>
            </w:r>
            <w:r w:rsidR="002849C5">
              <w:rPr>
                <w:noProof/>
                <w:webHidden/>
              </w:rPr>
              <w:t>19</w:t>
            </w:r>
            <w:r w:rsidR="002849C5">
              <w:rPr>
                <w:noProof/>
                <w:webHidden/>
              </w:rPr>
              <w:fldChar w:fldCharType="end"/>
            </w:r>
          </w:hyperlink>
        </w:p>
        <w:p w:rsidR="002849C5" w:rsidRDefault="00AD70AB">
          <w:pPr>
            <w:pStyle w:val="TOC2"/>
            <w:tabs>
              <w:tab w:val="right" w:leader="dot" w:pos="13948"/>
            </w:tabs>
            <w:rPr>
              <w:rFonts w:cstheme="minorBidi"/>
              <w:noProof/>
              <w:lang w:val="lv-LV" w:eastAsia="lv-LV"/>
            </w:rPr>
          </w:pPr>
          <w:hyperlink w:anchor="_Toc55202487" w:history="1">
            <w:r w:rsidR="002849C5" w:rsidRPr="00E207BE">
              <w:rPr>
                <w:rStyle w:val="Hyperlink"/>
                <w:noProof/>
              </w:rPr>
              <w:t>3.5. Mājsaimniecību uzkrājumi un ieguldījumi</w:t>
            </w:r>
            <w:r w:rsidR="002849C5">
              <w:rPr>
                <w:noProof/>
                <w:webHidden/>
              </w:rPr>
              <w:tab/>
            </w:r>
            <w:r w:rsidR="002849C5">
              <w:rPr>
                <w:noProof/>
                <w:webHidden/>
              </w:rPr>
              <w:fldChar w:fldCharType="begin"/>
            </w:r>
            <w:r w:rsidR="002849C5">
              <w:rPr>
                <w:noProof/>
                <w:webHidden/>
              </w:rPr>
              <w:instrText xml:space="preserve"> PAGEREF _Toc55202487 \h </w:instrText>
            </w:r>
            <w:r w:rsidR="002849C5">
              <w:rPr>
                <w:noProof/>
                <w:webHidden/>
              </w:rPr>
            </w:r>
            <w:r w:rsidR="002849C5">
              <w:rPr>
                <w:noProof/>
                <w:webHidden/>
              </w:rPr>
              <w:fldChar w:fldCharType="separate"/>
            </w:r>
            <w:r w:rsidR="002849C5">
              <w:rPr>
                <w:noProof/>
                <w:webHidden/>
              </w:rPr>
              <w:t>21</w:t>
            </w:r>
            <w:r w:rsidR="002849C5">
              <w:rPr>
                <w:noProof/>
                <w:webHidden/>
              </w:rPr>
              <w:fldChar w:fldCharType="end"/>
            </w:r>
          </w:hyperlink>
        </w:p>
        <w:p w:rsidR="002849C5" w:rsidRDefault="00AD70AB">
          <w:pPr>
            <w:pStyle w:val="TOC2"/>
            <w:tabs>
              <w:tab w:val="right" w:leader="dot" w:pos="13948"/>
            </w:tabs>
            <w:rPr>
              <w:rFonts w:cstheme="minorBidi"/>
              <w:noProof/>
              <w:lang w:val="lv-LV" w:eastAsia="lv-LV"/>
            </w:rPr>
          </w:pPr>
          <w:hyperlink w:anchor="_Toc55202488" w:history="1">
            <w:r w:rsidR="002849C5" w:rsidRPr="00E207BE">
              <w:rPr>
                <w:rStyle w:val="Hyperlink"/>
                <w:noProof/>
              </w:rPr>
              <w:t>3.6. AS “Attīstības finanšu institūcijas Altum” atbalsta programmas</w:t>
            </w:r>
            <w:r w:rsidR="002849C5">
              <w:rPr>
                <w:noProof/>
                <w:webHidden/>
              </w:rPr>
              <w:tab/>
            </w:r>
            <w:r w:rsidR="002849C5">
              <w:rPr>
                <w:noProof/>
                <w:webHidden/>
              </w:rPr>
              <w:fldChar w:fldCharType="begin"/>
            </w:r>
            <w:r w:rsidR="002849C5">
              <w:rPr>
                <w:noProof/>
                <w:webHidden/>
              </w:rPr>
              <w:instrText xml:space="preserve"> PAGEREF _Toc55202488 \h </w:instrText>
            </w:r>
            <w:r w:rsidR="002849C5">
              <w:rPr>
                <w:noProof/>
                <w:webHidden/>
              </w:rPr>
            </w:r>
            <w:r w:rsidR="002849C5">
              <w:rPr>
                <w:noProof/>
                <w:webHidden/>
              </w:rPr>
              <w:fldChar w:fldCharType="separate"/>
            </w:r>
            <w:r w:rsidR="002849C5">
              <w:rPr>
                <w:noProof/>
                <w:webHidden/>
              </w:rPr>
              <w:t>23</w:t>
            </w:r>
            <w:r w:rsidR="002849C5">
              <w:rPr>
                <w:noProof/>
                <w:webHidden/>
              </w:rPr>
              <w:fldChar w:fldCharType="end"/>
            </w:r>
          </w:hyperlink>
        </w:p>
        <w:p w:rsidR="002849C5" w:rsidRDefault="00AD70AB">
          <w:pPr>
            <w:pStyle w:val="TOC2"/>
            <w:tabs>
              <w:tab w:val="right" w:leader="dot" w:pos="13948"/>
            </w:tabs>
            <w:rPr>
              <w:rFonts w:cstheme="minorBidi"/>
              <w:noProof/>
              <w:lang w:val="lv-LV" w:eastAsia="lv-LV"/>
            </w:rPr>
          </w:pPr>
          <w:hyperlink w:anchor="_Toc55202489" w:history="1">
            <w:r w:rsidR="002849C5" w:rsidRPr="00E207BE">
              <w:rPr>
                <w:rStyle w:val="Hyperlink"/>
                <w:noProof/>
              </w:rPr>
              <w:t>3.7. Starptautisko finanšu institūciju finanšu instrumenti</w:t>
            </w:r>
            <w:r w:rsidR="002849C5">
              <w:rPr>
                <w:noProof/>
                <w:webHidden/>
              </w:rPr>
              <w:tab/>
            </w:r>
            <w:r w:rsidR="002849C5">
              <w:rPr>
                <w:noProof/>
                <w:webHidden/>
              </w:rPr>
              <w:fldChar w:fldCharType="begin"/>
            </w:r>
            <w:r w:rsidR="002849C5">
              <w:rPr>
                <w:noProof/>
                <w:webHidden/>
              </w:rPr>
              <w:instrText xml:space="preserve"> PAGEREF _Toc55202489 \h </w:instrText>
            </w:r>
            <w:r w:rsidR="002849C5">
              <w:rPr>
                <w:noProof/>
                <w:webHidden/>
              </w:rPr>
            </w:r>
            <w:r w:rsidR="002849C5">
              <w:rPr>
                <w:noProof/>
                <w:webHidden/>
              </w:rPr>
              <w:fldChar w:fldCharType="separate"/>
            </w:r>
            <w:r w:rsidR="002849C5">
              <w:rPr>
                <w:noProof/>
                <w:webHidden/>
              </w:rPr>
              <w:t>24</w:t>
            </w:r>
            <w:r w:rsidR="002849C5">
              <w:rPr>
                <w:noProof/>
                <w:webHidden/>
              </w:rPr>
              <w:fldChar w:fldCharType="end"/>
            </w:r>
          </w:hyperlink>
        </w:p>
        <w:p w:rsidR="002849C5" w:rsidRDefault="00AD70AB">
          <w:pPr>
            <w:pStyle w:val="TOC1"/>
            <w:tabs>
              <w:tab w:val="right" w:leader="dot" w:pos="13948"/>
            </w:tabs>
            <w:rPr>
              <w:rFonts w:cstheme="minorBidi"/>
              <w:noProof/>
              <w:lang w:val="lv-LV" w:eastAsia="lv-LV"/>
            </w:rPr>
          </w:pPr>
          <w:hyperlink w:anchor="_Toc55202490" w:history="1">
            <w:r w:rsidR="002849C5" w:rsidRPr="00E207BE">
              <w:rPr>
                <w:rStyle w:val="Hyperlink"/>
                <w:noProof/>
              </w:rPr>
              <w:t>4. Digitalizācija un inovatīvu pakalpojumu pieejamība</w:t>
            </w:r>
            <w:r w:rsidR="002849C5">
              <w:rPr>
                <w:noProof/>
                <w:webHidden/>
              </w:rPr>
              <w:tab/>
            </w:r>
            <w:r w:rsidR="002849C5">
              <w:rPr>
                <w:noProof/>
                <w:webHidden/>
              </w:rPr>
              <w:fldChar w:fldCharType="begin"/>
            </w:r>
            <w:r w:rsidR="002849C5">
              <w:rPr>
                <w:noProof/>
                <w:webHidden/>
              </w:rPr>
              <w:instrText xml:space="preserve"> PAGEREF _Toc55202490 \h </w:instrText>
            </w:r>
            <w:r w:rsidR="002849C5">
              <w:rPr>
                <w:noProof/>
                <w:webHidden/>
              </w:rPr>
            </w:r>
            <w:r w:rsidR="002849C5">
              <w:rPr>
                <w:noProof/>
                <w:webHidden/>
              </w:rPr>
              <w:fldChar w:fldCharType="separate"/>
            </w:r>
            <w:r w:rsidR="002849C5">
              <w:rPr>
                <w:noProof/>
                <w:webHidden/>
              </w:rPr>
              <w:t>33</w:t>
            </w:r>
            <w:r w:rsidR="002849C5">
              <w:rPr>
                <w:noProof/>
                <w:webHidden/>
              </w:rPr>
              <w:fldChar w:fldCharType="end"/>
            </w:r>
          </w:hyperlink>
        </w:p>
        <w:p w:rsidR="002849C5" w:rsidRDefault="00AD70AB">
          <w:pPr>
            <w:pStyle w:val="TOC2"/>
            <w:tabs>
              <w:tab w:val="right" w:leader="dot" w:pos="13948"/>
            </w:tabs>
            <w:rPr>
              <w:rFonts w:cstheme="minorBidi"/>
              <w:noProof/>
              <w:lang w:val="lv-LV" w:eastAsia="lv-LV"/>
            </w:rPr>
          </w:pPr>
          <w:hyperlink w:anchor="_Toc55202491" w:history="1">
            <w:r w:rsidR="002849C5" w:rsidRPr="00E207BE">
              <w:rPr>
                <w:rStyle w:val="Hyperlink"/>
                <w:noProof/>
              </w:rPr>
              <w:t>4.1. ES politikas pasākumi digitālās pārejas un inovatīvu finanšu pakalpojumu veicināšanā</w:t>
            </w:r>
            <w:r w:rsidR="002849C5">
              <w:rPr>
                <w:noProof/>
                <w:webHidden/>
              </w:rPr>
              <w:tab/>
            </w:r>
            <w:r w:rsidR="002849C5">
              <w:rPr>
                <w:noProof/>
                <w:webHidden/>
              </w:rPr>
              <w:fldChar w:fldCharType="begin"/>
            </w:r>
            <w:r w:rsidR="002849C5">
              <w:rPr>
                <w:noProof/>
                <w:webHidden/>
              </w:rPr>
              <w:instrText xml:space="preserve"> PAGEREF _Toc55202491 \h </w:instrText>
            </w:r>
            <w:r w:rsidR="002849C5">
              <w:rPr>
                <w:noProof/>
                <w:webHidden/>
              </w:rPr>
            </w:r>
            <w:r w:rsidR="002849C5">
              <w:rPr>
                <w:noProof/>
                <w:webHidden/>
              </w:rPr>
              <w:fldChar w:fldCharType="separate"/>
            </w:r>
            <w:r w:rsidR="002849C5">
              <w:rPr>
                <w:noProof/>
                <w:webHidden/>
              </w:rPr>
              <w:t>33</w:t>
            </w:r>
            <w:r w:rsidR="002849C5">
              <w:rPr>
                <w:noProof/>
                <w:webHidden/>
              </w:rPr>
              <w:fldChar w:fldCharType="end"/>
            </w:r>
          </w:hyperlink>
        </w:p>
        <w:p w:rsidR="002849C5" w:rsidRDefault="00AD70AB">
          <w:pPr>
            <w:pStyle w:val="TOC2"/>
            <w:tabs>
              <w:tab w:val="right" w:leader="dot" w:pos="13948"/>
            </w:tabs>
            <w:rPr>
              <w:rFonts w:cstheme="minorBidi"/>
              <w:noProof/>
              <w:lang w:val="lv-LV" w:eastAsia="lv-LV"/>
            </w:rPr>
          </w:pPr>
          <w:hyperlink w:anchor="_Toc55202492" w:history="1">
            <w:r w:rsidR="002849C5" w:rsidRPr="00E207BE">
              <w:rPr>
                <w:rStyle w:val="Hyperlink"/>
                <w:noProof/>
              </w:rPr>
              <w:t>4.2. Finanšu sektora inovācija un finanšu pakalpojumu digitalizācija</w:t>
            </w:r>
            <w:r w:rsidR="002849C5">
              <w:rPr>
                <w:noProof/>
                <w:webHidden/>
              </w:rPr>
              <w:tab/>
            </w:r>
            <w:r w:rsidR="002849C5">
              <w:rPr>
                <w:noProof/>
                <w:webHidden/>
              </w:rPr>
              <w:fldChar w:fldCharType="begin"/>
            </w:r>
            <w:r w:rsidR="002849C5">
              <w:rPr>
                <w:noProof/>
                <w:webHidden/>
              </w:rPr>
              <w:instrText xml:space="preserve"> PAGEREF _Toc55202492 \h </w:instrText>
            </w:r>
            <w:r w:rsidR="002849C5">
              <w:rPr>
                <w:noProof/>
                <w:webHidden/>
              </w:rPr>
            </w:r>
            <w:r w:rsidR="002849C5">
              <w:rPr>
                <w:noProof/>
                <w:webHidden/>
              </w:rPr>
              <w:fldChar w:fldCharType="separate"/>
            </w:r>
            <w:r w:rsidR="002849C5">
              <w:rPr>
                <w:noProof/>
                <w:webHidden/>
              </w:rPr>
              <w:t>36</w:t>
            </w:r>
            <w:r w:rsidR="002849C5">
              <w:rPr>
                <w:noProof/>
                <w:webHidden/>
              </w:rPr>
              <w:fldChar w:fldCharType="end"/>
            </w:r>
          </w:hyperlink>
        </w:p>
        <w:p w:rsidR="002849C5" w:rsidRDefault="00AD70AB">
          <w:pPr>
            <w:pStyle w:val="TOC2"/>
            <w:tabs>
              <w:tab w:val="right" w:leader="dot" w:pos="13948"/>
            </w:tabs>
            <w:rPr>
              <w:rFonts w:cstheme="minorBidi"/>
              <w:noProof/>
              <w:lang w:val="lv-LV" w:eastAsia="lv-LV"/>
            </w:rPr>
          </w:pPr>
          <w:hyperlink w:anchor="_Toc55202493" w:history="1">
            <w:r w:rsidR="002849C5" w:rsidRPr="00E207BE">
              <w:rPr>
                <w:rStyle w:val="Hyperlink"/>
                <w:noProof/>
              </w:rPr>
              <w:t>4.3. Nebanku finanšu sektors</w:t>
            </w:r>
            <w:r w:rsidR="002849C5">
              <w:rPr>
                <w:noProof/>
                <w:webHidden/>
              </w:rPr>
              <w:tab/>
            </w:r>
            <w:r w:rsidR="002849C5">
              <w:rPr>
                <w:noProof/>
                <w:webHidden/>
              </w:rPr>
              <w:fldChar w:fldCharType="begin"/>
            </w:r>
            <w:r w:rsidR="002849C5">
              <w:rPr>
                <w:noProof/>
                <w:webHidden/>
              </w:rPr>
              <w:instrText xml:space="preserve"> PAGEREF _Toc55202493 \h </w:instrText>
            </w:r>
            <w:r w:rsidR="002849C5">
              <w:rPr>
                <w:noProof/>
                <w:webHidden/>
              </w:rPr>
            </w:r>
            <w:r w:rsidR="002849C5">
              <w:rPr>
                <w:noProof/>
                <w:webHidden/>
              </w:rPr>
              <w:fldChar w:fldCharType="separate"/>
            </w:r>
            <w:r w:rsidR="002849C5">
              <w:rPr>
                <w:noProof/>
                <w:webHidden/>
              </w:rPr>
              <w:t>39</w:t>
            </w:r>
            <w:r w:rsidR="002849C5">
              <w:rPr>
                <w:noProof/>
                <w:webHidden/>
              </w:rPr>
              <w:fldChar w:fldCharType="end"/>
            </w:r>
          </w:hyperlink>
        </w:p>
        <w:p w:rsidR="002849C5" w:rsidRDefault="00AD70AB">
          <w:pPr>
            <w:pStyle w:val="TOC2"/>
            <w:tabs>
              <w:tab w:val="right" w:leader="dot" w:pos="13948"/>
            </w:tabs>
            <w:rPr>
              <w:rFonts w:cstheme="minorBidi"/>
              <w:noProof/>
              <w:lang w:val="lv-LV" w:eastAsia="lv-LV"/>
            </w:rPr>
          </w:pPr>
          <w:hyperlink w:anchor="_Toc55202494" w:history="1">
            <w:r w:rsidR="002849C5" w:rsidRPr="00E207BE">
              <w:rPr>
                <w:rStyle w:val="Hyperlink"/>
                <w:noProof/>
              </w:rPr>
              <w:t>4.4. Datu atvērtība un digitalizācija Latvijā</w:t>
            </w:r>
            <w:r w:rsidR="002849C5">
              <w:rPr>
                <w:noProof/>
                <w:webHidden/>
              </w:rPr>
              <w:tab/>
            </w:r>
            <w:r w:rsidR="002849C5">
              <w:rPr>
                <w:noProof/>
                <w:webHidden/>
              </w:rPr>
              <w:fldChar w:fldCharType="begin"/>
            </w:r>
            <w:r w:rsidR="002849C5">
              <w:rPr>
                <w:noProof/>
                <w:webHidden/>
              </w:rPr>
              <w:instrText xml:space="preserve"> PAGEREF _Toc55202494 \h </w:instrText>
            </w:r>
            <w:r w:rsidR="002849C5">
              <w:rPr>
                <w:noProof/>
                <w:webHidden/>
              </w:rPr>
            </w:r>
            <w:r w:rsidR="002849C5">
              <w:rPr>
                <w:noProof/>
                <w:webHidden/>
              </w:rPr>
              <w:fldChar w:fldCharType="separate"/>
            </w:r>
            <w:r w:rsidR="002849C5">
              <w:rPr>
                <w:noProof/>
                <w:webHidden/>
              </w:rPr>
              <w:t>43</w:t>
            </w:r>
            <w:r w:rsidR="002849C5">
              <w:rPr>
                <w:noProof/>
                <w:webHidden/>
              </w:rPr>
              <w:fldChar w:fldCharType="end"/>
            </w:r>
          </w:hyperlink>
        </w:p>
        <w:p w:rsidR="002849C5" w:rsidRDefault="00AD70AB">
          <w:pPr>
            <w:pStyle w:val="TOC1"/>
            <w:tabs>
              <w:tab w:val="right" w:leader="dot" w:pos="13948"/>
            </w:tabs>
            <w:rPr>
              <w:rFonts w:cstheme="minorBidi"/>
              <w:noProof/>
              <w:lang w:val="lv-LV" w:eastAsia="lv-LV"/>
            </w:rPr>
          </w:pPr>
          <w:hyperlink w:anchor="_Toc55202495" w:history="1">
            <w:r w:rsidR="002849C5" w:rsidRPr="00E207BE">
              <w:rPr>
                <w:rStyle w:val="Hyperlink"/>
                <w:noProof/>
              </w:rPr>
              <w:t>5. Ilgtspējīgas finanses</w:t>
            </w:r>
            <w:r w:rsidR="002849C5">
              <w:rPr>
                <w:noProof/>
                <w:webHidden/>
              </w:rPr>
              <w:tab/>
            </w:r>
            <w:r w:rsidR="002849C5">
              <w:rPr>
                <w:noProof/>
                <w:webHidden/>
              </w:rPr>
              <w:fldChar w:fldCharType="begin"/>
            </w:r>
            <w:r w:rsidR="002849C5">
              <w:rPr>
                <w:noProof/>
                <w:webHidden/>
              </w:rPr>
              <w:instrText xml:space="preserve"> PAGEREF _Toc55202495 \h </w:instrText>
            </w:r>
            <w:r w:rsidR="002849C5">
              <w:rPr>
                <w:noProof/>
                <w:webHidden/>
              </w:rPr>
            </w:r>
            <w:r w:rsidR="002849C5">
              <w:rPr>
                <w:noProof/>
                <w:webHidden/>
              </w:rPr>
              <w:fldChar w:fldCharType="separate"/>
            </w:r>
            <w:r w:rsidR="002849C5">
              <w:rPr>
                <w:noProof/>
                <w:webHidden/>
              </w:rPr>
              <w:t>52</w:t>
            </w:r>
            <w:r w:rsidR="002849C5">
              <w:rPr>
                <w:noProof/>
                <w:webHidden/>
              </w:rPr>
              <w:fldChar w:fldCharType="end"/>
            </w:r>
          </w:hyperlink>
        </w:p>
        <w:p w:rsidR="002849C5" w:rsidRDefault="00AD70AB">
          <w:pPr>
            <w:pStyle w:val="TOC2"/>
            <w:tabs>
              <w:tab w:val="right" w:leader="dot" w:pos="13948"/>
            </w:tabs>
            <w:rPr>
              <w:rFonts w:cstheme="minorBidi"/>
              <w:noProof/>
              <w:lang w:val="lv-LV" w:eastAsia="lv-LV"/>
            </w:rPr>
          </w:pPr>
          <w:hyperlink w:anchor="_Toc55202496" w:history="1">
            <w:r w:rsidR="002849C5" w:rsidRPr="00E207BE">
              <w:rPr>
                <w:rStyle w:val="Hyperlink"/>
                <w:noProof/>
              </w:rPr>
              <w:t>5.1. ES iniciatīvas par klimata pārmaiņām un ilgtspējīgām finansēm</w:t>
            </w:r>
            <w:r w:rsidR="002849C5">
              <w:rPr>
                <w:noProof/>
                <w:webHidden/>
              </w:rPr>
              <w:tab/>
            </w:r>
            <w:r w:rsidR="002849C5">
              <w:rPr>
                <w:noProof/>
                <w:webHidden/>
              </w:rPr>
              <w:fldChar w:fldCharType="begin"/>
            </w:r>
            <w:r w:rsidR="002849C5">
              <w:rPr>
                <w:noProof/>
                <w:webHidden/>
              </w:rPr>
              <w:instrText xml:space="preserve"> PAGEREF _Toc55202496 \h </w:instrText>
            </w:r>
            <w:r w:rsidR="002849C5">
              <w:rPr>
                <w:noProof/>
                <w:webHidden/>
              </w:rPr>
            </w:r>
            <w:r w:rsidR="002849C5">
              <w:rPr>
                <w:noProof/>
                <w:webHidden/>
              </w:rPr>
              <w:fldChar w:fldCharType="separate"/>
            </w:r>
            <w:r w:rsidR="002849C5">
              <w:rPr>
                <w:noProof/>
                <w:webHidden/>
              </w:rPr>
              <w:t>53</w:t>
            </w:r>
            <w:r w:rsidR="002849C5">
              <w:rPr>
                <w:noProof/>
                <w:webHidden/>
              </w:rPr>
              <w:fldChar w:fldCharType="end"/>
            </w:r>
          </w:hyperlink>
        </w:p>
        <w:p w:rsidR="002849C5" w:rsidRDefault="00AD70AB">
          <w:pPr>
            <w:pStyle w:val="TOC2"/>
            <w:tabs>
              <w:tab w:val="right" w:leader="dot" w:pos="13948"/>
            </w:tabs>
            <w:rPr>
              <w:rFonts w:cstheme="minorBidi"/>
              <w:noProof/>
              <w:lang w:val="lv-LV" w:eastAsia="lv-LV"/>
            </w:rPr>
          </w:pPr>
          <w:hyperlink w:anchor="_Toc55202497" w:history="1">
            <w:r w:rsidR="002849C5" w:rsidRPr="00E207BE">
              <w:rPr>
                <w:rStyle w:val="Hyperlink"/>
                <w:noProof/>
              </w:rPr>
              <w:t>5.2. Zaļās obligācijas Latvijā</w:t>
            </w:r>
            <w:r w:rsidR="002849C5">
              <w:rPr>
                <w:noProof/>
                <w:webHidden/>
              </w:rPr>
              <w:tab/>
            </w:r>
            <w:r w:rsidR="002849C5">
              <w:rPr>
                <w:noProof/>
                <w:webHidden/>
              </w:rPr>
              <w:fldChar w:fldCharType="begin"/>
            </w:r>
            <w:r w:rsidR="002849C5">
              <w:rPr>
                <w:noProof/>
                <w:webHidden/>
              </w:rPr>
              <w:instrText xml:space="preserve"> PAGEREF _Toc55202497 \h </w:instrText>
            </w:r>
            <w:r w:rsidR="002849C5">
              <w:rPr>
                <w:noProof/>
                <w:webHidden/>
              </w:rPr>
            </w:r>
            <w:r w:rsidR="002849C5">
              <w:rPr>
                <w:noProof/>
                <w:webHidden/>
              </w:rPr>
              <w:fldChar w:fldCharType="separate"/>
            </w:r>
            <w:r w:rsidR="002849C5">
              <w:rPr>
                <w:noProof/>
                <w:webHidden/>
              </w:rPr>
              <w:t>56</w:t>
            </w:r>
            <w:r w:rsidR="002849C5">
              <w:rPr>
                <w:noProof/>
                <w:webHidden/>
              </w:rPr>
              <w:fldChar w:fldCharType="end"/>
            </w:r>
          </w:hyperlink>
        </w:p>
        <w:p w:rsidR="002849C5" w:rsidRDefault="00AD70AB">
          <w:pPr>
            <w:pStyle w:val="TOC1"/>
            <w:tabs>
              <w:tab w:val="right" w:leader="dot" w:pos="13948"/>
            </w:tabs>
            <w:rPr>
              <w:rFonts w:cstheme="minorBidi"/>
              <w:noProof/>
              <w:lang w:val="lv-LV" w:eastAsia="lv-LV"/>
            </w:rPr>
          </w:pPr>
          <w:hyperlink w:anchor="_Toc55202498" w:history="1">
            <w:r w:rsidR="002849C5" w:rsidRPr="00E207BE">
              <w:rPr>
                <w:rStyle w:val="Hyperlink"/>
                <w:noProof/>
              </w:rPr>
              <w:t>6. Plāna ietekmes novērtējums uz valsts un pašvaldību budžetu</w:t>
            </w:r>
            <w:r w:rsidR="002849C5">
              <w:rPr>
                <w:noProof/>
                <w:webHidden/>
              </w:rPr>
              <w:tab/>
            </w:r>
            <w:r w:rsidR="002849C5">
              <w:rPr>
                <w:noProof/>
                <w:webHidden/>
              </w:rPr>
              <w:fldChar w:fldCharType="begin"/>
            </w:r>
            <w:r w:rsidR="002849C5">
              <w:rPr>
                <w:noProof/>
                <w:webHidden/>
              </w:rPr>
              <w:instrText xml:space="preserve"> PAGEREF _Toc55202498 \h </w:instrText>
            </w:r>
            <w:r w:rsidR="002849C5">
              <w:rPr>
                <w:noProof/>
                <w:webHidden/>
              </w:rPr>
            </w:r>
            <w:r w:rsidR="002849C5">
              <w:rPr>
                <w:noProof/>
                <w:webHidden/>
              </w:rPr>
              <w:fldChar w:fldCharType="separate"/>
            </w:r>
            <w:r w:rsidR="002849C5">
              <w:rPr>
                <w:noProof/>
                <w:webHidden/>
              </w:rPr>
              <w:t>60</w:t>
            </w:r>
            <w:r w:rsidR="002849C5">
              <w:rPr>
                <w:noProof/>
                <w:webHidden/>
              </w:rPr>
              <w:fldChar w:fldCharType="end"/>
            </w:r>
          </w:hyperlink>
        </w:p>
        <w:p w:rsidR="003E6F7E" w:rsidRDefault="003E6F7E">
          <w:r>
            <w:rPr>
              <w:b/>
              <w:bCs/>
              <w:noProof/>
            </w:rPr>
            <w:fldChar w:fldCharType="end"/>
          </w:r>
        </w:p>
      </w:sdtContent>
    </w:sdt>
    <w:p w:rsidR="003E6F7E" w:rsidRPr="00DB73C4" w:rsidRDefault="003E6F7E" w:rsidP="00FC6086">
      <w:pPr>
        <w:shd w:val="clear" w:color="auto" w:fill="FFFFFF"/>
        <w:spacing w:before="100" w:beforeAutospacing="1" w:after="100" w:afterAutospacing="1" w:line="240" w:lineRule="auto"/>
        <w:ind w:firstLine="300"/>
        <w:jc w:val="center"/>
        <w:rPr>
          <w:rFonts w:eastAsia="Times New Roman"/>
          <w:b/>
          <w:bCs/>
          <w:color w:val="414142"/>
          <w:u w:val="single"/>
          <w:lang w:eastAsia="lv-LV"/>
        </w:rPr>
      </w:pPr>
    </w:p>
    <w:p w:rsidR="004D60A7" w:rsidRDefault="004D60A7">
      <w:pPr>
        <w:rPr>
          <w:rFonts w:eastAsia="Times New Roman"/>
          <w:b/>
          <w:bCs/>
          <w:caps/>
          <w:bdr w:val="none" w:sz="0" w:space="0" w:color="auto" w:frame="1"/>
          <w:lang w:eastAsia="lv-LV"/>
        </w:rPr>
      </w:pPr>
      <w:r>
        <w:rPr>
          <w:rFonts w:eastAsia="Times New Roman"/>
          <w:b/>
          <w:bCs/>
          <w:caps/>
          <w:bdr w:val="none" w:sz="0" w:space="0" w:color="auto" w:frame="1"/>
          <w:lang w:eastAsia="lv-LV"/>
        </w:rPr>
        <w:br w:type="page"/>
      </w:r>
    </w:p>
    <w:p w:rsidR="00E279A5" w:rsidRDefault="00E279A5" w:rsidP="00E279A5">
      <w:pPr>
        <w:shd w:val="clear" w:color="auto" w:fill="FFFFFF"/>
        <w:spacing w:before="100" w:beforeAutospacing="1" w:after="100" w:afterAutospacing="1" w:line="240" w:lineRule="auto"/>
        <w:ind w:firstLine="300"/>
        <w:rPr>
          <w:rFonts w:eastAsia="Times New Roman"/>
          <w:b/>
          <w:bCs/>
          <w:caps/>
          <w:bdr w:val="none" w:sz="0" w:space="0" w:color="auto" w:frame="1"/>
          <w:lang w:eastAsia="lv-LV"/>
        </w:rPr>
      </w:pPr>
      <w:r w:rsidRPr="00DB73C4">
        <w:rPr>
          <w:rFonts w:eastAsia="Times New Roman"/>
          <w:b/>
          <w:bCs/>
          <w:caps/>
          <w:bdr w:val="none" w:sz="0" w:space="0" w:color="auto" w:frame="1"/>
          <w:lang w:eastAsia="lv-LV"/>
        </w:rPr>
        <w:lastRenderedPageBreak/>
        <w:t>LIETOTIE SAĪSINĀJUMI</w:t>
      </w:r>
    </w:p>
    <w:tbl>
      <w:tblPr>
        <w:tblW w:w="8420" w:type="dxa"/>
        <w:tblLook w:val="04A0" w:firstRow="1" w:lastRow="0" w:firstColumn="1" w:lastColumn="0" w:noHBand="0" w:noVBand="1"/>
      </w:tblPr>
      <w:tblGrid>
        <w:gridCol w:w="1590"/>
        <w:gridCol w:w="7000"/>
      </w:tblGrid>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ALTUM</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AS Attīstības finanšu institūcija Altum</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BIS</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Starptautiskā Norēķinu Banka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CFLA</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Centrālā finanšu līgumu aģentūra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 xml:space="preserve">ECB </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Eiropas Centrālā Banka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EIB</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Eiropas Investīciju Banka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EK</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Eiropas Komisija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EM</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Ekonomikas ministrija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EPAB</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Eiropas Padomes Attīstības Banka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ERAB</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Eiropas Rekonstrukcijas un Attīstības bankas </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ES</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Eiropas Savienība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ESG</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Vides, sociālie un pārvaldības jautājumi</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FATF</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Finanšu darījumu darba grupa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FID</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Finanšu Izlūkošanas dienests</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FKTK</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Finanšu un kapitāla tirgus</w:t>
            </w:r>
            <w:r w:rsidR="00B67795">
              <w:rPr>
                <w:rFonts w:eastAsia="Times New Roman"/>
                <w:color w:val="000000"/>
                <w:lang w:eastAsia="lv-LV"/>
              </w:rPr>
              <w:t xml:space="preserve"> </w:t>
            </w:r>
            <w:r w:rsidRPr="00934086">
              <w:rPr>
                <w:rFonts w:eastAsia="Times New Roman"/>
                <w:color w:val="000000"/>
                <w:lang w:eastAsia="lv-LV"/>
              </w:rPr>
              <w:t>komisija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FM</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Finanšu ministrija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FSAP</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Finanšu sektora attīstības padome</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IeM</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Iekšlietu ministrija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IFC</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Starptautiskās finanšu korporācijas</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IZM</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Izglītības un Zinātnes ministrija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LAA</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Latvijas Apdrošinātāju asociācija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LAFPA</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Latvijas Alternatīvo finanšu pakalpojumu asociācija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LB</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Latvijas Banka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LFNA</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Latvijas Finanšu nozares asociācija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LIAA</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Latvijas Investīciju un attīstības aģentūra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LM</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Labklājības ministrija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lastRenderedPageBreak/>
              <w:t>LMENA</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Latvijas Maksājumu pakalpojumu un elektroniskās naudas iestāžu asociācija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LVCA</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Latvijas Riska Kapitāla Asociācija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MK</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Ministru Kabinets</w:t>
            </w:r>
          </w:p>
        </w:tc>
      </w:tr>
      <w:tr w:rsidR="00E279A5" w:rsidRPr="00934086" w:rsidTr="00B04B3D">
        <w:trPr>
          <w:trHeight w:val="576"/>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MONEYVAL</w:t>
            </w:r>
          </w:p>
        </w:tc>
        <w:tc>
          <w:tcPr>
            <w:tcW w:w="7000" w:type="dxa"/>
            <w:tcBorders>
              <w:top w:val="nil"/>
              <w:left w:val="nil"/>
              <w:bottom w:val="nil"/>
              <w:right w:val="nil"/>
            </w:tcBorders>
            <w:shd w:val="clear" w:color="auto" w:fill="auto"/>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 xml:space="preserve">Eiropas Padomes Noziedzīgi iegūtu līdzekļu legalizācijas un terorisma finansēšanas novēršanas pasākumu novērtēšanas ekspertu </w:t>
            </w:r>
            <w:r>
              <w:rPr>
                <w:rFonts w:eastAsia="Times New Roman"/>
                <w:color w:val="000000"/>
                <w:lang w:eastAsia="lv-LV"/>
              </w:rPr>
              <w:t>komiteja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 xml:space="preserve">MVU </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Mazi un vidēji uzņēmumi</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Nasdaq</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Nasdaq Baltijas birža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NFRD</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Ne-finanšu pārskat</w:t>
            </w:r>
            <w:r w:rsidR="00F817AF">
              <w:rPr>
                <w:rFonts w:eastAsia="Times New Roman"/>
                <w:color w:val="000000"/>
                <w:lang w:eastAsia="lv-LV"/>
              </w:rPr>
              <w:t>u direktīva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OECD</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Ekonomiskās sadarbības un attīstības organizācija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PKC</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Pārresoru koordinācijas centrs</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PMLP</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Pilsonības un migrācijas lietu pārvalde</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PSD2</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Maksājumu pakalpojumu direktīva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PTAC</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Patērētāju tiesību aizsardzības centrs</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SEPA</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Vienotā eiro maksājumu telpa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SFI</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Starptautiskās finanšu institūcijas</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SM</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Satiksmes ministrija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STARTinLV</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Latvijas Start-up uzņēmumu asociācija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TM</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Tieslietu ministrija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UR</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Uzņēmumu reģistrs</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VARAM</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Vides aizsardzības un reģionālās attīstības</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VID</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Valsts ieņēmumu dienests</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VK</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Valsts Kase</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VP</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Valsts Policija</w:t>
            </w:r>
          </w:p>
        </w:tc>
      </w:tr>
      <w:tr w:rsidR="00E279A5" w:rsidRPr="00934086" w:rsidTr="00B04B3D">
        <w:trPr>
          <w:trHeight w:val="288"/>
        </w:trPr>
        <w:tc>
          <w:tcPr>
            <w:tcW w:w="1420" w:type="dxa"/>
            <w:tcBorders>
              <w:top w:val="nil"/>
              <w:left w:val="nil"/>
              <w:bottom w:val="nil"/>
              <w:right w:val="nil"/>
            </w:tcBorders>
            <w:shd w:val="clear" w:color="auto" w:fill="auto"/>
            <w:noWrap/>
            <w:vAlign w:val="center"/>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ZIB</w:t>
            </w:r>
          </w:p>
        </w:tc>
        <w:tc>
          <w:tcPr>
            <w:tcW w:w="7000" w:type="dxa"/>
            <w:tcBorders>
              <w:top w:val="nil"/>
              <w:left w:val="nil"/>
              <w:bottom w:val="nil"/>
              <w:right w:val="nil"/>
            </w:tcBorders>
            <w:shd w:val="clear" w:color="auto" w:fill="auto"/>
            <w:noWrap/>
            <w:vAlign w:val="bottom"/>
            <w:hideMark/>
          </w:tcPr>
          <w:p w:rsidR="00E279A5" w:rsidRPr="00934086" w:rsidRDefault="00E279A5" w:rsidP="00B04B3D">
            <w:pPr>
              <w:spacing w:after="0" w:line="240" w:lineRule="auto"/>
              <w:rPr>
                <w:rFonts w:eastAsia="Times New Roman"/>
                <w:color w:val="000000"/>
                <w:lang w:eastAsia="lv-LV"/>
              </w:rPr>
            </w:pPr>
            <w:r w:rsidRPr="00934086">
              <w:rPr>
                <w:rFonts w:eastAsia="Times New Roman"/>
                <w:color w:val="000000"/>
                <w:lang w:eastAsia="lv-LV"/>
              </w:rPr>
              <w:t>Ziemeļu Investīciju Banka</w:t>
            </w:r>
          </w:p>
        </w:tc>
      </w:tr>
    </w:tbl>
    <w:p w:rsidR="00E279A5" w:rsidRDefault="00E279A5">
      <w:pPr>
        <w:rPr>
          <w:rFonts w:eastAsia="Times New Roman"/>
          <w:b/>
          <w:bCs/>
          <w:lang w:eastAsia="lv-LV"/>
        </w:rPr>
      </w:pPr>
      <w:r>
        <w:rPr>
          <w:rFonts w:eastAsia="Times New Roman"/>
          <w:b/>
          <w:bCs/>
          <w:lang w:eastAsia="lv-LV"/>
        </w:rPr>
        <w:br w:type="page"/>
      </w:r>
    </w:p>
    <w:p w:rsidR="0008027B" w:rsidRPr="00DB73C4" w:rsidRDefault="0008027B" w:rsidP="003E6F7E">
      <w:pPr>
        <w:pStyle w:val="Heading1"/>
      </w:pPr>
      <w:bookmarkStart w:id="1" w:name="_Toc55202479"/>
      <w:r w:rsidRPr="00DB73C4">
        <w:lastRenderedPageBreak/>
        <w:t>Kopsavilkums</w:t>
      </w:r>
      <w:bookmarkEnd w:id="1"/>
    </w:p>
    <w:p w:rsidR="0008027B" w:rsidRPr="00DB73C4" w:rsidRDefault="0008027B" w:rsidP="00534143">
      <w:pPr>
        <w:shd w:val="clear" w:color="auto" w:fill="FFFFFF"/>
        <w:spacing w:before="100" w:beforeAutospacing="1" w:after="100" w:afterAutospacing="1" w:line="240" w:lineRule="auto"/>
        <w:jc w:val="both"/>
        <w:rPr>
          <w:rFonts w:eastAsia="Times New Roman"/>
          <w:lang w:eastAsia="lv-LV"/>
        </w:rPr>
      </w:pPr>
      <w:r w:rsidRPr="00DB73C4">
        <w:rPr>
          <w:rFonts w:eastAsia="Times New Roman"/>
          <w:lang w:eastAsia="lv-LV"/>
        </w:rPr>
        <w:t>Deklarācijas par Artura Krišjāņa Kariņa vadītā Ministru kabineta iecerēto darbību 17.punktā valdību veidojošās partijas  ir vienojušās īstenot tādu finanšu tirgus politiku, kas veicina finanšu sektora konkurētspēju un digitālu attīstību, atbalstot tautsaimniecības izaugsmi.</w:t>
      </w:r>
    </w:p>
    <w:p w:rsidR="0008027B" w:rsidRDefault="0008027B" w:rsidP="00534143">
      <w:pPr>
        <w:shd w:val="clear" w:color="auto" w:fill="FFFFFF"/>
        <w:spacing w:before="100" w:beforeAutospacing="1" w:after="100" w:afterAutospacing="1" w:line="240" w:lineRule="auto"/>
        <w:jc w:val="both"/>
        <w:rPr>
          <w:rFonts w:eastAsia="Times New Roman"/>
          <w:lang w:eastAsia="lv-LV"/>
        </w:rPr>
      </w:pPr>
      <w:r w:rsidRPr="00DB73C4">
        <w:rPr>
          <w:rFonts w:eastAsia="Times New Roman"/>
          <w:lang w:eastAsia="lv-LV"/>
        </w:rPr>
        <w:t xml:space="preserve">Lai noteiktu finanšu tirgus politikas mērķus un pasākumus finanšu sektora attīstībai vidējā termiņā, ir izstrādāts Finanšu sektora attīstības plāns 2021.-2023.gadam (turpmāk – Plāns), vienlaikus norādot par pasākumu izpildi atbildīgās institūcijas, uzdevumu izpildes termiņus, sasniedzamos rezultātus un plāna izpildes uzraudzības kārtību. </w:t>
      </w:r>
    </w:p>
    <w:p w:rsidR="00444B4C" w:rsidRPr="00DA153D" w:rsidRDefault="00444B4C" w:rsidP="00444B4C">
      <w:pPr>
        <w:keepNext/>
        <w:shd w:val="clear" w:color="auto" w:fill="FFFFFF"/>
        <w:tabs>
          <w:tab w:val="left" w:pos="606"/>
        </w:tabs>
        <w:spacing w:before="100" w:beforeAutospacing="1" w:after="100" w:afterAutospacing="1" w:line="240" w:lineRule="auto"/>
        <w:jc w:val="both"/>
      </w:pPr>
      <w:r w:rsidRPr="00DA153D">
        <w:rPr>
          <w:shd w:val="clear" w:color="auto" w:fill="FFFFFF"/>
        </w:rPr>
        <w:t>Plāns ir izstrādāts, lai noteiktu finanšu sektora politikas vidēja termiņa attīstības virzienus, sniedzot finanšu sektora darbības izvērtējumu un nosakot sasniedzamās prioritātes un rezultātus.</w:t>
      </w:r>
    </w:p>
    <w:p w:rsidR="00444B4C" w:rsidRPr="00444B4C" w:rsidRDefault="00444B4C" w:rsidP="00534143">
      <w:pPr>
        <w:spacing w:before="100" w:beforeAutospacing="1" w:after="100" w:afterAutospacing="1" w:line="240" w:lineRule="auto"/>
        <w:jc w:val="both"/>
        <w:rPr>
          <w:rFonts w:cstheme="minorBidi"/>
          <w:szCs w:val="22"/>
        </w:rPr>
      </w:pPr>
      <w:r w:rsidRPr="00444B4C">
        <w:rPr>
          <w:rFonts w:cstheme="minorBidi"/>
          <w:szCs w:val="22"/>
        </w:rPr>
        <w:t>Plānā ietverto pasākumu mērķis ir turpināt atbalstīt inovatīvu un pieejamu finanšu sektoru, kas sekmē un atbalsta ilgtspējīgu tautsaimniecības attīstību, nosakot šādus prioritāros attīstības virzienus:</w:t>
      </w:r>
    </w:p>
    <w:p w:rsidR="00444B4C" w:rsidRPr="0091217B" w:rsidRDefault="00444B4C" w:rsidP="00444B4C">
      <w:pPr>
        <w:pStyle w:val="ListParagraph"/>
        <w:numPr>
          <w:ilvl w:val="0"/>
          <w:numId w:val="10"/>
        </w:numPr>
        <w:spacing w:before="100" w:beforeAutospacing="1" w:after="100" w:afterAutospacing="1" w:line="240" w:lineRule="auto"/>
        <w:ind w:left="709" w:hanging="425"/>
        <w:jc w:val="both"/>
        <w:rPr>
          <w:rFonts w:cstheme="minorBidi"/>
          <w:szCs w:val="22"/>
        </w:rPr>
      </w:pPr>
      <w:r w:rsidRPr="0091217B">
        <w:t>Finansējuma pieejamība un investīciju iespējas</w:t>
      </w:r>
      <w:r w:rsidR="00A40B96">
        <w:t>;</w:t>
      </w:r>
    </w:p>
    <w:p w:rsidR="00444B4C" w:rsidRPr="00444B4C" w:rsidRDefault="00444B4C" w:rsidP="00444B4C">
      <w:pPr>
        <w:pStyle w:val="ListParagraph"/>
        <w:numPr>
          <w:ilvl w:val="0"/>
          <w:numId w:val="10"/>
        </w:numPr>
        <w:spacing w:before="100" w:beforeAutospacing="1" w:after="100" w:afterAutospacing="1" w:line="240" w:lineRule="auto"/>
        <w:ind w:left="709" w:hanging="425"/>
        <w:jc w:val="both"/>
        <w:rPr>
          <w:rFonts w:cstheme="minorBidi"/>
          <w:szCs w:val="22"/>
        </w:rPr>
      </w:pPr>
      <w:r w:rsidRPr="0091217B">
        <w:t>Digitalizācija un inovatīvu pakalpojumu pieejamība</w:t>
      </w:r>
      <w:r w:rsidR="00A40B96">
        <w:t>;</w:t>
      </w:r>
    </w:p>
    <w:p w:rsidR="00444B4C" w:rsidRPr="00444B4C" w:rsidRDefault="00444B4C" w:rsidP="00444B4C">
      <w:pPr>
        <w:pStyle w:val="ListParagraph"/>
        <w:numPr>
          <w:ilvl w:val="0"/>
          <w:numId w:val="10"/>
        </w:numPr>
        <w:spacing w:before="100" w:beforeAutospacing="1" w:after="100" w:afterAutospacing="1" w:line="240" w:lineRule="auto"/>
        <w:ind w:left="709" w:hanging="425"/>
        <w:jc w:val="both"/>
        <w:rPr>
          <w:rFonts w:cstheme="minorBidi"/>
          <w:szCs w:val="22"/>
        </w:rPr>
      </w:pPr>
      <w:r w:rsidRPr="00444B4C">
        <w:rPr>
          <w:rFonts w:cstheme="minorBidi"/>
          <w:szCs w:val="22"/>
        </w:rPr>
        <w:t>Ilgtspējīgas finanses.</w:t>
      </w:r>
      <w:r w:rsidRPr="00444B4C">
        <w:rPr>
          <w:b/>
        </w:rPr>
        <w:br w:type="page"/>
      </w:r>
    </w:p>
    <w:p w:rsidR="0008027B" w:rsidRPr="00F21407" w:rsidRDefault="0008027B" w:rsidP="003E6F7E">
      <w:pPr>
        <w:pStyle w:val="Heading1"/>
      </w:pPr>
      <w:bookmarkStart w:id="2" w:name="_Toc55202480"/>
      <w:r w:rsidRPr="00F21407">
        <w:lastRenderedPageBreak/>
        <w:t>1. Esošās situācijas raksturojums</w:t>
      </w:r>
      <w:bookmarkEnd w:id="2"/>
    </w:p>
    <w:p w:rsidR="0008027B" w:rsidRDefault="0008027B" w:rsidP="00534143">
      <w:pPr>
        <w:spacing w:after="0" w:line="240" w:lineRule="auto"/>
        <w:jc w:val="both"/>
        <w:rPr>
          <w:rFonts w:eastAsia="Times New Roman"/>
          <w:bCs/>
          <w:lang w:eastAsia="lv-LV"/>
        </w:rPr>
      </w:pPr>
      <w:r w:rsidRPr="001422F8">
        <w:rPr>
          <w:rFonts w:eastAsia="Times New Roman"/>
          <w:bCs/>
          <w:lang w:eastAsia="lv-LV"/>
        </w:rPr>
        <w:t>Plāna izstrādes laikā C</w:t>
      </w:r>
      <w:r>
        <w:rPr>
          <w:rFonts w:eastAsia="Times New Roman"/>
          <w:bCs/>
          <w:lang w:eastAsia="lv-LV"/>
        </w:rPr>
        <w:t>ovid</w:t>
      </w:r>
      <w:r w:rsidRPr="001422F8">
        <w:rPr>
          <w:rFonts w:eastAsia="Times New Roman"/>
          <w:bCs/>
          <w:lang w:eastAsia="lv-LV"/>
        </w:rPr>
        <w:t>-19 pandēmija ir izraisījusi plašu un smagu sabiedrības veselības krīzi</w:t>
      </w:r>
      <w:r>
        <w:rPr>
          <w:rFonts w:eastAsia="Times New Roman"/>
          <w:bCs/>
          <w:lang w:eastAsia="lv-LV"/>
        </w:rPr>
        <w:t>, būtiski ietekmējot ekonomisko aktivitāti</w:t>
      </w:r>
      <w:r w:rsidRPr="001422F8">
        <w:rPr>
          <w:rFonts w:eastAsia="Times New Roman"/>
          <w:bCs/>
          <w:lang w:eastAsia="lv-LV"/>
        </w:rPr>
        <w:t xml:space="preserve">. </w:t>
      </w:r>
      <w:r w:rsidR="00C847E0">
        <w:rPr>
          <w:rFonts w:eastAsia="Times New Roman"/>
          <w:bCs/>
          <w:lang w:eastAsia="lv-LV"/>
        </w:rPr>
        <w:t xml:space="preserve">Kopš 2020.gada sākuma vairāk kā miljons dzīvību pasaulē ir zaudētas Covid-19 dēļ un šis skaitlis turpina pieaugt. </w:t>
      </w:r>
      <w:r w:rsidRPr="001422F8">
        <w:rPr>
          <w:rFonts w:eastAsia="Times New Roman"/>
          <w:bCs/>
          <w:lang w:eastAsia="lv-LV"/>
        </w:rPr>
        <w:t>Veselības krīzes apmērs u</w:t>
      </w:r>
      <w:r>
        <w:rPr>
          <w:rFonts w:eastAsia="Times New Roman"/>
          <w:bCs/>
          <w:lang w:eastAsia="lv-LV"/>
        </w:rPr>
        <w:t>n politikas pasākumi, kas veikti,</w:t>
      </w:r>
      <w:r w:rsidRPr="001422F8">
        <w:rPr>
          <w:rFonts w:eastAsia="Times New Roman"/>
          <w:bCs/>
          <w:lang w:eastAsia="lv-LV"/>
        </w:rPr>
        <w:t xml:space="preserve"> lai epidēmijas izplatību ierobežotu, ir līdz šim nepieredzēti. </w:t>
      </w:r>
      <w:r>
        <w:rPr>
          <w:sz w:val="23"/>
          <w:szCs w:val="23"/>
        </w:rPr>
        <w:t xml:space="preserve">Pastāvot ļoti augstai nenoteiktībai par Covid-19 ierobežošanai nepieciešamo laiku, gan pasaules, gan Latvijas ekonomiskās attīstības prognozes ir tikušas visai strauji koriģētas un ar šādām korekcijām jārēķinās arī turpmāk. </w:t>
      </w:r>
      <w:r>
        <w:rPr>
          <w:rFonts w:eastAsia="Times New Roman"/>
          <w:bCs/>
          <w:lang w:eastAsia="lv-LV"/>
        </w:rPr>
        <w:t xml:space="preserve">Līdz brīdim, kamēr vakcīna vai atbilstoši medikamenti būs plašu pieejami, situācija būs ļoti neprognozējama. </w:t>
      </w:r>
      <w:r w:rsidRPr="001422F8">
        <w:rPr>
          <w:rFonts w:eastAsia="Times New Roman"/>
          <w:bCs/>
          <w:lang w:eastAsia="lv-LV"/>
        </w:rPr>
        <w:t xml:space="preserve">Saskaņā </w:t>
      </w:r>
      <w:r>
        <w:rPr>
          <w:rFonts w:eastAsia="Times New Roman"/>
          <w:bCs/>
          <w:lang w:eastAsia="lv-LV"/>
        </w:rPr>
        <w:t>ar EK</w:t>
      </w:r>
      <w:r w:rsidRPr="001422F8">
        <w:rPr>
          <w:rFonts w:eastAsia="Times New Roman"/>
          <w:bCs/>
          <w:lang w:eastAsia="lv-LV"/>
        </w:rPr>
        <w:t xml:space="preserve"> 2020.gada </w:t>
      </w:r>
      <w:r w:rsidR="00450A2E">
        <w:rPr>
          <w:rFonts w:eastAsia="Times New Roman"/>
          <w:bCs/>
          <w:lang w:eastAsia="lv-LV"/>
        </w:rPr>
        <w:t>jūlija</w:t>
      </w:r>
      <w:r>
        <w:rPr>
          <w:rFonts w:eastAsia="Times New Roman"/>
          <w:bCs/>
          <w:lang w:eastAsia="lv-LV"/>
        </w:rPr>
        <w:t xml:space="preserve"> prognozēm ES</w:t>
      </w:r>
      <w:r w:rsidRPr="001422F8">
        <w:rPr>
          <w:rFonts w:eastAsia="Times New Roman"/>
          <w:bCs/>
          <w:lang w:eastAsia="lv-LV"/>
        </w:rPr>
        <w:t xml:space="preserve"> IKP šogad samazināsies par aptuveni </w:t>
      </w:r>
      <w:r w:rsidR="00450A2E">
        <w:rPr>
          <w:rFonts w:eastAsia="Times New Roman"/>
          <w:bCs/>
          <w:lang w:eastAsia="lv-LV"/>
        </w:rPr>
        <w:t>8,3</w:t>
      </w:r>
      <w:r w:rsidRPr="001422F8">
        <w:rPr>
          <w:rFonts w:eastAsia="Times New Roman"/>
          <w:bCs/>
          <w:lang w:eastAsia="lv-LV"/>
        </w:rPr>
        <w:t>%</w:t>
      </w:r>
      <w:r w:rsidR="00450A2E">
        <w:rPr>
          <w:rFonts w:eastAsia="Times New Roman"/>
          <w:bCs/>
          <w:lang w:eastAsia="lv-LV"/>
        </w:rPr>
        <w:t xml:space="preserve"> un Eirozonā par 8,7%</w:t>
      </w:r>
      <w:r w:rsidRPr="001422F8">
        <w:rPr>
          <w:rFonts w:eastAsia="Times New Roman"/>
          <w:bCs/>
          <w:lang w:eastAsia="lv-LV"/>
        </w:rPr>
        <w:t>, kas ir daudz vairāk nekā globālās finanšu krīzes laikā 2009.gadā</w:t>
      </w:r>
      <w:r>
        <w:rPr>
          <w:rFonts w:eastAsia="Times New Roman"/>
          <w:bCs/>
          <w:lang w:eastAsia="lv-LV"/>
        </w:rPr>
        <w:t>. Lai gan ir sagaidāms, ka 2021.gadā izaugsme atgriezīsies, atveseļošanās būs daļēja</w:t>
      </w:r>
      <w:r w:rsidR="00450A2E">
        <w:rPr>
          <w:rFonts w:eastAsia="Times New Roman"/>
          <w:bCs/>
          <w:lang w:eastAsia="lv-LV"/>
        </w:rPr>
        <w:t xml:space="preserve"> ES IKP sasniegs 5,8% un Eirozonā 6,1%</w:t>
      </w:r>
      <w:r w:rsidR="00450A2E">
        <w:rPr>
          <w:rStyle w:val="FootnoteReference"/>
          <w:rFonts w:eastAsia="Times New Roman"/>
          <w:bCs/>
          <w:lang w:eastAsia="lv-LV"/>
        </w:rPr>
        <w:footnoteReference w:id="1"/>
      </w:r>
      <w:r>
        <w:rPr>
          <w:rFonts w:eastAsia="Times New Roman"/>
          <w:bCs/>
          <w:lang w:eastAsia="lv-LV"/>
        </w:rPr>
        <w:t xml:space="preserve">, nesasniedzot pirms krīzes līmeni. Atbilstoši Starptautiskā Valūtas fonda 2020.gada </w:t>
      </w:r>
      <w:r w:rsidR="00C847E0">
        <w:rPr>
          <w:rFonts w:eastAsia="Times New Roman"/>
          <w:bCs/>
          <w:lang w:eastAsia="lv-LV"/>
        </w:rPr>
        <w:t xml:space="preserve">oktobra IKP prognozēm pasaules iekšzemes kopprodukts 2020.gadā samazināsies par 4,4%, kas ir nedaudz mazāks IKP sarukums, nekā tika prognozēts </w:t>
      </w:r>
      <w:r>
        <w:rPr>
          <w:rFonts w:eastAsia="Times New Roman"/>
          <w:bCs/>
          <w:lang w:eastAsia="lv-LV"/>
        </w:rPr>
        <w:t>jūnijā</w:t>
      </w:r>
      <w:r w:rsidR="00C847E0">
        <w:rPr>
          <w:rFonts w:eastAsia="Times New Roman"/>
          <w:bCs/>
          <w:lang w:eastAsia="lv-LV"/>
        </w:rPr>
        <w:t>.</w:t>
      </w:r>
      <w:r w:rsidR="00C847E0">
        <w:rPr>
          <w:rStyle w:val="FootnoteReference"/>
          <w:rFonts w:eastAsia="Times New Roman"/>
          <w:bCs/>
          <w:lang w:eastAsia="lv-LV"/>
        </w:rPr>
        <w:footnoteReference w:id="2"/>
      </w:r>
      <w:r w:rsidR="00C847E0">
        <w:rPr>
          <w:rFonts w:eastAsia="Times New Roman"/>
          <w:bCs/>
          <w:lang w:eastAsia="lv-LV"/>
        </w:rPr>
        <w:t xml:space="preserve"> To galveno</w:t>
      </w:r>
      <w:r w:rsidR="002E2FDD">
        <w:rPr>
          <w:rFonts w:eastAsia="Times New Roman"/>
          <w:bCs/>
          <w:lang w:eastAsia="lv-LV"/>
        </w:rPr>
        <w:t xml:space="preserve">kārt nosaka, otrā ceturkšņa </w:t>
      </w:r>
      <w:r w:rsidR="00C847E0">
        <w:rPr>
          <w:rFonts w:eastAsia="Times New Roman"/>
          <w:bCs/>
          <w:lang w:eastAsia="lv-LV"/>
        </w:rPr>
        <w:t>dati, kas uzrāda mazāku attīstīto valstu IKP kritumu, nekā iepriekš tika prognozēts.</w:t>
      </w:r>
      <w:r w:rsidR="00F16889">
        <w:rPr>
          <w:rFonts w:eastAsia="Times New Roman"/>
          <w:bCs/>
          <w:lang w:eastAsia="lv-LV"/>
        </w:rPr>
        <w:t xml:space="preserve"> Finanšu ministrijas izstrādātais </w:t>
      </w:r>
      <w:r w:rsidR="00F16889">
        <w:t>v</w:t>
      </w:r>
      <w:r w:rsidR="00F16889" w:rsidRPr="00500638">
        <w:t>idēja termiņa makroekonomiskās attīstības scenārijs 2020.-2023.gadam izstrādāts 2020.gada jūnijā, balstoties uz konservatīviem pieņēmumiem, ņemot vērā 2020.gada pirmā ceturkšņa IKP datus un līdz 2020.gada jūnijam pieejamo īstermiņa makroekonomisko informāciju, kā arī valdības apstiprinātos atbalsta pasākumus Covid-19 izraisītās krīzes seku mazināšanai tautsaimniecībā.</w:t>
      </w:r>
      <w:r w:rsidR="00F16889">
        <w:t xml:space="preserve"> </w:t>
      </w:r>
      <w:r w:rsidR="00F16889" w:rsidRPr="006B5818">
        <w:t xml:space="preserve">Atbilstoši </w:t>
      </w:r>
      <w:r w:rsidR="00F16889">
        <w:t>šim</w:t>
      </w:r>
      <w:r w:rsidR="00F16889" w:rsidRPr="006B5818">
        <w:t xml:space="preserve"> scenārijam, Latvijas iekšzemes kopprodukts šogad samazināsies par 7,0%</w:t>
      </w:r>
      <w:r w:rsidR="00F16889">
        <w:t xml:space="preserve"> un </w:t>
      </w:r>
      <w:r w:rsidR="00F16889" w:rsidRPr="006B5818">
        <w:t>2021.gadā Latvijas iekšzemes kopprodukts palielināsies par 5,1%</w:t>
      </w:r>
      <w:r w:rsidR="00F16889">
        <w:t>.</w:t>
      </w:r>
    </w:p>
    <w:p w:rsidR="0008027B" w:rsidRDefault="0008027B" w:rsidP="00534143">
      <w:pPr>
        <w:shd w:val="clear" w:color="auto" w:fill="FFFFFF"/>
        <w:spacing w:before="100" w:beforeAutospacing="1" w:after="100" w:afterAutospacing="1" w:line="240" w:lineRule="auto"/>
        <w:jc w:val="both"/>
        <w:rPr>
          <w:rFonts w:eastAsia="Times New Roman"/>
          <w:bCs/>
          <w:lang w:eastAsia="lv-LV"/>
        </w:rPr>
      </w:pPr>
      <w:r>
        <w:rPr>
          <w:rFonts w:eastAsia="Times New Roman"/>
          <w:bCs/>
          <w:lang w:eastAsia="lv-LV"/>
        </w:rPr>
        <w:t xml:space="preserve">Reaģējot uz vīrusa izraisīto krīzi, Latvija un pārējās ES dalībvalstis ir ieviesušas ārkārtējus ekonomiskos un finansiālos pasākumus. </w:t>
      </w:r>
      <w:r w:rsidR="00C77726">
        <w:rPr>
          <w:rFonts w:eastAsia="Times New Roman"/>
          <w:bCs/>
          <w:lang w:eastAsia="lv-LV"/>
        </w:rPr>
        <w:t>Pandēmijas izraisītais s</w:t>
      </w:r>
      <w:r>
        <w:rPr>
          <w:rFonts w:eastAsia="Times New Roman"/>
          <w:bCs/>
          <w:lang w:eastAsia="lv-LV"/>
        </w:rPr>
        <w:t xml:space="preserve">atricinājums ES </w:t>
      </w:r>
      <w:r w:rsidR="00015493">
        <w:rPr>
          <w:rFonts w:eastAsia="Times New Roman"/>
          <w:bCs/>
          <w:lang w:eastAsia="lv-LV"/>
        </w:rPr>
        <w:t>tautsaimniecībām bija vienlaicīgs, bet asimetrisks, jo striktāki pandēmijas izplatības ierobežojošie pasākumi skartajās valstīs rezultējās lielākā šokā ekonomikai.</w:t>
      </w:r>
      <w:r>
        <w:rPr>
          <w:rFonts w:eastAsia="Times New Roman"/>
          <w:bCs/>
          <w:lang w:eastAsia="lv-LV"/>
        </w:rPr>
        <w:t xml:space="preserve"> Ekonomiskās aktivitātes kritums un ieviestie atbalsta pasākumi novedīs pie krietni lielākiem budžeta deficītiem un valsts parāda līmeņa pieauguma un ES dalībvalstis ir vienojušās, ka pirmo reizi kopš 2011.gada, kad Stabilitātes un izaugsmes paktā ir iestrādāta vispārējā izņēmuma klauzula, ir iestājuš</w:t>
      </w:r>
      <w:r w:rsidR="00225BAB">
        <w:rPr>
          <w:rFonts w:eastAsia="Times New Roman"/>
          <w:bCs/>
          <w:lang w:eastAsia="lv-LV"/>
        </w:rPr>
        <w:t>ies visi priekšnoteikumi</w:t>
      </w:r>
      <w:r>
        <w:rPr>
          <w:rFonts w:eastAsia="Times New Roman"/>
          <w:bCs/>
          <w:lang w:eastAsia="lv-LV"/>
        </w:rPr>
        <w:t xml:space="preserve"> izņēmuma klauzulas iedarbināšanai. </w:t>
      </w:r>
      <w:r>
        <w:rPr>
          <w:rStyle w:val="FootnoteReference"/>
          <w:rFonts w:eastAsia="Times New Roman"/>
          <w:bCs/>
          <w:lang w:eastAsia="lv-LV"/>
        </w:rPr>
        <w:footnoteReference w:id="3"/>
      </w:r>
      <w:r>
        <w:rPr>
          <w:rFonts w:eastAsia="Times New Roman"/>
          <w:bCs/>
          <w:lang w:eastAsia="lv-LV"/>
        </w:rPr>
        <w:t xml:space="preserve"> Tas ļaus dalībvalstīm novirzīt finanšu līdzekļus veselības aprūpes sistēmai un Covid – 19 izraisīto ekonomisko seku mazināšanai.</w:t>
      </w:r>
    </w:p>
    <w:p w:rsidR="00B67795" w:rsidRPr="00534143" w:rsidRDefault="0008027B" w:rsidP="00B67795">
      <w:pPr>
        <w:shd w:val="clear" w:color="auto" w:fill="FFFFFF"/>
        <w:spacing w:before="100" w:beforeAutospacing="1" w:after="100" w:afterAutospacing="1" w:line="240" w:lineRule="auto"/>
        <w:jc w:val="both"/>
      </w:pPr>
      <w:r w:rsidRPr="00534143">
        <w:lastRenderedPageBreak/>
        <w:t xml:space="preserve">Reaģējot uz ekonomiskās situācijas kraso pasliktināšanos, pasaules valstu centrālās bankas ir pastiprinājušas monetārās stimulēšanas pasākumus. ASV Federālo rezervju sistēma 15.martā samazināja bāzes procentlikmi līdz 0-0,25%, bet 23.martā paziņoja par valsts vērtspapīru iegādi neierobežotā apmērā, lai palīdzētu pārvarēt Covid-19 krīzes ietekmi. </w:t>
      </w:r>
      <w:r w:rsidR="00015493">
        <w:t>ECB</w:t>
      </w:r>
      <w:r w:rsidRPr="00534143">
        <w:t xml:space="preserve"> savukārt 19.martā uzsāka valdības un uzņēmumu obligāciju uzpirkšanas programmu 750 miljardu </w:t>
      </w:r>
      <w:r w:rsidRPr="00534143">
        <w:rPr>
          <w:i/>
          <w:iCs/>
        </w:rPr>
        <w:t xml:space="preserve">euro </w:t>
      </w:r>
      <w:r w:rsidRPr="00534143">
        <w:t>apmērā.</w:t>
      </w:r>
      <w:r w:rsidR="00B67795">
        <w:t xml:space="preserve"> 2020.gada jūnijā programmas apjoms palielināts līdz par 1350 miljardiem </w:t>
      </w:r>
      <w:r w:rsidR="00B67795" w:rsidRPr="00764EE1">
        <w:rPr>
          <w:i/>
        </w:rPr>
        <w:t>euro</w:t>
      </w:r>
      <w:r w:rsidR="00B67795">
        <w:t>, kā arī palielināts esošās aktīvu iegādes programmas apjoms un atviegloti ilgāka termiņa mērķēto operāciju nosacījumi.</w:t>
      </w:r>
    </w:p>
    <w:p w:rsidR="0008027B" w:rsidRPr="00534143" w:rsidRDefault="0008027B" w:rsidP="00534143">
      <w:pPr>
        <w:spacing w:before="100" w:beforeAutospacing="1" w:after="100" w:afterAutospacing="1" w:line="240" w:lineRule="auto"/>
        <w:jc w:val="both"/>
        <w:rPr>
          <w:color w:val="000000" w:themeColor="text1"/>
        </w:rPr>
      </w:pPr>
      <w:r w:rsidRPr="00534143">
        <w:rPr>
          <w:color w:val="000000" w:themeColor="text1"/>
        </w:rPr>
        <w:t xml:space="preserve">2020.gada aprīļa sākumā Eirogrupa vienojās par trīs atbalsta instrumentiem vairāk nekā 500 miljardu </w:t>
      </w:r>
      <w:r w:rsidRPr="00534143">
        <w:rPr>
          <w:i/>
          <w:color w:val="000000" w:themeColor="text1"/>
        </w:rPr>
        <w:t>euro</w:t>
      </w:r>
      <w:r w:rsidRPr="00534143">
        <w:rPr>
          <w:color w:val="000000" w:themeColor="text1"/>
        </w:rPr>
        <w:t xml:space="preserve"> apmērā, ar kuru starpniecību var tikt sniegts atbalsts Covid - 19 skartajām Eiropas valstīm. No Eiropas Stabilitātes mehānisma katrai </w:t>
      </w:r>
      <w:r w:rsidR="00B67795">
        <w:rPr>
          <w:color w:val="000000" w:themeColor="text1"/>
        </w:rPr>
        <w:t>E</w:t>
      </w:r>
      <w:r w:rsidRPr="00534143">
        <w:rPr>
          <w:color w:val="000000" w:themeColor="text1"/>
        </w:rPr>
        <w:t xml:space="preserve">irozonas dalībvalstij, būs pieejama kredītlīnija 2% apmērā no IKP. Šos līdzekļus varēs izmantot, lai segtu veselības jomas izdevumus, kas saistīti ar Covid – 19 izraisīto krīzi.  Tāpat finanšu ministri vienojās, ka Eiropas Investīciju banka izveidos atsevišķu garantiju fondu, kas sniedz garantijas vai ieguldījumus kapitālā, tai skaitā mazo un vidējo uzņēmumu atbalstam. Eirogrupa arī piekrita atbalstīt EK priekšlikumu izveidot atbalsta instrumentu 100 miljardu </w:t>
      </w:r>
      <w:r w:rsidRPr="00534143">
        <w:rPr>
          <w:i/>
          <w:color w:val="000000" w:themeColor="text1"/>
        </w:rPr>
        <w:t>euro</w:t>
      </w:r>
      <w:r w:rsidRPr="00534143">
        <w:rPr>
          <w:color w:val="000000" w:themeColor="text1"/>
        </w:rPr>
        <w:t xml:space="preserve"> apmērā bezdarba risku mazināšanai īstermiņa nodarbinātības pasākumiem ārkārtas situācijā, sniedzot dalībvalstīm iespēju aizņemties no </w:t>
      </w:r>
      <w:r w:rsidR="00015493">
        <w:rPr>
          <w:color w:val="000000" w:themeColor="text1"/>
        </w:rPr>
        <w:t>EK</w:t>
      </w:r>
      <w:r w:rsidRPr="00534143">
        <w:rPr>
          <w:color w:val="000000" w:themeColor="text1"/>
        </w:rPr>
        <w:t>.</w:t>
      </w:r>
    </w:p>
    <w:p w:rsidR="00812E58" w:rsidRDefault="00812E58" w:rsidP="00534143">
      <w:pPr>
        <w:pStyle w:val="ListParagraph"/>
        <w:spacing w:before="100" w:beforeAutospacing="1" w:after="100" w:afterAutospacing="1" w:line="240" w:lineRule="auto"/>
        <w:ind w:left="0"/>
        <w:jc w:val="both"/>
      </w:pPr>
      <w:r w:rsidRPr="00812E58">
        <w:rPr>
          <w:color w:val="000000"/>
          <w:sz w:val="23"/>
          <w:szCs w:val="23"/>
        </w:rPr>
        <w:t xml:space="preserve">2020.gada maijā EK nāca klajā ar priekšlikumu Eiropas </w:t>
      </w:r>
      <w:r w:rsidRPr="00855960">
        <w:t xml:space="preserve">Atveseļošanas instrumentam, kas ir vienreizējs īstermiņa papildus </w:t>
      </w:r>
      <w:r w:rsidRPr="00534143">
        <w:t>finansējuma piesaistīšanas</w:t>
      </w:r>
      <w:r w:rsidRPr="00812E58">
        <w:t xml:space="preserve"> instruments ES ekonomikas atbalstam </w:t>
      </w:r>
      <w:r w:rsidRPr="00855960">
        <w:t xml:space="preserve">izejai no COVID-19 krīzes. Tā finansējums papildina ES daudzgadu budžeta finansējumu. </w:t>
      </w:r>
      <w:r w:rsidRPr="00534143">
        <w:t>Saskaņā ar Eiropadomes š.g. 17. - 21.jūlija sanāksmēs panākto vienošanos</w:t>
      </w:r>
      <w:r w:rsidRPr="00812E58">
        <w:t xml:space="preserve">, </w:t>
      </w:r>
      <w:r w:rsidRPr="00855960">
        <w:rPr>
          <w:color w:val="000000"/>
          <w:sz w:val="23"/>
          <w:szCs w:val="23"/>
        </w:rPr>
        <w:t xml:space="preserve">Eiropas </w:t>
      </w:r>
      <w:r w:rsidRPr="00A04CBD">
        <w:t>Atveseļošanas instrumentam ES līmeņa parāda vērtspapīr</w:t>
      </w:r>
      <w:r w:rsidRPr="00812E58">
        <w:t xml:space="preserve">u emisijas rezultātā tiks iegūti 750 mljrd. </w:t>
      </w:r>
      <w:r w:rsidR="00CA4C7A" w:rsidRPr="005B1DCA">
        <w:rPr>
          <w:i/>
        </w:rPr>
        <w:t>euro</w:t>
      </w:r>
      <w:r w:rsidR="00CA4C7A">
        <w:t xml:space="preserve"> </w:t>
      </w:r>
      <w:r w:rsidRPr="00812E58">
        <w:rPr>
          <w:i/>
          <w:iCs/>
        </w:rPr>
        <w:t xml:space="preserve"> (2018.gada cenās, </w:t>
      </w:r>
      <w:r w:rsidRPr="00534143">
        <w:rPr>
          <w:i/>
          <w:iCs/>
        </w:rPr>
        <w:t xml:space="preserve">807 mljrd. </w:t>
      </w:r>
      <w:r w:rsidR="00CA4C7A">
        <w:rPr>
          <w:i/>
          <w:iCs/>
        </w:rPr>
        <w:t>euro</w:t>
      </w:r>
      <w:r w:rsidRPr="00534143">
        <w:rPr>
          <w:i/>
          <w:iCs/>
        </w:rPr>
        <w:t xml:space="preserve"> faktiskajās cenās</w:t>
      </w:r>
      <w:r w:rsidRPr="00812E58">
        <w:rPr>
          <w:i/>
          <w:iCs/>
        </w:rPr>
        <w:t>:</w:t>
      </w:r>
      <w:r w:rsidRPr="00855960">
        <w:t xml:space="preserve"> 390 mljrd. </w:t>
      </w:r>
      <w:r w:rsidR="00CA4C7A" w:rsidRPr="005B1DCA">
        <w:rPr>
          <w:i/>
        </w:rPr>
        <w:t>euro</w:t>
      </w:r>
      <w:r w:rsidRPr="00855960">
        <w:t xml:space="preserve"> (</w:t>
      </w:r>
      <w:r w:rsidRPr="00534143">
        <w:t xml:space="preserve">421 mljrd. </w:t>
      </w:r>
      <w:r w:rsidR="00CA4C7A" w:rsidRPr="005B1DCA">
        <w:rPr>
          <w:i/>
        </w:rPr>
        <w:t>euro</w:t>
      </w:r>
      <w:r w:rsidR="00CA4C7A" w:rsidRPr="00534143">
        <w:t xml:space="preserve"> </w:t>
      </w:r>
      <w:r w:rsidRPr="00534143">
        <w:t>faktiskajās cenās</w:t>
      </w:r>
      <w:r w:rsidRPr="00812E58">
        <w:t xml:space="preserve">) tiks izmaksāti kā granti un 360 mljrd. </w:t>
      </w:r>
      <w:r w:rsidR="00015493" w:rsidRPr="005B1DCA">
        <w:rPr>
          <w:i/>
        </w:rPr>
        <w:t>euro</w:t>
      </w:r>
      <w:r w:rsidR="00015493">
        <w:t xml:space="preserve"> </w:t>
      </w:r>
      <w:r w:rsidRPr="00812E58">
        <w:t>(</w:t>
      </w:r>
      <w:r w:rsidRPr="00534143">
        <w:t>386 mljrd.</w:t>
      </w:r>
      <w:r w:rsidRPr="005B1DCA">
        <w:rPr>
          <w:i/>
        </w:rPr>
        <w:t xml:space="preserve"> </w:t>
      </w:r>
      <w:r w:rsidR="00015493" w:rsidRPr="005B1DCA">
        <w:rPr>
          <w:i/>
        </w:rPr>
        <w:t>euro</w:t>
      </w:r>
      <w:r w:rsidR="00015493" w:rsidRPr="00534143">
        <w:t xml:space="preserve"> </w:t>
      </w:r>
      <w:r w:rsidRPr="00534143">
        <w:t>faktiskajās cenās</w:t>
      </w:r>
      <w:r w:rsidRPr="00812E58">
        <w:t>) tiks izsniegti dalībvalstīm aizdevumu veidā) un tiks integrēt</w:t>
      </w:r>
      <w:r w:rsidRPr="00855960">
        <w:t xml:space="preserve">i ES budžetā un  izmantoti ES budžeta programmu, </w:t>
      </w:r>
      <w:r w:rsidRPr="00534143">
        <w:t>t.sk. Atveseļošanas un noturības mehānisma, finansēšanai</w:t>
      </w:r>
      <w:r w:rsidRPr="00812E58">
        <w:t xml:space="preserve">. ES aizņēmumu starptautiskajos finanšu tirgos ir plānots atmaksāt līdz 2058. gadam. Kopējam ES daudzgadu budžeta un Eiropas Atveseļošanas instrumenta </w:t>
      </w:r>
      <w:r w:rsidRPr="00855960">
        <w:t xml:space="preserve">izdevumu apjomam tiks piemērots 30% klimata mērķis, un tas tiks atspoguļots attiecīgajos mērķos nozaru tiesību aktos. Eiropas Atveseļošanas instrumenta </w:t>
      </w:r>
      <w:r w:rsidRPr="00534143">
        <w:t>finansētu programmu</w:t>
      </w:r>
      <w:r w:rsidRPr="00812E58">
        <w:t xml:space="preserve"> ietvaros Latvija kopumā varētu saņemt grantos līdz </w:t>
      </w:r>
      <w:r w:rsidRPr="00534143">
        <w:t xml:space="preserve">2,3 mljrd. </w:t>
      </w:r>
      <w:r w:rsidR="00CA4C7A" w:rsidRPr="005B1DCA">
        <w:rPr>
          <w:i/>
        </w:rPr>
        <w:t>euro</w:t>
      </w:r>
      <w:r w:rsidR="00CA4C7A" w:rsidRPr="00534143">
        <w:t xml:space="preserve"> </w:t>
      </w:r>
      <w:r w:rsidRPr="00534143">
        <w:t>(2018.gada cenās,</w:t>
      </w:r>
      <w:r w:rsidRPr="00812E58">
        <w:t xml:space="preserve"> 2,5 mljrd. </w:t>
      </w:r>
      <w:r w:rsidR="00CA4C7A" w:rsidRPr="005B1DCA">
        <w:rPr>
          <w:i/>
        </w:rPr>
        <w:t>euro</w:t>
      </w:r>
      <w:r w:rsidR="00CA4C7A" w:rsidRPr="00812E58">
        <w:t xml:space="preserve"> </w:t>
      </w:r>
      <w:r w:rsidRPr="00812E58">
        <w:t xml:space="preserve">faktiskajās cenās) un līdz </w:t>
      </w:r>
      <w:r w:rsidRPr="00534143">
        <w:t xml:space="preserve">2,3 mljrd. </w:t>
      </w:r>
      <w:r w:rsidR="00CA4C7A" w:rsidRPr="005B1DCA">
        <w:rPr>
          <w:i/>
        </w:rPr>
        <w:t xml:space="preserve">euro </w:t>
      </w:r>
      <w:r w:rsidRPr="00534143">
        <w:t>(2018.gada cenās,</w:t>
      </w:r>
      <w:r w:rsidRPr="00812E58">
        <w:t xml:space="preserve"> 2,5 mljrd. </w:t>
      </w:r>
      <w:r w:rsidR="00CA4C7A" w:rsidRPr="005B1DCA">
        <w:rPr>
          <w:i/>
        </w:rPr>
        <w:t>euro</w:t>
      </w:r>
      <w:r w:rsidRPr="00812E58">
        <w:t>) aizdevumos.</w:t>
      </w:r>
      <w:r>
        <w:t xml:space="preserve"> </w:t>
      </w:r>
    </w:p>
    <w:p w:rsidR="00F948BA" w:rsidRDefault="00F948BA" w:rsidP="00534143">
      <w:pPr>
        <w:pStyle w:val="ListParagraph"/>
        <w:spacing w:before="100" w:beforeAutospacing="1" w:after="100" w:afterAutospacing="1" w:line="240" w:lineRule="auto"/>
        <w:ind w:left="0"/>
        <w:jc w:val="both"/>
      </w:pPr>
    </w:p>
    <w:p w:rsidR="00F948BA" w:rsidRDefault="00F948BA" w:rsidP="00FE7A11">
      <w:pPr>
        <w:pStyle w:val="ListParagraph"/>
        <w:spacing w:before="100" w:beforeAutospacing="1" w:after="100" w:afterAutospacing="1" w:line="240" w:lineRule="auto"/>
        <w:ind w:left="0"/>
        <w:jc w:val="both"/>
      </w:pPr>
      <w:r>
        <w:t xml:space="preserve">Pēdējo divu gadu lakā Latvijas banku sektorā, kas ir galvenās starpnieku institūcijas uzņēmumu un privātpersonu kreditēšanā un maksājumu pakalpojumu </w:t>
      </w:r>
      <w:r w:rsidR="00FE7A11">
        <w:t>sniegšanā</w:t>
      </w:r>
      <w:r>
        <w:t xml:space="preserve">, mainās īpašnieku sastāvs, tirgus daļas un darbības modeļi. Ievērojami sarucis ārvalstu klientu skaits un tiem sniegto </w:t>
      </w:r>
      <w:r>
        <w:lastRenderedPageBreak/>
        <w:t xml:space="preserve">pakalpojumu apjoms. Šo izmaiņu rezultātā ir samazinājusies kredītiestāžu peļņa, tomēr kredītiestāžu vidējie atdeves rādītāji pārsniedz ES vidējo līmeni. </w:t>
      </w:r>
      <w:r w:rsidR="006911B8">
        <w:t xml:space="preserve">2019. gadā un 2020.gada pirmajā pusē uzņēmumu un privātpersonu kreditēšana bija vāja. </w:t>
      </w:r>
      <w:r w:rsidR="00FE7A11">
        <w:t xml:space="preserve">Saglabājoties piesardzīgam kreditēšanas piedāvājumam un pieprasījumam, var tik ietekmēta ekonomikas izaugsmes atjaunošanās. Latvijas kapitāla tirgus joprojām ir maz attīstīts. Vērtējot pēc akciju tirgus kapitalizācijas pret </w:t>
      </w:r>
      <w:r w:rsidR="006E681B">
        <w:t>IKP</w:t>
      </w:r>
      <w:r w:rsidR="00FE7A11">
        <w:t xml:space="preserve">, Latvija ir pēdējā vietā starp ES valstīm, būtiski atpaliekot arī no kaimiņvalstīm. </w:t>
      </w:r>
      <w:r w:rsidR="006E681B">
        <w:t xml:space="preserve">Tā kā finanšu pakalpojumu sektorā ir salīdzinoši augstas darbības uzsākšanas barjeras, inovāciju veicināšanā un jaunu spēlētāju ienākšanai tirgū ļoti būtisks ir arī uzraugošo institūciju atbalsts. </w:t>
      </w:r>
      <w:r w:rsidR="00FE7A11">
        <w:t xml:space="preserve">Attiecībā uz atsevišķiem alternatīvo finanšu pakalpojumu sniedzējiem </w:t>
      </w:r>
      <w:r w:rsidR="00B740F2">
        <w:t>joprojām notiek licencēšanas process, kas rada neskaidrību par darbību regulējošo normatīvo ietvaru</w:t>
      </w:r>
      <w:r w:rsidR="006E681B">
        <w:t xml:space="preserve"> līdz attiecīgas licences izsniegšanai.</w:t>
      </w:r>
    </w:p>
    <w:p w:rsidR="00225BAB" w:rsidRDefault="00FE7A11" w:rsidP="00FC6086">
      <w:pPr>
        <w:pStyle w:val="ListParagraph"/>
        <w:widowControl w:val="0"/>
        <w:tabs>
          <w:tab w:val="left" w:pos="606"/>
        </w:tabs>
        <w:spacing w:before="100" w:beforeAutospacing="1" w:after="100" w:afterAutospacing="1" w:line="240" w:lineRule="auto"/>
        <w:ind w:left="0" w:firstLine="606"/>
        <w:jc w:val="both"/>
      </w:pPr>
      <w:r>
        <w:t xml:space="preserve"> </w:t>
      </w:r>
    </w:p>
    <w:p w:rsidR="0008027B" w:rsidRDefault="0008027B" w:rsidP="00534143">
      <w:pPr>
        <w:pStyle w:val="ListParagraph"/>
        <w:widowControl w:val="0"/>
        <w:tabs>
          <w:tab w:val="left" w:pos="606"/>
        </w:tabs>
        <w:spacing w:before="100" w:beforeAutospacing="1" w:after="100" w:afterAutospacing="1" w:line="240" w:lineRule="auto"/>
        <w:ind w:left="0"/>
        <w:jc w:val="both"/>
        <w:rPr>
          <w:b/>
          <w:color w:val="000000" w:themeColor="text1"/>
        </w:rPr>
      </w:pPr>
      <w:r>
        <w:rPr>
          <w:color w:val="000000" w:themeColor="text1"/>
        </w:rPr>
        <w:t xml:space="preserve">2019.gads Latvijas finanšu sektorā pagāja </w:t>
      </w:r>
      <w:r w:rsidRPr="006E2D16">
        <w:rPr>
          <w:bCs/>
          <w:color w:val="000000" w:themeColor="text1"/>
        </w:rPr>
        <w:t xml:space="preserve">Eiropas Padomes Noziedzīgi iegūtu līdzekļu legalizācijas un terorisma finansēšanas novēršanas pasākumu novērtēšanas ekspertu komitejas (turpmāk – </w:t>
      </w:r>
      <w:r w:rsidRPr="006E2D16">
        <w:rPr>
          <w:color w:val="000000" w:themeColor="text1"/>
        </w:rPr>
        <w:t>Moneyval)</w:t>
      </w:r>
      <w:r>
        <w:rPr>
          <w:color w:val="000000" w:themeColor="text1"/>
        </w:rPr>
        <w:t xml:space="preserve"> un </w:t>
      </w:r>
      <w:r w:rsidRPr="006E2D16">
        <w:rPr>
          <w:color w:val="000000" w:themeColor="text1"/>
        </w:rPr>
        <w:t xml:space="preserve">Finanšu darījumu darba grupas (turpmāk – FATF) </w:t>
      </w:r>
      <w:r>
        <w:rPr>
          <w:color w:val="000000" w:themeColor="text1"/>
        </w:rPr>
        <w:t>rekomendāciju ieviešanas zīmē. Moneyval</w:t>
      </w:r>
      <w:r w:rsidRPr="006E2D16">
        <w:rPr>
          <w:color w:val="000000" w:themeColor="text1"/>
        </w:rPr>
        <w:t xml:space="preserve"> un </w:t>
      </w:r>
      <w:r>
        <w:rPr>
          <w:color w:val="000000" w:themeColor="text1"/>
        </w:rPr>
        <w:t>FATF</w:t>
      </w:r>
      <w:r w:rsidRPr="006E2D16">
        <w:rPr>
          <w:color w:val="000000" w:themeColor="text1"/>
        </w:rPr>
        <w:t xml:space="preserve"> novērtēšanas procesu ietvaros</w:t>
      </w:r>
      <w:r>
        <w:rPr>
          <w:color w:val="000000" w:themeColor="text1"/>
        </w:rPr>
        <w:t>, kas tika noslēgts 2020.gada februārī,</w:t>
      </w:r>
      <w:r w:rsidRPr="006E2D16">
        <w:rPr>
          <w:color w:val="000000" w:themeColor="text1"/>
        </w:rPr>
        <w:t xml:space="preserve"> ir atzīts, ka Latvija ir pirmā Moneyval dalībvalsts un otrā valsts pasaulē, kas novērtēta kā vismaz “lielākoties atbilstoša” visām 40 </w:t>
      </w:r>
      <w:r w:rsidRPr="006E2D16">
        <w:rPr>
          <w:color w:val="000000" w:themeColor="text1"/>
          <w:shd w:val="clear" w:color="auto" w:fill="FFFFFF"/>
        </w:rPr>
        <w:t>FATF</w:t>
      </w:r>
      <w:r w:rsidRPr="006E2D16">
        <w:rPr>
          <w:color w:val="000000" w:themeColor="text1"/>
        </w:rPr>
        <w:t xml:space="preserve"> rekomendācijām. </w:t>
      </w:r>
      <w:r w:rsidRPr="006E2D16">
        <w:rPr>
          <w:bCs/>
          <w:color w:val="000000" w:themeColor="text1"/>
          <w:shd w:val="clear" w:color="auto" w:fill="FFFFFF"/>
        </w:rPr>
        <w:t xml:space="preserve">Eksperti atzinuši, ka </w:t>
      </w:r>
      <w:r w:rsidRPr="006E2D16">
        <w:rPr>
          <w:color w:val="000000" w:themeColor="text1"/>
          <w:shd w:val="clear" w:color="auto" w:fill="FFFFFF"/>
        </w:rPr>
        <w:t xml:space="preserve">Latvija ir izveidojusi stipru un noturīgu finanšu noziegumu novēršanas sistēmu, kā rezultātā </w:t>
      </w:r>
      <w:r w:rsidRPr="006E2D16">
        <w:rPr>
          <w:color w:val="000000" w:themeColor="text1"/>
        </w:rPr>
        <w:t xml:space="preserve">ir novērsta Latvijas iekļaušana “pelēkajā sarakstā”, kas varēja radīt būtisku kaitējumu Latvijas valstij. </w:t>
      </w:r>
      <w:r>
        <w:rPr>
          <w:color w:val="000000" w:themeColor="text1"/>
        </w:rPr>
        <w:t>P</w:t>
      </w:r>
      <w:r w:rsidRPr="006E2D16">
        <w:rPr>
          <w:color w:val="000000" w:themeColor="text1"/>
        </w:rPr>
        <w:t>ozitīvais novērtējums, apliecinot valsts spējas salīdzinoši īsā laika posmā veikt nozīmīgas pārmaiņas finanšu sistēmā, ir nostiprinājis Latvijas kā nozīmīga starptautiska partnera lomu starptautiskajā arēnā.</w:t>
      </w:r>
      <w:r>
        <w:rPr>
          <w:color w:val="000000" w:themeColor="text1"/>
        </w:rPr>
        <w:t xml:space="preserve">  </w:t>
      </w:r>
      <w:r w:rsidR="008176A5">
        <w:rPr>
          <w:color w:val="000000" w:themeColor="text1"/>
        </w:rPr>
        <w:t>A</w:t>
      </w:r>
      <w:r>
        <w:rPr>
          <w:color w:val="000000" w:themeColor="text1"/>
        </w:rPr>
        <w:t>ugst</w:t>
      </w:r>
      <w:r w:rsidR="008176A5">
        <w:rPr>
          <w:color w:val="000000" w:themeColor="text1"/>
        </w:rPr>
        <w:t>ais</w:t>
      </w:r>
      <w:r>
        <w:rPr>
          <w:color w:val="000000" w:themeColor="text1"/>
        </w:rPr>
        <w:t xml:space="preserve"> novērtējum</w:t>
      </w:r>
      <w:r w:rsidR="008176A5">
        <w:rPr>
          <w:color w:val="000000" w:themeColor="text1"/>
        </w:rPr>
        <w:t>s</w:t>
      </w:r>
      <w:r w:rsidR="00C129B4">
        <w:rPr>
          <w:color w:val="000000" w:themeColor="text1"/>
        </w:rPr>
        <w:t xml:space="preserve"> </w:t>
      </w:r>
      <w:r w:rsidR="008176A5">
        <w:rPr>
          <w:color w:val="000000" w:themeColor="text1"/>
        </w:rPr>
        <w:t>balstīts uz to, ka būtiski pilnveidots noziedzīgi iegūtu līdzekļu legalizācijas un terorisma un proliferācijas novēršanas regulējums, augusi kompetento iestāžu kapacitāte un uzlabojušies to darbības rezultāti, mazinājusies risku tolerance. Vienlaikus nevienmērīgā jauno pras</w:t>
      </w:r>
      <w:r w:rsidR="00717911">
        <w:rPr>
          <w:color w:val="000000" w:themeColor="text1"/>
        </w:rPr>
        <w:t>ību izpratne</w:t>
      </w:r>
      <w:r w:rsidR="008176A5">
        <w:rPr>
          <w:color w:val="000000" w:themeColor="text1"/>
        </w:rPr>
        <w:t>, kā arī papildu noziedzīgi iegūtu līdzekļu legalizācijas gadījumi Baltijas un Ziemeļvalst</w:t>
      </w:r>
      <w:r w:rsidR="00717911">
        <w:rPr>
          <w:color w:val="000000" w:themeColor="text1"/>
        </w:rPr>
        <w:t>u finanšu sektorā</w:t>
      </w:r>
      <w:r w:rsidR="008176A5">
        <w:rPr>
          <w:color w:val="000000" w:themeColor="text1"/>
        </w:rPr>
        <w:t xml:space="preserve"> ietekmē privātā sektora vēlmi izvairīties no riskiem, nevis vadīt tos, tādējādi apgrūtinot savstarpējo</w:t>
      </w:r>
      <w:r w:rsidR="00C129B4">
        <w:rPr>
          <w:color w:val="000000" w:themeColor="text1"/>
        </w:rPr>
        <w:t xml:space="preserve"> </w:t>
      </w:r>
      <w:r w:rsidR="008176A5">
        <w:rPr>
          <w:color w:val="000000" w:themeColor="text1"/>
        </w:rPr>
        <w:t xml:space="preserve">sadarbību starp finanšu sektoru un uzņēmumiem, un privātpersonām. </w:t>
      </w:r>
      <w:r w:rsidR="00C129B4">
        <w:rPr>
          <w:color w:val="000000" w:themeColor="text1"/>
        </w:rPr>
        <w:t xml:space="preserve">Līdz ar to ir būtiski </w:t>
      </w:r>
      <w:r>
        <w:rPr>
          <w:color w:val="000000" w:themeColor="text1"/>
        </w:rPr>
        <w:t xml:space="preserve">šī plāna darbības periodā </w:t>
      </w:r>
      <w:r w:rsidR="00C129B4">
        <w:rPr>
          <w:color w:val="000000" w:themeColor="text1"/>
        </w:rPr>
        <w:t xml:space="preserve">turpināt </w:t>
      </w:r>
      <w:r>
        <w:rPr>
          <w:color w:val="000000" w:themeColor="text1"/>
        </w:rPr>
        <w:t>darb</w:t>
      </w:r>
      <w:r w:rsidR="00C129B4">
        <w:rPr>
          <w:color w:val="000000" w:themeColor="text1"/>
        </w:rPr>
        <w:t>u</w:t>
      </w:r>
      <w:r>
        <w:rPr>
          <w:color w:val="000000" w:themeColor="text1"/>
        </w:rPr>
        <w:t xml:space="preserve"> </w:t>
      </w:r>
      <w:r w:rsidR="00717911">
        <w:rPr>
          <w:color w:val="000000" w:themeColor="text1"/>
        </w:rPr>
        <w:t xml:space="preserve">noziedzīgi iegūtu līdzekļu legalizācijas un terorisma finansēšanas un proliferācijas novēršanas jomā </w:t>
      </w:r>
      <w:r w:rsidR="00C129B4">
        <w:rPr>
          <w:color w:val="000000" w:themeColor="text1"/>
        </w:rPr>
        <w:t xml:space="preserve">un atbilstoši </w:t>
      </w:r>
      <w:r>
        <w:rPr>
          <w:color w:val="000000" w:themeColor="text1"/>
        </w:rPr>
        <w:t>politikas pasākumi ir iekļauti Ministru kabineta apstiprinātajā “Pasākumu plānā noziedzīgi iegūtu līdzekļu legalizācijas, terorisma un proliferācijas novēršanai laika posmā no 2020. līdz 2022.gadam”</w:t>
      </w:r>
      <w:r w:rsidR="00BC428D">
        <w:rPr>
          <w:rStyle w:val="FootnoteReference"/>
          <w:color w:val="000000" w:themeColor="text1"/>
        </w:rPr>
        <w:footnoteReference w:id="4"/>
      </w:r>
      <w:r>
        <w:rPr>
          <w:color w:val="000000" w:themeColor="text1"/>
        </w:rPr>
        <w:t>.</w:t>
      </w:r>
      <w:r w:rsidR="00EB2F6F">
        <w:rPr>
          <w:color w:val="000000" w:themeColor="text1"/>
        </w:rPr>
        <w:t xml:space="preserve"> </w:t>
      </w:r>
      <w:r w:rsidR="00C129B4">
        <w:rPr>
          <w:color w:val="000000" w:themeColor="text1"/>
        </w:rPr>
        <w:t>Ieviešot</w:t>
      </w:r>
      <w:r w:rsidR="00B67795">
        <w:rPr>
          <w:color w:val="000000" w:themeColor="text1"/>
        </w:rPr>
        <w:t xml:space="preserve"> minētajā Ministru kabineta plānā iekļautos pasākumus</w:t>
      </w:r>
      <w:r w:rsidR="00C129B4">
        <w:rPr>
          <w:color w:val="000000" w:themeColor="text1"/>
        </w:rPr>
        <w:t>,</w:t>
      </w:r>
      <w:r w:rsidR="00B67795">
        <w:rPr>
          <w:color w:val="000000" w:themeColor="text1"/>
        </w:rPr>
        <w:t xml:space="preserve"> </w:t>
      </w:r>
      <w:r w:rsidR="00C129B4">
        <w:rPr>
          <w:color w:val="000000" w:themeColor="text1"/>
        </w:rPr>
        <w:t xml:space="preserve">tiks veicināta </w:t>
      </w:r>
      <w:r w:rsidR="00B67795">
        <w:rPr>
          <w:color w:val="000000" w:themeColor="text1"/>
        </w:rPr>
        <w:t xml:space="preserve"> </w:t>
      </w:r>
      <w:r w:rsidR="00EB2F6F">
        <w:rPr>
          <w:color w:val="000000" w:themeColor="text1"/>
        </w:rPr>
        <w:t>noziedzīgi iegūtu līdzekļu legalizācijas un terorisma un proliferācijas novēršanas prasīb</w:t>
      </w:r>
      <w:r w:rsidR="00C129B4">
        <w:rPr>
          <w:color w:val="000000" w:themeColor="text1"/>
        </w:rPr>
        <w:t>u efektīva un riskos balstīta ieviešana</w:t>
      </w:r>
      <w:r w:rsidR="00EB2F6F">
        <w:rPr>
          <w:color w:val="000000" w:themeColor="text1"/>
        </w:rPr>
        <w:t>, kas nodrošinātu tālāku ilgtspējīgu sektora attīstību un spēju finansēt tautsaimniecību</w:t>
      </w:r>
      <w:r w:rsidR="00C129B4">
        <w:rPr>
          <w:color w:val="000000" w:themeColor="text1"/>
        </w:rPr>
        <w:t>.</w:t>
      </w:r>
      <w:r w:rsidRPr="00E47AFF">
        <w:rPr>
          <w:b/>
          <w:color w:val="000000" w:themeColor="text1"/>
        </w:rPr>
        <w:tab/>
      </w:r>
    </w:p>
    <w:p w:rsidR="0008027B" w:rsidRPr="00CA0EDA" w:rsidRDefault="0008027B" w:rsidP="00FC6086">
      <w:pPr>
        <w:pStyle w:val="ListParagraph"/>
        <w:widowControl w:val="0"/>
        <w:tabs>
          <w:tab w:val="left" w:pos="606"/>
        </w:tabs>
        <w:spacing w:before="100" w:beforeAutospacing="1" w:after="100" w:afterAutospacing="1" w:line="240" w:lineRule="auto"/>
        <w:ind w:left="0" w:firstLine="606"/>
        <w:jc w:val="both"/>
        <w:rPr>
          <w:color w:val="000000" w:themeColor="text1"/>
        </w:rPr>
      </w:pPr>
    </w:p>
    <w:p w:rsidR="0008027B" w:rsidRDefault="0008027B" w:rsidP="00534143">
      <w:pPr>
        <w:pStyle w:val="ListParagraph"/>
        <w:widowControl w:val="0"/>
        <w:tabs>
          <w:tab w:val="left" w:pos="606"/>
        </w:tabs>
        <w:spacing w:before="100" w:beforeAutospacing="1" w:after="100" w:afterAutospacing="1" w:line="240" w:lineRule="auto"/>
        <w:ind w:left="0"/>
        <w:jc w:val="both"/>
        <w:rPr>
          <w:color w:val="000000" w:themeColor="text1"/>
        </w:rPr>
      </w:pPr>
      <w:r w:rsidRPr="00CA0EDA">
        <w:rPr>
          <w:color w:val="000000" w:themeColor="text1"/>
        </w:rPr>
        <w:t>2019.gada n</w:t>
      </w:r>
      <w:r>
        <w:rPr>
          <w:color w:val="000000" w:themeColor="text1"/>
        </w:rPr>
        <w:t>ogalē EK nāca klajā ar Eiropas Z</w:t>
      </w:r>
      <w:r w:rsidRPr="00CA0EDA">
        <w:rPr>
          <w:color w:val="000000" w:themeColor="text1"/>
        </w:rPr>
        <w:t>aļo kursu – ceļvedi, kā padarīt ES ekonomiku ilgtspējīgu, klimata un vides problēmas izmantojot iespēju radīšanā visās politikas jomās un padarot pārkārtošanos taisnīgāku un iekļaujošu visiem.</w:t>
      </w:r>
      <w:r>
        <w:rPr>
          <w:color w:val="000000" w:themeColor="text1"/>
        </w:rPr>
        <w:t xml:space="preserve"> Eiropas Zaļais kurss aptver visas ekonomikas nozares, jo sevišķi transportu, enerģētiku, lauksaimniecību, IKT un ķīmisko vielu ražošanu. Lai sasniegtu Eiropas Zaļā kursa mērķus, būs </w:t>
      </w:r>
      <w:r>
        <w:rPr>
          <w:color w:val="000000" w:themeColor="text1"/>
        </w:rPr>
        <w:lastRenderedPageBreak/>
        <w:t>vajadzīgas ievērojamas investīcijas. Finanšu sistēmai šajā procesā ir būtiska loma un tā var būt daļa no risinājuma virzībā uz zaļāku un ilgtspējīgāku ekonomiku. Lai privāto kapitālu pārorientētu uz ilgtspējīgākiem ieguldījumiem, ir nepieciešamas visaptverošas pārmaiņas finanšu sistēmas darbībā:</w:t>
      </w:r>
    </w:p>
    <w:p w:rsidR="0008027B" w:rsidRPr="00C3575A" w:rsidRDefault="0008027B" w:rsidP="00FC6086">
      <w:pPr>
        <w:pStyle w:val="ListParagraph"/>
        <w:widowControl w:val="0"/>
        <w:tabs>
          <w:tab w:val="left" w:pos="606"/>
        </w:tabs>
        <w:spacing w:before="100" w:beforeAutospacing="1" w:after="100" w:afterAutospacing="1" w:line="240" w:lineRule="auto"/>
        <w:ind w:left="0" w:firstLine="606"/>
        <w:jc w:val="both"/>
      </w:pPr>
    </w:p>
    <w:p w:rsidR="0008027B" w:rsidRDefault="0008027B" w:rsidP="00FC6086">
      <w:pPr>
        <w:pStyle w:val="ListParagraph"/>
        <w:widowControl w:val="0"/>
        <w:numPr>
          <w:ilvl w:val="0"/>
          <w:numId w:val="9"/>
        </w:numPr>
        <w:tabs>
          <w:tab w:val="left" w:pos="606"/>
        </w:tabs>
        <w:spacing w:before="100" w:beforeAutospacing="1" w:after="100" w:afterAutospacing="1" w:line="240" w:lineRule="auto"/>
        <w:ind w:left="567" w:hanging="283"/>
        <w:jc w:val="both"/>
        <w:rPr>
          <w:rFonts w:eastAsia="Times New Roman"/>
          <w:lang w:eastAsia="lv-LV"/>
        </w:rPr>
      </w:pPr>
      <w:r w:rsidRPr="00C3575A">
        <w:rPr>
          <w:rFonts w:eastAsia="Times New Roman"/>
          <w:lang w:eastAsia="lv-LV"/>
        </w:rPr>
        <w:t>pārorientēt kapitāla plūsmas uz ilgtspējīgiem ieguldījumiem, lai nodrošinātu ilgtspējīgu un iekļaujošu izaugsmi</w:t>
      </w:r>
      <w:r>
        <w:rPr>
          <w:rFonts w:eastAsia="Times New Roman"/>
          <w:lang w:eastAsia="lv-LV"/>
        </w:rPr>
        <w:t>;</w:t>
      </w:r>
    </w:p>
    <w:p w:rsidR="0008027B" w:rsidRPr="00C3575A" w:rsidRDefault="0008027B" w:rsidP="00FC6086">
      <w:pPr>
        <w:pStyle w:val="ListParagraph"/>
        <w:widowControl w:val="0"/>
        <w:numPr>
          <w:ilvl w:val="0"/>
          <w:numId w:val="9"/>
        </w:numPr>
        <w:tabs>
          <w:tab w:val="left" w:pos="606"/>
        </w:tabs>
        <w:spacing w:before="100" w:beforeAutospacing="1" w:after="100" w:afterAutospacing="1" w:line="240" w:lineRule="auto"/>
        <w:ind w:left="567" w:hanging="283"/>
        <w:jc w:val="both"/>
        <w:rPr>
          <w:rFonts w:eastAsia="Times New Roman"/>
          <w:lang w:eastAsia="lv-LV"/>
        </w:rPr>
      </w:pPr>
      <w:r w:rsidRPr="00C3575A">
        <w:rPr>
          <w:rFonts w:eastAsia="Times New Roman"/>
          <w:lang w:eastAsia="lv-LV"/>
        </w:rPr>
        <w:t>pārvaldīt finanšu riskus, kas izriet no klimata pārmaiņām, resursu noplicināšanas, vides degradācijas un sociālajām problēmām</w:t>
      </w:r>
      <w:r>
        <w:rPr>
          <w:rFonts w:eastAsia="Times New Roman"/>
          <w:lang w:eastAsia="lv-LV"/>
        </w:rPr>
        <w:t>;</w:t>
      </w:r>
    </w:p>
    <w:p w:rsidR="00A0142C" w:rsidRPr="00B857D7" w:rsidRDefault="0008027B" w:rsidP="00B857D7">
      <w:pPr>
        <w:pStyle w:val="ListParagraph"/>
        <w:widowControl w:val="0"/>
        <w:numPr>
          <w:ilvl w:val="0"/>
          <w:numId w:val="9"/>
        </w:numPr>
        <w:tabs>
          <w:tab w:val="left" w:pos="606"/>
        </w:tabs>
        <w:spacing w:before="100" w:beforeAutospacing="1" w:after="100" w:afterAutospacing="1" w:line="240" w:lineRule="auto"/>
        <w:ind w:hanging="1042"/>
        <w:jc w:val="both"/>
        <w:rPr>
          <w:rFonts w:eastAsia="Times New Roman"/>
          <w:lang w:eastAsia="lv-LV"/>
        </w:rPr>
      </w:pPr>
      <w:r w:rsidRPr="00C3575A">
        <w:rPr>
          <w:rFonts w:eastAsia="Times New Roman"/>
          <w:lang w:eastAsia="lv-LV"/>
        </w:rPr>
        <w:t>veicināt pārredzamību un ilgtermiņa skatījumu finanšu un ekonomikas darbībā.</w:t>
      </w:r>
    </w:p>
    <w:p w:rsidR="0008027B" w:rsidRDefault="0008027B" w:rsidP="00FC6086">
      <w:pPr>
        <w:widowControl w:val="0"/>
        <w:tabs>
          <w:tab w:val="left" w:pos="606"/>
        </w:tabs>
        <w:spacing w:before="100" w:beforeAutospacing="1" w:after="100" w:afterAutospacing="1" w:line="240" w:lineRule="auto"/>
        <w:jc w:val="both"/>
        <w:rPr>
          <w:rFonts w:eastAsia="Times New Roman"/>
          <w:lang w:eastAsia="lv-LV"/>
        </w:rPr>
      </w:pPr>
      <w:r>
        <w:rPr>
          <w:rFonts w:eastAsia="Times New Roman"/>
          <w:lang w:eastAsia="lv-LV"/>
        </w:rPr>
        <w:t>Finanšu sektors ir vislielākais digitālo tehnoloģiju lietotājs un būtisks ekonomikas un sabiedrības digitalizācijas veicinātājs. Lai gan finanšu inovācija nav jaunums, ir ievērojami palielinājušies ieguldījumi tehnoloģijā un inovāciju temps. Tiek pl</w:t>
      </w:r>
      <w:r w:rsidR="00EB2F6F">
        <w:rPr>
          <w:rFonts w:eastAsia="Times New Roman"/>
          <w:lang w:eastAsia="lv-LV"/>
        </w:rPr>
        <w:t>aš</w:t>
      </w:r>
      <w:r>
        <w:rPr>
          <w:rFonts w:eastAsia="Times New Roman"/>
          <w:lang w:eastAsia="lv-LV"/>
        </w:rPr>
        <w:t>i izvērsti finanšu tehnoloģij</w:t>
      </w:r>
      <w:r w:rsidR="00EB2F6F">
        <w:rPr>
          <w:rFonts w:eastAsia="Times New Roman"/>
          <w:lang w:eastAsia="lv-LV"/>
        </w:rPr>
        <w:t>u</w:t>
      </w:r>
      <w:r>
        <w:rPr>
          <w:rFonts w:eastAsia="Times New Roman"/>
          <w:lang w:eastAsia="lv-LV"/>
        </w:rPr>
        <w:t xml:space="preserve"> risinājumi, kas maina finanšu nozari un to, kā patērētāji un uzņēmumi piekļūst pakalpojumiem. Finanšu tehnoloģija rada gan iespējas, gan jaunus izaicinājumus attiecībā uz normatīvo atbilstību un uzraudzību. Finanšu tehnoloģija rada arī problēmas – ar kiberdrošību saistītus riskus, ar datu, patērētāju un ieguldītāju aizsardzību un tirgus integritāti saistītus jautājumus.</w:t>
      </w:r>
    </w:p>
    <w:p w:rsidR="00F32489" w:rsidRPr="00B925F0" w:rsidRDefault="00225BAB" w:rsidP="00534143">
      <w:pPr>
        <w:spacing w:after="120" w:line="240" w:lineRule="auto"/>
        <w:jc w:val="both"/>
      </w:pPr>
      <w:r w:rsidRPr="00F32489">
        <w:t>2019.gada aprīlī</w:t>
      </w:r>
      <w:r>
        <w:t xml:space="preserve"> </w:t>
      </w:r>
      <w:r w:rsidRPr="00F32489">
        <w:t xml:space="preserve">Pasaules Bankas un Starptautiskā </w:t>
      </w:r>
      <w:r w:rsidR="00BC428D">
        <w:t>V</w:t>
      </w:r>
      <w:r w:rsidRPr="00F32489">
        <w:t>alūtas fonda pilnvarniek</w:t>
      </w:r>
      <w:r>
        <w:t>u</w:t>
      </w:r>
      <w:r w:rsidRPr="00F32489">
        <w:t xml:space="preserve"> pavasara sanāksmes laikā </w:t>
      </w:r>
      <w:r>
        <w:t xml:space="preserve">tika nodibināta brīvprātīga organizācija –  </w:t>
      </w:r>
      <w:r w:rsidR="00F32489" w:rsidRPr="00F32489">
        <w:t>Finanšu minis</w:t>
      </w:r>
      <w:r w:rsidR="00F32489">
        <w:t>tru klimata politikas koalīcij</w:t>
      </w:r>
      <w:r w:rsidR="00957F28">
        <w:t>a</w:t>
      </w:r>
      <w:r>
        <w:t>.</w:t>
      </w:r>
      <w:r w:rsidR="003F4B7D">
        <w:t xml:space="preserve"> </w:t>
      </w:r>
      <w:r w:rsidR="00F32489" w:rsidRPr="00F32489">
        <w:t xml:space="preserve">Pašreiz Koalīcijā ir </w:t>
      </w:r>
      <w:r w:rsidR="00957F28" w:rsidRPr="00225BAB">
        <w:t>52</w:t>
      </w:r>
      <w:r w:rsidR="00F32489" w:rsidRPr="00225BAB">
        <w:t xml:space="preserve"> valstis</w:t>
      </w:r>
      <w:r w:rsidR="00F32489" w:rsidRPr="00F32489">
        <w:t xml:space="preserve">, no kurām </w:t>
      </w:r>
      <w:r w:rsidR="00B925F0">
        <w:t>15</w:t>
      </w:r>
      <w:r w:rsidR="00F32489" w:rsidRPr="00225BAB">
        <w:t xml:space="preserve"> ir ES dalībvalstis</w:t>
      </w:r>
      <w:r w:rsidR="00F32489" w:rsidRPr="00F32489">
        <w:t xml:space="preserve"> (Austrija, Kipra, Dānija, Somija, Francija, Vācija, Īrija, Latvija,</w:t>
      </w:r>
      <w:r w:rsidR="009B78BB">
        <w:t xml:space="preserve"> Lietuva,</w:t>
      </w:r>
      <w:r w:rsidR="00F32489" w:rsidRPr="00F32489">
        <w:t xml:space="preserve"> Luksemburga, Nīderlande, Polija, Spānija, Zviedrija</w:t>
      </w:r>
      <w:r w:rsidR="00AD16D8">
        <w:t xml:space="preserve"> </w:t>
      </w:r>
      <w:r w:rsidR="00F32489" w:rsidRPr="00F32489">
        <w:t>un Portugāle). Koalīcijas izveides mērķis ir veicināt nacionāla un globāla līmeņa rīcību klimata pārmaiņu radīto seku mazināšanai, izmantojot fiskālo politiku, publisko finanšu pārvaldību un piesaistot privāto finansējumu</w:t>
      </w:r>
      <w:r w:rsidR="00E36D32">
        <w:t>,</w:t>
      </w:r>
      <w:r w:rsidR="00772ABD">
        <w:t xml:space="preserve"> </w:t>
      </w:r>
      <w:r w:rsidR="00E36D32">
        <w:t xml:space="preserve">kā arī </w:t>
      </w:r>
      <w:r w:rsidR="00E36D32" w:rsidRPr="00F32489">
        <w:t>veicinot investīcijas un tāda finanšu sektora attīstību, kas atbalsta klimata pārmaiņu mazināšanas un pielāgošanas politiku.</w:t>
      </w:r>
      <w:r w:rsidR="00F32489" w:rsidRPr="00F32489">
        <w:t xml:space="preserve"> Mērķa sasniegšanai tiks sekmēta valstu pieredzes apmaiņa par attiecīgo politiku veidošanu un nodrošināts forums vienotu standartu un labākās prakses veicināšanai.</w:t>
      </w:r>
      <w:r w:rsidR="00B925F0">
        <w:t xml:space="preserve"> Latvija koalīcijai pievienojās </w:t>
      </w:r>
      <w:r w:rsidR="00B925F0" w:rsidRPr="00D55DEE">
        <w:t>20</w:t>
      </w:r>
      <w:r w:rsidR="00D55DEE" w:rsidRPr="00534143">
        <w:t>19</w:t>
      </w:r>
      <w:r w:rsidR="00B925F0" w:rsidRPr="00D55DEE">
        <w:t>.gada</w:t>
      </w:r>
      <w:r w:rsidR="009B78BB" w:rsidRPr="00D55DEE">
        <w:t xml:space="preserve"> 24.septembrī.</w:t>
      </w:r>
      <w:r w:rsidR="009B78BB" w:rsidRPr="00F32489">
        <w:t xml:space="preserve"> </w:t>
      </w:r>
    </w:p>
    <w:p w:rsidR="00F32489" w:rsidRPr="00F32489" w:rsidRDefault="00F32489" w:rsidP="00B857D7">
      <w:pPr>
        <w:spacing w:after="120" w:line="240" w:lineRule="auto"/>
        <w:jc w:val="both"/>
      </w:pPr>
    </w:p>
    <w:p w:rsidR="00F32489" w:rsidRDefault="00F32489" w:rsidP="00FC6086">
      <w:pPr>
        <w:widowControl w:val="0"/>
        <w:tabs>
          <w:tab w:val="left" w:pos="606"/>
        </w:tabs>
        <w:spacing w:before="100" w:beforeAutospacing="1" w:after="100" w:afterAutospacing="1" w:line="240" w:lineRule="auto"/>
        <w:jc w:val="both"/>
        <w:rPr>
          <w:rFonts w:eastAsia="Times New Roman"/>
          <w:lang w:eastAsia="lv-LV"/>
        </w:rPr>
      </w:pPr>
    </w:p>
    <w:p w:rsidR="005B1DCA" w:rsidRDefault="005B1DCA" w:rsidP="00FC6086">
      <w:pPr>
        <w:widowControl w:val="0"/>
        <w:tabs>
          <w:tab w:val="left" w:pos="606"/>
        </w:tabs>
        <w:spacing w:before="100" w:beforeAutospacing="1" w:after="100" w:afterAutospacing="1" w:line="240" w:lineRule="auto"/>
        <w:jc w:val="both"/>
        <w:rPr>
          <w:rFonts w:eastAsia="Times New Roman"/>
          <w:lang w:eastAsia="lv-LV"/>
        </w:rPr>
      </w:pPr>
    </w:p>
    <w:p w:rsidR="005B1DCA" w:rsidRDefault="005B1DCA" w:rsidP="00FC6086">
      <w:pPr>
        <w:widowControl w:val="0"/>
        <w:tabs>
          <w:tab w:val="left" w:pos="606"/>
        </w:tabs>
        <w:spacing w:before="100" w:beforeAutospacing="1" w:after="100" w:afterAutospacing="1" w:line="240" w:lineRule="auto"/>
        <w:jc w:val="both"/>
        <w:rPr>
          <w:rFonts w:eastAsia="Times New Roman"/>
          <w:lang w:eastAsia="lv-LV"/>
        </w:rPr>
      </w:pPr>
    </w:p>
    <w:p w:rsidR="0008027B" w:rsidRPr="003E6F7E" w:rsidRDefault="0008027B" w:rsidP="003E6F7E">
      <w:pPr>
        <w:pStyle w:val="Heading1"/>
      </w:pPr>
      <w:bookmarkStart w:id="3" w:name="_Toc55202481"/>
      <w:r w:rsidRPr="003E6F7E">
        <w:lastRenderedPageBreak/>
        <w:t>2. Plāna mērķis un rīcības virzieni</w:t>
      </w:r>
      <w:bookmarkEnd w:id="3"/>
    </w:p>
    <w:p w:rsidR="0008027B" w:rsidRPr="00F65285" w:rsidRDefault="0008027B" w:rsidP="00FC6086">
      <w:pPr>
        <w:keepNext/>
        <w:shd w:val="clear" w:color="auto" w:fill="FFFFFF"/>
        <w:tabs>
          <w:tab w:val="left" w:pos="606"/>
        </w:tabs>
        <w:spacing w:before="100" w:beforeAutospacing="1" w:after="100" w:afterAutospacing="1" w:line="240" w:lineRule="auto"/>
        <w:jc w:val="both"/>
      </w:pPr>
      <w:r w:rsidRPr="00DA153D">
        <w:rPr>
          <w:shd w:val="clear" w:color="auto" w:fill="FFFFFF"/>
        </w:rPr>
        <w:t>Plāns ir izstrādāts, lai noteiktu finanšu sektora politikas vidēja termiņa attīstības virzienus, sniedzot finanšu sektora darbības izvērtējumu un nosakot sasniedzamās prioritātes un rezultātus.</w:t>
      </w:r>
    </w:p>
    <w:p w:rsidR="0008027B" w:rsidRPr="00534143" w:rsidRDefault="0008027B" w:rsidP="00534143">
      <w:pPr>
        <w:spacing w:before="100" w:beforeAutospacing="1" w:after="100" w:afterAutospacing="1" w:line="240" w:lineRule="auto"/>
        <w:jc w:val="both"/>
        <w:rPr>
          <w:rFonts w:cstheme="minorBidi"/>
          <w:b/>
          <w:szCs w:val="22"/>
        </w:rPr>
      </w:pPr>
      <w:r w:rsidRPr="00F65285">
        <w:rPr>
          <w:rFonts w:cstheme="minorBidi"/>
          <w:szCs w:val="22"/>
        </w:rPr>
        <w:t xml:space="preserve">Plānā ietverto pasākumu </w:t>
      </w:r>
      <w:r w:rsidRPr="00534143">
        <w:rPr>
          <w:rFonts w:cstheme="minorBidi"/>
          <w:b/>
          <w:szCs w:val="22"/>
        </w:rPr>
        <w:t>mērķis ir turpināt atbalstīt inovatīvu un pieejamu finanšu sektoru, kas sekmē un atbalsta ilgtspējīgu tautsaimniecības attīstību, nosakot šādus prioritāros attīstības virzienus:</w:t>
      </w:r>
    </w:p>
    <w:p w:rsidR="0008027B" w:rsidRPr="0091217B" w:rsidRDefault="0008027B" w:rsidP="00FC6086">
      <w:pPr>
        <w:pStyle w:val="ListParagraph"/>
        <w:numPr>
          <w:ilvl w:val="0"/>
          <w:numId w:val="10"/>
        </w:numPr>
        <w:spacing w:before="100" w:beforeAutospacing="1" w:after="100" w:afterAutospacing="1" w:line="240" w:lineRule="auto"/>
        <w:ind w:left="709" w:hanging="425"/>
        <w:jc w:val="both"/>
        <w:rPr>
          <w:rFonts w:cstheme="minorBidi"/>
          <w:szCs w:val="22"/>
        </w:rPr>
      </w:pPr>
      <w:r w:rsidRPr="0091217B">
        <w:t>Finansējuma pieejamība un investīciju iespējas</w:t>
      </w:r>
      <w:r w:rsidR="007F46D5">
        <w:t>;</w:t>
      </w:r>
    </w:p>
    <w:p w:rsidR="006D1CB5" w:rsidRPr="006D1CB5" w:rsidRDefault="0008027B" w:rsidP="00FC6086">
      <w:pPr>
        <w:pStyle w:val="ListParagraph"/>
        <w:numPr>
          <w:ilvl w:val="0"/>
          <w:numId w:val="10"/>
        </w:numPr>
        <w:spacing w:before="100" w:beforeAutospacing="1" w:after="100" w:afterAutospacing="1" w:line="240" w:lineRule="auto"/>
        <w:ind w:left="709" w:hanging="425"/>
        <w:jc w:val="both"/>
        <w:rPr>
          <w:rFonts w:cstheme="minorBidi"/>
          <w:szCs w:val="22"/>
        </w:rPr>
      </w:pPr>
      <w:r w:rsidRPr="0091217B">
        <w:t>Digitalizācija un inovatīvu pakalpojumu pieejamība</w:t>
      </w:r>
      <w:r w:rsidR="007F46D5">
        <w:t>;</w:t>
      </w:r>
    </w:p>
    <w:p w:rsidR="0008027B" w:rsidRPr="00FC6086" w:rsidRDefault="0008027B" w:rsidP="00FC6086">
      <w:pPr>
        <w:pStyle w:val="ListParagraph"/>
        <w:numPr>
          <w:ilvl w:val="0"/>
          <w:numId w:val="10"/>
        </w:numPr>
        <w:spacing w:before="100" w:beforeAutospacing="1" w:after="100" w:afterAutospacing="1" w:line="240" w:lineRule="auto"/>
        <w:ind w:left="709" w:hanging="425"/>
        <w:jc w:val="both"/>
        <w:rPr>
          <w:rFonts w:cstheme="minorBidi"/>
          <w:szCs w:val="22"/>
        </w:rPr>
      </w:pPr>
      <w:r w:rsidRPr="006D1CB5">
        <w:rPr>
          <w:rFonts w:cstheme="minorBidi"/>
          <w:szCs w:val="22"/>
        </w:rPr>
        <w:t>Ilgtspējīgas finanses.</w:t>
      </w:r>
      <w:r w:rsidRPr="006D1CB5">
        <w:rPr>
          <w:b/>
        </w:rPr>
        <w:br w:type="page"/>
      </w:r>
    </w:p>
    <w:p w:rsidR="00EC6690" w:rsidRPr="00F21407" w:rsidRDefault="00B42931" w:rsidP="003E6F7E">
      <w:pPr>
        <w:pStyle w:val="Heading1"/>
      </w:pPr>
      <w:bookmarkStart w:id="4" w:name="_Toc55202482"/>
      <w:r w:rsidRPr="00F21407">
        <w:lastRenderedPageBreak/>
        <w:t xml:space="preserve">3. </w:t>
      </w:r>
      <w:r w:rsidR="00EC6690" w:rsidRPr="00F21407">
        <w:t>Finansējuma pieejamība</w:t>
      </w:r>
      <w:r w:rsidR="0081557A" w:rsidRPr="00F21407">
        <w:t xml:space="preserve"> un investīciju iespējas</w:t>
      </w:r>
      <w:bookmarkEnd w:id="4"/>
    </w:p>
    <w:p w:rsidR="00CD3EA4" w:rsidRDefault="00CD3EA4" w:rsidP="00FC6086">
      <w:pPr>
        <w:spacing w:line="240" w:lineRule="auto"/>
        <w:jc w:val="both"/>
      </w:pPr>
      <w:r>
        <w:t xml:space="preserve">Efektīvs finanšu sektors ir nozīmīgs faktors tautsaimniecības attīstībai, lai spētu novirzīt finansējumu tām jomām, kur tas ir nepieciešams, un vienlaikus stimulējot arī uzkrājumu veidošanu, dodot iespēju brīvajiem līdzekļiem pelnīt. Jāsecina, ka šobrīd Latvijas finanšu sektora spēju šo funkciju veikt nevar novērtēt kā pilnībā efektīvu. Kredītiestādes joprojām ir galvenais finansējuma avots, savukārt kapitāla tirgus un citi alternatīvi finansējuma avoti ir mazāk attīstīti. </w:t>
      </w:r>
    </w:p>
    <w:p w:rsidR="002B11C2" w:rsidRDefault="002B11C2" w:rsidP="00FC6086">
      <w:pPr>
        <w:spacing w:line="240" w:lineRule="auto"/>
        <w:jc w:val="both"/>
      </w:pPr>
      <w:r w:rsidRPr="000423EB">
        <w:t>Covid-19 izplatības dēļ noteiktie ierobežojumi lielākoties ir atviegloti</w:t>
      </w:r>
      <w:r>
        <w:t xml:space="preserve">, tomēr ekonomikas </w:t>
      </w:r>
      <w:r w:rsidRPr="000423EB">
        <w:t xml:space="preserve">atveseļošanās notiek nevienmērīgi gan valstu, gan nozaru griezumā un tā lielā mērā būs atkarīga tieši no COVID-19 turpmākās izplatības. Vīrusa ierobežošana un </w:t>
      </w:r>
      <w:r>
        <w:t>finansējuma pieejamība nākotnē būs svarīgākie faktori</w:t>
      </w:r>
      <w:r w:rsidRPr="000423EB">
        <w:t>, lai esošā recesija nekļūtu par ekonomisku depresiju. Ilgtermiņā</w:t>
      </w:r>
      <w:r w:rsidR="00B42931">
        <w:t xml:space="preserve"> svarīga būs </w:t>
      </w:r>
      <w:r w:rsidRPr="000423EB">
        <w:t>politikas normalizācija un patstāvīgi funkcionējoša ekonomika</w:t>
      </w:r>
      <w:r w:rsidR="002573B6">
        <w:t xml:space="preserve">, un līdz </w:t>
      </w:r>
      <w:r w:rsidR="001338A3">
        <w:t xml:space="preserve">ar to </w:t>
      </w:r>
      <w:r w:rsidR="002573B6">
        <w:t xml:space="preserve">arī </w:t>
      </w:r>
      <w:r w:rsidR="001338A3">
        <w:t>finanšu sektora spēja efektīvi nodrošināt finansējuma pieejamību</w:t>
      </w:r>
      <w:r w:rsidR="008467E6">
        <w:t>, jo īpaši mazajiem un vidējiem uzņēmumiem, ko pandēmija skārusi vissmagāk</w:t>
      </w:r>
    </w:p>
    <w:p w:rsidR="00B42931" w:rsidRPr="003E6F7E" w:rsidRDefault="00B42931" w:rsidP="003E6F7E">
      <w:pPr>
        <w:pStyle w:val="Heading2"/>
      </w:pPr>
      <w:bookmarkStart w:id="5" w:name="_Toc55202483"/>
      <w:r w:rsidRPr="003E6F7E">
        <w:t>3.1. Kreditēšana</w:t>
      </w:r>
      <w:bookmarkEnd w:id="5"/>
    </w:p>
    <w:p w:rsidR="00C60E17" w:rsidRDefault="00CD3EA4" w:rsidP="00C60E17">
      <w:pPr>
        <w:spacing w:line="240" w:lineRule="auto"/>
        <w:jc w:val="both"/>
      </w:pPr>
      <w:r>
        <w:t>Neskatoties uz to, ka Latvijā kredītiestāžu kapitāla un likviditātes</w:t>
      </w:r>
      <w:r w:rsidR="002573B6">
        <w:t xml:space="preserve">, aktīvu kvalitātes un </w:t>
      </w:r>
      <w:r w:rsidR="005E226A">
        <w:t>kapitāla un aktīvu atdeves</w:t>
      </w:r>
      <w:r w:rsidR="00A0484B">
        <w:t xml:space="preserve"> </w:t>
      </w:r>
      <w:r>
        <w:t>rādītāji ir la</w:t>
      </w:r>
      <w:r w:rsidR="002573B6">
        <w:t xml:space="preserve">bāki kā vidēji </w:t>
      </w:r>
      <w:r w:rsidR="000D5727">
        <w:t>ES</w:t>
      </w:r>
      <w:r w:rsidR="002573B6">
        <w:rPr>
          <w:rStyle w:val="FootnoteReference"/>
        </w:rPr>
        <w:footnoteReference w:id="5"/>
      </w:r>
      <w:r>
        <w:t>,</w:t>
      </w:r>
      <w:r w:rsidR="001338A3">
        <w:t xml:space="preserve"> Latvija ir </w:t>
      </w:r>
      <w:r w:rsidR="00B67795">
        <w:t>E</w:t>
      </w:r>
      <w:r w:rsidR="001338A3">
        <w:t>irozonas valsts un tiešā veidā gūs</w:t>
      </w:r>
      <w:r w:rsidR="002573B6">
        <w:t>t</w:t>
      </w:r>
      <w:r w:rsidR="001338A3">
        <w:t xml:space="preserve"> labumu no </w:t>
      </w:r>
      <w:r w:rsidR="000D5727">
        <w:t>ECB</w:t>
      </w:r>
      <w:r w:rsidR="001338A3">
        <w:t xml:space="preserve"> </w:t>
      </w:r>
      <w:r w:rsidR="000D5727">
        <w:t>atbalstošas monetārās politika</w:t>
      </w:r>
      <w:r w:rsidR="001338A3">
        <w:t xml:space="preserve">, </w:t>
      </w:r>
      <w:r>
        <w:t xml:space="preserve"> </w:t>
      </w:r>
      <w:r w:rsidR="002573B6">
        <w:t xml:space="preserve">tomēr </w:t>
      </w:r>
      <w:r>
        <w:t>kreditēšanas tempi saglabājas zemi.</w:t>
      </w:r>
      <w:r w:rsidR="002B11C2">
        <w:t xml:space="preserve"> 2019. gada beigās banku kredītp</w:t>
      </w:r>
      <w:r w:rsidR="008467E6">
        <w:t>or</w:t>
      </w:r>
      <w:r w:rsidR="002B11C2">
        <w:t xml:space="preserve">tfelis ir samazinājies līdz aptuveni 32% no IKP, </w:t>
      </w:r>
      <w:r w:rsidR="00A97D63">
        <w:t>un kreditēšanas tempiem saglabājas negatīva tendence.</w:t>
      </w:r>
    </w:p>
    <w:p w:rsidR="00FD788F" w:rsidRDefault="004E762E" w:rsidP="00C60E17">
      <w:pPr>
        <w:spacing w:line="240" w:lineRule="auto"/>
        <w:jc w:val="both"/>
      </w:pPr>
      <w:r>
        <w:rPr>
          <w:noProof/>
          <w:lang w:eastAsia="lv-LV"/>
        </w:rPr>
        <w:lastRenderedPageBreak/>
        <w:drawing>
          <wp:anchor distT="0" distB="0" distL="114300" distR="114300" simplePos="0" relativeHeight="251659264" behindDoc="0" locked="0" layoutInCell="1" allowOverlap="1" wp14:anchorId="1E89BFE6" wp14:editId="6D35B8DA">
            <wp:simplePos x="0" y="0"/>
            <wp:positionH relativeFrom="margin">
              <wp:posOffset>4653915</wp:posOffset>
            </wp:positionH>
            <wp:positionV relativeFrom="paragraph">
              <wp:posOffset>0</wp:posOffset>
            </wp:positionV>
            <wp:extent cx="4048760" cy="2585085"/>
            <wp:effectExtent l="0" t="0" r="8890" b="571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8760" cy="25850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3360" behindDoc="0" locked="0" layoutInCell="1" allowOverlap="1" wp14:anchorId="74276F10" wp14:editId="67D5BD5E">
                <wp:simplePos x="0" y="0"/>
                <wp:positionH relativeFrom="margin">
                  <wp:align>left</wp:align>
                </wp:positionH>
                <wp:positionV relativeFrom="paragraph">
                  <wp:posOffset>2633629</wp:posOffset>
                </wp:positionV>
                <wp:extent cx="453390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4533900" cy="635"/>
                        </a:xfrm>
                        <a:prstGeom prst="rect">
                          <a:avLst/>
                        </a:prstGeom>
                        <a:solidFill>
                          <a:prstClr val="white"/>
                        </a:solidFill>
                        <a:ln>
                          <a:noFill/>
                        </a:ln>
                      </wps:spPr>
                      <wps:txbx>
                        <w:txbxContent>
                          <w:p w:rsidR="00DA3017" w:rsidRPr="00D1283A" w:rsidRDefault="00DA3017" w:rsidP="004E762E">
                            <w:pPr>
                              <w:pStyle w:val="Caption"/>
                              <w:rPr>
                                <w:noProof/>
                                <w:sz w:val="24"/>
                                <w:szCs w:val="24"/>
                              </w:rPr>
                            </w:pPr>
                            <w:r>
                              <w:t xml:space="preserve">Ilustrācija </w:t>
                            </w:r>
                            <w:r w:rsidR="00AD70AB">
                              <w:fldChar w:fldCharType="begin"/>
                            </w:r>
                            <w:r w:rsidR="00AD70AB">
                              <w:instrText xml:space="preserve"> SEQ Ilustrācija \* ARABIC </w:instrText>
                            </w:r>
                            <w:r w:rsidR="00AD70AB">
                              <w:fldChar w:fldCharType="separate"/>
                            </w:r>
                            <w:r>
                              <w:rPr>
                                <w:noProof/>
                              </w:rPr>
                              <w:t>1</w:t>
                            </w:r>
                            <w:r w:rsidR="00AD70AB">
                              <w:rPr>
                                <w:noProof/>
                              </w:rPr>
                              <w:fldChar w:fldCharType="end"/>
                            </w:r>
                            <w:r>
                              <w:t xml:space="preserve"> </w:t>
                            </w:r>
                            <w:r w:rsidRPr="00E76A24">
                              <w:t>Kopējās aizņemšanās izmaksas uzņēmumiem Baltijas valstīs un Eirozonā, procenti gadā (avots: ECB)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type w14:anchorId="74276F10" id="_x0000_t202" coordsize="21600,21600" o:spt="202" path="m,l,21600r21600,l21600,xe">
                <v:stroke joinstyle="miter"/>
                <v:path gradientshapeok="t" o:connecttype="rect"/>
              </v:shapetype>
              <v:shape id="Text Box 6" o:spid="_x0000_s1026" type="#_x0000_t202" style="position:absolute;left:0;text-align:left;margin-left:0;margin-top:207.35pt;width:357pt;height:.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" stroked="f">
                <v:textbox style="mso-fit-shape-to-text:t" inset="0,0,0,0">
                  <w:txbxContent>
                    <w:p w:rsidR="00DA3017" w:rsidRPr="00D1283A" w:rsidRDefault="00DA3017" w:rsidP="004E762E">
                      <w:pPr>
                        <w:pStyle w:val="Caption"/>
                        <w:rPr>
                          <w:noProof/>
                          <w:sz w:val="24"/>
                          <w:szCs w:val="24"/>
                        </w:rPr>
                      </w:pPr>
                      <w:r>
                        <w:t xml:space="preserve">Ilustrācija </w:t>
                      </w:r>
                      <w:fldSimple w:instr=" SEQ Ilustrācija \* ARABIC ">
                        <w:r>
                          <w:rPr>
                            <w:noProof/>
                          </w:rPr>
                          <w:t>1</w:t>
                        </w:r>
                      </w:fldSimple>
                      <w:r>
                        <w:t xml:space="preserve"> </w:t>
                      </w:r>
                      <w:r w:rsidRPr="00E76A24">
                        <w:t>Kopējās aizņemšanās izmaksas uzņēmumiem Baltijas valstīs un Eirozonā, procenti gadā (avots: ECB)</w:t>
                      </w:r>
                    </w:p>
                  </w:txbxContent>
                </v:textbox>
                <w10:wrap type="topAndBottom" anchorx="margin"/>
              </v:shape>
            </w:pict>
          </mc:Fallback>
        </mc:AlternateContent>
      </w:r>
      <w:r>
        <w:rPr>
          <w:noProof/>
          <w:lang w:eastAsia="lv-LV"/>
        </w:rPr>
        <mc:AlternateContent>
          <mc:Choice Requires="wps">
            <w:drawing>
              <wp:anchor distT="0" distB="0" distL="114300" distR="114300" simplePos="0" relativeHeight="251661312" behindDoc="0" locked="0" layoutInCell="1" allowOverlap="1" wp14:anchorId="433B6145" wp14:editId="3EE636FB">
                <wp:simplePos x="0" y="0"/>
                <wp:positionH relativeFrom="column">
                  <wp:posOffset>4672899</wp:posOffset>
                </wp:positionH>
                <wp:positionV relativeFrom="paragraph">
                  <wp:posOffset>2699341</wp:posOffset>
                </wp:positionV>
                <wp:extent cx="404876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4048760" cy="635"/>
                        </a:xfrm>
                        <a:prstGeom prst="rect">
                          <a:avLst/>
                        </a:prstGeom>
                        <a:solidFill>
                          <a:prstClr val="white"/>
                        </a:solidFill>
                        <a:ln>
                          <a:noFill/>
                        </a:ln>
                      </wps:spPr>
                      <wps:txbx>
                        <w:txbxContent>
                          <w:p w:rsidR="00DA3017" w:rsidRPr="00843CD2" w:rsidRDefault="00DA3017" w:rsidP="004E762E">
                            <w:pPr>
                              <w:pStyle w:val="Caption"/>
                              <w:rPr>
                                <w:noProof/>
                                <w:sz w:val="24"/>
                                <w:szCs w:val="24"/>
                              </w:rPr>
                            </w:pPr>
                            <w:r>
                              <w:t xml:space="preserve">Ilustrācija </w:t>
                            </w:r>
                            <w:r w:rsidR="00AD70AB">
                              <w:fldChar w:fldCharType="begin"/>
                            </w:r>
                            <w:r w:rsidR="00AD70AB">
                              <w:instrText xml:space="preserve"> SEQ Ilustrācija \* ARABIC </w:instrText>
                            </w:r>
                            <w:r w:rsidR="00AD70AB">
                              <w:fldChar w:fldCharType="separate"/>
                            </w:r>
                            <w:r>
                              <w:rPr>
                                <w:noProof/>
                              </w:rPr>
                              <w:t>2</w:t>
                            </w:r>
                            <w:r w:rsidR="00AD70AB">
                              <w:rPr>
                                <w:noProof/>
                              </w:rPr>
                              <w:fldChar w:fldCharType="end"/>
                            </w:r>
                            <w:r>
                              <w:t xml:space="preserve"> </w:t>
                            </w:r>
                            <w:r w:rsidRPr="00915EA8">
                              <w:t>Kredītiestāžu izsniegto kredītu atlikums pret IKP (avots: FKTK)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433B6145" id="Text Box 4" o:spid="_x0000_s1027" type="#_x0000_t202" style="position:absolute;left:0;text-align:left;margin-left:367.95pt;margin-top:212.55pt;width:318.8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" stroked="f">
                <v:textbox style="mso-fit-shape-to-text:t" inset="0,0,0,0">
                  <w:txbxContent>
                    <w:p w:rsidR="00DA3017" w:rsidRPr="00843CD2" w:rsidRDefault="00DA3017" w:rsidP="004E762E">
                      <w:pPr>
                        <w:pStyle w:val="Caption"/>
                        <w:rPr>
                          <w:noProof/>
                          <w:sz w:val="24"/>
                          <w:szCs w:val="24"/>
                        </w:rPr>
                      </w:pPr>
                      <w:r>
                        <w:t xml:space="preserve">Ilustrācija </w:t>
                      </w:r>
                      <w:fldSimple w:instr=" SEQ Ilustrācija \* ARABIC ">
                        <w:r>
                          <w:rPr>
                            <w:noProof/>
                          </w:rPr>
                          <w:t>2</w:t>
                        </w:r>
                      </w:fldSimple>
                      <w:r>
                        <w:t xml:space="preserve"> </w:t>
                      </w:r>
                      <w:r w:rsidRPr="00915EA8">
                        <w:t>Kredītiestāžu izsniegto kredītu atlikums pret IKP (avots: FKTK)</w:t>
                      </w:r>
                    </w:p>
                  </w:txbxContent>
                </v:textbox>
                <w10:wrap type="topAndBottom"/>
              </v:shape>
            </w:pict>
          </mc:Fallback>
        </mc:AlternateContent>
      </w:r>
      <w:r>
        <w:rPr>
          <w:noProof/>
          <w:lang w:eastAsia="lv-LV"/>
        </w:rPr>
        <w:drawing>
          <wp:anchor distT="0" distB="0" distL="114300" distR="114300" simplePos="0" relativeHeight="251658240" behindDoc="0" locked="0" layoutInCell="1" allowOverlap="1" wp14:anchorId="779860AA" wp14:editId="37AC2359">
            <wp:simplePos x="0" y="0"/>
            <wp:positionH relativeFrom="column">
              <wp:posOffset>12437</wp:posOffset>
            </wp:positionH>
            <wp:positionV relativeFrom="paragraph">
              <wp:posOffset>43</wp:posOffset>
            </wp:positionV>
            <wp:extent cx="4533900" cy="2585085"/>
            <wp:effectExtent l="0" t="0" r="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900" cy="2585085"/>
                    </a:xfrm>
                    <a:prstGeom prst="rect">
                      <a:avLst/>
                    </a:prstGeom>
                    <a:noFill/>
                  </pic:spPr>
                </pic:pic>
              </a:graphicData>
            </a:graphic>
            <wp14:sizeRelH relativeFrom="margin">
              <wp14:pctWidth>0</wp14:pctWidth>
            </wp14:sizeRelH>
            <wp14:sizeRelV relativeFrom="margin">
              <wp14:pctHeight>0</wp14:pctHeight>
            </wp14:sizeRelV>
          </wp:anchor>
        </w:drawing>
      </w:r>
      <w:r w:rsidR="00A97D63">
        <w:t>Stimulējošas monetārās politikas ietekmē aizņemšanās izmaksas Eirozonā vidēji ir kritušās līdz salīdzinoši</w:t>
      </w:r>
      <w:r w:rsidR="0081557A">
        <w:t xml:space="preserve"> zemam līmenim. Tomēr aizņem</w:t>
      </w:r>
      <w:r w:rsidR="00A12AF1">
        <w:t xml:space="preserve">šanās izmaksas Baltijas valstīs </w:t>
      </w:r>
      <w:r w:rsidR="0081557A">
        <w:t xml:space="preserve">ir augstākas nekā vidēji Eirozonā. </w:t>
      </w:r>
      <w:r w:rsidR="00A12AF1">
        <w:t>K</w:t>
      </w:r>
      <w:r w:rsidR="0081557A">
        <w:t>opš 2019. gada sākuma vērojams drīzāk pieaugums nekā samazināšanās.</w:t>
      </w:r>
      <w:r w:rsidR="0081557A" w:rsidRPr="0081557A">
        <w:t xml:space="preserve"> </w:t>
      </w:r>
      <w:r w:rsidR="0081557A">
        <w:t>Aizņemšanās izmaksas mājokļa iegādei kopumā ir stabilākas, tomēr, tāpat kā uzņēmējdarbības kredītiem, ir virs Eirozonas vidējā rādītāja.</w:t>
      </w:r>
    </w:p>
    <w:p w:rsidR="00FD788F" w:rsidRDefault="004275FA" w:rsidP="003D6ADA">
      <w:pPr>
        <w:spacing w:line="240" w:lineRule="auto"/>
        <w:jc w:val="both"/>
      </w:pPr>
      <w:r>
        <w:t xml:space="preserve">Latvijas </w:t>
      </w:r>
      <w:r w:rsidR="00855960">
        <w:t>B</w:t>
      </w:r>
      <w:r>
        <w:t>ankas</w:t>
      </w:r>
      <w:r w:rsidR="00C35BF2">
        <w:t xml:space="preserve"> sadarbībā ar </w:t>
      </w:r>
      <w:r w:rsidR="000D5727">
        <w:t>ECB</w:t>
      </w:r>
      <w:r w:rsidR="00C35BF2">
        <w:t xml:space="preserve"> veiktajā </w:t>
      </w:r>
      <w:r w:rsidR="007D75FD">
        <w:t>E</w:t>
      </w:r>
      <w:r w:rsidR="00C35BF2">
        <w:t xml:space="preserve">irozonas banku kreditēšanas </w:t>
      </w:r>
      <w:r w:rsidR="000D5727">
        <w:t>apsekojamā</w:t>
      </w:r>
      <w:r w:rsidR="00C35BF2">
        <w:t xml:space="preserve"> par kreditēšanas attīstības tendencēm dati</w:t>
      </w:r>
      <w:r>
        <w:rPr>
          <w:rStyle w:val="FootnoteReference"/>
        </w:rPr>
        <w:footnoteReference w:id="6"/>
      </w:r>
      <w:r w:rsidR="00890C57">
        <w:t xml:space="preserve"> </w:t>
      </w:r>
      <w:r w:rsidR="00C35BF2">
        <w:t>parāda, ka 2020.gada pirmajos divos ceturkšņos kredītu standarti aizdevumiem uzņēmumiem ir kļuvuši stingrāki</w:t>
      </w:r>
      <w:r w:rsidR="00FD17D9">
        <w:t xml:space="preserve">, kā arī pieaug atteikumu īpatsvars, tādējādi </w:t>
      </w:r>
      <w:r w:rsidR="00C35BF2">
        <w:t xml:space="preserve"> </w:t>
      </w:r>
      <w:r w:rsidR="00FD17D9">
        <w:t>vēl vairāk samazinoties finansējuma pieejamībai tieši krīzes laikā</w:t>
      </w:r>
      <w:r w:rsidR="00C83AE9">
        <w:t>.</w:t>
      </w:r>
    </w:p>
    <w:p w:rsidR="004E762E" w:rsidRDefault="004275FA" w:rsidP="004E762E">
      <w:pPr>
        <w:keepNext/>
        <w:spacing w:line="240" w:lineRule="auto"/>
      </w:pPr>
      <w:r>
        <w:rPr>
          <w:noProof/>
          <w:lang w:eastAsia="lv-LV"/>
        </w:rPr>
        <w:lastRenderedPageBreak/>
        <w:drawing>
          <wp:inline distT="0" distB="0" distL="0" distR="0" wp14:anchorId="565418D0" wp14:editId="0979C0FD">
            <wp:extent cx="6677247" cy="2147777"/>
            <wp:effectExtent l="0" t="0" r="9525" b="5080"/>
            <wp:docPr id="3" name="Chart 3">
              <a:extLst xmlns:a="http://schemas.openxmlformats.org/drawingml/2006/main">
                <a:ext uri="{FF2B5EF4-FFF2-40B4-BE49-F238E27FC236}">
                  <a16:creationId xmlns:a16="http://schemas.microsoft.com/office/drawing/2014/main" id="{596BBF04-D3C4-4064-B94E-77D15B1CA5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39A4" w:rsidRDefault="004E762E" w:rsidP="004E762E">
      <w:pPr>
        <w:pStyle w:val="Caption"/>
      </w:pPr>
      <w:r>
        <w:t xml:space="preserve">Ilustrācija </w:t>
      </w:r>
      <w:r w:rsidR="00AD70AB">
        <w:fldChar w:fldCharType="begin"/>
      </w:r>
      <w:r w:rsidR="00AD70AB">
        <w:instrText xml:space="preserve"> SEQ Ilustrācija \* ARABIC </w:instrText>
      </w:r>
      <w:r w:rsidR="00AD70AB">
        <w:fldChar w:fldCharType="separate"/>
      </w:r>
      <w:r w:rsidR="00F05961">
        <w:rPr>
          <w:noProof/>
        </w:rPr>
        <w:t>3</w:t>
      </w:r>
      <w:r w:rsidR="00AD70AB">
        <w:rPr>
          <w:noProof/>
        </w:rPr>
        <w:fldChar w:fldCharType="end"/>
      </w:r>
      <w:r w:rsidR="00763D17">
        <w:t xml:space="preserve"> </w:t>
      </w:r>
      <w:r>
        <w:t xml:space="preserve">ECB </w:t>
      </w:r>
      <w:r w:rsidRPr="003534DC">
        <w:t xml:space="preserve"> </w:t>
      </w:r>
      <w:r w:rsidR="007D75FD">
        <w:t>Eiro</w:t>
      </w:r>
      <w:r w:rsidRPr="003534DC">
        <w:t>zonas banku kreditēšanas aptaujas Latvijas lielākajām bankām</w:t>
      </w:r>
      <w:r>
        <w:rPr>
          <w:noProof/>
        </w:rPr>
        <w:t xml:space="preserve"> dati</w:t>
      </w:r>
    </w:p>
    <w:p w:rsidR="00676A97" w:rsidRPr="002323F9" w:rsidRDefault="00D82E81" w:rsidP="002323F9">
      <w:pPr>
        <w:pStyle w:val="tvhtml"/>
        <w:shd w:val="clear" w:color="auto" w:fill="FFFFFF"/>
        <w:jc w:val="both"/>
      </w:pPr>
      <w:r>
        <w:t xml:space="preserve">Jāatzīmē, ka ir virkne faktoru, kas negatīvi ietekmē </w:t>
      </w:r>
      <w:r w:rsidR="000D5727">
        <w:t xml:space="preserve">kredītiestāžu </w:t>
      </w:r>
      <w:r>
        <w:t>kreditēšanas aktivitāti</w:t>
      </w:r>
      <w:r w:rsidR="005E226A">
        <w:t>, tostarp ēnu ekonomika, uzņēmumu kredītspēja, mak</w:t>
      </w:r>
      <w:r w:rsidR="002323F9">
        <w:t>sātnespējas procesu efektivitāte, un daļa no tiem tiek risināta citu politikas plānošanas dokumentu ietvaros, tostarp nodokļu politikas jautājumus risina “Valsts nodokļu politikas pamatnostādnes 2017.-2021.gadam”, ēnu ekonomikas apkarošanu  - Valsts iestāžu darba plāns</w:t>
      </w:r>
      <w:r w:rsidR="002323F9" w:rsidRPr="002323F9">
        <w:t xml:space="preserve"> ēnu ekonomikas ierobežošanai 2016.–2020.gadam</w:t>
      </w:r>
      <w:r w:rsidR="002323F9">
        <w:t>, kā arī maksātnespējas politikas pilnveidošanu </w:t>
      </w:r>
      <w:r w:rsidR="002323F9">
        <w:noBreakHyphen/>
        <w:t xml:space="preserve"> </w:t>
      </w:r>
      <w:r w:rsidR="002323F9" w:rsidRPr="002323F9">
        <w:t>Maksātnespējas pol</w:t>
      </w:r>
      <w:r w:rsidR="002323F9">
        <w:t>itikas attīstības pamatnostādnes</w:t>
      </w:r>
      <w:r w:rsidR="002323F9" w:rsidRPr="002323F9">
        <w:t xml:space="preserve"> 2016.–2020. gadam</w:t>
      </w:r>
      <w:r w:rsidR="002323F9">
        <w:t>.</w:t>
      </w:r>
      <w:r w:rsidR="00D942EB">
        <w:t xml:space="preserve"> Lai arī atsevišķos faktoros ir vērojams uzlabojums, piemēram, uzlabojas uzņēmumu kapitalizācija, tiek veiktas būtiskas reformas maksātnespējas jomā, tomēr ir svarīgi, lai šis darbs turpinātos, jo īpaši tajās jomās, kur progress ir lēnāks, kā piemēram, ēnu ekonomikas apkarošanas jomā. </w:t>
      </w:r>
    </w:p>
    <w:p w:rsidR="004275FA" w:rsidRPr="003D6ADA" w:rsidRDefault="005E226A" w:rsidP="003D6ADA">
      <w:pPr>
        <w:spacing w:line="240" w:lineRule="auto"/>
        <w:jc w:val="both"/>
      </w:pPr>
      <w:r>
        <w:t>Tomēr vienlaikus var secināt, ka kopumā</w:t>
      </w:r>
      <w:r w:rsidR="000D5727">
        <w:t>,</w:t>
      </w:r>
      <w:r>
        <w:t xml:space="preserve"> vērtējot situāciju </w:t>
      </w:r>
      <w:r w:rsidR="000D5727">
        <w:t xml:space="preserve">kredītiestāžu </w:t>
      </w:r>
      <w:r>
        <w:t>sektorā</w:t>
      </w:r>
      <w:r w:rsidR="000D5727">
        <w:t>,</w:t>
      </w:r>
      <w:r>
        <w:t xml:space="preserve"> ir novērojams zināms konkurences trūkums kvalitātes aspektā</w:t>
      </w:r>
      <w:r w:rsidR="00D942EB">
        <w:t>, tā piemēram, joprojām saglabājas mazo un vidējo uzņēmumu grūtības pieejai finansējumam</w:t>
      </w:r>
      <w:r>
        <w:t xml:space="preserve">. Lai arī Latvijā darbojas salīdzinoši liels skaits kredītiestāžu, </w:t>
      </w:r>
      <w:r w:rsidR="00027A60">
        <w:t xml:space="preserve">tomēr 84% no banku izsniegtajiem kredītiem ir izsniegušas četras lielākās </w:t>
      </w:r>
      <w:r w:rsidR="000D5727">
        <w:t>kredītiestādes</w:t>
      </w:r>
      <w:r w:rsidR="00027A60">
        <w:rPr>
          <w:rStyle w:val="FootnoteReference"/>
        </w:rPr>
        <w:footnoteReference w:id="7"/>
      </w:r>
      <w:r w:rsidR="00027A60">
        <w:t xml:space="preserve">, savukārt pārējo, mazāko, </w:t>
      </w:r>
      <w:r w:rsidR="000D5727">
        <w:t xml:space="preserve">kredītiestāžu </w:t>
      </w:r>
      <w:r w:rsidR="00027A60">
        <w:t xml:space="preserve">kapacitāte, tostarp kapitāla pozīcija, nav pietiekama, lai būtiski ietekmētu kopējo kreditēšanas aktivitāti. </w:t>
      </w:r>
    </w:p>
    <w:p w:rsidR="00C60E17" w:rsidRDefault="00C60E17">
      <w:pPr>
        <w:rPr>
          <w:b/>
        </w:rPr>
      </w:pPr>
    </w:p>
    <w:p w:rsidR="0081557A" w:rsidRDefault="00F21407" w:rsidP="003E6F7E">
      <w:pPr>
        <w:pStyle w:val="Heading2"/>
      </w:pPr>
      <w:bookmarkStart w:id="6" w:name="_Toc55202484"/>
      <w:r>
        <w:t xml:space="preserve">3.2. </w:t>
      </w:r>
      <w:r w:rsidR="00166567" w:rsidRPr="00166567">
        <w:t>Kapitāla tirgus</w:t>
      </w:r>
      <w:bookmarkEnd w:id="6"/>
      <w:r w:rsidR="00166567" w:rsidRPr="00166567">
        <w:t xml:space="preserve"> </w:t>
      </w:r>
    </w:p>
    <w:p w:rsidR="00A06D23" w:rsidRDefault="00A06D23" w:rsidP="004F1369">
      <w:pPr>
        <w:spacing w:line="240" w:lineRule="auto"/>
        <w:jc w:val="both"/>
      </w:pPr>
      <w:r>
        <w:t>Latvijas kapitāla tirgus joprojām ir maz attīstīts. Vērtējot pēc akciju tirgus kapitalizācijas pret iekšzemes kopproduktu</w:t>
      </w:r>
      <w:r w:rsidR="00E21C35">
        <w:t>,</w:t>
      </w:r>
      <w:r>
        <w:t xml:space="preserve"> Latvija ir pēdējā vietā starp </w:t>
      </w:r>
      <w:r w:rsidR="00E21C35">
        <w:t>ES</w:t>
      </w:r>
      <w:r>
        <w:t xml:space="preserve"> </w:t>
      </w:r>
      <w:r w:rsidR="004F1369">
        <w:t xml:space="preserve">valstīm, būtiski atpaliekot arī no kaimiņvalstīm. Tas parāda, ka Latvija akciju tirgus attīstības jomā būtiski atpaliek no tā potenciāla, kas būtu atbilstošs mūsu ekonomikas attīstības līmenim. Latvija </w:t>
      </w:r>
      <w:r>
        <w:t>2019.gada beigās kapitalizācija ir pieaugusi līdz 2,7% no IKP</w:t>
      </w:r>
      <w:r w:rsidR="004F1369">
        <w:t>, tomēr joprojām šis rādītājs ir ļoti zems</w:t>
      </w:r>
      <w:r>
        <w:t xml:space="preserve">. </w:t>
      </w:r>
    </w:p>
    <w:p w:rsidR="00763D17" w:rsidRDefault="00A06D23" w:rsidP="00763D17">
      <w:pPr>
        <w:keepNext/>
        <w:spacing w:line="240" w:lineRule="auto"/>
      </w:pPr>
      <w:r>
        <w:rPr>
          <w:noProof/>
          <w:lang w:eastAsia="lv-LV"/>
        </w:rPr>
        <w:drawing>
          <wp:inline distT="0" distB="0" distL="0" distR="0" wp14:anchorId="17EFD23A" wp14:editId="737B1EB9">
            <wp:extent cx="5588000" cy="2777067"/>
            <wp:effectExtent l="0" t="0" r="1270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6D23" w:rsidRDefault="00763D17" w:rsidP="00BA407B">
      <w:pPr>
        <w:pStyle w:val="Caption"/>
        <w:ind w:right="5169"/>
      </w:pPr>
      <w:r>
        <w:t xml:space="preserve">Ilustrācija </w:t>
      </w:r>
      <w:r w:rsidR="00AD70AB">
        <w:fldChar w:fldCharType="begin"/>
      </w:r>
      <w:r w:rsidR="00AD70AB">
        <w:instrText xml:space="preserve"> SEQ Ilustrācija \* ARABIC </w:instrText>
      </w:r>
      <w:r w:rsidR="00AD70AB">
        <w:fldChar w:fldCharType="separate"/>
      </w:r>
      <w:r w:rsidR="00F05961">
        <w:rPr>
          <w:noProof/>
        </w:rPr>
        <w:t>4</w:t>
      </w:r>
      <w:r w:rsidR="00AD70AB">
        <w:rPr>
          <w:noProof/>
        </w:rPr>
        <w:fldChar w:fldCharType="end"/>
      </w:r>
      <w:r>
        <w:t xml:space="preserve"> </w:t>
      </w:r>
      <w:r w:rsidRPr="00ED0EA4">
        <w:t>Akciju tirgus kapitalizācija ES valstīs 2018.gada beigās, % no IKP</w:t>
      </w:r>
      <w:r>
        <w:t xml:space="preserve"> (avots: ECB, Eurostat, Pasaules fondu biržu federācija, Nasdaq)</w:t>
      </w:r>
    </w:p>
    <w:p w:rsidR="0058159A" w:rsidRDefault="004F1369" w:rsidP="00F639A4">
      <w:pPr>
        <w:spacing w:line="240" w:lineRule="auto"/>
        <w:jc w:val="both"/>
      </w:pPr>
      <w:r>
        <w:t>Jāatzīmē, ka arī</w:t>
      </w:r>
      <w:r w:rsidR="00E21C35">
        <w:t>,</w:t>
      </w:r>
      <w:r>
        <w:t xml:space="preserve"> salīdzinot pēc akciju tirdzniecības apgrozījuma</w:t>
      </w:r>
      <w:r w:rsidR="00E21C35">
        <w:t>,</w:t>
      </w:r>
      <w:r>
        <w:t xml:space="preserve"> Latvija būtiski atpaliek no kaimiņvalstīm, kuru biržas, neskatoties uz </w:t>
      </w:r>
      <w:r w:rsidR="00F639A4">
        <w:t>līdzīgo ekonomikas struktūru</w:t>
      </w:r>
      <w:r w:rsidR="0058159A">
        <w:t xml:space="preserve"> un izmēru</w:t>
      </w:r>
      <w:r w:rsidR="00F639A4">
        <w:t xml:space="preserve">, tomēr ir spējušas panākt augstāku attīstības līmeni. </w:t>
      </w:r>
    </w:p>
    <w:p w:rsidR="004F1369" w:rsidRDefault="00E24A4A" w:rsidP="00F639A4">
      <w:pPr>
        <w:spacing w:line="240" w:lineRule="auto"/>
        <w:jc w:val="both"/>
      </w:pPr>
      <w:r>
        <w:lastRenderedPageBreak/>
        <w:t>Pēdējos gados ir uzsāktas vairākas iniciatīvas, kuras ilgākā termiņā varētu pozitīvi i</w:t>
      </w:r>
      <w:r w:rsidR="00322B47">
        <w:t>etekmēt kapitāla tirgus izaugsmi</w:t>
      </w:r>
      <w:r>
        <w:t xml:space="preserve">. 2020.gadā ir uzsākta valsts atbalsta programma </w:t>
      </w:r>
      <w:r w:rsidR="00F95D23">
        <w:t>mazo un v</w:t>
      </w:r>
      <w:r w:rsidR="0058159A">
        <w:t>idējo uzņēmumu kotācijai biržā, un pirmajā kārtā atbalsta saņemšanai pieteikušies astoņi uzņēmumi</w:t>
      </w:r>
      <w:r w:rsidR="0058159A">
        <w:rPr>
          <w:rStyle w:val="FootnoteReference"/>
        </w:rPr>
        <w:footnoteReference w:id="8"/>
      </w:r>
      <w:r w:rsidR="0058159A">
        <w:t>. Programmas ietvaros uzņēmumi var saņemt grantu, kas daļēji sedz akciju vai obligāciju emisijas sagatavošanas izdevumus. Šīs programmas rezultātā gan tiks veicināta kapitāla tirgus attīstība, gan arī tiks veicināta uzņēmumu interese līdzekļu piesaisti veikt kapitāla tirgus, tādējādi diversificējot finansējuma piesaistes avotus.</w:t>
      </w:r>
      <w:r w:rsidR="00322B47">
        <w:t xml:space="preserve"> Līdz ar to ir būtiska šīs programmas turpināšana. </w:t>
      </w:r>
      <w:r w:rsidR="00C03F79">
        <w:t xml:space="preserve">Tāpat šobrīd Latvijas, Lietuvas un Igaunijas finanšu ministrijas, sadarbībā ar Eiropas Rekonstrukcijas un attīstības banku </w:t>
      </w:r>
      <w:r w:rsidR="0008089E">
        <w:t xml:space="preserve">Eiropas Strukturālo reformu atbalsta dienesta finansēta projekta ietvaros šobrīd strādā pie akselerācijas fonda (Baltijas IPO fonda) izveides, kas veiktu ieguldījumus tādos uzņēmumos, kuri plāno veikt publisku akciju emisiju, lai tālāk stiprinātu kapitāla tirgus attīstību visās trijās Baltijas valstīs. </w:t>
      </w:r>
    </w:p>
    <w:p w:rsidR="0008089E" w:rsidRDefault="0008089E" w:rsidP="00F639A4">
      <w:pPr>
        <w:spacing w:line="240" w:lineRule="auto"/>
        <w:jc w:val="both"/>
      </w:pPr>
    </w:p>
    <w:p w:rsidR="00763D17" w:rsidRDefault="004F1369" w:rsidP="00763D17">
      <w:pPr>
        <w:keepNext/>
        <w:spacing w:line="240" w:lineRule="auto"/>
      </w:pPr>
      <w:r>
        <w:rPr>
          <w:noProof/>
          <w:lang w:eastAsia="lv-LV"/>
        </w:rPr>
        <w:drawing>
          <wp:inline distT="0" distB="0" distL="0" distR="0" wp14:anchorId="0FA089DB" wp14:editId="1D959C16">
            <wp:extent cx="6596292" cy="2397935"/>
            <wp:effectExtent l="0" t="0" r="14605" b="2540"/>
            <wp:docPr id="10" name="Chart 10">
              <a:extLst xmlns:a="http://schemas.openxmlformats.org/drawingml/2006/main">
                <a:ext uri="{FF2B5EF4-FFF2-40B4-BE49-F238E27FC236}">
                  <a16:creationId xmlns:a16="http://schemas.microsoft.com/office/drawing/2014/main" id="{EFAAD2B0-67E0-4D33-B6CA-2A8A7DBCD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1369" w:rsidRDefault="00763D17" w:rsidP="00763D17">
      <w:pPr>
        <w:pStyle w:val="Caption"/>
      </w:pPr>
      <w:r>
        <w:t xml:space="preserve">Ilustrācija </w:t>
      </w:r>
      <w:r w:rsidR="00AD70AB">
        <w:fldChar w:fldCharType="begin"/>
      </w:r>
      <w:r w:rsidR="00AD70AB">
        <w:instrText xml:space="preserve"> SEQ Ilustrācija \* ARABIC </w:instrText>
      </w:r>
      <w:r w:rsidR="00AD70AB">
        <w:fldChar w:fldCharType="separate"/>
      </w:r>
      <w:r w:rsidR="00F05961">
        <w:rPr>
          <w:noProof/>
        </w:rPr>
        <w:t>5</w:t>
      </w:r>
      <w:r w:rsidR="00AD70AB">
        <w:rPr>
          <w:noProof/>
        </w:rPr>
        <w:fldChar w:fldCharType="end"/>
      </w:r>
      <w:r>
        <w:t xml:space="preserve"> Akciju tirdzniecības apgrozījums, EUR (avots: Nasdaq)</w:t>
      </w:r>
    </w:p>
    <w:p w:rsidR="00A06D23" w:rsidRPr="00A06D23" w:rsidRDefault="0058159A" w:rsidP="00835868">
      <w:pPr>
        <w:spacing w:line="240" w:lineRule="auto"/>
        <w:jc w:val="both"/>
      </w:pPr>
      <w:r>
        <w:t xml:space="preserve">Vienlaikus jāuzsver, ka kapitāla tirgus </w:t>
      </w:r>
      <w:r w:rsidR="00533606">
        <w:t xml:space="preserve">attīstībai ļoti būtisks ir arī kopējais tirgus apjoms. Pie esošā kapitalizācijas līmeņa Latvija nav iekļauta nevienā starptautiskā indeksā, un arī bez klātbūtnes indeksam </w:t>
      </w:r>
      <w:r w:rsidR="00817CD8">
        <w:t xml:space="preserve">mazs un nelikvīds tirgus nav pietiekami pievilcīgs investoriem. Tādējādi ir būtiski, </w:t>
      </w:r>
      <w:r w:rsidR="00817CD8">
        <w:lastRenderedPageBreak/>
        <w:t xml:space="preserve">lai tirgū ienāktu arī </w:t>
      </w:r>
      <w:r w:rsidR="004A44BC">
        <w:t xml:space="preserve">lielāki uzņēmumi, kas spētu radīt būtisku kapitalizācijas un apgrozījuma pieaugumu. </w:t>
      </w:r>
      <w:r w:rsidR="00835868">
        <w:t xml:space="preserve">Lai šos mērķus sasniegtu, būtiski ir izvērtēt iespējas arī valsts kapitālsabiedrību akciju kotācijai biržā atbilstoši šo kapitālsabiedrību attīstības un finansējuma nepieciešamībām. Jāatzīmē, ka gan Lietuvā, gan Igaunijā ir pozitīvi piemēri ar publiskā sektora uzņēmumiem, kas kotējas biržā, tā piemēram, </w:t>
      </w:r>
      <w:r w:rsidR="006A39EE">
        <w:t>pieci valsts un pašvaldības īpašumā esoši enerģētikas uzņēmumi</w:t>
      </w:r>
      <w:r w:rsidR="003B3856">
        <w:t xml:space="preserve"> Viļņas biržā, Tallinas osta un Tallina Vesi (pašvaldības ūdensapgādes uzņēmums, kas tika daļēji privatizēts) Tallinas biržā.</w:t>
      </w:r>
    </w:p>
    <w:p w:rsidR="009616CD" w:rsidRPr="009616CD" w:rsidRDefault="009616CD" w:rsidP="001A76C4">
      <w:pPr>
        <w:jc w:val="both"/>
        <w:rPr>
          <w:b/>
        </w:rPr>
      </w:pPr>
    </w:p>
    <w:p w:rsidR="001A76C4" w:rsidRPr="00F42232" w:rsidRDefault="00F21407" w:rsidP="003E6F7E">
      <w:pPr>
        <w:pStyle w:val="Heading2"/>
      </w:pPr>
      <w:bookmarkStart w:id="7" w:name="_Toc55202485"/>
      <w:r>
        <w:t xml:space="preserve">3.3. </w:t>
      </w:r>
      <w:r w:rsidR="001A76C4" w:rsidRPr="00F42232">
        <w:t>Pensiju fondi</w:t>
      </w:r>
      <w:bookmarkEnd w:id="7"/>
    </w:p>
    <w:p w:rsidR="00F94C68" w:rsidRDefault="00E62737" w:rsidP="00F94C68">
      <w:pPr>
        <w:jc w:val="both"/>
      </w:pPr>
      <w:r>
        <w:t>OECD dati</w:t>
      </w:r>
      <w:r>
        <w:rPr>
          <w:rStyle w:val="FootnoteReference"/>
        </w:rPr>
        <w:footnoteReference w:id="9"/>
      </w:r>
      <w:r w:rsidRPr="00EB2562">
        <w:t xml:space="preserve"> rāda, ka attiecībā pret IKP, 2019.g. beigās Latvijas pensiju fondu aktīvu lielums (16,7%) pārsniedza Lietuvas (8,3%), bet nedaudz atpalika no Igaunijas (18,6%). Savukārt, OECD vidēji pensiju fondu aktīvu lielums veido 60.1% no IKP.</w:t>
      </w:r>
      <w:r w:rsidR="003C123F">
        <w:t xml:space="preserve"> Jāatzīmē, ka aktīvu apmēra pieauguma temps visās Baltijas valstīs ir straujāks kā vidēji OECD. Lielāko daļu pensiju fondu aktīvu veido valsts fondēto pensiju plānos uzkrātie līdzekļi. </w:t>
      </w:r>
      <w:r w:rsidR="00EB7A89">
        <w:t xml:space="preserve">Valsts fondēto akciju kopējais </w:t>
      </w:r>
      <w:r w:rsidR="003C123F">
        <w:t>aktīvu apjoms 2020.gada augusta beigās ir sasniedzis jau 4,75 miljrd.</w:t>
      </w:r>
      <w:r w:rsidR="003C123F" w:rsidRPr="005B1DCA">
        <w:rPr>
          <w:i/>
        </w:rPr>
        <w:t xml:space="preserve"> e</w:t>
      </w:r>
      <w:r w:rsidR="00CA4C7A" w:rsidRPr="005B1DCA">
        <w:rPr>
          <w:i/>
        </w:rPr>
        <w:t>u</w:t>
      </w:r>
      <w:r w:rsidR="003C123F" w:rsidRPr="005B1DCA">
        <w:rPr>
          <w:i/>
        </w:rPr>
        <w:t>ro</w:t>
      </w:r>
      <w:r w:rsidR="003C123F">
        <w:t xml:space="preserve">. </w:t>
      </w:r>
    </w:p>
    <w:p w:rsidR="001A76C4" w:rsidRPr="00235AFC" w:rsidRDefault="003C123F" w:rsidP="001A76C4">
      <w:pPr>
        <w:spacing w:line="240" w:lineRule="auto"/>
        <w:jc w:val="both"/>
      </w:pPr>
      <w:r>
        <w:t>Savukārt p</w:t>
      </w:r>
      <w:r w:rsidR="001A76C4" w:rsidRPr="00235AFC">
        <w:t>rivāto pensiju fon</w:t>
      </w:r>
      <w:r>
        <w:t xml:space="preserve">du tirgus Latvijā ir ļoti mazs, lai arī pakāpeniski pieaug. </w:t>
      </w:r>
      <w:r w:rsidR="00F94C68">
        <w:t>2002.gada 1.ceturkšņa beigās privāto pensiju fondu kopējais uzkrājums ir sasniedzis 559 milj.</w:t>
      </w:r>
      <w:r w:rsidR="00F94C68" w:rsidRPr="005B1DCA">
        <w:rPr>
          <w:i/>
        </w:rPr>
        <w:t xml:space="preserve"> e</w:t>
      </w:r>
      <w:r w:rsidR="00CA4C7A" w:rsidRPr="005B1DCA">
        <w:rPr>
          <w:i/>
        </w:rPr>
        <w:t>u</w:t>
      </w:r>
      <w:r w:rsidR="00F94C68" w:rsidRPr="005B1DCA">
        <w:rPr>
          <w:i/>
        </w:rPr>
        <w:t>ro</w:t>
      </w:r>
      <w:r w:rsidR="00F94C68">
        <w:t xml:space="preserve">. Privāto pensiju fondu apjoms arī būtiski atpaliek no kaimiņvalstīm. 2018.gada beigās aktīvu apjoms sasniedza 1,6% no IKP, savukārt </w:t>
      </w:r>
      <w:r w:rsidR="001A76C4" w:rsidRPr="00235AFC">
        <w:t xml:space="preserve">Igaunijā šis rādītājs attiecīgajā periodā bija 15.4%, bet Lietuvā – 7.1%. </w:t>
      </w:r>
    </w:p>
    <w:p w:rsidR="001A76C4" w:rsidRDefault="001A76C4" w:rsidP="001A76C4">
      <w:pPr>
        <w:spacing w:line="240" w:lineRule="auto"/>
        <w:jc w:val="both"/>
      </w:pPr>
      <w:r w:rsidRPr="00235AFC">
        <w:t>Dalībnieku skaits privātajos pensiju fondos pakāpeniski pieaug kopš sistēmas ieviešanas 1998. gadā, taču straujākais dalībnieku skaita pieaugums bija vērojams laika posmā no 2005. līdz 2008. gadam, bet kopš tā laika pieauguma temps ir kļuvis mērenāks. Piemēram, laika posmā no 2018.g</w:t>
      </w:r>
      <w:r w:rsidR="00877B3B">
        <w:t>ada</w:t>
      </w:r>
      <w:r w:rsidRPr="00235AFC">
        <w:t xml:space="preserve"> gada beigām līdz 2019.g</w:t>
      </w:r>
      <w:r w:rsidR="00877B3B">
        <w:t>ada</w:t>
      </w:r>
      <w:r w:rsidRPr="00235AFC">
        <w:t xml:space="preserve"> beigām, dalībnieku skaits pieauga par 6.1%. </w:t>
      </w:r>
    </w:p>
    <w:p w:rsidR="001A76C4" w:rsidRPr="00235AFC" w:rsidRDefault="001A76C4" w:rsidP="001A76C4">
      <w:pPr>
        <w:jc w:val="both"/>
      </w:pPr>
      <w:r w:rsidRPr="00235AFC">
        <w:t xml:space="preserve">OECD statistika rāda, ka vidēji pensiju fondu (gan 2. gan 3. līmeņa) reāla darbības efektivitāte ilgākā gadu griezumā (10 un 15 gadu garumā) ir bijusi negatīva. Arī nominālā privāto pensiju fondu darbības efektivitāte Latvijā ir bijusi starp zemākām OECD un ne-OECD valstu vidū. Taču ir svarīga tieši ilgtermiņa fondu darbības efektivitāte 20, 30 vai 40 gadu garumā, jo tas būs noteicošais faktors tam, kāds nākotnē būs pensiju lielums. </w:t>
      </w:r>
    </w:p>
    <w:p w:rsidR="00763D17" w:rsidRDefault="001A76C4" w:rsidP="00763D17">
      <w:pPr>
        <w:keepNext/>
        <w:jc w:val="both"/>
      </w:pPr>
      <w:r w:rsidRPr="00235AFC">
        <w:rPr>
          <w:noProof/>
          <w:lang w:eastAsia="lv-LV"/>
        </w:rPr>
        <w:lastRenderedPageBreak/>
        <w:drawing>
          <wp:inline distT="0" distB="0" distL="0" distR="0" wp14:anchorId="1592EB6F" wp14:editId="405EB39A">
            <wp:extent cx="4302369" cy="2709277"/>
            <wp:effectExtent l="19050" t="19050" r="22225" b="152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6594" cy="2711937"/>
                    </a:xfrm>
                    <a:prstGeom prst="rect">
                      <a:avLst/>
                    </a:prstGeom>
                    <a:noFill/>
                    <a:ln>
                      <a:solidFill>
                        <a:srgbClr val="5B9BD5"/>
                      </a:solidFill>
                    </a:ln>
                  </pic:spPr>
                </pic:pic>
              </a:graphicData>
            </a:graphic>
          </wp:inline>
        </w:drawing>
      </w:r>
    </w:p>
    <w:p w:rsidR="001A76C4" w:rsidRPr="00235AFC" w:rsidRDefault="00763D17" w:rsidP="00763D17">
      <w:pPr>
        <w:pStyle w:val="Caption"/>
        <w:ind w:right="7154"/>
        <w:jc w:val="both"/>
        <w:rPr>
          <w:b/>
        </w:rPr>
      </w:pPr>
      <w:r>
        <w:t xml:space="preserve">Tabula </w:t>
      </w:r>
      <w:r w:rsidR="00AD70AB">
        <w:fldChar w:fldCharType="begin"/>
      </w:r>
      <w:r w:rsidR="00AD70AB">
        <w:instrText xml:space="preserve"> SEQ Tab</w:instrText>
      </w:r>
      <w:r w:rsidR="00AD70AB">
        <w:instrText xml:space="preserve">ula \* ARABIC </w:instrText>
      </w:r>
      <w:r w:rsidR="00AD70AB">
        <w:fldChar w:fldCharType="separate"/>
      </w:r>
      <w:r>
        <w:rPr>
          <w:noProof/>
        </w:rPr>
        <w:t>1</w:t>
      </w:r>
      <w:r w:rsidR="00AD70AB">
        <w:rPr>
          <w:noProof/>
        </w:rPr>
        <w:fldChar w:fldCharType="end"/>
      </w:r>
      <w:r>
        <w:t xml:space="preserve"> </w:t>
      </w:r>
      <w:r w:rsidRPr="00B22603">
        <w:t>Nominālā un reālā ģeometriskā vidējā gada ieguldījumu ienesīguma likme fondēto un privāto pensiju plāniem pēdējos 5, 10 un 15 gados uz 2018.gada 31.decembri.  Avots: OECD Global Pension Statistics</w:t>
      </w:r>
    </w:p>
    <w:p w:rsidR="00247B0C" w:rsidRDefault="002473AB" w:rsidP="00247B0C">
      <w:pPr>
        <w:spacing w:line="240" w:lineRule="auto"/>
        <w:jc w:val="both"/>
      </w:pPr>
      <w:r>
        <w:t xml:space="preserve">Jāatzīmē, ka ir pēdējos gados ir veiktas reformas, kas var ilgtermiņā </w:t>
      </w:r>
      <w:r w:rsidR="006E6C35">
        <w:t xml:space="preserve">pozitīvi </w:t>
      </w:r>
      <w:r>
        <w:t>ietekmēt pensiju fondu ienesīgumu. Attiecībā uz fondēto pensiju ieg</w:t>
      </w:r>
      <w:r w:rsidR="006E6C35">
        <w:t>uldījumiem</w:t>
      </w:r>
      <w:r>
        <w:t xml:space="preserve"> kopš 2018.gada tika paaugstināti limiti, atļaujot aktīvajiem fondiem akcijās ieguldīt līdz 75% no fondu aktīviem (iepretim līdzšinējiem 50%), kas var nodrošināt augstāku ieguldījumu atdevi. Tāpat iepriekšējos gados tika veikta reforma attiecībā uz valsts fondēto pensiju fondu iekasētajām komisijas maksu limitiem, kas kopā ar aktīvu konkurenci no administrēšanas viedokļa lētāko indeksu fondu plānu puses, veicināja komisijas maksu </w:t>
      </w:r>
      <w:r w:rsidR="006E6C35">
        <w:t xml:space="preserve">būtisku </w:t>
      </w:r>
      <w:r>
        <w:t>samazināšanos, kas savukārt pozitīvi ietekmē</w:t>
      </w:r>
      <w:r w:rsidR="006E6C35">
        <w:t xml:space="preserve"> arī </w:t>
      </w:r>
      <w:r>
        <w:t xml:space="preserve"> plānu neto ienesīgumu.</w:t>
      </w:r>
    </w:p>
    <w:p w:rsidR="001A76C4" w:rsidRPr="00235AFC" w:rsidRDefault="001A76C4" w:rsidP="00247B0C">
      <w:pPr>
        <w:spacing w:line="240" w:lineRule="auto"/>
        <w:jc w:val="both"/>
      </w:pPr>
      <w:r w:rsidRPr="00235AFC">
        <w:lastRenderedPageBreak/>
        <w:t>OECD</w:t>
      </w:r>
      <w:r w:rsidR="00247B0C">
        <w:t xml:space="preserve"> 2018.gadā publicētajā Latvijas pensiju sistēmas novērtējumā</w:t>
      </w:r>
      <w:r w:rsidR="00247B0C">
        <w:rPr>
          <w:rStyle w:val="FootnoteReference"/>
        </w:rPr>
        <w:footnoteReference w:id="10"/>
      </w:r>
      <w:r w:rsidR="00247B0C">
        <w:t xml:space="preserve"> bija norādīts, ka </w:t>
      </w:r>
      <w:r w:rsidRPr="00235AFC">
        <w:t xml:space="preserve">2016.gadā komisijas maksas </w:t>
      </w:r>
      <w:r w:rsidR="00247B0C">
        <w:t xml:space="preserve">brīvprātīgajiem pensiju fondiem bija 1.8%, bet fondētajiem pensiju fondiem </w:t>
      </w:r>
      <w:r w:rsidRPr="00235AFC">
        <w:t>1.</w:t>
      </w:r>
      <w:r w:rsidR="006E6C35">
        <w:t>4</w:t>
      </w:r>
      <w:r w:rsidRPr="00235AFC">
        <w:t xml:space="preserve">% no aktīviem, </w:t>
      </w:r>
      <w:r w:rsidR="001336FD">
        <w:t>kas bija starp augstākajiem rādītājiem OECD valstu starpā</w:t>
      </w:r>
      <w:r w:rsidR="00247B0C">
        <w:t xml:space="preserve">. Salīdzinoši </w:t>
      </w:r>
      <w:r w:rsidR="001336FD">
        <w:t>2018.gada vidū</w:t>
      </w:r>
      <w:r w:rsidR="00247B0C">
        <w:t xml:space="preserve"> pēc OECD datiem valsts fondēto pensiju komisijas maksas bija samazinājušās līdz </w:t>
      </w:r>
      <w:r w:rsidR="001336FD">
        <w:t>0,6%</w:t>
      </w:r>
      <w:r w:rsidR="00247B0C">
        <w:t xml:space="preserve"> no aktīviem</w:t>
      </w:r>
      <w:r w:rsidR="001336FD">
        <w:t>.</w:t>
      </w:r>
      <w:r w:rsidR="001336FD">
        <w:rPr>
          <w:rStyle w:val="FootnoteReference"/>
        </w:rPr>
        <w:footnoteReference w:id="11"/>
      </w:r>
    </w:p>
    <w:p w:rsidR="001A76C4" w:rsidRPr="00235AFC" w:rsidRDefault="001A76C4" w:rsidP="001A76C4">
      <w:pPr>
        <w:jc w:val="both"/>
      </w:pPr>
    </w:p>
    <w:p w:rsidR="00C60E17" w:rsidRDefault="00C60E17">
      <w:pPr>
        <w:rPr>
          <w:rFonts w:eastAsia="Calibri"/>
          <w:b/>
          <w:bCs/>
        </w:rPr>
      </w:pPr>
      <w:r>
        <w:rPr>
          <w:rFonts w:eastAsia="Calibri"/>
          <w:b/>
          <w:bCs/>
        </w:rPr>
        <w:br w:type="page"/>
      </w:r>
    </w:p>
    <w:p w:rsidR="00E172C3" w:rsidRDefault="00F21407" w:rsidP="003E6F7E">
      <w:pPr>
        <w:pStyle w:val="Heading2"/>
      </w:pPr>
      <w:bookmarkStart w:id="8" w:name="_Toc55202486"/>
      <w:r>
        <w:lastRenderedPageBreak/>
        <w:t xml:space="preserve">3.4. </w:t>
      </w:r>
      <w:r w:rsidR="001A76C4" w:rsidRPr="00EB2562">
        <w:t>Apdrošināšana</w:t>
      </w:r>
      <w:bookmarkEnd w:id="8"/>
      <w:r w:rsidR="00E172C3">
        <w:t xml:space="preserve"> </w:t>
      </w:r>
    </w:p>
    <w:p w:rsidR="00831FD1" w:rsidRDefault="000772F9" w:rsidP="00377941">
      <w:pPr>
        <w:jc w:val="both"/>
      </w:pPr>
      <w:r>
        <w:t xml:space="preserve">Vērtējot apdrošināšanas tirgu, </w:t>
      </w:r>
      <w:r w:rsidR="0098090A">
        <w:t xml:space="preserve">jāsecina, ka, lai arī parakstīto prēmiju apjomi pamazām pieaug, tomēr salīdzinot ar </w:t>
      </w:r>
      <w:r w:rsidR="00CA4C7A">
        <w:t>ES</w:t>
      </w:r>
      <w:r w:rsidR="0098090A">
        <w:t xml:space="preserve"> un OECD valstīm tirgus nav pietiekami attīstīts. </w:t>
      </w:r>
      <w:r w:rsidR="00A9696F">
        <w:t xml:space="preserve">Pēc prēmiju apjoma lielāko tirgus daļu ieņem dzīvības apdrošināšana, un tai seko OCTA, veselības apdrošināšana un KASKO. </w:t>
      </w:r>
    </w:p>
    <w:p w:rsidR="00831FD1" w:rsidRDefault="00831FD1" w:rsidP="00831FD1">
      <w:pPr>
        <w:keepNext/>
        <w:jc w:val="both"/>
      </w:pPr>
      <w:r>
        <w:rPr>
          <w:noProof/>
          <w:lang w:eastAsia="lv-LV"/>
        </w:rPr>
        <mc:AlternateContent>
          <mc:Choice Requires="wps">
            <w:drawing>
              <wp:anchor distT="0" distB="0" distL="114300" distR="114300" simplePos="0" relativeHeight="251667456" behindDoc="0" locked="0" layoutInCell="1" allowOverlap="1" wp14:anchorId="05F28EE9" wp14:editId="5FF6525B">
                <wp:simplePos x="0" y="0"/>
                <wp:positionH relativeFrom="column">
                  <wp:posOffset>4407141</wp:posOffset>
                </wp:positionH>
                <wp:positionV relativeFrom="paragraph">
                  <wp:posOffset>2481974</wp:posOffset>
                </wp:positionV>
                <wp:extent cx="4338320" cy="63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4338320" cy="635"/>
                        </a:xfrm>
                        <a:prstGeom prst="rect">
                          <a:avLst/>
                        </a:prstGeom>
                        <a:solidFill>
                          <a:prstClr val="white"/>
                        </a:solidFill>
                        <a:ln>
                          <a:noFill/>
                        </a:ln>
                      </wps:spPr>
                      <wps:txbx>
                        <w:txbxContent>
                          <w:p w:rsidR="00DA3017" w:rsidRPr="003948C7" w:rsidRDefault="00DA3017" w:rsidP="00831FD1">
                            <w:pPr>
                              <w:pStyle w:val="Caption"/>
                              <w:rPr>
                                <w:noProof/>
                                <w:sz w:val="24"/>
                                <w:szCs w:val="24"/>
                              </w:rPr>
                            </w:pPr>
                            <w:r>
                              <w:t xml:space="preserve">Ilustrācija </w:t>
                            </w:r>
                            <w:r w:rsidR="00AD70AB">
                              <w:fldChar w:fldCharType="begin"/>
                            </w:r>
                            <w:r w:rsidR="00AD70AB">
                              <w:instrText xml:space="preserve"> SEQ Ilustrācija \* ARABIC </w:instrText>
                            </w:r>
                            <w:r w:rsidR="00AD70AB">
                              <w:fldChar w:fldCharType="separate"/>
                            </w:r>
                            <w:r>
                              <w:rPr>
                                <w:noProof/>
                              </w:rPr>
                              <w:t>6</w:t>
                            </w:r>
                            <w:r w:rsidR="00AD70AB">
                              <w:rPr>
                                <w:noProof/>
                              </w:rPr>
                              <w:fldChar w:fldCharType="end"/>
                            </w:r>
                            <w:r>
                              <w:t xml:space="preserve"> </w:t>
                            </w:r>
                            <w:r w:rsidRPr="00BC5ED9">
                              <w:t xml:space="preserve"> Latvijā darbojošos apdrošinātāju (vietējo sabiedrību un ārvalstu filiāļu) Latvijā parakstīto prēmiju apjoms 2019.gadā (avots: Latvijas Apdrošinātāju asociācija)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05F28EE9" id="Text Box 14" o:spid="_x0000_s1028" type="#_x0000_t202" style="position:absolute;left:0;text-align:left;margin-left:347pt;margin-top:195.45pt;width:341.6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" stroked="f">
                <v:textbox style="mso-fit-shape-to-text:t" inset="0,0,0,0">
                  <w:txbxContent>
                    <w:p w:rsidR="00DA3017" w:rsidRPr="003948C7" w:rsidRDefault="00DA3017" w:rsidP="00831FD1">
                      <w:pPr>
                        <w:pStyle w:val="Caption"/>
                        <w:rPr>
                          <w:noProof/>
                          <w:sz w:val="24"/>
                          <w:szCs w:val="24"/>
                        </w:rPr>
                      </w:pPr>
                      <w:r>
                        <w:t xml:space="preserve">Ilustrācija </w:t>
                      </w:r>
                      <w:fldSimple w:instr=" SEQ Ilustrācija \* ARABIC ">
                        <w:r>
                          <w:rPr>
                            <w:noProof/>
                          </w:rPr>
                          <w:t>6</w:t>
                        </w:r>
                      </w:fldSimple>
                      <w:r>
                        <w:t xml:space="preserve"> </w:t>
                      </w:r>
                      <w:r w:rsidRPr="00BC5ED9">
                        <w:t xml:space="preserve"> Latvijā darbojošos apdrošinātāju (vietējo sabiedrību un ārvalstu filiāļu) Latvijā parakstīto prēmiju apjoms 2019.gadā (avots: Latvijas Apdrošinātāju asociācija)</w:t>
                      </w:r>
                    </w:p>
                  </w:txbxContent>
                </v:textbox>
                <w10:wrap type="topAndBottom"/>
              </v:shape>
            </w:pict>
          </mc:Fallback>
        </mc:AlternateContent>
      </w:r>
      <w:r>
        <w:rPr>
          <w:noProof/>
          <w:lang w:eastAsia="lv-LV"/>
        </w:rPr>
        <w:drawing>
          <wp:anchor distT="0" distB="0" distL="114300" distR="114300" simplePos="0" relativeHeight="251665408" behindDoc="0" locked="0" layoutInCell="1" allowOverlap="1" wp14:anchorId="21A4094D" wp14:editId="33CAE491">
            <wp:simplePos x="0" y="0"/>
            <wp:positionH relativeFrom="column">
              <wp:posOffset>4388113</wp:posOffset>
            </wp:positionH>
            <wp:positionV relativeFrom="paragraph">
              <wp:posOffset>131</wp:posOffset>
            </wp:positionV>
            <wp:extent cx="4338670" cy="2463165"/>
            <wp:effectExtent l="0" t="0" r="5080" b="1333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noProof/>
          <w:lang w:eastAsia="lv-LV"/>
        </w:rPr>
        <mc:AlternateContent>
          <mc:Choice Requires="wps">
            <w:drawing>
              <wp:anchor distT="0" distB="0" distL="114300" distR="114300" simplePos="0" relativeHeight="251669504" behindDoc="0" locked="0" layoutInCell="1" allowOverlap="1" wp14:anchorId="50462FE4" wp14:editId="5CD404C8">
                <wp:simplePos x="0" y="0"/>
                <wp:positionH relativeFrom="margin">
                  <wp:align>left</wp:align>
                </wp:positionH>
                <wp:positionV relativeFrom="paragraph">
                  <wp:posOffset>2503849</wp:posOffset>
                </wp:positionV>
                <wp:extent cx="4338320" cy="635"/>
                <wp:effectExtent l="0" t="0" r="5080" b="8255"/>
                <wp:wrapTopAndBottom/>
                <wp:docPr id="20" name="Text Box 20"/>
                <wp:cNvGraphicFramePr/>
                <a:graphic xmlns:a="http://schemas.openxmlformats.org/drawingml/2006/main">
                  <a:graphicData uri="http://schemas.microsoft.com/office/word/2010/wordprocessingShape">
                    <wps:wsp>
                      <wps:cNvSpPr txBox="1"/>
                      <wps:spPr>
                        <a:xfrm>
                          <a:off x="0" y="0"/>
                          <a:ext cx="4338320" cy="635"/>
                        </a:xfrm>
                        <a:prstGeom prst="rect">
                          <a:avLst/>
                        </a:prstGeom>
                        <a:solidFill>
                          <a:prstClr val="white"/>
                        </a:solidFill>
                        <a:ln>
                          <a:noFill/>
                        </a:ln>
                      </wps:spPr>
                      <wps:txbx>
                        <w:txbxContent>
                          <w:p w:rsidR="00DA3017" w:rsidRPr="0047789A" w:rsidRDefault="00DA3017" w:rsidP="00831FD1">
                            <w:pPr>
                              <w:pStyle w:val="Caption"/>
                              <w:rPr>
                                <w:noProof/>
                                <w:sz w:val="24"/>
                                <w:szCs w:val="24"/>
                              </w:rPr>
                            </w:pPr>
                            <w:r>
                              <w:t xml:space="preserve">Ilustrācija </w:t>
                            </w:r>
                            <w:r w:rsidR="00AD70AB">
                              <w:fldChar w:fldCharType="begin"/>
                            </w:r>
                            <w:r w:rsidR="00AD70AB">
                              <w:instrText xml:space="preserve"> SEQ Ilustrācija \* ARABIC </w:instrText>
                            </w:r>
                            <w:r w:rsidR="00AD70AB">
                              <w:fldChar w:fldCharType="separate"/>
                            </w:r>
                            <w:r>
                              <w:rPr>
                                <w:noProof/>
                              </w:rPr>
                              <w:t>7</w:t>
                            </w:r>
                            <w:r w:rsidR="00AD70AB">
                              <w:rPr>
                                <w:noProof/>
                              </w:rPr>
                              <w:fldChar w:fldCharType="end"/>
                            </w:r>
                            <w:r>
                              <w:t xml:space="preserve"> </w:t>
                            </w:r>
                            <w:r w:rsidRPr="00967F92">
                              <w:t>Dzīvības apdrošināšanas īpatsvars, % no kopējā</w:t>
                            </w:r>
                            <w:r>
                              <w:t xml:space="preserve"> (avots (OECD)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50462FE4" id="Text Box 20" o:spid="_x0000_s1029" type="#_x0000_t202" style="position:absolute;left:0;text-align:left;margin-left:0;margin-top:197.15pt;width:341.6pt;height:.05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" stroked="f">
                <v:textbox style="mso-fit-shape-to-text:t" inset="0,0,0,0">
                  <w:txbxContent>
                    <w:p w:rsidR="00DA3017" w:rsidRPr="0047789A" w:rsidRDefault="00DA3017" w:rsidP="00831FD1">
                      <w:pPr>
                        <w:pStyle w:val="Caption"/>
                        <w:rPr>
                          <w:noProof/>
                          <w:sz w:val="24"/>
                          <w:szCs w:val="24"/>
                        </w:rPr>
                      </w:pPr>
                      <w:r>
                        <w:t xml:space="preserve">Ilustrācija </w:t>
                      </w:r>
                      <w:fldSimple w:instr=" SEQ Ilustrācija \* ARABIC ">
                        <w:r>
                          <w:rPr>
                            <w:noProof/>
                          </w:rPr>
                          <w:t>7</w:t>
                        </w:r>
                      </w:fldSimple>
                      <w:r>
                        <w:t xml:space="preserve"> </w:t>
                      </w:r>
                      <w:r w:rsidRPr="00967F92">
                        <w:t>Dzīvības apdrošināšanas īpatsvars, % no kopējā</w:t>
                      </w:r>
                      <w:r>
                        <w:t xml:space="preserve"> (avots (OECD)</w:t>
                      </w:r>
                    </w:p>
                  </w:txbxContent>
                </v:textbox>
                <w10:wrap type="topAndBottom" anchorx="margin"/>
              </v:shape>
            </w:pict>
          </mc:Fallback>
        </mc:AlternateContent>
      </w:r>
      <w:r w:rsidRPr="00235AFC">
        <w:rPr>
          <w:noProof/>
          <w:lang w:eastAsia="lv-LV"/>
        </w:rPr>
        <w:drawing>
          <wp:anchor distT="0" distB="0" distL="114300" distR="114300" simplePos="0" relativeHeight="251664384" behindDoc="0" locked="0" layoutInCell="1" allowOverlap="1" wp14:anchorId="6F2C6FEC" wp14:editId="73DA45CB">
            <wp:simplePos x="0" y="0"/>
            <wp:positionH relativeFrom="margin">
              <wp:align>left</wp:align>
            </wp:positionH>
            <wp:positionV relativeFrom="paragraph">
              <wp:posOffset>285</wp:posOffset>
            </wp:positionV>
            <wp:extent cx="4338320" cy="2453005"/>
            <wp:effectExtent l="0" t="0" r="5080" b="4445"/>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A9696F" w:rsidRDefault="00A9696F" w:rsidP="00A9696F">
      <w:pPr>
        <w:jc w:val="both"/>
      </w:pPr>
      <w:r w:rsidRPr="00235AFC">
        <w:t xml:space="preserve">Jāatzīmē, ka saskaņā ar  OECD un citu starptautisku institūciju atzinumiem, </w:t>
      </w:r>
      <w:r>
        <w:t>dzīvības apdrošināšanas sektora</w:t>
      </w:r>
      <w:r w:rsidRPr="00235AFC">
        <w:t xml:space="preserve"> attīstībai bez tām priekšrocībām, ko tā sniedz indivīdiem viņu personīgās labklājības paaugstināšanai, ir arī virkne priekšrocību no ekonomiskā viedokļa. Privātās dzīvības apdrošināšana var papildināt</w:t>
      </w:r>
      <w:r>
        <w:t xml:space="preserve"> </w:t>
      </w:r>
      <w:r w:rsidRPr="00235AFC">
        <w:t xml:space="preserve">valsts </w:t>
      </w:r>
      <w:r>
        <w:t>sociālo nodrošināšanu</w:t>
      </w:r>
      <w:r w:rsidRPr="00235AFC">
        <w:t xml:space="preserve">. Tā kā apdrošināšanas sabiedrībām ir tūkstošiem apdrošinājuma ņēmēju, tās spēj piesaistīt ievērojamos finanšu resursus, kas ir svarīgi investīciju un valsts ekonomikas atbalstam. Apdrošinātāji kalpo kā finanšu starpnieki starp ieguldītājiem un uzņēmējiem, kuriem nav pietiekama finansējuma, kas dod būtisku ieguldījumu finanšu tirgu attīstībā. OECD valstīs apdrošināšanas kompānijas ir lielākie institucionālie investori. </w:t>
      </w:r>
    </w:p>
    <w:p w:rsidR="00A9696F" w:rsidRPr="00235AFC" w:rsidRDefault="00A9696F" w:rsidP="00A9696F">
      <w:pPr>
        <w:jc w:val="both"/>
      </w:pPr>
      <w:r>
        <w:lastRenderedPageBreak/>
        <w:t>Katrā valstī apdrošināšanas tirgus struktūra ir atšķirīga atkarībā no tirgus struktūras un sociālās sistēmas, tomēr lielākajā daļā attīstīto valstu dzīvības apdrošināšana veido lielāko daļu kopējo parakstīto apjomu, tādējādi var secināt, ka Latvijā dzīvības apdrošināšanas loma kā uzkrājumu instrumentam un sociālajam nodrošinājumam joprojām ir attīstāma. Šeit gan jāatzīmē, ka dzīvības apdrošināšana ir tikai viens no uzkrājumu instrumentiem, līdz ar to tas būtu skatāms kopsakarībā ar</w:t>
      </w:r>
      <w:r w:rsidR="00F42232">
        <w:t xml:space="preserve"> </w:t>
      </w:r>
      <w:r>
        <w:t xml:space="preserve">kopējām mājsaimniecību uzkrājumu veidošanas tendencēm. </w:t>
      </w:r>
    </w:p>
    <w:p w:rsidR="00EE1244" w:rsidRDefault="00EE1244" w:rsidP="00377941">
      <w:pPr>
        <w:jc w:val="both"/>
      </w:pPr>
    </w:p>
    <w:p w:rsidR="00831FD1" w:rsidRDefault="00A9696F" w:rsidP="00831FD1">
      <w:pPr>
        <w:keepNext/>
        <w:jc w:val="both"/>
      </w:pPr>
      <w:r>
        <w:rPr>
          <w:noProof/>
          <w:lang w:eastAsia="lv-LV"/>
        </w:rPr>
        <w:drawing>
          <wp:inline distT="0" distB="0" distL="0" distR="0" wp14:anchorId="6D31AB63" wp14:editId="139F62F1">
            <wp:extent cx="5274310" cy="2628265"/>
            <wp:effectExtent l="0" t="0" r="2540"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696F" w:rsidRDefault="00831FD1" w:rsidP="00831FD1">
      <w:pPr>
        <w:pStyle w:val="Caption"/>
        <w:jc w:val="both"/>
      </w:pPr>
      <w:r>
        <w:t xml:space="preserve">Ilustrācija </w:t>
      </w:r>
      <w:r w:rsidR="00AD70AB">
        <w:fldChar w:fldCharType="begin"/>
      </w:r>
      <w:r w:rsidR="00AD70AB">
        <w:instrText xml:space="preserve"> SEQ Ilustrācija \* ARABIC </w:instrText>
      </w:r>
      <w:r w:rsidR="00AD70AB">
        <w:fldChar w:fldCharType="separate"/>
      </w:r>
      <w:r w:rsidR="00F05961">
        <w:rPr>
          <w:noProof/>
        </w:rPr>
        <w:t>8</w:t>
      </w:r>
      <w:r w:rsidR="00AD70AB">
        <w:rPr>
          <w:noProof/>
        </w:rPr>
        <w:fldChar w:fldCharType="end"/>
      </w:r>
      <w:r>
        <w:t xml:space="preserve"> </w:t>
      </w:r>
      <w:r w:rsidRPr="00FF0536">
        <w:t>Apdroši</w:t>
      </w:r>
      <w:r>
        <w:t>nāšanas prēmijas vietējā tirgū, % no IKP (avots: Insurance Europe)</w:t>
      </w:r>
    </w:p>
    <w:p w:rsidR="000772F9" w:rsidRDefault="00A9696F" w:rsidP="00377941">
      <w:pPr>
        <w:jc w:val="both"/>
      </w:pPr>
      <w:r>
        <w:t xml:space="preserve">Arī vērtējot apdrošināšanas tirgus apjomus pret IKP salīdzinājumā ar citām </w:t>
      </w:r>
      <w:r w:rsidR="002E13BA">
        <w:t>ES</w:t>
      </w:r>
      <w:r w:rsidR="00F42232">
        <w:t xml:space="preserve"> valstīm, Latvijas apdrošināšanas tirgus ir salīdzinoši neliels. To ietekmē gan dzīvības apdrošināšanas salīdzinoši nelielais īpatsvars, gan arī, acīmredzami, salīdzinoši neaktīvā citu apdrošināšanas veidu izmantošana. Ņemot vērā to, ka apdrošināšana var kalpot kā nozīmīgs instruments gan sociālā nodrošinājuma veidošanai vecumdienās, gan nodrošinoties pret </w:t>
      </w:r>
      <w:r w:rsidR="00D56376">
        <w:t>iespējamiem zaudējumiem dažādu negadījumu rezultātā, ir svarīgi veicināt to, lai iedzīvotājiem būtu pietiekama izpratne par apdrošināšanas produktu nozīmi personīgo finanšu plānošanā, kā arī uzticība un vēlme šādus produktus aktīvāk izmantot, tādējādi stiprinot mājsaimniecību finanšu noturību.</w:t>
      </w:r>
    </w:p>
    <w:p w:rsidR="00333521" w:rsidRDefault="00333521" w:rsidP="00FC6086">
      <w:pPr>
        <w:spacing w:line="240" w:lineRule="auto"/>
      </w:pPr>
    </w:p>
    <w:p w:rsidR="00F42232" w:rsidRDefault="00F21407" w:rsidP="003E6F7E">
      <w:pPr>
        <w:pStyle w:val="Heading2"/>
      </w:pPr>
      <w:bookmarkStart w:id="9" w:name="_Toc55202487"/>
      <w:r>
        <w:t xml:space="preserve">3.5. </w:t>
      </w:r>
      <w:r w:rsidR="00F42232" w:rsidRPr="009616CD">
        <w:t>Mājsaimniecību uzkrājumi un ieguldījumi</w:t>
      </w:r>
      <w:bookmarkEnd w:id="9"/>
    </w:p>
    <w:p w:rsidR="00DD6DA0" w:rsidRDefault="00F467D9" w:rsidP="00135379">
      <w:pPr>
        <w:spacing w:line="240" w:lineRule="auto"/>
        <w:jc w:val="both"/>
      </w:pPr>
      <w:r>
        <w:t>Pēdējo gadu laikā pakāpeniski pieaug mājsaimniecību nog</w:t>
      </w:r>
      <w:r w:rsidR="00135379">
        <w:t xml:space="preserve">uldījumu apjoms kredītiestādēs, pēc FKTK datiem 2020.gada jūnija beigās sasniedzot 5,5 miljrd. </w:t>
      </w:r>
      <w:r w:rsidR="00135379" w:rsidRPr="005B1DCA">
        <w:rPr>
          <w:i/>
        </w:rPr>
        <w:t>e</w:t>
      </w:r>
      <w:r w:rsidR="00CA4C7A" w:rsidRPr="005B1DCA">
        <w:rPr>
          <w:i/>
        </w:rPr>
        <w:t>u</w:t>
      </w:r>
      <w:r w:rsidR="00135379" w:rsidRPr="005B1DCA">
        <w:rPr>
          <w:i/>
        </w:rPr>
        <w:t>ro</w:t>
      </w:r>
      <w:r w:rsidR="00135379">
        <w:t xml:space="preserve">. Vienlaikus, lai arī kopējo noguldījumu apjoms pieaug, samazinās noguldījumu īpatsvars mājsaimniecību aktīvos, arvien lielāku daļu ieņemot arī apdrošināšanas un pensiju produktiem. </w:t>
      </w:r>
    </w:p>
    <w:p w:rsidR="00831FD1" w:rsidRDefault="002740F1" w:rsidP="00831FD1">
      <w:pPr>
        <w:keepNext/>
        <w:spacing w:line="240" w:lineRule="auto"/>
      </w:pPr>
      <w:r>
        <w:rPr>
          <w:noProof/>
          <w:lang w:eastAsia="lv-LV"/>
        </w:rPr>
        <w:drawing>
          <wp:anchor distT="0" distB="0" distL="114300" distR="114300" simplePos="0" relativeHeight="251671552" behindDoc="0" locked="0" layoutInCell="1" allowOverlap="1" wp14:anchorId="4546F269" wp14:editId="77C04A98">
            <wp:simplePos x="0" y="0"/>
            <wp:positionH relativeFrom="margin">
              <wp:align>left</wp:align>
            </wp:positionH>
            <wp:positionV relativeFrom="paragraph">
              <wp:posOffset>222250</wp:posOffset>
            </wp:positionV>
            <wp:extent cx="5278120" cy="2439670"/>
            <wp:effectExtent l="0" t="0" r="17780" b="1778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75648" behindDoc="0" locked="0" layoutInCell="1" allowOverlap="1" wp14:anchorId="2A5E6F44" wp14:editId="6D387438">
                <wp:simplePos x="0" y="0"/>
                <wp:positionH relativeFrom="column">
                  <wp:posOffset>5586730</wp:posOffset>
                </wp:positionH>
                <wp:positionV relativeFrom="paragraph">
                  <wp:posOffset>2731770</wp:posOffset>
                </wp:positionV>
                <wp:extent cx="3342005" cy="635"/>
                <wp:effectExtent l="0" t="0" r="0" b="6985"/>
                <wp:wrapTopAndBottom/>
                <wp:docPr id="23" name="Text Box 23"/>
                <wp:cNvGraphicFramePr/>
                <a:graphic xmlns:a="http://schemas.openxmlformats.org/drawingml/2006/main">
                  <a:graphicData uri="http://schemas.microsoft.com/office/word/2010/wordprocessingShape">
                    <wps:wsp>
                      <wps:cNvSpPr txBox="1"/>
                      <wps:spPr>
                        <a:xfrm>
                          <a:off x="0" y="0"/>
                          <a:ext cx="3342005" cy="635"/>
                        </a:xfrm>
                        <a:prstGeom prst="rect">
                          <a:avLst/>
                        </a:prstGeom>
                        <a:solidFill>
                          <a:prstClr val="white"/>
                        </a:solidFill>
                        <a:ln>
                          <a:noFill/>
                        </a:ln>
                      </wps:spPr>
                      <wps:txbx>
                        <w:txbxContent>
                          <w:p w:rsidR="00DA3017" w:rsidRPr="002740F1" w:rsidRDefault="00DA3017" w:rsidP="002740F1">
                            <w:pPr>
                              <w:pStyle w:val="Caption"/>
                              <w:rPr>
                                <w:noProof/>
                                <w:sz w:val="24"/>
                                <w:szCs w:val="24"/>
                              </w:rPr>
                            </w:pPr>
                            <w:r>
                              <w:t xml:space="preserve">Ilustrācija </w:t>
                            </w:r>
                            <w:r w:rsidR="00AD70AB">
                              <w:fldChar w:fldCharType="begin"/>
                            </w:r>
                            <w:r w:rsidR="00AD70AB">
                              <w:instrText xml:space="preserve"> SEQ Ilustrācija \* ARABIC </w:instrText>
                            </w:r>
                            <w:r w:rsidR="00AD70AB">
                              <w:fldChar w:fldCharType="separate"/>
                            </w:r>
                            <w:r>
                              <w:rPr>
                                <w:noProof/>
                              </w:rPr>
                              <w:t>9</w:t>
                            </w:r>
                            <w:r w:rsidR="00AD70AB">
                              <w:rPr>
                                <w:noProof/>
                              </w:rPr>
                              <w:fldChar w:fldCharType="end"/>
                            </w:r>
                            <w:r>
                              <w:t xml:space="preserve"> </w:t>
                            </w:r>
                            <w:r w:rsidRPr="006F3702">
                              <w:t>Mājsaimniecību dalība 3.līmeņa pensiju fondos, dzīvības apdrošināšanas polisēs ar uzkrājumu veidoša</w:t>
                            </w:r>
                            <w:r>
                              <w:t>nu, ienākumu dalījumā, % (avots: Latvijas Banka)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 w14:anchorId="2A5E6F44" id="Text Box 23" o:spid="_x0000_s1030" type="#_x0000_t202" style="position:absolute;margin-left:439.9pt;margin-top:215.1pt;width:263.15pt;height:.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" stroked="f">
                <v:textbox style="mso-fit-shape-to-text:t" inset="0,0,0,0">
                  <w:txbxContent>
                    <w:p w:rsidR="00DA3017" w:rsidRPr="002740F1" w:rsidRDefault="00DA3017" w:rsidP="002740F1">
                      <w:pPr>
                        <w:pStyle w:val="Caption"/>
                        <w:rPr>
                          <w:noProof/>
                          <w:sz w:val="24"/>
                          <w:szCs w:val="24"/>
                        </w:rPr>
                      </w:pPr>
                      <w:r>
                        <w:t xml:space="preserve">Ilustrācija </w:t>
                      </w:r>
                      <w:fldSimple w:instr=" SEQ Ilustrācija \* ARABIC ">
                        <w:r>
                          <w:rPr>
                            <w:noProof/>
                          </w:rPr>
                          <w:t>9</w:t>
                        </w:r>
                      </w:fldSimple>
                      <w:r>
                        <w:t xml:space="preserve"> </w:t>
                      </w:r>
                      <w:r w:rsidRPr="006F3702">
                        <w:t>Mājsaimniecību dalība 3.līmeņa pensiju fondos, dzīvības apdrošināšanas polisēs ar uzkrājumu veidoša</w:t>
                      </w:r>
                      <w:r>
                        <w:t>nu, ienākumu dalījumā, % (avots: Latvijas Banka)</w:t>
                      </w:r>
                    </w:p>
                  </w:txbxContent>
                </v:textbox>
                <w10:wrap type="topAndBottom"/>
              </v:shape>
            </w:pict>
          </mc:Fallback>
        </mc:AlternateContent>
      </w:r>
      <w:r>
        <w:rPr>
          <w:noProof/>
          <w:lang w:eastAsia="lv-LV"/>
        </w:rPr>
        <mc:AlternateContent>
          <mc:Choice Requires="wps">
            <w:drawing>
              <wp:anchor distT="0" distB="0" distL="114300" distR="114300" simplePos="0" relativeHeight="251677696" behindDoc="0" locked="0" layoutInCell="1" allowOverlap="1" wp14:anchorId="3374A937" wp14:editId="301069B0">
                <wp:simplePos x="0" y="0"/>
                <wp:positionH relativeFrom="margin">
                  <wp:align>left</wp:align>
                </wp:positionH>
                <wp:positionV relativeFrom="paragraph">
                  <wp:posOffset>2725420</wp:posOffset>
                </wp:positionV>
                <wp:extent cx="5240020" cy="635"/>
                <wp:effectExtent l="0" t="0" r="0" b="8255"/>
                <wp:wrapTopAndBottom/>
                <wp:docPr id="25" name="Text Box 25"/>
                <wp:cNvGraphicFramePr/>
                <a:graphic xmlns:a="http://schemas.openxmlformats.org/drawingml/2006/main">
                  <a:graphicData uri="http://schemas.microsoft.com/office/word/2010/wordprocessingShape">
                    <wps:wsp>
                      <wps:cNvSpPr txBox="1"/>
                      <wps:spPr>
                        <a:xfrm>
                          <a:off x="0" y="0"/>
                          <a:ext cx="5240020" cy="635"/>
                        </a:xfrm>
                        <a:prstGeom prst="rect">
                          <a:avLst/>
                        </a:prstGeom>
                        <a:solidFill>
                          <a:prstClr val="white"/>
                        </a:solidFill>
                        <a:ln>
                          <a:noFill/>
                        </a:ln>
                      </wps:spPr>
                      <wps:txbx>
                        <w:txbxContent>
                          <w:p w:rsidR="00DA3017" w:rsidRPr="006817C5" w:rsidRDefault="00DA3017" w:rsidP="002740F1">
                            <w:pPr>
                              <w:pStyle w:val="Caption"/>
                              <w:rPr>
                                <w:noProof/>
                                <w:sz w:val="24"/>
                                <w:szCs w:val="24"/>
                              </w:rPr>
                            </w:pPr>
                            <w:r>
                              <w:t xml:space="preserve">Ilustrācija </w:t>
                            </w:r>
                            <w:r w:rsidR="00AD70AB">
                              <w:fldChar w:fldCharType="begin"/>
                            </w:r>
                            <w:r w:rsidR="00AD70AB">
                              <w:instrText xml:space="preserve"> SEQ Ilustrācija \* ARABIC </w:instrText>
                            </w:r>
                            <w:r w:rsidR="00AD70AB">
                              <w:fldChar w:fldCharType="separate"/>
                            </w:r>
                            <w:r>
                              <w:rPr>
                                <w:noProof/>
                              </w:rPr>
                              <w:t>10</w:t>
                            </w:r>
                            <w:r w:rsidR="00AD70AB">
                              <w:rPr>
                                <w:noProof/>
                              </w:rPr>
                              <w:fldChar w:fldCharType="end"/>
                            </w:r>
                            <w:r>
                              <w:t xml:space="preserve"> </w:t>
                            </w:r>
                            <w:r w:rsidRPr="00371544">
                              <w:t>Nozīmīgāko sastāvdaļu īpatsvars mājsaimniecību finanšu aktīvos,  % (avots: Latvijas Banka</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 w14:anchorId="3374A937" id="Text Box 25" o:spid="_x0000_s1031" type="#_x0000_t202" style="position:absolute;margin-left:0;margin-top:214.6pt;width:412.6pt;height:.05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" stroked="f">
                <v:textbox style="mso-fit-shape-to-text:t" inset="0,0,0,0">
                  <w:txbxContent>
                    <w:p w:rsidR="00DA3017" w:rsidRPr="006817C5" w:rsidRDefault="00DA3017" w:rsidP="002740F1">
                      <w:pPr>
                        <w:pStyle w:val="Caption"/>
                        <w:rPr>
                          <w:noProof/>
                          <w:sz w:val="24"/>
                          <w:szCs w:val="24"/>
                        </w:rPr>
                      </w:pPr>
                      <w:r>
                        <w:t xml:space="preserve">Ilustrācija </w:t>
                      </w:r>
                      <w:fldSimple w:instr=" SEQ Ilustrācija \* ARABIC ">
                        <w:r>
                          <w:rPr>
                            <w:noProof/>
                          </w:rPr>
                          <w:t>10</w:t>
                        </w:r>
                      </w:fldSimple>
                      <w:r>
                        <w:t xml:space="preserve"> </w:t>
                      </w:r>
                      <w:r w:rsidRPr="00371544">
                        <w:t>Nozīmīgāko sastāvdaļu īpatsvars mājsaimniecību finanšu aktīvos,  % (avots: Latvijas Banka</w:t>
                      </w:r>
                      <w:r>
                        <w:t>)</w:t>
                      </w:r>
                    </w:p>
                  </w:txbxContent>
                </v:textbox>
                <w10:wrap type="topAndBottom" anchorx="margin"/>
              </v:shape>
            </w:pict>
          </mc:Fallback>
        </mc:AlternateContent>
      </w:r>
      <w:r>
        <w:rPr>
          <w:noProof/>
          <w:lang w:eastAsia="lv-LV"/>
        </w:rPr>
        <w:drawing>
          <wp:anchor distT="0" distB="0" distL="114300" distR="114300" simplePos="0" relativeHeight="251673600" behindDoc="0" locked="0" layoutInCell="1" allowOverlap="1" wp14:anchorId="4D1E0452" wp14:editId="7FF03826">
            <wp:simplePos x="0" y="0"/>
            <wp:positionH relativeFrom="margin">
              <wp:posOffset>5561658</wp:posOffset>
            </wp:positionH>
            <wp:positionV relativeFrom="paragraph">
              <wp:posOffset>253322</wp:posOffset>
            </wp:positionV>
            <wp:extent cx="3398520" cy="2408555"/>
            <wp:effectExtent l="0" t="0" r="11430" b="10795"/>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135379" w:rsidRDefault="0058735E" w:rsidP="00247B0C">
      <w:pPr>
        <w:spacing w:line="240" w:lineRule="auto"/>
        <w:jc w:val="both"/>
      </w:pPr>
      <w:r>
        <w:t xml:space="preserve">Arī atbilstoši Latvijas Bankas veiktajam mājsaimniecību finanšu un patēriņa apsekojumu rezultātiem, kas tiek veikti reizi trijos gados, ir novērojams, ka pakāpeniski pieaug to mājsaimniecību daļa, kas veido uzkrājumus gan noguldījumu, gan pensiju fondu vai uzkrājošās apdrošināšanas veidā. </w:t>
      </w:r>
      <w:r w:rsidR="00247B0C">
        <w:t xml:space="preserve">Ja 2014.gadā tikai 8,9% no mājsaimniecībām izmantoja 3.līmeņa pensiju fondus vai uzkrājošo apdrošināšanu, tad 2017.gadā jau 21,8%. Šos instrumentus daudz aktīvāk izmanto tieši mājsaimniecības ar augstākiem ienākumiem, tomēr uzkrājumu veidošana ir ļoti būtiska </w:t>
      </w:r>
      <w:r w:rsidR="00247B0C">
        <w:lastRenderedPageBreak/>
        <w:t xml:space="preserve">arī mājsaimniecībām ar zemiem ienākumiem. </w:t>
      </w:r>
      <w:r w:rsidR="00F21407">
        <w:t>Lai arī ir saprotams, ka lielāku ienākumu gadījumā ir arī lielāks brīvo līdzekļu apjoms, ko novirzīt uzkrājumu veidošanai, tomēr vienlaikus ir svarīgi veicināt iedzīvotāju finanšu pratību, veicinot prasmīgu mājsaimniecības budžeta plānošanu un izpratni par uzkrājumu veidošanas nozīmīgumu.</w:t>
      </w:r>
    </w:p>
    <w:p w:rsidR="00C60E17" w:rsidRDefault="00C60E17">
      <w:pPr>
        <w:rPr>
          <w:b/>
        </w:rPr>
      </w:pPr>
      <w:r>
        <w:rPr>
          <w:b/>
        </w:rPr>
        <w:br w:type="page"/>
      </w:r>
    </w:p>
    <w:p w:rsidR="008B016F" w:rsidRDefault="004D60A7" w:rsidP="003E6F7E">
      <w:pPr>
        <w:pStyle w:val="Heading2"/>
      </w:pPr>
      <w:bookmarkStart w:id="10" w:name="_Toc55202488"/>
      <w:r>
        <w:lastRenderedPageBreak/>
        <w:t>3.6</w:t>
      </w:r>
      <w:r w:rsidR="00F21407">
        <w:t xml:space="preserve">. </w:t>
      </w:r>
      <w:r w:rsidR="008B016F" w:rsidRPr="000D73F0">
        <w:t>AS “Attīstības finanšu institūcija</w:t>
      </w:r>
      <w:r w:rsidR="008B016F">
        <w:t>s</w:t>
      </w:r>
      <w:r w:rsidR="008B016F" w:rsidRPr="000D73F0">
        <w:t xml:space="preserve"> Altum”</w:t>
      </w:r>
      <w:r w:rsidR="008B016F">
        <w:t xml:space="preserve"> atbalsta programmas</w:t>
      </w:r>
      <w:bookmarkEnd w:id="10"/>
    </w:p>
    <w:p w:rsidR="001240E1" w:rsidRDefault="00500587" w:rsidP="00534143">
      <w:pPr>
        <w:spacing w:line="240" w:lineRule="auto"/>
        <w:jc w:val="both"/>
      </w:pPr>
      <w:r>
        <w:t xml:space="preserve">Lai veicinātu finanšu pieejamību uzņēmumiem jomās, kur </w:t>
      </w:r>
      <w:r w:rsidR="001240E1">
        <w:t>tirgū tas nav pieejams,</w:t>
      </w:r>
      <w:r>
        <w:t xml:space="preserve"> </w:t>
      </w:r>
      <w:r w:rsidR="00A9663D" w:rsidRPr="000D73F0">
        <w:t>AS “Attīstības finanšu institūcija Altum” (Altum)</w:t>
      </w:r>
      <w:r w:rsidR="00A9663D" w:rsidRPr="00800271">
        <w:t xml:space="preserve"> īsteno atbalsta un attīstības programmas </w:t>
      </w:r>
      <w:r w:rsidR="00A9663D">
        <w:t xml:space="preserve">galvenokārt </w:t>
      </w:r>
      <w:r w:rsidR="00A9663D" w:rsidRPr="00800271">
        <w:t xml:space="preserve">finanšu instrumentu </w:t>
      </w:r>
      <w:r w:rsidR="00A9663D">
        <w:t xml:space="preserve">veidā, papildus ir atsevišķas </w:t>
      </w:r>
      <w:r w:rsidR="00A9663D" w:rsidRPr="00800271">
        <w:t xml:space="preserve">grantu </w:t>
      </w:r>
      <w:r w:rsidR="00A9663D">
        <w:t>programmas</w:t>
      </w:r>
      <w:r w:rsidR="00A9663D" w:rsidRPr="00800271">
        <w:t xml:space="preserve">, </w:t>
      </w:r>
      <w:r w:rsidR="00A9663D">
        <w:t>īstenojot</w:t>
      </w:r>
      <w:r w:rsidR="00A9663D" w:rsidRPr="00800271">
        <w:t xml:space="preserve"> </w:t>
      </w:r>
      <w:r w:rsidR="00A9663D" w:rsidRPr="00F054E4">
        <w:t>valsts politiku tautsaimniecībā</w:t>
      </w:r>
      <w:r w:rsidR="00A9663D" w:rsidRPr="00800271">
        <w:t xml:space="preserve">, kā arī nodrošinot citu normatīvajos aktos noteikto valsts deleģēto uzdevumu izpildi. </w:t>
      </w:r>
      <w:r w:rsidR="00A9663D" w:rsidRPr="007C0CF9">
        <w:t xml:space="preserve">Altum darbības uzsvars </w:t>
      </w:r>
      <w:r w:rsidR="00A9663D" w:rsidRPr="00AA3408">
        <w:t>pēdējo gadu laikā ir bijis uz garantiju produktiem, radot vairākus jaunus garantiju produktus (piemēram, portfeļgarantijas, mājokļu garantijas jaunajiem speciālistiem) un būtiski pilnveidojot esošos (piemēram, lauksaimnieku, komersan</w:t>
      </w:r>
      <w:r w:rsidR="00A9663D">
        <w:t>tu), kā</w:t>
      </w:r>
      <w:r w:rsidR="00A9663D" w:rsidRPr="00AA3408">
        <w:t xml:space="preserve"> arī popularizējot </w:t>
      </w:r>
      <w:r w:rsidR="00A9663D">
        <w:t>garantiju</w:t>
      </w:r>
      <w:r w:rsidR="00A9663D" w:rsidRPr="00AA3408">
        <w:t xml:space="preserve"> instrumentu</w:t>
      </w:r>
      <w:r w:rsidR="00A9663D">
        <w:t>s</w:t>
      </w:r>
      <w:r w:rsidR="00A9663D" w:rsidRPr="00AA3408">
        <w:t xml:space="preserve">, ņemot vērā Altum papildinošo lomu finanšu tirgū. Altum garantijas </w:t>
      </w:r>
      <w:r w:rsidR="00A9663D">
        <w:t>kredītiestāžu</w:t>
      </w:r>
      <w:r w:rsidR="00A9663D" w:rsidRPr="00AA3408">
        <w:t xml:space="preserve"> finanšu pakalpojumiem ir kā papildus nodrošinājums situācijās, kad tas nav pietiekams, tādējādi </w:t>
      </w:r>
      <w:r w:rsidR="00A9663D">
        <w:t>kredītiestādes</w:t>
      </w:r>
      <w:r w:rsidR="00A9663D" w:rsidRPr="00AA3408">
        <w:t xml:space="preserve"> var nodrošināt finansējumu plašākam</w:t>
      </w:r>
      <w:r w:rsidR="00A9663D">
        <w:t xml:space="preserve"> klientu</w:t>
      </w:r>
      <w:r w:rsidR="00A9663D" w:rsidRPr="00AA3408">
        <w:t xml:space="preserve"> lokam. </w:t>
      </w:r>
    </w:p>
    <w:p w:rsidR="00A9663D" w:rsidRDefault="009510AA" w:rsidP="00C60E17">
      <w:pPr>
        <w:spacing w:after="0" w:line="240" w:lineRule="auto"/>
        <w:ind w:firstLine="720"/>
        <w:jc w:val="both"/>
      </w:pPr>
      <w:r>
        <w:rPr>
          <w:noProof/>
          <w:lang w:eastAsia="lv-LV"/>
        </w:rPr>
        <mc:AlternateContent>
          <mc:Choice Requires="wps">
            <w:drawing>
              <wp:anchor distT="0" distB="0" distL="114300" distR="114300" simplePos="0" relativeHeight="251682816" behindDoc="0" locked="0" layoutInCell="1" allowOverlap="1" wp14:anchorId="6D6B1530" wp14:editId="26948EBC">
                <wp:simplePos x="0" y="0"/>
                <wp:positionH relativeFrom="column">
                  <wp:posOffset>168910</wp:posOffset>
                </wp:positionH>
                <wp:positionV relativeFrom="paragraph">
                  <wp:posOffset>3072371</wp:posOffset>
                </wp:positionV>
                <wp:extent cx="4288155" cy="635"/>
                <wp:effectExtent l="0" t="0" r="0" b="0"/>
                <wp:wrapTopAndBottom/>
                <wp:docPr id="29" name="Text Box 29"/>
                <wp:cNvGraphicFramePr/>
                <a:graphic xmlns:a="http://schemas.openxmlformats.org/drawingml/2006/main">
                  <a:graphicData uri="http://schemas.microsoft.com/office/word/2010/wordprocessingShape">
                    <wps:wsp>
                      <wps:cNvSpPr txBox="1"/>
                      <wps:spPr>
                        <a:xfrm>
                          <a:off x="0" y="0"/>
                          <a:ext cx="4288155" cy="635"/>
                        </a:xfrm>
                        <a:prstGeom prst="rect">
                          <a:avLst/>
                        </a:prstGeom>
                        <a:solidFill>
                          <a:prstClr val="white"/>
                        </a:solidFill>
                        <a:ln>
                          <a:noFill/>
                        </a:ln>
                      </wps:spPr>
                      <wps:txbx>
                        <w:txbxContent>
                          <w:p w:rsidR="00DA3017" w:rsidRPr="002A73E4" w:rsidRDefault="00DA3017" w:rsidP="001240E1">
                            <w:pPr>
                              <w:pStyle w:val="Caption"/>
                              <w:rPr>
                                <w:noProof/>
                                <w:sz w:val="24"/>
                                <w:szCs w:val="24"/>
                              </w:rPr>
                            </w:pPr>
                            <w:r>
                              <w:t xml:space="preserve">Ilustrācija </w:t>
                            </w:r>
                            <w:r w:rsidR="00AD70AB">
                              <w:fldChar w:fldCharType="begin"/>
                            </w:r>
                            <w:r w:rsidR="00AD70AB">
                              <w:instrText xml:space="preserve"> SEQ Ilustrācija \* ARABIC </w:instrText>
                            </w:r>
                            <w:r w:rsidR="00AD70AB">
                              <w:fldChar w:fldCharType="separate"/>
                            </w:r>
                            <w:r>
                              <w:rPr>
                                <w:noProof/>
                              </w:rPr>
                              <w:t>11</w:t>
                            </w:r>
                            <w:r w:rsidR="00AD70AB">
                              <w:rPr>
                                <w:noProof/>
                              </w:rPr>
                              <w:fldChar w:fldCharType="end"/>
                            </w:r>
                            <w:r>
                              <w:t xml:space="preserve"> </w:t>
                            </w:r>
                            <w:r w:rsidRPr="00565F94">
                              <w:t>Bruto portfelis 2016. - 2019.gadā un 2020.gada 1.pusgads, EUR, uzkrātie apjomi (avots: Altum)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6D6B1530" id="Text Box 29" o:spid="_x0000_s1032" type="#_x0000_t202" style="position:absolute;left:0;text-align:left;margin-left:13.3pt;margin-top:241.9pt;width:337.6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" stroked="f">
                <v:textbox style="mso-fit-shape-to-text:t" inset="0,0,0,0">
                  <w:txbxContent>
                    <w:p w:rsidR="00DA3017" w:rsidRPr="002A73E4" w:rsidRDefault="00DA3017" w:rsidP="001240E1">
                      <w:pPr>
                        <w:pStyle w:val="Caption"/>
                        <w:rPr>
                          <w:noProof/>
                          <w:sz w:val="24"/>
                          <w:szCs w:val="24"/>
                        </w:rPr>
                      </w:pPr>
                      <w:r>
                        <w:t xml:space="preserve">Ilustrācija </w:t>
                      </w:r>
                      <w:fldSimple w:instr=" SEQ Ilustrācija \* ARABIC ">
                        <w:r>
                          <w:rPr>
                            <w:noProof/>
                          </w:rPr>
                          <w:t>11</w:t>
                        </w:r>
                      </w:fldSimple>
                      <w:r>
                        <w:t xml:space="preserve"> </w:t>
                      </w:r>
                      <w:r w:rsidRPr="00565F94">
                        <w:t>Bruto portfelis 2016. - 2019.gadā un 2020.gada 1.pusgads, EUR, uzkrātie apjomi (avots: Altum)</w:t>
                      </w:r>
                    </w:p>
                  </w:txbxContent>
                </v:textbox>
                <w10:wrap type="topAndBottom"/>
              </v:shape>
            </w:pict>
          </mc:Fallback>
        </mc:AlternateContent>
      </w:r>
      <w:r>
        <w:rPr>
          <w:noProof/>
          <w:lang w:eastAsia="lv-LV"/>
        </w:rPr>
        <mc:AlternateContent>
          <mc:Choice Requires="wps">
            <w:drawing>
              <wp:anchor distT="0" distB="0" distL="114300" distR="114300" simplePos="0" relativeHeight="251684864" behindDoc="0" locked="0" layoutInCell="1" allowOverlap="1" wp14:anchorId="64F1AC88" wp14:editId="7DCA9702">
                <wp:simplePos x="0" y="0"/>
                <wp:positionH relativeFrom="column">
                  <wp:posOffset>4494662</wp:posOffset>
                </wp:positionH>
                <wp:positionV relativeFrom="paragraph">
                  <wp:posOffset>3081261</wp:posOffset>
                </wp:positionV>
                <wp:extent cx="4423410" cy="635"/>
                <wp:effectExtent l="0" t="0" r="0" b="0"/>
                <wp:wrapTopAndBottom/>
                <wp:docPr id="30" name="Text Box 30"/>
                <wp:cNvGraphicFramePr/>
                <a:graphic xmlns:a="http://schemas.openxmlformats.org/drawingml/2006/main">
                  <a:graphicData uri="http://schemas.microsoft.com/office/word/2010/wordprocessingShape">
                    <wps:wsp>
                      <wps:cNvSpPr txBox="1"/>
                      <wps:spPr>
                        <a:xfrm>
                          <a:off x="0" y="0"/>
                          <a:ext cx="4423410" cy="635"/>
                        </a:xfrm>
                        <a:prstGeom prst="rect">
                          <a:avLst/>
                        </a:prstGeom>
                        <a:solidFill>
                          <a:prstClr val="white"/>
                        </a:solidFill>
                        <a:ln>
                          <a:noFill/>
                        </a:ln>
                      </wps:spPr>
                      <wps:txbx>
                        <w:txbxContent>
                          <w:p w:rsidR="00DA3017" w:rsidRPr="009E0EEC" w:rsidRDefault="00DA3017" w:rsidP="001240E1">
                            <w:pPr>
                              <w:pStyle w:val="Caption"/>
                              <w:rPr>
                                <w:noProof/>
                                <w:sz w:val="24"/>
                                <w:szCs w:val="24"/>
                              </w:rPr>
                            </w:pPr>
                            <w:r>
                              <w:t xml:space="preserve">Ilustrācija </w:t>
                            </w:r>
                            <w:r w:rsidR="00AD70AB">
                              <w:fldChar w:fldCharType="begin"/>
                            </w:r>
                            <w:r w:rsidR="00AD70AB">
                              <w:instrText xml:space="preserve"> SEQ Ilustrācija \* ARABIC </w:instrText>
                            </w:r>
                            <w:r w:rsidR="00AD70AB">
                              <w:fldChar w:fldCharType="separate"/>
                            </w:r>
                            <w:r>
                              <w:rPr>
                                <w:noProof/>
                              </w:rPr>
                              <w:t>12</w:t>
                            </w:r>
                            <w:r w:rsidR="00AD70AB">
                              <w:rPr>
                                <w:noProof/>
                              </w:rPr>
                              <w:fldChar w:fldCharType="end"/>
                            </w:r>
                            <w:r>
                              <w:t xml:space="preserve"> </w:t>
                            </w:r>
                            <w:r w:rsidRPr="00CA511D">
                              <w:t>Jaunie darījumi 2016. - 2019.gadā un 2020.gada 1.pusgadā, EUR (Avots: Altum)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64F1AC88" id="Text Box 30" o:spid="_x0000_s1033" type="#_x0000_t202" style="position:absolute;left:0;text-align:left;margin-left:353.9pt;margin-top:242.6pt;width:348.3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" stroked="f">
                <v:textbox style="mso-fit-shape-to-text:t" inset="0,0,0,0">
                  <w:txbxContent>
                    <w:p w:rsidR="00DA3017" w:rsidRPr="009E0EEC" w:rsidRDefault="00DA3017" w:rsidP="001240E1">
                      <w:pPr>
                        <w:pStyle w:val="Caption"/>
                        <w:rPr>
                          <w:noProof/>
                          <w:sz w:val="24"/>
                          <w:szCs w:val="24"/>
                        </w:rPr>
                      </w:pPr>
                      <w:r>
                        <w:t xml:space="preserve">Ilustrācija </w:t>
                      </w:r>
                      <w:fldSimple w:instr=" SEQ Ilustrācija \* ARABIC ">
                        <w:r>
                          <w:rPr>
                            <w:noProof/>
                          </w:rPr>
                          <w:t>12</w:t>
                        </w:r>
                      </w:fldSimple>
                      <w:r>
                        <w:t xml:space="preserve"> </w:t>
                      </w:r>
                      <w:r w:rsidRPr="00CA511D">
                        <w:t>Jaunie darījumi 2016. - 2019.gadā un 2020.gada 1.pusgadā, EUR (Avots: Altum)</w:t>
                      </w:r>
                    </w:p>
                  </w:txbxContent>
                </v:textbox>
                <w10:wrap type="topAndBottom"/>
              </v:shape>
            </w:pict>
          </mc:Fallback>
        </mc:AlternateContent>
      </w:r>
      <w:r w:rsidRPr="00800271">
        <w:rPr>
          <w:noProof/>
          <w:lang w:eastAsia="lv-LV"/>
        </w:rPr>
        <w:drawing>
          <wp:anchor distT="0" distB="0" distL="114300" distR="114300" simplePos="0" relativeHeight="251680768" behindDoc="0" locked="0" layoutInCell="1" allowOverlap="1" wp14:anchorId="65A6FD52" wp14:editId="2A6E1EFE">
            <wp:simplePos x="0" y="0"/>
            <wp:positionH relativeFrom="page">
              <wp:posOffset>5492115</wp:posOffset>
            </wp:positionH>
            <wp:positionV relativeFrom="paragraph">
              <wp:posOffset>176530</wp:posOffset>
            </wp:positionV>
            <wp:extent cx="4423410" cy="2862580"/>
            <wp:effectExtent l="0" t="0" r="15240" b="13970"/>
            <wp:wrapTopAndBottom/>
            <wp:docPr id="24" name="Chart 24">
              <a:extLst xmlns:a="http://schemas.openxmlformats.org/drawingml/2006/main">
                <a:ext uri="{FF2B5EF4-FFF2-40B4-BE49-F238E27FC236}">
                  <a16:creationId xmlns:a16="http://schemas.microsoft.com/office/drawing/2014/main" id="{181AC51B-81CD-45D9-BE01-4FD6DD5E24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r w:rsidRPr="00800271">
        <w:rPr>
          <w:noProof/>
          <w:lang w:eastAsia="lv-LV"/>
        </w:rPr>
        <w:drawing>
          <wp:anchor distT="0" distB="0" distL="114300" distR="114300" simplePos="0" relativeHeight="251678720" behindDoc="0" locked="0" layoutInCell="1" allowOverlap="1" wp14:anchorId="58BE90A1" wp14:editId="42AD495F">
            <wp:simplePos x="0" y="0"/>
            <wp:positionH relativeFrom="column">
              <wp:posOffset>157480</wp:posOffset>
            </wp:positionH>
            <wp:positionV relativeFrom="paragraph">
              <wp:posOffset>176530</wp:posOffset>
            </wp:positionV>
            <wp:extent cx="4288155" cy="2875280"/>
            <wp:effectExtent l="0" t="0" r="17145" b="1270"/>
            <wp:wrapTopAndBottom/>
            <wp:docPr id="18" name="Chart 18">
              <a:extLst xmlns:a="http://schemas.openxmlformats.org/drawingml/2006/main">
                <a:ext uri="{FF2B5EF4-FFF2-40B4-BE49-F238E27FC236}">
                  <a16:creationId xmlns:a16="http://schemas.microsoft.com/office/drawing/2014/main" id="{382D4E10-D8E1-404B-A2F1-618892C20F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p>
    <w:p w:rsidR="009510AA" w:rsidRDefault="009510AA" w:rsidP="009510AA">
      <w:pPr>
        <w:spacing w:after="0" w:line="240" w:lineRule="auto"/>
        <w:jc w:val="both"/>
      </w:pPr>
    </w:p>
    <w:p w:rsidR="009510AA" w:rsidRDefault="009510AA" w:rsidP="00534143">
      <w:pPr>
        <w:spacing w:after="0" w:line="240" w:lineRule="auto"/>
        <w:jc w:val="both"/>
      </w:pPr>
      <w:r w:rsidRPr="00AA3408">
        <w:lastRenderedPageBreak/>
        <w:t>201</w:t>
      </w:r>
      <w:r>
        <w:t>8</w:t>
      </w:r>
      <w:r w:rsidRPr="00AA3408">
        <w:t>.gadā Altum garantiju portfelis pārsniedza aizdevumu portfeli – šāds bija viens no Altum stratēģiskajiem mērķiem – garantiju apjoma būtisks pieaugums, savukārt aizdevumu portfeli saglabāt aptuveni tajā pašā līmenī</w:t>
      </w:r>
      <w:r>
        <w:t>, tiešās kreditēšanas vietā pārejot uz darbību ar citu finanšu institūciju starpniecību</w:t>
      </w:r>
      <w:r w:rsidRPr="00AA3408">
        <w:t xml:space="preserve">. Situācija mainījās 2020.gada sākumā – </w:t>
      </w:r>
      <w:r w:rsidR="00855960">
        <w:t>Covid</w:t>
      </w:r>
      <w:r w:rsidRPr="00AA3408">
        <w:t xml:space="preserve">-19 krīzes ietekmē, kad būtiski pieauga Altum tiešo aizdevumu apmērs, ņemot vērā likviditātes nodrošināšanai uzņēmumiem nepieciešamo finansējumu, ko nebija iespējams saņemt no </w:t>
      </w:r>
      <w:r>
        <w:t>kredītiestādēm, ieviešot virkni jaunu īstermiņa atbalsta finanšu instrumentus</w:t>
      </w:r>
      <w:r w:rsidRPr="00AA3408">
        <w:t xml:space="preserve">. </w:t>
      </w:r>
      <w:r>
        <w:t xml:space="preserve">Jāatzīmē, ka </w:t>
      </w:r>
      <w:r w:rsidRPr="00E860FF">
        <w:t xml:space="preserve">2020.gadā tieši </w:t>
      </w:r>
      <w:r w:rsidR="00855960">
        <w:t>Covid</w:t>
      </w:r>
      <w:r w:rsidR="00855960" w:rsidRPr="00E860FF">
        <w:t xml:space="preserve"> </w:t>
      </w:r>
      <w:r w:rsidRPr="00E860FF">
        <w:t>-19 atbalsta instrumenti</w:t>
      </w:r>
      <w:r>
        <w:t xml:space="preserve"> veido lielu daļu no</w:t>
      </w:r>
      <w:r w:rsidRPr="00E860FF">
        <w:t xml:space="preserve"> </w:t>
      </w:r>
      <w:r>
        <w:t xml:space="preserve">jauno darījumu apjoma </w:t>
      </w:r>
      <w:r w:rsidRPr="00E860FF">
        <w:t xml:space="preserve">– no kopējiem izsniegtajiem jaunajiem aizdevumiem gandrīz puse ir </w:t>
      </w:r>
      <w:r w:rsidR="00855960">
        <w:t>Covid</w:t>
      </w:r>
      <w:r w:rsidR="00855960" w:rsidRPr="00E860FF">
        <w:t xml:space="preserve"> </w:t>
      </w:r>
      <w:r w:rsidRPr="00E860FF">
        <w:t xml:space="preserve">-19 apgrozāmo līdzekļu aizdevumi, savukārt no kopējā jauno garantiju apjoma aptuveni trešdaļa ir </w:t>
      </w:r>
      <w:r w:rsidR="00855960">
        <w:t>Covid</w:t>
      </w:r>
      <w:r w:rsidRPr="00E860FF">
        <w:t>-19 garantiju programmas ietvaros izsniegtās.</w:t>
      </w:r>
    </w:p>
    <w:p w:rsidR="009510AA" w:rsidRDefault="009510AA" w:rsidP="009510AA">
      <w:pPr>
        <w:spacing w:after="120" w:line="240" w:lineRule="auto"/>
        <w:jc w:val="both"/>
      </w:pPr>
    </w:p>
    <w:p w:rsidR="00A9663D" w:rsidRDefault="00A9663D" w:rsidP="00534143">
      <w:pPr>
        <w:spacing w:line="240" w:lineRule="auto"/>
        <w:jc w:val="both"/>
      </w:pPr>
      <w:r>
        <w:t xml:space="preserve">Paralēli īstermiņa krīzes atbalsta programmu īstenošanai vienlaikus jāturpina attīstīt finanšu instrumentus, kas vērsti arī uz stratēģiski svarīgu, t.sk., starptautiska līmeņa nozīmes projektu attīstīšanu, kas nodrošinātu Latvijas uzņēmumiem iespējas iesaistīties vērtību ķēdēs un stiprinātu to kapacitāti pārrobežu sadarbībā, t.sk., piedaloties publiskos iepirkumos </w:t>
      </w:r>
      <w:r w:rsidR="00855960">
        <w:t>ES</w:t>
      </w:r>
      <w:r>
        <w:t xml:space="preserve"> un trešajās valstīs. Ņemot vērā pēdējos gados pieaugošo nenoteiktību starptautiskos tirgos un it sevišķi </w:t>
      </w:r>
      <w:r w:rsidR="00855960">
        <w:t>Covid</w:t>
      </w:r>
      <w:r>
        <w:t xml:space="preserve">-19 krīzes izraisīto piesardzību, kas ir ierobežojošais faktors aktīvākai jaunu investīciju veikšanai, turpināms darbs gan pie aizdevumu, garantiju, kapitāla un kvazi-kapitāla finanšu instrumentiem, gan veicinot uzņēmumu un finanšu tirgus dalībnieku informētību par Altum vidēja un ilgtermiņa eksporta kredīta garantijas instrumentu, kas var nodrošināt papildu drošību un veicināt privāto investīciju piesaistīšanu it īpaši tām nozarēm, kurām raksturīgs augstākais tehnoloģiju attīstības un inovāciju līmenis. </w:t>
      </w:r>
    </w:p>
    <w:p w:rsidR="00F21407" w:rsidRDefault="00F21407" w:rsidP="008B016F">
      <w:pPr>
        <w:spacing w:after="0" w:line="240" w:lineRule="auto"/>
        <w:jc w:val="both"/>
      </w:pPr>
    </w:p>
    <w:p w:rsidR="00A9663D" w:rsidRDefault="004D60A7" w:rsidP="003E6F7E">
      <w:pPr>
        <w:pStyle w:val="Heading2"/>
      </w:pPr>
      <w:bookmarkStart w:id="11" w:name="_Toc55202489"/>
      <w:r>
        <w:t>3.7</w:t>
      </w:r>
      <w:r w:rsidR="008B016F" w:rsidRPr="008B016F">
        <w:t>.</w:t>
      </w:r>
      <w:r w:rsidR="008B016F">
        <w:t xml:space="preserve"> </w:t>
      </w:r>
      <w:r w:rsidR="00A9663D" w:rsidRPr="00092015">
        <w:t xml:space="preserve">Starptautisko finanšu institūciju </w:t>
      </w:r>
      <w:r w:rsidR="00A9663D">
        <w:t>finanšu instrumenti</w:t>
      </w:r>
      <w:bookmarkEnd w:id="11"/>
    </w:p>
    <w:p w:rsidR="00855960" w:rsidRPr="00092015" w:rsidRDefault="00855960" w:rsidP="008B016F">
      <w:pPr>
        <w:spacing w:after="0" w:line="240" w:lineRule="auto"/>
        <w:jc w:val="both"/>
        <w:rPr>
          <w:b/>
        </w:rPr>
      </w:pPr>
    </w:p>
    <w:p w:rsidR="00A9663D" w:rsidRDefault="00A9663D" w:rsidP="008B016F">
      <w:pPr>
        <w:shd w:val="clear" w:color="auto" w:fill="FFFFFF" w:themeFill="background1"/>
        <w:spacing w:after="0" w:line="240" w:lineRule="auto"/>
        <w:jc w:val="both"/>
      </w:pPr>
      <w:r w:rsidRPr="00800271">
        <w:t xml:space="preserve">Latvijas dalība starptautiskajās finanšu institūcijās (SFI) sniedz iespējas piesaistīt finansējumu publiskā un privātā sektora investīciju vajadzībām dažādu finanšu instrumentu veidā. SFI piedāvā uz tirgus nosacījumiem balstītu finansējumu jomās, kurās ir tirgus nepilnības un investīciju trūkums, vienlaikus nodrošinot papildinātību, tādējādi investējot projektos, kuru īstenošanai privātā sektora finansējums nav vai ir tikai daļēji pieejams. Vienlaikus </w:t>
      </w:r>
      <w:r w:rsidRPr="00A9663D">
        <w:t xml:space="preserve">SFI ir nozīmīga loma arī atbalsta sniegšanā krīzes situācijās – Latvija ir saņēmusi atbalstu no vairākām SFI ne tikai finanšu krīzes laikā 2008.gadā, bet arī </w:t>
      </w:r>
      <w:r w:rsidR="00855960">
        <w:t>Covid</w:t>
      </w:r>
      <w:r w:rsidRPr="00A9663D">
        <w:t xml:space="preserve">-19 izraisītā krīze iezīmēja nepieciešamību pēc papildus finansējuma piesaistes no SFI pandēmijas seku mazināšanai, nodrošinot aizņemšanās iespējas gan pa tiešo, gan caur Altum finanšu instrumentiem. </w:t>
      </w:r>
    </w:p>
    <w:p w:rsidR="00855960" w:rsidRPr="00A9663D" w:rsidRDefault="00855960" w:rsidP="008B016F">
      <w:pPr>
        <w:shd w:val="clear" w:color="auto" w:fill="FFFFFF" w:themeFill="background1"/>
        <w:spacing w:after="0" w:line="240" w:lineRule="auto"/>
        <w:jc w:val="both"/>
      </w:pPr>
    </w:p>
    <w:p w:rsidR="00A9663D" w:rsidRDefault="00A9663D" w:rsidP="008B016F">
      <w:pPr>
        <w:shd w:val="clear" w:color="auto" w:fill="FFFFFF" w:themeFill="background1"/>
        <w:spacing w:after="0" w:line="240" w:lineRule="auto"/>
        <w:jc w:val="both"/>
      </w:pPr>
      <w:r w:rsidRPr="00A9663D">
        <w:t xml:space="preserve">Neskatoties uz SFI investīciju pieejamību, to aktivitāte Latvijā pēdējo gadu laikā ir bijusi salīdzinoši zema – katras SFI tiešās investīcijas Latvijā sastāda vidēji vien 0-3 jaunus projektu gadā. SFI investē arī reģionālos projektos, piemēram, konkrētam mērķim izveidotos fondos ar SFI līdzfinansējumu, kuru darbība paredz investīcijas arī Latvijā, taču informācija par šāda finansējuma pieejamību ir ierobežota. Tāpēc viens no Plāna </w:t>
      </w:r>
      <w:r w:rsidRPr="00A9663D">
        <w:lastRenderedPageBreak/>
        <w:t xml:space="preserve">mērķiem ir veicināt SFI investīcijas Latvijā. Šobrīd Latvijas publiskajam un privātajam sektoram ir pieejams finansējums no četrām SFI – </w:t>
      </w:r>
      <w:r w:rsidRPr="00800271">
        <w:t xml:space="preserve">Eiropas  Investīciju Bankas (EIB), </w:t>
      </w:r>
      <w:r w:rsidRPr="00A9663D">
        <w:t xml:space="preserve">Eiropas Rekonstrukcijas un attīstības bankas (ERAB), Ziemeļu Investīciju Bankas (ZIB) un Pasaules Bankas grupas Starptautiskās Finanšu korporācijas (IFC): </w:t>
      </w:r>
    </w:p>
    <w:p w:rsidR="008B016F" w:rsidRPr="00A9663D" w:rsidRDefault="008B016F" w:rsidP="008B016F">
      <w:pPr>
        <w:shd w:val="clear" w:color="auto" w:fill="FFFFFF" w:themeFill="background1"/>
        <w:spacing w:after="0" w:line="240" w:lineRule="auto"/>
        <w:jc w:val="both"/>
      </w:pPr>
    </w:p>
    <w:p w:rsidR="00A9663D" w:rsidRPr="00DC3B25" w:rsidRDefault="00A9663D" w:rsidP="008B016F">
      <w:pPr>
        <w:shd w:val="clear" w:color="auto" w:fill="FFFFFF" w:themeFill="background1"/>
        <w:spacing w:after="0" w:line="240" w:lineRule="auto"/>
        <w:jc w:val="both"/>
      </w:pPr>
      <w:r w:rsidRPr="008B016F">
        <w:rPr>
          <w:u w:val="single"/>
        </w:rPr>
        <w:t>Eiropas Investīciju Bankas</w:t>
      </w:r>
      <w:r w:rsidRPr="00800271">
        <w:t xml:space="preserve"> (EIB) galvenās finansējuma formas ir aizdevumi publiskajam un privātajam sektoram, investīcijas kapitālā, tai skaitā riska kapitālā un fondos, garantijas un konsultāciju pakalpojumi ar mērķi stiprināt projektu īstenotāju kapacitāti. EIB piedāvā arī finansējuma apvienošanu (</w:t>
      </w:r>
      <w:r w:rsidRPr="00800271">
        <w:rPr>
          <w:i/>
        </w:rPr>
        <w:t>blending</w:t>
      </w:r>
      <w:r w:rsidRPr="00800271">
        <w:t xml:space="preserve">) ar ES Struktūrfondiem un Investīciju fondiem, kā arī citiem ES finanšu instrumentiem. Vienlaikus EIB ir galvenais partneris finanšu programmu īstenošanā ar ES garantiju Eiropas Stratēģiskajā investīciju fondā (ESIF) un InvestEU programmā, kuras mērķis ir mobilizēt privātās investīcijas stratēģiskos projektos visā ES un sniegt atbalstu uzņēmumiem atveseļošanas posmā. </w:t>
      </w:r>
      <w:r w:rsidRPr="00DC3B25">
        <w:t xml:space="preserve">EIB sadarbības partneris ESIF ietvaros Latvijā ir Altum, kas stratēģiski ir izvēlējies piesaistīt EIB resursus Latvijas MVU atbalstam ar mērķi mazināt atkarību no ES fondiem un dažādot Latvijas tautsaimniecības atbalstam pieejamos finansējuma </w:t>
      </w:r>
      <w:r w:rsidRPr="008B016F">
        <w:rPr>
          <w:color w:val="000000" w:themeColor="text1"/>
        </w:rPr>
        <w:t>avotus. Rezultātā uzņēmējiem ir nodrošināta papildu finansējuma pieejamība caur Altum īstenotajiem finanšu instrumentiem uz labākiem nosacījumiem. Altum no EIB produktiem izmanto garantijas uzņēmēju energoefektivitātes projektiem (</w:t>
      </w:r>
      <w:r w:rsidRPr="008B016F">
        <w:rPr>
          <w:rStyle w:val="Emphasis"/>
          <w:color w:val="000000" w:themeColor="text1"/>
          <w:shd w:val="clear" w:color="auto" w:fill="FFFFFF"/>
        </w:rPr>
        <w:t>Private Finance for Energy Efficiency)</w:t>
      </w:r>
      <w:r w:rsidRPr="008B016F">
        <w:rPr>
          <w:color w:val="000000" w:themeColor="text1"/>
        </w:rPr>
        <w:t>, kuri tiek finansēti no Altum emitēto zaļo obligāciju resursiem. Vienlaikus Altum kā EIB nacionālais kontaktpunkts (</w:t>
      </w:r>
      <w:r w:rsidRPr="008B016F">
        <w:rPr>
          <w:i/>
          <w:color w:val="000000" w:themeColor="text1"/>
        </w:rPr>
        <w:t>EIB Advisory Hub</w:t>
      </w:r>
      <w:r w:rsidRPr="008B016F">
        <w:rPr>
          <w:color w:val="000000" w:themeColor="text1"/>
        </w:rPr>
        <w:t xml:space="preserve">) Latvijā konsultē </w:t>
      </w:r>
      <w:r w:rsidRPr="00DC3B25">
        <w:t xml:space="preserve">projektu virzītājus un uzņēmējus par projektu sagatavošanu un iesniegšanu ESIF ietvaros. Šobrīd EFSI ietvaros caur Altum ir konsultēti vairāk kā 30 projekti </w:t>
      </w:r>
      <w:r w:rsidRPr="001C4FC0">
        <w:t>infrastruktūras, izglītības, zinātnes, attīstības un inovāciju, atjaunojamās enerģijas un energoefektivitātes jomās. No tiem šobrīd diviem projektiem notiek tālākās sarunas ar EIB par finansējuma piesaisti kopā virs  160 milj.</w:t>
      </w:r>
      <w:r w:rsidR="00A04CBD" w:rsidRPr="005B1DCA">
        <w:rPr>
          <w:i/>
        </w:rPr>
        <w:t>e</w:t>
      </w:r>
      <w:r w:rsidR="00CA4C7A" w:rsidRPr="005B1DCA">
        <w:rPr>
          <w:i/>
        </w:rPr>
        <w:t>u</w:t>
      </w:r>
      <w:r w:rsidR="00A04CBD" w:rsidRPr="005B1DCA">
        <w:rPr>
          <w:i/>
        </w:rPr>
        <w:t>ro</w:t>
      </w:r>
      <w:r w:rsidR="00A04CBD">
        <w:t>.</w:t>
      </w:r>
      <w:r w:rsidRPr="00DC3B25">
        <w:t xml:space="preserve"> </w:t>
      </w:r>
      <w:r w:rsidRPr="00970FFD">
        <w:t xml:space="preserve">Kopumā EIB </w:t>
      </w:r>
      <w:r w:rsidRPr="00203691">
        <w:t xml:space="preserve">investīcijas Latvijā sastāda </w:t>
      </w:r>
      <w:r w:rsidRPr="00227CE7">
        <w:t xml:space="preserve">2.8 mljrd. </w:t>
      </w:r>
      <w:r w:rsidR="00A04CBD" w:rsidRPr="005B1DCA">
        <w:rPr>
          <w:i/>
        </w:rPr>
        <w:t>e</w:t>
      </w:r>
      <w:r w:rsidR="00CA4C7A" w:rsidRPr="005B1DCA">
        <w:rPr>
          <w:i/>
        </w:rPr>
        <w:t>u</w:t>
      </w:r>
      <w:r w:rsidR="00A04CBD" w:rsidRPr="005B1DCA">
        <w:rPr>
          <w:i/>
        </w:rPr>
        <w:t>ro</w:t>
      </w:r>
      <w:r w:rsidR="00A04CBD">
        <w:t>.</w:t>
      </w:r>
    </w:p>
    <w:p w:rsidR="00A9663D" w:rsidRPr="00A9663D" w:rsidRDefault="00A9663D" w:rsidP="008B016F">
      <w:pPr>
        <w:shd w:val="clear" w:color="auto" w:fill="FFFFFF" w:themeFill="background1"/>
        <w:spacing w:after="0" w:line="240" w:lineRule="auto"/>
        <w:jc w:val="both"/>
        <w:rPr>
          <w:color w:val="000000" w:themeColor="text1"/>
        </w:rPr>
      </w:pPr>
    </w:p>
    <w:p w:rsidR="00A9663D" w:rsidRDefault="00A9663D" w:rsidP="008B016F">
      <w:pPr>
        <w:shd w:val="clear" w:color="auto" w:fill="FFFFFF" w:themeFill="background1"/>
        <w:spacing w:after="0" w:line="240" w:lineRule="auto"/>
        <w:jc w:val="both"/>
        <w:rPr>
          <w:color w:val="000000"/>
        </w:rPr>
      </w:pPr>
      <w:r w:rsidRPr="000F64CC">
        <w:rPr>
          <w:rFonts w:eastAsia="Times New Roman"/>
          <w:bCs/>
          <w:color w:val="000000" w:themeColor="text1"/>
          <w:u w:val="single"/>
        </w:rPr>
        <w:t>Eiropas Rekonstrukcijas un attīstības bankas</w:t>
      </w:r>
      <w:r w:rsidRPr="005B1DCA">
        <w:rPr>
          <w:rStyle w:val="Heading2Char"/>
          <w:rFonts w:eastAsia="Times New Roman"/>
          <w:b w:val="0"/>
          <w:color w:val="000000" w:themeColor="text1"/>
        </w:rPr>
        <w:t xml:space="preserve"> (ERAB) galvenās finansējuma formas ir aizdevumi uzņēmumu paplašināšanai vai modernizēšanai, īpašumtiesību maiņai, publiskajai un privātajai partnerībai, apgrozāmajam kapitālam, garantijas tirdzniecības finansēšanai, kā arī investīcijas uzņēmumu kapitālā mazākuma akcionāra statusā kā enkura investors (līdz 30%). </w:t>
      </w:r>
      <w:r w:rsidRPr="000F64CC">
        <w:rPr>
          <w:color w:val="000000" w:themeColor="text1"/>
        </w:rPr>
        <w:t xml:space="preserve">Vienlaikus banka sniedz atbalstu arī valsts kapitālsabiedrību privatizācijā un komercializācijā, tādējādi palīdzot stiprināt to darbības efektivitāti, kas ir īpaši svarīgi tām kapitālsabiedrībām, kas saņēmušas valsts atbalstu </w:t>
      </w:r>
      <w:r w:rsidR="00A04CBD" w:rsidRPr="000F64CC">
        <w:rPr>
          <w:color w:val="000000" w:themeColor="text1"/>
        </w:rPr>
        <w:t>Covid</w:t>
      </w:r>
      <w:r w:rsidRPr="000F64CC">
        <w:rPr>
          <w:color w:val="000000" w:themeColor="text1"/>
        </w:rPr>
        <w:t xml:space="preserve">-19 krīzes negatīvo seku mazināšanai. </w:t>
      </w:r>
      <w:r w:rsidRPr="005B1DCA">
        <w:rPr>
          <w:rStyle w:val="Heading2Char"/>
          <w:rFonts w:eastAsia="Times New Roman"/>
          <w:b w:val="0"/>
          <w:color w:val="000000" w:themeColor="text1"/>
        </w:rPr>
        <w:t xml:space="preserve">Papildus tam ERAB sniedz atbalstu (konsultē) publisko sektoru strukturālo reformu īstenošanā un politikas veidošanā privātā sektora attīstības veicināšanai. Līdzīgi kā kredītiestādes, ERAB ir uz pieprasījumu orientēta institūcija un investē tādos uzņēmumos, kas ir stabili un dzīvotspējīgi ilgtermiņā. Taču galvenā atšķirība no komerciāliem aizdevējiem ir tāda, ka ERAB investīcijas vienlaikus īsteno papildinātības konceptu – pirmkārt, investē projektos, kuru īstenošanai komerciālo aizdevēju līdzekļi nav pieejami, un otrkārt, realizējot projektu, vienlaikus tiek īstenotas strukturālas reformas. </w:t>
      </w:r>
      <w:r w:rsidRPr="000F64CC">
        <w:rPr>
          <w:color w:val="000000" w:themeColor="text1"/>
        </w:rPr>
        <w:t>Vērtējot ERAB aktivitāti Latvijā pēdējo trīs gadu laikā, tā ir bijusi s</w:t>
      </w:r>
      <w:r w:rsidRPr="00A9663D">
        <w:rPr>
          <w:color w:val="000000" w:themeColor="text1"/>
        </w:rPr>
        <w:t>alīdzinoši zema, taču ar pieaugošu tendenci: 2017.gadā ERAB investīcijas sastādīja 3 milj.</w:t>
      </w:r>
      <w:r w:rsidR="00A04CBD">
        <w:rPr>
          <w:color w:val="000000" w:themeColor="text1"/>
        </w:rPr>
        <w:t xml:space="preserve"> </w:t>
      </w:r>
      <w:r w:rsidR="00A04CBD" w:rsidRPr="005B1DCA">
        <w:rPr>
          <w:i/>
          <w:color w:val="000000" w:themeColor="text1"/>
        </w:rPr>
        <w:t>e</w:t>
      </w:r>
      <w:r w:rsidR="00CA4C7A" w:rsidRPr="005B1DCA">
        <w:rPr>
          <w:i/>
          <w:color w:val="000000" w:themeColor="text1"/>
        </w:rPr>
        <w:t>u</w:t>
      </w:r>
      <w:r w:rsidR="00A04CBD" w:rsidRPr="005B1DCA">
        <w:rPr>
          <w:i/>
          <w:color w:val="000000" w:themeColor="text1"/>
        </w:rPr>
        <w:t>ro</w:t>
      </w:r>
      <w:r w:rsidRPr="00A9663D">
        <w:rPr>
          <w:color w:val="000000" w:themeColor="text1"/>
        </w:rPr>
        <w:t>, 2018.gadā –</w:t>
      </w:r>
      <w:r w:rsidRPr="00800271">
        <w:t>42 milj.</w:t>
      </w:r>
      <w:r w:rsidR="00A04CBD" w:rsidRPr="005B1DCA">
        <w:rPr>
          <w:i/>
        </w:rPr>
        <w:t xml:space="preserve"> e</w:t>
      </w:r>
      <w:r w:rsidR="00CA4C7A" w:rsidRPr="005B1DCA">
        <w:rPr>
          <w:i/>
        </w:rPr>
        <w:t>u</w:t>
      </w:r>
      <w:r w:rsidR="00A04CBD" w:rsidRPr="005B1DCA">
        <w:rPr>
          <w:i/>
        </w:rPr>
        <w:t>ro</w:t>
      </w:r>
      <w:r w:rsidRPr="00800271">
        <w:t>, 2019.gadā –85 milj.</w:t>
      </w:r>
      <w:r w:rsidR="00CA4C7A" w:rsidRPr="005B1DCA">
        <w:rPr>
          <w:i/>
        </w:rPr>
        <w:t xml:space="preserve"> </w:t>
      </w:r>
      <w:r w:rsidR="00A04CBD" w:rsidRPr="005B1DCA">
        <w:rPr>
          <w:i/>
        </w:rPr>
        <w:t>e</w:t>
      </w:r>
      <w:r w:rsidR="00CA4C7A" w:rsidRPr="005B1DCA">
        <w:rPr>
          <w:i/>
        </w:rPr>
        <w:t>u</w:t>
      </w:r>
      <w:r w:rsidR="00A04CBD" w:rsidRPr="005B1DCA">
        <w:rPr>
          <w:i/>
        </w:rPr>
        <w:t>ro</w:t>
      </w:r>
      <w:r w:rsidR="00A04CBD">
        <w:t>.</w:t>
      </w:r>
      <w:r w:rsidRPr="00800271">
        <w:t xml:space="preserve"> </w:t>
      </w:r>
      <w:r w:rsidRPr="00800271">
        <w:rPr>
          <w:color w:val="000000"/>
        </w:rPr>
        <w:t xml:space="preserve">ERAB zemais investīciju apjoms no vienas puses skaidrojams ar virzīto politiku pārtraukt Latvijas kā darbības valsts statusu bankā jeb graduēt, pamatojot to ar Latvijas sasniegto attīstības līmeni un projektu trūkumu. Vienlaikus ERAB ir identificējusi, ka atbalsts energoefektivitātei </w:t>
      </w:r>
      <w:r w:rsidRPr="00800271">
        <w:rPr>
          <w:color w:val="000000"/>
        </w:rPr>
        <w:lastRenderedPageBreak/>
        <w:t xml:space="preserve">un kapitāla tirgus attīstībai ir galvenās tirgus nepilnības, kuras banka ir apņēmusies novērst. Savukārt no otras puses, Latvijā vērojams liela apjoma projektu trūkums atjaunojamās enerģijas jomā, kā arī ierobežots MVU kreditēšanas apjoms. </w:t>
      </w:r>
      <w:r w:rsidRPr="00800271">
        <w:t xml:space="preserve">Tāpat ir identificējami finanšu nozares un industriālie projekti, kuru iespējas piesaistīt finansējumu citur ir ierobežotas (vai arī nepieciešams atbalsts projekta sagatavošanā). </w:t>
      </w:r>
      <w:r w:rsidRPr="00800271">
        <w:rPr>
          <w:color w:val="000000"/>
        </w:rPr>
        <w:t xml:space="preserve">Kapitāla tirgus jomā ERAB ir piedalījusies vairāku strukturālo reformu projektos, kas tiek īstenoti ar </w:t>
      </w:r>
      <w:r w:rsidR="007D75FD">
        <w:rPr>
          <w:color w:val="000000"/>
        </w:rPr>
        <w:t>EK</w:t>
      </w:r>
      <w:r w:rsidRPr="00800271">
        <w:rPr>
          <w:color w:val="000000"/>
        </w:rPr>
        <w:t xml:space="preserve"> Strukturālo Reformu atbalsta programmas finansējumu. Sagaidāms, ka Plāna darbības periodā ERAB finansējums Latvijā būs primāri pieejams vismaz šādiem mērķiem: (i) pāreja uz zaļo ekonomiku, tai skaitā atbalsts energoefektivitātei; (ii) atbalsts finanšu institūcijām, īpaši MVU atbalsta instrumentu izveidei; (iii) kapitāla tirgus attīstība, tai skaitā valsts un pašvaldību kapitālsabiedrību iesaiste kapitāla tirgos; (iv) atbalsts privātai-publiskai partnerībai, kā arī privātā sektora infrastruktūras projekti. </w:t>
      </w:r>
      <w:r w:rsidRPr="00800271">
        <w:t xml:space="preserve">Kopumā ERAB investīcijas Latvijā sastāda </w:t>
      </w:r>
      <w:r w:rsidRPr="005B02B8">
        <w:t>777 milj</w:t>
      </w:r>
      <w:r w:rsidR="003E42A8">
        <w:t xml:space="preserve">. </w:t>
      </w:r>
      <w:r w:rsidR="003E42A8" w:rsidRPr="005B1DCA">
        <w:rPr>
          <w:i/>
        </w:rPr>
        <w:t>e</w:t>
      </w:r>
      <w:r w:rsidR="00CA4C7A" w:rsidRPr="005B1DCA">
        <w:rPr>
          <w:i/>
        </w:rPr>
        <w:t>u</w:t>
      </w:r>
      <w:r w:rsidR="003E42A8" w:rsidRPr="005B1DCA">
        <w:rPr>
          <w:i/>
        </w:rPr>
        <w:t>ro</w:t>
      </w:r>
      <w:r w:rsidRPr="005B02B8">
        <w:t>.</w:t>
      </w:r>
      <w:r w:rsidRPr="005B02B8">
        <w:rPr>
          <w:color w:val="000000"/>
        </w:rPr>
        <w:t xml:space="preserve"> Vienlaikus Latvijas uzņēmumiem un nozaru ekspertiem ir iespēja piedalīties ERAB finansēto projektu īstenošanā, izmantojot bankas iepirkumu procedūru. </w:t>
      </w:r>
      <w:r>
        <w:rPr>
          <w:color w:val="000000"/>
        </w:rPr>
        <w:t xml:space="preserve">Kopš 2013.gada </w:t>
      </w:r>
      <w:r w:rsidRPr="005B02B8">
        <w:rPr>
          <w:color w:val="000000"/>
        </w:rPr>
        <w:t xml:space="preserve">Latvijas uzņēmumi un nozaru eksperti ir īstenojuši </w:t>
      </w:r>
      <w:r>
        <w:rPr>
          <w:color w:val="000000"/>
        </w:rPr>
        <w:t>18</w:t>
      </w:r>
      <w:r w:rsidRPr="005B02B8">
        <w:rPr>
          <w:color w:val="000000"/>
        </w:rPr>
        <w:t xml:space="preserve"> ERAB finansētus projektus </w:t>
      </w:r>
      <w:r>
        <w:rPr>
          <w:color w:val="000000"/>
        </w:rPr>
        <w:t>1.3</w:t>
      </w:r>
      <w:r w:rsidRPr="005B02B8">
        <w:rPr>
          <w:color w:val="000000"/>
        </w:rPr>
        <w:t xml:space="preserve"> milj.</w:t>
      </w:r>
      <w:r w:rsidRPr="005B1DCA">
        <w:rPr>
          <w:i/>
          <w:color w:val="000000"/>
        </w:rPr>
        <w:t xml:space="preserve"> </w:t>
      </w:r>
      <w:r w:rsidR="003E42A8" w:rsidRPr="005B1DCA">
        <w:rPr>
          <w:i/>
          <w:color w:val="000000"/>
        </w:rPr>
        <w:t>e</w:t>
      </w:r>
      <w:r w:rsidR="00CA4C7A" w:rsidRPr="005B1DCA">
        <w:rPr>
          <w:i/>
          <w:color w:val="000000"/>
        </w:rPr>
        <w:t>u</w:t>
      </w:r>
      <w:r w:rsidR="003E42A8" w:rsidRPr="005B1DCA">
        <w:rPr>
          <w:i/>
          <w:color w:val="000000"/>
        </w:rPr>
        <w:t>ro</w:t>
      </w:r>
      <w:r w:rsidR="003E42A8">
        <w:rPr>
          <w:color w:val="000000"/>
        </w:rPr>
        <w:t xml:space="preserve"> </w:t>
      </w:r>
      <w:r w:rsidRPr="005B02B8">
        <w:rPr>
          <w:color w:val="000000"/>
        </w:rPr>
        <w:t>apmērā.</w:t>
      </w:r>
    </w:p>
    <w:p w:rsidR="00A9663D" w:rsidRPr="005B02B8" w:rsidRDefault="00A9663D" w:rsidP="008B016F">
      <w:pPr>
        <w:shd w:val="clear" w:color="auto" w:fill="FFFFFF" w:themeFill="background1"/>
        <w:spacing w:after="0" w:line="240" w:lineRule="auto"/>
        <w:jc w:val="both"/>
      </w:pPr>
    </w:p>
    <w:p w:rsidR="00A9663D" w:rsidRDefault="00A9663D" w:rsidP="008B016F">
      <w:pPr>
        <w:pStyle w:val="NormalWeb"/>
        <w:shd w:val="clear" w:color="auto" w:fill="FFFFFF"/>
        <w:spacing w:before="0" w:beforeAutospacing="0" w:after="0" w:afterAutospacing="0"/>
        <w:jc w:val="both"/>
        <w:rPr>
          <w:lang w:val="lv-LV"/>
        </w:rPr>
      </w:pPr>
      <w:r w:rsidRPr="00BE4E01">
        <w:rPr>
          <w:rFonts w:eastAsia="Times New Roman"/>
          <w:u w:val="single"/>
          <w:lang w:val="lv-LV"/>
        </w:rPr>
        <w:t>Ziemeļu Investīciju Bankas</w:t>
      </w:r>
      <w:r w:rsidRPr="00A9663D">
        <w:rPr>
          <w:rFonts w:eastAsia="Times New Roman"/>
          <w:lang w:val="lv-LV"/>
        </w:rPr>
        <w:t xml:space="preserve"> (ZIB) galvenās finansējuma formas ir </w:t>
      </w:r>
      <w:r w:rsidRPr="00A9663D">
        <w:rPr>
          <w:lang w:val="lv-LV"/>
        </w:rPr>
        <w:t xml:space="preserve">aizdevumi publiskajam un privātajam sektoram, investīcijas zaļajās obligācijās, projektu un strukturētie finanšu aizdevumi, tai skaitā garantijas un privātās publiskās partnerības finansēšana. ZIB </w:t>
      </w:r>
      <w:r w:rsidRPr="00A9663D">
        <w:rPr>
          <w:rFonts w:eastAsia="Times New Roman"/>
          <w:lang w:val="lv-LV"/>
        </w:rPr>
        <w:t>darbības fokuss uz tādu projektu finansēšanu, kas uzlabo produktivitāti un dod labumu videi Ziemeļu–Baltijas reģionā. Pirms lēmumu pieņemšanas par aizdevumu ZIB izvērtē, kā finansētie projekti veicina produktivitātes pieaugumu un sniedz vides ieguvumus bankas dalībvalstīs. ZIB tiecas atbalstīt projektus, kuru mērķis ir tehniskā attīstība un inovācijas, infrastruktūras uzlabošana, cilvēkkapitāla attīstība un vienlīdzīgas ekonomiskās iespējas, kā arī tirgus efektivitātes un uzņēmējdarbības vides uzlabošana. Vides ieguvumi tiek sasniegti, finansējot projektus, kas veicina piesārņojuma samazināšanu, noturīgas infrastruktūras uzturēšanu, resursu efektivitātes uzlabošanu, tīru tehnoloģiju izstrādi un klimata pārmaiņu mazināšanu.</w:t>
      </w:r>
      <w:r w:rsidRPr="00A9663D">
        <w:rPr>
          <w:color w:val="000000"/>
          <w:lang w:val="lv-LV"/>
        </w:rPr>
        <w:t xml:space="preserve"> </w:t>
      </w:r>
      <w:r w:rsidRPr="00A9663D">
        <w:rPr>
          <w:lang w:val="lv-LV"/>
        </w:rPr>
        <w:t>Kopumā ZIB investīcijas Latvijā sastāda 975 milj.</w:t>
      </w:r>
      <w:r w:rsidR="004C4FCA">
        <w:rPr>
          <w:lang w:val="lv-LV"/>
        </w:rPr>
        <w:t xml:space="preserve"> </w:t>
      </w:r>
      <w:r w:rsidR="00A04CBD" w:rsidRPr="005B1DCA">
        <w:rPr>
          <w:i/>
          <w:lang w:val="lv-LV"/>
        </w:rPr>
        <w:t>e</w:t>
      </w:r>
      <w:r w:rsidR="00CA4C7A" w:rsidRPr="005B1DCA">
        <w:rPr>
          <w:i/>
          <w:lang w:val="lv-LV"/>
        </w:rPr>
        <w:t>u</w:t>
      </w:r>
      <w:r w:rsidR="00A04CBD" w:rsidRPr="005B1DCA">
        <w:rPr>
          <w:i/>
          <w:lang w:val="lv-LV"/>
        </w:rPr>
        <w:t>ro</w:t>
      </w:r>
      <w:r w:rsidR="00A04CBD">
        <w:rPr>
          <w:lang w:val="lv-LV"/>
        </w:rPr>
        <w:t>.</w:t>
      </w:r>
    </w:p>
    <w:p w:rsidR="00BE4E01" w:rsidRPr="00A9663D" w:rsidRDefault="00BE4E01" w:rsidP="008B016F">
      <w:pPr>
        <w:pStyle w:val="NormalWeb"/>
        <w:shd w:val="clear" w:color="auto" w:fill="FFFFFF"/>
        <w:spacing w:before="0" w:beforeAutospacing="0" w:after="0" w:afterAutospacing="0"/>
        <w:jc w:val="both"/>
        <w:rPr>
          <w:color w:val="000000"/>
          <w:lang w:val="lv-LV"/>
        </w:rPr>
      </w:pPr>
    </w:p>
    <w:p w:rsidR="00A9663D" w:rsidRDefault="00A9663D" w:rsidP="008B016F">
      <w:pPr>
        <w:pStyle w:val="NormalWeb"/>
        <w:shd w:val="clear" w:color="auto" w:fill="FFFFFF"/>
        <w:spacing w:before="0" w:beforeAutospacing="0" w:after="0" w:afterAutospacing="0"/>
        <w:jc w:val="both"/>
        <w:rPr>
          <w:color w:val="000000"/>
          <w:lang w:val="lv-LV"/>
        </w:rPr>
      </w:pPr>
      <w:r w:rsidRPr="00BE4E01">
        <w:rPr>
          <w:bCs/>
          <w:color w:val="000000"/>
          <w:u w:val="single"/>
          <w:lang w:val="lv-LV"/>
        </w:rPr>
        <w:t>Starptautiskā Finanšu korporācijas</w:t>
      </w:r>
      <w:r w:rsidRPr="00F21407">
        <w:rPr>
          <w:color w:val="000000"/>
          <w:lang w:val="lv-LV"/>
        </w:rPr>
        <w:t xml:space="preserve"> (IFC) atbalsts ir pieejams tiem Latvijas uzņēmumiem, kuri savu darbību ir paplašinājuši uz attīstības valstīm un kredītiestādēm, kas izsniedz aizdevumus šādiem uzņēmumiem. IFC darbības fokuss ir privātā sektora attīstība un privātā kapitāla mobilizēšana, sniedzot atbalstu tām attīstības valstīm, kurās privātā kapitāla plūsmas nav pietiekamas, lai risinātu būtiskas attīstības problēmas. IFC </w:t>
      </w:r>
      <w:r w:rsidRPr="00F21407">
        <w:rPr>
          <w:rFonts w:eastAsia="Times New Roman"/>
          <w:lang w:val="lv-LV"/>
        </w:rPr>
        <w:t xml:space="preserve">galvenās finansējuma formas </w:t>
      </w:r>
      <w:r w:rsidRPr="00F21407">
        <w:rPr>
          <w:color w:val="000000"/>
          <w:lang w:val="lv-LV"/>
        </w:rPr>
        <w:t>ir aizdevumi, investīcijas kapitālā (tiešās vai caur privātā kapitāla fondiem), tirdzniecības un preču finansēšana, kapitāla mobilizēšana, atvasināto produktu procentu likmju, valūtas vai preču cenu nodrošināšanai, finansējuma apvienošana (</w:t>
      </w:r>
      <w:r w:rsidRPr="00F21407">
        <w:rPr>
          <w:i/>
          <w:color w:val="000000"/>
          <w:lang w:val="lv-LV"/>
        </w:rPr>
        <w:t>blended finance</w:t>
      </w:r>
      <w:r w:rsidRPr="00F21407">
        <w:rPr>
          <w:color w:val="000000"/>
          <w:lang w:val="lv-LV"/>
        </w:rPr>
        <w:t xml:space="preserve">). Savukārt kredītiestādēm IFC piedāvā iesaistīties sindicēto aizdevumu programmā un tirdzniecības finansēšanas programmā, mazinot riskus tirdzniecības veicināšanai jaunos vai sarežģītos tirgos. Tā kā Latvija ir Pasaules Bankas grupas donorvalsts, IFC nefinansē projektu īstenošanu Latvijā. Vienlaikus Latvijas uzņēmumiem un nozaru ekspertiem ir iespēja piedalīties Pasaules Bankas grupas finansēto projektu īstenošanā, izmantojot iepirkumu procedūru. Kopumā Latvijas uzņēmumi un nozaru eksperti ir īstenojuši 155 Pasaules Bankas grupas finansētus projektus 71.39 milj. </w:t>
      </w:r>
      <w:r w:rsidR="00A04CBD">
        <w:rPr>
          <w:color w:val="000000"/>
          <w:lang w:val="lv-LV"/>
        </w:rPr>
        <w:t xml:space="preserve">ASV dolāru </w:t>
      </w:r>
      <w:r w:rsidRPr="00F21407">
        <w:rPr>
          <w:color w:val="000000"/>
          <w:lang w:val="lv-LV"/>
        </w:rPr>
        <w:t>apmērā.</w:t>
      </w:r>
    </w:p>
    <w:p w:rsidR="00BE4E01" w:rsidRPr="00F21407" w:rsidRDefault="00BE4E01" w:rsidP="008B016F">
      <w:pPr>
        <w:pStyle w:val="NormalWeb"/>
        <w:shd w:val="clear" w:color="auto" w:fill="FFFFFF"/>
        <w:spacing w:before="0" w:beforeAutospacing="0" w:after="0" w:afterAutospacing="0"/>
        <w:jc w:val="both"/>
        <w:rPr>
          <w:color w:val="000000"/>
          <w:lang w:val="lv-LV"/>
        </w:rPr>
      </w:pPr>
    </w:p>
    <w:p w:rsidR="00A9663D" w:rsidRDefault="00A9663D" w:rsidP="008B016F">
      <w:pPr>
        <w:spacing w:after="0" w:line="240" w:lineRule="auto"/>
        <w:ind w:right="-58"/>
        <w:jc w:val="both"/>
        <w:rPr>
          <w:color w:val="000000"/>
        </w:rPr>
      </w:pPr>
      <w:r w:rsidRPr="00BE4E01">
        <w:rPr>
          <w:color w:val="000000"/>
          <w:u w:val="single"/>
        </w:rPr>
        <w:t>Eiropas Padomes Attīstības banka</w:t>
      </w:r>
      <w:r w:rsidRPr="00BE4E01">
        <w:rPr>
          <w:color w:val="000000"/>
        </w:rPr>
        <w:t xml:space="preserve"> (EPAB)</w:t>
      </w:r>
      <w:r w:rsidRPr="00BE4E01">
        <w:rPr>
          <w:b/>
          <w:color w:val="000000"/>
        </w:rPr>
        <w:t xml:space="preserve"> </w:t>
      </w:r>
      <w:r w:rsidRPr="008876C9">
        <w:rPr>
          <w:color w:val="000000"/>
        </w:rPr>
        <w:t>investē sociālajos projektos, lai veicinātu sociālo iekļaušanos un uzlabotu dzīves apstākļus visneaizsargātākajiem iedzīvotājiem Eiropā. Banka nodrošina aizdevumus un garantijas tās dalībvalstīm,</w:t>
      </w:r>
      <w:r w:rsidRPr="008876C9">
        <w:t xml:space="preserve"> </w:t>
      </w:r>
      <w:r w:rsidRPr="008876C9">
        <w:rPr>
          <w:color w:val="000000"/>
        </w:rPr>
        <w:t xml:space="preserve">lai finansētu projektus, izpildot noteiktus kritērijus. Potenciālie aizņēmēji ir  valsts, pašvaldības, kā arī finanšu institūcijas. </w:t>
      </w:r>
      <w:r w:rsidRPr="008876C9">
        <w:t>Bankas prioritāte ir nodrošināt aizdevumus projektiem mērķa grupas valstīm Centrāleiropas, Austrumeiropas un Dienvidrietumu Eiropas valstīs, t.sk arī Latvijai. EPAB aizdevumu pri</w:t>
      </w:r>
      <w:r>
        <w:t>o</w:t>
      </w:r>
      <w:r w:rsidRPr="008876C9">
        <w:t>ritātes ir šādas:</w:t>
      </w:r>
      <w:r w:rsidRPr="008876C9">
        <w:tab/>
      </w:r>
      <w:r>
        <w:t>(i) b</w:t>
      </w:r>
      <w:r w:rsidRPr="008876C9">
        <w:t>ēgļu, pārvietoto personu un migrantu integrācija, palīdzot risināt problēmas</w:t>
      </w:r>
      <w:r>
        <w:t>,</w:t>
      </w:r>
      <w:r w:rsidRPr="008876C9">
        <w:t xml:space="preserve"> ar kurām Eiropas valstis saskaras bēgļu, pārvietoto personu un/vai migrantu plūsmas rezultātā</w:t>
      </w:r>
      <w:r>
        <w:t>;(ii) i</w:t>
      </w:r>
      <w:r w:rsidRPr="008876C9">
        <w:t>lgtspējīg</w:t>
      </w:r>
      <w:r>
        <w:t>a</w:t>
      </w:r>
      <w:r w:rsidRPr="008876C9">
        <w:t xml:space="preserve"> un integrējoš</w:t>
      </w:r>
      <w:r>
        <w:t>a</w:t>
      </w:r>
      <w:r w:rsidRPr="008876C9">
        <w:t xml:space="preserve"> izaugsm</w:t>
      </w:r>
      <w:r>
        <w:t>e</w:t>
      </w:r>
      <w:r w:rsidRPr="008876C9">
        <w:t xml:space="preserve"> ar uzsvaru uz sociāli orientētām komponentēm, īpaši publisko infrastruktūru, sociālo profesiju, jaunu darbavietu radīšanu un saglabāšanu, piekļuvi darba tirgum, mājokļu pieejamību un iedzīvotāju neaizsargāto grupu integrēšanu</w:t>
      </w:r>
      <w:r>
        <w:t>; (iii) k</w:t>
      </w:r>
      <w:r w:rsidRPr="008876C9">
        <w:t xml:space="preserve">limata  mazināšanas un </w:t>
      </w:r>
      <w:r w:rsidRPr="00263FBF">
        <w:t xml:space="preserve">pielāgošanās pasākumu izstrāde, integrējot klimata rīcības pasākumus </w:t>
      </w:r>
      <w:r>
        <w:t>EPAB</w:t>
      </w:r>
      <w:r w:rsidRPr="00263FBF">
        <w:t xml:space="preserve"> īstenotajos projektos. </w:t>
      </w:r>
      <w:r w:rsidRPr="00263FBF">
        <w:rPr>
          <w:color w:val="000000"/>
        </w:rPr>
        <w:t xml:space="preserve">No 1998.-2019. gadam Latvijai tika apstiprināti 10 projekti par kopējo summu  358 milj. </w:t>
      </w:r>
      <w:r w:rsidR="00A04CBD" w:rsidRPr="005B1DCA">
        <w:rPr>
          <w:i/>
          <w:color w:val="000000"/>
        </w:rPr>
        <w:t>e</w:t>
      </w:r>
      <w:r w:rsidR="00CA4C7A" w:rsidRPr="005B1DCA">
        <w:rPr>
          <w:i/>
          <w:color w:val="000000"/>
        </w:rPr>
        <w:t>u</w:t>
      </w:r>
      <w:r w:rsidR="00A04CBD" w:rsidRPr="005B1DCA">
        <w:rPr>
          <w:i/>
          <w:color w:val="000000"/>
        </w:rPr>
        <w:t>ro.</w:t>
      </w:r>
    </w:p>
    <w:p w:rsidR="00BE4E01" w:rsidRPr="00263FBF" w:rsidRDefault="00BE4E01" w:rsidP="008B016F">
      <w:pPr>
        <w:spacing w:after="0" w:line="240" w:lineRule="auto"/>
        <w:ind w:right="-58"/>
        <w:jc w:val="both"/>
      </w:pPr>
    </w:p>
    <w:p w:rsidR="00A9663D" w:rsidRDefault="00A9663D" w:rsidP="008B016F">
      <w:pPr>
        <w:pStyle w:val="NormalWeb"/>
        <w:shd w:val="clear" w:color="auto" w:fill="FFFFFF"/>
        <w:spacing w:before="0" w:beforeAutospacing="0" w:after="0" w:afterAutospacing="0"/>
        <w:jc w:val="both"/>
        <w:rPr>
          <w:color w:val="000000"/>
          <w:lang w:val="lv-LV"/>
        </w:rPr>
      </w:pPr>
      <w:r w:rsidRPr="00A9663D">
        <w:rPr>
          <w:color w:val="000000"/>
          <w:lang w:val="lv-LV"/>
        </w:rPr>
        <w:t>Līdz šim SFI investīcijas Latvijā ir bijušas salīdzinoši zemas, un lai aktivizētu SFI darbību, būtu nepieciešams vērtēt un identificēt konkrētas investīciju vajadzības, kurās SFI atbalsts var nodrošināt papildinātību un mazināt tirgus nepilnības. Valsts institūciju kapacitātes stiprināšanai projektu plānošanā un sagatavošanā ar starptautisko finanšu institūciju finansējuma piesaisti, būtu apsverama vienota atbalsta centra – vienas pieturas aģentūras izveide centralizētas informācijas nodrošināšanai par SFI investīciju piesaistes un projektu plānošanas un sagatavošanas iespējām. Vienlaikus jāturpina nodrošināt nepieciešamo informāciju publiskā un privātā sektora dalībniekiem par iespējām piesaistīt SFI investīcijas un piedalīties SFI finansēto projektu īstenošanā – organizējot informatīvus un izglītojošus seminārus un divpusējas sarunas ar SFI ekspertiem, kurās tiek sniegta informācija par iespējām piesaistīt SFI investīcijas konkrētu projektu īstenošanā, kā arī informējot potenciālo klientu loku par finansējuma pieejamību SFI līdz</w:t>
      </w:r>
      <w:r w:rsidR="005B1DCA">
        <w:rPr>
          <w:color w:val="000000"/>
          <w:lang w:val="lv-LV"/>
        </w:rPr>
        <w:t>finansētos reģionālajos fondos.</w:t>
      </w:r>
    </w:p>
    <w:p w:rsidR="005B1DCA" w:rsidRDefault="005B1DCA" w:rsidP="008B016F">
      <w:pPr>
        <w:pStyle w:val="NormalWeb"/>
        <w:shd w:val="clear" w:color="auto" w:fill="FFFFFF"/>
        <w:spacing w:before="0" w:beforeAutospacing="0" w:after="0" w:afterAutospacing="0"/>
        <w:jc w:val="both"/>
        <w:rPr>
          <w:color w:val="000000"/>
          <w:lang w:val="lv-LV"/>
        </w:rPr>
      </w:pPr>
    </w:p>
    <w:p w:rsidR="00BE4E01" w:rsidRDefault="00BE4E01" w:rsidP="008B016F">
      <w:pPr>
        <w:pStyle w:val="NormalWeb"/>
        <w:shd w:val="clear" w:color="auto" w:fill="FFFFFF"/>
        <w:spacing w:before="0" w:beforeAutospacing="0" w:after="0" w:afterAutospacing="0"/>
        <w:jc w:val="both"/>
        <w:rPr>
          <w:color w:val="000000"/>
          <w:lang w:val="lv-LV"/>
        </w:rPr>
      </w:pPr>
    </w:p>
    <w:p w:rsidR="00BE4E01" w:rsidRDefault="00BE4E01" w:rsidP="008B016F">
      <w:pPr>
        <w:pStyle w:val="NormalWeb"/>
        <w:shd w:val="clear" w:color="auto" w:fill="FFFFFF"/>
        <w:spacing w:before="0" w:beforeAutospacing="0" w:after="0" w:afterAutospacing="0"/>
        <w:jc w:val="both"/>
        <w:rPr>
          <w:b/>
          <w:color w:val="000000"/>
          <w:lang w:val="lv-LV"/>
        </w:rPr>
      </w:pPr>
      <w:r w:rsidRPr="00534143">
        <w:rPr>
          <w:b/>
          <w:color w:val="000000"/>
          <w:lang w:val="lv-LV"/>
        </w:rPr>
        <w:t>Ņemot vērā šajā sadaļā minēto, ir nepieciešams īstenot pasākumus šādos rīcības virzienos:</w:t>
      </w:r>
    </w:p>
    <w:p w:rsidR="00A04CBD" w:rsidRPr="00534143" w:rsidRDefault="00A04CBD" w:rsidP="008B016F">
      <w:pPr>
        <w:pStyle w:val="NormalWeb"/>
        <w:shd w:val="clear" w:color="auto" w:fill="FFFFFF"/>
        <w:spacing w:before="0" w:beforeAutospacing="0" w:after="0" w:afterAutospacing="0"/>
        <w:jc w:val="both"/>
        <w:rPr>
          <w:b/>
          <w:color w:val="000000"/>
          <w:lang w:val="lv-LV"/>
        </w:rPr>
      </w:pPr>
    </w:p>
    <w:p w:rsidR="00BE4E01" w:rsidRPr="00534143" w:rsidRDefault="00BE4E01" w:rsidP="00BE4E01">
      <w:pPr>
        <w:pStyle w:val="NormalWeb"/>
        <w:numPr>
          <w:ilvl w:val="0"/>
          <w:numId w:val="28"/>
        </w:numPr>
        <w:shd w:val="clear" w:color="auto" w:fill="FFFFFF"/>
        <w:spacing w:before="0" w:beforeAutospacing="0" w:after="0" w:afterAutospacing="0"/>
        <w:jc w:val="both"/>
        <w:rPr>
          <w:b/>
          <w:color w:val="000000"/>
          <w:lang w:val="lv-LV"/>
        </w:rPr>
      </w:pPr>
      <w:r w:rsidRPr="00534143">
        <w:rPr>
          <w:b/>
          <w:color w:val="000000"/>
          <w:lang w:val="lv-LV"/>
        </w:rPr>
        <w:t>Ilgtspējīgas kreditēšanas veicināšana;</w:t>
      </w:r>
    </w:p>
    <w:p w:rsidR="00BE4E01" w:rsidRPr="00534143" w:rsidRDefault="00BE4E01" w:rsidP="00BE4E01">
      <w:pPr>
        <w:pStyle w:val="NormalWeb"/>
        <w:numPr>
          <w:ilvl w:val="0"/>
          <w:numId w:val="28"/>
        </w:numPr>
        <w:shd w:val="clear" w:color="auto" w:fill="FFFFFF"/>
        <w:spacing w:before="0" w:beforeAutospacing="0" w:after="0" w:afterAutospacing="0"/>
        <w:jc w:val="both"/>
        <w:rPr>
          <w:b/>
          <w:color w:val="000000"/>
          <w:lang w:val="lv-LV"/>
        </w:rPr>
      </w:pPr>
      <w:r w:rsidRPr="00534143">
        <w:rPr>
          <w:b/>
          <w:color w:val="000000"/>
          <w:lang w:val="lv-LV"/>
        </w:rPr>
        <w:t>Kapitāla tirgus attīstība un investīciju kultūras veidošana;</w:t>
      </w:r>
    </w:p>
    <w:p w:rsidR="00BE4E01" w:rsidRPr="00534143" w:rsidRDefault="00BE4E01" w:rsidP="00BE4E01">
      <w:pPr>
        <w:pStyle w:val="NormalWeb"/>
        <w:numPr>
          <w:ilvl w:val="0"/>
          <w:numId w:val="28"/>
        </w:numPr>
        <w:shd w:val="clear" w:color="auto" w:fill="FFFFFF"/>
        <w:spacing w:before="0" w:beforeAutospacing="0" w:after="0" w:afterAutospacing="0"/>
        <w:jc w:val="both"/>
        <w:rPr>
          <w:b/>
          <w:color w:val="000000"/>
          <w:lang w:val="lv-LV"/>
        </w:rPr>
      </w:pPr>
      <w:r w:rsidRPr="00534143">
        <w:rPr>
          <w:b/>
          <w:color w:val="000000"/>
          <w:lang w:val="lv-LV"/>
        </w:rPr>
        <w:t>Iedzīvotāju finanšu pratības veicināšana.</w:t>
      </w:r>
    </w:p>
    <w:p w:rsidR="00BE4E01" w:rsidRDefault="00BE4E01" w:rsidP="00BE4E01">
      <w:pPr>
        <w:pStyle w:val="NormalWeb"/>
        <w:shd w:val="clear" w:color="auto" w:fill="FFFFFF"/>
        <w:spacing w:before="0" w:beforeAutospacing="0" w:after="0" w:afterAutospacing="0"/>
        <w:ind w:left="360"/>
        <w:jc w:val="both"/>
        <w:rPr>
          <w:color w:val="000000"/>
          <w:lang w:val="lv-LV"/>
        </w:rPr>
      </w:pPr>
    </w:p>
    <w:p w:rsidR="00BE4E01" w:rsidRDefault="00BE4E01" w:rsidP="008B016F">
      <w:pPr>
        <w:pStyle w:val="NormalWeb"/>
        <w:shd w:val="clear" w:color="auto" w:fill="FFFFFF"/>
        <w:spacing w:before="0" w:beforeAutospacing="0" w:after="0" w:afterAutospacing="0"/>
        <w:jc w:val="both"/>
        <w:rPr>
          <w:color w:val="000000"/>
          <w:lang w:val="lv-LV"/>
        </w:rPr>
      </w:pPr>
    </w:p>
    <w:tbl>
      <w:tblPr>
        <w:tblW w:w="5325"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58"/>
        <w:gridCol w:w="3261"/>
        <w:gridCol w:w="2592"/>
        <w:gridCol w:w="2768"/>
        <w:gridCol w:w="1577"/>
        <w:gridCol w:w="2239"/>
        <w:gridCol w:w="1853"/>
      </w:tblGrid>
      <w:tr w:rsidR="00BE4E01" w:rsidRPr="00AE13D3" w:rsidTr="00322B47">
        <w:trPr>
          <w:tblHeader/>
        </w:trPr>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BE4E01" w:rsidRPr="00AE13D3" w:rsidRDefault="00BE4E01" w:rsidP="00BA407B">
            <w:pPr>
              <w:spacing w:after="0" w:line="240" w:lineRule="auto"/>
              <w:jc w:val="center"/>
              <w:rPr>
                <w:sz w:val="20"/>
                <w:szCs w:val="20"/>
              </w:rPr>
            </w:pPr>
            <w:r w:rsidRPr="00AE13D3">
              <w:rPr>
                <w:b/>
                <w:bCs/>
                <w:sz w:val="20"/>
                <w:szCs w:val="20"/>
              </w:rPr>
              <w:lastRenderedPageBreak/>
              <w:t>Nr.</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BE4E01" w:rsidRPr="00AE13D3" w:rsidRDefault="00BE4E01" w:rsidP="0084719E">
            <w:pPr>
              <w:spacing w:after="0" w:line="240" w:lineRule="auto"/>
              <w:rPr>
                <w:sz w:val="20"/>
                <w:szCs w:val="20"/>
              </w:rPr>
            </w:pPr>
            <w:r w:rsidRPr="00AE13D3">
              <w:rPr>
                <w:b/>
                <w:bCs/>
                <w:sz w:val="20"/>
                <w:szCs w:val="20"/>
              </w:rPr>
              <w:t>Uzdevums/pasākums</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BE4E01" w:rsidRPr="00AE13D3" w:rsidRDefault="00BE4E01" w:rsidP="0084719E">
            <w:pPr>
              <w:spacing w:after="0" w:line="240" w:lineRule="auto"/>
              <w:rPr>
                <w:sz w:val="20"/>
                <w:szCs w:val="20"/>
              </w:rPr>
            </w:pPr>
            <w:r w:rsidRPr="00AE13D3">
              <w:rPr>
                <w:b/>
                <w:bCs/>
                <w:sz w:val="20"/>
                <w:szCs w:val="20"/>
              </w:rPr>
              <w:t>Darbības rezultāts</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BE4E01" w:rsidRPr="00AE13D3" w:rsidRDefault="00BE4E01" w:rsidP="0084719E">
            <w:pPr>
              <w:spacing w:after="0" w:line="240" w:lineRule="auto"/>
              <w:rPr>
                <w:sz w:val="20"/>
                <w:szCs w:val="20"/>
              </w:rPr>
            </w:pPr>
            <w:r w:rsidRPr="00AE13D3">
              <w:rPr>
                <w:b/>
                <w:bCs/>
                <w:sz w:val="20"/>
                <w:szCs w:val="20"/>
              </w:rPr>
              <w:t>Rezultatīvais rādītājs</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b/>
                <w:bCs/>
                <w:sz w:val="20"/>
                <w:szCs w:val="20"/>
              </w:rPr>
              <w:t>Atbildīgā institūcija</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BE4E01" w:rsidRPr="00AE13D3" w:rsidRDefault="00BE4E01" w:rsidP="0084719E">
            <w:pPr>
              <w:spacing w:after="0" w:line="240" w:lineRule="auto"/>
              <w:rPr>
                <w:sz w:val="20"/>
                <w:szCs w:val="20"/>
              </w:rPr>
            </w:pPr>
            <w:r w:rsidRPr="00AE13D3">
              <w:rPr>
                <w:b/>
                <w:bCs/>
                <w:sz w:val="20"/>
                <w:szCs w:val="20"/>
              </w:rPr>
              <w:t>Līdzatbildīgās institūcijas</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BE4E01" w:rsidRPr="00AE13D3" w:rsidRDefault="00BE4E01" w:rsidP="0084719E">
            <w:pPr>
              <w:spacing w:after="0" w:line="240" w:lineRule="auto"/>
              <w:rPr>
                <w:sz w:val="20"/>
                <w:szCs w:val="20"/>
              </w:rPr>
            </w:pPr>
            <w:r w:rsidRPr="00AE13D3">
              <w:rPr>
                <w:b/>
                <w:bCs/>
                <w:sz w:val="20"/>
                <w:szCs w:val="20"/>
              </w:rPr>
              <w:t>Izpildes termiņš</w:t>
            </w:r>
          </w:p>
        </w:tc>
      </w:tr>
      <w:tr w:rsidR="00BE4E01" w:rsidRPr="00AE13D3" w:rsidTr="0084719E">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rsidR="00BE4E01" w:rsidRPr="00AE13D3" w:rsidRDefault="00BE4E01" w:rsidP="0084719E">
            <w:pPr>
              <w:spacing w:after="0" w:line="240" w:lineRule="auto"/>
              <w:rPr>
                <w:b/>
                <w:bCs/>
                <w:sz w:val="20"/>
                <w:szCs w:val="20"/>
              </w:rPr>
            </w:pPr>
            <w:r w:rsidRPr="00AE13D3">
              <w:rPr>
                <w:b/>
                <w:bCs/>
                <w:sz w:val="20"/>
                <w:szCs w:val="20"/>
              </w:rPr>
              <w:t>1. Finansējuma pieejamība un investīciju iespējas</w:t>
            </w:r>
          </w:p>
        </w:tc>
      </w:tr>
      <w:tr w:rsidR="00BE4E01" w:rsidRPr="00AE13D3" w:rsidTr="0084719E">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rsidR="00BE4E01" w:rsidRPr="00AE13D3" w:rsidRDefault="00BE4E01" w:rsidP="00BE4E01">
            <w:pPr>
              <w:pStyle w:val="ListParagraph"/>
              <w:numPr>
                <w:ilvl w:val="1"/>
                <w:numId w:val="26"/>
              </w:numPr>
              <w:spacing w:after="0" w:line="240" w:lineRule="auto"/>
              <w:rPr>
                <w:b/>
                <w:bCs/>
                <w:sz w:val="20"/>
                <w:szCs w:val="20"/>
              </w:rPr>
            </w:pPr>
            <w:r w:rsidRPr="00AE13D3">
              <w:rPr>
                <w:b/>
                <w:bCs/>
                <w:sz w:val="20"/>
                <w:szCs w:val="20"/>
              </w:rPr>
              <w:t xml:space="preserve">Ilgtspējīgas kreditēšanas veicināšana </w:t>
            </w:r>
          </w:p>
        </w:tc>
      </w:tr>
      <w:tr w:rsidR="00BE4E01" w:rsidRPr="00AE13D3"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1.1.1.</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Veikt regulāru novērtējumu par uzņēmējdarbības un privātpersonu kreditēšanas kavējošajiem faktoriem</w:t>
            </w:r>
            <w:r w:rsidR="00A04CBD">
              <w:rPr>
                <w:sz w:val="20"/>
                <w:szCs w:val="20"/>
              </w:rPr>
              <w:t>.</w:t>
            </w:r>
            <w:r w:rsidRPr="00AE13D3">
              <w:rPr>
                <w:sz w:val="20"/>
                <w:szCs w:val="20"/>
              </w:rPr>
              <w:t xml:space="preserve"> </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Identificētas nepieciešamās politikas darbības kreditēšanas vides uzlabošanai</w:t>
            </w:r>
            <w:r w:rsidR="00A04CBD">
              <w:rPr>
                <w:sz w:val="20"/>
                <w:szCs w:val="20"/>
              </w:rPr>
              <w:t>.</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Sniegt ziņojumu Finanšu sektora attīstības padomei</w:t>
            </w:r>
            <w:r w:rsidR="00A04CBD">
              <w:rPr>
                <w:sz w:val="20"/>
                <w:szCs w:val="20"/>
              </w:rPr>
              <w:t>.</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FM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FKTK, LB, LFNA, PTAC</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3D335A">
            <w:pPr>
              <w:spacing w:after="0" w:line="240" w:lineRule="auto"/>
              <w:rPr>
                <w:sz w:val="20"/>
                <w:szCs w:val="20"/>
              </w:rPr>
            </w:pPr>
            <w:r w:rsidRPr="00AE13D3">
              <w:rPr>
                <w:sz w:val="20"/>
                <w:szCs w:val="20"/>
              </w:rPr>
              <w:t>Reizi gadā līdz</w:t>
            </w:r>
            <w:r w:rsidR="003D335A">
              <w:rPr>
                <w:sz w:val="20"/>
                <w:szCs w:val="20"/>
              </w:rPr>
              <w:t xml:space="preserve"> 30.06.</w:t>
            </w:r>
            <w:r w:rsidRPr="00AE13D3">
              <w:rPr>
                <w:sz w:val="20"/>
                <w:szCs w:val="20"/>
              </w:rPr>
              <w:t xml:space="preserve"> </w:t>
            </w:r>
          </w:p>
        </w:tc>
      </w:tr>
      <w:tr w:rsidR="00BE4E01" w:rsidRPr="00AE13D3"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84719E" w:rsidP="0084719E">
            <w:pPr>
              <w:spacing w:after="0" w:line="240" w:lineRule="auto"/>
              <w:rPr>
                <w:sz w:val="20"/>
                <w:szCs w:val="20"/>
              </w:rPr>
            </w:pPr>
            <w:r>
              <w:rPr>
                <w:sz w:val="20"/>
                <w:szCs w:val="20"/>
              </w:rPr>
              <w:t>1.1.2</w:t>
            </w:r>
            <w:r w:rsidR="00BE4E01">
              <w:rPr>
                <w:sz w:val="20"/>
                <w:szCs w:val="20"/>
              </w:rPr>
              <w:t>.</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highlight w:val="yellow"/>
              </w:rPr>
            </w:pPr>
            <w:r w:rsidRPr="00AE13D3">
              <w:rPr>
                <w:sz w:val="20"/>
                <w:szCs w:val="20"/>
              </w:rPr>
              <w:t>Vienkāršot ar pārkreditēšanu saistīto izmaiņu nostiprināšanu Zemesgrāmatā, samazinot valsts nodevu hipotēkām, kad pamatojošie dokumenti ir iesniegti elektroniski</w:t>
            </w:r>
            <w:r w:rsidR="00A04CBD">
              <w:rPr>
                <w:sz w:val="20"/>
                <w:szCs w:val="20"/>
              </w:rPr>
              <w:t>.</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Mazināti tiesiskie un faktiskie šķēršļi hipotēku nostiprināšanā;</w:t>
            </w:r>
          </w:p>
          <w:p w:rsidR="00BE4E01" w:rsidRPr="00AE13D3" w:rsidRDefault="00BE4E01" w:rsidP="0084719E">
            <w:pPr>
              <w:spacing w:after="0" w:line="240" w:lineRule="auto"/>
              <w:rPr>
                <w:sz w:val="20"/>
                <w:szCs w:val="20"/>
              </w:rPr>
            </w:pPr>
            <w:r w:rsidRPr="00AE13D3">
              <w:rPr>
                <w:sz w:val="20"/>
                <w:szCs w:val="20"/>
              </w:rPr>
              <w:t>Veicināts pārkreditēšanās tirgus</w:t>
            </w:r>
            <w:r w:rsidR="00A04CBD">
              <w:rPr>
                <w:sz w:val="20"/>
                <w:szCs w:val="20"/>
              </w:rPr>
              <w:t>.</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Izstrādāti nepieciešamie  grozījumi normatīvo aktos un iesniegti izskatīšanai MK</w:t>
            </w:r>
            <w:r w:rsidR="00A04CBD">
              <w:rPr>
                <w:sz w:val="20"/>
                <w:szCs w:val="20"/>
              </w:rPr>
              <w:t>.</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TM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FM</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31.12.2021.</w:t>
            </w:r>
          </w:p>
        </w:tc>
      </w:tr>
      <w:tr w:rsidR="0084719E" w:rsidRPr="0084719E"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84719E" w:rsidRPr="0084719E" w:rsidRDefault="0084719E" w:rsidP="0084719E">
            <w:pPr>
              <w:spacing w:after="0" w:line="240" w:lineRule="auto"/>
              <w:rPr>
                <w:sz w:val="20"/>
                <w:szCs w:val="20"/>
              </w:rPr>
            </w:pPr>
            <w:r>
              <w:rPr>
                <w:sz w:val="20"/>
                <w:szCs w:val="20"/>
              </w:rPr>
              <w:t>1.1.3</w:t>
            </w:r>
            <w:r w:rsidRPr="0084719E">
              <w:rPr>
                <w:sz w:val="20"/>
                <w:szCs w:val="20"/>
              </w:rPr>
              <w:t>.</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84719E" w:rsidRPr="0084719E" w:rsidRDefault="0084719E" w:rsidP="0084719E">
            <w:pPr>
              <w:spacing w:after="0" w:line="240" w:lineRule="auto"/>
              <w:rPr>
                <w:sz w:val="20"/>
                <w:szCs w:val="20"/>
              </w:rPr>
            </w:pPr>
            <w:r w:rsidRPr="0084719E">
              <w:rPr>
                <w:sz w:val="20"/>
                <w:szCs w:val="20"/>
              </w:rPr>
              <w:t>Pilnveidot maksātnespējas jomas tiesisko regulējumu, uzsvaru liekot uz mehānismu izveidi finanšu  grūtību atrisināšanai, tādējādi, saglabājot jau esošo saimniecisko darbību.</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84719E" w:rsidRPr="0084719E" w:rsidRDefault="0084719E" w:rsidP="0084719E">
            <w:pPr>
              <w:spacing w:after="0" w:line="240" w:lineRule="auto"/>
              <w:rPr>
                <w:sz w:val="20"/>
                <w:szCs w:val="20"/>
              </w:rPr>
            </w:pPr>
            <w:r w:rsidRPr="0084719E">
              <w:rPr>
                <w:sz w:val="20"/>
                <w:szCs w:val="20"/>
              </w:rPr>
              <w:t>Pieaug sekmīgi pabeigto TAP skaits, samazinās juridisko personu maksātnespējas procesu skaits.</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84719E" w:rsidRPr="0084719E" w:rsidRDefault="0084719E" w:rsidP="0084719E">
            <w:pPr>
              <w:spacing w:after="0" w:line="240" w:lineRule="auto"/>
              <w:rPr>
                <w:sz w:val="20"/>
                <w:szCs w:val="20"/>
              </w:rPr>
            </w:pPr>
            <w:r w:rsidRPr="0084719E">
              <w:rPr>
                <w:sz w:val="20"/>
                <w:szCs w:val="20"/>
              </w:rPr>
              <w:t>Izveidota agrīnās brīdināšanas sistēma.</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84719E" w:rsidRPr="0084719E" w:rsidRDefault="0084719E" w:rsidP="0084719E">
            <w:pPr>
              <w:spacing w:after="0" w:line="240" w:lineRule="auto"/>
              <w:rPr>
                <w:sz w:val="20"/>
                <w:szCs w:val="20"/>
              </w:rPr>
            </w:pPr>
            <w:r w:rsidRPr="0084719E">
              <w:rPr>
                <w:sz w:val="20"/>
                <w:szCs w:val="20"/>
              </w:rPr>
              <w:t>TM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84719E" w:rsidRPr="0084719E" w:rsidRDefault="0084719E" w:rsidP="0084719E">
            <w:pPr>
              <w:spacing w:after="0" w:line="240" w:lineRule="auto"/>
              <w:rPr>
                <w:sz w:val="20"/>
                <w:szCs w:val="20"/>
              </w:rPr>
            </w:pPr>
            <w:r w:rsidRPr="0084719E">
              <w:rPr>
                <w:sz w:val="20"/>
                <w:szCs w:val="20"/>
              </w:rPr>
              <w:t>VID</w:t>
            </w:r>
            <w:r w:rsidR="00A04CBD">
              <w:rPr>
                <w:sz w:val="20"/>
                <w:szCs w:val="20"/>
              </w:rPr>
              <w:t xml:space="preserve"> (FM)</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84719E" w:rsidRPr="0084719E" w:rsidRDefault="0084719E" w:rsidP="0084719E">
            <w:pPr>
              <w:spacing w:after="0" w:line="240" w:lineRule="auto"/>
              <w:rPr>
                <w:sz w:val="20"/>
                <w:szCs w:val="20"/>
              </w:rPr>
            </w:pPr>
            <w:r w:rsidRPr="0084719E">
              <w:rPr>
                <w:sz w:val="20"/>
                <w:szCs w:val="20"/>
              </w:rPr>
              <w:t>17.07.2021.</w:t>
            </w:r>
          </w:p>
        </w:tc>
      </w:tr>
      <w:tr w:rsidR="00BE4E01" w:rsidRPr="00AE13D3"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84719E" w:rsidP="0084719E">
            <w:pPr>
              <w:spacing w:after="0" w:line="240" w:lineRule="auto"/>
              <w:rPr>
                <w:sz w:val="20"/>
                <w:szCs w:val="20"/>
              </w:rPr>
            </w:pPr>
            <w:r>
              <w:rPr>
                <w:sz w:val="20"/>
                <w:szCs w:val="20"/>
              </w:rPr>
              <w:t>1.1.4</w:t>
            </w:r>
            <w:r w:rsidR="00BE4E01">
              <w:rPr>
                <w:sz w:val="20"/>
                <w:szCs w:val="20"/>
              </w:rPr>
              <w:t>.</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Uzlabot informācijas par fizisku personu saistībām pieejamību kredītriska vērtēšanai</w:t>
            </w:r>
            <w:r w:rsidR="00A04CBD">
              <w:rPr>
                <w:sz w:val="20"/>
                <w:szCs w:val="20"/>
              </w:rPr>
              <w:t>.</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Paplašināt</w:t>
            </w:r>
            <w:r w:rsidR="0084719E">
              <w:rPr>
                <w:sz w:val="20"/>
                <w:szCs w:val="20"/>
              </w:rPr>
              <w:t>a</w:t>
            </w:r>
            <w:r w:rsidRPr="00AE13D3">
              <w:rPr>
                <w:sz w:val="20"/>
                <w:szCs w:val="20"/>
              </w:rPr>
              <w:t xml:space="preserve"> informācijas pieejamību par fizisku personu saistībām </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Sagatavot</w:t>
            </w:r>
            <w:r>
              <w:rPr>
                <w:sz w:val="20"/>
                <w:szCs w:val="20"/>
              </w:rPr>
              <w:t>s izvērtējums</w:t>
            </w:r>
            <w:r w:rsidRPr="00AE13D3">
              <w:rPr>
                <w:sz w:val="20"/>
                <w:szCs w:val="20"/>
              </w:rPr>
              <w:t xml:space="preserve"> par iespējamiem risinājumiem </w:t>
            </w:r>
            <w:r>
              <w:rPr>
                <w:sz w:val="20"/>
                <w:szCs w:val="20"/>
              </w:rPr>
              <w:t>un iesniegts izskatīšanai Finanšu sektora attīstības padomei</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84719E" w:rsidP="0084719E">
            <w:pPr>
              <w:spacing w:after="0" w:line="240" w:lineRule="auto"/>
              <w:rPr>
                <w:sz w:val="20"/>
                <w:szCs w:val="20"/>
              </w:rPr>
            </w:pPr>
            <w:r>
              <w:rPr>
                <w:sz w:val="20"/>
                <w:szCs w:val="20"/>
              </w:rPr>
              <w:t>FM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84719E" w:rsidP="0084719E">
            <w:pPr>
              <w:spacing w:after="0" w:line="240" w:lineRule="auto"/>
              <w:rPr>
                <w:sz w:val="20"/>
                <w:szCs w:val="20"/>
              </w:rPr>
            </w:pPr>
            <w:r w:rsidRPr="00AE13D3">
              <w:rPr>
                <w:sz w:val="20"/>
                <w:szCs w:val="20"/>
              </w:rPr>
              <w:t>EM</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31.12.2021.</w:t>
            </w:r>
          </w:p>
        </w:tc>
      </w:tr>
      <w:tr w:rsidR="00BE4E01" w:rsidRPr="00AE13D3"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1.1.5.</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Aktualizēt Valsts kancelejas izstrādāto metodisko norādījumu/metodikas “Tiesību akta projekta ietekmes sākotnējā izvērtēšana” II sadaļu “Tiesību akta projekta ietekme uz sabiedrību, tautsaimniecības attīstību un administratīvo slogu”, aprakstot metodiku, kādā novērtēt tiesiskā regulējuma ietekmi uz kreditēšanu (tostarp kreditēšanas izmaksām), paredzot, ka tā ir obligāti aizpildāma, izstrādājot tiesību aktus</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84719E" w:rsidP="0084719E">
            <w:pPr>
              <w:spacing w:after="0" w:line="240" w:lineRule="auto"/>
              <w:rPr>
                <w:sz w:val="20"/>
                <w:szCs w:val="20"/>
              </w:rPr>
            </w:pPr>
            <w:r>
              <w:rPr>
                <w:sz w:val="20"/>
                <w:szCs w:val="20"/>
              </w:rPr>
              <w:t>N</w:t>
            </w:r>
            <w:r w:rsidR="00BE4E01" w:rsidRPr="00AE13D3">
              <w:rPr>
                <w:sz w:val="20"/>
                <w:szCs w:val="20"/>
              </w:rPr>
              <w:t>ormatīvo aktu projektu izstrādē tiek analizēta ietekme uz kreditēšanu un kreditēšanas izmaksām</w:t>
            </w:r>
            <w:r w:rsidR="00A04CBD">
              <w:rPr>
                <w:sz w:val="20"/>
                <w:szCs w:val="20"/>
              </w:rPr>
              <w:t>.</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Aktualizēti metodiskie norādījumi</w:t>
            </w:r>
            <w:r w:rsidR="00A04CBD">
              <w:rPr>
                <w:sz w:val="20"/>
                <w:szCs w:val="20"/>
              </w:rPr>
              <w:t>.</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Valsts kanceleja</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31.12.2021.</w:t>
            </w:r>
          </w:p>
        </w:tc>
      </w:tr>
      <w:tr w:rsidR="00BE4E01" w:rsidRPr="00AE13D3" w:rsidTr="00322B47">
        <w:tc>
          <w:tcPr>
            <w:tcW w:w="188" w:type="pct"/>
            <w:vMerge w:val="restart"/>
            <w:tcBorders>
              <w:top w:val="outset" w:sz="6" w:space="0" w:color="414142"/>
              <w:left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lastRenderedPageBreak/>
              <w:t>1.1.</w:t>
            </w:r>
            <w:r w:rsidR="0084719E">
              <w:rPr>
                <w:sz w:val="20"/>
                <w:szCs w:val="20"/>
              </w:rPr>
              <w:t>6</w:t>
            </w:r>
            <w:r>
              <w:rPr>
                <w:sz w:val="20"/>
                <w:szCs w:val="20"/>
              </w:rPr>
              <w:t>.</w:t>
            </w:r>
          </w:p>
        </w:tc>
        <w:tc>
          <w:tcPr>
            <w:tcW w:w="1098" w:type="pct"/>
            <w:vMerge w:val="restart"/>
            <w:tcBorders>
              <w:top w:val="outset" w:sz="6" w:space="0" w:color="414142"/>
              <w:left w:val="outset" w:sz="6" w:space="0" w:color="414142"/>
              <w:right w:val="outset" w:sz="6" w:space="0" w:color="414142"/>
            </w:tcBorders>
            <w:shd w:val="clear" w:color="auto" w:fill="FFFFFF" w:themeFill="background1"/>
          </w:tcPr>
          <w:p w:rsidR="00BE4E01" w:rsidRDefault="00BE4E01" w:rsidP="0084719E">
            <w:pPr>
              <w:spacing w:after="0" w:line="240" w:lineRule="auto"/>
              <w:rPr>
                <w:rFonts w:eastAsia="Calibri"/>
                <w:bCs/>
                <w:sz w:val="20"/>
                <w:szCs w:val="20"/>
              </w:rPr>
            </w:pPr>
            <w:r>
              <w:rPr>
                <w:rFonts w:eastAsia="Calibri"/>
                <w:bCs/>
                <w:sz w:val="20"/>
                <w:szCs w:val="20"/>
              </w:rPr>
              <w:t>Veicināt starptautisko finanšu institūciju investīciju pieejamību Latvijā</w:t>
            </w:r>
            <w:r w:rsidR="00A04CBD">
              <w:rPr>
                <w:rFonts w:eastAsia="Calibri"/>
                <w:bCs/>
                <w:sz w:val="20"/>
                <w:szCs w:val="20"/>
              </w:rPr>
              <w:t>.</w:t>
            </w:r>
          </w:p>
          <w:p w:rsidR="00BE4E01" w:rsidRPr="00AE13D3" w:rsidRDefault="00BE4E01" w:rsidP="0084719E">
            <w:pPr>
              <w:spacing w:after="0" w:line="240" w:lineRule="auto"/>
              <w:rPr>
                <w:sz w:val="20"/>
                <w:szCs w:val="20"/>
              </w:rPr>
            </w:pPr>
          </w:p>
        </w:tc>
        <w:tc>
          <w:tcPr>
            <w:tcW w:w="873" w:type="pct"/>
            <w:vMerge w:val="restart"/>
            <w:tcBorders>
              <w:top w:val="outset" w:sz="6" w:space="0" w:color="414142"/>
              <w:left w:val="outset" w:sz="6" w:space="0" w:color="414142"/>
              <w:right w:val="outset" w:sz="6" w:space="0" w:color="414142"/>
            </w:tcBorders>
            <w:shd w:val="clear" w:color="auto" w:fill="FFFFFF" w:themeFill="background1"/>
          </w:tcPr>
          <w:p w:rsidR="00BE4E01" w:rsidRDefault="00BE4E01" w:rsidP="0084719E">
            <w:pPr>
              <w:spacing w:after="0" w:line="240" w:lineRule="auto"/>
              <w:rPr>
                <w:rFonts w:eastAsia="Calibri"/>
                <w:bCs/>
                <w:sz w:val="20"/>
                <w:szCs w:val="20"/>
              </w:rPr>
            </w:pPr>
            <w:r w:rsidRPr="00AE13D3">
              <w:rPr>
                <w:rFonts w:eastAsia="Calibri"/>
                <w:bCs/>
                <w:sz w:val="20"/>
                <w:szCs w:val="20"/>
              </w:rPr>
              <w:t>Pilnveidot</w:t>
            </w:r>
            <w:r>
              <w:rPr>
                <w:rFonts w:eastAsia="Calibri"/>
                <w:bCs/>
                <w:sz w:val="20"/>
                <w:szCs w:val="20"/>
              </w:rPr>
              <w:t>a</w:t>
            </w:r>
            <w:r w:rsidRPr="00AE13D3">
              <w:rPr>
                <w:rFonts w:eastAsia="Calibri"/>
                <w:bCs/>
                <w:sz w:val="20"/>
                <w:szCs w:val="20"/>
              </w:rPr>
              <w:t xml:space="preserve"> publ</w:t>
            </w:r>
            <w:r>
              <w:rPr>
                <w:rFonts w:eastAsia="Calibri"/>
                <w:bCs/>
                <w:sz w:val="20"/>
                <w:szCs w:val="20"/>
              </w:rPr>
              <w:t>iskā un privātā sektora informētība un izpratne</w:t>
            </w:r>
            <w:r w:rsidRPr="00AE13D3">
              <w:rPr>
                <w:rFonts w:eastAsia="Calibri"/>
                <w:bCs/>
                <w:sz w:val="20"/>
                <w:szCs w:val="20"/>
              </w:rPr>
              <w:t xml:space="preserve"> par iespējām piesaistīt starptautisko finanšu institūciju investīcijas</w:t>
            </w:r>
            <w:r w:rsidR="00A04CBD">
              <w:rPr>
                <w:rFonts w:eastAsia="Calibri"/>
                <w:bCs/>
                <w:sz w:val="20"/>
                <w:szCs w:val="20"/>
              </w:rPr>
              <w:t>.</w:t>
            </w:r>
          </w:p>
          <w:p w:rsidR="00BE4E01" w:rsidRPr="00AE13D3" w:rsidRDefault="00BE4E01" w:rsidP="0084719E">
            <w:pPr>
              <w:spacing w:after="0" w:line="240" w:lineRule="auto"/>
              <w:rPr>
                <w:sz w:val="20"/>
                <w:szCs w:val="20"/>
              </w:rPr>
            </w:pPr>
          </w:p>
          <w:p w:rsidR="00BE4E01" w:rsidRPr="00AE13D3" w:rsidRDefault="00BE4E01" w:rsidP="0084719E">
            <w:pPr>
              <w:spacing w:after="0" w:line="240" w:lineRule="auto"/>
              <w:rPr>
                <w:sz w:val="20"/>
                <w:szCs w:val="20"/>
              </w:rPr>
            </w:pP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 xml:space="preserve">Organizēti izglītojoši informatīvi pasākumi </w:t>
            </w:r>
            <w:r>
              <w:rPr>
                <w:sz w:val="20"/>
                <w:szCs w:val="20"/>
              </w:rPr>
              <w:t>publiskā</w:t>
            </w:r>
            <w:r w:rsidRPr="00AE13D3">
              <w:rPr>
                <w:sz w:val="20"/>
                <w:szCs w:val="20"/>
              </w:rPr>
              <w:t xml:space="preserve"> un privātā sektora dalībniekiem, sniedzot pārskatu par </w:t>
            </w:r>
            <w:r>
              <w:rPr>
                <w:rFonts w:eastAsia="Calibri"/>
                <w:bCs/>
                <w:sz w:val="20"/>
                <w:szCs w:val="20"/>
              </w:rPr>
              <w:t>starptautisko finanšu institūciju</w:t>
            </w:r>
            <w:r w:rsidRPr="00AE13D3" w:rsidDel="003C689E">
              <w:rPr>
                <w:sz w:val="20"/>
                <w:szCs w:val="20"/>
              </w:rPr>
              <w:t xml:space="preserve"> </w:t>
            </w:r>
            <w:r>
              <w:rPr>
                <w:sz w:val="20"/>
                <w:szCs w:val="20"/>
              </w:rPr>
              <w:t xml:space="preserve"> </w:t>
            </w:r>
            <w:r w:rsidRPr="00AE13D3">
              <w:rPr>
                <w:sz w:val="20"/>
                <w:szCs w:val="20"/>
              </w:rPr>
              <w:t>investīciju piesaistes iespējām un aktuālajiem projektiem.</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FM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84719E" w:rsidP="0084719E">
            <w:pPr>
              <w:spacing w:after="0" w:line="240" w:lineRule="auto"/>
              <w:rPr>
                <w:sz w:val="20"/>
                <w:szCs w:val="20"/>
              </w:rPr>
            </w:pPr>
            <w:r>
              <w:rPr>
                <w:sz w:val="20"/>
                <w:szCs w:val="20"/>
              </w:rPr>
              <w:t xml:space="preserve">EM, </w:t>
            </w:r>
            <w:r w:rsidR="00BE4E01" w:rsidRPr="00AE13D3">
              <w:rPr>
                <w:sz w:val="20"/>
                <w:szCs w:val="20"/>
              </w:rPr>
              <w:t>LIAA</w:t>
            </w:r>
          </w:p>
          <w:p w:rsidR="00BE4E01" w:rsidRPr="00AE13D3" w:rsidRDefault="00BE4E01" w:rsidP="0084719E">
            <w:pPr>
              <w:spacing w:after="0" w:line="240" w:lineRule="auto"/>
              <w:rPr>
                <w:sz w:val="20"/>
                <w:szCs w:val="20"/>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2021</w:t>
            </w:r>
          </w:p>
          <w:p w:rsidR="00BE4E01" w:rsidRPr="00AE13D3" w:rsidRDefault="00BE4E01" w:rsidP="0084719E">
            <w:pPr>
              <w:spacing w:after="0" w:line="240" w:lineRule="auto"/>
              <w:rPr>
                <w:sz w:val="20"/>
                <w:szCs w:val="20"/>
              </w:rPr>
            </w:pPr>
            <w:r w:rsidRPr="00AE13D3">
              <w:rPr>
                <w:sz w:val="20"/>
                <w:szCs w:val="20"/>
              </w:rPr>
              <w:t>2022</w:t>
            </w:r>
          </w:p>
          <w:p w:rsidR="00BE4E01" w:rsidRPr="00AE13D3" w:rsidRDefault="00BE4E01" w:rsidP="0084719E">
            <w:pPr>
              <w:spacing w:after="0" w:line="240" w:lineRule="auto"/>
              <w:rPr>
                <w:sz w:val="20"/>
                <w:szCs w:val="20"/>
              </w:rPr>
            </w:pPr>
            <w:r w:rsidRPr="00AE13D3">
              <w:rPr>
                <w:sz w:val="20"/>
                <w:szCs w:val="20"/>
              </w:rPr>
              <w:t>2023</w:t>
            </w:r>
          </w:p>
        </w:tc>
      </w:tr>
      <w:tr w:rsidR="00BE4E01" w:rsidRPr="00AE13D3" w:rsidTr="00322B47">
        <w:trPr>
          <w:trHeight w:val="812"/>
        </w:trPr>
        <w:tc>
          <w:tcPr>
            <w:tcW w:w="188" w:type="pct"/>
            <w:vMerge/>
            <w:tcBorders>
              <w:left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p>
        </w:tc>
        <w:tc>
          <w:tcPr>
            <w:tcW w:w="1098" w:type="pct"/>
            <w:vMerge/>
            <w:tcBorders>
              <w:left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highlight w:val="yellow"/>
              </w:rPr>
            </w:pPr>
          </w:p>
        </w:tc>
        <w:tc>
          <w:tcPr>
            <w:tcW w:w="873" w:type="pct"/>
            <w:vMerge/>
            <w:tcBorders>
              <w:left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Izplatīt</w:t>
            </w:r>
            <w:r w:rsidR="0084719E">
              <w:rPr>
                <w:sz w:val="20"/>
                <w:szCs w:val="20"/>
              </w:rPr>
              <w:t>a</w:t>
            </w:r>
            <w:r w:rsidRPr="00AE13D3">
              <w:rPr>
                <w:sz w:val="20"/>
                <w:szCs w:val="20"/>
              </w:rPr>
              <w:t xml:space="preserve"> informācija par </w:t>
            </w:r>
            <w:r>
              <w:rPr>
                <w:rFonts w:eastAsia="Calibri"/>
                <w:bCs/>
                <w:sz w:val="20"/>
                <w:szCs w:val="20"/>
              </w:rPr>
              <w:t>starptautisko finanšu institūciju</w:t>
            </w:r>
            <w:r w:rsidRPr="00AE13D3">
              <w:rPr>
                <w:sz w:val="20"/>
                <w:szCs w:val="20"/>
              </w:rPr>
              <w:t xml:space="preserve"> līdzfinansētiem tiešiem un reģionāliem projektiem, kuru darbība tiek īstenota Latvijā vai kuru īstenošanā var piedalīties Latvijas tirgus dalībnieki.</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FM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84719E" w:rsidP="0084719E">
            <w:pPr>
              <w:spacing w:after="0" w:line="240" w:lineRule="auto"/>
              <w:rPr>
                <w:sz w:val="20"/>
                <w:szCs w:val="20"/>
              </w:rPr>
            </w:pPr>
            <w:r>
              <w:rPr>
                <w:sz w:val="20"/>
                <w:szCs w:val="20"/>
              </w:rPr>
              <w:t xml:space="preserve">EM, </w:t>
            </w:r>
            <w:r w:rsidR="00BE4E01" w:rsidRPr="00AE13D3">
              <w:rPr>
                <w:sz w:val="20"/>
                <w:szCs w:val="20"/>
              </w:rPr>
              <w:t>LIAA</w:t>
            </w:r>
          </w:p>
          <w:p w:rsidR="00BE4E01" w:rsidRPr="00AE13D3" w:rsidRDefault="00BE4E01" w:rsidP="0084719E">
            <w:pPr>
              <w:spacing w:after="0" w:line="240" w:lineRule="auto"/>
              <w:rPr>
                <w:sz w:val="20"/>
                <w:szCs w:val="20"/>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2021</w:t>
            </w:r>
          </w:p>
          <w:p w:rsidR="00BE4E01" w:rsidRPr="00AE13D3" w:rsidRDefault="00BE4E01" w:rsidP="0084719E">
            <w:pPr>
              <w:spacing w:after="0" w:line="240" w:lineRule="auto"/>
              <w:rPr>
                <w:sz w:val="20"/>
                <w:szCs w:val="20"/>
              </w:rPr>
            </w:pPr>
            <w:r w:rsidRPr="00AE13D3">
              <w:rPr>
                <w:sz w:val="20"/>
                <w:szCs w:val="20"/>
              </w:rPr>
              <w:t>2022</w:t>
            </w:r>
          </w:p>
          <w:p w:rsidR="00BE4E01" w:rsidRPr="00AE13D3" w:rsidRDefault="00BE4E01" w:rsidP="0084719E">
            <w:pPr>
              <w:spacing w:after="0" w:line="240" w:lineRule="auto"/>
              <w:rPr>
                <w:sz w:val="20"/>
                <w:szCs w:val="20"/>
              </w:rPr>
            </w:pPr>
            <w:r w:rsidRPr="00AE13D3">
              <w:rPr>
                <w:sz w:val="20"/>
                <w:szCs w:val="20"/>
              </w:rPr>
              <w:t>2023</w:t>
            </w:r>
          </w:p>
        </w:tc>
      </w:tr>
      <w:tr w:rsidR="00BE4E01" w:rsidRPr="00AE13D3" w:rsidTr="00322B47">
        <w:tc>
          <w:tcPr>
            <w:tcW w:w="188" w:type="pct"/>
            <w:vMerge/>
            <w:tcBorders>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p>
        </w:tc>
        <w:tc>
          <w:tcPr>
            <w:tcW w:w="1098" w:type="pct"/>
            <w:vMerge/>
            <w:tcBorders>
              <w:left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rFonts w:eastAsia="Calibri"/>
                <w:bCs/>
                <w:sz w:val="20"/>
                <w:szCs w:val="20"/>
              </w:rPr>
            </w:pPr>
          </w:p>
        </w:tc>
        <w:tc>
          <w:tcPr>
            <w:tcW w:w="873" w:type="pct"/>
            <w:vMerge/>
            <w:tcBorders>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 xml:space="preserve">Sagatavots izvērtējums par </w:t>
            </w:r>
            <w:r w:rsidRPr="00AE13D3">
              <w:rPr>
                <w:sz w:val="20"/>
                <w:szCs w:val="20"/>
              </w:rPr>
              <w:t xml:space="preserve">atbalsta centra izveidi centralizētas informācijas nodrošināšanai par </w:t>
            </w:r>
            <w:r>
              <w:rPr>
                <w:rFonts w:eastAsia="Calibri"/>
                <w:bCs/>
                <w:sz w:val="20"/>
                <w:szCs w:val="20"/>
              </w:rPr>
              <w:t>starptautisko finanšu institūciju</w:t>
            </w:r>
            <w:r w:rsidRPr="00AE13D3" w:rsidDel="003C689E">
              <w:rPr>
                <w:sz w:val="20"/>
                <w:szCs w:val="20"/>
              </w:rPr>
              <w:t xml:space="preserve"> </w:t>
            </w:r>
            <w:r w:rsidRPr="00AE13D3">
              <w:rPr>
                <w:sz w:val="20"/>
                <w:szCs w:val="20"/>
              </w:rPr>
              <w:t>investīciju piesaistes un projektu plānošanas / sagatavošanas iespējām.</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FM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84719E" w:rsidP="0084719E">
            <w:pPr>
              <w:spacing w:after="0" w:line="240" w:lineRule="auto"/>
              <w:rPr>
                <w:sz w:val="20"/>
                <w:szCs w:val="20"/>
              </w:rPr>
            </w:pPr>
            <w:r>
              <w:rPr>
                <w:sz w:val="20"/>
                <w:szCs w:val="20"/>
              </w:rPr>
              <w:t xml:space="preserve">CFLA, </w:t>
            </w:r>
            <w:r w:rsidR="00BE4E01">
              <w:rPr>
                <w:sz w:val="20"/>
                <w:szCs w:val="20"/>
              </w:rPr>
              <w:t>LIAA</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31.12.2021.</w:t>
            </w:r>
          </w:p>
        </w:tc>
      </w:tr>
      <w:tr w:rsidR="00BE4E01" w:rsidRPr="00AE13D3"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1.1.</w:t>
            </w:r>
            <w:r w:rsidR="0084719E">
              <w:rPr>
                <w:sz w:val="20"/>
                <w:szCs w:val="20"/>
              </w:rPr>
              <w:t>7</w:t>
            </w:r>
            <w:r>
              <w:rPr>
                <w:sz w:val="20"/>
                <w:szCs w:val="20"/>
              </w:rPr>
              <w:t>.</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lang w:val="es-US"/>
              </w:rPr>
            </w:pPr>
            <w:r w:rsidRPr="00AE13D3">
              <w:rPr>
                <w:rFonts w:eastAsia="Calibri"/>
                <w:bCs/>
                <w:sz w:val="20"/>
                <w:szCs w:val="20"/>
              </w:rPr>
              <w:t>Vidēja un ilgtermiņa eksporta garantiju sistēmas turpmāka pilnveidošana.</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Nodrošināta efektīva vidēja un ilgtermiņa eksporta garantiju sistēmas darbība, sniedzot atbalstu eksportspējīgiem uzņēmumiem</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Default="00BE4E01" w:rsidP="0084719E">
            <w:pPr>
              <w:spacing w:after="0" w:line="240" w:lineRule="auto"/>
              <w:rPr>
                <w:rFonts w:ascii="Calibri" w:eastAsia="Calibri" w:hAnsi="Calibri" w:cs="Calibri"/>
                <w:sz w:val="20"/>
                <w:szCs w:val="20"/>
              </w:rPr>
            </w:pPr>
            <w:r w:rsidRPr="00AE13D3">
              <w:rPr>
                <w:sz w:val="20"/>
                <w:szCs w:val="20"/>
              </w:rPr>
              <w:t xml:space="preserve">Izstrādāta </w:t>
            </w:r>
            <w:r w:rsidRPr="00071832">
              <w:rPr>
                <w:sz w:val="20"/>
                <w:szCs w:val="20"/>
              </w:rPr>
              <w:t>operacionalizācijai nepieciešamā procesu un dokumentu bāze</w:t>
            </w:r>
            <w:r w:rsidRPr="00AE13D3">
              <w:rPr>
                <w:sz w:val="20"/>
                <w:szCs w:val="20"/>
              </w:rPr>
              <w:t>, lai nodrošinātu instrumenta ieviešanu.</w:t>
            </w:r>
          </w:p>
          <w:p w:rsidR="00BE4E01" w:rsidRPr="00AE13D3" w:rsidRDefault="00BE4E01" w:rsidP="0084719E">
            <w:pPr>
              <w:spacing w:after="0" w:line="240" w:lineRule="auto"/>
              <w:rPr>
                <w:sz w:val="20"/>
                <w:szCs w:val="20"/>
              </w:rPr>
            </w:pP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FM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EM, ZM, Altum</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31.12.2021.</w:t>
            </w:r>
          </w:p>
        </w:tc>
      </w:tr>
      <w:tr w:rsidR="00322B47" w:rsidRPr="00AE13D3"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E279A5" w:rsidRDefault="00E279A5" w:rsidP="00B04B3D">
            <w:pPr>
              <w:spacing w:after="0" w:line="240" w:lineRule="auto"/>
              <w:rPr>
                <w:sz w:val="20"/>
                <w:szCs w:val="20"/>
              </w:rPr>
            </w:pPr>
            <w:r>
              <w:rPr>
                <w:sz w:val="20"/>
                <w:szCs w:val="20"/>
              </w:rPr>
              <w:t>1.1.8.</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E279A5" w:rsidRPr="00AE13D3" w:rsidRDefault="00E279A5" w:rsidP="00B04B3D">
            <w:pPr>
              <w:spacing w:after="0" w:line="240" w:lineRule="auto"/>
              <w:rPr>
                <w:rFonts w:eastAsia="Calibri"/>
                <w:bCs/>
                <w:sz w:val="20"/>
                <w:szCs w:val="20"/>
              </w:rPr>
            </w:pPr>
            <w:r w:rsidRPr="00275137">
              <w:rPr>
                <w:sz w:val="20"/>
                <w:szCs w:val="20"/>
              </w:rPr>
              <w:t xml:space="preserve">Veicināt aizņēmuma, parāda atgūšanu ārpus prasības tiesvedības kārtības vai rakstveida procesā, veicinot bezstrīdus risinājumu izmantošanu, pārskatot ierobežojošos noteikumus (esošie limiti, termiņi, paziņošanas kārtība), kā </w:t>
            </w:r>
            <w:r w:rsidRPr="00275137">
              <w:rPr>
                <w:sz w:val="20"/>
                <w:szCs w:val="20"/>
              </w:rPr>
              <w:lastRenderedPageBreak/>
              <w:t>arī izvērtējot komercķīlu izlietošanas efektivitāti</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E279A5" w:rsidRDefault="00E279A5" w:rsidP="00B04B3D">
            <w:pPr>
              <w:spacing w:after="0" w:line="240" w:lineRule="auto"/>
              <w:rPr>
                <w:sz w:val="20"/>
                <w:szCs w:val="20"/>
              </w:rPr>
            </w:pPr>
            <w:r w:rsidRPr="008B659F">
              <w:rPr>
                <w:sz w:val="20"/>
                <w:szCs w:val="20"/>
              </w:rPr>
              <w:lastRenderedPageBreak/>
              <w:t>Likumprojekts iesniegts izskatīšanai MK.</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E279A5" w:rsidRPr="00AE13D3" w:rsidRDefault="00E279A5" w:rsidP="00B04B3D">
            <w:pPr>
              <w:spacing w:after="0" w:line="240" w:lineRule="auto"/>
              <w:rPr>
                <w:sz w:val="20"/>
                <w:szCs w:val="20"/>
              </w:rPr>
            </w:pPr>
            <w:r w:rsidRPr="008B659F">
              <w:rPr>
                <w:sz w:val="20"/>
                <w:szCs w:val="20"/>
              </w:rPr>
              <w:t>Izstrādāts efektīvs ārpustiesas parādu atgūšanas regulējums.</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E279A5" w:rsidRPr="00AE13D3" w:rsidRDefault="00E279A5" w:rsidP="00B04B3D">
            <w:pPr>
              <w:spacing w:after="0" w:line="240" w:lineRule="auto"/>
              <w:rPr>
                <w:sz w:val="20"/>
                <w:szCs w:val="20"/>
              </w:rPr>
            </w:pPr>
            <w:r>
              <w:rPr>
                <w:sz w:val="20"/>
                <w:szCs w:val="20"/>
              </w:rPr>
              <w:t>TM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E279A5" w:rsidRPr="00AE13D3" w:rsidRDefault="00E279A5" w:rsidP="00B04B3D">
            <w:pPr>
              <w:spacing w:after="0" w:line="240" w:lineRule="auto"/>
              <w:rPr>
                <w:sz w:val="20"/>
                <w:szCs w:val="20"/>
              </w:rPr>
            </w:pPr>
            <w:r>
              <w:rPr>
                <w:sz w:val="20"/>
                <w:szCs w:val="20"/>
              </w:rPr>
              <w:t>FM, LFNA</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E279A5" w:rsidRDefault="00E279A5" w:rsidP="00B04B3D">
            <w:pPr>
              <w:spacing w:after="0" w:line="240" w:lineRule="auto"/>
              <w:rPr>
                <w:sz w:val="20"/>
                <w:szCs w:val="20"/>
              </w:rPr>
            </w:pPr>
            <w:r>
              <w:rPr>
                <w:sz w:val="20"/>
                <w:szCs w:val="20"/>
              </w:rPr>
              <w:t>31.12.2021.</w:t>
            </w:r>
          </w:p>
        </w:tc>
      </w:tr>
      <w:tr w:rsidR="00BE4E01" w:rsidRPr="00AE13D3" w:rsidTr="0084719E">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rsidR="00BE4E01" w:rsidRPr="00AE13D3" w:rsidRDefault="00BE4E01" w:rsidP="0084719E">
            <w:pPr>
              <w:spacing w:after="0" w:line="240" w:lineRule="auto"/>
              <w:rPr>
                <w:b/>
                <w:bCs/>
                <w:sz w:val="20"/>
                <w:szCs w:val="20"/>
              </w:rPr>
            </w:pPr>
            <w:r>
              <w:rPr>
                <w:b/>
                <w:bCs/>
                <w:sz w:val="20"/>
                <w:szCs w:val="20"/>
              </w:rPr>
              <w:lastRenderedPageBreak/>
              <w:t xml:space="preserve">1.2.1. </w:t>
            </w:r>
            <w:r w:rsidRPr="00AE13D3">
              <w:rPr>
                <w:b/>
                <w:bCs/>
                <w:sz w:val="20"/>
                <w:szCs w:val="20"/>
              </w:rPr>
              <w:t>Kapitāla tirgus attīstība un investīciju kultūras veidošana</w:t>
            </w:r>
          </w:p>
        </w:tc>
      </w:tr>
      <w:tr w:rsidR="00BE4E01" w:rsidRPr="00AE13D3" w:rsidTr="00322B47">
        <w:tc>
          <w:tcPr>
            <w:tcW w:w="188" w:type="pct"/>
            <w:vMerge w:val="restart"/>
            <w:tcBorders>
              <w:top w:val="single" w:sz="4" w:space="0" w:color="auto"/>
              <w:left w:val="single" w:sz="4" w:space="0" w:color="auto"/>
              <w:right w:val="single" w:sz="4" w:space="0" w:color="auto"/>
            </w:tcBorders>
            <w:shd w:val="clear" w:color="auto" w:fill="FFFFFF" w:themeFill="background1"/>
          </w:tcPr>
          <w:p w:rsidR="00BE4E01" w:rsidRPr="00AE13D3" w:rsidRDefault="00BE4E01" w:rsidP="0084719E">
            <w:pPr>
              <w:spacing w:after="0" w:line="240" w:lineRule="auto"/>
              <w:rPr>
                <w:sz w:val="20"/>
                <w:szCs w:val="20"/>
              </w:rPr>
            </w:pPr>
            <w:r>
              <w:rPr>
                <w:sz w:val="20"/>
                <w:szCs w:val="20"/>
              </w:rPr>
              <w:t>1.2.1.</w:t>
            </w:r>
          </w:p>
        </w:tc>
        <w:tc>
          <w:tcPr>
            <w:tcW w:w="1098" w:type="pct"/>
            <w:vMerge w:val="restart"/>
            <w:tcBorders>
              <w:top w:val="single" w:sz="4" w:space="0" w:color="auto"/>
              <w:left w:val="single" w:sz="4" w:space="0" w:color="auto"/>
              <w:right w:val="single" w:sz="4" w:space="0" w:color="auto"/>
            </w:tcBorders>
            <w:shd w:val="clear" w:color="auto" w:fill="FFFFFF" w:themeFill="background1"/>
          </w:tcPr>
          <w:p w:rsidR="00BE4E01" w:rsidRDefault="00BE4E01" w:rsidP="0084719E">
            <w:pPr>
              <w:spacing w:after="0" w:line="240" w:lineRule="auto"/>
              <w:rPr>
                <w:sz w:val="20"/>
                <w:szCs w:val="20"/>
              </w:rPr>
            </w:pPr>
            <w:r>
              <w:rPr>
                <w:sz w:val="20"/>
                <w:szCs w:val="20"/>
              </w:rPr>
              <w:t>Izveidot Baltijas valstu akselerācijas fondu (MVU IPO fonds)</w:t>
            </w:r>
          </w:p>
          <w:p w:rsidR="00BE4E01" w:rsidRPr="00AE13D3" w:rsidRDefault="00BE4E01" w:rsidP="0084719E">
            <w:pPr>
              <w:spacing w:after="0" w:line="240" w:lineRule="auto"/>
              <w:rPr>
                <w:sz w:val="20"/>
                <w:szCs w:val="20"/>
              </w:rPr>
            </w:pPr>
          </w:p>
        </w:tc>
        <w:tc>
          <w:tcPr>
            <w:tcW w:w="873" w:type="pct"/>
            <w:vMerge w:val="restart"/>
            <w:tcBorders>
              <w:top w:val="single" w:sz="4" w:space="0" w:color="auto"/>
              <w:left w:val="single" w:sz="4" w:space="0" w:color="auto"/>
              <w:right w:val="single" w:sz="4" w:space="0" w:color="auto"/>
            </w:tcBorders>
            <w:shd w:val="clear" w:color="auto" w:fill="FFFFFF" w:themeFill="background1"/>
          </w:tcPr>
          <w:p w:rsidR="00BE4E01" w:rsidRDefault="00BE4E01" w:rsidP="0084719E">
            <w:pPr>
              <w:spacing w:after="0" w:line="240" w:lineRule="auto"/>
              <w:rPr>
                <w:sz w:val="20"/>
                <w:szCs w:val="20"/>
              </w:rPr>
            </w:pPr>
            <w:r w:rsidRPr="00AE13D3">
              <w:rPr>
                <w:sz w:val="20"/>
                <w:szCs w:val="20"/>
              </w:rPr>
              <w:t xml:space="preserve">Aktīvāka </w:t>
            </w:r>
            <w:r>
              <w:rPr>
                <w:sz w:val="20"/>
                <w:szCs w:val="20"/>
              </w:rPr>
              <w:t xml:space="preserve">mazo un vidējo </w:t>
            </w:r>
            <w:r w:rsidRPr="00AE13D3">
              <w:rPr>
                <w:sz w:val="20"/>
                <w:szCs w:val="20"/>
              </w:rPr>
              <w:t>uzņēmumu iesaiste kapitāla tirgū</w:t>
            </w:r>
            <w:r>
              <w:rPr>
                <w:sz w:val="20"/>
                <w:szCs w:val="20"/>
              </w:rPr>
              <w:t>;</w:t>
            </w:r>
          </w:p>
          <w:p w:rsidR="00BE4E01" w:rsidRDefault="00BE4E01" w:rsidP="0084719E">
            <w:pPr>
              <w:spacing w:after="0" w:line="240" w:lineRule="auto"/>
              <w:rPr>
                <w:sz w:val="20"/>
                <w:szCs w:val="20"/>
              </w:rPr>
            </w:pPr>
            <w:r>
              <w:rPr>
                <w:sz w:val="20"/>
                <w:szCs w:val="20"/>
              </w:rPr>
              <w:t>Veicināta kapitāla tirgus aktivizēšana</w:t>
            </w:r>
          </w:p>
          <w:p w:rsidR="00BE4E01" w:rsidRPr="00AE13D3" w:rsidRDefault="00BE4E01" w:rsidP="0084719E">
            <w:pPr>
              <w:spacing w:after="0" w:line="240" w:lineRule="auto"/>
              <w:rPr>
                <w:sz w:val="20"/>
                <w:szCs w:val="20"/>
              </w:rPr>
            </w:pPr>
            <w:r>
              <w:rPr>
                <w:sz w:val="20"/>
                <w:szCs w:val="20"/>
              </w:rPr>
              <w:t>Paplašinātas uzņēmumu iespējas finansējuma piesaistei</w:t>
            </w:r>
            <w:r w:rsidR="00A04CBD">
              <w:rPr>
                <w:sz w:val="20"/>
                <w:szCs w:val="20"/>
              </w:rPr>
              <w:t>.</w:t>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tcPr>
          <w:p w:rsidR="00BE4E01" w:rsidRPr="00AE13D3" w:rsidRDefault="00BE4E01" w:rsidP="0084719E">
            <w:pPr>
              <w:spacing w:after="0" w:line="240" w:lineRule="auto"/>
              <w:rPr>
                <w:sz w:val="20"/>
                <w:szCs w:val="20"/>
              </w:rPr>
            </w:pPr>
            <w:r>
              <w:rPr>
                <w:sz w:val="20"/>
                <w:szCs w:val="20"/>
              </w:rPr>
              <w:t>K</w:t>
            </w:r>
            <w:r w:rsidRPr="00AE13D3">
              <w:rPr>
                <w:sz w:val="20"/>
                <w:szCs w:val="20"/>
              </w:rPr>
              <w:t>onceptuālā ziņojuma iesniegšana MK</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tcPr>
          <w:p w:rsidR="00BE4E01" w:rsidRPr="00AE13D3" w:rsidRDefault="00BE4E01" w:rsidP="001B4A6D">
            <w:pPr>
              <w:spacing w:after="0" w:line="240" w:lineRule="auto"/>
              <w:rPr>
                <w:sz w:val="20"/>
                <w:szCs w:val="20"/>
              </w:rPr>
            </w:pPr>
            <w:r w:rsidRPr="00AE13D3">
              <w:rPr>
                <w:sz w:val="20"/>
                <w:szCs w:val="20"/>
              </w:rPr>
              <w:t>FM</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tcPr>
          <w:p w:rsidR="00BE4E01" w:rsidRPr="00AE13D3" w:rsidRDefault="00BE4E01" w:rsidP="001B4A6D">
            <w:pPr>
              <w:spacing w:after="0" w:line="240" w:lineRule="auto"/>
              <w:rPr>
                <w:sz w:val="20"/>
                <w:szCs w:val="20"/>
              </w:rPr>
            </w:pPr>
            <w:r w:rsidRPr="00AE13D3">
              <w:rPr>
                <w:sz w:val="20"/>
                <w:szCs w:val="20"/>
              </w:rPr>
              <w:t xml:space="preserve">EM </w:t>
            </w:r>
          </w:p>
        </w:tc>
        <w:tc>
          <w:tcPr>
            <w:tcW w:w="624" w:type="pct"/>
            <w:tcBorders>
              <w:top w:val="single" w:sz="4" w:space="0" w:color="auto"/>
              <w:left w:val="single" w:sz="4" w:space="0" w:color="auto"/>
              <w:bottom w:val="single" w:sz="4" w:space="0" w:color="auto"/>
              <w:right w:val="single" w:sz="4" w:space="0" w:color="auto"/>
            </w:tcBorders>
            <w:shd w:val="clear" w:color="auto" w:fill="FFFFFF" w:themeFill="background1"/>
          </w:tcPr>
          <w:p w:rsidR="00BE4E01" w:rsidRPr="00AE13D3" w:rsidRDefault="001B4A6D" w:rsidP="0084719E">
            <w:pPr>
              <w:spacing w:after="0" w:line="240" w:lineRule="auto"/>
              <w:rPr>
                <w:sz w:val="20"/>
                <w:szCs w:val="20"/>
              </w:rPr>
            </w:pPr>
            <w:r>
              <w:rPr>
                <w:sz w:val="20"/>
                <w:szCs w:val="20"/>
              </w:rPr>
              <w:t>30.06.2020.</w:t>
            </w:r>
          </w:p>
        </w:tc>
      </w:tr>
      <w:tr w:rsidR="00BE4E01" w:rsidRPr="00AE13D3" w:rsidTr="00322B47">
        <w:tc>
          <w:tcPr>
            <w:tcW w:w="188" w:type="pct"/>
            <w:vMerge/>
            <w:tcBorders>
              <w:left w:val="single" w:sz="4" w:space="0" w:color="auto"/>
              <w:bottom w:val="outset" w:sz="6" w:space="0" w:color="414142"/>
              <w:right w:val="single" w:sz="4" w:space="0" w:color="auto"/>
            </w:tcBorders>
            <w:shd w:val="clear" w:color="auto" w:fill="FFFFFF" w:themeFill="background1"/>
          </w:tcPr>
          <w:p w:rsidR="00BE4E01" w:rsidRPr="00AE13D3" w:rsidRDefault="00BE4E01" w:rsidP="0084719E">
            <w:pPr>
              <w:spacing w:after="0" w:line="240" w:lineRule="auto"/>
              <w:rPr>
                <w:sz w:val="20"/>
                <w:szCs w:val="20"/>
              </w:rPr>
            </w:pPr>
          </w:p>
        </w:tc>
        <w:tc>
          <w:tcPr>
            <w:tcW w:w="1098" w:type="pct"/>
            <w:vMerge/>
            <w:tcBorders>
              <w:left w:val="single" w:sz="4" w:space="0" w:color="auto"/>
              <w:bottom w:val="outset" w:sz="6" w:space="0" w:color="414142"/>
              <w:right w:val="single" w:sz="4" w:space="0" w:color="auto"/>
            </w:tcBorders>
            <w:shd w:val="clear" w:color="auto" w:fill="FFFFFF" w:themeFill="background1"/>
          </w:tcPr>
          <w:p w:rsidR="00BE4E01" w:rsidRPr="00AE13D3" w:rsidRDefault="00BE4E01" w:rsidP="0084719E">
            <w:pPr>
              <w:spacing w:after="0" w:line="240" w:lineRule="auto"/>
              <w:rPr>
                <w:sz w:val="20"/>
                <w:szCs w:val="20"/>
              </w:rPr>
            </w:pPr>
          </w:p>
        </w:tc>
        <w:tc>
          <w:tcPr>
            <w:tcW w:w="873" w:type="pct"/>
            <w:vMerge/>
            <w:tcBorders>
              <w:left w:val="single" w:sz="4" w:space="0" w:color="auto"/>
              <w:bottom w:val="outset" w:sz="6" w:space="0" w:color="414142"/>
              <w:right w:val="single" w:sz="4" w:space="0" w:color="auto"/>
            </w:tcBorders>
            <w:shd w:val="clear" w:color="auto" w:fill="FFFFFF" w:themeFill="background1"/>
          </w:tcPr>
          <w:p w:rsidR="00BE4E01" w:rsidRPr="00AE13D3" w:rsidRDefault="00BE4E01" w:rsidP="0084719E">
            <w:pPr>
              <w:spacing w:after="0" w:line="240" w:lineRule="auto"/>
              <w:rPr>
                <w:sz w:val="20"/>
                <w:szCs w:val="20"/>
              </w:rPr>
            </w:pPr>
          </w:p>
        </w:tc>
        <w:tc>
          <w:tcPr>
            <w:tcW w:w="932" w:type="pct"/>
            <w:tcBorders>
              <w:top w:val="outset" w:sz="6" w:space="0" w:color="414142"/>
              <w:left w:val="single" w:sz="4" w:space="0" w:color="auto"/>
              <w:bottom w:val="outset" w:sz="6" w:space="0" w:color="414142"/>
              <w:right w:val="outset" w:sz="6" w:space="0" w:color="414142"/>
            </w:tcBorders>
            <w:shd w:val="clear" w:color="auto" w:fill="FFFFFF" w:themeFill="background1"/>
          </w:tcPr>
          <w:p w:rsidR="00BE4E01" w:rsidRDefault="00BE4E01" w:rsidP="0084719E">
            <w:pPr>
              <w:spacing w:after="0" w:line="240" w:lineRule="auto"/>
              <w:rPr>
                <w:sz w:val="20"/>
                <w:szCs w:val="20"/>
              </w:rPr>
            </w:pPr>
            <w:r>
              <w:rPr>
                <w:sz w:val="20"/>
                <w:szCs w:val="20"/>
              </w:rPr>
              <w:t>Izstrādāts un MK iesniegts n</w:t>
            </w:r>
            <w:r w:rsidRPr="00AE13D3">
              <w:rPr>
                <w:sz w:val="20"/>
                <w:szCs w:val="20"/>
              </w:rPr>
              <w:t xml:space="preserve">ormatīvā regulējuma projekts </w:t>
            </w:r>
          </w:p>
          <w:p w:rsidR="00BE4E01" w:rsidRPr="00AE13D3" w:rsidRDefault="00BE4E01" w:rsidP="0084719E">
            <w:pPr>
              <w:spacing w:after="0" w:line="240" w:lineRule="auto"/>
              <w:rPr>
                <w:sz w:val="20"/>
                <w:szCs w:val="20"/>
              </w:rPr>
            </w:pP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EM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FM</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1B4A6D" w:rsidP="0084719E">
            <w:pPr>
              <w:spacing w:after="0" w:line="240" w:lineRule="auto"/>
              <w:rPr>
                <w:sz w:val="20"/>
                <w:szCs w:val="20"/>
              </w:rPr>
            </w:pPr>
            <w:r>
              <w:rPr>
                <w:sz w:val="20"/>
                <w:szCs w:val="20"/>
              </w:rPr>
              <w:t>31.12.2020.</w:t>
            </w:r>
          </w:p>
        </w:tc>
      </w:tr>
      <w:tr w:rsidR="00BE4E01" w:rsidRPr="00AE13D3"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1.2.2.</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 xml:space="preserve">Turpināt uzsākto atbalsta programmu uzņēmumu ieiešanai kapitāla tirgū </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Default="00BE4E01" w:rsidP="0084719E">
            <w:pPr>
              <w:spacing w:after="0" w:line="240" w:lineRule="auto"/>
              <w:rPr>
                <w:sz w:val="20"/>
                <w:szCs w:val="20"/>
              </w:rPr>
            </w:pPr>
            <w:r w:rsidRPr="00AE13D3">
              <w:rPr>
                <w:sz w:val="20"/>
                <w:szCs w:val="20"/>
              </w:rPr>
              <w:t xml:space="preserve">Aktīvāka </w:t>
            </w:r>
            <w:r>
              <w:rPr>
                <w:sz w:val="20"/>
                <w:szCs w:val="20"/>
              </w:rPr>
              <w:t xml:space="preserve">mazo un vidējo </w:t>
            </w:r>
            <w:r w:rsidRPr="00AE13D3">
              <w:rPr>
                <w:sz w:val="20"/>
                <w:szCs w:val="20"/>
              </w:rPr>
              <w:t>uzņēmumu iesaiste kapitāla tirgū</w:t>
            </w:r>
            <w:r>
              <w:rPr>
                <w:sz w:val="20"/>
                <w:szCs w:val="20"/>
              </w:rPr>
              <w:t>;</w:t>
            </w:r>
          </w:p>
          <w:p w:rsidR="00BE4E01" w:rsidRDefault="00BE4E01" w:rsidP="0084719E">
            <w:pPr>
              <w:spacing w:after="0" w:line="240" w:lineRule="auto"/>
              <w:rPr>
                <w:sz w:val="20"/>
                <w:szCs w:val="20"/>
              </w:rPr>
            </w:pPr>
            <w:r>
              <w:rPr>
                <w:sz w:val="20"/>
                <w:szCs w:val="20"/>
              </w:rPr>
              <w:t>Veicināta kapitāla tirgus aktivizēšana</w:t>
            </w:r>
          </w:p>
          <w:p w:rsidR="00BE4E01" w:rsidRPr="00AE13D3" w:rsidRDefault="00BE4E01" w:rsidP="0084719E">
            <w:pPr>
              <w:spacing w:after="0" w:line="240" w:lineRule="auto"/>
              <w:rPr>
                <w:sz w:val="20"/>
                <w:szCs w:val="20"/>
              </w:rPr>
            </w:pPr>
            <w:r>
              <w:rPr>
                <w:sz w:val="20"/>
                <w:szCs w:val="20"/>
              </w:rPr>
              <w:t>Paplašinātas uzņēmumu iespējas finansējuma piesaistei</w:t>
            </w:r>
            <w:r w:rsidR="00A04CBD">
              <w:rPr>
                <w:sz w:val="20"/>
                <w:szCs w:val="20"/>
              </w:rPr>
              <w:t>.</w:t>
            </w:r>
          </w:p>
          <w:p w:rsidR="00BE4E01" w:rsidRPr="00AE13D3" w:rsidRDefault="00BE4E01" w:rsidP="0084719E">
            <w:pPr>
              <w:spacing w:after="0" w:line="240" w:lineRule="auto"/>
              <w:rPr>
                <w:sz w:val="20"/>
                <w:szCs w:val="20"/>
              </w:rPr>
            </w:pP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1B4A6D">
            <w:pPr>
              <w:spacing w:after="0" w:line="240" w:lineRule="auto"/>
              <w:rPr>
                <w:sz w:val="20"/>
                <w:szCs w:val="20"/>
              </w:rPr>
            </w:pPr>
            <w:r>
              <w:rPr>
                <w:sz w:val="20"/>
                <w:szCs w:val="20"/>
              </w:rPr>
              <w:t>Sagatavoti priekšlikumi grozījumiem normatīvajos akto</w:t>
            </w:r>
            <w:r w:rsidR="001B4A6D">
              <w:rPr>
                <w:sz w:val="20"/>
                <w:szCs w:val="20"/>
              </w:rPr>
              <w:t>s un iesniegti izskatīšanai MK</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EM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FM</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1B4A6D" w:rsidRPr="00534143" w:rsidRDefault="00351856" w:rsidP="0084719E">
            <w:pPr>
              <w:spacing w:after="0" w:line="240" w:lineRule="auto"/>
              <w:rPr>
                <w:b/>
                <w:sz w:val="20"/>
                <w:szCs w:val="20"/>
              </w:rPr>
            </w:pPr>
            <w:r>
              <w:rPr>
                <w:sz w:val="20"/>
                <w:szCs w:val="20"/>
              </w:rPr>
              <w:t>31.12</w:t>
            </w:r>
            <w:r w:rsidR="001B4A6D">
              <w:rPr>
                <w:sz w:val="20"/>
                <w:szCs w:val="20"/>
              </w:rPr>
              <w:t>.</w:t>
            </w:r>
            <w:r>
              <w:rPr>
                <w:sz w:val="20"/>
                <w:szCs w:val="20"/>
              </w:rPr>
              <w:t>2021</w:t>
            </w:r>
            <w:r w:rsidR="001B4A6D">
              <w:rPr>
                <w:sz w:val="20"/>
                <w:szCs w:val="20"/>
              </w:rPr>
              <w:t>.</w:t>
            </w:r>
          </w:p>
        </w:tc>
      </w:tr>
      <w:tr w:rsidR="00BE4E01" w:rsidRPr="00AE13D3"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1.2.3.</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Ieviest nodrošinājuma aģenta institūtu uzņēmumu obligācijām un kredītiestāžu sindicētajiem kredītiem</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Veicināta uzņēmumu obligāciju emisija</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Izstrādāti priekšlikumi grozījumiem normatīvajos aktos un iesniegti izskatīšanai MK</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5B6CE7" w:rsidRDefault="00BE4E01" w:rsidP="001B4A6D">
            <w:pPr>
              <w:spacing w:after="0" w:line="240" w:lineRule="auto"/>
              <w:rPr>
                <w:b/>
                <w:i/>
                <w:sz w:val="20"/>
                <w:szCs w:val="20"/>
              </w:rPr>
            </w:pPr>
            <w:r>
              <w:rPr>
                <w:sz w:val="20"/>
                <w:szCs w:val="20"/>
              </w:rPr>
              <w:t xml:space="preserve">FM </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TM</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31.12.2021.</w:t>
            </w:r>
          </w:p>
        </w:tc>
      </w:tr>
      <w:tr w:rsidR="00BE4E01" w:rsidRPr="00534143" w:rsidTr="00322B47">
        <w:tc>
          <w:tcPr>
            <w:tcW w:w="188" w:type="pct"/>
            <w:tcBorders>
              <w:top w:val="outset" w:sz="6" w:space="0" w:color="414142"/>
              <w:left w:val="outset" w:sz="6" w:space="0" w:color="414142"/>
              <w:bottom w:val="single" w:sz="4" w:space="0" w:color="auto"/>
              <w:right w:val="outset" w:sz="6" w:space="0" w:color="414142"/>
            </w:tcBorders>
            <w:shd w:val="clear" w:color="auto" w:fill="FFFFFF" w:themeFill="background1"/>
          </w:tcPr>
          <w:p w:rsidR="00BE4E01" w:rsidRPr="00534143" w:rsidRDefault="00BE4E01" w:rsidP="0084719E">
            <w:pPr>
              <w:spacing w:after="0" w:line="240" w:lineRule="auto"/>
              <w:rPr>
                <w:sz w:val="20"/>
                <w:szCs w:val="20"/>
              </w:rPr>
            </w:pPr>
            <w:r w:rsidRPr="00534143">
              <w:rPr>
                <w:sz w:val="20"/>
                <w:szCs w:val="20"/>
              </w:rPr>
              <w:t>1.2.4.</w:t>
            </w:r>
          </w:p>
        </w:tc>
        <w:tc>
          <w:tcPr>
            <w:tcW w:w="1098" w:type="pct"/>
            <w:tcBorders>
              <w:top w:val="outset" w:sz="6" w:space="0" w:color="414142"/>
              <w:left w:val="outset" w:sz="6" w:space="0" w:color="414142"/>
              <w:bottom w:val="single" w:sz="4" w:space="0" w:color="auto"/>
              <w:right w:val="outset" w:sz="6" w:space="0" w:color="414142"/>
            </w:tcBorders>
            <w:shd w:val="clear" w:color="auto" w:fill="FFFFFF" w:themeFill="background1"/>
          </w:tcPr>
          <w:p w:rsidR="00BE4E01" w:rsidRPr="00534143" w:rsidRDefault="00BE4E01" w:rsidP="001B4A6D">
            <w:pPr>
              <w:spacing w:after="0" w:line="240" w:lineRule="auto"/>
              <w:rPr>
                <w:sz w:val="20"/>
                <w:szCs w:val="20"/>
              </w:rPr>
            </w:pPr>
            <w:r w:rsidRPr="00534143">
              <w:rPr>
                <w:sz w:val="20"/>
                <w:szCs w:val="20"/>
              </w:rPr>
              <w:t>Izstrādāt un izskaidrot sabiedrībai skaidru stratēģiju un plānu privātā pašu kapitāla daļas palielināšanai valstij piederošos aktīvos, kā arī papildu finansējuma piesaistei kapitāla tirgū, izmantojot obligāciju emisijas.</w:t>
            </w:r>
          </w:p>
        </w:tc>
        <w:tc>
          <w:tcPr>
            <w:tcW w:w="873" w:type="pct"/>
            <w:tcBorders>
              <w:top w:val="outset" w:sz="6" w:space="0" w:color="414142"/>
              <w:left w:val="outset" w:sz="6" w:space="0" w:color="414142"/>
              <w:bottom w:val="single" w:sz="4" w:space="0" w:color="auto"/>
              <w:right w:val="outset" w:sz="6" w:space="0" w:color="414142"/>
            </w:tcBorders>
            <w:shd w:val="clear" w:color="auto" w:fill="FFFFFF" w:themeFill="background1"/>
          </w:tcPr>
          <w:p w:rsidR="00BE4E01" w:rsidRPr="00534143" w:rsidRDefault="00BE4E01" w:rsidP="0084719E">
            <w:pPr>
              <w:spacing w:after="0" w:line="240" w:lineRule="auto"/>
              <w:rPr>
                <w:sz w:val="20"/>
                <w:szCs w:val="20"/>
              </w:rPr>
            </w:pPr>
            <w:r w:rsidRPr="00534143">
              <w:rPr>
                <w:sz w:val="20"/>
                <w:szCs w:val="20"/>
              </w:rPr>
              <w:t>Aktīvāka valsts kapitālsabiedrību dalība kapitāla tirgū</w:t>
            </w:r>
          </w:p>
        </w:tc>
        <w:tc>
          <w:tcPr>
            <w:tcW w:w="932" w:type="pct"/>
            <w:tcBorders>
              <w:top w:val="outset" w:sz="6" w:space="0" w:color="414142"/>
              <w:left w:val="outset" w:sz="6" w:space="0" w:color="414142"/>
              <w:bottom w:val="single" w:sz="4" w:space="0" w:color="auto"/>
              <w:right w:val="outset" w:sz="6" w:space="0" w:color="414142"/>
            </w:tcBorders>
            <w:shd w:val="clear" w:color="auto" w:fill="FFFFFF" w:themeFill="background1"/>
          </w:tcPr>
          <w:p w:rsidR="00BE4E01" w:rsidRPr="00534143" w:rsidRDefault="001B4A6D" w:rsidP="0084719E">
            <w:pPr>
              <w:spacing w:after="0" w:line="240" w:lineRule="auto"/>
              <w:rPr>
                <w:sz w:val="20"/>
                <w:szCs w:val="20"/>
              </w:rPr>
            </w:pPr>
            <w:r w:rsidRPr="00534143">
              <w:rPr>
                <w:sz w:val="20"/>
                <w:szCs w:val="20"/>
              </w:rPr>
              <w:t>Izstrādāta stratēģija un iesniegta izskatīšanai MK</w:t>
            </w:r>
          </w:p>
        </w:tc>
        <w:tc>
          <w:tcPr>
            <w:tcW w:w="531" w:type="pct"/>
            <w:tcBorders>
              <w:top w:val="outset" w:sz="6" w:space="0" w:color="414142"/>
              <w:left w:val="outset" w:sz="6" w:space="0" w:color="414142"/>
              <w:bottom w:val="single" w:sz="4" w:space="0" w:color="auto"/>
              <w:right w:val="outset" w:sz="6" w:space="0" w:color="414142"/>
            </w:tcBorders>
            <w:shd w:val="clear" w:color="auto" w:fill="FFFFFF" w:themeFill="background1"/>
          </w:tcPr>
          <w:p w:rsidR="00BE4E01" w:rsidRPr="00534143" w:rsidRDefault="00BE4E01" w:rsidP="0084719E">
            <w:pPr>
              <w:spacing w:after="0" w:line="240" w:lineRule="auto"/>
              <w:rPr>
                <w:sz w:val="20"/>
                <w:szCs w:val="20"/>
              </w:rPr>
            </w:pPr>
            <w:r w:rsidRPr="00534143">
              <w:rPr>
                <w:sz w:val="20"/>
                <w:szCs w:val="20"/>
              </w:rPr>
              <w:t>PKC</w:t>
            </w:r>
          </w:p>
        </w:tc>
        <w:tc>
          <w:tcPr>
            <w:tcW w:w="754" w:type="pct"/>
            <w:tcBorders>
              <w:top w:val="outset" w:sz="6" w:space="0" w:color="414142"/>
              <w:left w:val="outset" w:sz="6" w:space="0" w:color="414142"/>
              <w:bottom w:val="single" w:sz="4" w:space="0" w:color="auto"/>
              <w:right w:val="outset" w:sz="6" w:space="0" w:color="414142"/>
            </w:tcBorders>
            <w:shd w:val="clear" w:color="auto" w:fill="FFFFFF" w:themeFill="background1"/>
          </w:tcPr>
          <w:p w:rsidR="00BE4E01" w:rsidRPr="00534143" w:rsidRDefault="00BE4E01" w:rsidP="0084719E">
            <w:pPr>
              <w:spacing w:after="0" w:line="240" w:lineRule="auto"/>
              <w:rPr>
                <w:sz w:val="20"/>
                <w:szCs w:val="20"/>
              </w:rPr>
            </w:pPr>
            <w:r w:rsidRPr="00534143">
              <w:rPr>
                <w:sz w:val="20"/>
                <w:szCs w:val="20"/>
              </w:rPr>
              <w:t>FM, EM</w:t>
            </w:r>
          </w:p>
        </w:tc>
        <w:tc>
          <w:tcPr>
            <w:tcW w:w="624" w:type="pct"/>
            <w:tcBorders>
              <w:top w:val="outset" w:sz="6" w:space="0" w:color="414142"/>
              <w:left w:val="outset" w:sz="6" w:space="0" w:color="414142"/>
              <w:bottom w:val="single" w:sz="4" w:space="0" w:color="auto"/>
              <w:right w:val="outset" w:sz="6" w:space="0" w:color="414142"/>
            </w:tcBorders>
            <w:shd w:val="clear" w:color="auto" w:fill="FFFFFF" w:themeFill="background1"/>
          </w:tcPr>
          <w:p w:rsidR="00BE4E01" w:rsidRPr="00534143" w:rsidRDefault="00BA407B" w:rsidP="0084719E">
            <w:pPr>
              <w:spacing w:after="0" w:line="240" w:lineRule="auto"/>
              <w:rPr>
                <w:sz w:val="20"/>
                <w:szCs w:val="20"/>
              </w:rPr>
            </w:pPr>
            <w:r w:rsidRPr="00534143">
              <w:rPr>
                <w:sz w:val="20"/>
                <w:szCs w:val="20"/>
              </w:rPr>
              <w:t>31.12.2021.</w:t>
            </w:r>
          </w:p>
        </w:tc>
      </w:tr>
      <w:tr w:rsidR="00BE4E01" w:rsidRPr="00AE13D3"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534143" w:rsidRDefault="00BA407B" w:rsidP="0084719E">
            <w:pPr>
              <w:spacing w:after="0" w:line="240" w:lineRule="auto"/>
              <w:rPr>
                <w:sz w:val="20"/>
                <w:szCs w:val="20"/>
              </w:rPr>
            </w:pPr>
            <w:r w:rsidRPr="00534143">
              <w:rPr>
                <w:sz w:val="20"/>
                <w:szCs w:val="20"/>
              </w:rPr>
              <w:t>1.2.5</w:t>
            </w:r>
            <w:r w:rsidR="00BE4E01" w:rsidRPr="00534143">
              <w:rPr>
                <w:sz w:val="20"/>
                <w:szCs w:val="20"/>
              </w:rPr>
              <w:t>.</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534143" w:rsidRDefault="00BE4E01" w:rsidP="0084719E">
            <w:pPr>
              <w:spacing w:after="0" w:line="240" w:lineRule="auto"/>
              <w:rPr>
                <w:sz w:val="20"/>
                <w:szCs w:val="20"/>
              </w:rPr>
            </w:pPr>
            <w:r w:rsidRPr="00534143">
              <w:rPr>
                <w:sz w:val="20"/>
                <w:szCs w:val="20"/>
              </w:rPr>
              <w:t xml:space="preserve">Veikt izvērtējumu par nepieciešamiem normatīvo aktu grozījumiem, lai nodrošinātu nodokļu neitralitāti vērtspapīru emisijas un </w:t>
            </w:r>
            <w:r w:rsidRPr="00534143">
              <w:rPr>
                <w:sz w:val="20"/>
                <w:szCs w:val="20"/>
              </w:rPr>
              <w:lastRenderedPageBreak/>
              <w:t>vērtspapīrošanas darījumiem, kā arī izvērtēt iespējas ieviest motivējošus nodokļu pasākumus, kas veicinātu līdz</w:t>
            </w:r>
            <w:r w:rsidR="001B4A6D" w:rsidRPr="00534143">
              <w:rPr>
                <w:sz w:val="20"/>
                <w:szCs w:val="20"/>
              </w:rPr>
              <w:t>ekļu piesaisti kapitāla tirgos</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534143" w:rsidRDefault="00BE4E01" w:rsidP="0084719E">
            <w:pPr>
              <w:spacing w:after="0" w:line="240" w:lineRule="auto"/>
              <w:rPr>
                <w:sz w:val="20"/>
                <w:szCs w:val="20"/>
              </w:rPr>
            </w:pPr>
            <w:r w:rsidRPr="00534143">
              <w:rPr>
                <w:sz w:val="20"/>
                <w:szCs w:val="20"/>
              </w:rPr>
              <w:lastRenderedPageBreak/>
              <w:t>Veicināta kapitāla tirgus aktivizēšana</w:t>
            </w:r>
          </w:p>
          <w:p w:rsidR="00BE4E01" w:rsidRPr="00534143" w:rsidRDefault="00BE4E01" w:rsidP="0084719E">
            <w:pPr>
              <w:spacing w:after="0" w:line="240" w:lineRule="auto"/>
              <w:rPr>
                <w:sz w:val="20"/>
                <w:szCs w:val="20"/>
              </w:rPr>
            </w:pPr>
            <w:r w:rsidRPr="00534143">
              <w:rPr>
                <w:sz w:val="20"/>
                <w:szCs w:val="20"/>
              </w:rPr>
              <w:t>Paplašinātas uzņēmumu iespējas finansējuma piesaistei</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534143" w:rsidRDefault="001B4A6D" w:rsidP="0084719E">
            <w:pPr>
              <w:spacing w:after="0" w:line="240" w:lineRule="auto"/>
              <w:rPr>
                <w:sz w:val="20"/>
                <w:szCs w:val="20"/>
              </w:rPr>
            </w:pPr>
            <w:r w:rsidRPr="00534143">
              <w:rPr>
                <w:sz w:val="20"/>
                <w:szCs w:val="20"/>
              </w:rPr>
              <w:t>Sagatavots izvērtējums</w:t>
            </w:r>
            <w:r w:rsidR="00BE4E01" w:rsidRPr="00534143">
              <w:rPr>
                <w:sz w:val="20"/>
                <w:szCs w:val="20"/>
              </w:rPr>
              <w:t xml:space="preserve">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534143" w:rsidRDefault="00BE4E01" w:rsidP="0084719E">
            <w:pPr>
              <w:spacing w:after="0" w:line="240" w:lineRule="auto"/>
              <w:rPr>
                <w:sz w:val="20"/>
                <w:szCs w:val="20"/>
              </w:rPr>
            </w:pPr>
            <w:r w:rsidRPr="00534143">
              <w:rPr>
                <w:sz w:val="20"/>
                <w:szCs w:val="20"/>
              </w:rPr>
              <w:t>FM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534143" w:rsidRDefault="00BE4E01" w:rsidP="0084719E">
            <w:pPr>
              <w:spacing w:after="0" w:line="240" w:lineRule="auto"/>
              <w:rPr>
                <w:sz w:val="20"/>
                <w:szCs w:val="20"/>
              </w:rPr>
            </w:pPr>
            <w:r w:rsidRPr="00534143">
              <w:rPr>
                <w:sz w:val="20"/>
                <w:szCs w:val="20"/>
              </w:rPr>
              <w:t>LFNA, FKTK</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A407B" w:rsidP="0084719E">
            <w:pPr>
              <w:spacing w:after="0" w:line="240" w:lineRule="auto"/>
              <w:rPr>
                <w:sz w:val="20"/>
                <w:szCs w:val="20"/>
              </w:rPr>
            </w:pPr>
            <w:r w:rsidRPr="00534143">
              <w:rPr>
                <w:sz w:val="20"/>
                <w:szCs w:val="20"/>
              </w:rPr>
              <w:t>3</w:t>
            </w:r>
            <w:r w:rsidR="00A04CBD" w:rsidRPr="00534143">
              <w:rPr>
                <w:sz w:val="20"/>
                <w:szCs w:val="20"/>
              </w:rPr>
              <w:t>0</w:t>
            </w:r>
            <w:r w:rsidRPr="00534143">
              <w:rPr>
                <w:sz w:val="20"/>
                <w:szCs w:val="20"/>
              </w:rPr>
              <w:t>.</w:t>
            </w:r>
            <w:r w:rsidR="00A04CBD" w:rsidRPr="00534143">
              <w:rPr>
                <w:sz w:val="20"/>
                <w:szCs w:val="20"/>
              </w:rPr>
              <w:t>06</w:t>
            </w:r>
            <w:r w:rsidRPr="00534143">
              <w:rPr>
                <w:sz w:val="20"/>
                <w:szCs w:val="20"/>
              </w:rPr>
              <w:t>.2021.</w:t>
            </w:r>
          </w:p>
        </w:tc>
      </w:tr>
      <w:tr w:rsidR="00BE4E01"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5B6CE7" w:rsidRDefault="00BA407B" w:rsidP="0084719E">
            <w:pPr>
              <w:spacing w:after="0" w:line="240" w:lineRule="auto"/>
              <w:rPr>
                <w:sz w:val="20"/>
                <w:szCs w:val="20"/>
              </w:rPr>
            </w:pPr>
            <w:r>
              <w:rPr>
                <w:sz w:val="20"/>
                <w:szCs w:val="20"/>
              </w:rPr>
              <w:lastRenderedPageBreak/>
              <w:t>1.2.6</w:t>
            </w:r>
            <w:r w:rsidR="00BE4E01">
              <w:rPr>
                <w:sz w:val="20"/>
                <w:szCs w:val="20"/>
              </w:rPr>
              <w:t>.</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5B6CE7" w:rsidRDefault="00BE4E01" w:rsidP="0084719E">
            <w:pPr>
              <w:spacing w:after="0" w:line="240" w:lineRule="auto"/>
              <w:rPr>
                <w:sz w:val="20"/>
                <w:szCs w:val="20"/>
              </w:rPr>
            </w:pPr>
            <w:r>
              <w:rPr>
                <w:sz w:val="20"/>
                <w:szCs w:val="20"/>
              </w:rPr>
              <w:t xml:space="preserve">Turpināt pilnveidot valsts fondēto pensiju regulējumu, veicinot efektīvu līdzekļu pārvaldību, pensiju plānu dalībnieku informētību un vecumam atbilstošu pensiju plāna izvēli. </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Default="00BE4E01" w:rsidP="0084719E">
            <w:pPr>
              <w:spacing w:after="0" w:line="240" w:lineRule="auto"/>
              <w:rPr>
                <w:sz w:val="20"/>
                <w:szCs w:val="20"/>
              </w:rPr>
            </w:pPr>
            <w:r>
              <w:rPr>
                <w:sz w:val="20"/>
                <w:szCs w:val="20"/>
              </w:rPr>
              <w:t>Veicināta augstāka ienākumu aizvietojamība valsts fondēto pensiju ietvaros</w:t>
            </w:r>
          </w:p>
          <w:p w:rsidR="00BE4E01" w:rsidRDefault="00BE4E01" w:rsidP="0084719E">
            <w:pPr>
              <w:spacing w:after="0" w:line="240" w:lineRule="auto"/>
              <w:rPr>
                <w:sz w:val="20"/>
                <w:szCs w:val="20"/>
              </w:rPr>
            </w:pPr>
            <w:r>
              <w:rPr>
                <w:sz w:val="20"/>
                <w:szCs w:val="20"/>
              </w:rPr>
              <w:t>Veicināta valsts fondēto pensiju fondu plānu dalībn</w:t>
            </w:r>
            <w:r w:rsidR="00BA407B">
              <w:rPr>
                <w:sz w:val="20"/>
                <w:szCs w:val="20"/>
              </w:rPr>
              <w:t>ieku aktīva dalība plāna izvēlē</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Default="00BE4E01" w:rsidP="0084719E">
            <w:pPr>
              <w:spacing w:after="0" w:line="240" w:lineRule="auto"/>
              <w:rPr>
                <w:sz w:val="20"/>
                <w:szCs w:val="20"/>
              </w:rPr>
            </w:pPr>
            <w:r>
              <w:rPr>
                <w:sz w:val="20"/>
                <w:szCs w:val="20"/>
              </w:rPr>
              <w:t xml:space="preserve">Sagatavoti priekšlikumi grozījumiem normatīvajos aktos un iesniegti izskatīšanai MK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Default="00BE4E01" w:rsidP="0084719E">
            <w:pPr>
              <w:spacing w:after="0" w:line="240" w:lineRule="auto"/>
              <w:rPr>
                <w:sz w:val="20"/>
                <w:szCs w:val="20"/>
              </w:rPr>
            </w:pPr>
            <w:r>
              <w:rPr>
                <w:sz w:val="20"/>
                <w:szCs w:val="20"/>
              </w:rPr>
              <w:t>FM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Default="00BE4E01" w:rsidP="0084719E">
            <w:pPr>
              <w:spacing w:after="0" w:line="240" w:lineRule="auto"/>
              <w:rPr>
                <w:sz w:val="20"/>
                <w:szCs w:val="20"/>
              </w:rPr>
            </w:pPr>
            <w:r>
              <w:rPr>
                <w:sz w:val="20"/>
                <w:szCs w:val="20"/>
              </w:rPr>
              <w:t>FKTK, LM, LFNA</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Default="00BE4E01" w:rsidP="0084719E">
            <w:pPr>
              <w:spacing w:after="0" w:line="240" w:lineRule="auto"/>
              <w:rPr>
                <w:sz w:val="20"/>
                <w:szCs w:val="20"/>
              </w:rPr>
            </w:pPr>
            <w:r>
              <w:rPr>
                <w:sz w:val="20"/>
                <w:szCs w:val="20"/>
              </w:rPr>
              <w:t>31.12.2021.</w:t>
            </w:r>
          </w:p>
        </w:tc>
      </w:tr>
      <w:tr w:rsidR="00BE4E01" w:rsidRPr="0096312D"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96312D" w:rsidRDefault="00BA407B" w:rsidP="0084719E">
            <w:pPr>
              <w:spacing w:after="0" w:line="240" w:lineRule="auto"/>
              <w:rPr>
                <w:sz w:val="20"/>
                <w:szCs w:val="20"/>
              </w:rPr>
            </w:pPr>
            <w:r>
              <w:rPr>
                <w:sz w:val="20"/>
                <w:szCs w:val="20"/>
              </w:rPr>
              <w:t>1.2.7</w:t>
            </w:r>
            <w:r w:rsidR="00BE4E01">
              <w:rPr>
                <w:sz w:val="20"/>
                <w:szCs w:val="20"/>
              </w:rPr>
              <w:t>.</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Default="00BE4E01" w:rsidP="0084719E">
            <w:pPr>
              <w:spacing w:after="0" w:line="240" w:lineRule="auto"/>
              <w:rPr>
                <w:sz w:val="20"/>
                <w:szCs w:val="20"/>
              </w:rPr>
            </w:pPr>
            <w:r>
              <w:rPr>
                <w:sz w:val="20"/>
                <w:szCs w:val="20"/>
              </w:rPr>
              <w:t>Pilnveidot vērtspapīrošanas regulējumu</w:t>
            </w:r>
            <w:r w:rsidR="00251C55">
              <w:rPr>
                <w:sz w:val="20"/>
                <w:szCs w:val="20"/>
              </w:rPr>
              <w:t>.</w:t>
            </w:r>
            <w:r>
              <w:rPr>
                <w:sz w:val="20"/>
                <w:szCs w:val="20"/>
              </w:rPr>
              <w:t xml:space="preserve"> </w:t>
            </w:r>
          </w:p>
          <w:p w:rsidR="00BE4E01" w:rsidRPr="0096312D" w:rsidRDefault="00BE4E01" w:rsidP="0084719E">
            <w:pPr>
              <w:spacing w:after="0" w:line="240" w:lineRule="auto"/>
              <w:rPr>
                <w:sz w:val="20"/>
                <w:szCs w:val="20"/>
              </w:rPr>
            </w:pP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96312D" w:rsidRDefault="00BE4E01" w:rsidP="0084719E">
            <w:pPr>
              <w:spacing w:after="0" w:line="240" w:lineRule="auto"/>
              <w:rPr>
                <w:sz w:val="20"/>
                <w:szCs w:val="20"/>
              </w:rPr>
            </w:pPr>
            <w:r w:rsidRPr="0096312D">
              <w:rPr>
                <w:sz w:val="20"/>
                <w:szCs w:val="20"/>
              </w:rPr>
              <w:t>Aktivizēt</w:t>
            </w:r>
            <w:r>
              <w:rPr>
                <w:sz w:val="20"/>
                <w:szCs w:val="20"/>
              </w:rPr>
              <w:t>s kapitāla tirgus, atvieglojot iespējas veikt vērtspapīrošanas darījumus</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96312D" w:rsidRDefault="00BE4E01" w:rsidP="0084719E">
            <w:pPr>
              <w:spacing w:after="0" w:line="240" w:lineRule="auto"/>
              <w:rPr>
                <w:sz w:val="20"/>
                <w:szCs w:val="20"/>
              </w:rPr>
            </w:pPr>
            <w:r w:rsidRPr="0096312D">
              <w:rPr>
                <w:sz w:val="20"/>
                <w:szCs w:val="20"/>
              </w:rPr>
              <w:t>Normatīvā regulējuma projekts iesniegts MK</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96312D" w:rsidRDefault="00BE4E01" w:rsidP="0084719E">
            <w:pPr>
              <w:spacing w:after="0" w:line="240" w:lineRule="auto"/>
              <w:rPr>
                <w:sz w:val="20"/>
                <w:szCs w:val="20"/>
              </w:rPr>
            </w:pPr>
            <w:r w:rsidRPr="0096312D">
              <w:rPr>
                <w:sz w:val="20"/>
                <w:szCs w:val="20"/>
              </w:rPr>
              <w:t>FM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96312D" w:rsidRDefault="00BE4E01" w:rsidP="0084719E">
            <w:pPr>
              <w:spacing w:after="0" w:line="240" w:lineRule="auto"/>
              <w:rPr>
                <w:sz w:val="20"/>
                <w:szCs w:val="20"/>
              </w:rPr>
            </w:pPr>
            <w:r w:rsidRPr="0096312D">
              <w:rPr>
                <w:sz w:val="20"/>
                <w:szCs w:val="20"/>
              </w:rPr>
              <w:t>FKTK, Altum, EM</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96312D" w:rsidRDefault="00BE4E01" w:rsidP="00351856">
            <w:pPr>
              <w:spacing w:after="0" w:line="240" w:lineRule="auto"/>
              <w:rPr>
                <w:sz w:val="20"/>
                <w:szCs w:val="20"/>
              </w:rPr>
            </w:pPr>
            <w:r w:rsidRPr="0096312D">
              <w:rPr>
                <w:sz w:val="20"/>
                <w:szCs w:val="20"/>
              </w:rPr>
              <w:t>31.12.</w:t>
            </w:r>
            <w:r w:rsidR="00351856" w:rsidRPr="0096312D">
              <w:rPr>
                <w:sz w:val="20"/>
                <w:szCs w:val="20"/>
              </w:rPr>
              <w:t>20</w:t>
            </w:r>
            <w:r w:rsidR="00351856">
              <w:rPr>
                <w:sz w:val="20"/>
                <w:szCs w:val="20"/>
              </w:rPr>
              <w:t>21</w:t>
            </w:r>
            <w:r w:rsidRPr="0096312D">
              <w:rPr>
                <w:sz w:val="20"/>
                <w:szCs w:val="20"/>
              </w:rPr>
              <w:t>.</w:t>
            </w:r>
          </w:p>
        </w:tc>
      </w:tr>
      <w:tr w:rsidR="00BE4E01" w:rsidRPr="00B329D2" w:rsidTr="0084719E">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rsidR="00BE4E01" w:rsidRPr="00B329D2" w:rsidRDefault="00BE4E01" w:rsidP="0084719E">
            <w:pPr>
              <w:spacing w:after="0" w:line="240" w:lineRule="auto"/>
              <w:rPr>
                <w:b/>
                <w:bCs/>
                <w:sz w:val="20"/>
                <w:szCs w:val="20"/>
              </w:rPr>
            </w:pPr>
            <w:r>
              <w:rPr>
                <w:b/>
                <w:bCs/>
                <w:sz w:val="20"/>
                <w:szCs w:val="20"/>
              </w:rPr>
              <w:t>1.3</w:t>
            </w:r>
            <w:r w:rsidRPr="00B329D2">
              <w:rPr>
                <w:b/>
                <w:bCs/>
                <w:sz w:val="20"/>
                <w:szCs w:val="20"/>
              </w:rPr>
              <w:t xml:space="preserve">. Iedzīvotāju finanšu pratības veicināšana </w:t>
            </w:r>
          </w:p>
        </w:tc>
      </w:tr>
      <w:tr w:rsidR="00BE4E01" w:rsidRPr="00AE13D3"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1.3.1.</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4C56E6">
            <w:pPr>
              <w:spacing w:after="0" w:line="240" w:lineRule="auto"/>
              <w:rPr>
                <w:sz w:val="20"/>
                <w:szCs w:val="20"/>
              </w:rPr>
            </w:pPr>
            <w:r>
              <w:rPr>
                <w:sz w:val="20"/>
                <w:szCs w:val="20"/>
              </w:rPr>
              <w:t xml:space="preserve">Nodrošināt iedzīvotājiem </w:t>
            </w:r>
            <w:r w:rsidRPr="00AE13D3">
              <w:rPr>
                <w:sz w:val="20"/>
                <w:szCs w:val="20"/>
              </w:rPr>
              <w:t>piee</w:t>
            </w:r>
            <w:r>
              <w:rPr>
                <w:sz w:val="20"/>
                <w:szCs w:val="20"/>
              </w:rPr>
              <w:t xml:space="preserve">jamākus datus par uzkrāto </w:t>
            </w:r>
            <w:r w:rsidRPr="00AE13D3">
              <w:rPr>
                <w:sz w:val="20"/>
                <w:szCs w:val="20"/>
              </w:rPr>
              <w:t xml:space="preserve">pensiju </w:t>
            </w:r>
            <w:r w:rsidR="004C56E6">
              <w:rPr>
                <w:sz w:val="20"/>
                <w:szCs w:val="20"/>
              </w:rPr>
              <w:t>uzkrājumu un paredzamo pensijas apmēru</w:t>
            </w:r>
            <w:r w:rsidR="00251C55">
              <w:rPr>
                <w:sz w:val="20"/>
                <w:szCs w:val="20"/>
              </w:rPr>
              <w:t>.</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Default="00BE4E01" w:rsidP="0084719E">
            <w:pPr>
              <w:spacing w:after="0" w:line="240" w:lineRule="auto"/>
              <w:rPr>
                <w:sz w:val="20"/>
                <w:szCs w:val="20"/>
              </w:rPr>
            </w:pPr>
            <w:r w:rsidRPr="00AE13D3">
              <w:rPr>
                <w:sz w:val="20"/>
                <w:szCs w:val="20"/>
              </w:rPr>
              <w:t>Padarīt pieejamāku informāciju par trešo pensiju līmeni</w:t>
            </w:r>
            <w:r w:rsidR="00251C55">
              <w:rPr>
                <w:sz w:val="20"/>
                <w:szCs w:val="20"/>
              </w:rPr>
              <w:t>.</w:t>
            </w:r>
          </w:p>
          <w:p w:rsidR="004C56E6" w:rsidRDefault="004C56E6" w:rsidP="0084719E">
            <w:pPr>
              <w:spacing w:after="0" w:line="240" w:lineRule="auto"/>
              <w:rPr>
                <w:sz w:val="20"/>
                <w:szCs w:val="20"/>
              </w:rPr>
            </w:pPr>
            <w:r>
              <w:rPr>
                <w:sz w:val="20"/>
                <w:szCs w:val="20"/>
              </w:rPr>
              <w:t>Apkopot visu pensiju uzkrājumu vienkopus.</w:t>
            </w:r>
          </w:p>
          <w:p w:rsidR="004C56E6" w:rsidRPr="00AE13D3" w:rsidRDefault="004C56E6" w:rsidP="0084719E">
            <w:pPr>
              <w:spacing w:after="0" w:line="240" w:lineRule="auto"/>
              <w:rPr>
                <w:sz w:val="20"/>
                <w:szCs w:val="20"/>
              </w:rPr>
            </w:pPr>
            <w:r>
              <w:rPr>
                <w:sz w:val="20"/>
                <w:szCs w:val="20"/>
              </w:rPr>
              <w:t>Informēt par sagaidāmo pensiju apmēru atkarībā no veiktajām iemaksām.</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313423" w:rsidRDefault="00BE4E01" w:rsidP="004C56E6">
            <w:pPr>
              <w:spacing w:after="0" w:line="240" w:lineRule="auto"/>
              <w:rPr>
                <w:sz w:val="20"/>
                <w:szCs w:val="20"/>
              </w:rPr>
            </w:pPr>
            <w:r w:rsidRPr="00313423">
              <w:rPr>
                <w:sz w:val="20"/>
                <w:szCs w:val="20"/>
              </w:rPr>
              <w:t>Portālā latvija.lv izveidota elektroniska pieeja informācijai par 3.pensiju līmenī uzkrāto līdzekļu</w:t>
            </w:r>
            <w:r w:rsidR="004C56E6">
              <w:rPr>
                <w:sz w:val="20"/>
                <w:szCs w:val="20"/>
              </w:rPr>
              <w:t xml:space="preserve"> un iemaksu</w:t>
            </w:r>
            <w:r w:rsidRPr="00313423">
              <w:rPr>
                <w:sz w:val="20"/>
                <w:szCs w:val="20"/>
              </w:rPr>
              <w:t xml:space="preserve"> apjomu</w:t>
            </w:r>
            <w:r w:rsidR="004C56E6">
              <w:rPr>
                <w:sz w:val="20"/>
                <w:szCs w:val="20"/>
              </w:rPr>
              <w:t>, nodrošinot, ka vienkopus pieejamo dati par 1., 2. un 3.pensiju līmenī uzkrāto līdzekļu un iemaksu apjomu</w:t>
            </w:r>
            <w:r w:rsidRPr="00313423">
              <w:rPr>
                <w:sz w:val="20"/>
                <w:szCs w:val="20"/>
              </w:rPr>
              <w:t xml:space="preserve"> </w:t>
            </w:r>
            <w:r w:rsidR="00251C55">
              <w:rPr>
                <w:sz w:val="20"/>
                <w:szCs w:val="20"/>
              </w:rPr>
              <w:t>.</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VARAM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FM, LM</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2023</w:t>
            </w:r>
          </w:p>
        </w:tc>
      </w:tr>
      <w:tr w:rsidR="00BE4E01" w:rsidRPr="00AE13D3"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1.3.2.</w:t>
            </w:r>
          </w:p>
        </w:tc>
        <w:tc>
          <w:tcPr>
            <w:tcW w:w="1098" w:type="pct"/>
            <w:tcBorders>
              <w:top w:val="outset" w:sz="6" w:space="0" w:color="414142"/>
              <w:left w:val="outset" w:sz="6" w:space="0" w:color="414142"/>
              <w:bottom w:val="outset" w:sz="6" w:space="0" w:color="414142"/>
              <w:right w:val="outset" w:sz="6" w:space="0" w:color="414142"/>
            </w:tcBorders>
            <w:shd w:val="clear" w:color="auto" w:fill="auto"/>
          </w:tcPr>
          <w:p w:rsidR="00BE4E01" w:rsidRPr="00AE13D3" w:rsidRDefault="004C56E6" w:rsidP="0084719E">
            <w:pPr>
              <w:spacing w:after="0" w:line="240" w:lineRule="auto"/>
              <w:rPr>
                <w:sz w:val="20"/>
                <w:szCs w:val="20"/>
                <w:highlight w:val="yellow"/>
              </w:rPr>
            </w:pPr>
            <w:r>
              <w:rPr>
                <w:sz w:val="20"/>
                <w:szCs w:val="20"/>
              </w:rPr>
              <w:t>Veicināt un popularizēt jau izstrādāto satura un metodikas materiālu par finanšu pratību plašāku izmantošanu esošajās mācību programmās.</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 xml:space="preserve">Veicināt finanšu pratības apguvi </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342456" w:rsidRDefault="00BE4E01" w:rsidP="0084719E">
            <w:pPr>
              <w:spacing w:after="0" w:line="240" w:lineRule="auto"/>
              <w:rPr>
                <w:b/>
                <w:i/>
                <w:sz w:val="20"/>
                <w:szCs w:val="20"/>
              </w:rPr>
            </w:pPr>
            <w:r>
              <w:rPr>
                <w:sz w:val="20"/>
                <w:szCs w:val="20"/>
              </w:rPr>
              <w:t>Sagatavots izvērtējums un iesniegts</w:t>
            </w:r>
            <w:r w:rsidR="00251C55">
              <w:rPr>
                <w:sz w:val="20"/>
                <w:szCs w:val="20"/>
              </w:rPr>
              <w:t xml:space="preserve"> MK</w:t>
            </w:r>
            <w:r w:rsidR="00251C55">
              <w:rPr>
                <w:b/>
                <w:i/>
                <w:sz w:val="20"/>
                <w:szCs w:val="20"/>
              </w:rPr>
              <w:t>.</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IZM</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FKTK</w:t>
            </w:r>
            <w:r w:rsidR="00251C55">
              <w:rPr>
                <w:sz w:val="20"/>
                <w:szCs w:val="20"/>
              </w:rPr>
              <w:t>(LB)</w:t>
            </w:r>
          </w:p>
          <w:p w:rsidR="00BE4E01" w:rsidRPr="00AE13D3" w:rsidRDefault="00BE4E01" w:rsidP="0084719E">
            <w:pPr>
              <w:spacing w:after="0" w:line="240" w:lineRule="auto"/>
              <w:rPr>
                <w:sz w:val="20"/>
                <w:szCs w:val="20"/>
              </w:rPr>
            </w:pPr>
            <w:r w:rsidRPr="00AE13D3">
              <w:rPr>
                <w:sz w:val="20"/>
                <w:szCs w:val="20"/>
              </w:rPr>
              <w:t>FM</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31.12.2021.</w:t>
            </w:r>
          </w:p>
        </w:tc>
      </w:tr>
      <w:tr w:rsidR="00BE4E01"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1.3.3.</w:t>
            </w:r>
          </w:p>
        </w:tc>
        <w:tc>
          <w:tcPr>
            <w:tcW w:w="1098" w:type="pct"/>
            <w:tcBorders>
              <w:top w:val="outset" w:sz="6" w:space="0" w:color="414142"/>
              <w:left w:val="outset" w:sz="6" w:space="0" w:color="414142"/>
              <w:bottom w:val="outset" w:sz="6" w:space="0" w:color="414142"/>
              <w:right w:val="outset" w:sz="6" w:space="0" w:color="414142"/>
            </w:tcBorders>
            <w:shd w:val="clear" w:color="auto" w:fill="auto"/>
          </w:tcPr>
          <w:p w:rsidR="00BE4E01" w:rsidRPr="00342456" w:rsidRDefault="00BE4E01" w:rsidP="00251C55">
            <w:pPr>
              <w:spacing w:after="0" w:line="240" w:lineRule="auto"/>
              <w:rPr>
                <w:sz w:val="20"/>
                <w:szCs w:val="20"/>
              </w:rPr>
            </w:pPr>
            <w:r>
              <w:rPr>
                <w:sz w:val="20"/>
                <w:szCs w:val="20"/>
              </w:rPr>
              <w:t>Veicināt izpratni par ieguldījumu nepieciešamību, tai skaitā par pensiju 2. un 3.līmeni</w:t>
            </w:r>
            <w:r w:rsidR="00BA407B">
              <w:rPr>
                <w:sz w:val="20"/>
                <w:szCs w:val="20"/>
              </w:rPr>
              <w:t>, ieguldījumiem kapitāla tirgū</w:t>
            </w:r>
            <w:r w:rsidR="00251C55">
              <w:rPr>
                <w:sz w:val="20"/>
                <w:szCs w:val="20"/>
              </w:rPr>
              <w:t>.</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Default="00BE4E01" w:rsidP="0084719E">
            <w:pPr>
              <w:spacing w:after="0" w:line="240" w:lineRule="auto"/>
              <w:rPr>
                <w:sz w:val="20"/>
                <w:szCs w:val="20"/>
              </w:rPr>
            </w:pPr>
            <w:r>
              <w:rPr>
                <w:sz w:val="20"/>
                <w:szCs w:val="20"/>
              </w:rPr>
              <w:t xml:space="preserve">Veicināta mājsaimniecību uzkrājumu veidošana </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Default="00BE4E01" w:rsidP="0084719E">
            <w:pPr>
              <w:spacing w:after="0" w:line="240" w:lineRule="auto"/>
              <w:rPr>
                <w:sz w:val="20"/>
                <w:szCs w:val="20"/>
              </w:rPr>
            </w:pPr>
            <w:r>
              <w:rPr>
                <w:sz w:val="20"/>
                <w:szCs w:val="20"/>
              </w:rPr>
              <w:t xml:space="preserve">Īstenoti pasākumi FKTK finanšu pratības stratēģijas ietvaros </w:t>
            </w:r>
            <w:r w:rsidR="00251C55">
              <w:rPr>
                <w:sz w:val="20"/>
                <w:szCs w:val="20"/>
              </w:rPr>
              <w:t>.</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 xml:space="preserve">FKTK </w:t>
            </w:r>
            <w:r w:rsidR="00251C55">
              <w:rPr>
                <w:sz w:val="20"/>
                <w:szCs w:val="20"/>
              </w:rPr>
              <w:t>(LB)</w:t>
            </w: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FNA</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Default="00F65285" w:rsidP="0084719E">
            <w:pPr>
              <w:spacing w:after="0" w:line="240" w:lineRule="auto"/>
              <w:rPr>
                <w:sz w:val="20"/>
                <w:szCs w:val="20"/>
              </w:rPr>
            </w:pPr>
            <w:r>
              <w:rPr>
                <w:sz w:val="20"/>
                <w:szCs w:val="20"/>
              </w:rPr>
              <w:t>Regulāri</w:t>
            </w:r>
          </w:p>
        </w:tc>
      </w:tr>
      <w:tr w:rsidR="00BE4E01" w:rsidRPr="00AE13D3" w:rsidTr="00322B47">
        <w:tc>
          <w:tcPr>
            <w:tcW w:w="18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lastRenderedPageBreak/>
              <w:t>1.3.4.</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highlight w:val="yellow"/>
              </w:rPr>
            </w:pPr>
            <w:r w:rsidRPr="00342456">
              <w:rPr>
                <w:sz w:val="20"/>
                <w:szCs w:val="20"/>
              </w:rPr>
              <w:t>Veicināt fokusētas, dažādām mērķauditorijām piemērotas informācijas sniegšanu par atbildīgu aizņemšanos.</w:t>
            </w:r>
          </w:p>
        </w:tc>
        <w:tc>
          <w:tcPr>
            <w:tcW w:w="87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Veicināta izpratne par atbildīgu aizņemšanos, mazināts mājsaimniecību kredīta slogs</w:t>
            </w:r>
            <w:r w:rsidR="00251C55">
              <w:rPr>
                <w:sz w:val="20"/>
                <w:szCs w:val="20"/>
              </w:rPr>
              <w:t>.</w:t>
            </w:r>
            <w:r>
              <w:rPr>
                <w:sz w:val="20"/>
                <w:szCs w:val="20"/>
              </w:rPr>
              <w:t xml:space="preserve"> </w:t>
            </w:r>
          </w:p>
        </w:tc>
        <w:tc>
          <w:tcPr>
            <w:tcW w:w="932"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Regulāri informatīvi pasākumi, publikācijas</w:t>
            </w:r>
            <w:r w:rsidR="00251C55">
              <w:rPr>
                <w:sz w:val="20"/>
                <w:szCs w:val="20"/>
              </w:rPr>
              <w:t>.</w:t>
            </w:r>
          </w:p>
        </w:tc>
        <w:tc>
          <w:tcPr>
            <w:tcW w:w="53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FKTK</w:t>
            </w:r>
            <w:r w:rsidR="00251C55">
              <w:rPr>
                <w:sz w:val="20"/>
                <w:szCs w:val="20"/>
              </w:rPr>
              <w:t xml:space="preserve"> (LB)</w:t>
            </w:r>
            <w:r w:rsidR="00F65285">
              <w:rPr>
                <w:sz w:val="20"/>
                <w:szCs w:val="20"/>
              </w:rPr>
              <w:t>/PTAC</w:t>
            </w:r>
          </w:p>
          <w:p w:rsidR="00BE4E01" w:rsidRPr="00AE13D3" w:rsidRDefault="00BE4E01" w:rsidP="0084719E">
            <w:pPr>
              <w:spacing w:after="0" w:line="240" w:lineRule="auto"/>
              <w:rPr>
                <w:sz w:val="20"/>
                <w:szCs w:val="20"/>
              </w:rPr>
            </w:pPr>
          </w:p>
        </w:tc>
        <w:tc>
          <w:tcPr>
            <w:tcW w:w="75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sidRPr="00AE13D3">
              <w:rPr>
                <w:sz w:val="20"/>
                <w:szCs w:val="20"/>
              </w:rPr>
              <w:t>FNA</w:t>
            </w:r>
          </w:p>
        </w:tc>
        <w:tc>
          <w:tcPr>
            <w:tcW w:w="62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BE4E01" w:rsidRPr="00AE13D3" w:rsidRDefault="00BE4E01" w:rsidP="0084719E">
            <w:pPr>
              <w:spacing w:after="0" w:line="240" w:lineRule="auto"/>
              <w:rPr>
                <w:sz w:val="20"/>
                <w:szCs w:val="20"/>
              </w:rPr>
            </w:pPr>
            <w:r>
              <w:rPr>
                <w:sz w:val="20"/>
                <w:szCs w:val="20"/>
              </w:rPr>
              <w:t>Regulāri</w:t>
            </w:r>
          </w:p>
        </w:tc>
      </w:tr>
    </w:tbl>
    <w:p w:rsidR="00F65285" w:rsidRDefault="00F65285">
      <w:pPr>
        <w:rPr>
          <w:b/>
          <w:sz w:val="28"/>
          <w:szCs w:val="28"/>
        </w:rPr>
      </w:pPr>
      <w:r>
        <w:rPr>
          <w:b/>
          <w:sz w:val="28"/>
          <w:szCs w:val="28"/>
        </w:rPr>
        <w:br w:type="page"/>
      </w:r>
    </w:p>
    <w:p w:rsidR="001D0D5F" w:rsidRPr="00F21407" w:rsidRDefault="001D0D5F" w:rsidP="003E6F7E">
      <w:pPr>
        <w:pStyle w:val="Heading1"/>
      </w:pPr>
      <w:bookmarkStart w:id="12" w:name="_Toc55202490"/>
      <w:r w:rsidRPr="00F21407">
        <w:lastRenderedPageBreak/>
        <w:t>4. Digitalizācija un inovatīvu pakalpojumu pieejamība</w:t>
      </w:r>
      <w:bookmarkEnd w:id="12"/>
    </w:p>
    <w:p w:rsidR="001D0D5F" w:rsidRDefault="001D0D5F" w:rsidP="001D0D5F">
      <w:pPr>
        <w:spacing w:line="240" w:lineRule="auto"/>
        <w:jc w:val="both"/>
      </w:pPr>
      <w:r>
        <w:t>Inovācija ar digitālu tehnoloģiju palīdzību arvien lielākā apjomā veicina jaunu produktu, procesu vai biznesa modeļu attīstību. Šajā attīstībā dati kopā ar IT infrastruktūru kļūst par galveno vērtību un ekonomiskais labums no pieejas noteikta veida datiem ir lielāks, ja to spēj iegūt pēc iespējas vairāki kopējā procesā iesaistītie. Vienlaikus jāuzsver, ka šī attīstība rada jaunus izaicinājumus patērētāju datu aizsardzībai un atbilstošai izmantošanai.</w:t>
      </w:r>
    </w:p>
    <w:p w:rsidR="001D0D5F" w:rsidRDefault="001D0D5F" w:rsidP="001D0D5F">
      <w:pPr>
        <w:spacing w:line="240" w:lineRule="auto"/>
        <w:jc w:val="both"/>
      </w:pPr>
      <w:r>
        <w:t>Digitalizācija pārveido arī finanšu sistēmu un veidu, kādā finanšu pakalpojumi tiek sniegti uzņēmumiem un iedzīvotājiem. Spēja inovēt un pārņemt jaunākās tehnoloģijas ir svarīga kā finanšu, tā nefinanšu sektorā. Šobrīd norit darbs gan nacionālā, gan ES līmenī, lai izmantotu tehnoloģiju sniegtās iespējas un veicinātu finanšu sistēmas digitālo pāreju, tai pat laikā apzinoties un kontrolējot ar tām saistītos riskus un nodrošinot patērētāju tiesību ievērošanu, privātuma aizsardzību un investoru aizsardzību.</w:t>
      </w:r>
    </w:p>
    <w:p w:rsidR="001D0D5F" w:rsidRDefault="001D0D5F" w:rsidP="001D0D5F">
      <w:pPr>
        <w:spacing w:line="240" w:lineRule="auto"/>
        <w:jc w:val="both"/>
      </w:pPr>
      <w:r w:rsidRPr="00AD2123">
        <w:t>Ņemot vērā ES politikas prioritātes</w:t>
      </w:r>
      <w:r>
        <w:t>, kā arī</w:t>
      </w:r>
      <w:r w:rsidRPr="00AD2123">
        <w:t xml:space="preserve"> </w:t>
      </w:r>
      <w:r>
        <w:t xml:space="preserve">nacionālajos politikas plānošanas dokumentos noteiktās prioritātes, viena no Finanšu sektora attīstības plāna 2021. – 2023. gadam prioritātēm ir </w:t>
      </w:r>
      <w:r w:rsidRPr="00F65285">
        <w:t>digitalizācija un inovatīvu pakalpojumu pieejamība. Inovatīvs</w:t>
      </w:r>
      <w:r w:rsidRPr="00AD2123">
        <w:t xml:space="preserve"> </w:t>
      </w:r>
      <w:r>
        <w:t xml:space="preserve">finanšu sektors var ne tikai sniegt inovatīvus un ērtus pakalpojumus saviem klientiem, bet arī var kalpot kā katalizators inovācijām arī nefinanšu sektoru uzņēmumos. </w:t>
      </w:r>
    </w:p>
    <w:p w:rsidR="001D0D5F" w:rsidRDefault="001D0D5F" w:rsidP="001D0D5F">
      <w:pPr>
        <w:spacing w:before="120" w:after="120" w:line="20" w:lineRule="atLeast"/>
        <w:jc w:val="both"/>
      </w:pPr>
      <w:r w:rsidRPr="00A76FC3">
        <w:t>Covid-19 pandēmija ir izcēlusi nepieciešamību paātrināt digitālo pāreju.</w:t>
      </w:r>
      <w:r>
        <w:t xml:space="preserve"> Šī pāreja būs kritiski svarīga ekonomikas</w:t>
      </w:r>
      <w:r w:rsidRPr="00A76FC3">
        <w:t xml:space="preserve"> </w:t>
      </w:r>
      <w:r>
        <w:t>atveseļošanā</w:t>
      </w:r>
      <w:r w:rsidRPr="00A76FC3">
        <w:t xml:space="preserve">, lai nodrošinātu tehnoloģisko </w:t>
      </w:r>
      <w:r w:rsidR="006A4844">
        <w:t>neatkarību</w:t>
      </w:r>
      <w:r w:rsidRPr="00A76FC3">
        <w:t>, konkurētspēj</w:t>
      </w:r>
      <w:r>
        <w:t>u</w:t>
      </w:r>
      <w:r w:rsidRPr="00A76FC3">
        <w:t>, zaļ</w:t>
      </w:r>
      <w:r>
        <w:t>o</w:t>
      </w:r>
      <w:r w:rsidRPr="00A76FC3">
        <w:t xml:space="preserve"> pārej</w:t>
      </w:r>
      <w:r>
        <w:t>u</w:t>
      </w:r>
      <w:r w:rsidRPr="00A76FC3">
        <w:t>, darba vietu veidošan</w:t>
      </w:r>
      <w:r>
        <w:t>u</w:t>
      </w:r>
      <w:r w:rsidRPr="00A76FC3">
        <w:t xml:space="preserve"> un iedzīvotāju dzīves apstākļu uzlabošan</w:t>
      </w:r>
      <w:r>
        <w:t>u</w:t>
      </w:r>
      <w:r w:rsidRPr="00A76FC3">
        <w:t xml:space="preserve">. Vienlaikus šai attīstībai jāsargā </w:t>
      </w:r>
      <w:r>
        <w:t>pamatvērtības</w:t>
      </w:r>
      <w:r w:rsidRPr="00A76FC3">
        <w:t xml:space="preserve"> un</w:t>
      </w:r>
      <w:r>
        <w:t xml:space="preserve"> iedzīvotāju tiesības un drošība</w:t>
      </w:r>
      <w:r w:rsidRPr="00A76FC3">
        <w:t>.</w:t>
      </w:r>
      <w:r w:rsidR="00F65285">
        <w:t xml:space="preserve"> Vienlaikus, lai</w:t>
      </w:r>
      <w:r>
        <w:t xml:space="preserve"> pārvarētu Covid-19 radīto krīzi un atgrieztos pie stabilas un augošas ekonomikas, liela nozīme ir ieguldījumiem piektās paaudzes bezvadu sakaru tīklu (5G), augstas veiktspējas tīklu attīstībā, digitālajām prasmēm un uzņēmumu un valsts pārvaldes digitalizācijai.</w:t>
      </w:r>
    </w:p>
    <w:p w:rsidR="001D0D5F" w:rsidRPr="005118D7" w:rsidRDefault="00F65285" w:rsidP="003E6F7E">
      <w:pPr>
        <w:pStyle w:val="Heading2"/>
      </w:pPr>
      <w:bookmarkStart w:id="13" w:name="_Toc55202491"/>
      <w:r>
        <w:t xml:space="preserve">4.1. </w:t>
      </w:r>
      <w:r w:rsidR="001D0D5F" w:rsidRPr="005118D7">
        <w:t xml:space="preserve">ES politikas </w:t>
      </w:r>
      <w:r w:rsidR="001D0D5F">
        <w:t>pasākumi digitālās pārejas un inovatīvu finanšu pakalpojumu veicināšanā</w:t>
      </w:r>
      <w:bookmarkEnd w:id="13"/>
    </w:p>
    <w:p w:rsidR="001D0D5F" w:rsidRDefault="001D0D5F" w:rsidP="001D0D5F">
      <w:pPr>
        <w:spacing w:line="240" w:lineRule="auto"/>
        <w:jc w:val="both"/>
      </w:pPr>
      <w:r>
        <w:t xml:space="preserve">2019.gadā EK prezidente Urzula fon der Leiena kā vienu no EK prioritātēm noteica “Eiropu, kas ir piemērota digitālajam laikmetam”. Digitalizācijai ir būtiska nozīme Eiropas spējai nodrošināt demokrātisku pārvaldes sistēmu, drošību, sociālā tirgus modeli, ilgtspējīgu attīstību un ilgtermiņa ekonomisko izaugsmi. </w:t>
      </w:r>
    </w:p>
    <w:p w:rsidR="001D0D5F" w:rsidRDefault="001D0D5F" w:rsidP="001D0D5F">
      <w:pPr>
        <w:spacing w:line="240" w:lineRule="auto"/>
        <w:jc w:val="both"/>
      </w:pPr>
      <w:r>
        <w:t xml:space="preserve">2015.gada Digitālā vienotā tirgus stratēģija īstenota sekmīgi - pieņemti 32 no 36 iesniegtajiem tiesību aktu priekšlikumiem. Vienlaikus Eiropā joprojām nav pietiekama datu apmaiņa starp publisko un privāto sektoru, trūkst digitālās nozares speciālistu un prasmes, izaicinājumus rada augošā lielo digitālo platformu loma ekonomikā, saglabājas kiberdrošības izaicinājumi, kā arī Eiropā ir zemākas investīcijas piektās paaudzes bezvadu </w:t>
      </w:r>
      <w:r>
        <w:lastRenderedPageBreak/>
        <w:t xml:space="preserve">sakaru tīkla (5G) infrastruktūras un mākslīgā intelekta tehnoloģiju attīstībā, salīdzinot ar ASV un Ķīnu. Starp prioritātēm un darbības jomām ir digitālais vienotais tirgus, finanšu tehnoloģijas, kiberdrošība un noturība, digitālā identitāte un ES līmeņa regulējums digitālajiem aktīviem. </w:t>
      </w:r>
    </w:p>
    <w:p w:rsidR="001D0D5F" w:rsidRDefault="001D0D5F" w:rsidP="001D0D5F">
      <w:pPr>
        <w:spacing w:line="240" w:lineRule="auto"/>
        <w:jc w:val="both"/>
      </w:pPr>
      <w:r>
        <w:t>Attiecībā uz finanšu sektoru 2018.gada 8.martā EK nāca klajā ar finanšu sektora rīcības plānu konkurētspējīgākam un inovatīvākam Eiropas finanšu sektoram.</w:t>
      </w:r>
      <w:r>
        <w:rPr>
          <w:rStyle w:val="FootnoteReference"/>
        </w:rPr>
        <w:footnoteReference w:id="12"/>
      </w:r>
      <w:r>
        <w:t xml:space="preserve"> Ar šo plānu EK </w:t>
      </w:r>
      <w:r w:rsidR="006A4844">
        <w:t xml:space="preserve">izvirzīja </w:t>
      </w:r>
      <w:r>
        <w:t>mērķi izveidot vairāk uz nākotni vērstu regulatīvo sistēmu, kas aptver digitalizāciju un rada vidi, kurā finanšu tehnoloģijas produktus un risinājumus var izvērst visā ES, tādējādi gūstot vienotā tirgus apjoma radītos ieguvumus, bet neapdraudot finanšu stabilitāti vai patērētāju un ieguldītāju aizsardzību. Minētajā paziņojumā EK norāda, ka, balstoties uz sabiedriskās apspriešanas rezultātā iegūtiem secinājumiem un, ņemot vērā jau piedāvātās iniciatīvas, EK uzskata, ka iespējas īstenot plaša apjoma leģislatīvu vai regulatīvu darbību vai reformas ES līmenī šajā procesa posmā ir ierobežotas un veiks vairākas mērķtiecīgas iniciatīvas, lai aptvertu finanšu sektora digitalizāciju. Piedāvātās iniciatīvas aptvēra:</w:t>
      </w:r>
    </w:p>
    <w:p w:rsidR="001D0D5F" w:rsidRDefault="001D0D5F" w:rsidP="001D0D5F">
      <w:pPr>
        <w:pStyle w:val="ListParagraph"/>
        <w:numPr>
          <w:ilvl w:val="0"/>
          <w:numId w:val="14"/>
        </w:numPr>
        <w:spacing w:line="240" w:lineRule="auto"/>
        <w:jc w:val="both"/>
      </w:pPr>
      <w:r>
        <w:t>inovatīvu modeļu darbības iespējamība visā ES, nosakot skaidras un konsekventas licencēšanas prasības;</w:t>
      </w:r>
    </w:p>
    <w:p w:rsidR="001D0D5F" w:rsidRDefault="001D0D5F" w:rsidP="001D0D5F">
      <w:pPr>
        <w:pStyle w:val="ListParagraph"/>
        <w:numPr>
          <w:ilvl w:val="0"/>
          <w:numId w:val="14"/>
        </w:numPr>
        <w:spacing w:line="240" w:lineRule="auto"/>
        <w:jc w:val="both"/>
      </w:pPr>
      <w:r>
        <w:t>ES regulas priekšlikums par kolektīvo ieguldījumu un kolektīvo aizdevumu pakalpojumu sniegšanu un ar to saistītām prasībām;</w:t>
      </w:r>
    </w:p>
    <w:p w:rsidR="001D0D5F" w:rsidRDefault="001D0D5F" w:rsidP="001D0D5F">
      <w:pPr>
        <w:pStyle w:val="ListParagraph"/>
        <w:numPr>
          <w:ilvl w:val="0"/>
          <w:numId w:val="14"/>
        </w:numPr>
        <w:spacing w:line="240" w:lineRule="auto"/>
        <w:jc w:val="both"/>
      </w:pPr>
      <w:r>
        <w:t xml:space="preserve">tirgus dalībnieku konkurences un sadarbības palielināšana, ieviešot vienotus standartus un sadarboties spējīgus risinājumus u.c. </w:t>
      </w:r>
    </w:p>
    <w:p w:rsidR="001D0D5F" w:rsidRDefault="001D0D5F" w:rsidP="001D0D5F">
      <w:pPr>
        <w:spacing w:line="240" w:lineRule="auto"/>
        <w:jc w:val="both"/>
      </w:pPr>
      <w:r>
        <w:t>Strādājot pie dažādām iniciatīvām, kas ietvertas rīcības plānā konkurētspējīgākam un inovatīvākam finanšu sektoram, tomēr ir secināms, ka joprojām ES dalībvalstu starpā ir atšķirīga interpretācijas, kas tiek piemērota jaunpienācējiem digitālajā finanšu pakalpojumu tirgū. Lai nodrošinātu lielāku harmonizāciju, 2020.gada 3.aprīlī EK uzsāka publiskās konsultācijas par digitālajām finansēm, lai konsultāciju ietvaros saņemtos priekšlikumus un secinājumus izmantotu ES digitālās finanšu stratēģijas izstrādē, ko EK plāno publicēt 2020.gada otrajā pusē.</w:t>
      </w:r>
    </w:p>
    <w:p w:rsidR="001D0D5F" w:rsidRDefault="001D0D5F" w:rsidP="001D0D5F">
      <w:pPr>
        <w:spacing w:line="240" w:lineRule="auto"/>
        <w:jc w:val="both"/>
      </w:pPr>
      <w:r>
        <w:t>Uzsākot konsultāciju procesu, EK  identificēj</w:t>
      </w:r>
      <w:r w:rsidR="006A4844">
        <w:t>a</w:t>
      </w:r>
      <w:r>
        <w:t xml:space="preserve"> šādas galvenās prioritātes:</w:t>
      </w:r>
    </w:p>
    <w:p w:rsidR="001D0D5F" w:rsidRDefault="001D0D5F" w:rsidP="001D0D5F">
      <w:pPr>
        <w:pStyle w:val="ListParagraph"/>
        <w:numPr>
          <w:ilvl w:val="0"/>
          <w:numId w:val="14"/>
        </w:numPr>
        <w:spacing w:line="240" w:lineRule="auto"/>
        <w:jc w:val="both"/>
      </w:pPr>
      <w:r>
        <w:t>nodrošināt, lai ES finanšu pakalpojumu regulatīvais ietvars būtu atbilstošs digitālajai paaudzei, t.i., lai tas būtu tehnoloģiski neitrāls un inovācijām draudzīgs;</w:t>
      </w:r>
    </w:p>
    <w:p w:rsidR="001D0D5F" w:rsidRDefault="001D0D5F" w:rsidP="001D0D5F">
      <w:pPr>
        <w:pStyle w:val="ListParagraph"/>
        <w:numPr>
          <w:ilvl w:val="0"/>
          <w:numId w:val="14"/>
        </w:numPr>
        <w:spacing w:line="240" w:lineRule="auto"/>
        <w:jc w:val="both"/>
      </w:pPr>
      <w:r>
        <w:t>novērst sadrumstalotību un ļaut patērētājiem un uzņēmumiem izmantot priekšrocības, ko piedāvā ES digitālais finanšu pakalpojumu vienotais tirgus;</w:t>
      </w:r>
    </w:p>
    <w:p w:rsidR="001D0D5F" w:rsidRDefault="001D0D5F" w:rsidP="001D0D5F">
      <w:pPr>
        <w:pStyle w:val="ListParagraph"/>
        <w:numPr>
          <w:ilvl w:val="0"/>
          <w:numId w:val="14"/>
        </w:numPr>
        <w:spacing w:line="240" w:lineRule="auto"/>
        <w:jc w:val="both"/>
      </w:pPr>
      <w:r>
        <w:t>veicināt uz datiem balstīta finanšu sektora darbību;</w:t>
      </w:r>
    </w:p>
    <w:p w:rsidR="001D0D5F" w:rsidRDefault="001D0D5F" w:rsidP="001D0D5F">
      <w:pPr>
        <w:pStyle w:val="ListParagraph"/>
        <w:numPr>
          <w:ilvl w:val="0"/>
          <w:numId w:val="14"/>
        </w:numPr>
        <w:spacing w:line="240" w:lineRule="auto"/>
        <w:jc w:val="both"/>
      </w:pPr>
      <w:r>
        <w:t>uzlabot digitālo finanšu pakalpojumu noturību.</w:t>
      </w:r>
    </w:p>
    <w:p w:rsidR="006A4844" w:rsidRPr="00DD19B7" w:rsidRDefault="006A4844" w:rsidP="006A4844">
      <w:pPr>
        <w:spacing w:after="0" w:line="240" w:lineRule="auto"/>
        <w:jc w:val="both"/>
      </w:pPr>
      <w:r w:rsidRPr="00140907">
        <w:lastRenderedPageBreak/>
        <w:t xml:space="preserve">2020.gada 24.septembrī </w:t>
      </w:r>
      <w:r w:rsidR="007D75FD">
        <w:t>EK</w:t>
      </w:r>
      <w:r w:rsidRPr="00140907">
        <w:t xml:space="preserve"> publicēja digitālo finanšu pakotni</w:t>
      </w:r>
      <w:r>
        <w:rPr>
          <w:rStyle w:val="FootnoteReference"/>
        </w:rPr>
        <w:footnoteReference w:id="13"/>
      </w:r>
      <w:r w:rsidRPr="00140907">
        <w:t>, kuras stratēģiskais mērķis ir izmantot digitālās finanses patērētāju un uzņēmēju labā</w:t>
      </w:r>
      <w:r w:rsidRPr="002F7AB3">
        <w:t xml:space="preserve"> un kura </w:t>
      </w:r>
      <w:r w:rsidRPr="00DD19B7">
        <w:t>sastāv no:</w:t>
      </w:r>
    </w:p>
    <w:p w:rsidR="006A4844" w:rsidRPr="00DD19B7" w:rsidRDefault="005B4BF5" w:rsidP="006A4844">
      <w:pPr>
        <w:pStyle w:val="ListParagraph"/>
        <w:numPr>
          <w:ilvl w:val="0"/>
          <w:numId w:val="29"/>
        </w:numPr>
        <w:spacing w:after="0" w:line="240" w:lineRule="auto"/>
        <w:contextualSpacing w:val="0"/>
        <w:jc w:val="both"/>
      </w:pPr>
      <w:r>
        <w:t>D</w:t>
      </w:r>
      <w:r w:rsidR="006A4844" w:rsidRPr="00DD19B7">
        <w:t>igitālā</w:t>
      </w:r>
      <w:r>
        <w:t>s</w:t>
      </w:r>
      <w:r w:rsidR="006A4844" w:rsidRPr="00DD19B7">
        <w:t xml:space="preserve"> finansējuma stratēģijas;</w:t>
      </w:r>
    </w:p>
    <w:p w:rsidR="006A4844" w:rsidRPr="00DD19B7" w:rsidRDefault="005B4BF5" w:rsidP="006A4844">
      <w:pPr>
        <w:pStyle w:val="ListParagraph"/>
        <w:numPr>
          <w:ilvl w:val="0"/>
          <w:numId w:val="29"/>
        </w:numPr>
        <w:spacing w:after="0" w:line="240" w:lineRule="auto"/>
        <w:contextualSpacing w:val="0"/>
        <w:jc w:val="both"/>
      </w:pPr>
      <w:r>
        <w:t>N</w:t>
      </w:r>
      <w:r w:rsidR="006A4844" w:rsidRPr="00DD19B7">
        <w:t>eliela apjoma maksājumu stratēģijas;</w:t>
      </w:r>
    </w:p>
    <w:p w:rsidR="006A4844" w:rsidRPr="00DD19B7" w:rsidRDefault="006A4844" w:rsidP="006A4844">
      <w:pPr>
        <w:pStyle w:val="ListParagraph"/>
        <w:numPr>
          <w:ilvl w:val="0"/>
          <w:numId w:val="29"/>
        </w:numPr>
        <w:spacing w:after="0" w:line="240" w:lineRule="auto"/>
        <w:contextualSpacing w:val="0"/>
        <w:jc w:val="both"/>
      </w:pPr>
      <w:r w:rsidRPr="00DD19B7">
        <w:t>tiesību aktu priekšlikumiem ES tiesiskajam regulējumam kripto aktīviem;</w:t>
      </w:r>
    </w:p>
    <w:p w:rsidR="006A4844" w:rsidRDefault="006A4844" w:rsidP="006A4844">
      <w:pPr>
        <w:pStyle w:val="ListParagraph"/>
        <w:numPr>
          <w:ilvl w:val="0"/>
          <w:numId w:val="29"/>
        </w:numPr>
        <w:spacing w:after="0" w:line="240" w:lineRule="auto"/>
        <w:contextualSpacing w:val="0"/>
        <w:jc w:val="both"/>
      </w:pPr>
      <w:r w:rsidRPr="00DD19B7">
        <w:t>tiesību aktu priekšlikumiem ES tiesiskajam regulējumam par digitālās darbības noturību.</w:t>
      </w:r>
    </w:p>
    <w:p w:rsidR="006A4844" w:rsidRPr="00DD19B7" w:rsidRDefault="006A4844" w:rsidP="00534143">
      <w:pPr>
        <w:pStyle w:val="ListParagraph"/>
        <w:spacing w:after="0" w:line="240" w:lineRule="auto"/>
        <w:contextualSpacing w:val="0"/>
        <w:jc w:val="both"/>
      </w:pPr>
    </w:p>
    <w:p w:rsidR="006A4844" w:rsidRDefault="006A4844" w:rsidP="006A4844">
      <w:pPr>
        <w:spacing w:after="0" w:line="240" w:lineRule="auto"/>
        <w:jc w:val="both"/>
      </w:pPr>
      <w:r w:rsidRPr="00DD19B7">
        <w:t>EK mērķis ir veicināt atbildīgu inovāciju ES finanšu nozarē, jo īpaši attiecībā uz inovatīviem digitālajiem jaunuzņēmumiem, vienlaikus mazinot iespējamos riskus, kas saistīti ar ieguldītāju aizsardzību, noziedzīgi iegūtu līdzekļu legalizācijas un kibernoziegumu novēršanu. Pieņemtajiem pasākumiem būs izšķiroša nozīme arī ES ekonomikas atveseļošanās procesā.</w:t>
      </w:r>
    </w:p>
    <w:p w:rsidR="006A4844" w:rsidRPr="00DD19B7" w:rsidRDefault="006A4844" w:rsidP="006A4844">
      <w:pPr>
        <w:spacing w:after="0" w:line="240" w:lineRule="auto"/>
        <w:jc w:val="both"/>
      </w:pPr>
    </w:p>
    <w:p w:rsidR="006A4844" w:rsidRDefault="006A4844" w:rsidP="006A4844">
      <w:pPr>
        <w:spacing w:after="0" w:line="240" w:lineRule="auto"/>
        <w:jc w:val="both"/>
      </w:pPr>
      <w:r w:rsidRPr="00DD19B7">
        <w:t xml:space="preserve">Digitālās finansējuma stratēģijas mērķis ir padarīt Eiropas finanšu pakalpojumus draudzīgākus un stimulēt atbildīgu inovāciju un konkurenci starp finanšu pakalpojumu sniedzējiem ES. Šī stratēģija pielāgos ES noteikumus par finanšu pakalpojumiem digitālajam laikmetam un tādām tehnoloģijām kā mākslīgais intelekts un blokķēdes. Saskaņā ar </w:t>
      </w:r>
      <w:r>
        <w:t>EK</w:t>
      </w:r>
      <w:r w:rsidRPr="00DD19B7">
        <w:t xml:space="preserve"> plašāko datu stratēģiju, pieņemto pasākumu mērķis ir veicināt datu kopīgošanu un atvērto finansēšanu, vienlaikus saglabājot ES privātuma un datu aizsardzības standartus. Stratēģijas mērķis ir nodrošināt vienlīdzīgus konkurences apstākļus finanšu pakalpojumu sniedzējiem, gan tradicionālajām kredītiestādēm, gan tehnoloģiju uzņēmumiem.</w:t>
      </w:r>
    </w:p>
    <w:p w:rsidR="006A4844" w:rsidRPr="00DD19B7" w:rsidRDefault="006A4844" w:rsidP="006A4844">
      <w:pPr>
        <w:spacing w:after="0" w:line="276" w:lineRule="auto"/>
        <w:jc w:val="both"/>
      </w:pPr>
    </w:p>
    <w:p w:rsidR="006A4844" w:rsidRDefault="006A4844" w:rsidP="006A4844">
      <w:pPr>
        <w:spacing w:after="0" w:line="240" w:lineRule="auto"/>
        <w:jc w:val="both"/>
      </w:pPr>
      <w:r w:rsidRPr="00DD19B7">
        <w:t xml:space="preserve">Neliela apjoma maksājumu stratēģijas mērķis ir nodrošināt Eiropas iedzīvotājiem un uzņēmumiem drošus, ātrus un uzticamus maksājumu pakalpojumus. Tā atvieglos patērētājiem maksājumu veikšanu veikalos un padarīs e-komercijas darījumus drošus un ērtus. Stratēģijas mērķis ir panākt pilnībā integrētu neliela apjoma maksājumu sistēmu ES, tostarp tūlītēju pārrobežu maksājumu risinājumus. Tā atvieglos maksājumus </w:t>
      </w:r>
      <w:r w:rsidRPr="00DD19B7">
        <w:rPr>
          <w:i/>
        </w:rPr>
        <w:t>euro</w:t>
      </w:r>
      <w:r w:rsidRPr="00DD19B7">
        <w:t xml:space="preserve"> starp ES un citām jurisdikcijām. </w:t>
      </w:r>
    </w:p>
    <w:p w:rsidR="006A4844" w:rsidRPr="00DD19B7" w:rsidRDefault="006A4844" w:rsidP="006A4844">
      <w:pPr>
        <w:spacing w:after="0" w:line="276" w:lineRule="auto"/>
        <w:jc w:val="both"/>
      </w:pPr>
    </w:p>
    <w:p w:rsidR="006A4844" w:rsidRDefault="006A4844" w:rsidP="006A4844">
      <w:pPr>
        <w:spacing w:after="0" w:line="240" w:lineRule="auto"/>
        <w:jc w:val="both"/>
      </w:pPr>
      <w:r w:rsidRPr="00DD19B7">
        <w:t xml:space="preserve">Tiesību aktu priekšlikumi par kripto aktīviem ietver speciālu pilotrežīmu kripto aktīviem, kurus neregulē citi ES tiesību akti, regulējumu ar kripto aktīviem saistītu pakalpojumu sniedzējiem un pilotrežīmu tirgus infrastruktūras pakalpojumu sniedzējiem, kuri lieto blokķēdes tehnoloģiju. Pilotrežīma ietvaros pakalpojumu sniedzēji varēs pretendēt uz terminētiem </w:t>
      </w:r>
      <w:r>
        <w:t>izņēmumiem no cita</w:t>
      </w:r>
      <w:r w:rsidRPr="00140907">
        <w:t xml:space="preserve"> ES regulējuma</w:t>
      </w:r>
      <w:r w:rsidRPr="00DD19B7">
        <w:t xml:space="preserve"> (Direktīva </w:t>
      </w:r>
      <w:r w:rsidRPr="002F7AB3">
        <w:t xml:space="preserve">par finanšu instrumentu tirgiem, </w:t>
      </w:r>
      <w:r w:rsidRPr="00DD19B7">
        <w:t>Regula par vērtspapīru norēķinu uzlabošanu ES, centrālajiem vē</w:t>
      </w:r>
      <w:r w:rsidRPr="00140907">
        <w:t>rtspapīru depozitārijiem</w:t>
      </w:r>
      <w:r w:rsidRPr="00DD19B7">
        <w:t xml:space="preserve"> prasībām</w:t>
      </w:r>
      <w:r>
        <w:t>)</w:t>
      </w:r>
      <w:r w:rsidRPr="00DD19B7">
        <w:t>. Pilotrežīma mērķis ir iegūt pieredzi, pārbaudot tehnoloģijas darbību praksē.</w:t>
      </w:r>
    </w:p>
    <w:p w:rsidR="006A4844" w:rsidRPr="00DD19B7" w:rsidRDefault="006A4844" w:rsidP="006A4844">
      <w:pPr>
        <w:spacing w:after="0" w:line="240" w:lineRule="auto"/>
        <w:jc w:val="both"/>
      </w:pPr>
    </w:p>
    <w:p w:rsidR="006A4844" w:rsidRDefault="006A4844" w:rsidP="006A4844">
      <w:pPr>
        <w:spacing w:after="0" w:line="240" w:lineRule="auto"/>
        <w:jc w:val="both"/>
      </w:pPr>
      <w:r w:rsidRPr="00DD19B7">
        <w:t>Tiesību akta priekšlikumi par digitālās darbības noturību mērķis ir nodrošināt, lai visiem finanšu sistēmas dalībniekiem būtu pietiekami aizsardzības pasākumi, kas mazinātu kiberuzbrukumus un citus riskus. Priekšlikumā ietverta kopīga pieeja informācijas un komunikācijas tehnoloģiju (IKT) risku vadībai, incidentu ziņošana saskaņā ar vienotiem principiem, regulāra IKT sistēmu un rīku</w:t>
      </w:r>
      <w:r w:rsidRPr="002F7AB3">
        <w:t xml:space="preserve"> </w:t>
      </w:r>
      <w:r w:rsidRPr="00DD19B7">
        <w:t>testēšana, lai nodrošinātu darbības noturību un pārraudzības sistēma IKT pakalpojumu sniedzējiem (finanšu sektora ārpakalpojumiem).</w:t>
      </w:r>
    </w:p>
    <w:p w:rsidR="00CA4C7A" w:rsidRDefault="00CA4C7A" w:rsidP="006A4844">
      <w:pPr>
        <w:spacing w:after="0" w:line="240" w:lineRule="auto"/>
        <w:jc w:val="both"/>
      </w:pPr>
    </w:p>
    <w:p w:rsidR="00DC3AC1" w:rsidRPr="009C6612" w:rsidRDefault="00DC3AC1" w:rsidP="00534143">
      <w:pPr>
        <w:spacing w:line="240" w:lineRule="auto"/>
        <w:jc w:val="both"/>
      </w:pPr>
      <w:r>
        <w:t xml:space="preserve">2020.gada oktobrī ECB publicēja ziņojumu </w:t>
      </w:r>
      <w:r w:rsidR="00470431">
        <w:t>“</w:t>
      </w:r>
      <w:r>
        <w:t xml:space="preserve">Par Digitālo </w:t>
      </w:r>
      <w:r w:rsidRPr="00534143">
        <w:rPr>
          <w:i/>
        </w:rPr>
        <w:t>euro</w:t>
      </w:r>
      <w:r w:rsidR="00470431" w:rsidRPr="00534143">
        <w:t>”</w:t>
      </w:r>
      <w:r w:rsidR="00470431" w:rsidRPr="00534143">
        <w:rPr>
          <w:rStyle w:val="FootnoteReference"/>
        </w:rPr>
        <w:footnoteReference w:id="14"/>
      </w:r>
      <w:r>
        <w:t>, kurā analizēti aspekti digitālā</w:t>
      </w:r>
      <w:r w:rsidRPr="00534143">
        <w:rPr>
          <w:i/>
        </w:rPr>
        <w:t xml:space="preserve"> euro</w:t>
      </w:r>
      <w:r>
        <w:t xml:space="preserve"> ieviešanai</w:t>
      </w:r>
      <w:r w:rsidR="00470431">
        <w:t xml:space="preserve"> un lai pielāgotu </w:t>
      </w:r>
      <w:r w:rsidR="00470431" w:rsidRPr="00534143">
        <w:rPr>
          <w:i/>
        </w:rPr>
        <w:t>euro</w:t>
      </w:r>
      <w:r w:rsidR="00470431">
        <w:t xml:space="preserve"> digitālai paaudzei</w:t>
      </w:r>
      <w:r>
        <w:t xml:space="preserve">. Tā kā ar digitālā </w:t>
      </w:r>
      <w:r w:rsidRPr="00534143">
        <w:rPr>
          <w:i/>
        </w:rPr>
        <w:t xml:space="preserve">euro </w:t>
      </w:r>
      <w:r>
        <w:t>ieviešanu saistās vairāki izaicinājumi</w:t>
      </w:r>
      <w:r w:rsidR="00470431">
        <w:t xml:space="preserve"> – ietekme uz finanšu stabilitāti; ietekme uz banku sektoru un tā finansējuma bāzi; ietekme uz datu aizsardzību, kiberdrošību, patērētāju tiesību aizsardzību; </w:t>
      </w:r>
      <w:r w:rsidR="00470431" w:rsidRPr="00534143">
        <w:rPr>
          <w:i/>
        </w:rPr>
        <w:t>euro</w:t>
      </w:r>
      <w:r w:rsidR="00470431">
        <w:t xml:space="preserve"> starptautisko lomu</w:t>
      </w:r>
      <w:r>
        <w:t xml:space="preserve">, nepieciešama rūpīga izpēte, lai atrastu labāko risinājumu to pārvarēšanai. Digitālā </w:t>
      </w:r>
      <w:r w:rsidRPr="00534143">
        <w:rPr>
          <w:i/>
        </w:rPr>
        <w:t>euro</w:t>
      </w:r>
      <w:r>
        <w:t xml:space="preserve"> ieviešanu ietekmē pieaugošs pieprasījums pēc elektroniskiem maksājumiem Eirozonā, skaidras naudas lietošanas samazināšanās, globālu privātu maksājumu risinājumu parādīšanās, kas radītu finanšu stabilitātes un patērētāju aizsardzības riskus un plaša citu centrālo banku izlaistu digitālo valūtu lietošana.</w:t>
      </w:r>
      <w:r w:rsidR="00470431">
        <w:t xml:space="preserve"> Lēmumu par digitālā euro projekta (izpētes fāzes) sākšanu Eirosistēma plāno pieņemt 2021.gada vidū.</w:t>
      </w:r>
    </w:p>
    <w:p w:rsidR="00F65285" w:rsidRDefault="00F65285" w:rsidP="00F65285">
      <w:pPr>
        <w:spacing w:line="240" w:lineRule="auto"/>
        <w:rPr>
          <w:b/>
        </w:rPr>
      </w:pPr>
    </w:p>
    <w:p w:rsidR="00F65285" w:rsidRPr="005962B4" w:rsidRDefault="00F65285" w:rsidP="003E6F7E">
      <w:pPr>
        <w:pStyle w:val="Heading2"/>
      </w:pPr>
      <w:bookmarkStart w:id="14" w:name="_Toc55202492"/>
      <w:r>
        <w:t xml:space="preserve">4.2. </w:t>
      </w:r>
      <w:r w:rsidRPr="002636CD">
        <w:t>Finanšu sektora inovācija</w:t>
      </w:r>
      <w:r>
        <w:t xml:space="preserve"> un f</w:t>
      </w:r>
      <w:r w:rsidRPr="002636CD">
        <w:t>inanšu pakalpojumu digitalizācija</w:t>
      </w:r>
      <w:bookmarkEnd w:id="14"/>
    </w:p>
    <w:p w:rsidR="00F65285" w:rsidRDefault="00F65285" w:rsidP="00F65285">
      <w:pPr>
        <w:spacing w:line="240" w:lineRule="auto"/>
        <w:jc w:val="both"/>
      </w:pPr>
      <w:r>
        <w:t xml:space="preserve">Digitalizācija Latvijas finanšu sektorā ir augstā līmenī. Patērētājiem un uzņēmumiem ir pieejami inovatīvi pakalpojumi un attīstīta maksājumu un kapitāla tirgus infrastruktūra. Tāpat digitalizācijas neatņemama sastāvdaļa ir finanšu tehnoloģiju uzņēmumu attīstība, kas uzlabo konkurenci un rada inovāciju finanšu sektorā. Ņemot vērā Covid-19 izplatību, finanšu pakalpojumu pieejamība attālināti arvien pieaug. </w:t>
      </w:r>
    </w:p>
    <w:p w:rsidR="00F65285" w:rsidRDefault="00F65285" w:rsidP="00F65285">
      <w:pPr>
        <w:spacing w:line="240" w:lineRule="auto"/>
        <w:jc w:val="both"/>
      </w:pPr>
      <w:r>
        <w:t xml:space="preserve">Pārskatītā Maksājumu pakalpojumu direktīva (PSD2) ir pavērusi nozīmīgu soli klientu informācijas izmantošanā un dalīšanā ar trešo pušu pakalpojumu sniedzējiem. Līdz ar to ir ieviesti gan </w:t>
      </w:r>
      <w:r w:rsidRPr="001828BB">
        <w:rPr>
          <w:i/>
        </w:rPr>
        <w:t>open banking</w:t>
      </w:r>
      <w:r>
        <w:t xml:space="preserve"> risinājumi, gan modernas iespējas veikt maksājumus un var droši apgalvot, ka digitalizācijas virziena tālākai attīstībai ir labi priekšnoteikumi.</w:t>
      </w:r>
    </w:p>
    <w:p w:rsidR="00F65285" w:rsidRDefault="00F65285" w:rsidP="00F65285">
      <w:pPr>
        <w:spacing w:line="240" w:lineRule="auto"/>
        <w:jc w:val="both"/>
      </w:pPr>
      <w:r>
        <w:t>Atbilstoši Latvijas Bankas sadarbībā ar SIA “Latvijas Fakti” veiktajai iedzīvotāju aptaujai 2020.gada februārī, iedzīvotāji lielāko daļu maksājumu veic bezskaidrā naudā. Pieaug arī kopējais maksājumu skaits. Pieaugot norēķiniem bezskaidrā naudā, turpina samazināties vidējais maksājumu skaits skaidrā naudā. Atkārtoti veiktā aptauja 2020. gada augustā apliecināja, ka Covid-19 ietekmē iepriekšminētās tendences iedzīvotāju maksājumu paradumos pastiprinājās</w:t>
      </w:r>
      <w:r w:rsidRPr="001B2E35">
        <w:t xml:space="preserve"> </w:t>
      </w:r>
      <w:r>
        <w:t xml:space="preserve">vēl vairāk, augustā bezskaidras naudu izmantojot 68% gadījumos, kad izdzīvotāji veica norēķinus, kaut gan </w:t>
      </w:r>
      <w:r>
        <w:lastRenderedPageBreak/>
        <w:t>februārī tie bija 64%.</w:t>
      </w:r>
      <w:r>
        <w:rPr>
          <w:rStyle w:val="FootnoteReference"/>
        </w:rPr>
        <w:footnoteReference w:id="15"/>
      </w:r>
      <w:r>
        <w:t xml:space="preserve"> Ņemot vērā šīs attīstības tendences, svarīgi, ka Latvijas Banka un </w:t>
      </w:r>
      <w:r w:rsidRPr="00CA1B78">
        <w:t>bezskaidrās naudas pakalpojumu sniedzēji</w:t>
      </w:r>
      <w:r>
        <w:t xml:space="preserve"> nodrošina lietotājiem</w:t>
      </w:r>
      <w:r w:rsidRPr="00CA1B78">
        <w:t xml:space="preserve"> pievilcīgākus, ērtākus un drošākus </w:t>
      </w:r>
      <w:r>
        <w:t>maksājumu pakalpojumus.</w:t>
      </w:r>
    </w:p>
    <w:p w:rsidR="00F65285" w:rsidRPr="009C2372" w:rsidRDefault="00F65285" w:rsidP="00F65285">
      <w:pPr>
        <w:spacing w:after="0" w:line="240" w:lineRule="auto"/>
        <w:jc w:val="both"/>
        <w:rPr>
          <w:rFonts w:eastAsia="Times New Roman"/>
          <w:lang w:eastAsia="lv-LV"/>
        </w:rPr>
      </w:pPr>
      <w:r w:rsidRPr="009C2372">
        <w:rPr>
          <w:rFonts w:eastAsia="Times New Roman"/>
          <w:lang w:eastAsia="lv-LV"/>
        </w:rPr>
        <w:t>Tehnoloģiju attīstība sniedz iespēju </w:t>
      </w:r>
      <w:r w:rsidRPr="005B1DCA">
        <w:rPr>
          <w:rFonts w:eastAsia="Times New Roman"/>
          <w:bCs/>
          <w:bdr w:val="none" w:sz="0" w:space="0" w:color="auto" w:frame="1"/>
          <w:lang w:eastAsia="lv-LV"/>
        </w:rPr>
        <w:t>veidot jaunus maksājumu risinājumus</w:t>
      </w:r>
      <w:r w:rsidRPr="000A419D">
        <w:rPr>
          <w:rFonts w:eastAsia="Times New Roman"/>
          <w:lang w:eastAsia="lv-LV"/>
        </w:rPr>
        <w:t>,</w:t>
      </w:r>
      <w:r w:rsidRPr="009C2372">
        <w:rPr>
          <w:rFonts w:eastAsia="Times New Roman"/>
          <w:lang w:eastAsia="lv-LV"/>
        </w:rPr>
        <w:t xml:space="preserve"> piemēram, lai:</w:t>
      </w:r>
    </w:p>
    <w:p w:rsidR="00F65285" w:rsidRPr="009C2372" w:rsidRDefault="00F65285" w:rsidP="00F65285">
      <w:pPr>
        <w:pStyle w:val="ListParagraph"/>
        <w:numPr>
          <w:ilvl w:val="0"/>
          <w:numId w:val="14"/>
        </w:numPr>
        <w:spacing w:after="0" w:line="240" w:lineRule="auto"/>
        <w:jc w:val="both"/>
        <w:rPr>
          <w:rFonts w:eastAsia="Times New Roman"/>
          <w:lang w:eastAsia="lv-LV"/>
        </w:rPr>
      </w:pPr>
      <w:r w:rsidRPr="009C2372">
        <w:rPr>
          <w:rFonts w:eastAsia="Times New Roman"/>
          <w:lang w:eastAsia="lv-LV"/>
        </w:rPr>
        <w:t>e-komercijā, izmantojot lietojumprogrammas saskarnes (</w:t>
      </w:r>
      <w:r w:rsidRPr="009C2372">
        <w:rPr>
          <w:rFonts w:eastAsia="Times New Roman"/>
          <w:i/>
          <w:iCs/>
          <w:bdr w:val="none" w:sz="0" w:space="0" w:color="auto" w:frame="1"/>
          <w:lang w:eastAsia="lv-LV"/>
        </w:rPr>
        <w:t>application programming interface, API</w:t>
      </w:r>
      <w:r w:rsidRPr="009C2372">
        <w:rPr>
          <w:rFonts w:eastAsia="Times New Roman"/>
          <w:lang w:eastAsia="lv-LV"/>
        </w:rPr>
        <w:t>) risinājumus, maksājumus integrētu pirkuma apstiprinājumā vai citādā veidā iekļautu pirkšanas procesā;</w:t>
      </w:r>
    </w:p>
    <w:p w:rsidR="00F65285" w:rsidRPr="009C2372" w:rsidRDefault="00F65285" w:rsidP="00F65285">
      <w:pPr>
        <w:pStyle w:val="ListParagraph"/>
        <w:numPr>
          <w:ilvl w:val="0"/>
          <w:numId w:val="14"/>
        </w:numPr>
        <w:spacing w:after="0" w:line="240" w:lineRule="auto"/>
        <w:jc w:val="both"/>
        <w:rPr>
          <w:rFonts w:eastAsia="Times New Roman"/>
          <w:lang w:eastAsia="lv-LV"/>
        </w:rPr>
      </w:pPr>
      <w:r w:rsidRPr="009C2372">
        <w:rPr>
          <w:rFonts w:eastAsia="Times New Roman"/>
          <w:lang w:eastAsia="lv-LV"/>
        </w:rPr>
        <w:t>savstarpējos (</w:t>
      </w:r>
      <w:r w:rsidRPr="009C2372">
        <w:rPr>
          <w:rFonts w:eastAsia="Times New Roman"/>
          <w:i/>
          <w:iCs/>
          <w:bdr w:val="none" w:sz="0" w:space="0" w:color="auto" w:frame="1"/>
          <w:lang w:eastAsia="lv-LV"/>
        </w:rPr>
        <w:t>peer-to-peer, P2P</w:t>
      </w:r>
      <w:r w:rsidRPr="009C2372">
        <w:rPr>
          <w:rFonts w:eastAsia="Times New Roman"/>
          <w:lang w:eastAsia="lv-LV"/>
        </w:rPr>
        <w:t>) maksājumus veiktu, balstoties uz tālruņa numuru vai citu saņēmēju identificējošu pazīmi;</w:t>
      </w:r>
    </w:p>
    <w:p w:rsidR="00F65285" w:rsidRPr="009C2372" w:rsidRDefault="00F65285" w:rsidP="00F65285">
      <w:pPr>
        <w:pStyle w:val="ListParagraph"/>
        <w:numPr>
          <w:ilvl w:val="0"/>
          <w:numId w:val="14"/>
        </w:numPr>
        <w:spacing w:after="0" w:line="240" w:lineRule="auto"/>
        <w:jc w:val="both"/>
        <w:rPr>
          <w:rFonts w:eastAsia="Times New Roman"/>
          <w:lang w:eastAsia="lv-LV"/>
        </w:rPr>
      </w:pPr>
      <w:r w:rsidRPr="009C2372">
        <w:rPr>
          <w:rFonts w:eastAsia="Times New Roman"/>
          <w:lang w:eastAsia="lv-LV"/>
        </w:rPr>
        <w:t>POS terminālos izmantotu kvadrātkodu veidotājus un tuva darbības lauka sakaru (</w:t>
      </w:r>
      <w:r w:rsidRPr="009C2372">
        <w:rPr>
          <w:rFonts w:eastAsia="Times New Roman"/>
          <w:i/>
          <w:iCs/>
          <w:bdr w:val="none" w:sz="0" w:space="0" w:color="auto" w:frame="1"/>
          <w:lang w:eastAsia="lv-LV"/>
        </w:rPr>
        <w:t>near field communication</w:t>
      </w:r>
      <w:r w:rsidRPr="009C2372">
        <w:rPr>
          <w:rFonts w:eastAsia="Times New Roman"/>
          <w:lang w:eastAsia="lv-LV"/>
        </w:rPr>
        <w:t>,</w:t>
      </w:r>
      <w:r w:rsidRPr="009C2372">
        <w:rPr>
          <w:rFonts w:eastAsia="Times New Roman"/>
          <w:i/>
          <w:iCs/>
          <w:bdr w:val="none" w:sz="0" w:space="0" w:color="auto" w:frame="1"/>
          <w:lang w:eastAsia="lv-LV"/>
        </w:rPr>
        <w:t> NFC)</w:t>
      </w:r>
      <w:r w:rsidRPr="009C2372">
        <w:rPr>
          <w:rFonts w:eastAsia="Times New Roman"/>
          <w:lang w:eastAsia="lv-LV"/>
        </w:rPr>
        <w:t> lasītājus;</w:t>
      </w:r>
    </w:p>
    <w:p w:rsidR="00F65285" w:rsidRPr="009C2372" w:rsidRDefault="00F65285" w:rsidP="00F65285">
      <w:pPr>
        <w:pStyle w:val="ListParagraph"/>
        <w:numPr>
          <w:ilvl w:val="0"/>
          <w:numId w:val="14"/>
        </w:numPr>
        <w:spacing w:after="0" w:line="240" w:lineRule="auto"/>
        <w:jc w:val="both"/>
        <w:rPr>
          <w:rFonts w:eastAsia="Times New Roman"/>
          <w:lang w:eastAsia="lv-LV"/>
        </w:rPr>
      </w:pPr>
      <w:r w:rsidRPr="009C2372">
        <w:rPr>
          <w:rFonts w:eastAsia="Times New Roman"/>
          <w:lang w:eastAsia="lv-LV"/>
        </w:rPr>
        <w:t>radītu arvien jaunus maksājumu veidus, kas lietotājam samazina izmaksas, vienlaikus paaugstinot ērtības līmeni.</w:t>
      </w:r>
    </w:p>
    <w:p w:rsidR="00F65285" w:rsidRPr="009C2372" w:rsidRDefault="00F65285" w:rsidP="00F65285">
      <w:pPr>
        <w:spacing w:after="0" w:line="240" w:lineRule="auto"/>
        <w:jc w:val="both"/>
        <w:rPr>
          <w:rFonts w:eastAsia="Times New Roman"/>
          <w:lang w:eastAsia="lv-LV"/>
        </w:rPr>
      </w:pPr>
    </w:p>
    <w:p w:rsidR="00F65285" w:rsidRDefault="00F65285" w:rsidP="005B1DCA">
      <w:pPr>
        <w:spacing w:after="0" w:line="240" w:lineRule="auto"/>
        <w:jc w:val="both"/>
      </w:pPr>
      <w:r w:rsidRPr="009C2372">
        <w:rPr>
          <w:rFonts w:eastAsia="Times New Roman"/>
          <w:lang w:eastAsia="lv-LV"/>
        </w:rPr>
        <w:t>Šķietami galvenais pamatojums šādām izmaiņām ir fokuss uz klienta vēlmēm, proti, šādi maksājumu risinājumi tiek veidoti ar izpratni, ka klients vēlas saņemt preci vai pakalpojumu, nevis patērēt laiku, lai veiktu maksājumu par to.</w:t>
      </w:r>
      <w:r w:rsidRPr="009C2372">
        <w:rPr>
          <w:rStyle w:val="FootnoteReference"/>
          <w:rFonts w:eastAsia="Times New Roman"/>
          <w:lang w:eastAsia="lv-LV"/>
        </w:rPr>
        <w:footnoteReference w:id="16"/>
      </w:r>
    </w:p>
    <w:p w:rsidR="00F65285" w:rsidRPr="001828BB" w:rsidRDefault="00F65285" w:rsidP="00F65285">
      <w:pPr>
        <w:spacing w:line="240" w:lineRule="auto"/>
        <w:jc w:val="both"/>
      </w:pPr>
      <w:r w:rsidRPr="001828BB">
        <w:t>Attiecībā uz kapitāla tirgus infrastruktūru</w:t>
      </w:r>
      <w:r>
        <w:t xml:space="preserve"> Nasdaq Baltijas tirgus veido vienotu Nasdaq biržu Tallinā, Rīgā un Viļņā, nodrošinot kapitāla tirgus infrastruktūru no vērtspapīru iekļaušanas, tirdzniecības un kotēšanas biržā līdz norēķiniem un drošai vērtspapīru glabāšanai. Ieviestais Baltijas tirgus modelis un kopējā informācijas izplatība padara reģionu vieglāk pieejamu un pievilcīgāku vietējiem un starptautiskiem investoriem, kā arī uzņēmumiem, kas vēlas kotēt savas akcijas biržā. Attiecībā uz ilgtspējīgu finansēšanu, Baltijas valstu biržas ir pievienojušās ESG mērķu ziņošanas portālam. Aktualizēta ziņošanas sistēma ir ieviesta 2019.gada maijā, kur informāciju sniedz zviedru, somu, dāņu, islandiešu un Baltijas uzņēmumi, kas integrējuši ESG mērķus savās uzņēmējdarbības stratēģijās. Kopumā šobrīd informāciju par ESG mērķiem, kas aptver plašu informācijas loku par vides, sociāliem un pārvaldības aspektiem sniedz 430 uzņēmumi, tajā skaitā daži uzņēmumi no Baltijas.</w:t>
      </w:r>
    </w:p>
    <w:p w:rsidR="00F65285" w:rsidRDefault="00F65285" w:rsidP="00F65285">
      <w:pPr>
        <w:spacing w:before="240" w:line="240" w:lineRule="auto"/>
        <w:jc w:val="both"/>
      </w:pPr>
      <w:r>
        <w:t>Attiecībā uz maksājumiem Latvijas Banka ir izveidojusi sistēmu, kas nodrošina bankām iespēju piedāvāt saviem klientiem zibmaksājumus</w:t>
      </w:r>
      <w:r>
        <w:rPr>
          <w:rStyle w:val="FootnoteReference"/>
        </w:rPr>
        <w:footnoteReference w:id="17"/>
      </w:r>
      <w:r>
        <w:t xml:space="preserve">, nodrošinot naudas pārskaitīšanu no konta vienā bankā uz kontu citā bankā dažu sekunžu laikā 24 stundas diennaktī, t.sk. brīvdienās un svētku dienās. Nodrošināta arī sasniedzamība visā vienotajā </w:t>
      </w:r>
      <w:r w:rsidRPr="00F01D0C">
        <w:rPr>
          <w:i/>
          <w:iCs/>
        </w:rPr>
        <w:t>e</w:t>
      </w:r>
      <w:r>
        <w:rPr>
          <w:i/>
          <w:iCs/>
        </w:rPr>
        <w:t>u</w:t>
      </w:r>
      <w:r w:rsidRPr="00F01D0C">
        <w:rPr>
          <w:i/>
          <w:iCs/>
        </w:rPr>
        <w:t>ro</w:t>
      </w:r>
      <w:r>
        <w:t xml:space="preserve"> maksājumu telpā (SEPA), tādējādi momentāns zibmaksājums iespējams uz jebkuru kontu SEPA valstī, t.sk. arī neatkarīgi no citu valstu svētku dienām. Latvijas Bankas uzturētais Zibsaišu reģistrs nodrošina iespēju veikt </w:t>
      </w:r>
      <w:r>
        <w:lastRenderedPageBreak/>
        <w:t xml:space="preserve">maksājumus </w:t>
      </w:r>
      <w:r w:rsidRPr="00F33A97">
        <w:t xml:space="preserve">starp kontiem dažādās kredītiestādēs, </w:t>
      </w:r>
      <w:r>
        <w:t>lietojot</w:t>
      </w:r>
      <w:r w:rsidRPr="00F33A97">
        <w:t xml:space="preserve"> saņēmēja </w:t>
      </w:r>
      <w:r>
        <w:t xml:space="preserve">mobilā </w:t>
      </w:r>
      <w:r w:rsidRPr="00F33A97">
        <w:t>tālruņa numuru</w:t>
      </w:r>
      <w:r>
        <w:t xml:space="preserve"> bez nepieciešamības zināt konta numuru. Latvijas Bankas Zibsaišu reģistru šobrīd aktīvi izmanto ne tikai Latvijas, bet arī Igaunijas lielākās</w:t>
      </w:r>
      <w:r w:rsidDel="00D369D7">
        <w:t xml:space="preserve"> </w:t>
      </w:r>
      <w:r>
        <w:t xml:space="preserve">kredītiestādes. </w:t>
      </w:r>
    </w:p>
    <w:p w:rsidR="00F65285" w:rsidRDefault="00F65285" w:rsidP="00F65285">
      <w:pPr>
        <w:spacing w:line="240" w:lineRule="auto"/>
        <w:jc w:val="both"/>
      </w:pPr>
      <w:r>
        <w:t>2020. gada septembrī Latvijas Banka paziņoja par darba uzsākšanu sadarbībā ar bankām un citiem finanšu nozares spēlētājiem pie nākamās nozīmīgās inovācijas, kas ir zibenīgu maksājumu pieprasījumu (</w:t>
      </w:r>
      <w:r>
        <w:rPr>
          <w:i/>
          <w:iCs/>
        </w:rPr>
        <w:t>Request-to-Pay</w:t>
      </w:r>
      <w:r>
        <w:t>) jeb zibprasījumu ieviešana starpbanku līmenī, t.sk. izmantojot Zibsaišu reģistra sniegtās iespējas. Šī inovācija varētu īpaši ieinteresēt uzņēmējus un būt tiem noderīga, un vienlaikus arī iedzīvotāji savstarpēji varēs veikt maksājumus vēl ērtāk un daudzveidīgāk.</w:t>
      </w:r>
      <w:r w:rsidR="00DB7FA3">
        <w:t xml:space="preserve"> </w:t>
      </w:r>
      <w:r>
        <w:t>Līdz ar zibprasījumu ieviešanu Latvijas Banka būs nodrošinājusi visaptverošu komplektu inovatīvu starpbanku maksājumu attīstībai un plašai izmantošanai ērtākiem maksājumiem starp personām, e-komercijā, tirdzniecībā, rēķinu apmaksā, klātienes maksājumos (piemēram, par valsts sniegtajiem pakalpojumiem) un faktiski jebkurā citā jomā.</w:t>
      </w:r>
    </w:p>
    <w:p w:rsidR="00F65285" w:rsidRDefault="00F65285" w:rsidP="00F65285">
      <w:pPr>
        <w:spacing w:line="240" w:lineRule="auto"/>
        <w:jc w:val="both"/>
      </w:pPr>
      <w:r>
        <w:t>Zibprasījumu attīstība ir viens no pirmajiem darbības virzieniem Latvijas Bankas izveidotajā inovatīvajā sadarbības un eksperimentēšanas platformā – Zibmaksājumu laboratorijā ZibLab++. Tās mērķis ir veicināt un koordinēt inovatīvu starpbanku maksājumu risinājumu attīstību uz zibmaksājumu un zibsaišu tehnoloģijas bāzes Baltijas valstīs.</w:t>
      </w:r>
      <w:r>
        <w:rPr>
          <w:rStyle w:val="FootnoteReference"/>
          <w:rFonts w:eastAsia="Times New Roman"/>
          <w:color w:val="292936"/>
          <w:lang w:eastAsia="lv-LV"/>
        </w:rPr>
        <w:footnoteReference w:id="18"/>
      </w:r>
      <w:r>
        <w:t xml:space="preserve"> Zibmaksājumi Latvijā ir nākamais inovatīvo maksājumu instrumentu attīstības lēciens pēc </w:t>
      </w:r>
      <w:r w:rsidRPr="001828BB">
        <w:rPr>
          <w:i/>
        </w:rPr>
        <w:t>euro</w:t>
      </w:r>
      <w:r>
        <w:rPr>
          <w:i/>
        </w:rPr>
        <w:t xml:space="preserve"> </w:t>
      </w:r>
      <w:r>
        <w:t>ieviešanas un iekļaušanās SEPA.</w:t>
      </w:r>
    </w:p>
    <w:p w:rsidR="00F65285" w:rsidRDefault="00F65285" w:rsidP="00F65285">
      <w:pPr>
        <w:spacing w:before="240" w:after="0" w:line="240" w:lineRule="auto"/>
        <w:jc w:val="both"/>
      </w:pPr>
      <w:r>
        <w:t xml:space="preserve">Inovatīvo maksājumu attīstībai svarīgi ne tikai nodrošināt modernas, efektīvas un drošas maksājumu sistēmas, bet arī veicināt uz tām balstītu ērtu un lētu maksājumu pakalpojumu attīstību un pieejamību patērētājiem. </w:t>
      </w:r>
    </w:p>
    <w:p w:rsidR="00F65285" w:rsidRDefault="00F65285" w:rsidP="00F65285">
      <w:pPr>
        <w:spacing w:before="240" w:after="0" w:line="240" w:lineRule="auto"/>
        <w:jc w:val="both"/>
      </w:pPr>
      <w:r>
        <w:t xml:space="preserve">Pirmkārt, Latvijas maksājumu pakalpojumu sniedzējiem nepieciešams izpildīt </w:t>
      </w:r>
      <w:r w:rsidRPr="00F01D0C">
        <w:t>Eiropas Parlamenta un Padomes Regula (ES) Nr. 260/2012 (2012. gada 14. marts), ar ko nosaka tehniskās un darbības prasības kredīta pārvedumiem un tiešā debeta maksājumiem euro</w:t>
      </w:r>
      <w:r>
        <w:t>, prasības, no kurām izriet</w:t>
      </w:r>
      <w:r w:rsidRPr="00F01D0C">
        <w:t xml:space="preserve"> </w:t>
      </w:r>
      <w:r w:rsidRPr="00E663C5">
        <w:t xml:space="preserve">Eiropas maksājumu padomes (EPC) </w:t>
      </w:r>
      <w:r>
        <w:t xml:space="preserve">rekomendācija </w:t>
      </w:r>
      <w:r w:rsidRPr="00E663C5">
        <w:t xml:space="preserve">un </w:t>
      </w:r>
      <w:r w:rsidR="005B4BF5">
        <w:t>EK</w:t>
      </w:r>
      <w:r w:rsidRPr="00E663C5">
        <w:t xml:space="preserve"> </w:t>
      </w:r>
      <w:r>
        <w:t>Neliela apjoma maksājumu stratēģijas (</w:t>
      </w:r>
      <w:r w:rsidRPr="00AF5173">
        <w:rPr>
          <w:i/>
          <w:iCs/>
        </w:rPr>
        <w:t>Retail payments strategy</w:t>
      </w:r>
      <w:r>
        <w:t xml:space="preserve">) vīzija, ka </w:t>
      </w:r>
      <w:r w:rsidRPr="00E663C5">
        <w:t xml:space="preserve">SEPA tiešajiem dalībniekiem </w:t>
      </w:r>
      <w:r>
        <w:t>jā</w:t>
      </w:r>
      <w:r w:rsidRPr="00E663C5">
        <w:t>būt sasniedzamiem zibmaksājumos (</w:t>
      </w:r>
      <w:r w:rsidRPr="00E663C5">
        <w:rPr>
          <w:i/>
          <w:iCs/>
        </w:rPr>
        <w:t>SCT Inst</w:t>
      </w:r>
      <w:r w:rsidRPr="00E663C5">
        <w:t>) līdz 2020. gada beigām.</w:t>
      </w:r>
      <w:r>
        <w:rPr>
          <w:rStyle w:val="FootnoteReference"/>
        </w:rPr>
        <w:footnoteReference w:id="19"/>
      </w:r>
      <w:r>
        <w:t xml:space="preserve"> </w:t>
      </w:r>
      <w:r w:rsidR="005B4BF5">
        <w:t xml:space="preserve">ES </w:t>
      </w:r>
      <w:r>
        <w:t xml:space="preserve"> Neliela apjoma maksājumu stratēģija</w:t>
      </w:r>
      <w:r>
        <w:rPr>
          <w:rStyle w:val="FootnoteReference"/>
        </w:rPr>
        <w:footnoteReference w:id="20"/>
      </w:r>
      <w:r>
        <w:t xml:space="preserve"> nosaka zibmaksājumu pilnīgu un visaptverošu ieviešanu par vienu no tās prioritātēm. </w:t>
      </w:r>
    </w:p>
    <w:p w:rsidR="00F65285" w:rsidRPr="00534143" w:rsidRDefault="00F65285" w:rsidP="00F65285">
      <w:pPr>
        <w:spacing w:before="240" w:after="0" w:line="240" w:lineRule="auto"/>
        <w:jc w:val="both"/>
      </w:pPr>
      <w:r>
        <w:lastRenderedPageBreak/>
        <w:t xml:space="preserve">Otrkārt, maksājumu pakalpojumu sniedzēji varētu veidot maksājumu risinājumus saviem klientiem ar daudz lielāku pievienoto vērtību, ja tie būs integrēti Zibsaišu reģistra un zibprasījumu infrastruktūrā. Ir būtiski izmantot šādus uz atvērtiem starpbanku maksājumu standartiem balstītus </w:t>
      </w:r>
      <w:r w:rsidRPr="00534143">
        <w:t>risinājumus, aizstājot slēgtos iekšbanku risinājumus un tādējādi stimulējot jaunu un plaši pieejamu inovatīvu maksājumu risinājumu veidošanu.</w:t>
      </w:r>
    </w:p>
    <w:p w:rsidR="00F65285" w:rsidRDefault="00F65285" w:rsidP="00F65285">
      <w:pPr>
        <w:spacing w:before="240" w:after="0" w:line="240" w:lineRule="auto"/>
        <w:jc w:val="both"/>
      </w:pPr>
      <w:r w:rsidRPr="00534143">
        <w:t>Treškārt, svarīgi, lai valsts pārvaldes iestādes, neatpaliekot no privātā sektora, nodrošina Latvijas iedzīvotājiem iespēju izmantot inovatīvus, uz zibmaksājumiem balstītus, maksājumu risinājumus, veicot norēķinus ar valsts pārvaldes iestādēm, ieskaitot nodokļu maksājumus. Jāatzīmē, ka plānotā zibprasījumu infrastruktūra un ar to saistītie risinājumi maksājumiem interneta vidē un fiziskajās tirdzniecības vietās ir ar lielu potenciālu efektīvi kalpot par valsts e-rēķinu un e-čeku ekosistēmas balstiem.</w:t>
      </w:r>
    </w:p>
    <w:p w:rsidR="00F65285" w:rsidRPr="005B1DCA" w:rsidRDefault="00F65285" w:rsidP="00F65285">
      <w:pPr>
        <w:spacing w:before="240" w:line="240" w:lineRule="auto"/>
        <w:rPr>
          <w:bCs/>
        </w:rPr>
      </w:pPr>
      <w:r w:rsidRPr="005B1DCA">
        <w:rPr>
          <w:bCs/>
        </w:rPr>
        <w:t>Maksājumu attīstības politika būtu jāveido atbilstoši šādām prioritātēm:</w:t>
      </w:r>
    </w:p>
    <w:p w:rsidR="00F65285" w:rsidRPr="005B1DCA" w:rsidRDefault="00F65285" w:rsidP="00F65285">
      <w:pPr>
        <w:pStyle w:val="ListParagraph"/>
        <w:numPr>
          <w:ilvl w:val="0"/>
          <w:numId w:val="14"/>
        </w:numPr>
        <w:spacing w:after="0" w:line="240" w:lineRule="auto"/>
        <w:jc w:val="both"/>
        <w:rPr>
          <w:rFonts w:eastAsia="Times New Roman"/>
          <w:lang w:eastAsia="lv-LV"/>
        </w:rPr>
      </w:pPr>
      <w:r w:rsidRPr="005B1DCA">
        <w:rPr>
          <w:rFonts w:eastAsia="Times New Roman"/>
          <w:lang w:eastAsia="lv-LV"/>
        </w:rPr>
        <w:t>nepieciešams turpināt attīstīt moderno starpbanku maksājumu infrastruktūru un veicināt tās aktīvu izmantošanu;</w:t>
      </w:r>
    </w:p>
    <w:p w:rsidR="00F65285" w:rsidRPr="005B1DCA" w:rsidRDefault="00F65285" w:rsidP="00F65285">
      <w:pPr>
        <w:pStyle w:val="ListParagraph"/>
        <w:numPr>
          <w:ilvl w:val="0"/>
          <w:numId w:val="14"/>
        </w:numPr>
        <w:spacing w:after="0" w:line="240" w:lineRule="auto"/>
        <w:jc w:val="both"/>
        <w:rPr>
          <w:rFonts w:eastAsia="Times New Roman"/>
          <w:lang w:eastAsia="lv-LV"/>
        </w:rPr>
      </w:pPr>
      <w:r w:rsidRPr="005B1DCA">
        <w:rPr>
          <w:rFonts w:eastAsia="Times New Roman"/>
          <w:lang w:eastAsia="lv-LV"/>
        </w:rPr>
        <w:t>jāturpina tādu maksājumu risinājumu veidošana, kas piedāvā paaugstinātu ērtības un lietojamības līmeni, vienlaikus ievērojot drošības prasības.</w:t>
      </w:r>
    </w:p>
    <w:p w:rsidR="00F65285" w:rsidRDefault="00F65285" w:rsidP="00F65285">
      <w:pPr>
        <w:spacing w:line="240" w:lineRule="auto"/>
        <w:rPr>
          <w:b/>
        </w:rPr>
      </w:pPr>
    </w:p>
    <w:p w:rsidR="00F65285" w:rsidRPr="00B05BC8" w:rsidRDefault="00DB7FA3" w:rsidP="003E6F7E">
      <w:pPr>
        <w:pStyle w:val="Heading2"/>
      </w:pPr>
      <w:bookmarkStart w:id="15" w:name="_Toc55202493"/>
      <w:r>
        <w:t xml:space="preserve">4.3. </w:t>
      </w:r>
      <w:r w:rsidR="00F65285">
        <w:t>Nebanku finanšu sektors</w:t>
      </w:r>
      <w:bookmarkEnd w:id="15"/>
    </w:p>
    <w:p w:rsidR="00F65285" w:rsidRDefault="00F65285" w:rsidP="00F65285">
      <w:pPr>
        <w:spacing w:line="240" w:lineRule="auto"/>
        <w:jc w:val="both"/>
      </w:pPr>
      <w:r>
        <w:t>Vēsturiski banku sektors bija viena no jomām ar vislielāko noturību pret pārmaiņām. Papildus, arī patērētāju inertums finanšu pakalpojumos ir augsts. Patērētāji negribīgi maina finanšu pakalpojumu sniedzējus un maksājumu paradumus. Tomēr pēdējos gados ir novērojamas būtiskas izmaiņas. Gandrīz visos finanšu pakalpojumu segmentos strauji pieaug finanšu tehnoloģiju (</w:t>
      </w:r>
      <w:r w:rsidRPr="00DC0E80">
        <w:rPr>
          <w:i/>
          <w:iCs/>
        </w:rPr>
        <w:t>fintech</w:t>
      </w:r>
      <w:r>
        <w:t>) jaunuzņēmumu skaits. Visvairāk šādu uzņēmumu ir klientu maksājumu (</w:t>
      </w:r>
      <w:r>
        <w:rPr>
          <w:i/>
          <w:iCs/>
        </w:rPr>
        <w:t>retail payments</w:t>
      </w:r>
      <w:r>
        <w:t xml:space="preserve">) jomā. Jāatzīmē, ka neveiksmes procentuāla iespējamība </w:t>
      </w:r>
      <w:r>
        <w:rPr>
          <w:i/>
          <w:iCs/>
        </w:rPr>
        <w:t>fintech</w:t>
      </w:r>
      <w:r>
        <w:t xml:space="preserve"> biznesiem ir diezgan augsta. T</w:t>
      </w:r>
      <w:r w:rsidR="00DB7FA3">
        <w:t>omēr t</w:t>
      </w:r>
      <w:r>
        <w:t>as mazākums, kas būs spējīgs izveidot ilgtspējīgu biznesu, visticamāk pamatīgi mainīs noteiktās finanšu pakalpojumu jomas.</w:t>
      </w:r>
      <w:r>
        <w:rPr>
          <w:rStyle w:val="FootnoteReference"/>
        </w:rPr>
        <w:footnoteReference w:id="21"/>
      </w:r>
    </w:p>
    <w:p w:rsidR="00F65285" w:rsidRDefault="00F65285" w:rsidP="00F65285">
      <w:pPr>
        <w:spacing w:line="240" w:lineRule="auto"/>
        <w:jc w:val="both"/>
      </w:pPr>
      <w:r>
        <w:t xml:space="preserve">Jaunāko tehnoloģiju attīstība, ko pavada patērētāja paradumu maiņa, liek finanšu tehnoloģiju jeb </w:t>
      </w:r>
      <w:r w:rsidRPr="00DC0E80">
        <w:rPr>
          <w:i/>
          <w:iCs/>
        </w:rPr>
        <w:t>fintech</w:t>
      </w:r>
      <w:r>
        <w:t xml:space="preserve"> spēlētājiem mainīt </w:t>
      </w:r>
      <w:r w:rsidRPr="00DC0E80">
        <w:rPr>
          <w:i/>
          <w:iCs/>
        </w:rPr>
        <w:t>status quo</w:t>
      </w:r>
      <w:r>
        <w:t>, piedāvājot ātrākus un lētākus pakalpojumus nekā tradicionālie finanšu jomas dalībnieki, kā arī nodrošinot labāku lietotāja pieredzi, t.sk. piedāvājot inovatīvus risinājumus ievērojami ātrāk.</w:t>
      </w:r>
      <w:r>
        <w:rPr>
          <w:rStyle w:val="FootnoteReference"/>
        </w:rPr>
        <w:footnoteReference w:id="22"/>
      </w:r>
    </w:p>
    <w:p w:rsidR="00F65285" w:rsidRDefault="00F65285" w:rsidP="00F65285">
      <w:pPr>
        <w:spacing w:line="240" w:lineRule="auto"/>
        <w:jc w:val="both"/>
      </w:pPr>
      <w:r>
        <w:lastRenderedPageBreak/>
        <w:t xml:space="preserve">Pēdējos gados finanšu tehnoloģiju attīstība kļuvusi par ievērojamu tendenci finanšu sektora attīstībā, radot konkurenci un jaunas inovācijas, tādējādi uzlabojot klientu ikdienu un paradumus. Tomēr </w:t>
      </w:r>
      <w:r w:rsidRPr="004C3715">
        <w:t xml:space="preserve">Latvijas </w:t>
      </w:r>
      <w:r w:rsidRPr="00DC0E80">
        <w:rPr>
          <w:i/>
          <w:iCs/>
        </w:rPr>
        <w:t>fintech</w:t>
      </w:r>
      <w:r w:rsidRPr="004C3715">
        <w:t xml:space="preserve"> uzņēmumi joprojām ir salīdzinoši mazi un atrodas </w:t>
      </w:r>
      <w:r>
        <w:t>sākotnējās</w:t>
      </w:r>
      <w:r w:rsidDel="00D22CD8">
        <w:t xml:space="preserve"> </w:t>
      </w:r>
      <w:r w:rsidRPr="004C3715">
        <w:t xml:space="preserve">attīstības stadijā, bet tajā pašā laikā tie ir strauji augoši un ar lielu potenciālu kļūt ļoti ienesīgi, turklāt jau tagad veicina valsts ekonomikas izaugsmi. Nākotnē </w:t>
      </w:r>
      <w:r w:rsidRPr="00DC0E80">
        <w:rPr>
          <w:i/>
          <w:iCs/>
        </w:rPr>
        <w:t>fintech</w:t>
      </w:r>
      <w:r w:rsidRPr="004C3715">
        <w:t xml:space="preserve"> uzņēmumi varētu kļūt par vērtīgu komercbanku sadarbības partneri un veicināt finanšu sistēmas attīstību Latvijā</w:t>
      </w:r>
      <w:r>
        <w:t>.</w:t>
      </w:r>
      <w:bookmarkStart w:id="16" w:name="_Hlk54306703"/>
      <w:r>
        <w:rPr>
          <w:rStyle w:val="FootnoteReference"/>
        </w:rPr>
        <w:footnoteReference w:id="23"/>
      </w:r>
      <w:bookmarkEnd w:id="16"/>
    </w:p>
    <w:p w:rsidR="00F65285" w:rsidRDefault="00F65285" w:rsidP="00F65285">
      <w:pPr>
        <w:spacing w:line="240" w:lineRule="auto"/>
        <w:jc w:val="both"/>
      </w:pPr>
      <w:r>
        <w:t>Tā kā finanšu pakalpojumu sektorā ir salīdzinoši augstas darbības uzsākšanas barjeras, inovāciju veicināšanā un jaunu spēlētāju ienākšanai tirgū ļoti būtisks ir arī uzraugošo institūciju atbalsts. Atbalsts inovatīvām finanšu tehnoloģijām ir viens no FKTK stratēģiskajiem darbības virzieniem. Šī virziena ietvaros finanšu tirgus uzraugs</w:t>
      </w:r>
      <w:r w:rsidR="00BA390B">
        <w:t xml:space="preserve"> ir izveidojis divas atbalsta programmas Inovāciju centrs un Inovāciju smilšukaste, kur pirmajām no minētajām atbalsta programmām FKTK sniedz bezmaksas konsultācijas un atbalstu</w:t>
      </w:r>
      <w:r>
        <w:t xml:space="preserve"> potenciālajiem tirgus dalībniekiem licencēšanas jautājumos</w:t>
      </w:r>
      <w:r w:rsidR="003E7D92">
        <w:t xml:space="preserve">, tajā skaitā jautājumos, kas saistīts ar FKTK viedokli par dažādu </w:t>
      </w:r>
      <w:r w:rsidR="000A419D">
        <w:rPr>
          <w:i/>
        </w:rPr>
        <w:t>f</w:t>
      </w:r>
      <w:r w:rsidR="003E7D92">
        <w:rPr>
          <w:i/>
        </w:rPr>
        <w:t>intech</w:t>
      </w:r>
      <w:r w:rsidR="003E7D92">
        <w:t xml:space="preserve"> risinājumu pielietošanu un izmantošanu Latvijā, savukārt otrajā no minētajām atbalsta programmām FKTK </w:t>
      </w:r>
      <w:r>
        <w:t>piedāvā iespēju testēt jaunus finanšu produktus Inovāciju smilškastē.</w:t>
      </w:r>
      <w:r>
        <w:rPr>
          <w:rStyle w:val="FootnoteReference"/>
        </w:rPr>
        <w:footnoteReference w:id="24"/>
      </w:r>
      <w:r w:rsidR="003E7D92">
        <w:t xml:space="preserve"> Vienlaikus FKTK turpina darbu pie dažādu </w:t>
      </w:r>
      <w:r w:rsidR="003E7D92">
        <w:rPr>
          <w:i/>
        </w:rPr>
        <w:t>SupTech</w:t>
      </w:r>
      <w:r w:rsidR="003E7D92">
        <w:t xml:space="preserve"> risinājumu pilnveides un attīstības.</w:t>
      </w:r>
    </w:p>
    <w:p w:rsidR="00F65285" w:rsidRPr="004163D1" w:rsidRDefault="00F65285" w:rsidP="00F65285">
      <w:pPr>
        <w:spacing w:line="240" w:lineRule="auto"/>
        <w:jc w:val="both"/>
      </w:pPr>
      <w:bookmarkStart w:id="17" w:name="_Hlk54344618"/>
      <w:r>
        <w:t>2019. gadā Starptautiskā Norēķinu banka (</w:t>
      </w:r>
      <w:r>
        <w:rPr>
          <w:i/>
          <w:iCs/>
        </w:rPr>
        <w:t>Bank for International Settlements</w:t>
      </w:r>
      <w:r>
        <w:t>)</w:t>
      </w:r>
      <w:r w:rsidR="005B4BF5">
        <w:t xml:space="preserve"> (BIS)</w:t>
      </w:r>
      <w:r>
        <w:t xml:space="preserve"> izveidoja BIS Inovāciju habu</w:t>
      </w:r>
      <w:r>
        <w:rPr>
          <w:rStyle w:val="FootnoteReference"/>
        </w:rPr>
        <w:footnoteReference w:id="25"/>
      </w:r>
      <w:r>
        <w:t xml:space="preserve">, lai identificētu un attīstītu padziļinātus novērojumus attiecībā uz kritiskajām tendencēm finanšu tehnoloģijās un to saistību ar centrālajām bankām, lai pētītu sabiedriskā labuma potenciālu veicināt globālās finanšu sistēmas funkcionēšanu, kā arī lai kalpotu kā fokusa vieta centrālo banku inovāciju ekspertu tīklam. Starp projektiem, pie kuriem šobrīd tiek aktīvi strādāts ir regulatīvo un uzraudzības tehnoloģisko pieeju (t.s. </w:t>
      </w:r>
      <w:r>
        <w:rPr>
          <w:i/>
          <w:iCs/>
        </w:rPr>
        <w:t xml:space="preserve">RegTech </w:t>
      </w:r>
      <w:r w:rsidRPr="004163D1">
        <w:t>un</w:t>
      </w:r>
      <w:r>
        <w:rPr>
          <w:i/>
          <w:iCs/>
        </w:rPr>
        <w:t xml:space="preserve"> SupTech</w:t>
      </w:r>
      <w:r>
        <w:t xml:space="preserve">) attīstība, globālais maksājumu steks, tokenizācija, tirdzniecības darījumu digitalizācijas process u.c. </w:t>
      </w:r>
      <w:r w:rsidR="005B4BF5">
        <w:t>2020.gada 30.</w:t>
      </w:r>
      <w:r>
        <w:t xml:space="preserve"> jūnijā </w:t>
      </w:r>
      <w:r w:rsidR="005B4BF5">
        <w:t>BIS</w:t>
      </w:r>
      <w:r>
        <w:t xml:space="preserve"> paziņoja par plāniem izveidot četrus jaunus BIS Inovāciju habus – Toronto, Londonā, Ziemeļeiropas habu Londonā un Eirosistēmas habu Frankfurtē un Parīzē. Latvijas Banka, aktīvi iesaistoties Eirosistēmas pieteikuma sagatavošanā, novēroja, ka </w:t>
      </w:r>
      <w:r w:rsidR="005B4BF5">
        <w:t>BIS</w:t>
      </w:r>
      <w:r>
        <w:t xml:space="preserve"> kā vienu no galvenajām prasībām potenciālajai lokācijas vietai izvirza attīstītu inovatīvu finanšu pakalpojumu</w:t>
      </w:r>
      <w:bookmarkEnd w:id="17"/>
      <w:r>
        <w:t xml:space="preserve"> </w:t>
      </w:r>
      <w:bookmarkStart w:id="18" w:name="_Hlk54344630"/>
      <w:r>
        <w:t xml:space="preserve">ekosistēmu, ko veido seši pamatbloki un kas shematiski attēlota zemāk. Šo metodoloģiju Latvija varētu izmantot, lai novērtētu Latvijas </w:t>
      </w:r>
      <w:r>
        <w:rPr>
          <w:i/>
          <w:iCs/>
        </w:rPr>
        <w:t xml:space="preserve">fintech </w:t>
      </w:r>
      <w:r>
        <w:t>ekosistēmu un definētu virzienus, kuros šobrīd ir nepieciešama aktīva rīcība situācijas uzlabošanai.</w:t>
      </w:r>
      <w:bookmarkEnd w:id="18"/>
    </w:p>
    <w:p w:rsidR="00F05961" w:rsidRDefault="009E0E42" w:rsidP="005B1DCA">
      <w:pPr>
        <w:keepNext/>
        <w:spacing w:line="240" w:lineRule="auto"/>
        <w:jc w:val="both"/>
      </w:pPr>
      <w:r>
        <w:rPr>
          <w:noProof/>
          <w:lang w:eastAsia="lv-LV"/>
        </w:rPr>
        <w:lastRenderedPageBreak/>
        <w:drawing>
          <wp:inline distT="0" distB="0" distL="0" distR="0" wp14:anchorId="0A4D0ACD" wp14:editId="19874F7B">
            <wp:extent cx="5274310" cy="3076575"/>
            <wp:effectExtent l="0" t="0" r="0"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E0E42" w:rsidRDefault="00F05961" w:rsidP="005B1DCA">
      <w:pPr>
        <w:pStyle w:val="Caption"/>
        <w:jc w:val="both"/>
      </w:pPr>
      <w:r>
        <w:t xml:space="preserve">Ilustrācija </w:t>
      </w:r>
      <w:r w:rsidR="00AD70AB">
        <w:fldChar w:fldCharType="begin"/>
      </w:r>
      <w:r w:rsidR="00AD70AB">
        <w:instrText xml:space="preserve"> SEQ Ilustrācija \* ARABIC </w:instrText>
      </w:r>
      <w:r w:rsidR="00AD70AB">
        <w:fldChar w:fldCharType="separate"/>
      </w:r>
      <w:r>
        <w:rPr>
          <w:noProof/>
        </w:rPr>
        <w:t>13</w:t>
      </w:r>
      <w:r w:rsidR="00AD70AB">
        <w:rPr>
          <w:noProof/>
        </w:rPr>
        <w:fldChar w:fldCharType="end"/>
      </w:r>
      <w:r>
        <w:t xml:space="preserve"> Finanšu inovāciju ekosistēmas elementi</w:t>
      </w:r>
    </w:p>
    <w:p w:rsidR="00F65285" w:rsidRDefault="00F65285" w:rsidP="00F65285">
      <w:pPr>
        <w:spacing w:line="240" w:lineRule="auto"/>
        <w:jc w:val="both"/>
      </w:pPr>
    </w:p>
    <w:p w:rsidR="00F65285" w:rsidRDefault="00F65285" w:rsidP="00F65285">
      <w:pPr>
        <w:spacing w:line="240" w:lineRule="auto"/>
        <w:jc w:val="both"/>
      </w:pPr>
      <w:r>
        <w:t xml:space="preserve">Latvijā darbojas aptuveni 70 – 90 </w:t>
      </w:r>
      <w:r w:rsidRPr="00DC0E80">
        <w:rPr>
          <w:i/>
          <w:iCs/>
        </w:rPr>
        <w:t>fintech</w:t>
      </w:r>
      <w:r w:rsidRPr="00DC0E80">
        <w:t xml:space="preserve"> uzņēmumu</w:t>
      </w:r>
      <w:r w:rsidR="003E7D92">
        <w:t xml:space="preserve"> dažādās finanšu pakalpojumu jomās</w:t>
      </w:r>
      <w:r w:rsidRPr="00DC0E80">
        <w:t>.</w:t>
      </w:r>
      <w:r>
        <w:t xml:space="preserve"> Šo uzņēmumu skaits pēdējo trīs gadu laikā kopumā ir pieaudzis. Visvairāk uzņēmumu darbojas aizdevumu un </w:t>
      </w:r>
      <w:r w:rsidR="003E7D92">
        <w:t xml:space="preserve">dažādu ar </w:t>
      </w:r>
      <w:r>
        <w:t xml:space="preserve">maksājumu pakalpojumu </w:t>
      </w:r>
      <w:r w:rsidR="003E7D92">
        <w:t xml:space="preserve">sniegšanu saistītu elementu nodrošināšanas </w:t>
      </w:r>
      <w:r>
        <w:t>jomā, tomēr pārstāvētas ir arī tādas darbības jomas kā tiešsaistes investīcijas un P2P, finanšu programmatūra, blokķēdes tehnoloģijā balstīti pakalpojumi, kripto aktīvi, analītika un citi. Kā lielākos izaicinājumus tuvākajā nākotnē dibinātāji min paplašināšanos starptautiskajos tirgos, atbilstošu darbinieku piesaisti un citus.</w:t>
      </w:r>
      <w:r>
        <w:rPr>
          <w:rStyle w:val="FootnoteReference"/>
        </w:rPr>
        <w:footnoteReference w:id="26"/>
      </w:r>
    </w:p>
    <w:p w:rsidR="00F65285" w:rsidRDefault="00F65285" w:rsidP="00F65285">
      <w:pPr>
        <w:spacing w:line="240" w:lineRule="auto"/>
        <w:jc w:val="both"/>
      </w:pPr>
      <w:r>
        <w:t xml:space="preserve">Viena no globāli visvairāk attīstītajām finanšu tehnoloģiju jomām ir maksājumu pakalpojumi. Tā, Lietuvā, kopš nacionālās </w:t>
      </w:r>
      <w:r w:rsidRPr="00DC0E80">
        <w:rPr>
          <w:i/>
          <w:iCs/>
        </w:rPr>
        <w:t>fintech</w:t>
      </w:r>
      <w:r w:rsidRPr="00DC0E80">
        <w:t xml:space="preserve"> stratēģijas izveides 2017. gadā maksājumu</w:t>
      </w:r>
      <w:r w:rsidR="00574D17">
        <w:t xml:space="preserve"> jomas</w:t>
      </w:r>
      <w:r w:rsidRPr="00DC0E80">
        <w:t xml:space="preserve"> izsniegto licenču (elektroniskās naudas iestādes vai maksājumu iestādes licence) skaits ir dubultojies, sasniedzot š.g. 2. ceturksnī 118 licencētās iestādes (2017. gada 2. ceturksnī – 57 iestādes).</w:t>
      </w:r>
      <w:r w:rsidRPr="00DC0E80">
        <w:rPr>
          <w:rStyle w:val="FootnoteReference"/>
        </w:rPr>
        <w:footnoteReference w:id="27"/>
      </w:r>
      <w:r w:rsidRPr="00DC0E80">
        <w:t xml:space="preserve"> Savukārt Latvijā, šis rādītāja 3 gadu laik</w:t>
      </w:r>
      <w:r w:rsidR="00574D17">
        <w:t>ā</w:t>
      </w:r>
      <w:r w:rsidRPr="00DC0E80">
        <w:t xml:space="preserve"> nav </w:t>
      </w:r>
      <w:r w:rsidR="00574D17">
        <w:t>palielinājies</w:t>
      </w:r>
      <w:r w:rsidR="00574D17" w:rsidRPr="00DC0E80">
        <w:t xml:space="preserve"> </w:t>
      </w:r>
      <w:r w:rsidRPr="00DC0E80">
        <w:t xml:space="preserve">un Latvijā šobrīd darbojas </w:t>
      </w:r>
      <w:r w:rsidR="00574D17">
        <w:t xml:space="preserve">8 </w:t>
      </w:r>
      <w:r>
        <w:t xml:space="preserve">elektroniskās naudas iestādes un </w:t>
      </w:r>
      <w:r w:rsidR="00574D17">
        <w:t xml:space="preserve">6 </w:t>
      </w:r>
      <w:r>
        <w:t>maksājumu iestādes.</w:t>
      </w:r>
      <w:r>
        <w:rPr>
          <w:rStyle w:val="FootnoteReference"/>
        </w:rPr>
        <w:footnoteReference w:id="28"/>
      </w:r>
      <w:r w:rsidR="00574D17">
        <w:t xml:space="preserve"> Tomēr ne Latvijā, ne Lietuvā visi no maksājumu jomas licencētiem tirgus dalībniekiem būtu automātiski uzskatāmi par </w:t>
      </w:r>
      <w:r w:rsidR="00574D17">
        <w:rPr>
          <w:i/>
        </w:rPr>
        <w:t>fintech</w:t>
      </w:r>
      <w:r w:rsidR="00574D17">
        <w:t xml:space="preserve"> uzņēmumiem.</w:t>
      </w:r>
    </w:p>
    <w:p w:rsidR="005D1EC6" w:rsidRPr="00574D17" w:rsidRDefault="005D1EC6" w:rsidP="00F65285">
      <w:pPr>
        <w:spacing w:line="240" w:lineRule="auto"/>
        <w:jc w:val="both"/>
      </w:pPr>
      <w:r>
        <w:t>Svarīgi būtu uzsvērt, ka Latvija kopš pārstrādātās otrās maksājumu pakalpojumu direktīvas (PSD2) ieviešanas 18.07.2018. ir mainījusi prasības darbības uzsākšanai, kā rezultātā reģistrācijas režīms paredz atbrīvojumu no licences saņemšanas vienīgi ierobežotai darbībai tikai Latvijā. Šīs izmaiņas tika veiktas, lai nodrošinātu atbilstību direktīvas piedāvātās izvēles sākotnējam mērķim – skaidrāk noteiktu darbības ierobežojumus, proti, darbības aizliegumu pārrobežā. Tika noteikts, ka reģistrētas maksājumu iestādes un elektroniskās naudas iestādes darbība var būt vienīgi Latvijas teritorijā, kā arī klienti var būt tikai tādi, kas atrodas Latvijā vai ir cieši saistīti ar Latviju. Šo izmaiņu rezultātā samazinājās reģistrēto iestāžu skaits. Visas reģistrētās iestādes, lai turpinātu plašāka mēroga darbību, tika aicinātas saņemt licences, kā arī tika palielināta licencēto iestāžu darbības nozīmība, vairāk koncentrējot to ilgtspējīgu darbību ne tikai Latvijas, bet visas ES mērogā.</w:t>
      </w:r>
    </w:p>
    <w:p w:rsidR="00F65285" w:rsidRDefault="00F65285" w:rsidP="00F65285">
      <w:pPr>
        <w:spacing w:line="240" w:lineRule="auto"/>
        <w:jc w:val="both"/>
      </w:pPr>
      <w:r>
        <w:t xml:space="preserve">Globālajā </w:t>
      </w:r>
      <w:r w:rsidRPr="00DC0E80">
        <w:rPr>
          <w:i/>
          <w:iCs/>
        </w:rPr>
        <w:t>Findexable FinTech</w:t>
      </w:r>
      <w:r>
        <w:t xml:space="preserve"> indeksā, kas tika publicēts 2019. gada nogalē, Lietuva ieguva augsto 4. vietu, Igaunija – 10. vietu,  bet Latvija – 49. vietu. Savukārt, </w:t>
      </w:r>
      <w:r w:rsidRPr="00DC0E80">
        <w:rPr>
          <w:i/>
          <w:iCs/>
        </w:rPr>
        <w:t>fintech</w:t>
      </w:r>
      <w:r>
        <w:t xml:space="preserve"> pilsētu  sarakstā, Viļņa aizņēma – 29. vietu (6. vieta Eiropas reģionā), Tallina attiecīgi 45. vietu (14. vieta Eiropas reģionā), savukārt Rīga tikai 96. vietu (34. vietu Eiropas reģionā)</w:t>
      </w:r>
      <w:r>
        <w:rPr>
          <w:rStyle w:val="FootnoteReference"/>
        </w:rPr>
        <w:footnoteReference w:id="29"/>
      </w:r>
      <w:r>
        <w:t xml:space="preserve"> </w:t>
      </w:r>
    </w:p>
    <w:p w:rsidR="00F65285" w:rsidRDefault="00F65285" w:rsidP="00F65285">
      <w:pPr>
        <w:spacing w:line="240" w:lineRule="auto"/>
        <w:jc w:val="both"/>
      </w:pPr>
      <w:r>
        <w:t xml:space="preserve">Iepriekšminētais liecina par to, ka </w:t>
      </w:r>
      <w:r w:rsidRPr="00DC0E80">
        <w:rPr>
          <w:i/>
          <w:iCs/>
        </w:rPr>
        <w:t>fintech</w:t>
      </w:r>
      <w:r>
        <w:t xml:space="preserve"> attīstībā Latvijā ir novērojamas būtiskas problēmas un būtu steidzami nepieciešama rīcība </w:t>
      </w:r>
      <w:r w:rsidRPr="00DC0E80">
        <w:rPr>
          <w:i/>
          <w:iCs/>
        </w:rPr>
        <w:t>fintech</w:t>
      </w:r>
      <w:r>
        <w:t xml:space="preserve"> ekosistēmas</w:t>
      </w:r>
      <w:r w:rsidDel="00D22CD8">
        <w:t xml:space="preserve"> </w:t>
      </w:r>
      <w:r>
        <w:t>attīstības stimulēšanai Latvijā.</w:t>
      </w:r>
    </w:p>
    <w:p w:rsidR="00F65285" w:rsidRDefault="00F65285" w:rsidP="00F65285">
      <w:pPr>
        <w:spacing w:line="240" w:lineRule="auto"/>
        <w:jc w:val="both"/>
      </w:pPr>
      <w:r>
        <w:t>Latvijā šobrīd nepastāv</w:t>
      </w:r>
      <w:r w:rsidRPr="00407FC0">
        <w:t xml:space="preserve"> </w:t>
      </w:r>
      <w:r>
        <w:t xml:space="preserve">speciāla </w:t>
      </w:r>
      <w:r w:rsidRPr="00DC0E80">
        <w:rPr>
          <w:i/>
          <w:iCs/>
        </w:rPr>
        <w:t>fintech</w:t>
      </w:r>
      <w:r>
        <w:t xml:space="preserve"> likumdošana</w:t>
      </w:r>
      <w:r w:rsidR="005D1EC6">
        <w:t>, izņemot iestāžu licencēšanas un uzraudzības maksas atvieglojumus, kurus paredz Maksājumu pakalpojumu un elektroniskās naudas likums</w:t>
      </w:r>
      <w:r>
        <w:t>. No vienas puses, papildus regulācija būtu uzskatāma par apgrūtinājumu, tomēr Latvijas gadījumā</w:t>
      </w:r>
      <w:r w:rsidR="005D1EC6">
        <w:t xml:space="preserve"> būtu nepieciešams izstrādāt valstiska mēroga </w:t>
      </w:r>
      <w:r w:rsidR="005D1EC6">
        <w:rPr>
          <w:i/>
        </w:rPr>
        <w:t xml:space="preserve">fintech </w:t>
      </w:r>
      <w:r w:rsidR="005D1EC6">
        <w:t>attīstības politiku, kas noteiktu</w:t>
      </w:r>
      <w:r w:rsidR="000A4FAA">
        <w:t xml:space="preserve"> valsts līmeņa</w:t>
      </w:r>
      <w:r w:rsidR="005D1EC6">
        <w:t xml:space="preserve"> </w:t>
      </w:r>
      <w:r w:rsidR="005D1EC6" w:rsidRPr="005B1DCA">
        <w:rPr>
          <w:i/>
        </w:rPr>
        <w:t xml:space="preserve">fintech </w:t>
      </w:r>
      <w:r w:rsidR="005D1EC6">
        <w:t>attīstības virzienu prioritātes</w:t>
      </w:r>
      <w:r w:rsidR="000A4FAA">
        <w:t xml:space="preserve">, kas </w:t>
      </w:r>
      <w:r>
        <w:t xml:space="preserve">varētu tieši stimulēt </w:t>
      </w:r>
      <w:r w:rsidRPr="00DC0E80">
        <w:rPr>
          <w:i/>
          <w:iCs/>
        </w:rPr>
        <w:t>fintech</w:t>
      </w:r>
      <w:r>
        <w:t xml:space="preserve"> attīstību Latvijā. </w:t>
      </w:r>
      <w:r w:rsidRPr="00DC0E80">
        <w:rPr>
          <w:i/>
          <w:iCs/>
        </w:rPr>
        <w:t>Fin</w:t>
      </w:r>
      <w:r>
        <w:rPr>
          <w:i/>
          <w:iCs/>
        </w:rPr>
        <w:t>t</w:t>
      </w:r>
      <w:r w:rsidRPr="00DC0E80">
        <w:rPr>
          <w:i/>
          <w:iCs/>
        </w:rPr>
        <w:t>ech</w:t>
      </w:r>
      <w:r>
        <w:t xml:space="preserve"> nozare paļaujas uz tradicionālajiem banku pakalpojumiem, jo visām </w:t>
      </w:r>
      <w:r w:rsidRPr="00DC0E80">
        <w:rPr>
          <w:i/>
          <w:iCs/>
        </w:rPr>
        <w:t>fintech</w:t>
      </w:r>
      <w:r>
        <w:t xml:space="preserve"> kompānijām ir nepieciešams konts bankā, tādējādi padarot tās būtiski atkarīgas no banku politikas. Savukārt, ekonomiskā un sociālā vide kopumā stimulē tirgus attīstību. </w:t>
      </w:r>
      <w:r w:rsidRPr="00DC0E80">
        <w:rPr>
          <w:i/>
          <w:iCs/>
        </w:rPr>
        <w:t>Fin</w:t>
      </w:r>
      <w:r>
        <w:rPr>
          <w:i/>
          <w:iCs/>
        </w:rPr>
        <w:t>t</w:t>
      </w:r>
      <w:r w:rsidRPr="00DC0E80">
        <w:rPr>
          <w:i/>
          <w:iCs/>
        </w:rPr>
        <w:t>ech</w:t>
      </w:r>
      <w:r>
        <w:t xml:space="preserve"> uzņēmumi Latvijā piedāvā pakalpojumus, kas gan papildina banku pakalpojumus, gan arī tādus, kurus tradicionāli veic arī bankas, tādējādi </w:t>
      </w:r>
      <w:r w:rsidRPr="00DC0E80">
        <w:rPr>
          <w:i/>
          <w:iCs/>
        </w:rPr>
        <w:t>fintech</w:t>
      </w:r>
      <w:r>
        <w:t xml:space="preserve"> attīstība veicina konkurenci finanšu pakalpojumu tirgū.</w:t>
      </w:r>
      <w:r w:rsidRPr="00407FC0">
        <w:rPr>
          <w:rStyle w:val="FootnoteReference"/>
        </w:rPr>
        <w:t xml:space="preserve"> </w:t>
      </w:r>
      <w:r>
        <w:rPr>
          <w:rStyle w:val="FootnoteReference"/>
        </w:rPr>
        <w:footnoteReference w:id="30"/>
      </w:r>
    </w:p>
    <w:p w:rsidR="00F65285" w:rsidRDefault="00F65285" w:rsidP="00F65285">
      <w:pPr>
        <w:spacing w:line="240" w:lineRule="auto"/>
        <w:jc w:val="both"/>
      </w:pPr>
      <w:r>
        <w:t xml:space="preserve">Papildus, pie nozīmīgam barjerām </w:t>
      </w:r>
      <w:r w:rsidRPr="00DC0E80">
        <w:rPr>
          <w:i/>
          <w:iCs/>
        </w:rPr>
        <w:t>fintech</w:t>
      </w:r>
      <w:r>
        <w:t xml:space="preserve"> attīstībai Latvijā šobrīd var pieskaitīt: grūtības atvērt kontu bankā,</w:t>
      </w:r>
      <w:r w:rsidR="000A4FAA">
        <w:t xml:space="preserve"> neskatoties uz Maksājumu pakalpojumu un elektroniskās naudas likumā minēto iestāžu nediskriminācijas principu;</w:t>
      </w:r>
      <w:r>
        <w:t xml:space="preserve"> ierobežojum</w:t>
      </w:r>
      <w:r w:rsidR="000A4FAA">
        <w:t>us</w:t>
      </w:r>
      <w:r>
        <w:t xml:space="preserve"> attālinātai klientu reģistrācijai un konta atvēršanai, nacionālās atbalsta programmas trūkums</w:t>
      </w:r>
      <w:r w:rsidR="000A4FAA">
        <w:t>.</w:t>
      </w:r>
      <w:r>
        <w:t>.</w:t>
      </w:r>
    </w:p>
    <w:p w:rsidR="00F65285" w:rsidRDefault="00F65285" w:rsidP="00F65285">
      <w:pPr>
        <w:spacing w:line="240" w:lineRule="auto"/>
        <w:jc w:val="both"/>
      </w:pPr>
      <w:r w:rsidRPr="00DC0E80">
        <w:rPr>
          <w:i/>
          <w:iCs/>
        </w:rPr>
        <w:t>Fin</w:t>
      </w:r>
      <w:r>
        <w:rPr>
          <w:i/>
          <w:iCs/>
        </w:rPr>
        <w:t>t</w:t>
      </w:r>
      <w:r w:rsidRPr="00DC0E80">
        <w:rPr>
          <w:i/>
          <w:iCs/>
        </w:rPr>
        <w:t>ech</w:t>
      </w:r>
      <w:r w:rsidRPr="002E2A6E">
        <w:t xml:space="preserve"> ir inovāciju, t.i. augsta riska uzņēmējdarbība, kurā</w:t>
      </w:r>
      <w:r>
        <w:t>,</w:t>
      </w:r>
      <w:r w:rsidRPr="002E2A6E">
        <w:t xml:space="preserve"> kā rāda Lietuvas un Apvienotās Karalistes pieredze svarīgi veicināt </w:t>
      </w:r>
      <w:r w:rsidRPr="00DC0E80">
        <w:rPr>
          <w:i/>
          <w:iCs/>
        </w:rPr>
        <w:t>fintech</w:t>
      </w:r>
      <w:r w:rsidRPr="002E2A6E">
        <w:t xml:space="preserve"> uzņēmējdarbības kultūras attīstīb</w:t>
      </w:r>
      <w:r>
        <w:t>u</w:t>
      </w:r>
      <w:r w:rsidRPr="002E2A6E">
        <w:t>, lai tiek veidot</w:t>
      </w:r>
      <w:r>
        <w:t>s</w:t>
      </w:r>
      <w:r w:rsidRPr="002E2A6E">
        <w:t xml:space="preserve"> un attīstīt</w:t>
      </w:r>
      <w:r>
        <w:t xml:space="preserve">s pēc iespējas lielāks skaits ar idejām. Jo vairāk </w:t>
      </w:r>
      <w:r w:rsidRPr="00DC0E80">
        <w:rPr>
          <w:i/>
          <w:iCs/>
        </w:rPr>
        <w:t>fintech</w:t>
      </w:r>
      <w:r>
        <w:t xml:space="preserve"> uzņēmumi tiks veidoti, jo vairāk būs tādi, kas spēs izveidot efektīvus un ilgtspējīgus biznesa modeļus un sniegs ieguldījumu valsts attīstībā un sabiedrības labklājībā. </w:t>
      </w:r>
    </w:p>
    <w:p w:rsidR="00F65285" w:rsidRPr="005B1DCA" w:rsidRDefault="00F65285" w:rsidP="00F65285">
      <w:pPr>
        <w:spacing w:before="240" w:line="240" w:lineRule="auto"/>
        <w:rPr>
          <w:bCs/>
        </w:rPr>
      </w:pPr>
      <w:bookmarkStart w:id="19" w:name="_Hlk54345013"/>
      <w:r w:rsidRPr="005B1DCA">
        <w:rPr>
          <w:bCs/>
          <w:i/>
          <w:iCs/>
        </w:rPr>
        <w:t>Fintech</w:t>
      </w:r>
      <w:r w:rsidRPr="005B1DCA">
        <w:rPr>
          <w:bCs/>
        </w:rPr>
        <w:t xml:space="preserve"> attīstības politika būtu jāveido atbilstoši šādām prioritātēm:</w:t>
      </w:r>
    </w:p>
    <w:p w:rsidR="00F65285" w:rsidRPr="005B1DCA" w:rsidRDefault="000A4FAA" w:rsidP="00F65285">
      <w:pPr>
        <w:pStyle w:val="ListParagraph"/>
        <w:numPr>
          <w:ilvl w:val="0"/>
          <w:numId w:val="14"/>
        </w:numPr>
        <w:spacing w:after="0" w:line="240" w:lineRule="auto"/>
        <w:jc w:val="both"/>
        <w:rPr>
          <w:rFonts w:eastAsia="Times New Roman"/>
          <w:lang w:eastAsia="lv-LV"/>
        </w:rPr>
      </w:pPr>
      <w:r>
        <w:rPr>
          <w:rFonts w:eastAsia="Times New Roman"/>
          <w:lang w:eastAsia="lv-LV"/>
        </w:rPr>
        <w:t xml:space="preserve">noskaidrot un </w:t>
      </w:r>
      <w:r w:rsidR="00F65285" w:rsidRPr="005B1DCA">
        <w:rPr>
          <w:rFonts w:eastAsia="Times New Roman"/>
          <w:lang w:eastAsia="lv-LV"/>
        </w:rPr>
        <w:t xml:space="preserve">mazināt barjeras </w:t>
      </w:r>
      <w:r w:rsidR="00F65285" w:rsidRPr="005B1DCA">
        <w:rPr>
          <w:rFonts w:eastAsia="Times New Roman"/>
          <w:i/>
          <w:iCs/>
          <w:lang w:eastAsia="lv-LV"/>
        </w:rPr>
        <w:t>fintech</w:t>
      </w:r>
      <w:r w:rsidR="00F65285" w:rsidRPr="005B1DCA">
        <w:rPr>
          <w:rFonts w:eastAsia="Times New Roman"/>
          <w:lang w:eastAsia="lv-LV"/>
        </w:rPr>
        <w:t xml:space="preserve"> attīstībai;</w:t>
      </w:r>
    </w:p>
    <w:p w:rsidR="00F65285" w:rsidRPr="005B1DCA" w:rsidRDefault="00F65285" w:rsidP="00F65285">
      <w:pPr>
        <w:pStyle w:val="ListParagraph"/>
        <w:numPr>
          <w:ilvl w:val="0"/>
          <w:numId w:val="14"/>
        </w:numPr>
        <w:spacing w:after="0" w:line="240" w:lineRule="auto"/>
        <w:jc w:val="both"/>
        <w:rPr>
          <w:rFonts w:eastAsia="Times New Roman"/>
          <w:lang w:eastAsia="lv-LV"/>
        </w:rPr>
      </w:pPr>
      <w:r w:rsidRPr="005B1DCA">
        <w:rPr>
          <w:rFonts w:eastAsia="Times New Roman"/>
          <w:lang w:eastAsia="lv-LV"/>
        </w:rPr>
        <w:t>novērtēt Latvijas finanšu tehnoloģiju ekosistēmas stāvokli un identificēt virzienus, kuros būtu nepieciešamas papildus aktivitātes situācijas uzlabošani;</w:t>
      </w:r>
    </w:p>
    <w:p w:rsidR="00F65285" w:rsidRPr="005B1DCA" w:rsidRDefault="00F65285" w:rsidP="00F65285">
      <w:pPr>
        <w:pStyle w:val="ListParagraph"/>
        <w:numPr>
          <w:ilvl w:val="0"/>
          <w:numId w:val="14"/>
        </w:numPr>
        <w:spacing w:after="0" w:line="240" w:lineRule="auto"/>
        <w:jc w:val="both"/>
        <w:rPr>
          <w:rFonts w:eastAsia="Times New Roman"/>
          <w:lang w:eastAsia="lv-LV"/>
        </w:rPr>
      </w:pPr>
      <w:r w:rsidRPr="005B1DCA">
        <w:rPr>
          <w:rFonts w:eastAsia="Times New Roman"/>
          <w:lang w:eastAsia="lv-LV"/>
        </w:rPr>
        <w:t>izveidot valsts</w:t>
      </w:r>
      <w:r w:rsidR="000A4FAA">
        <w:rPr>
          <w:rFonts w:eastAsia="Times New Roman"/>
          <w:lang w:eastAsia="lv-LV"/>
        </w:rPr>
        <w:t xml:space="preserve"> stratēģiju un</w:t>
      </w:r>
      <w:r w:rsidRPr="005B1DCA">
        <w:rPr>
          <w:rFonts w:eastAsia="Times New Roman"/>
          <w:lang w:eastAsia="lv-LV"/>
        </w:rPr>
        <w:t xml:space="preserve"> programmu </w:t>
      </w:r>
      <w:r w:rsidRPr="005B1DCA">
        <w:rPr>
          <w:rFonts w:eastAsia="Times New Roman"/>
          <w:i/>
          <w:iCs/>
          <w:lang w:eastAsia="lv-LV"/>
        </w:rPr>
        <w:t>fintech</w:t>
      </w:r>
      <w:r w:rsidRPr="005B1DCA">
        <w:rPr>
          <w:rFonts w:eastAsia="Times New Roman"/>
          <w:lang w:eastAsia="lv-LV"/>
        </w:rPr>
        <w:t xml:space="preserve"> ekosistēmas stimulēšanai, t.sk. noteikt prioritāros</w:t>
      </w:r>
      <w:r w:rsidRPr="005B1DCA" w:rsidDel="00857EB9">
        <w:rPr>
          <w:rFonts w:eastAsia="Times New Roman"/>
          <w:lang w:eastAsia="lv-LV"/>
        </w:rPr>
        <w:t xml:space="preserve"> </w:t>
      </w:r>
      <w:r w:rsidRPr="005B1DCA">
        <w:rPr>
          <w:rFonts w:eastAsia="Times New Roman"/>
          <w:lang w:eastAsia="lv-LV"/>
        </w:rPr>
        <w:t>specializācijas virzienus, kuros, ņemot vērā citu valstu sasniegumus šajā jomā, būtu iespēja sasniegt augstākus mērķus</w:t>
      </w:r>
      <w:r w:rsidRPr="005B1DCA" w:rsidDel="00857EB9">
        <w:rPr>
          <w:rFonts w:eastAsia="Times New Roman"/>
          <w:lang w:eastAsia="lv-LV"/>
        </w:rPr>
        <w:t xml:space="preserve"> </w:t>
      </w:r>
      <w:r w:rsidRPr="005B1DCA">
        <w:rPr>
          <w:rFonts w:eastAsia="Times New Roman"/>
          <w:lang w:eastAsia="lv-LV"/>
        </w:rPr>
        <w:t>(piemēram, MI, lielie dati, tieši tehnoloģiju plašāka izmantošana u.c.);</w:t>
      </w:r>
    </w:p>
    <w:p w:rsidR="00F65285" w:rsidRPr="005B1DCA" w:rsidRDefault="00F65285" w:rsidP="00F65285">
      <w:pPr>
        <w:pStyle w:val="ListParagraph"/>
        <w:numPr>
          <w:ilvl w:val="0"/>
          <w:numId w:val="14"/>
        </w:numPr>
        <w:spacing w:after="0" w:line="240" w:lineRule="auto"/>
        <w:jc w:val="both"/>
        <w:rPr>
          <w:rFonts w:eastAsia="Times New Roman"/>
          <w:lang w:eastAsia="lv-LV"/>
        </w:rPr>
      </w:pPr>
      <w:r w:rsidRPr="005B1DCA">
        <w:rPr>
          <w:rFonts w:eastAsia="Times New Roman"/>
          <w:lang w:eastAsia="lv-LV"/>
        </w:rPr>
        <w:t>attīstīt</w:t>
      </w:r>
      <w:r w:rsidR="000A4FAA">
        <w:rPr>
          <w:rFonts w:eastAsia="Times New Roman"/>
          <w:lang w:eastAsia="lv-LV"/>
        </w:rPr>
        <w:t>FKTK</w:t>
      </w:r>
      <w:r w:rsidRPr="005B1DCA">
        <w:rPr>
          <w:rFonts w:eastAsia="Times New Roman"/>
          <w:lang w:eastAsia="lv-LV"/>
        </w:rPr>
        <w:t xml:space="preserve"> </w:t>
      </w:r>
      <w:r w:rsidRPr="005B1DCA">
        <w:rPr>
          <w:rFonts w:eastAsia="Times New Roman"/>
          <w:i/>
          <w:iCs/>
          <w:lang w:eastAsia="lv-LV"/>
        </w:rPr>
        <w:t>fintech</w:t>
      </w:r>
      <w:r w:rsidRPr="005B1DCA">
        <w:rPr>
          <w:rFonts w:eastAsia="Times New Roman"/>
          <w:lang w:eastAsia="lv-LV"/>
        </w:rPr>
        <w:t xml:space="preserve"> atbalsta instrumentus (</w:t>
      </w:r>
      <w:r w:rsidRPr="005B1DCA">
        <w:rPr>
          <w:rFonts w:eastAsia="Times New Roman"/>
          <w:i/>
          <w:iCs/>
          <w:lang w:eastAsia="lv-LV"/>
        </w:rPr>
        <w:t>sandbox, accelerator</w:t>
      </w:r>
      <w:r w:rsidRPr="005B1DCA">
        <w:rPr>
          <w:rFonts w:eastAsia="Times New Roman"/>
          <w:lang w:eastAsia="lv-LV"/>
        </w:rPr>
        <w:t>) un pastiprināt to izmantošanu;</w:t>
      </w:r>
    </w:p>
    <w:p w:rsidR="00F65285" w:rsidRPr="005B1DCA" w:rsidRDefault="00F65285" w:rsidP="00F65285">
      <w:pPr>
        <w:pStyle w:val="ListParagraph"/>
        <w:numPr>
          <w:ilvl w:val="0"/>
          <w:numId w:val="14"/>
        </w:numPr>
        <w:spacing w:after="0" w:line="240" w:lineRule="auto"/>
        <w:jc w:val="both"/>
        <w:rPr>
          <w:rFonts w:eastAsia="Times New Roman"/>
          <w:lang w:eastAsia="lv-LV"/>
        </w:rPr>
      </w:pPr>
      <w:r w:rsidRPr="005B1DCA">
        <w:rPr>
          <w:rFonts w:eastAsia="Times New Roman"/>
          <w:lang w:eastAsia="lv-LV"/>
        </w:rPr>
        <w:t xml:space="preserve">veicināt </w:t>
      </w:r>
      <w:r w:rsidRPr="005B1DCA">
        <w:rPr>
          <w:rFonts w:eastAsia="Times New Roman"/>
          <w:i/>
          <w:iCs/>
          <w:lang w:eastAsia="lv-LV"/>
        </w:rPr>
        <w:t>fintech</w:t>
      </w:r>
      <w:r w:rsidRPr="005B1DCA">
        <w:rPr>
          <w:rFonts w:eastAsia="Times New Roman"/>
          <w:lang w:eastAsia="lv-LV"/>
        </w:rPr>
        <w:t xml:space="preserve"> uzņēmumu iesaisti un pienesumu valsts pārvaldes iestāžu digitālajā transformācijā.</w:t>
      </w:r>
    </w:p>
    <w:bookmarkEnd w:id="19"/>
    <w:p w:rsidR="00F65285" w:rsidRPr="000A4FAA" w:rsidRDefault="00F65285" w:rsidP="00F65285">
      <w:pPr>
        <w:spacing w:line="240" w:lineRule="auto"/>
      </w:pPr>
    </w:p>
    <w:p w:rsidR="001D0D5F" w:rsidRPr="002636CD" w:rsidRDefault="007321D6" w:rsidP="003E6F7E">
      <w:pPr>
        <w:pStyle w:val="Heading2"/>
      </w:pPr>
      <w:bookmarkStart w:id="20" w:name="_Toc55202494"/>
      <w:r>
        <w:t>4.4</w:t>
      </w:r>
      <w:r w:rsidR="00DB7FA3">
        <w:t xml:space="preserve">. </w:t>
      </w:r>
      <w:r w:rsidR="001D0D5F" w:rsidRPr="002636CD">
        <w:t>Datu a</w:t>
      </w:r>
      <w:r w:rsidR="001D0D5F">
        <w:t xml:space="preserve">tvērtība </w:t>
      </w:r>
      <w:r w:rsidR="00DB7FA3">
        <w:t>un digitalizācija Latvijā</w:t>
      </w:r>
      <w:bookmarkEnd w:id="20"/>
    </w:p>
    <w:p w:rsidR="001D0D5F" w:rsidRDefault="001D0D5F" w:rsidP="001D0D5F">
      <w:pPr>
        <w:spacing w:line="240" w:lineRule="auto"/>
        <w:jc w:val="both"/>
      </w:pPr>
      <w:r>
        <w:t xml:space="preserve">Nereti “dati” šodien tiek salīdzināti ar “jaunajām oglēm un tēraudu” ar ko aizsākās </w:t>
      </w:r>
      <w:r w:rsidR="005B4BF5">
        <w:t xml:space="preserve">ES </w:t>
      </w:r>
      <w:r>
        <w:t>projekts. Eiropas datu stratēģija paredz vienota datu tirgus izveidi, kas nodrošinās brīvu to apriti ES, veidojot plašākas iespējas piekļūt publiskiem un privātiem datiem, lai to izmantotu iedzīvotāju, uzņēmumu un plašākas sabiedrības interesēs. Ka daļu no šis stratēģijas EK plāno izveidot kopēju finanšu datu telpu.</w:t>
      </w:r>
    </w:p>
    <w:p w:rsidR="001D0D5F" w:rsidRDefault="001D0D5F" w:rsidP="001D0D5F">
      <w:pPr>
        <w:spacing w:line="240" w:lineRule="auto"/>
        <w:jc w:val="both"/>
      </w:pPr>
      <w:r w:rsidRPr="002636CD">
        <w:t>Datu pieejamībai ir liela nozīme pētniecībā un attīstības aktivitātēs. Pieejama dati un informācija no publiskajiem reģistriem veicina vienlīdzīgus spēles noteikumus starp tirgus dalībniekiem.</w:t>
      </w:r>
      <w:r>
        <w:t xml:space="preserve"> Datu pieejamība ir svarīga kā uzņēmējdarbībā, tā arī izvērtējot potenciālus ieguldījumus.</w:t>
      </w:r>
    </w:p>
    <w:p w:rsidR="001D0D5F" w:rsidRDefault="001D0D5F" w:rsidP="001D0D5F">
      <w:pPr>
        <w:spacing w:line="240" w:lineRule="auto"/>
        <w:jc w:val="both"/>
      </w:pPr>
      <w:r>
        <w:t xml:space="preserve">Saskaņā ar </w:t>
      </w:r>
      <w:r w:rsidRPr="00CD065C">
        <w:t>Open-useful-Reusable Governm</w:t>
      </w:r>
      <w:r>
        <w:t xml:space="preserve">ent data indeksu (OECD, 2017), Latvija šajā jomā novērtēta ar </w:t>
      </w:r>
      <w:r w:rsidRPr="00CD065C">
        <w:t>~0.2</w:t>
      </w:r>
      <w:r>
        <w:t xml:space="preserve"> no 1</w:t>
      </w:r>
      <w:r w:rsidRPr="00CD065C">
        <w:t xml:space="preserve">, OECD vidējais nedaudz virs 0.5. </w:t>
      </w:r>
      <w:r>
        <w:t xml:space="preserve">Visaugstāko indeksu uzrādīja </w:t>
      </w:r>
      <w:r w:rsidRPr="00CD065C">
        <w:t>Koreja, Francija, Japāna.</w:t>
      </w:r>
      <w:r>
        <w:rPr>
          <w:rStyle w:val="FootnoteReference"/>
        </w:rPr>
        <w:footnoteReference w:id="31"/>
      </w:r>
    </w:p>
    <w:p w:rsidR="00A63FB0" w:rsidRDefault="001D0D5F" w:rsidP="00A63FB0">
      <w:pPr>
        <w:keepNext/>
        <w:spacing w:line="240" w:lineRule="auto"/>
      </w:pPr>
      <w:r>
        <w:rPr>
          <w:noProof/>
          <w:lang w:eastAsia="lv-LV"/>
        </w:rPr>
        <w:drawing>
          <wp:inline distT="0" distB="0" distL="0" distR="0" wp14:anchorId="05CD85BA" wp14:editId="407AC817">
            <wp:extent cx="4543480" cy="2860158"/>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53085" cy="2866204"/>
                    </a:xfrm>
                    <a:prstGeom prst="rect">
                      <a:avLst/>
                    </a:prstGeom>
                    <a:noFill/>
                  </pic:spPr>
                </pic:pic>
              </a:graphicData>
            </a:graphic>
          </wp:inline>
        </w:drawing>
      </w:r>
    </w:p>
    <w:p w:rsidR="001D0D5F" w:rsidRDefault="00A63FB0" w:rsidP="005B1DCA">
      <w:pPr>
        <w:pStyle w:val="Caption"/>
      </w:pPr>
      <w:r>
        <w:t xml:space="preserve">Ilustrācija </w:t>
      </w:r>
      <w:r w:rsidR="00AD70AB">
        <w:fldChar w:fldCharType="begin"/>
      </w:r>
      <w:r w:rsidR="00AD70AB">
        <w:instrText xml:space="preserve"> SEQ Ilustrācija \* ARABIC </w:instrText>
      </w:r>
      <w:r w:rsidR="00AD70AB">
        <w:fldChar w:fldCharType="separate"/>
      </w:r>
      <w:r w:rsidR="00F05961">
        <w:rPr>
          <w:noProof/>
        </w:rPr>
        <w:t>14</w:t>
      </w:r>
      <w:r w:rsidR="00AD70AB">
        <w:rPr>
          <w:noProof/>
        </w:rPr>
        <w:fldChar w:fldCharType="end"/>
      </w:r>
      <w:r>
        <w:t xml:space="preserve"> Atvērto-lietderīgo-atkāroti izmantojamo valdības datu indekss </w:t>
      </w:r>
      <w:r w:rsidRPr="008443BD">
        <w:t>(avots: OECD)</w:t>
      </w:r>
    </w:p>
    <w:p w:rsidR="001D0D5F" w:rsidRDefault="001D0D5F" w:rsidP="001D0D5F">
      <w:pPr>
        <w:spacing w:line="240" w:lineRule="auto"/>
        <w:jc w:val="both"/>
      </w:pPr>
      <w:r>
        <w:t>Ministru kabinets ir apstiprinājis informatīvo ziņojumu</w:t>
      </w:r>
      <w:r w:rsidRPr="00D865B1">
        <w:t xml:space="preserve"> “Latvijas atvērto datu stratēģija"</w:t>
      </w:r>
      <w:r>
        <w:t>, kas iezīmē turpmāko darbības virzienus datu atvērtības veicināšanai Latvijā.</w:t>
      </w:r>
      <w:r>
        <w:rPr>
          <w:rStyle w:val="FootnoteReference"/>
        </w:rPr>
        <w:footnoteReference w:id="32"/>
      </w:r>
    </w:p>
    <w:p w:rsidR="001D0D5F" w:rsidRDefault="001D0D5F" w:rsidP="001D0D5F">
      <w:pPr>
        <w:spacing w:line="240" w:lineRule="auto"/>
        <w:jc w:val="both"/>
      </w:pPr>
      <w:r>
        <w:t xml:space="preserve">Lai arī digitālās tehnoloģijas palīdz uzņēmumiem palielināt konkurētspēju, uzlabot pakalpojumus un produktus, kā arī iekļūt jaunos tirgos, analizējot digitālo transformāciju, redzams, ka tā nenotiek visos ekonomikas sektoros, visos uzņēmumu segmentos, kā arī ne visās valstīs, vienlīdzīgi. </w:t>
      </w:r>
      <w:r w:rsidRPr="002636CD">
        <w:t xml:space="preserve">Saskaņā ar vairākiem </w:t>
      </w:r>
      <w:r w:rsidR="004375CE">
        <w:t xml:space="preserve">Eiropas Investīciju bankas </w:t>
      </w:r>
      <w:r>
        <w:t xml:space="preserve">un citu institūciju </w:t>
      </w:r>
      <w:r w:rsidRPr="002636CD">
        <w:t xml:space="preserve">pētījumiem, liela daļa uzņēmumu, it sevišķi MVU grupā, nerealizē savu digitalizācijas potenciālu. Eiropā mazāk kā 20% MVU ir uzskatāmi par </w:t>
      </w:r>
      <w:r>
        <w:t xml:space="preserve">augsti </w:t>
      </w:r>
      <w:r w:rsidRPr="002636CD">
        <w:t>digitalizēt</w:t>
      </w:r>
      <w:r>
        <w:t>iem</w:t>
      </w:r>
      <w:r w:rsidRPr="002636CD">
        <w:t xml:space="preserve">, salīdzinot ar 50% lielo uzņēmumu grupā. Digitalizācijas līmenis ir īpaši zems Eiropas </w:t>
      </w:r>
      <w:r>
        <w:t>a</w:t>
      </w:r>
      <w:r w:rsidRPr="002636CD">
        <w:t xml:space="preserve">ustrumos (tai skaitā Latvijā) un </w:t>
      </w:r>
      <w:r>
        <w:t>d</w:t>
      </w:r>
      <w:r w:rsidRPr="002636CD">
        <w:t xml:space="preserve">ienvidos, bieži vien </w:t>
      </w:r>
      <w:r>
        <w:t xml:space="preserve">pat </w:t>
      </w:r>
      <w:r w:rsidRPr="002636CD">
        <w:t xml:space="preserve">zem ES vidējā. Tas visbiežāk redzams </w:t>
      </w:r>
      <w:r>
        <w:t>tradicionālajos ekonomikas</w:t>
      </w:r>
      <w:r w:rsidRPr="002636CD">
        <w:t xml:space="preserve"> sektoros, piemēram, celtniecībā un atsevišķas ražošanas nozarēs. Pastāv risks, ka šī atšķirība pieaugs, ja digitālo pārmaiņu galvenie virzītāji turpinās </w:t>
      </w:r>
      <w:r>
        <w:t>attīstīties</w:t>
      </w:r>
      <w:r w:rsidRPr="002636CD">
        <w:t xml:space="preserve">, kamēr citi arvien vairāk atpaliks, riskējot zaudēt konkurētspēju. </w:t>
      </w:r>
      <w:r>
        <w:t>Š</w:t>
      </w:r>
      <w:r w:rsidRPr="002636CD">
        <w:t xml:space="preserve">iem uzņēmumiem ir </w:t>
      </w:r>
      <w:r>
        <w:t>jāiegulda</w:t>
      </w:r>
      <w:r w:rsidRPr="002636CD">
        <w:t xml:space="preserve"> </w:t>
      </w:r>
      <w:r>
        <w:t xml:space="preserve">jaunu tehnoloģiju un </w:t>
      </w:r>
      <w:r w:rsidRPr="002636CD">
        <w:t xml:space="preserve">digitālo risinājumu apgūšanā. Šis jautājums </w:t>
      </w:r>
      <w:r>
        <w:t>ir</w:t>
      </w:r>
      <w:r w:rsidRPr="002636CD">
        <w:t xml:space="preserve"> jārisina </w:t>
      </w:r>
      <w:r>
        <w:t>gan vietējā, gan Eiropas līmenī</w:t>
      </w:r>
      <w:r w:rsidRPr="002636CD">
        <w:t xml:space="preserve">, </w:t>
      </w:r>
      <w:r>
        <w:t>pretējā gadījumā</w:t>
      </w:r>
      <w:r w:rsidRPr="002636CD">
        <w:t xml:space="preserve"> cietīs izaugsme, ekonomikas atveseļošanās un konverģence.</w:t>
      </w:r>
    </w:p>
    <w:p w:rsidR="001D0D5F" w:rsidRPr="002636CD" w:rsidRDefault="001D0D5F" w:rsidP="001D0D5F">
      <w:pPr>
        <w:spacing w:line="240" w:lineRule="auto"/>
        <w:jc w:val="both"/>
      </w:pPr>
      <w:r w:rsidRPr="002636CD">
        <w:t xml:space="preserve">Digitālās tehnoloģijas šajā gadījumā nozīmē robotiku, lietu internetu, mākslīgo intelektu, platformas u. c. </w:t>
      </w:r>
      <w:r>
        <w:t xml:space="preserve">jaunās tehnoloģijas. </w:t>
      </w:r>
      <w:r w:rsidRPr="002636CD">
        <w:t xml:space="preserve">Atsevišķu tehnoloģiju un nozaru </w:t>
      </w:r>
      <w:r>
        <w:t>griezumā</w:t>
      </w:r>
      <w:r w:rsidRPr="002636CD">
        <w:t xml:space="preserve"> Latvijas uzņēmumiem ir labāks rezultāts </w:t>
      </w:r>
      <w:r>
        <w:t>ne</w:t>
      </w:r>
      <w:r w:rsidRPr="002636CD">
        <w:t xml:space="preserve">kā ES vidēji, taču </w:t>
      </w:r>
      <w:r>
        <w:t>lielākā</w:t>
      </w:r>
      <w:r w:rsidRPr="002636CD">
        <w:t xml:space="preserve"> daļā nozaru un tehnoloģiju Latvija uzrāda vienus no zemākajiem rezultātiem Eiropā. Kopumā digitālās tehnoloģijas vairāk lieto lielie uzņēmumi. Digitālo tehnoloģiju izmantošanai ir tieša sakarība ar pievienotās vērtības lielumu. Arī darbinieku produktivitāte un atalgojums </w:t>
      </w:r>
      <w:r>
        <w:t xml:space="preserve">vairāk </w:t>
      </w:r>
      <w:r w:rsidRPr="002636CD">
        <w:t>dig</w:t>
      </w:r>
      <w:r>
        <w:t>italizētos uzņēmumos ir augstāks</w:t>
      </w:r>
      <w:r w:rsidRPr="002636CD">
        <w:t>.</w:t>
      </w:r>
    </w:p>
    <w:p w:rsidR="001D0D5F" w:rsidRPr="002636CD" w:rsidRDefault="001D0D5F" w:rsidP="001D0D5F">
      <w:pPr>
        <w:spacing w:line="240" w:lineRule="auto"/>
        <w:jc w:val="both"/>
      </w:pPr>
      <w:r w:rsidRPr="002636CD">
        <w:t>MVU digitalizācijas līmenis atšķiras atkarībā no ģeogrāfiskā novietojuma un nozares.</w:t>
      </w:r>
    </w:p>
    <w:p w:rsidR="001D0D5F" w:rsidRDefault="001D0D5F" w:rsidP="001D0D5F">
      <w:pPr>
        <w:spacing w:line="240" w:lineRule="auto"/>
        <w:jc w:val="both"/>
      </w:pPr>
      <w:r>
        <w:t>EIB</w:t>
      </w:r>
      <w:r w:rsidRPr="00FC6086">
        <w:t xml:space="preserve"> Investīciju apskatā</w:t>
      </w:r>
      <w:r w:rsidRPr="00FC6086">
        <w:rPr>
          <w:rStyle w:val="FootnoteReference"/>
        </w:rPr>
        <w:footnoteReference w:id="33"/>
      </w:r>
      <w:r w:rsidRPr="00FC6086">
        <w:t xml:space="preserve"> ietvertais Digitalizācijas</w:t>
      </w:r>
      <w:r>
        <w:t xml:space="preserve"> veicinātāju indekss tiek veidots, analizējot faktorus, kuri veicina digitālo tehnoloģiju lietošanu pārņemšanu uzņēmumos, piemēram, digitālā infrastruktūra, ieguldījumi un finansējuma pieejamība, pieprasījums pēc digitālajām prasmēm u. c. Rezultāti tiek prezentēti, sadalot ES valstis trīs grupās.</w:t>
      </w:r>
      <w:r w:rsidRPr="002636CD">
        <w:t xml:space="preserve"> Latvija ieņem vietu trešajā</w:t>
      </w:r>
      <w:r>
        <w:t xml:space="preserve"> grupā</w:t>
      </w:r>
      <w:r w:rsidRPr="002636CD">
        <w:t xml:space="preserve">, jeb starp </w:t>
      </w:r>
      <w:r>
        <w:t>digitālo tehnoloģiju pārņemšanu vismazāk veicinošajām ekonomikām. Kā šķēršļus ieguldījumiem digitālajās tehnoloģijās, uzņēmumi visbiežāk piemin darbinieku trūkumu, uzņēmējdarbības regulējumu un nodokļus un darba tirgus regulējumu.</w:t>
      </w:r>
      <w:r>
        <w:rPr>
          <w:rStyle w:val="FootnoteReference"/>
        </w:rPr>
        <w:footnoteReference w:id="34"/>
      </w:r>
    </w:p>
    <w:p w:rsidR="001D0D5F" w:rsidRDefault="001D0D5F" w:rsidP="001D0D5F">
      <w:pPr>
        <w:spacing w:line="240" w:lineRule="auto"/>
        <w:jc w:val="both"/>
      </w:pPr>
      <w:r w:rsidRPr="00F55110">
        <w:t xml:space="preserve">Lai </w:t>
      </w:r>
      <w:r>
        <w:t>sekotu līdzi progresam</w:t>
      </w:r>
      <w:r w:rsidRPr="00F55110">
        <w:t xml:space="preserve"> ceļā uz digitālo ekonomiku un sabiedrību, </w:t>
      </w:r>
      <w:r>
        <w:t>EK</w:t>
      </w:r>
      <w:r w:rsidRPr="00F55110">
        <w:t xml:space="preserve"> izveidoja tiešsaistes rīku ar nosaukumu “digitālās ekonomi</w:t>
      </w:r>
      <w:r>
        <w:t xml:space="preserve">kas un sabiedrības indekss” </w:t>
      </w:r>
      <w:r w:rsidRPr="00F55110">
        <w:t xml:space="preserve">(DESI). </w:t>
      </w:r>
      <w:r>
        <w:t>Indekss</w:t>
      </w:r>
      <w:r w:rsidRPr="00F55110">
        <w:t xml:space="preserve"> aptver piecu rādītāju kopumu, kas parāda Eiropas pašreizējo digi</w:t>
      </w:r>
      <w:r>
        <w:t>tālās politikas stāvokli gan ES, gan atsevišķu valstu līmenī</w:t>
      </w:r>
      <w:r w:rsidRPr="00F55110">
        <w:t>.</w:t>
      </w:r>
      <w:r>
        <w:t xml:space="preserve"> </w:t>
      </w:r>
      <w:r w:rsidRPr="00FC6086">
        <w:t>Digitālās ekonomikas un</w:t>
      </w:r>
      <w:r>
        <w:t xml:space="preserve"> sabiedrības (DESI) indekss. EK</w:t>
      </w:r>
      <w:r w:rsidRPr="00254FE0">
        <w:t xml:space="preserve"> kopš 2014. gada </w:t>
      </w:r>
      <w:r>
        <w:t>apkopo informāciju par</w:t>
      </w:r>
      <w:r w:rsidRPr="00254FE0">
        <w:t xml:space="preserve"> dalībvalstu progresu digitālajā jomā, sagatavojot ziņojumus, kas balstās uz </w:t>
      </w:r>
      <w:r>
        <w:t>DESI indeksu</w:t>
      </w:r>
      <w:r w:rsidRPr="00254FE0">
        <w:t>.</w:t>
      </w:r>
      <w:r>
        <w:t xml:space="preserve"> </w:t>
      </w:r>
      <w:r w:rsidRPr="002636CD">
        <w:t>Saskaņā ar jaunāk</w:t>
      </w:r>
      <w:r>
        <w:t>ajiem (2020) DESI rezultātiem, Latvijas DESI indekss (50.7) ir zem ES vidējā (52.6). Lai arī Latvijas indekss pēdējo divu gadu laikā ir pieaudzis, pozīcijas pret citām ES valstīm ir pasliktinājusies – Latvija no 15. vietas 2019. gadā nokļuvusi 18. vietā 2020. gadā.</w:t>
      </w:r>
      <w:r>
        <w:rPr>
          <w:rStyle w:val="FootnoteReference"/>
        </w:rPr>
        <w:footnoteReference w:id="35"/>
      </w:r>
    </w:p>
    <w:p w:rsidR="001D0D5F" w:rsidRDefault="001D0D5F" w:rsidP="001D0D5F">
      <w:pPr>
        <w:spacing w:line="240" w:lineRule="auto"/>
        <w:jc w:val="both"/>
      </w:pPr>
      <w:r>
        <w:t>Tematiskajā daļā, kas pēta digitālo tehnoloģiju integrāciju, jeb izmantošanu uzņēmējdarbībā, augstākos rezultātus uzrāda Īrija, Somija, Beļģija, Nīderlande, Dānija un Zviedrija, kamēr Bulgārija, Rumānija, Ungārija, Polija, Grieķija un Latvija atrodas stipri zem ES vidējā.</w:t>
      </w:r>
      <w:r>
        <w:rPr>
          <w:rStyle w:val="FootnoteReference"/>
        </w:rPr>
        <w:footnoteReference w:id="36"/>
      </w:r>
      <w:r>
        <w:t xml:space="preserve"> </w:t>
      </w:r>
    </w:p>
    <w:p w:rsidR="004375CE" w:rsidRDefault="00554781" w:rsidP="004375CE">
      <w:pPr>
        <w:keepNext/>
        <w:spacing w:line="240" w:lineRule="auto"/>
      </w:pPr>
      <w:r>
        <w:rPr>
          <w:noProof/>
          <w:lang w:eastAsia="lv-LV"/>
        </w:rPr>
        <w:drawing>
          <wp:anchor distT="0" distB="0" distL="114300" distR="114300" simplePos="0" relativeHeight="251685888" behindDoc="0" locked="0" layoutInCell="1" allowOverlap="1" wp14:anchorId="3A334346" wp14:editId="62F777BA">
            <wp:simplePos x="0" y="0"/>
            <wp:positionH relativeFrom="margin">
              <wp:posOffset>5507355</wp:posOffset>
            </wp:positionH>
            <wp:positionV relativeFrom="paragraph">
              <wp:posOffset>5080</wp:posOffset>
            </wp:positionV>
            <wp:extent cx="3689350" cy="2530475"/>
            <wp:effectExtent l="0" t="0" r="6350" b="317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689350" cy="2530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88960" behindDoc="0" locked="0" layoutInCell="1" allowOverlap="1" wp14:anchorId="4C9F8F1F" wp14:editId="14585E52">
                <wp:simplePos x="0" y="0"/>
                <wp:positionH relativeFrom="margin">
                  <wp:align>left</wp:align>
                </wp:positionH>
                <wp:positionV relativeFrom="paragraph">
                  <wp:posOffset>2790825</wp:posOffset>
                </wp:positionV>
                <wp:extent cx="5057775" cy="635"/>
                <wp:effectExtent l="0" t="0" r="9525" b="8255"/>
                <wp:wrapTopAndBottom/>
                <wp:docPr id="13" name="Text Box 13"/>
                <wp:cNvGraphicFramePr/>
                <a:graphic xmlns:a="http://schemas.openxmlformats.org/drawingml/2006/main">
                  <a:graphicData uri="http://schemas.microsoft.com/office/word/2010/wordprocessingShape">
                    <wps:wsp>
                      <wps:cNvSpPr txBox="1"/>
                      <wps:spPr>
                        <a:xfrm>
                          <a:off x="0" y="0"/>
                          <a:ext cx="5057775" cy="635"/>
                        </a:xfrm>
                        <a:prstGeom prst="rect">
                          <a:avLst/>
                        </a:prstGeom>
                        <a:solidFill>
                          <a:prstClr val="white"/>
                        </a:solidFill>
                        <a:ln>
                          <a:noFill/>
                        </a:ln>
                      </wps:spPr>
                      <wps:txbx>
                        <w:txbxContent>
                          <w:p w:rsidR="00DA3017" w:rsidRPr="001204D4" w:rsidRDefault="00DA3017" w:rsidP="004375CE">
                            <w:pPr>
                              <w:pStyle w:val="Caption"/>
                              <w:rPr>
                                <w:noProof/>
                                <w:sz w:val="24"/>
                                <w:szCs w:val="24"/>
                              </w:rPr>
                            </w:pPr>
                            <w:r>
                              <w:t xml:space="preserve">Ilustrācija 13 </w:t>
                            </w:r>
                            <w:r w:rsidRPr="009F458A">
                              <w:t xml:space="preserve">Digitālo tehnoloģiju integrācija (avots: DESI 2020, </w:t>
                            </w:r>
                            <w:r>
                              <w:t>EK</w:t>
                            </w:r>
                            <w:r w:rsidRPr="009F458A">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 w14:anchorId="4C9F8F1F" id="Text Box 13" o:spid="_x0000_s1034" type="#_x0000_t202" style="position:absolute;margin-left:0;margin-top:219.75pt;width:398.25pt;height:.05pt;z-index:251688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" stroked="f">
                <v:textbox style="mso-fit-shape-to-text:t" inset="0,0,0,0">
                  <w:txbxContent>
                    <w:p w:rsidR="00DA3017" w:rsidRPr="001204D4" w:rsidRDefault="00DA3017" w:rsidP="004375CE">
                      <w:pPr>
                        <w:pStyle w:val="Caption"/>
                        <w:rPr>
                          <w:noProof/>
                          <w:sz w:val="24"/>
                          <w:szCs w:val="24"/>
                        </w:rPr>
                      </w:pPr>
                      <w:r>
                        <w:t xml:space="preserve">Ilustrācija 13 </w:t>
                      </w:r>
                      <w:r w:rsidRPr="009F458A">
                        <w:t xml:space="preserve">Digitālo tehnoloģiju integrācija (avots: DESI 2020, </w:t>
                      </w:r>
                      <w:r>
                        <w:t>EK</w:t>
                      </w:r>
                      <w:r w:rsidRPr="009F458A">
                        <w:t>)</w:t>
                      </w:r>
                    </w:p>
                  </w:txbxContent>
                </v:textbox>
                <w10:wrap type="topAndBottom" anchorx="margin"/>
              </v:shape>
            </w:pict>
          </mc:Fallback>
        </mc:AlternateContent>
      </w:r>
      <w:r>
        <w:rPr>
          <w:noProof/>
          <w:lang w:eastAsia="lv-LV"/>
        </w:rPr>
        <w:drawing>
          <wp:anchor distT="0" distB="0" distL="114300" distR="114300" simplePos="0" relativeHeight="251686912" behindDoc="0" locked="0" layoutInCell="1" allowOverlap="1" wp14:anchorId="49494755" wp14:editId="5351270C">
            <wp:simplePos x="0" y="0"/>
            <wp:positionH relativeFrom="margin">
              <wp:align>left</wp:align>
            </wp:positionH>
            <wp:positionV relativeFrom="paragraph">
              <wp:posOffset>5080</wp:posOffset>
            </wp:positionV>
            <wp:extent cx="4980305" cy="2573020"/>
            <wp:effectExtent l="0" t="0" r="0"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4980305" cy="2573020"/>
                    </a:xfrm>
                    <a:prstGeom prst="rect">
                      <a:avLst/>
                    </a:prstGeom>
                  </pic:spPr>
                </pic:pic>
              </a:graphicData>
            </a:graphic>
            <wp14:sizeRelH relativeFrom="margin">
              <wp14:pctWidth>0</wp14:pctWidth>
            </wp14:sizeRelH>
            <wp14:sizeRelV relativeFrom="margin">
              <wp14:pctHeight>0</wp14:pctHeight>
            </wp14:sizeRelV>
          </wp:anchor>
        </w:drawing>
      </w:r>
      <w:r w:rsidR="004375CE">
        <w:rPr>
          <w:noProof/>
          <w:lang w:eastAsia="lv-LV"/>
        </w:rPr>
        <mc:AlternateContent>
          <mc:Choice Requires="wps">
            <w:drawing>
              <wp:anchor distT="0" distB="0" distL="114300" distR="114300" simplePos="0" relativeHeight="251691008" behindDoc="0" locked="0" layoutInCell="1" allowOverlap="1" wp14:anchorId="7714CE1D" wp14:editId="0FE6D3A0">
                <wp:simplePos x="0" y="0"/>
                <wp:positionH relativeFrom="column">
                  <wp:posOffset>5523493</wp:posOffset>
                </wp:positionH>
                <wp:positionV relativeFrom="paragraph">
                  <wp:posOffset>2732383</wp:posOffset>
                </wp:positionV>
                <wp:extent cx="3943985" cy="635"/>
                <wp:effectExtent l="0" t="0" r="0" b="0"/>
                <wp:wrapTopAndBottom/>
                <wp:docPr id="31" name="Text Box 31"/>
                <wp:cNvGraphicFramePr/>
                <a:graphic xmlns:a="http://schemas.openxmlformats.org/drawingml/2006/main">
                  <a:graphicData uri="http://schemas.microsoft.com/office/word/2010/wordprocessingShape">
                    <wps:wsp>
                      <wps:cNvSpPr txBox="1"/>
                      <wps:spPr>
                        <a:xfrm>
                          <a:off x="0" y="0"/>
                          <a:ext cx="3943985" cy="635"/>
                        </a:xfrm>
                        <a:prstGeom prst="rect">
                          <a:avLst/>
                        </a:prstGeom>
                        <a:solidFill>
                          <a:prstClr val="white"/>
                        </a:solidFill>
                        <a:ln>
                          <a:noFill/>
                        </a:ln>
                      </wps:spPr>
                      <wps:txbx>
                        <w:txbxContent>
                          <w:p w:rsidR="00DA3017" w:rsidRPr="006A4EFE" w:rsidRDefault="00DA3017" w:rsidP="004375CE">
                            <w:pPr>
                              <w:pStyle w:val="Caption"/>
                              <w:rPr>
                                <w:noProof/>
                                <w:sz w:val="24"/>
                                <w:szCs w:val="24"/>
                              </w:rPr>
                            </w:pPr>
                            <w:r>
                              <w:t xml:space="preserve">Ilustrācija 14 </w:t>
                            </w:r>
                            <w:r w:rsidRPr="00624290">
                              <w:t>DESI-2020 relatīvais sniegums katrā jomā (avots: EK)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7714CE1D" id="Text Box 31" o:spid="_x0000_s1035" type="#_x0000_t202" style="position:absolute;margin-left:434.9pt;margin-top:215.15pt;width:310.55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" stroked="f">
                <v:textbox style="mso-fit-shape-to-text:t" inset="0,0,0,0">
                  <w:txbxContent>
                    <w:p w:rsidR="00DA3017" w:rsidRPr="006A4EFE" w:rsidRDefault="00DA3017" w:rsidP="004375CE">
                      <w:pPr>
                        <w:pStyle w:val="Caption"/>
                        <w:rPr>
                          <w:noProof/>
                          <w:sz w:val="24"/>
                          <w:szCs w:val="24"/>
                        </w:rPr>
                      </w:pPr>
                      <w:r>
                        <w:t xml:space="preserve">Ilustrācija 14 </w:t>
                      </w:r>
                      <w:r w:rsidRPr="00624290">
                        <w:t>DESI-2020 relatīvais sniegums katrā jomā (avots: EK)</w:t>
                      </w:r>
                    </w:p>
                  </w:txbxContent>
                </v:textbox>
                <w10:wrap type="topAndBottom"/>
              </v:shape>
            </w:pict>
          </mc:Fallback>
        </mc:AlternateContent>
      </w:r>
    </w:p>
    <w:p w:rsidR="001D0D5F" w:rsidRDefault="001D0D5F" w:rsidP="001D0D5F">
      <w:pPr>
        <w:spacing w:line="240" w:lineRule="auto"/>
        <w:jc w:val="both"/>
      </w:pPr>
      <w:r w:rsidRPr="001828BB">
        <w:rPr>
          <w:i/>
        </w:rPr>
        <w:t xml:space="preserve">Digitālo tehnoloģiju integrācija, Avots: DESI 2020, </w:t>
      </w:r>
      <w:r w:rsidR="00CA4C7A">
        <w:rPr>
          <w:i/>
        </w:rPr>
        <w:t>EK</w:t>
      </w:r>
    </w:p>
    <w:p w:rsidR="001D0D5F" w:rsidRDefault="001D0D5F" w:rsidP="001D0D5F">
      <w:pPr>
        <w:spacing w:line="240" w:lineRule="auto"/>
        <w:jc w:val="both"/>
      </w:pPr>
      <w:r w:rsidRPr="00C83909">
        <w:t xml:space="preserve">Latvijai </w:t>
      </w:r>
      <w:r>
        <w:t>ir labi rezultāti</w:t>
      </w:r>
      <w:r w:rsidRPr="00C83909">
        <w:t xml:space="preserve"> digitālo publisko pakalpojumu, </w:t>
      </w:r>
      <w:r>
        <w:t>piektās paaudzes bezvadu sakaru tīkla (</w:t>
      </w:r>
      <w:r w:rsidRPr="00C83909">
        <w:t>5G</w:t>
      </w:r>
      <w:r>
        <w:t>)</w:t>
      </w:r>
      <w:r w:rsidRPr="00C83909">
        <w:t xml:space="preserve"> un ļoti augstas veiktspējas tīklu (VHCN) jomā. Ne tik labā līmenī </w:t>
      </w:r>
      <w:r>
        <w:t>ir rādītāji, kas saistīti ar</w:t>
      </w:r>
      <w:r w:rsidRPr="00C83909">
        <w:t xml:space="preserve"> </w:t>
      </w:r>
      <w:r>
        <w:t>iedzīvotāju digitālajām</w:t>
      </w:r>
      <w:r w:rsidRPr="00C83909">
        <w:t xml:space="preserve"> pr</w:t>
      </w:r>
      <w:r>
        <w:t>asmēm</w:t>
      </w:r>
      <w:r w:rsidRPr="00C83909">
        <w:t xml:space="preserve"> un digitāl</w:t>
      </w:r>
      <w:r>
        <w:t>o tehnoloģiju</w:t>
      </w:r>
      <w:r w:rsidRPr="00C83909">
        <w:t xml:space="preserve"> int</w:t>
      </w:r>
      <w:r>
        <w:t>egrāciju</w:t>
      </w:r>
      <w:r w:rsidRPr="00C83909">
        <w:t xml:space="preserve"> uzņēmumos.</w:t>
      </w:r>
      <w:r>
        <w:t xml:space="preserve"> Vērtējot pēc digitālās integrācijas, Latvija atrodas 23. vietā ES, atpaliekot arī no ES vidējā rezultāta (28,3 un 41,4).</w:t>
      </w:r>
    </w:p>
    <w:p w:rsidR="00584CCE" w:rsidRDefault="00584CCE" w:rsidP="001D0D5F">
      <w:pPr>
        <w:spacing w:line="240" w:lineRule="auto"/>
        <w:jc w:val="both"/>
      </w:pPr>
      <w:r>
        <w:t xml:space="preserve">Lai arī Finanšu sektora attīstības plāns tiešā veidā nerisina jautājumus, kas saistīti ar digitalizāciju ārpus finanšu sektora, tomēr vienlaikus ir būtiski, lai finanšu sektors spētu atbalstīt Latvijas ekonomikas digitālo transformāciju, nodrošinot inovatīvu finanšu pakalpojumu pieejamību, kas var tālāk stimulēt arī uzņēmumu spēju strādāt inovatīvi. Tāpat </w:t>
      </w:r>
      <w:r w:rsidR="00F05961">
        <w:t xml:space="preserve">gan </w:t>
      </w:r>
      <w:r>
        <w:t>finan</w:t>
      </w:r>
      <w:r w:rsidR="00F05961">
        <w:t xml:space="preserve">šu sektora, gan ekonomikas kopumā tālākai digitālai attīstībai </w:t>
      </w:r>
      <w:r>
        <w:t>būtiska ir datu pieejamība un digitālie risinājumi publiskajā sektorā.</w:t>
      </w:r>
    </w:p>
    <w:p w:rsidR="000A419D" w:rsidRDefault="000A419D" w:rsidP="00F21407">
      <w:pPr>
        <w:spacing w:line="240" w:lineRule="auto"/>
        <w:jc w:val="both"/>
      </w:pPr>
    </w:p>
    <w:p w:rsidR="000A419D" w:rsidRDefault="00F05961" w:rsidP="00F21407">
      <w:pPr>
        <w:spacing w:line="240" w:lineRule="auto"/>
        <w:jc w:val="both"/>
      </w:pPr>
      <w:r>
        <w:t>Ņemot vērā šajā nodaļā minēto, digitalizācijas un inovatīvu pakalpojumu jomā piedāvāts veikt šādus pasākumus trīs rīcības virzienos:</w:t>
      </w:r>
    </w:p>
    <w:p w:rsidR="00F05961" w:rsidRDefault="00F05961" w:rsidP="005B1DCA">
      <w:pPr>
        <w:pStyle w:val="ListParagraph"/>
        <w:numPr>
          <w:ilvl w:val="0"/>
          <w:numId w:val="14"/>
        </w:numPr>
        <w:spacing w:line="240" w:lineRule="auto"/>
        <w:jc w:val="both"/>
      </w:pPr>
      <w:r>
        <w:t>inovāciju atbalstošas ekosistēmas veidošana;</w:t>
      </w:r>
    </w:p>
    <w:p w:rsidR="00F05961" w:rsidRDefault="00F05961" w:rsidP="005B1DCA">
      <w:pPr>
        <w:pStyle w:val="ListParagraph"/>
        <w:numPr>
          <w:ilvl w:val="0"/>
          <w:numId w:val="14"/>
        </w:numPr>
        <w:spacing w:line="240" w:lineRule="auto"/>
        <w:jc w:val="both"/>
      </w:pPr>
      <w:r>
        <w:t>inovāciju atbalstošas infrastruktūras pieejamība;</w:t>
      </w:r>
    </w:p>
    <w:p w:rsidR="00F05961" w:rsidRDefault="00F05961" w:rsidP="005B1DCA">
      <w:pPr>
        <w:pStyle w:val="ListParagraph"/>
        <w:numPr>
          <w:ilvl w:val="0"/>
          <w:numId w:val="14"/>
        </w:numPr>
        <w:spacing w:line="240" w:lineRule="auto"/>
        <w:jc w:val="both"/>
      </w:pPr>
      <w:r>
        <w:t>sabiedrības izglītošana par finanšu tehnoloģiju iespējām un draudiem.</w:t>
      </w:r>
    </w:p>
    <w:p w:rsidR="000A419D" w:rsidRPr="002636CD" w:rsidRDefault="000A419D" w:rsidP="00F21407">
      <w:pPr>
        <w:spacing w:line="240" w:lineRule="auto"/>
        <w:jc w:val="both"/>
      </w:pPr>
    </w:p>
    <w:p w:rsidR="0018635A" w:rsidRDefault="0018635A" w:rsidP="00FC6086">
      <w:pPr>
        <w:spacing w:line="240" w:lineRule="auto"/>
      </w:pPr>
    </w:p>
    <w:tbl>
      <w:tblPr>
        <w:tblW w:w="5325"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644"/>
        <w:gridCol w:w="3284"/>
        <w:gridCol w:w="2527"/>
        <w:gridCol w:w="2783"/>
        <w:gridCol w:w="1592"/>
        <w:gridCol w:w="2254"/>
        <w:gridCol w:w="1764"/>
      </w:tblGrid>
      <w:tr w:rsidR="00395361" w:rsidRPr="00AE13D3" w:rsidTr="00C847E0">
        <w:trPr>
          <w:tblHeader/>
        </w:trPr>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395361" w:rsidRPr="00AE13D3" w:rsidRDefault="00395361" w:rsidP="00C847E0">
            <w:pPr>
              <w:spacing w:after="0" w:line="240" w:lineRule="auto"/>
              <w:rPr>
                <w:sz w:val="20"/>
                <w:szCs w:val="20"/>
              </w:rPr>
            </w:pPr>
            <w:r w:rsidRPr="00AE13D3">
              <w:rPr>
                <w:b/>
                <w:bCs/>
                <w:sz w:val="20"/>
                <w:szCs w:val="20"/>
              </w:rPr>
              <w:t>Nr.</w:t>
            </w:r>
          </w:p>
        </w:tc>
        <w:tc>
          <w:tcPr>
            <w:tcW w:w="11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395361" w:rsidRPr="00AE13D3" w:rsidRDefault="00395361" w:rsidP="00C847E0">
            <w:pPr>
              <w:spacing w:after="0" w:line="240" w:lineRule="auto"/>
              <w:rPr>
                <w:sz w:val="20"/>
                <w:szCs w:val="20"/>
              </w:rPr>
            </w:pPr>
            <w:r w:rsidRPr="00AE13D3">
              <w:rPr>
                <w:b/>
                <w:bCs/>
                <w:sz w:val="20"/>
                <w:szCs w:val="20"/>
              </w:rPr>
              <w:t>Uzdevums/pasākums</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395361" w:rsidRPr="00AE13D3" w:rsidRDefault="00395361" w:rsidP="00C847E0">
            <w:pPr>
              <w:spacing w:after="0" w:line="240" w:lineRule="auto"/>
              <w:rPr>
                <w:sz w:val="20"/>
                <w:szCs w:val="20"/>
              </w:rPr>
            </w:pPr>
            <w:r w:rsidRPr="00AE13D3">
              <w:rPr>
                <w:b/>
                <w:bCs/>
                <w:sz w:val="20"/>
                <w:szCs w:val="20"/>
              </w:rPr>
              <w:t>Darbības rezultāts</w:t>
            </w: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395361" w:rsidRPr="00AE13D3" w:rsidRDefault="00395361" w:rsidP="00C847E0">
            <w:pPr>
              <w:spacing w:after="0" w:line="240" w:lineRule="auto"/>
              <w:rPr>
                <w:sz w:val="20"/>
                <w:szCs w:val="20"/>
              </w:rPr>
            </w:pPr>
            <w:r w:rsidRPr="00AE13D3">
              <w:rPr>
                <w:b/>
                <w:bCs/>
                <w:sz w:val="20"/>
                <w:szCs w:val="20"/>
              </w:rPr>
              <w:t>Rezultatīvais rādītājs</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95361" w:rsidRPr="00AE13D3" w:rsidRDefault="00395361" w:rsidP="00C847E0">
            <w:pPr>
              <w:spacing w:after="0" w:line="240" w:lineRule="auto"/>
              <w:rPr>
                <w:sz w:val="20"/>
                <w:szCs w:val="20"/>
              </w:rPr>
            </w:pPr>
            <w:r w:rsidRPr="00AE13D3">
              <w:rPr>
                <w:b/>
                <w:bCs/>
                <w:sz w:val="20"/>
                <w:szCs w:val="20"/>
              </w:rPr>
              <w:t>Atbildīgā institūcija</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395361" w:rsidRPr="00AE13D3" w:rsidRDefault="00395361" w:rsidP="00C847E0">
            <w:pPr>
              <w:spacing w:after="0" w:line="240" w:lineRule="auto"/>
              <w:rPr>
                <w:sz w:val="20"/>
                <w:szCs w:val="20"/>
              </w:rPr>
            </w:pPr>
            <w:r w:rsidRPr="00AE13D3">
              <w:rPr>
                <w:b/>
                <w:bCs/>
                <w:sz w:val="20"/>
                <w:szCs w:val="20"/>
              </w:rPr>
              <w:t>Līdzatbildīgās institūcijas</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395361" w:rsidRPr="00AE13D3" w:rsidRDefault="00395361" w:rsidP="00C847E0">
            <w:pPr>
              <w:spacing w:after="0" w:line="240" w:lineRule="auto"/>
              <w:rPr>
                <w:sz w:val="20"/>
                <w:szCs w:val="20"/>
              </w:rPr>
            </w:pPr>
            <w:r w:rsidRPr="00AE13D3">
              <w:rPr>
                <w:b/>
                <w:bCs/>
                <w:sz w:val="20"/>
                <w:szCs w:val="20"/>
              </w:rPr>
              <w:t>Izpildes termiņš</w:t>
            </w:r>
          </w:p>
        </w:tc>
      </w:tr>
      <w:tr w:rsidR="00395361" w:rsidRPr="00AE13D3"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rsidR="00395361" w:rsidRPr="00AE13D3" w:rsidRDefault="00395361" w:rsidP="00C847E0">
            <w:pPr>
              <w:spacing w:after="0" w:line="240" w:lineRule="auto"/>
              <w:rPr>
                <w:b/>
                <w:bCs/>
                <w:sz w:val="20"/>
                <w:szCs w:val="20"/>
              </w:rPr>
            </w:pPr>
            <w:r w:rsidRPr="00AE13D3">
              <w:rPr>
                <w:b/>
                <w:bCs/>
                <w:sz w:val="20"/>
                <w:szCs w:val="20"/>
              </w:rPr>
              <w:t>2. Digitalizācija un inovatīvu pakalpojumu pieejamība</w:t>
            </w:r>
          </w:p>
        </w:tc>
      </w:tr>
      <w:tr w:rsidR="00395361" w:rsidRPr="00AE13D3"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rsidR="00395361" w:rsidRPr="00AE13D3" w:rsidRDefault="00395361" w:rsidP="00C847E0">
            <w:pPr>
              <w:spacing w:after="0" w:line="240" w:lineRule="auto"/>
              <w:rPr>
                <w:b/>
                <w:bCs/>
                <w:sz w:val="20"/>
                <w:szCs w:val="20"/>
              </w:rPr>
            </w:pPr>
            <w:r>
              <w:rPr>
                <w:b/>
                <w:bCs/>
                <w:sz w:val="20"/>
                <w:szCs w:val="20"/>
              </w:rPr>
              <w:t xml:space="preserve">2.1. </w:t>
            </w:r>
            <w:r w:rsidRPr="00AE13D3">
              <w:rPr>
                <w:b/>
                <w:bCs/>
                <w:sz w:val="20"/>
                <w:szCs w:val="20"/>
              </w:rPr>
              <w:t>Inovāciju atbalstošas ekosistēmas veidošana</w:t>
            </w:r>
          </w:p>
        </w:tc>
      </w:tr>
      <w:tr w:rsidR="00FA2934" w:rsidRPr="00EC379F" w:rsidTr="00C847E0">
        <w:trPr>
          <w:trHeight w:val="1840"/>
        </w:trPr>
        <w:tc>
          <w:tcPr>
            <w:tcW w:w="217" w:type="pct"/>
            <w:vMerge w:val="restart"/>
            <w:tcBorders>
              <w:top w:val="outset" w:sz="6" w:space="0" w:color="414142"/>
              <w:left w:val="outset" w:sz="6" w:space="0" w:color="414142"/>
              <w:right w:val="outset" w:sz="6" w:space="0" w:color="414142"/>
            </w:tcBorders>
            <w:shd w:val="clear" w:color="auto" w:fill="FFFFFF" w:themeFill="background1"/>
          </w:tcPr>
          <w:p w:rsidR="00FA2934" w:rsidRDefault="00D1797C" w:rsidP="00FA2934">
            <w:pPr>
              <w:spacing w:after="0" w:line="240" w:lineRule="auto"/>
              <w:rPr>
                <w:sz w:val="20"/>
                <w:szCs w:val="20"/>
              </w:rPr>
            </w:pPr>
            <w:r>
              <w:rPr>
                <w:sz w:val="20"/>
                <w:szCs w:val="20"/>
              </w:rPr>
              <w:t>2.1.1.</w:t>
            </w:r>
          </w:p>
        </w:tc>
        <w:tc>
          <w:tcPr>
            <w:tcW w:w="1106" w:type="pct"/>
            <w:vMerge w:val="restar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Starpinstitūciju sadarbības ietvara izveide finanšu inovāciju atbalstam un attīstībai</w:t>
            </w:r>
          </w:p>
        </w:tc>
        <w:tc>
          <w:tcPr>
            <w:tcW w:w="851" w:type="pct"/>
            <w:vMerge w:val="restart"/>
            <w:tcBorders>
              <w:top w:val="outset" w:sz="6" w:space="0" w:color="414142"/>
              <w:left w:val="outset" w:sz="6" w:space="0" w:color="414142"/>
              <w:right w:val="outset" w:sz="6" w:space="0" w:color="414142"/>
            </w:tcBorders>
            <w:shd w:val="clear" w:color="auto" w:fill="FFFFFF" w:themeFill="background1"/>
          </w:tcPr>
          <w:p w:rsidR="00FA2934" w:rsidRPr="00FA2934" w:rsidRDefault="00FA2934" w:rsidP="00FA2934">
            <w:pPr>
              <w:spacing w:after="0" w:line="240" w:lineRule="auto"/>
              <w:rPr>
                <w:sz w:val="20"/>
                <w:szCs w:val="20"/>
              </w:rPr>
            </w:pPr>
            <w:r>
              <w:rPr>
                <w:sz w:val="20"/>
                <w:szCs w:val="20"/>
              </w:rPr>
              <w:t xml:space="preserve">Efektīva un koordinēta valsts iestāžu sadarbība ar </w:t>
            </w:r>
            <w:r>
              <w:rPr>
                <w:i/>
                <w:sz w:val="20"/>
                <w:szCs w:val="20"/>
              </w:rPr>
              <w:t>fintech</w:t>
            </w:r>
            <w:r>
              <w:rPr>
                <w:sz w:val="20"/>
                <w:szCs w:val="20"/>
              </w:rPr>
              <w:t xml:space="preserve"> jomas uzņēmumiem</w:t>
            </w:r>
          </w:p>
        </w:tc>
        <w:tc>
          <w:tcPr>
            <w:tcW w:w="937" w:type="pct"/>
            <w:tcBorders>
              <w:top w:val="outset" w:sz="6" w:space="0" w:color="414142"/>
              <w:left w:val="outset" w:sz="6" w:space="0" w:color="414142"/>
              <w:right w:val="outset" w:sz="6" w:space="0" w:color="414142"/>
            </w:tcBorders>
            <w:shd w:val="clear" w:color="auto" w:fill="FFFFFF" w:themeFill="background1"/>
          </w:tcPr>
          <w:p w:rsidR="00FA2934" w:rsidRPr="00AE13D3" w:rsidRDefault="00FA2934" w:rsidP="00FA2934">
            <w:pPr>
              <w:spacing w:after="0" w:line="240" w:lineRule="auto"/>
              <w:rPr>
                <w:sz w:val="20"/>
                <w:szCs w:val="20"/>
              </w:rPr>
            </w:pPr>
            <w:r>
              <w:rPr>
                <w:sz w:val="20"/>
                <w:szCs w:val="20"/>
              </w:rPr>
              <w:t>Koncepcijas izstrāde par informācijas apmaiņas u</w:t>
            </w:r>
            <w:r w:rsidR="00B07C46">
              <w:rPr>
                <w:sz w:val="20"/>
                <w:szCs w:val="20"/>
              </w:rPr>
              <w:t>n sadarbības platformas izveidi</w:t>
            </w:r>
          </w:p>
        </w:tc>
        <w:tc>
          <w:tcPr>
            <w:tcW w:w="536" w:type="pc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FM</w:t>
            </w:r>
          </w:p>
        </w:tc>
        <w:tc>
          <w:tcPr>
            <w:tcW w:w="759" w:type="pc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 xml:space="preserve">FKTK, LB, VID, </w:t>
            </w:r>
            <w:r w:rsidR="00B07C46">
              <w:rPr>
                <w:sz w:val="20"/>
                <w:szCs w:val="20"/>
              </w:rPr>
              <w:t xml:space="preserve">PTAC, </w:t>
            </w:r>
            <w:r>
              <w:rPr>
                <w:sz w:val="20"/>
                <w:szCs w:val="20"/>
              </w:rPr>
              <w:t>LIAA, FID</w:t>
            </w:r>
          </w:p>
        </w:tc>
        <w:tc>
          <w:tcPr>
            <w:tcW w:w="594" w:type="pct"/>
            <w:tcBorders>
              <w:top w:val="outset" w:sz="6" w:space="0" w:color="414142"/>
              <w:left w:val="outset" w:sz="6" w:space="0" w:color="414142"/>
              <w:right w:val="outset" w:sz="6" w:space="0" w:color="414142"/>
            </w:tcBorders>
            <w:shd w:val="clear" w:color="auto" w:fill="FFFFFF" w:themeFill="background1"/>
          </w:tcPr>
          <w:p w:rsidR="00FA2934" w:rsidRPr="00534143" w:rsidDel="00334A81" w:rsidRDefault="0091779F" w:rsidP="00FA2934">
            <w:pPr>
              <w:spacing w:after="0" w:line="240" w:lineRule="auto"/>
              <w:rPr>
                <w:sz w:val="20"/>
                <w:szCs w:val="20"/>
              </w:rPr>
            </w:pPr>
            <w:r>
              <w:rPr>
                <w:sz w:val="20"/>
                <w:szCs w:val="20"/>
              </w:rPr>
              <w:t>30.08.2021.</w:t>
            </w:r>
          </w:p>
        </w:tc>
      </w:tr>
      <w:tr w:rsidR="00FA2934" w:rsidRPr="00EC379F" w:rsidTr="00D1797C">
        <w:trPr>
          <w:trHeight w:val="1840"/>
        </w:trPr>
        <w:tc>
          <w:tcPr>
            <w:tcW w:w="217" w:type="pct"/>
            <w:vMerge/>
            <w:tcBorders>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p>
        </w:tc>
        <w:tc>
          <w:tcPr>
            <w:tcW w:w="1106" w:type="pct"/>
            <w:vMerge/>
            <w:tcBorders>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p>
        </w:tc>
        <w:tc>
          <w:tcPr>
            <w:tcW w:w="851" w:type="pct"/>
            <w:vMerge/>
            <w:tcBorders>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p>
        </w:tc>
        <w:tc>
          <w:tcPr>
            <w:tcW w:w="937" w:type="pct"/>
            <w:tcBorders>
              <w:top w:val="outset" w:sz="6" w:space="0" w:color="414142"/>
              <w:left w:val="outset" w:sz="6" w:space="0" w:color="414142"/>
              <w:right w:val="outset" w:sz="6" w:space="0" w:color="414142"/>
            </w:tcBorders>
            <w:shd w:val="clear" w:color="auto" w:fill="FFFFFF" w:themeFill="background1"/>
          </w:tcPr>
          <w:p w:rsidR="00FA2934" w:rsidRPr="00AE13D3" w:rsidRDefault="00FA2934" w:rsidP="00FA2934">
            <w:pPr>
              <w:spacing w:after="0" w:line="240" w:lineRule="auto"/>
              <w:rPr>
                <w:sz w:val="20"/>
                <w:szCs w:val="20"/>
              </w:rPr>
            </w:pPr>
            <w:r>
              <w:rPr>
                <w:sz w:val="20"/>
                <w:szCs w:val="20"/>
              </w:rPr>
              <w:t>Pastāvīgas sadarbības platformas (darba grupas) izveide</w:t>
            </w:r>
          </w:p>
        </w:tc>
        <w:tc>
          <w:tcPr>
            <w:tcW w:w="536" w:type="pc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FM</w:t>
            </w:r>
          </w:p>
        </w:tc>
        <w:tc>
          <w:tcPr>
            <w:tcW w:w="759" w:type="pc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 xml:space="preserve">FKTK, LB, VID, </w:t>
            </w:r>
            <w:r w:rsidR="00B07C46">
              <w:rPr>
                <w:sz w:val="20"/>
                <w:szCs w:val="20"/>
              </w:rPr>
              <w:t xml:space="preserve">PTAC. </w:t>
            </w:r>
            <w:r>
              <w:rPr>
                <w:sz w:val="20"/>
                <w:szCs w:val="20"/>
              </w:rPr>
              <w:t>LIAA, FID</w:t>
            </w:r>
          </w:p>
        </w:tc>
        <w:tc>
          <w:tcPr>
            <w:tcW w:w="594" w:type="pct"/>
            <w:tcBorders>
              <w:top w:val="outset" w:sz="6" w:space="0" w:color="414142"/>
              <w:left w:val="outset" w:sz="6" w:space="0" w:color="414142"/>
              <w:right w:val="outset" w:sz="6" w:space="0" w:color="414142"/>
            </w:tcBorders>
            <w:shd w:val="clear" w:color="auto" w:fill="FFFFFF" w:themeFill="background1"/>
          </w:tcPr>
          <w:p w:rsidR="00FA2934" w:rsidRPr="00534143" w:rsidDel="00334A81" w:rsidRDefault="0091779F" w:rsidP="00FA2934">
            <w:pPr>
              <w:spacing w:after="0" w:line="240" w:lineRule="auto"/>
              <w:rPr>
                <w:sz w:val="20"/>
                <w:szCs w:val="20"/>
              </w:rPr>
            </w:pPr>
            <w:r>
              <w:rPr>
                <w:sz w:val="20"/>
                <w:szCs w:val="20"/>
              </w:rPr>
              <w:t>31.09.2021.</w:t>
            </w:r>
          </w:p>
        </w:tc>
      </w:tr>
      <w:tr w:rsidR="00FA2934" w:rsidRPr="00EC379F" w:rsidTr="00C847E0">
        <w:trPr>
          <w:trHeight w:val="1840"/>
        </w:trPr>
        <w:tc>
          <w:tcPr>
            <w:tcW w:w="217" w:type="pct"/>
            <w:vMerge w:val="restart"/>
            <w:tcBorders>
              <w:top w:val="outset" w:sz="6" w:space="0" w:color="414142"/>
              <w:left w:val="outset" w:sz="6" w:space="0" w:color="414142"/>
              <w:right w:val="outset" w:sz="6" w:space="0" w:color="414142"/>
            </w:tcBorders>
            <w:shd w:val="clear" w:color="auto" w:fill="FFFFFF" w:themeFill="background1"/>
          </w:tcPr>
          <w:p w:rsidR="00FA2934" w:rsidRPr="00AE13D3" w:rsidRDefault="00FA2934" w:rsidP="00FA2934">
            <w:pPr>
              <w:spacing w:after="0" w:line="240" w:lineRule="auto"/>
              <w:rPr>
                <w:sz w:val="20"/>
                <w:szCs w:val="20"/>
              </w:rPr>
            </w:pPr>
            <w:bookmarkStart w:id="21" w:name="_Hlk54345377"/>
            <w:r>
              <w:rPr>
                <w:sz w:val="20"/>
                <w:szCs w:val="20"/>
              </w:rPr>
              <w:t>2.1.</w:t>
            </w:r>
            <w:r w:rsidR="00D1797C">
              <w:rPr>
                <w:sz w:val="20"/>
                <w:szCs w:val="20"/>
              </w:rPr>
              <w:t>2</w:t>
            </w:r>
            <w:r>
              <w:rPr>
                <w:sz w:val="20"/>
                <w:szCs w:val="20"/>
              </w:rPr>
              <w:t>.</w:t>
            </w:r>
          </w:p>
        </w:tc>
        <w:tc>
          <w:tcPr>
            <w:tcW w:w="1106" w:type="pct"/>
            <w:vMerge w:val="restar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 xml:space="preserve">Nacionālās </w:t>
            </w:r>
            <w:r>
              <w:rPr>
                <w:i/>
                <w:sz w:val="20"/>
                <w:szCs w:val="20"/>
              </w:rPr>
              <w:t xml:space="preserve">fintech </w:t>
            </w:r>
            <w:r>
              <w:rPr>
                <w:sz w:val="20"/>
                <w:szCs w:val="20"/>
              </w:rPr>
              <w:t xml:space="preserve">stratēģijas izstrāde.  </w:t>
            </w:r>
          </w:p>
          <w:p w:rsidR="00FA2934" w:rsidRPr="00260614" w:rsidRDefault="00FA2934" w:rsidP="00FA2934">
            <w:pPr>
              <w:spacing w:after="0" w:line="240" w:lineRule="auto"/>
              <w:rPr>
                <w:sz w:val="20"/>
                <w:szCs w:val="20"/>
              </w:rPr>
            </w:pPr>
          </w:p>
        </w:tc>
        <w:tc>
          <w:tcPr>
            <w:tcW w:w="851" w:type="pct"/>
            <w:vMerge w:val="restar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Veicināta konkurence finanšu sektorā</w:t>
            </w:r>
          </w:p>
          <w:p w:rsidR="00FA2934" w:rsidRDefault="00FA2934" w:rsidP="00FA2934">
            <w:pPr>
              <w:spacing w:after="0" w:line="240" w:lineRule="auto"/>
              <w:rPr>
                <w:sz w:val="20"/>
                <w:szCs w:val="20"/>
              </w:rPr>
            </w:pPr>
            <w:r>
              <w:rPr>
                <w:sz w:val="20"/>
                <w:szCs w:val="20"/>
              </w:rPr>
              <w:t>Inovatīvās uzņēmējdarbības attīstība</w:t>
            </w:r>
          </w:p>
          <w:p w:rsidR="00FA2934" w:rsidRDefault="00FA2934" w:rsidP="00FA2934">
            <w:pPr>
              <w:spacing w:after="0" w:line="240" w:lineRule="auto"/>
              <w:rPr>
                <w:sz w:val="20"/>
                <w:szCs w:val="20"/>
              </w:rPr>
            </w:pPr>
            <w:r>
              <w:rPr>
                <w:sz w:val="20"/>
                <w:szCs w:val="20"/>
              </w:rPr>
              <w:t>Veicināta izpratne par finanšu tehnoloģiju ekosistēmu.</w:t>
            </w:r>
          </w:p>
          <w:p w:rsidR="00FA2934" w:rsidRDefault="00FA2934" w:rsidP="00FA2934">
            <w:pPr>
              <w:spacing w:after="0" w:line="240" w:lineRule="auto"/>
              <w:rPr>
                <w:sz w:val="20"/>
                <w:szCs w:val="20"/>
              </w:rPr>
            </w:pPr>
          </w:p>
        </w:tc>
        <w:tc>
          <w:tcPr>
            <w:tcW w:w="937" w:type="pc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sidRPr="00AE13D3">
              <w:rPr>
                <w:sz w:val="20"/>
                <w:szCs w:val="20"/>
              </w:rPr>
              <w:t>Darba grupas vai komitejas izveide</w:t>
            </w:r>
            <w:r>
              <w:rPr>
                <w:sz w:val="20"/>
                <w:szCs w:val="20"/>
              </w:rPr>
              <w:t>;</w:t>
            </w:r>
          </w:p>
          <w:p w:rsidR="00FA2934" w:rsidRDefault="00FA2934" w:rsidP="00FA2934">
            <w:pPr>
              <w:spacing w:after="0" w:line="240" w:lineRule="auto"/>
              <w:rPr>
                <w:sz w:val="20"/>
                <w:szCs w:val="20"/>
              </w:rPr>
            </w:pPr>
          </w:p>
          <w:p w:rsidR="00FA2934" w:rsidRDefault="00FA2934" w:rsidP="00FA2934">
            <w:pPr>
              <w:spacing w:after="0" w:line="240" w:lineRule="auto"/>
              <w:rPr>
                <w:sz w:val="20"/>
                <w:szCs w:val="20"/>
              </w:rPr>
            </w:pPr>
          </w:p>
        </w:tc>
        <w:tc>
          <w:tcPr>
            <w:tcW w:w="536" w:type="pct"/>
            <w:tcBorders>
              <w:top w:val="outset" w:sz="6" w:space="0" w:color="414142"/>
              <w:left w:val="outset" w:sz="6" w:space="0" w:color="414142"/>
              <w:right w:val="outset" w:sz="6" w:space="0" w:color="414142"/>
            </w:tcBorders>
            <w:shd w:val="clear" w:color="auto" w:fill="FFFFFF" w:themeFill="background1"/>
          </w:tcPr>
          <w:p w:rsidR="00FA2934" w:rsidRPr="00AE13D3" w:rsidRDefault="00FA2934" w:rsidP="00FA2934">
            <w:pPr>
              <w:spacing w:after="0" w:line="240" w:lineRule="auto"/>
              <w:rPr>
                <w:sz w:val="20"/>
                <w:szCs w:val="20"/>
              </w:rPr>
            </w:pPr>
            <w:r>
              <w:rPr>
                <w:sz w:val="20"/>
                <w:szCs w:val="20"/>
              </w:rPr>
              <w:t>FM</w:t>
            </w:r>
          </w:p>
        </w:tc>
        <w:tc>
          <w:tcPr>
            <w:tcW w:w="759" w:type="pct"/>
            <w:tcBorders>
              <w:top w:val="outset" w:sz="6" w:space="0" w:color="414142"/>
              <w:left w:val="outset" w:sz="6" w:space="0" w:color="414142"/>
              <w:right w:val="outset" w:sz="6" w:space="0" w:color="414142"/>
            </w:tcBorders>
            <w:shd w:val="clear" w:color="auto" w:fill="FFFFFF" w:themeFill="background1"/>
          </w:tcPr>
          <w:p w:rsidR="00FA2934" w:rsidRPr="00AE13D3" w:rsidRDefault="00FA2934" w:rsidP="00FA2934">
            <w:pPr>
              <w:spacing w:after="0" w:line="240" w:lineRule="auto"/>
              <w:rPr>
                <w:sz w:val="20"/>
                <w:szCs w:val="20"/>
              </w:rPr>
            </w:pPr>
            <w:r>
              <w:rPr>
                <w:sz w:val="20"/>
                <w:szCs w:val="20"/>
              </w:rPr>
              <w:t>FM, EM, LB, LIPAA, LMENA, STARTIN, LFNA</w:t>
            </w:r>
          </w:p>
        </w:tc>
        <w:tc>
          <w:tcPr>
            <w:tcW w:w="594" w:type="pc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p>
          <w:p w:rsidR="00FA2934" w:rsidRDefault="00FA2934" w:rsidP="00FA2934">
            <w:pPr>
              <w:spacing w:after="0" w:line="240" w:lineRule="auto"/>
              <w:rPr>
                <w:sz w:val="20"/>
                <w:szCs w:val="20"/>
              </w:rPr>
            </w:pPr>
            <w:r>
              <w:rPr>
                <w:sz w:val="20"/>
                <w:szCs w:val="20"/>
              </w:rPr>
              <w:t>31.01.2021.</w:t>
            </w:r>
          </w:p>
        </w:tc>
      </w:tr>
      <w:bookmarkEnd w:id="21"/>
      <w:tr w:rsidR="00FA2934" w:rsidRPr="00EC379F" w:rsidTr="00D1797C">
        <w:trPr>
          <w:trHeight w:val="1840"/>
        </w:trPr>
        <w:tc>
          <w:tcPr>
            <w:tcW w:w="217" w:type="pct"/>
            <w:vMerge/>
            <w:tcBorders>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p>
        </w:tc>
        <w:tc>
          <w:tcPr>
            <w:tcW w:w="1106" w:type="pct"/>
            <w:vMerge/>
            <w:tcBorders>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p>
        </w:tc>
        <w:tc>
          <w:tcPr>
            <w:tcW w:w="851" w:type="pct"/>
            <w:vMerge/>
            <w:tcBorders>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p>
        </w:tc>
        <w:tc>
          <w:tcPr>
            <w:tcW w:w="937" w:type="pc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Sagatavots izvērtējums par Latvijas fintech ekosistēmas stāvokli, identificēti pastāvošie šķēršli fintech attīstībai un izstrādāti priekšlikumi nepieciešamai rīcībai;</w:t>
            </w:r>
          </w:p>
          <w:p w:rsidR="00FA2934" w:rsidRPr="00AE13D3" w:rsidRDefault="00FA2934" w:rsidP="00FA2934">
            <w:pPr>
              <w:spacing w:after="0" w:line="240" w:lineRule="auto"/>
              <w:rPr>
                <w:sz w:val="20"/>
                <w:szCs w:val="20"/>
              </w:rPr>
            </w:pPr>
          </w:p>
        </w:tc>
        <w:tc>
          <w:tcPr>
            <w:tcW w:w="536" w:type="pc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FKTK</w:t>
            </w:r>
          </w:p>
        </w:tc>
        <w:tc>
          <w:tcPr>
            <w:tcW w:w="759" w:type="pc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 xml:space="preserve">FM, EM, LB, LIPAA, LMENA, STARTIN, LFNA </w:t>
            </w:r>
          </w:p>
        </w:tc>
        <w:tc>
          <w:tcPr>
            <w:tcW w:w="594" w:type="pct"/>
            <w:tcBorders>
              <w:top w:val="outset" w:sz="6" w:space="0" w:color="414142"/>
              <w:left w:val="outset" w:sz="6" w:space="0" w:color="414142"/>
              <w:right w:val="outset" w:sz="6" w:space="0" w:color="414142"/>
            </w:tcBorders>
            <w:shd w:val="clear" w:color="auto" w:fill="FFFFFF" w:themeFill="background1"/>
          </w:tcPr>
          <w:p w:rsidR="00FA2934" w:rsidRPr="00534143" w:rsidRDefault="00FA2934" w:rsidP="00FA2934">
            <w:pPr>
              <w:spacing w:after="0" w:line="240" w:lineRule="auto"/>
              <w:rPr>
                <w:sz w:val="20"/>
                <w:szCs w:val="20"/>
              </w:rPr>
            </w:pPr>
            <w:r>
              <w:rPr>
                <w:sz w:val="20"/>
                <w:szCs w:val="20"/>
              </w:rPr>
              <w:t>31.06</w:t>
            </w:r>
            <w:r w:rsidRPr="00534143">
              <w:rPr>
                <w:sz w:val="20"/>
                <w:szCs w:val="20"/>
              </w:rPr>
              <w:t>.2021</w:t>
            </w:r>
            <w:r>
              <w:rPr>
                <w:sz w:val="20"/>
                <w:szCs w:val="20"/>
              </w:rPr>
              <w:t>.</w:t>
            </w:r>
          </w:p>
        </w:tc>
      </w:tr>
      <w:tr w:rsidR="00FA2934" w:rsidRPr="00EC379F" w:rsidTr="00D1797C">
        <w:trPr>
          <w:trHeight w:val="1840"/>
        </w:trPr>
        <w:tc>
          <w:tcPr>
            <w:tcW w:w="217" w:type="pct"/>
            <w:vMerge/>
            <w:tcBorders>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p>
        </w:tc>
        <w:tc>
          <w:tcPr>
            <w:tcW w:w="1106" w:type="pct"/>
            <w:vMerge/>
            <w:tcBorders>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p>
        </w:tc>
        <w:tc>
          <w:tcPr>
            <w:tcW w:w="851" w:type="pct"/>
            <w:vMerge/>
            <w:tcBorders>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p>
        </w:tc>
        <w:tc>
          <w:tcPr>
            <w:tcW w:w="937" w:type="pct"/>
            <w:tcBorders>
              <w:top w:val="outset" w:sz="6" w:space="0" w:color="414142"/>
              <w:left w:val="outset" w:sz="6" w:space="0" w:color="414142"/>
              <w:right w:val="outset" w:sz="6" w:space="0" w:color="414142"/>
            </w:tcBorders>
            <w:shd w:val="clear" w:color="auto" w:fill="FFFFFF" w:themeFill="background1"/>
          </w:tcPr>
          <w:p w:rsidR="00FA2934" w:rsidRPr="00AE13D3" w:rsidRDefault="00FA2934" w:rsidP="00FA2934">
            <w:pPr>
              <w:spacing w:after="0" w:line="240" w:lineRule="auto"/>
              <w:rPr>
                <w:sz w:val="20"/>
                <w:szCs w:val="20"/>
              </w:rPr>
            </w:pPr>
            <w:r>
              <w:rPr>
                <w:sz w:val="20"/>
                <w:szCs w:val="20"/>
              </w:rPr>
              <w:t>Stratēģijas izstrāde</w:t>
            </w:r>
          </w:p>
        </w:tc>
        <w:tc>
          <w:tcPr>
            <w:tcW w:w="536" w:type="pc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FM</w:t>
            </w:r>
          </w:p>
        </w:tc>
        <w:tc>
          <w:tcPr>
            <w:tcW w:w="759" w:type="pct"/>
            <w:tcBorders>
              <w:top w:val="outset" w:sz="6" w:space="0" w:color="414142"/>
              <w:left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FM, EM, LB, LIPAA, LMENA, STARTIN, LFNA</w:t>
            </w:r>
          </w:p>
        </w:tc>
        <w:tc>
          <w:tcPr>
            <w:tcW w:w="594" w:type="pct"/>
            <w:tcBorders>
              <w:top w:val="outset" w:sz="6" w:space="0" w:color="414142"/>
              <w:left w:val="outset" w:sz="6" w:space="0" w:color="414142"/>
              <w:right w:val="outset" w:sz="6" w:space="0" w:color="414142"/>
            </w:tcBorders>
            <w:shd w:val="clear" w:color="auto" w:fill="FFFFFF" w:themeFill="background1"/>
          </w:tcPr>
          <w:p w:rsidR="00FA2934" w:rsidRPr="00534143" w:rsidRDefault="00FA2934" w:rsidP="00FA2934">
            <w:pPr>
              <w:spacing w:after="0" w:line="240" w:lineRule="auto"/>
              <w:rPr>
                <w:sz w:val="20"/>
                <w:szCs w:val="20"/>
              </w:rPr>
            </w:pPr>
            <w:r w:rsidRPr="00534143">
              <w:rPr>
                <w:sz w:val="20"/>
                <w:szCs w:val="20"/>
              </w:rPr>
              <w:t>30.09.2021</w:t>
            </w:r>
            <w:r>
              <w:rPr>
                <w:sz w:val="20"/>
                <w:szCs w:val="20"/>
              </w:rPr>
              <w:t>.</w:t>
            </w:r>
          </w:p>
        </w:tc>
      </w:tr>
      <w:tr w:rsidR="00FA2934" w:rsidRPr="00EC379F" w:rsidTr="00C847E0">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Pr="00AE13D3" w:rsidRDefault="00FA2934" w:rsidP="00D1797C">
            <w:pPr>
              <w:spacing w:after="0" w:line="240" w:lineRule="auto"/>
              <w:rPr>
                <w:sz w:val="20"/>
                <w:szCs w:val="20"/>
              </w:rPr>
            </w:pPr>
            <w:r>
              <w:rPr>
                <w:sz w:val="20"/>
                <w:szCs w:val="20"/>
              </w:rPr>
              <w:t>2.1.</w:t>
            </w:r>
            <w:r w:rsidR="00D1797C">
              <w:rPr>
                <w:sz w:val="20"/>
                <w:szCs w:val="20"/>
              </w:rPr>
              <w:t>3</w:t>
            </w:r>
            <w:r>
              <w:rPr>
                <w:sz w:val="20"/>
                <w:szCs w:val="20"/>
              </w:rPr>
              <w:t>.</w:t>
            </w:r>
          </w:p>
        </w:tc>
        <w:tc>
          <w:tcPr>
            <w:tcW w:w="110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Pr="00260614" w:rsidRDefault="00FA2934" w:rsidP="00FA2934">
            <w:pPr>
              <w:spacing w:after="0" w:line="240" w:lineRule="auto"/>
              <w:rPr>
                <w:sz w:val="20"/>
                <w:szCs w:val="20"/>
              </w:rPr>
            </w:pPr>
            <w:r w:rsidRPr="00260614">
              <w:rPr>
                <w:sz w:val="20"/>
                <w:szCs w:val="20"/>
              </w:rPr>
              <w:t xml:space="preserve">Attīstīt </w:t>
            </w:r>
            <w:r w:rsidRPr="00B258F6">
              <w:rPr>
                <w:i/>
                <w:iCs/>
                <w:sz w:val="20"/>
                <w:szCs w:val="20"/>
              </w:rPr>
              <w:t xml:space="preserve">fintech </w:t>
            </w:r>
            <w:r w:rsidRPr="00260614">
              <w:rPr>
                <w:sz w:val="20"/>
                <w:szCs w:val="20"/>
              </w:rPr>
              <w:t>atbalsta instrumentus (</w:t>
            </w:r>
            <w:r>
              <w:rPr>
                <w:sz w:val="20"/>
                <w:szCs w:val="20"/>
              </w:rPr>
              <w:t>digitālā smilšukaste, akselerātors</w:t>
            </w:r>
            <w:r w:rsidRPr="00260614">
              <w:rPr>
                <w:sz w:val="20"/>
                <w:szCs w:val="20"/>
              </w:rPr>
              <w:t>)</w:t>
            </w:r>
            <w:r>
              <w:rPr>
                <w:sz w:val="20"/>
                <w:szCs w:val="20"/>
              </w:rPr>
              <w:t>.</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Veicināta konkurence finanšu sektorā un inovatīvās uzņēmējdarbības attīstība.</w:t>
            </w: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Pr="00AE13D3" w:rsidRDefault="00FA2934" w:rsidP="00FA2934">
            <w:pPr>
              <w:spacing w:after="0" w:line="240" w:lineRule="auto"/>
              <w:rPr>
                <w:sz w:val="20"/>
                <w:szCs w:val="20"/>
              </w:rPr>
            </w:pPr>
            <w:r>
              <w:rPr>
                <w:sz w:val="20"/>
                <w:szCs w:val="20"/>
              </w:rPr>
              <w:t xml:space="preserve">Sadarbībā ar </w:t>
            </w:r>
            <w:r w:rsidRPr="00742A83">
              <w:rPr>
                <w:i/>
                <w:iCs/>
                <w:sz w:val="20"/>
                <w:szCs w:val="20"/>
              </w:rPr>
              <w:t>fintech</w:t>
            </w:r>
            <w:r>
              <w:rPr>
                <w:sz w:val="20"/>
                <w:szCs w:val="20"/>
              </w:rPr>
              <w:t xml:space="preserve"> sektoru sagatavots izvērtējums un rīcības plāns.</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FKTK</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FM, EM, LMENA, STARTIN</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31.08.2021.</w:t>
            </w:r>
          </w:p>
        </w:tc>
      </w:tr>
      <w:tr w:rsidR="00FA2934" w:rsidRPr="00EC379F" w:rsidTr="00C847E0">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Pr="00AE13D3" w:rsidRDefault="00FA2934" w:rsidP="00FA2934">
            <w:pPr>
              <w:spacing w:after="0" w:line="240" w:lineRule="auto"/>
              <w:rPr>
                <w:sz w:val="20"/>
                <w:szCs w:val="20"/>
              </w:rPr>
            </w:pPr>
            <w:r>
              <w:rPr>
                <w:sz w:val="20"/>
                <w:szCs w:val="20"/>
              </w:rPr>
              <w:t>2.1.</w:t>
            </w:r>
            <w:r w:rsidR="00D1797C">
              <w:rPr>
                <w:sz w:val="20"/>
                <w:szCs w:val="20"/>
              </w:rPr>
              <w:t>4</w:t>
            </w:r>
            <w:r>
              <w:rPr>
                <w:sz w:val="20"/>
                <w:szCs w:val="20"/>
              </w:rPr>
              <w:t>.</w:t>
            </w:r>
          </w:p>
        </w:tc>
        <w:tc>
          <w:tcPr>
            <w:tcW w:w="110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p>
          <w:p w:rsidR="00FA2934" w:rsidRPr="00260614" w:rsidRDefault="00FA2934" w:rsidP="00FA2934">
            <w:pPr>
              <w:spacing w:after="0" w:line="240" w:lineRule="auto"/>
              <w:rPr>
                <w:sz w:val="20"/>
                <w:szCs w:val="20"/>
              </w:rPr>
            </w:pPr>
            <w:r>
              <w:rPr>
                <w:sz w:val="20"/>
                <w:szCs w:val="20"/>
              </w:rPr>
              <w:t>Finanšu sektora uzraudzības digitālā transformācija</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Veicināta konkurence finanšu sektorā un inovatīvās uzņēmējdarbības attīstība.</w:t>
            </w:r>
          </w:p>
          <w:p w:rsidR="00FA2934" w:rsidRDefault="00FA2934" w:rsidP="00FA2934">
            <w:pPr>
              <w:spacing w:after="0" w:line="240" w:lineRule="auto"/>
              <w:rPr>
                <w:sz w:val="20"/>
                <w:szCs w:val="20"/>
              </w:rPr>
            </w:pPr>
            <w:r>
              <w:rPr>
                <w:sz w:val="20"/>
                <w:szCs w:val="20"/>
              </w:rPr>
              <w:t>Uzlabota iestādes efektivitāte.</w:t>
            </w: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Sagatavota programma RegTech un SupTech virzienu attīstībai.</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FKTK, PTAC</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FM, LB, EM, LMENA, STARTIN</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FA2934" w:rsidRDefault="00FA2934" w:rsidP="00FA2934">
            <w:pPr>
              <w:spacing w:after="0" w:line="240" w:lineRule="auto"/>
              <w:rPr>
                <w:sz w:val="20"/>
                <w:szCs w:val="20"/>
              </w:rPr>
            </w:pPr>
            <w:r>
              <w:rPr>
                <w:sz w:val="20"/>
                <w:szCs w:val="20"/>
              </w:rPr>
              <w:t>30.06.2021.</w:t>
            </w:r>
          </w:p>
        </w:tc>
      </w:tr>
      <w:tr w:rsidR="0091779F" w:rsidRPr="00EC379F" w:rsidTr="00C847E0">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D1797C" w:rsidP="00FA2934">
            <w:pPr>
              <w:spacing w:after="0" w:line="240" w:lineRule="auto"/>
              <w:rPr>
                <w:sz w:val="20"/>
                <w:szCs w:val="20"/>
              </w:rPr>
            </w:pPr>
            <w:r>
              <w:rPr>
                <w:sz w:val="20"/>
                <w:szCs w:val="20"/>
              </w:rPr>
              <w:t>2.1.5.</w:t>
            </w:r>
          </w:p>
        </w:tc>
        <w:tc>
          <w:tcPr>
            <w:tcW w:w="110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260614" w:rsidDel="00334A81" w:rsidRDefault="0091779F" w:rsidP="00FA2934">
            <w:pPr>
              <w:spacing w:after="0" w:line="240" w:lineRule="auto"/>
              <w:rPr>
                <w:sz w:val="20"/>
                <w:szCs w:val="20"/>
              </w:rPr>
            </w:pPr>
            <w:r>
              <w:rPr>
                <w:sz w:val="20"/>
                <w:szCs w:val="20"/>
              </w:rPr>
              <w:t xml:space="preserve">Vienas pieturas aģentūras izveide jaunuzņēmumiem </w:t>
            </w:r>
            <w:r w:rsidRPr="005B1DCA">
              <w:rPr>
                <w:i/>
                <w:sz w:val="20"/>
                <w:szCs w:val="20"/>
              </w:rPr>
              <w:t>fintech</w:t>
            </w:r>
            <w:r>
              <w:rPr>
                <w:sz w:val="20"/>
                <w:szCs w:val="20"/>
              </w:rPr>
              <w:t xml:space="preserve"> jomā</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FA2934">
            <w:pPr>
              <w:spacing w:after="0" w:line="240" w:lineRule="auto"/>
              <w:rPr>
                <w:sz w:val="20"/>
                <w:szCs w:val="20"/>
              </w:rPr>
            </w:pPr>
            <w:r>
              <w:rPr>
                <w:sz w:val="20"/>
                <w:szCs w:val="20"/>
              </w:rPr>
              <w:t>Veicināta konkurence finanšu sektorā un inovatīvās uzņēmējdarbības attīstība.</w:t>
            </w: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FA2934">
            <w:pPr>
              <w:spacing w:after="0" w:line="240" w:lineRule="auto"/>
              <w:rPr>
                <w:sz w:val="20"/>
                <w:szCs w:val="20"/>
              </w:rPr>
            </w:pPr>
            <w:r>
              <w:rPr>
                <w:sz w:val="20"/>
                <w:szCs w:val="20"/>
              </w:rPr>
              <w:t>Izstrādāta koncepcija par vienas pieturas aģentūras izveidi un darbību;</w:t>
            </w:r>
          </w:p>
          <w:p w:rsidR="0091779F" w:rsidRDefault="0091779F" w:rsidP="0046437D">
            <w:pPr>
              <w:spacing w:after="0" w:line="240" w:lineRule="auto"/>
              <w:rPr>
                <w:sz w:val="20"/>
                <w:szCs w:val="20"/>
              </w:rPr>
            </w:pPr>
            <w:r>
              <w:rPr>
                <w:sz w:val="20"/>
                <w:szCs w:val="20"/>
              </w:rPr>
              <w:t>Izveidota web lapa vai esošās pilnveidošana vienas aģent</w:t>
            </w:r>
            <w:r w:rsidR="0046437D">
              <w:rPr>
                <w:sz w:val="20"/>
                <w:szCs w:val="20"/>
              </w:rPr>
              <w:t>ūr</w:t>
            </w:r>
            <w:r>
              <w:rPr>
                <w:sz w:val="20"/>
                <w:szCs w:val="20"/>
              </w:rPr>
              <w:t>as darbībai</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FA2934">
            <w:pPr>
              <w:spacing w:after="0" w:line="240" w:lineRule="auto"/>
              <w:rPr>
                <w:sz w:val="20"/>
                <w:szCs w:val="20"/>
              </w:rPr>
            </w:pPr>
            <w:r>
              <w:rPr>
                <w:sz w:val="20"/>
                <w:szCs w:val="20"/>
              </w:rPr>
              <w:t>EM, LIAA</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FA2934">
            <w:pPr>
              <w:spacing w:after="0" w:line="240" w:lineRule="auto"/>
              <w:rPr>
                <w:sz w:val="20"/>
                <w:szCs w:val="20"/>
              </w:rPr>
            </w:pPr>
            <w:r>
              <w:rPr>
                <w:sz w:val="20"/>
                <w:szCs w:val="20"/>
              </w:rPr>
              <w:t>FM, FKTK, LB, VID, UR, FID</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FA2934">
            <w:pPr>
              <w:spacing w:after="0" w:line="240" w:lineRule="auto"/>
              <w:rPr>
                <w:sz w:val="20"/>
                <w:szCs w:val="20"/>
              </w:rPr>
            </w:pPr>
            <w:r>
              <w:rPr>
                <w:sz w:val="20"/>
                <w:szCs w:val="20"/>
              </w:rPr>
              <w:t>31.12.2021.</w:t>
            </w:r>
          </w:p>
        </w:tc>
      </w:tr>
      <w:tr w:rsidR="0091779F" w:rsidRPr="00EC379F" w:rsidTr="00D1797C">
        <w:tc>
          <w:tcPr>
            <w:tcW w:w="217" w:type="pct"/>
            <w:vMerge w:val="restart"/>
            <w:tcBorders>
              <w:top w:val="outset" w:sz="6" w:space="0" w:color="414142"/>
              <w:left w:val="outset" w:sz="6" w:space="0" w:color="414142"/>
              <w:right w:val="outset" w:sz="6" w:space="0" w:color="414142"/>
            </w:tcBorders>
            <w:shd w:val="clear" w:color="auto" w:fill="FFFFFF" w:themeFill="background1"/>
          </w:tcPr>
          <w:p w:rsidR="0091779F" w:rsidRDefault="00D1797C" w:rsidP="00FA2934">
            <w:pPr>
              <w:spacing w:after="0" w:line="240" w:lineRule="auto"/>
              <w:rPr>
                <w:sz w:val="20"/>
                <w:szCs w:val="20"/>
              </w:rPr>
            </w:pPr>
            <w:r>
              <w:rPr>
                <w:sz w:val="20"/>
                <w:szCs w:val="20"/>
              </w:rPr>
              <w:t>2.1.6.</w:t>
            </w:r>
          </w:p>
        </w:tc>
        <w:tc>
          <w:tcPr>
            <w:tcW w:w="1106" w:type="pct"/>
            <w:vMerge w:val="restart"/>
            <w:tcBorders>
              <w:top w:val="outset" w:sz="6" w:space="0" w:color="414142"/>
              <w:left w:val="outset" w:sz="6" w:space="0" w:color="414142"/>
              <w:right w:val="outset" w:sz="6" w:space="0" w:color="414142"/>
            </w:tcBorders>
            <w:shd w:val="clear" w:color="auto" w:fill="FFFFFF" w:themeFill="background1"/>
          </w:tcPr>
          <w:p w:rsidR="0091779F" w:rsidRDefault="0091779F" w:rsidP="00FA2934">
            <w:pPr>
              <w:spacing w:after="0" w:line="240" w:lineRule="auto"/>
              <w:rPr>
                <w:sz w:val="20"/>
                <w:szCs w:val="20"/>
              </w:rPr>
            </w:pPr>
            <w:r>
              <w:rPr>
                <w:sz w:val="20"/>
                <w:szCs w:val="20"/>
              </w:rPr>
              <w:t>Finanšu inovāciju monitorings</w:t>
            </w:r>
          </w:p>
        </w:tc>
        <w:tc>
          <w:tcPr>
            <w:tcW w:w="851" w:type="pct"/>
            <w:vMerge w:val="restart"/>
            <w:tcBorders>
              <w:top w:val="outset" w:sz="6" w:space="0" w:color="414142"/>
              <w:left w:val="outset" w:sz="6" w:space="0" w:color="414142"/>
              <w:right w:val="outset" w:sz="6" w:space="0" w:color="414142"/>
            </w:tcBorders>
            <w:shd w:val="clear" w:color="auto" w:fill="FFFFFF" w:themeFill="background1"/>
          </w:tcPr>
          <w:p w:rsidR="0091779F" w:rsidRPr="0091779F" w:rsidRDefault="0091779F" w:rsidP="00FA2934">
            <w:pPr>
              <w:spacing w:after="0" w:line="240" w:lineRule="auto"/>
              <w:rPr>
                <w:sz w:val="20"/>
                <w:szCs w:val="20"/>
              </w:rPr>
            </w:pPr>
            <w:r>
              <w:rPr>
                <w:sz w:val="20"/>
                <w:szCs w:val="20"/>
              </w:rPr>
              <w:t>Pieeja aktuālākā informācija par finanšu inovācijām Latvijā</w:t>
            </w: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91779F" w:rsidRDefault="0091779F" w:rsidP="0091779F">
            <w:pPr>
              <w:spacing w:after="0" w:line="240" w:lineRule="auto"/>
              <w:rPr>
                <w:sz w:val="20"/>
                <w:szCs w:val="20"/>
              </w:rPr>
            </w:pPr>
            <w:r>
              <w:rPr>
                <w:sz w:val="20"/>
                <w:szCs w:val="20"/>
              </w:rPr>
              <w:t>Veikts finanšu tirgus monitorings un sagatavots apkopojums par tajā esošajiem risinājumiem</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FA2934">
            <w:pPr>
              <w:spacing w:after="0" w:line="240" w:lineRule="auto"/>
              <w:rPr>
                <w:sz w:val="20"/>
                <w:szCs w:val="20"/>
              </w:rPr>
            </w:pPr>
            <w:r>
              <w:rPr>
                <w:sz w:val="20"/>
                <w:szCs w:val="20"/>
              </w:rPr>
              <w:t>FKTK</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FA2934">
            <w:pPr>
              <w:spacing w:after="0" w:line="240" w:lineRule="auto"/>
              <w:rPr>
                <w:sz w:val="20"/>
                <w:szCs w:val="20"/>
              </w:rPr>
            </w:pPr>
            <w:r>
              <w:rPr>
                <w:sz w:val="20"/>
                <w:szCs w:val="20"/>
              </w:rPr>
              <w:t>VID, LIAA, FM, EM, LFNA</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FA2934">
            <w:pPr>
              <w:spacing w:after="0" w:line="240" w:lineRule="auto"/>
              <w:rPr>
                <w:sz w:val="20"/>
                <w:szCs w:val="20"/>
              </w:rPr>
            </w:pPr>
            <w:r>
              <w:rPr>
                <w:sz w:val="20"/>
                <w:szCs w:val="20"/>
              </w:rPr>
              <w:t>Katru gadu līdz 31.martam par iepriekšējo kalendāro gadu.</w:t>
            </w:r>
          </w:p>
        </w:tc>
      </w:tr>
      <w:tr w:rsidR="0091779F" w:rsidRPr="00EC379F" w:rsidTr="00D1797C">
        <w:tc>
          <w:tcPr>
            <w:tcW w:w="217" w:type="pct"/>
            <w:vMerge/>
            <w:tcBorders>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p>
        </w:tc>
        <w:tc>
          <w:tcPr>
            <w:tcW w:w="1106" w:type="pct"/>
            <w:vMerge/>
            <w:tcBorders>
              <w:left w:val="outset" w:sz="6" w:space="0" w:color="414142"/>
              <w:bottom w:val="outset" w:sz="6" w:space="0" w:color="414142"/>
              <w:right w:val="outset" w:sz="6" w:space="0" w:color="414142"/>
            </w:tcBorders>
            <w:shd w:val="clear" w:color="auto" w:fill="FFFFFF" w:themeFill="background1"/>
          </w:tcPr>
          <w:p w:rsidR="0091779F" w:rsidRPr="00260614" w:rsidDel="00334A81" w:rsidRDefault="0091779F" w:rsidP="0091779F">
            <w:pPr>
              <w:spacing w:after="0" w:line="240" w:lineRule="auto"/>
              <w:rPr>
                <w:sz w:val="20"/>
                <w:szCs w:val="20"/>
              </w:rPr>
            </w:pPr>
          </w:p>
        </w:tc>
        <w:tc>
          <w:tcPr>
            <w:tcW w:w="851" w:type="pct"/>
            <w:vMerge/>
            <w:tcBorders>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91779F" w:rsidRDefault="0091779F" w:rsidP="0091779F">
            <w:pPr>
              <w:spacing w:after="0" w:line="240" w:lineRule="auto"/>
              <w:rPr>
                <w:sz w:val="20"/>
                <w:szCs w:val="20"/>
              </w:rPr>
            </w:pPr>
            <w:r>
              <w:rPr>
                <w:sz w:val="20"/>
                <w:szCs w:val="20"/>
              </w:rPr>
              <w:t xml:space="preserve">Veikts monitorings par finanšu inovācijām ārpus regulētā finanšu sektora un sagatavots </w:t>
            </w:r>
            <w:r>
              <w:rPr>
                <w:i/>
                <w:sz w:val="20"/>
                <w:szCs w:val="20"/>
              </w:rPr>
              <w:t xml:space="preserve">fintech </w:t>
            </w:r>
            <w:r>
              <w:rPr>
                <w:sz w:val="20"/>
                <w:szCs w:val="20"/>
              </w:rPr>
              <w:t>uzņēmumu saraksts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r>
              <w:rPr>
                <w:sz w:val="20"/>
                <w:szCs w:val="20"/>
              </w:rPr>
              <w:t>LIAA</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r>
              <w:rPr>
                <w:sz w:val="20"/>
                <w:szCs w:val="20"/>
              </w:rPr>
              <w:t>VID, LIAA, FM. EM, LFNA</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r>
              <w:rPr>
                <w:sz w:val="20"/>
                <w:szCs w:val="20"/>
              </w:rPr>
              <w:t>Katru gadu līdz 31.martam par iepriekšējo kalendāro gadu.</w:t>
            </w:r>
          </w:p>
        </w:tc>
      </w:tr>
      <w:tr w:rsidR="00D1797C" w:rsidRPr="00EC379F" w:rsidTr="00D1797C">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D1797C" w:rsidRDefault="00D1797C" w:rsidP="00D1797C">
            <w:pPr>
              <w:spacing w:after="0" w:line="240" w:lineRule="auto"/>
              <w:rPr>
                <w:sz w:val="20"/>
                <w:szCs w:val="20"/>
              </w:rPr>
            </w:pPr>
            <w:r>
              <w:rPr>
                <w:sz w:val="20"/>
                <w:szCs w:val="20"/>
              </w:rPr>
              <w:t>2.1.7.</w:t>
            </w:r>
          </w:p>
        </w:tc>
        <w:tc>
          <w:tcPr>
            <w:tcW w:w="110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D1797C" w:rsidRDefault="00D1797C" w:rsidP="00D1797C">
            <w:pPr>
              <w:spacing w:after="0" w:line="240" w:lineRule="auto"/>
              <w:rPr>
                <w:sz w:val="20"/>
                <w:szCs w:val="20"/>
              </w:rPr>
            </w:pPr>
            <w:r>
              <w:rPr>
                <w:sz w:val="20"/>
                <w:szCs w:val="20"/>
              </w:rPr>
              <w:t>Sadarbības veicināšana ar universitātēm par finanšu inovāciju jautājumiem</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D1797C" w:rsidRDefault="00D1797C" w:rsidP="00D1797C">
            <w:pPr>
              <w:spacing w:after="0" w:line="240" w:lineRule="auto"/>
              <w:rPr>
                <w:sz w:val="20"/>
                <w:szCs w:val="20"/>
              </w:rPr>
            </w:pPr>
            <w:r>
              <w:rPr>
                <w:sz w:val="20"/>
                <w:szCs w:val="20"/>
              </w:rPr>
              <w:t>Veicināta sadarbība ar universitātēm par finanšu inovāciju jautājumiem</w:t>
            </w: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D1797C" w:rsidRDefault="00D1797C" w:rsidP="00D1797C">
            <w:pPr>
              <w:spacing w:after="0" w:line="240" w:lineRule="auto"/>
              <w:rPr>
                <w:sz w:val="20"/>
                <w:szCs w:val="20"/>
              </w:rPr>
            </w:pPr>
            <w:r>
              <w:rPr>
                <w:sz w:val="20"/>
                <w:szCs w:val="20"/>
              </w:rPr>
              <w:t>Izstrādāti priekšlikumi turpmākai sadarbībai</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D1797C" w:rsidRDefault="00D1797C" w:rsidP="00D1797C">
            <w:pPr>
              <w:spacing w:after="0" w:line="240" w:lineRule="auto"/>
              <w:rPr>
                <w:sz w:val="20"/>
                <w:szCs w:val="20"/>
              </w:rPr>
            </w:pPr>
            <w:r>
              <w:rPr>
                <w:sz w:val="20"/>
                <w:szCs w:val="20"/>
              </w:rPr>
              <w:t>FM</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D1797C" w:rsidRDefault="00D1797C" w:rsidP="00D1797C">
            <w:pPr>
              <w:spacing w:after="0" w:line="240" w:lineRule="auto"/>
              <w:rPr>
                <w:sz w:val="20"/>
                <w:szCs w:val="20"/>
              </w:rPr>
            </w:pPr>
            <w:r>
              <w:rPr>
                <w:sz w:val="20"/>
                <w:szCs w:val="20"/>
              </w:rPr>
              <w:t>IZM, FKTK, EM, LIAA</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D1797C" w:rsidRDefault="00D1797C" w:rsidP="00D1797C">
            <w:pPr>
              <w:spacing w:after="0" w:line="240" w:lineRule="auto"/>
              <w:rPr>
                <w:sz w:val="20"/>
                <w:szCs w:val="20"/>
              </w:rPr>
            </w:pPr>
            <w:r>
              <w:rPr>
                <w:sz w:val="20"/>
                <w:szCs w:val="20"/>
              </w:rPr>
              <w:t>30.08.2021.</w:t>
            </w:r>
          </w:p>
        </w:tc>
      </w:tr>
      <w:tr w:rsidR="0091779F" w:rsidRPr="00AE13D3"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tcPr>
          <w:p w:rsidR="0091779F" w:rsidRPr="00AE13D3" w:rsidRDefault="0091779F" w:rsidP="0091779F">
            <w:pPr>
              <w:spacing w:after="0" w:line="240" w:lineRule="auto"/>
              <w:rPr>
                <w:b/>
                <w:bCs/>
                <w:sz w:val="20"/>
                <w:szCs w:val="20"/>
              </w:rPr>
            </w:pPr>
            <w:r>
              <w:rPr>
                <w:b/>
                <w:bCs/>
                <w:sz w:val="20"/>
                <w:szCs w:val="20"/>
              </w:rPr>
              <w:t xml:space="preserve">2.2. Inovāciju atbalstošas infrastruktūras pieejamība </w:t>
            </w:r>
          </w:p>
        </w:tc>
      </w:tr>
      <w:tr w:rsidR="00C17840" w:rsidRPr="00AE13D3" w:rsidTr="00C847E0">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C17840" w:rsidRPr="00AE13D3" w:rsidRDefault="00C17840" w:rsidP="00C17840">
            <w:pPr>
              <w:spacing w:after="0" w:line="240" w:lineRule="auto"/>
              <w:rPr>
                <w:sz w:val="20"/>
                <w:szCs w:val="20"/>
              </w:rPr>
            </w:pPr>
            <w:r>
              <w:rPr>
                <w:sz w:val="20"/>
                <w:szCs w:val="20"/>
              </w:rPr>
              <w:t>2.2.1.</w:t>
            </w:r>
          </w:p>
        </w:tc>
        <w:tc>
          <w:tcPr>
            <w:tcW w:w="110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C17840" w:rsidRPr="00534143" w:rsidRDefault="00C17840" w:rsidP="00C17840">
            <w:pPr>
              <w:spacing w:after="0" w:line="240" w:lineRule="auto"/>
              <w:rPr>
                <w:b/>
                <w:sz w:val="20"/>
                <w:szCs w:val="20"/>
              </w:rPr>
            </w:pPr>
            <w:r>
              <w:rPr>
                <w:sz w:val="20"/>
                <w:szCs w:val="20"/>
              </w:rPr>
              <w:t>Veikt izvērtējumu un novērst šķēršļus un ierobežojumus, kas ierobežo maksājumu un elektroniskās naudas iestādēm iespēju atvērt norēķinu kontu Maksājumu pakalpojumu un elektroniskās naudas likuma 38.panta prasību izpildei.</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C17840" w:rsidRPr="00AE13D3" w:rsidRDefault="00C17840" w:rsidP="00C17840">
            <w:pPr>
              <w:spacing w:after="0" w:line="240" w:lineRule="auto"/>
              <w:rPr>
                <w:sz w:val="20"/>
                <w:szCs w:val="20"/>
              </w:rPr>
            </w:pPr>
            <w:r>
              <w:rPr>
                <w:sz w:val="20"/>
                <w:szCs w:val="20"/>
              </w:rPr>
              <w:t>Veicināta konkurence un attīstība finanšu sektorā.</w:t>
            </w: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C17840" w:rsidRPr="00AE13D3" w:rsidRDefault="00C17840" w:rsidP="00C17840">
            <w:pPr>
              <w:spacing w:after="0" w:line="240" w:lineRule="auto"/>
              <w:rPr>
                <w:sz w:val="20"/>
                <w:szCs w:val="20"/>
              </w:rPr>
            </w:pPr>
            <w:r>
              <w:rPr>
                <w:sz w:val="20"/>
                <w:szCs w:val="20"/>
              </w:rPr>
              <w:t>Sagatavots izvērtējums un izskatīts FSAP</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C17840" w:rsidRPr="00AE13D3" w:rsidRDefault="00C17840" w:rsidP="00C17840">
            <w:pPr>
              <w:spacing w:after="0" w:line="240" w:lineRule="auto"/>
              <w:rPr>
                <w:sz w:val="20"/>
                <w:szCs w:val="20"/>
              </w:rPr>
            </w:pPr>
            <w:r>
              <w:rPr>
                <w:sz w:val="20"/>
                <w:szCs w:val="20"/>
              </w:rPr>
              <w:t>FM</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C17840" w:rsidRPr="00AE13D3" w:rsidRDefault="00C17840" w:rsidP="00C17840">
            <w:pPr>
              <w:spacing w:after="0" w:line="240" w:lineRule="auto"/>
              <w:rPr>
                <w:sz w:val="20"/>
                <w:szCs w:val="20"/>
              </w:rPr>
            </w:pPr>
            <w:r>
              <w:rPr>
                <w:sz w:val="20"/>
                <w:szCs w:val="20"/>
              </w:rPr>
              <w:t xml:space="preserve">LB, FKTK, FM, LFNA, LMENA </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C17840" w:rsidRPr="00AE13D3" w:rsidRDefault="00C17840" w:rsidP="00C17840">
            <w:pPr>
              <w:spacing w:after="0" w:line="240" w:lineRule="auto"/>
              <w:rPr>
                <w:sz w:val="20"/>
                <w:szCs w:val="20"/>
              </w:rPr>
            </w:pPr>
            <w:r>
              <w:rPr>
                <w:sz w:val="20"/>
                <w:szCs w:val="20"/>
              </w:rPr>
              <w:t>31.08.2021.</w:t>
            </w:r>
          </w:p>
        </w:tc>
      </w:tr>
      <w:tr w:rsidR="0091779F" w:rsidRPr="00AE13D3" w:rsidTr="00C847E0">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r>
              <w:rPr>
                <w:sz w:val="20"/>
                <w:szCs w:val="20"/>
              </w:rPr>
              <w:t>2.2.2.</w:t>
            </w:r>
          </w:p>
        </w:tc>
        <w:tc>
          <w:tcPr>
            <w:tcW w:w="110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095B9B" w:rsidRDefault="0091779F" w:rsidP="0091779F">
            <w:pPr>
              <w:spacing w:after="0" w:line="240" w:lineRule="auto"/>
              <w:rPr>
                <w:sz w:val="20"/>
                <w:szCs w:val="20"/>
              </w:rPr>
            </w:pPr>
            <w:r w:rsidRPr="00095B9B">
              <w:rPr>
                <w:sz w:val="20"/>
                <w:szCs w:val="20"/>
              </w:rPr>
              <w:t xml:space="preserve">Veicināt </w:t>
            </w:r>
            <w:r>
              <w:rPr>
                <w:sz w:val="20"/>
                <w:szCs w:val="20"/>
              </w:rPr>
              <w:t>Latvijas kredītiestāžu pievienošanos Eiropas zibmaksājumu shēmai SCT Inst.</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r>
              <w:rPr>
                <w:sz w:val="20"/>
                <w:szCs w:val="20"/>
              </w:rPr>
              <w:t>Uzlabota pieejamība inovatīviem maksājumu pakalpojumiem.</w:t>
            </w: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F555EF" w:rsidRDefault="0091779F" w:rsidP="0091779F">
            <w:pPr>
              <w:spacing w:after="0" w:line="240" w:lineRule="auto"/>
              <w:rPr>
                <w:sz w:val="20"/>
                <w:szCs w:val="20"/>
              </w:rPr>
            </w:pPr>
            <w:r>
              <w:rPr>
                <w:sz w:val="20"/>
                <w:szCs w:val="20"/>
              </w:rPr>
              <w:t>80% no Latvijas kredītiestādēm ir pievienojušās</w:t>
            </w:r>
            <w:r w:rsidRPr="00F555EF">
              <w:rPr>
                <w:sz w:val="20"/>
                <w:szCs w:val="20"/>
              </w:rPr>
              <w:t xml:space="preserve"> Eiropas Maksājumu padomes (EPC) izmaksājumu shēmai (SEPA Instant Credit transfer scheme)</w:t>
            </w:r>
            <w:r>
              <w:rPr>
                <w:sz w:val="20"/>
                <w:szCs w:val="20"/>
              </w:rPr>
              <w:t>.</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E04B6B" w:rsidRDefault="0091779F" w:rsidP="0091779F">
            <w:pPr>
              <w:spacing w:after="0" w:line="240" w:lineRule="auto"/>
              <w:rPr>
                <w:color w:val="000000" w:themeColor="text1"/>
                <w:sz w:val="20"/>
                <w:szCs w:val="20"/>
              </w:rPr>
            </w:pPr>
            <w:r w:rsidRPr="00E04B6B">
              <w:rPr>
                <w:color w:val="000000" w:themeColor="text1"/>
                <w:sz w:val="20"/>
                <w:szCs w:val="20"/>
              </w:rPr>
              <w:t xml:space="preserve">LFNA </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E04B6B" w:rsidRDefault="0091779F" w:rsidP="0091779F">
            <w:pPr>
              <w:spacing w:after="0" w:line="240" w:lineRule="auto"/>
              <w:rPr>
                <w:color w:val="000000" w:themeColor="text1"/>
                <w:sz w:val="20"/>
                <w:szCs w:val="20"/>
              </w:rPr>
            </w:pPr>
            <w:r w:rsidRPr="00E04B6B">
              <w:rPr>
                <w:color w:val="000000" w:themeColor="text1"/>
                <w:sz w:val="20"/>
                <w:szCs w:val="20"/>
              </w:rPr>
              <w:t>LB, FM</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r>
              <w:rPr>
                <w:sz w:val="20"/>
                <w:szCs w:val="20"/>
              </w:rPr>
              <w:t>30.11.2021.</w:t>
            </w:r>
          </w:p>
        </w:tc>
      </w:tr>
      <w:tr w:rsidR="0091779F" w:rsidRPr="00AE13D3" w:rsidTr="00C847E0">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Pr>
                <w:sz w:val="20"/>
                <w:szCs w:val="20"/>
              </w:rPr>
              <w:t>2.2.3.</w:t>
            </w:r>
          </w:p>
        </w:tc>
        <w:tc>
          <w:tcPr>
            <w:tcW w:w="110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highlight w:val="magenta"/>
              </w:rPr>
            </w:pPr>
            <w:r w:rsidRPr="00095B9B">
              <w:rPr>
                <w:sz w:val="20"/>
                <w:szCs w:val="20"/>
              </w:rPr>
              <w:t>Veicin</w:t>
            </w:r>
            <w:r>
              <w:rPr>
                <w:sz w:val="20"/>
                <w:szCs w:val="20"/>
              </w:rPr>
              <w:t xml:space="preserve">āt Latvijas kredītiestāžu piedalīšanos Latvijas Bankas Zibsaišu reģistrā un zibprasījumu servisā. </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395361" w:rsidRDefault="0091779F" w:rsidP="0091779F">
            <w:pPr>
              <w:spacing w:after="0" w:line="240" w:lineRule="auto"/>
              <w:rPr>
                <w:sz w:val="20"/>
                <w:szCs w:val="20"/>
              </w:rPr>
            </w:pPr>
            <w:r w:rsidRPr="00395361">
              <w:rPr>
                <w:sz w:val="20"/>
                <w:szCs w:val="20"/>
              </w:rPr>
              <w:t>Uzlabota pieejamība inovatīviem maksājumu pakalpojumiem</w:t>
            </w:r>
            <w:r>
              <w:rPr>
                <w:sz w:val="20"/>
                <w:szCs w:val="20"/>
              </w:rPr>
              <w:t>.</w:t>
            </w: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395361" w:rsidRDefault="0091779F" w:rsidP="0091779F">
            <w:pPr>
              <w:spacing w:after="0" w:line="240" w:lineRule="auto"/>
              <w:rPr>
                <w:sz w:val="20"/>
                <w:szCs w:val="20"/>
              </w:rPr>
            </w:pPr>
            <w:r w:rsidRPr="00395361">
              <w:rPr>
                <w:sz w:val="20"/>
                <w:szCs w:val="20"/>
              </w:rPr>
              <w:t>80% no Latvijas kredītiestādēm izmanto Zibsaišu reģistru un zibprasījumu servisu</w:t>
            </w:r>
            <w:r>
              <w:rPr>
                <w:sz w:val="20"/>
                <w:szCs w:val="20"/>
              </w:rPr>
              <w:t>.</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395361" w:rsidRDefault="0091779F" w:rsidP="0091779F">
            <w:pPr>
              <w:spacing w:after="0" w:line="240" w:lineRule="auto"/>
              <w:rPr>
                <w:sz w:val="20"/>
                <w:szCs w:val="20"/>
              </w:rPr>
            </w:pPr>
            <w:r w:rsidRPr="00395361">
              <w:rPr>
                <w:sz w:val="20"/>
                <w:szCs w:val="20"/>
              </w:rPr>
              <w:t>LFNA</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395361" w:rsidRDefault="0091779F" w:rsidP="0091779F">
            <w:pPr>
              <w:spacing w:after="0" w:line="240" w:lineRule="auto"/>
              <w:rPr>
                <w:sz w:val="20"/>
                <w:szCs w:val="20"/>
              </w:rPr>
            </w:pPr>
            <w:r w:rsidRPr="00395361">
              <w:rPr>
                <w:sz w:val="20"/>
                <w:szCs w:val="20"/>
              </w:rPr>
              <w:t>LB, FM</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Pr>
                <w:sz w:val="20"/>
                <w:szCs w:val="20"/>
              </w:rPr>
              <w:t>30.11.2021.</w:t>
            </w:r>
          </w:p>
        </w:tc>
      </w:tr>
      <w:tr w:rsidR="0091779F" w:rsidRPr="00AE13D3" w:rsidTr="00C847E0">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r>
              <w:rPr>
                <w:sz w:val="20"/>
                <w:szCs w:val="20"/>
              </w:rPr>
              <w:t>2.2.4.</w:t>
            </w:r>
          </w:p>
        </w:tc>
        <w:tc>
          <w:tcPr>
            <w:tcW w:w="110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095B9B" w:rsidRDefault="00CF066C" w:rsidP="0091779F">
            <w:pPr>
              <w:spacing w:after="0" w:line="240" w:lineRule="auto"/>
              <w:rPr>
                <w:sz w:val="20"/>
                <w:szCs w:val="20"/>
              </w:rPr>
            </w:pPr>
            <w:r w:rsidRPr="00CF066C">
              <w:rPr>
                <w:sz w:val="20"/>
                <w:szCs w:val="20"/>
              </w:rPr>
              <w:t>Pievienoties Latvijas Bankas uzturētajai ZIB maksājumu shēmai, lai sniegtu iespēju nodokļu un nenodokļu maksātājiem norēķināties ar budžetu ātri un mūsdienīgi.</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395361" w:rsidRDefault="00CF066C" w:rsidP="0091779F">
            <w:pPr>
              <w:spacing w:after="0" w:line="240" w:lineRule="auto"/>
              <w:rPr>
                <w:sz w:val="20"/>
                <w:szCs w:val="20"/>
              </w:rPr>
            </w:pPr>
            <w:r w:rsidRPr="00CF066C">
              <w:rPr>
                <w:sz w:val="20"/>
                <w:szCs w:val="20"/>
              </w:rPr>
              <w:t>Valsts kases ir pievienojusies Latvijas bankas ZIB maksājumu shēmai un nodrošina pieejamību inovatīviem maksājumu pakalpojumiem.</w:t>
            </w: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395361" w:rsidRDefault="00CF066C" w:rsidP="0091779F">
            <w:pPr>
              <w:spacing w:after="0" w:line="240" w:lineRule="auto"/>
              <w:rPr>
                <w:b/>
                <w:sz w:val="20"/>
                <w:szCs w:val="20"/>
              </w:rPr>
            </w:pPr>
            <w:r w:rsidRPr="00CF066C">
              <w:rPr>
                <w:sz w:val="20"/>
                <w:szCs w:val="20"/>
              </w:rPr>
              <w:t>Ar ZIB maksājumiem sniegta iespēja maksājumus budžetā veikt dažu sekunžu laikā, 24/7/365 režīmā.</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395361" w:rsidRDefault="0091779F" w:rsidP="0091779F">
            <w:pPr>
              <w:spacing w:after="0" w:line="240" w:lineRule="auto"/>
              <w:rPr>
                <w:sz w:val="20"/>
                <w:szCs w:val="20"/>
              </w:rPr>
            </w:pPr>
            <w:r w:rsidRPr="00395361">
              <w:rPr>
                <w:sz w:val="20"/>
                <w:szCs w:val="20"/>
              </w:rPr>
              <w:t>V</w:t>
            </w:r>
            <w:r w:rsidR="00CF066C">
              <w:rPr>
                <w:sz w:val="20"/>
                <w:szCs w:val="20"/>
              </w:rPr>
              <w:t>alsts kase</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395361" w:rsidRDefault="0091779F" w:rsidP="0091779F">
            <w:pPr>
              <w:spacing w:after="0" w:line="240" w:lineRule="auto"/>
              <w:rPr>
                <w:sz w:val="20"/>
                <w:szCs w:val="20"/>
              </w:rPr>
            </w:pPr>
            <w:r w:rsidRPr="00395361">
              <w:rPr>
                <w:sz w:val="20"/>
                <w:szCs w:val="20"/>
              </w:rPr>
              <w:t>FM, LB</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r>
              <w:rPr>
                <w:sz w:val="20"/>
                <w:szCs w:val="20"/>
              </w:rPr>
              <w:t>3</w:t>
            </w:r>
            <w:r w:rsidR="00CF066C">
              <w:rPr>
                <w:sz w:val="20"/>
                <w:szCs w:val="20"/>
              </w:rPr>
              <w:t>1</w:t>
            </w:r>
            <w:r>
              <w:rPr>
                <w:sz w:val="20"/>
                <w:szCs w:val="20"/>
              </w:rPr>
              <w:t>.1</w:t>
            </w:r>
            <w:r w:rsidR="00CF066C">
              <w:rPr>
                <w:sz w:val="20"/>
                <w:szCs w:val="20"/>
              </w:rPr>
              <w:t>2</w:t>
            </w:r>
            <w:r>
              <w:rPr>
                <w:sz w:val="20"/>
                <w:szCs w:val="20"/>
              </w:rPr>
              <w:t>.2021.</w:t>
            </w:r>
          </w:p>
        </w:tc>
      </w:tr>
      <w:tr w:rsidR="0091779F" w:rsidRPr="00AE13D3" w:rsidTr="00C847E0">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095B9B" w:rsidRDefault="0091779F" w:rsidP="0091779F">
            <w:pPr>
              <w:spacing w:after="0" w:line="240" w:lineRule="auto"/>
              <w:rPr>
                <w:sz w:val="20"/>
                <w:szCs w:val="20"/>
              </w:rPr>
            </w:pPr>
            <w:r>
              <w:rPr>
                <w:sz w:val="20"/>
                <w:szCs w:val="20"/>
              </w:rPr>
              <w:t xml:space="preserve">2.2.5. </w:t>
            </w:r>
          </w:p>
        </w:tc>
        <w:tc>
          <w:tcPr>
            <w:tcW w:w="110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095B9B" w:rsidRDefault="0091779F" w:rsidP="0091779F">
            <w:pPr>
              <w:spacing w:after="0" w:line="240" w:lineRule="auto"/>
              <w:rPr>
                <w:sz w:val="20"/>
                <w:szCs w:val="20"/>
                <w:highlight w:val="yellow"/>
              </w:rPr>
            </w:pPr>
            <w:r w:rsidRPr="00534143">
              <w:rPr>
                <w:sz w:val="20"/>
                <w:szCs w:val="20"/>
              </w:rPr>
              <w:t>Veicināt nacionālās e-rēķinu un e-čeku infrastruktūras attīstību un tās salāgošanu ar maksājumu risinājumiem, t.sk. zibprasījumiem.</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Pr>
                <w:sz w:val="20"/>
                <w:szCs w:val="20"/>
              </w:rPr>
              <w:t>FM</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Pr>
                <w:sz w:val="20"/>
                <w:szCs w:val="20"/>
              </w:rPr>
              <w:t>VARAM, EM, LB, VID, LFNA</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Pr>
                <w:sz w:val="20"/>
                <w:szCs w:val="20"/>
              </w:rPr>
              <w:t>31.12.2023.</w:t>
            </w:r>
          </w:p>
        </w:tc>
      </w:tr>
      <w:tr w:rsidR="0091779F" w:rsidRPr="00AE13D3" w:rsidTr="003E41E4">
        <w:tc>
          <w:tcPr>
            <w:tcW w:w="217" w:type="pct"/>
            <w:tcBorders>
              <w:top w:val="outset" w:sz="6" w:space="0" w:color="414142"/>
              <w:left w:val="outset" w:sz="6" w:space="0" w:color="414142"/>
              <w:bottom w:val="outset" w:sz="6" w:space="0" w:color="414142"/>
              <w:right w:val="outset" w:sz="6" w:space="0" w:color="414142"/>
            </w:tcBorders>
            <w:shd w:val="clear" w:color="auto" w:fill="auto"/>
          </w:tcPr>
          <w:p w:rsidR="0091779F" w:rsidRPr="00AE13D3" w:rsidRDefault="0091779F" w:rsidP="0091779F">
            <w:pPr>
              <w:spacing w:after="0" w:line="240" w:lineRule="auto"/>
              <w:rPr>
                <w:sz w:val="20"/>
                <w:szCs w:val="20"/>
              </w:rPr>
            </w:pPr>
            <w:r>
              <w:rPr>
                <w:sz w:val="20"/>
                <w:szCs w:val="20"/>
              </w:rPr>
              <w:t>2.2.6.</w:t>
            </w:r>
          </w:p>
        </w:tc>
        <w:tc>
          <w:tcPr>
            <w:tcW w:w="1106" w:type="pct"/>
            <w:tcBorders>
              <w:top w:val="outset" w:sz="6" w:space="0" w:color="414142"/>
              <w:left w:val="outset" w:sz="6" w:space="0" w:color="414142"/>
              <w:bottom w:val="outset" w:sz="6" w:space="0" w:color="414142"/>
              <w:right w:val="outset" w:sz="6" w:space="0" w:color="414142"/>
            </w:tcBorders>
            <w:shd w:val="clear" w:color="auto" w:fill="auto"/>
          </w:tcPr>
          <w:p w:rsidR="0091779F" w:rsidRPr="00AE13D3" w:rsidRDefault="0091779F" w:rsidP="0091779F">
            <w:pPr>
              <w:spacing w:after="0" w:line="240" w:lineRule="auto"/>
              <w:rPr>
                <w:sz w:val="20"/>
                <w:szCs w:val="20"/>
                <w:highlight w:val="yellow"/>
              </w:rPr>
            </w:pPr>
            <w:r w:rsidRPr="003E41E4">
              <w:rPr>
                <w:sz w:val="20"/>
                <w:szCs w:val="20"/>
              </w:rPr>
              <w:t>Veicināt strukturētās references pieejas plašāku ieviešanu maksājumu veikšanai lielajiem pakalpojumu sniedzējiem (alternatīva personas kodam).</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Pr>
                <w:sz w:val="20"/>
                <w:szCs w:val="20"/>
              </w:rPr>
              <w:t xml:space="preserve">Strukturētās references risinājumu plašāka izmantošana. </w:t>
            </w: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Pr>
                <w:sz w:val="20"/>
                <w:szCs w:val="20"/>
              </w:rPr>
              <w:t xml:space="preserve">Izstrādāt vienotus strukturētās references principus. </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Pr>
                <w:sz w:val="20"/>
                <w:szCs w:val="20"/>
              </w:rPr>
              <w:t>L</w:t>
            </w:r>
            <w:r w:rsidRPr="00AE13D3">
              <w:rPr>
                <w:sz w:val="20"/>
                <w:szCs w:val="20"/>
              </w:rPr>
              <w:t>FNA</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sidRPr="00AE13D3">
              <w:rPr>
                <w:sz w:val="20"/>
                <w:szCs w:val="20"/>
              </w:rPr>
              <w:t>LB</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Pr>
                <w:sz w:val="20"/>
                <w:szCs w:val="20"/>
              </w:rPr>
              <w:t>31.12.2021.</w:t>
            </w:r>
          </w:p>
        </w:tc>
      </w:tr>
      <w:tr w:rsidR="0091779F" w:rsidRPr="00EC379F"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rsidR="0091779F" w:rsidRPr="00AE13D3" w:rsidRDefault="0091779F" w:rsidP="0091779F">
            <w:pPr>
              <w:spacing w:after="0" w:line="240" w:lineRule="auto"/>
              <w:rPr>
                <w:b/>
                <w:bCs/>
                <w:sz w:val="20"/>
                <w:szCs w:val="20"/>
              </w:rPr>
            </w:pPr>
            <w:r w:rsidRPr="00AE13D3">
              <w:rPr>
                <w:b/>
                <w:bCs/>
                <w:sz w:val="20"/>
                <w:szCs w:val="20"/>
              </w:rPr>
              <w:t>Sabiedrības izglītošana par finanšu tehnoloģiju iespējām un draudiem</w:t>
            </w:r>
          </w:p>
        </w:tc>
      </w:tr>
      <w:tr w:rsidR="0091779F" w:rsidRPr="00AE13D3" w:rsidTr="00E04B6B">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lang w:val="es-US"/>
              </w:rPr>
            </w:pPr>
            <w:r>
              <w:rPr>
                <w:sz w:val="20"/>
                <w:szCs w:val="20"/>
                <w:lang w:val="es-US"/>
              </w:rPr>
              <w:t>2.3.1.</w:t>
            </w:r>
          </w:p>
        </w:tc>
        <w:tc>
          <w:tcPr>
            <w:tcW w:w="1106" w:type="pct"/>
            <w:tcBorders>
              <w:top w:val="outset" w:sz="6" w:space="0" w:color="414142"/>
              <w:left w:val="outset" w:sz="6" w:space="0" w:color="414142"/>
              <w:bottom w:val="outset" w:sz="6" w:space="0" w:color="414142"/>
              <w:right w:val="outset" w:sz="6" w:space="0" w:color="414142"/>
            </w:tcBorders>
            <w:shd w:val="clear" w:color="auto" w:fill="auto"/>
          </w:tcPr>
          <w:p w:rsidR="0091779F" w:rsidRPr="00AE13D3" w:rsidRDefault="0091779F" w:rsidP="0091779F">
            <w:pPr>
              <w:spacing w:after="0" w:line="240" w:lineRule="auto"/>
              <w:rPr>
                <w:sz w:val="20"/>
                <w:szCs w:val="20"/>
              </w:rPr>
            </w:pPr>
            <w:r w:rsidRPr="00E04B6B">
              <w:rPr>
                <w:sz w:val="20"/>
                <w:szCs w:val="20"/>
              </w:rPr>
              <w:t>Veicināt iedzīvotāju izpratni digitālo drošību (informētību par kibernoziegumiem, krāpniecību), mazināt uzņēmību pret krāpšanu (it īpaši interneta vidē), iesaistot valsts tiesībaizsardzības iestādes.</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Pr>
                <w:sz w:val="20"/>
                <w:szCs w:val="20"/>
              </w:rPr>
              <w:t xml:space="preserve">Veicināt digitālo drošību. </w:t>
            </w: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Pr>
                <w:sz w:val="20"/>
                <w:szCs w:val="20"/>
              </w:rPr>
              <w:t xml:space="preserve">Veikti informēšanas pasākumi. </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Pr>
                <w:sz w:val="20"/>
                <w:szCs w:val="20"/>
              </w:rPr>
              <w:t xml:space="preserve">FKTK </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sz w:val="20"/>
                <w:szCs w:val="20"/>
              </w:rPr>
            </w:pPr>
            <w:r>
              <w:rPr>
                <w:sz w:val="20"/>
                <w:szCs w:val="20"/>
              </w:rPr>
              <w:t>VP, LFNA</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Pr="00AE13D3" w:rsidRDefault="0091779F" w:rsidP="0091779F">
            <w:pPr>
              <w:spacing w:after="0" w:line="240" w:lineRule="auto"/>
              <w:rPr>
                <w:rFonts w:ascii="Segoe UI" w:hAnsi="Segoe UI" w:cs="Segoe UI"/>
                <w:color w:val="201F1E"/>
                <w:sz w:val="20"/>
                <w:szCs w:val="20"/>
                <w:shd w:val="clear" w:color="auto" w:fill="FFFFFF"/>
                <w:lang w:val="es-US"/>
              </w:rPr>
            </w:pPr>
            <w:r>
              <w:rPr>
                <w:sz w:val="20"/>
                <w:szCs w:val="20"/>
              </w:rPr>
              <w:t>Pastāvīgi</w:t>
            </w:r>
          </w:p>
        </w:tc>
      </w:tr>
      <w:tr w:rsidR="0091779F" w:rsidRPr="00AE13D3" w:rsidTr="00E04B6B">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lang w:val="es-US"/>
              </w:rPr>
            </w:pPr>
            <w:r>
              <w:rPr>
                <w:sz w:val="20"/>
                <w:szCs w:val="20"/>
                <w:lang w:val="es-US"/>
              </w:rPr>
              <w:t>2.3.2.</w:t>
            </w:r>
          </w:p>
        </w:tc>
        <w:tc>
          <w:tcPr>
            <w:tcW w:w="1106" w:type="pct"/>
            <w:tcBorders>
              <w:top w:val="outset" w:sz="6" w:space="0" w:color="414142"/>
              <w:left w:val="outset" w:sz="6" w:space="0" w:color="414142"/>
              <w:bottom w:val="outset" w:sz="6" w:space="0" w:color="414142"/>
              <w:right w:val="outset" w:sz="6" w:space="0" w:color="414142"/>
            </w:tcBorders>
            <w:shd w:val="clear" w:color="auto" w:fill="auto"/>
          </w:tcPr>
          <w:p w:rsidR="0091779F" w:rsidRPr="00FA2934" w:rsidRDefault="0091779F" w:rsidP="0091779F">
            <w:pPr>
              <w:spacing w:after="0" w:line="240" w:lineRule="auto"/>
              <w:rPr>
                <w:sz w:val="20"/>
                <w:szCs w:val="20"/>
              </w:rPr>
            </w:pPr>
            <w:r>
              <w:rPr>
                <w:sz w:val="20"/>
                <w:szCs w:val="20"/>
              </w:rPr>
              <w:t xml:space="preserve">Veicināt iedzīvotāju un finanšu tirgus izpratni par inovatīviem finanšu pakalpojumiem, </w:t>
            </w:r>
            <w:r>
              <w:rPr>
                <w:i/>
                <w:sz w:val="20"/>
                <w:szCs w:val="20"/>
              </w:rPr>
              <w:t>fintech</w:t>
            </w:r>
            <w:r>
              <w:rPr>
                <w:sz w:val="20"/>
                <w:szCs w:val="20"/>
              </w:rPr>
              <w:t xml:space="preserve"> kultūru un attīstību</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r>
              <w:rPr>
                <w:sz w:val="20"/>
                <w:szCs w:val="20"/>
              </w:rPr>
              <w:t>Veicināt izpratni par inovatīviem finanšu pakalpojumiem</w:t>
            </w:r>
          </w:p>
        </w:tc>
        <w:tc>
          <w:tcPr>
            <w:tcW w:w="93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r>
              <w:rPr>
                <w:sz w:val="20"/>
                <w:szCs w:val="20"/>
              </w:rPr>
              <w:t>Veikti informatīvi pasākumi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r>
              <w:rPr>
                <w:sz w:val="20"/>
                <w:szCs w:val="20"/>
              </w:rPr>
              <w:t>FKTK</w:t>
            </w:r>
          </w:p>
        </w:tc>
        <w:tc>
          <w:tcPr>
            <w:tcW w:w="75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r>
              <w:rPr>
                <w:sz w:val="20"/>
                <w:szCs w:val="20"/>
              </w:rPr>
              <w:t>LIAA, EM, FM, LFNA</w:t>
            </w:r>
          </w:p>
        </w:tc>
        <w:tc>
          <w:tcPr>
            <w:tcW w:w="59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1779F" w:rsidRDefault="0091779F" w:rsidP="0091779F">
            <w:pPr>
              <w:spacing w:after="0" w:line="240" w:lineRule="auto"/>
              <w:rPr>
                <w:sz w:val="20"/>
                <w:szCs w:val="20"/>
              </w:rPr>
            </w:pPr>
            <w:r>
              <w:rPr>
                <w:sz w:val="20"/>
                <w:szCs w:val="20"/>
              </w:rPr>
              <w:t>Reizi ceturksnī</w:t>
            </w:r>
          </w:p>
        </w:tc>
      </w:tr>
    </w:tbl>
    <w:p w:rsidR="00395361" w:rsidRPr="00077B7B" w:rsidRDefault="00395361" w:rsidP="00395361">
      <w:pPr>
        <w:spacing w:after="0" w:line="240" w:lineRule="auto"/>
      </w:pPr>
    </w:p>
    <w:p w:rsidR="00E04B6B" w:rsidRDefault="00E04B6B">
      <w:pPr>
        <w:rPr>
          <w:b/>
          <w:sz w:val="28"/>
          <w:szCs w:val="28"/>
        </w:rPr>
      </w:pPr>
      <w:r>
        <w:rPr>
          <w:b/>
          <w:sz w:val="28"/>
          <w:szCs w:val="28"/>
        </w:rPr>
        <w:br w:type="page"/>
      </w:r>
    </w:p>
    <w:p w:rsidR="009E0E42" w:rsidRPr="002A1B72" w:rsidRDefault="009E0E42" w:rsidP="003E6F7E">
      <w:pPr>
        <w:pStyle w:val="Heading1"/>
      </w:pPr>
      <w:bookmarkStart w:id="22" w:name="_Toc55202495"/>
      <w:r w:rsidRPr="002A1B72">
        <w:t>5. Ilgtspējīgas finanses</w:t>
      </w:r>
      <w:bookmarkEnd w:id="22"/>
    </w:p>
    <w:p w:rsidR="009E0E42" w:rsidRPr="001D0D5F" w:rsidRDefault="009E0E42" w:rsidP="009E0E42">
      <w:pPr>
        <w:pStyle w:val="Default"/>
        <w:spacing w:before="120"/>
        <w:jc w:val="both"/>
        <w:rPr>
          <w:rFonts w:ascii="Times New Roman" w:hAnsi="Times New Roman" w:cs="Times New Roman"/>
        </w:rPr>
      </w:pPr>
      <w:r w:rsidRPr="001D0D5F">
        <w:rPr>
          <w:rFonts w:ascii="Times New Roman" w:hAnsi="Times New Roman" w:cs="Times New Roman"/>
        </w:rPr>
        <w:t>ANO Vispārējās konvencijas par klimata pārmaiņām Parīzes nolīguma</w:t>
      </w:r>
      <w:r w:rsidRPr="001D0D5F">
        <w:rPr>
          <w:rStyle w:val="FootnoteReference"/>
          <w:rFonts w:ascii="Times New Roman" w:hAnsi="Times New Roman" w:cs="Times New Roman"/>
        </w:rPr>
        <w:footnoteReference w:id="37"/>
      </w:r>
      <w:r w:rsidRPr="001D0D5F">
        <w:rPr>
          <w:rFonts w:ascii="Times New Roman" w:hAnsi="Times New Roman" w:cs="Times New Roman"/>
        </w:rPr>
        <w:t xml:space="preserve"> </w:t>
      </w:r>
      <w:r w:rsidRPr="001D0D5F">
        <w:rPr>
          <w:rFonts w:ascii="Times New Roman" w:hAnsi="Times New Roman" w:cs="Times New Roman"/>
          <w:sz w:val="23"/>
          <w:szCs w:val="23"/>
        </w:rPr>
        <w:t>mērķis ir stiprināt globālo rīcību klimata pārmaiņu novēršanai, samazināt  siltumnīcefekta gāzu emisiju daudzumu un noturēt globālo sasilšanu būtiski zem 2°C robežas, salīdzinot ar pirms industriālo līmeni, un censties ierobežot temperatūras pieaugumu 1,5°C robežās, jo tas būtiski samazinās klimata pārmaiņu izraisītos riskus un ietekmes. Parīzes nolīgums paredz sekmēt investīciju novirzi saskaņā ar oglekļa mazietilpīgu un klimata noturīgu attīstību un l</w:t>
      </w:r>
      <w:r w:rsidRPr="001D0D5F">
        <w:rPr>
          <w:rFonts w:ascii="Times New Roman" w:hAnsi="Times New Roman" w:cs="Times New Roman"/>
        </w:rPr>
        <w:t xml:space="preserve">ai šo mērķi sasniegtu ES un Parīzes nolīguma dalībvalstu tautsaimniecībās būs jāsamazina oglekļa ietilpība, kas nozīmē pakāpenisku tautsaimniecību pārkārtošanu. </w:t>
      </w:r>
    </w:p>
    <w:p w:rsidR="009E0E42" w:rsidRDefault="009E0E42" w:rsidP="009E0E42">
      <w:pPr>
        <w:spacing w:before="120" w:after="0" w:line="240" w:lineRule="auto"/>
        <w:jc w:val="both"/>
      </w:pPr>
      <w:r>
        <w:t>Ministru kabinets ir apstiprinājis Latvijas stratēģiju klimata neitralitātes sasniegšanai līdz 2050.gadam un Nacionālo enerģētikas un klimata plānu</w:t>
      </w:r>
      <w:r>
        <w:rPr>
          <w:rStyle w:val="FootnoteReference"/>
        </w:rPr>
        <w:footnoteReference w:id="38"/>
      </w:r>
      <w:r>
        <w:t xml:space="preserve">, kas nosaka siltumnīcefekta gāzes emisiju samazināšanas saistību izpildi saskaņā ar Parīzes nolīgumu. Saskaņā ar EK aplēsēm, nolīguma mērķu sasniegšanai, ES būs nepieciešami līdz 470 miljardiem </w:t>
      </w:r>
      <w:r w:rsidRPr="005B1DCA">
        <w:rPr>
          <w:i/>
        </w:rPr>
        <w:t>e</w:t>
      </w:r>
      <w:r w:rsidR="00015493" w:rsidRPr="005B1DCA">
        <w:rPr>
          <w:i/>
        </w:rPr>
        <w:t>u</w:t>
      </w:r>
      <w:r w:rsidRPr="005B1DCA">
        <w:rPr>
          <w:i/>
        </w:rPr>
        <w:t>ro</w:t>
      </w:r>
      <w:r>
        <w:t xml:space="preserve"> papildu investīcijām ik gadu.</w:t>
      </w:r>
      <w:r>
        <w:rPr>
          <w:rStyle w:val="FootnoteReference"/>
        </w:rPr>
        <w:footnoteReference w:id="39"/>
      </w:r>
      <w:r>
        <w:t xml:space="preserve"> Lai arī sekmīgai pārejai uz klimata neitrālu tautsaimniecību būs nepieciešams būtisks publisko investīciju apjoms, pāreja būs sekmīga, ja privātais sektors iesaistīsies, novirzot finanšu līdzekļus uz ilgtspējīgiem ieguldījumiem un finanšu sektoram šeit var būt būtiska loma, ņemot vērā starpnieka lomu tautsaimniecības finansēšanā.</w:t>
      </w:r>
    </w:p>
    <w:p w:rsidR="009E0E42" w:rsidRDefault="009E0E42" w:rsidP="009E0E42">
      <w:pPr>
        <w:spacing w:before="120" w:after="0" w:line="240" w:lineRule="auto"/>
        <w:jc w:val="both"/>
      </w:pPr>
      <w:r>
        <w:t>Ilgtspējīga finansēšana prasa nodibināt tiešu saikni starp piesaistītajiem līdzekļiem un iespēju novērtēt veikto investīciju ilgtspējas ietekmi. Un pašreiz šajā procesā identificējami vairāki trūkumi.</w:t>
      </w:r>
    </w:p>
    <w:p w:rsidR="009E0E42" w:rsidRDefault="009E0E42" w:rsidP="009E0E42">
      <w:pPr>
        <w:spacing w:before="120" w:after="0" w:line="240" w:lineRule="auto"/>
        <w:jc w:val="both"/>
      </w:pPr>
      <w:r>
        <w:t>Pāreja uz klimata neitrālu tautsaimniecību ietver gan iespējas, gan riskus. Attiecībā uz finanšu sektoru var izdalīt šādus riskus:</w:t>
      </w:r>
    </w:p>
    <w:p w:rsidR="009E0E42" w:rsidRDefault="009E0E42" w:rsidP="009E0E42">
      <w:pPr>
        <w:pStyle w:val="ListParagraph"/>
        <w:numPr>
          <w:ilvl w:val="0"/>
          <w:numId w:val="22"/>
        </w:numPr>
        <w:spacing w:before="120" w:after="0" w:line="240" w:lineRule="auto"/>
        <w:jc w:val="both"/>
      </w:pPr>
      <w:r w:rsidRPr="00DB37AE">
        <w:rPr>
          <w:b/>
        </w:rPr>
        <w:t>fiziskie riski</w:t>
      </w:r>
      <w:r>
        <w:t xml:space="preserve"> – klimata pārmaiņu dēļ tiek ietekmēta ekonomiskā aktivitāte  un aktīvu vērtība (biežāki ārkārtēji laika apstākļi - plūdi, ugunsgrēki vai vides degradācijas dēļ – krasta erozija, bioloģiskās daudzveidības samazināšanās u.c.);</w:t>
      </w:r>
    </w:p>
    <w:p w:rsidR="009E0E42" w:rsidRDefault="009E0E42" w:rsidP="009E0E42">
      <w:pPr>
        <w:pStyle w:val="ListParagraph"/>
        <w:numPr>
          <w:ilvl w:val="0"/>
          <w:numId w:val="22"/>
        </w:numPr>
        <w:spacing w:before="120" w:after="0" w:line="240" w:lineRule="auto"/>
        <w:jc w:val="both"/>
      </w:pPr>
      <w:r>
        <w:rPr>
          <w:b/>
        </w:rPr>
        <w:t xml:space="preserve">pārmaiņu riski </w:t>
      </w:r>
      <w:r>
        <w:t>– kad normatīvo aktu prasības, tehnoloģiski jaunievedumi, patērētāju noskaņojums, tirgus noskaņojuma maiņa finanšu sektoram var radīt strukturālas pārmaiņas un ievērojamas aktīvu vērtības izmaiņas.</w:t>
      </w:r>
    </w:p>
    <w:p w:rsidR="009E0E42" w:rsidRDefault="009E0E42" w:rsidP="009E0E42">
      <w:pPr>
        <w:spacing w:before="120" w:after="0" w:line="240" w:lineRule="auto"/>
        <w:jc w:val="both"/>
      </w:pPr>
      <w:r w:rsidRPr="000C44EE">
        <w:t>Jāatzīmē, ka pašreizējā kontekstā, un ņemot vērā ES regulējošo iniciatīvu mērogu ilgtspējīgo finanšu jomā, īpaši svarīga loma būs tieši “pārmaiņu” (</w:t>
      </w:r>
      <w:r w:rsidRPr="0027603A">
        <w:rPr>
          <w:i/>
        </w:rPr>
        <w:t>transition</w:t>
      </w:r>
      <w:r w:rsidRPr="000C44EE">
        <w:t>) riskiem un saistību (</w:t>
      </w:r>
      <w:r w:rsidRPr="0027603A">
        <w:rPr>
          <w:i/>
        </w:rPr>
        <w:t>liability</w:t>
      </w:r>
      <w:r w:rsidRPr="000C44EE">
        <w:t>) riskiem</w:t>
      </w:r>
      <w:r>
        <w:rPr>
          <w:rStyle w:val="FootnoteReference"/>
        </w:rPr>
        <w:footnoteReference w:id="40"/>
      </w:r>
      <w:r w:rsidRPr="000C44EE">
        <w:t>. Turklāt, šī ietekme būs manāma ne tikai kredītiestādēm, bet arī nebanku sektorā, apdrošināšanas sabiedrībām, pensiju fondiem, ieguldījumu fondiem, reālai ekonomikai un iedzīvotājiem. Lai gan</w:t>
      </w:r>
      <w:r w:rsidR="004C56E6">
        <w:t xml:space="preserve"> Latvijas Bankas finanšu stabilitātes pārskatā secināts, </w:t>
      </w:r>
      <w:r w:rsidRPr="000C44EE">
        <w:t xml:space="preserve">, ka Latvija klimata ziņā mazāk cietīs no fiziskajiem riskiem, </w:t>
      </w:r>
      <w:r>
        <w:t>Finanšu un kapitāla tirgus komisijai kā uzraugam</w:t>
      </w:r>
      <w:r w:rsidRPr="000C44EE">
        <w:t xml:space="preserve"> bū</w:t>
      </w:r>
      <w:r>
        <w:t>s</w:t>
      </w:r>
      <w:r w:rsidRPr="000C44EE">
        <w:t xml:space="preserve"> jākoncentrējas uz “pārmaiņu” un saistību riskiem un</w:t>
      </w:r>
      <w:r>
        <w:t xml:space="preserve"> </w:t>
      </w:r>
      <w:r w:rsidRPr="000C44EE">
        <w:t>to ietekmi uz finanšu sektoru.</w:t>
      </w:r>
    </w:p>
    <w:p w:rsidR="009E0E42" w:rsidRDefault="009E0E42" w:rsidP="009E0E42">
      <w:pPr>
        <w:jc w:val="both"/>
        <w:rPr>
          <w:b/>
        </w:rPr>
      </w:pPr>
    </w:p>
    <w:p w:rsidR="009E0E42" w:rsidRPr="005E3937" w:rsidRDefault="009E0E42" w:rsidP="003E6F7E">
      <w:pPr>
        <w:pStyle w:val="Heading2"/>
      </w:pPr>
      <w:bookmarkStart w:id="23" w:name="_Toc55202496"/>
      <w:r>
        <w:t xml:space="preserve">5.1. </w:t>
      </w:r>
      <w:r w:rsidRPr="005E3937">
        <w:t>ES iniciatīvas par klimata pārmaiņām un ilgtspējīgām finansēm</w:t>
      </w:r>
      <w:bookmarkEnd w:id="23"/>
    </w:p>
    <w:p w:rsidR="009E0E42" w:rsidRPr="00323D51" w:rsidRDefault="009E0E42" w:rsidP="009E0E42">
      <w:pPr>
        <w:jc w:val="both"/>
      </w:pPr>
      <w:r>
        <w:t xml:space="preserve">ES ilgstoši ir uzņēmusies vadošo lomu pasaulē klimata pārmaiņu seku ierobežošanā. Galvenie politikas virzieni attiecībā uz finanšu sektoru ietverti </w:t>
      </w:r>
      <w:r w:rsidRPr="00323D51">
        <w:t xml:space="preserve">2018.gadā </w:t>
      </w:r>
      <w:r>
        <w:t>publicētajā EK paziņojumā</w:t>
      </w:r>
      <w:r w:rsidRPr="00323D51">
        <w:t xml:space="preserve"> “Rīcības plān</w:t>
      </w:r>
      <w:r>
        <w:t>s</w:t>
      </w:r>
      <w:r w:rsidRPr="00323D51">
        <w:t>: ilgtspējīga</w:t>
      </w:r>
      <w:r>
        <w:t>s</w:t>
      </w:r>
      <w:r w:rsidRPr="00323D51">
        <w:t xml:space="preserve"> </w:t>
      </w:r>
      <w:r>
        <w:t>izaugsmes finansēšana</w:t>
      </w:r>
      <w:r w:rsidRPr="00323D51">
        <w:t xml:space="preserve">” </w:t>
      </w:r>
      <w:r w:rsidRPr="004D416D">
        <w:rPr>
          <w:i/>
        </w:rPr>
        <w:t>(“Action Plan: Financing Sustainable Growth”),</w:t>
      </w:r>
      <w:r w:rsidRPr="00323D51">
        <w:t xml:space="preserve"> kura trīs galvenie mērķi ir:</w:t>
      </w:r>
    </w:p>
    <w:p w:rsidR="009E0E42" w:rsidRPr="00323D51" w:rsidRDefault="009E0E42" w:rsidP="009E0E42">
      <w:pPr>
        <w:pStyle w:val="ListParagraph"/>
        <w:numPr>
          <w:ilvl w:val="0"/>
          <w:numId w:val="20"/>
        </w:numPr>
        <w:ind w:left="1134" w:hanging="283"/>
        <w:jc w:val="both"/>
      </w:pPr>
      <w:r w:rsidRPr="00323D51">
        <w:t>pārorientēt kapitāla plūsmas uz ilgtspējīgiem ieguldījumiem, lai panāktu ilgtspējīgu un iekļaujošu izaugsmi;</w:t>
      </w:r>
    </w:p>
    <w:p w:rsidR="009E0E42" w:rsidRPr="00323D51" w:rsidRDefault="009E0E42" w:rsidP="009E0E42">
      <w:pPr>
        <w:pStyle w:val="ListParagraph"/>
        <w:numPr>
          <w:ilvl w:val="0"/>
          <w:numId w:val="20"/>
        </w:numPr>
        <w:ind w:left="1134" w:hanging="283"/>
        <w:jc w:val="both"/>
      </w:pPr>
      <w:r w:rsidRPr="00323D51">
        <w:t>pārvaldīt finanšu riskus, kas saistīti ar klimata izmaiņām, vides pasliktināšanos un sociālajiem jautājumiem;</w:t>
      </w:r>
    </w:p>
    <w:p w:rsidR="009E0E42" w:rsidRDefault="009E0E42" w:rsidP="009E0E42">
      <w:pPr>
        <w:pStyle w:val="ListParagraph"/>
        <w:numPr>
          <w:ilvl w:val="0"/>
          <w:numId w:val="20"/>
        </w:numPr>
        <w:ind w:left="1134" w:hanging="283"/>
        <w:jc w:val="both"/>
      </w:pPr>
      <w:r w:rsidRPr="00323D51">
        <w:t>veicināt finanšu un ekonomiskās darbības caurspīdīgumu un virzību uz ilgtspējību.</w:t>
      </w:r>
    </w:p>
    <w:p w:rsidR="009E0E42" w:rsidRDefault="009E0E42" w:rsidP="009E0E42">
      <w:pPr>
        <w:spacing w:after="0"/>
        <w:jc w:val="both"/>
      </w:pPr>
      <w:r>
        <w:t>Ilgtspējīga finansēšana attiecas uz visa veida finanšu pakalpojumiem, kas integrē vides, sociālos un pārvaldības kritērijus uzņēmējdarbībā vai investīciju lēmumos, lai klienti un sabiedrība ilgtermiņā iegūtu, nodrošinot ilgtspējīgu attīstību</w:t>
      </w:r>
      <w:r>
        <w:rPr>
          <w:rStyle w:val="FootnoteReference"/>
        </w:rPr>
        <w:footnoteReference w:id="41"/>
      </w:r>
      <w:r>
        <w:t>. Tā orientējas uz sabiedrības ilgtermiņa mērķiem un veicina ilgtspējīgāku ekonomisko, sociālo un vides attīstību, ietverot izpratnes un caurskatāmības palielināšanu par ilgtspējas riskiem, kas var ietekmēt finanšu sistēmas stabilitāti. EK ilgtspējīgas finanses definē kā procesu, kurā, pieņemot lēmumus par ieguldījumiem finanšu nozarē, tiek pienācīgi ņemti vērā vides, sociālie un pārvaldības (</w:t>
      </w:r>
      <w:r w:rsidRPr="007A60F5">
        <w:rPr>
          <w:i/>
        </w:rPr>
        <w:t>Environmental, Social and Governance</w:t>
      </w:r>
      <w:r>
        <w:t>, jeb ESG) apsvērumi, kā rezultātā palielinās ilgtermiņa ieguldījumi ilgtspējīgās ekonomiskās aktivitātēs un projektos.</w:t>
      </w:r>
    </w:p>
    <w:p w:rsidR="009E0E42" w:rsidRDefault="009E0E42" w:rsidP="009E0E42">
      <w:pPr>
        <w:jc w:val="both"/>
      </w:pPr>
      <w:r w:rsidRPr="00323D51">
        <w:t>2019. gada 11. dece</w:t>
      </w:r>
      <w:r>
        <w:t>mbrī EK iepazīstināja ar “</w:t>
      </w:r>
      <w:r w:rsidRPr="00323D51">
        <w:t>E</w:t>
      </w:r>
      <w:r>
        <w:t>iropas</w:t>
      </w:r>
      <w:r w:rsidRPr="00323D51">
        <w:t xml:space="preserve"> Zaļo kursu” (</w:t>
      </w:r>
      <w:r w:rsidRPr="00BC0505">
        <w:rPr>
          <w:i/>
        </w:rPr>
        <w:t>EU Green Deal</w:t>
      </w:r>
      <w:r w:rsidRPr="00323D51">
        <w:t xml:space="preserve">), paziņojot par vērienīgu pasākumu kopumu, kas vērsti uz visām nozarēm un rūpniecības jomām taisnīgai un iekļaujošai pārejai uz klimata neitralitātes sasniegšanu līdz 2050. gadam. </w:t>
      </w:r>
      <w:r>
        <w:t>Lai to sasniegtu nepieciešams līdz 2030.gada samazināt CO</w:t>
      </w:r>
      <w:r>
        <w:rPr>
          <w:vertAlign w:val="subscript"/>
        </w:rPr>
        <w:t xml:space="preserve">2 </w:t>
      </w:r>
      <w:r>
        <w:t xml:space="preserve"> emisijas par 50-55% salīdzinājumā ar 1990.gada līmeni, kā arī pārskatīt visus normatīvos aktus no klimata riska viedokļa. ES līmenī i</w:t>
      </w:r>
      <w:r w:rsidRPr="00323D51">
        <w:t>lgtspējīgas finansēšanas mērķis ir atbalstīt Eiropas Zaļā kursa mērķu sasniegšanu, novirzot privātās investīcijas pārejai uz klimatu neitrālu, pret klimatu izturīgu, resursefektīvu un taisnīgu ekono</w:t>
      </w:r>
      <w:r>
        <w:t>miku kā papildinājumu publiskajam finansējumam.</w:t>
      </w:r>
    </w:p>
    <w:p w:rsidR="009E0E42" w:rsidRPr="00323D51" w:rsidRDefault="009E0E42" w:rsidP="009E0E42">
      <w:pPr>
        <w:jc w:val="both"/>
      </w:pPr>
      <w:r>
        <w:t xml:space="preserve">Joprojām nepastāv vienotas starptautiskas definīcijas par aktivitātēm ar zemu oglekļa emisijas īpatsvaru, “zaļām” vai ilgtspējīgām finansēm un nav vienota starptautiska standarta, kas būtu vai nebūtu jāuzskata par “zaļu” investīciju. Šāda situācija var novest pie tā, ka ekonomikas sistēmā iesaistītajiem zūd uzticība ilgtspējīgu investīciju konceptam un tas drīzāk kalpo kā šķērslis palielināt ilgtspējīgu finansējuma apjomu. Tāpēc </w:t>
      </w:r>
      <w:r w:rsidRPr="00323D51">
        <w:t xml:space="preserve">2018. gada maijā </w:t>
      </w:r>
      <w:r>
        <w:t>EK</w:t>
      </w:r>
      <w:r w:rsidRPr="00323D51">
        <w:t xml:space="preserve"> izsludināja pasākumu </w:t>
      </w:r>
      <w:r>
        <w:t>kopumu</w:t>
      </w:r>
      <w:r w:rsidRPr="00323D51">
        <w:t>, ar ko īsteno vairākas paziņotās darbības savā rīcības plānā. P</w:t>
      </w:r>
      <w:r>
        <w:t>asākumu kopums</w:t>
      </w:r>
      <w:r w:rsidRPr="00323D51">
        <w:t xml:space="preserve"> ietvēra priekšlikumus, kuru mērķis ir:</w:t>
      </w:r>
    </w:p>
    <w:p w:rsidR="009E0E42" w:rsidRPr="00323D51" w:rsidRDefault="009E0E42" w:rsidP="009E0E42">
      <w:pPr>
        <w:pStyle w:val="ListParagraph"/>
        <w:numPr>
          <w:ilvl w:val="0"/>
          <w:numId w:val="21"/>
        </w:numPr>
        <w:jc w:val="both"/>
      </w:pPr>
      <w:r>
        <w:t>v</w:t>
      </w:r>
      <w:r w:rsidRPr="00323D51">
        <w:t>ienot</w:t>
      </w:r>
      <w:r>
        <w:t>as ES klasifikācijas sistēmas, jeb ilgtspējīgas finanšu taksonomijas</w:t>
      </w:r>
      <w:r w:rsidRPr="00323D51">
        <w:t xml:space="preserve"> izveidošana tam, ko var uzskatīt par videi ilgtspējīgu ekonomisko darbību;</w:t>
      </w:r>
    </w:p>
    <w:p w:rsidR="009E0E42" w:rsidRPr="00323D51" w:rsidRDefault="009E0E42" w:rsidP="009E0E42">
      <w:pPr>
        <w:pStyle w:val="ListParagraph"/>
        <w:numPr>
          <w:ilvl w:val="0"/>
          <w:numId w:val="21"/>
        </w:numPr>
        <w:jc w:val="both"/>
      </w:pPr>
      <w:r>
        <w:t>u</w:t>
      </w:r>
      <w:r w:rsidRPr="00323D51">
        <w:t>zlabot informācijas atklāšanas prasības par institucionālo investoru un aktīvu pārvaldītāju vides, sociālo un pārvaldības  faktoru integrāciju riska pārvaldes procesos;</w:t>
      </w:r>
    </w:p>
    <w:p w:rsidR="009E0E42" w:rsidRDefault="009E0E42" w:rsidP="009E0E42">
      <w:pPr>
        <w:pStyle w:val="ListParagraph"/>
        <w:numPr>
          <w:ilvl w:val="0"/>
          <w:numId w:val="21"/>
        </w:numPr>
        <w:jc w:val="both"/>
      </w:pPr>
      <w:r>
        <w:t>i</w:t>
      </w:r>
      <w:r w:rsidRPr="00323D51">
        <w:t>zveidot jaunu e</w:t>
      </w:r>
      <w:r>
        <w:t xml:space="preserve">talonu kategoriju, kas satur zema </w:t>
      </w:r>
      <w:r w:rsidRPr="00323D51">
        <w:t>oglekļa ietekmes un pozitīvas oglekļa ietekmes etalonus, kas sniegs investoriem labāku informāciju par viņu iegu</w:t>
      </w:r>
      <w:r>
        <w:t>ldījumu oglekļa ietekmes pakāpi.</w:t>
      </w:r>
    </w:p>
    <w:p w:rsidR="009E0E42" w:rsidRDefault="009E0E42" w:rsidP="009E0E42">
      <w:pPr>
        <w:jc w:val="both"/>
      </w:pPr>
      <w:r>
        <w:t>EK</w:t>
      </w:r>
      <w:r w:rsidRPr="00323D51">
        <w:t xml:space="preserve"> ir panākusi ievērojamu progresu attiecībā uz priekšlikumiem saskaņā ar rīcības plānu, un minētās  trīs galvenās inic</w:t>
      </w:r>
      <w:r>
        <w:t>iatīvas pašlaik tiek īstenotas. Taksonomi</w:t>
      </w:r>
      <w:r w:rsidRPr="00323D51">
        <w:t>j</w:t>
      </w:r>
      <w:r>
        <w:t>a</w:t>
      </w:r>
      <w:r w:rsidRPr="00323D51">
        <w:t>s reg</w:t>
      </w:r>
      <w:r>
        <w:t>ulas gala teksts ir publicēts 2020.</w:t>
      </w:r>
      <w:r w:rsidRPr="00323D51">
        <w:t xml:space="preserve"> gada jūnijā</w:t>
      </w:r>
      <w:r>
        <w:t xml:space="preserve"> un EK, balstoties uz tehnisko ekspertu gala ziņojuma rekomendācijām, </w:t>
      </w:r>
      <w:r w:rsidRPr="00323D51">
        <w:t xml:space="preserve"> pašlaik </w:t>
      </w:r>
      <w:r>
        <w:t xml:space="preserve">turpina darbu </w:t>
      </w:r>
      <w:r w:rsidRPr="00323D51">
        <w:t xml:space="preserve">pie tehnisko ekonomiskās darbības pārbaudes kritēriju izstrādes, ko ieviesīs, izmantojot deleģētos tiesību aktus (daļa no šiem aktiem tiks pieņemti līdz 2020.g. beigām, bet daļa – līdz 2021.g. beigām). Taksonomijas regula </w:t>
      </w:r>
      <w:r>
        <w:t xml:space="preserve">ir </w:t>
      </w:r>
      <w:r w:rsidRPr="00323D51">
        <w:t>svarīgāk</w:t>
      </w:r>
      <w:r>
        <w:t>ais</w:t>
      </w:r>
      <w:r w:rsidRPr="00323D51">
        <w:t xml:space="preserve"> priekšlik</w:t>
      </w:r>
      <w:r>
        <w:t>ums saskaņā ar ES Rīcības plānu, kas</w:t>
      </w:r>
      <w:r w:rsidRPr="00323D51">
        <w:t xml:space="preserve"> rada vispārēju sistēmu ES mēroga videi draudzīgu saimniecisko darbību klasifikācijas attīstībai. </w:t>
      </w:r>
    </w:p>
    <w:p w:rsidR="009E0E42" w:rsidRPr="00323D51" w:rsidRDefault="009E0E42" w:rsidP="009E0E42">
      <w:pPr>
        <w:jc w:val="both"/>
      </w:pPr>
      <w:r>
        <w:t xml:space="preserve">Vēl viena ļoti svarīga iniciatīva, kas būtiski ietekmēs finanšu sektora darbību jau sākot ar nākamo gadu, ir izmaiņas </w:t>
      </w:r>
      <w:r w:rsidRPr="00323D51">
        <w:t>ES regul</w:t>
      </w:r>
      <w:r>
        <w:t>ā</w:t>
      </w:r>
      <w:r w:rsidRPr="00323D51">
        <w:t xml:space="preserve"> par informācijas atklāšanu (</w:t>
      </w:r>
      <w:r>
        <w:rPr>
          <w:i/>
        </w:rPr>
        <w:t>EU Disclosures Regulation</w:t>
      </w:r>
      <w:r w:rsidRPr="00323D51">
        <w:t>)</w:t>
      </w:r>
      <w:r>
        <w:t>, kas</w:t>
      </w:r>
      <w:r w:rsidRPr="00323D51">
        <w:t xml:space="preserve"> ievieš papildu informācijas atklāšanas prasības aktīvu pārvaldītājiem un institucionāliem investoriem, lai uzlabotu caurspīdīgumu gala ieguldītājiem. Šī Regula stājās spēkā 2019. gada decembrī un būs piemērojama sākot ar 2021. gada martu. Eiropas uzraudzības iestādes izstrādā detalizētus tehniskos standartus atbalsta sniegšanai regulas piemērošanu. Lielākā daļa to tiks pieņemta ar deleģētiem aktiem līdz 2020. gada 30. decembrim.</w:t>
      </w:r>
    </w:p>
    <w:p w:rsidR="009E0E42" w:rsidRDefault="009E0E42" w:rsidP="009E0E42">
      <w:pPr>
        <w:jc w:val="both"/>
      </w:pPr>
      <w:r>
        <w:t>EK pašlaik strādā pie Atjaunotas</w:t>
      </w:r>
      <w:r w:rsidRPr="00323D51">
        <w:t xml:space="preserve"> ilgtspējīgu finanšu stratēģijas </w:t>
      </w:r>
      <w:r w:rsidRPr="00BC0505">
        <w:rPr>
          <w:i/>
        </w:rPr>
        <w:t>(“Renewed Sustainable Finance Strategy”</w:t>
      </w:r>
      <w:r w:rsidRPr="00323D51">
        <w:t>)</w:t>
      </w:r>
      <w:r>
        <w:t>, kuras</w:t>
      </w:r>
      <w:r w:rsidRPr="00323D51">
        <w:t xml:space="preserve"> mērķis ir izveidot politikas instrumentus, lai nodrošinātu, ka finanšu sistēma patiesi atbalsta uzņēmumu pāreju uz ilgtspējību, ekonomikas atveseļošanas no C</w:t>
      </w:r>
      <w:r>
        <w:t>ovid</w:t>
      </w:r>
      <w:r w:rsidRPr="00323D51">
        <w:t xml:space="preserve">-19 uzliesmojuma ietekmes kontekstā. Stratēģija balstīsies uz 2018. gada Rīcības plānu, un ir paredzēts, ka tajā iekļaus ESG faktoru integrāciju korporatīvajā pārvaldībā un </w:t>
      </w:r>
      <w:r w:rsidRPr="002A4F41">
        <w:rPr>
          <w:i/>
        </w:rPr>
        <w:t>Ecolabel</w:t>
      </w:r>
      <w:r w:rsidRPr="00323D51">
        <w:t xml:space="preserve"> izveidošanu mazumtirdzniecības finanšu produktiem (</w:t>
      </w:r>
      <w:r w:rsidRPr="00BC0505">
        <w:rPr>
          <w:i/>
        </w:rPr>
        <w:t>retail products</w:t>
      </w:r>
      <w:r w:rsidRPr="00323D51">
        <w:t>).</w:t>
      </w:r>
      <w:r>
        <w:t xml:space="preserve"> EK plāno publicēt atjaunoto stratēģiju 2020.gada beigās.</w:t>
      </w:r>
      <w:r w:rsidRPr="00323D51">
        <w:t xml:space="preserve"> </w:t>
      </w:r>
    </w:p>
    <w:p w:rsidR="009E0E42" w:rsidRPr="001373B8" w:rsidRDefault="009E0E42" w:rsidP="009E0E42">
      <w:pPr>
        <w:jc w:val="both"/>
      </w:pPr>
      <w:r w:rsidRPr="00323D51">
        <w:t xml:space="preserve">Kā jau minēts, Zaļais kurss uzsvēra nepieciešamību pēc ilgtermiņa signāliem, lai finanšu un kapitāla plūsmas novirzītu zaļajiem ieguldījumiem. Šajā sakarā zaļajām obligācijām ir aizvien nozīmīgāka loma aktīvu finansēšanā, kas nepieciešami tautsaimniecības pārejai ar zemu oglekļa emisiju līmeni. Tomēr ES nav vienota zaļo obligāciju standarta, tāpēc </w:t>
      </w:r>
      <w:r>
        <w:t>EK</w:t>
      </w:r>
      <w:r w:rsidRPr="00323D51">
        <w:t xml:space="preserve"> </w:t>
      </w:r>
      <w:r>
        <w:t>strādā pie</w:t>
      </w:r>
      <w:r w:rsidRPr="00323D51">
        <w:t xml:space="preserve"> ES zaļo obligāciju standarta izveidošan</w:t>
      </w:r>
      <w:r>
        <w:t>as</w:t>
      </w:r>
      <w:r w:rsidRPr="00323D51">
        <w:t xml:space="preserve"> </w:t>
      </w:r>
      <w:r>
        <w:t>ES</w:t>
      </w:r>
      <w:r w:rsidRPr="00323D51">
        <w:t xml:space="preserve">. </w:t>
      </w:r>
      <w:r>
        <w:t>EK</w:t>
      </w:r>
      <w:r w:rsidRPr="00323D51">
        <w:t xml:space="preserve"> apsver likumdošanas iniciatīvas iespēju attiecībā uz ES zaļo obligāciju standartu, un balstoties uz publisko apspriešanu (par augstāk minēto atjaunoto stratēģiju,  kā arī mērķtiecīgu konsultāciju par ES zaļo obligāciju standarta izveidi) rezultātiem, kā arī uz notiekošajiem divpusējiem dialogiem ar ieinteresētajām personām, </w:t>
      </w:r>
      <w:r>
        <w:t>EK</w:t>
      </w:r>
      <w:r w:rsidRPr="00323D51">
        <w:t xml:space="preserve"> 2020. gada 4. ceturksnī pieņems lēmumu par to, kā turpināt attīstīt zaļo obligāciju standartu.</w:t>
      </w:r>
      <w:r w:rsidRPr="00E9347A">
        <w:t xml:space="preserve"> </w:t>
      </w:r>
      <w:r>
        <w:t>Vienlaikus jāņem vērā, ka EK 2020.gada 16.septembra nodoma vēstulē “par stāvokli Savienībā 2020.gadā” iezīmē ES zaļo obligāciju standarta izveidi pie galvenajām jaunām iniciatīvām 2021.gadam.</w:t>
      </w:r>
      <w:r w:rsidRPr="001373B8">
        <w:t xml:space="preserve">Tāpat EK paziņoja nodomu </w:t>
      </w:r>
      <w:r w:rsidRPr="0027603A">
        <w:t xml:space="preserve">noteikt mērķi </w:t>
      </w:r>
      <w:r w:rsidRPr="0027603A">
        <w:rPr>
          <w:bCs/>
        </w:rPr>
        <w:t xml:space="preserve">30 % no </w:t>
      </w:r>
      <w:r w:rsidRPr="0027603A">
        <w:rPr>
          <w:bCs/>
          <w:iCs/>
        </w:rPr>
        <w:t xml:space="preserve">Eiropas Atveseļošanas instrumenta </w:t>
      </w:r>
      <w:r w:rsidRPr="0027603A">
        <w:rPr>
          <w:bCs/>
        </w:rPr>
        <w:t xml:space="preserve">750 mljrd. </w:t>
      </w:r>
      <w:r w:rsidRPr="005B1DCA">
        <w:rPr>
          <w:bCs/>
          <w:i/>
        </w:rPr>
        <w:t>e</w:t>
      </w:r>
      <w:r w:rsidR="00015493" w:rsidRPr="005B1DCA">
        <w:rPr>
          <w:bCs/>
          <w:i/>
        </w:rPr>
        <w:t>u</w:t>
      </w:r>
      <w:r w:rsidRPr="005B1DCA">
        <w:rPr>
          <w:bCs/>
          <w:i/>
        </w:rPr>
        <w:t>ro</w:t>
      </w:r>
      <w:r w:rsidRPr="0027603A">
        <w:rPr>
          <w:bCs/>
        </w:rPr>
        <w:t xml:space="preserve"> finansējuma nodrošināt ar zaļajām obligācijām</w:t>
      </w:r>
      <w:r w:rsidRPr="0027603A">
        <w:t>.</w:t>
      </w:r>
    </w:p>
    <w:p w:rsidR="009E0E42" w:rsidRDefault="009E0E42" w:rsidP="009E0E42">
      <w:pPr>
        <w:jc w:val="both"/>
      </w:pPr>
      <w:r>
        <w:t>Eiropas uzraudzības iestādes (ESAs) strādā pie regulējošo tehnisko standartu izstrādes par to, kā vides, sociālie un pārvaldības faktori un klimata pārmaiņu un vides riski var tikt integrēti finanšu institūcijas stratēģijā un risku pārvaldībā, informācijas atklāšanā un scenāriju analīzē un stresa testēšanā.</w:t>
      </w:r>
    </w:p>
    <w:p w:rsidR="009E0E42" w:rsidRDefault="009E0E42" w:rsidP="009E0E42">
      <w:pPr>
        <w:jc w:val="both"/>
      </w:pPr>
      <w:r>
        <w:t xml:space="preserve">2020.gada maijā ECB ir publicējusi sabiedriskai apspriešanai ECB norādījumu projektu par klimata pārmaiņu un vides riskiem. Norādījumos izklāstīta ECB izpratne par klimata pārmaiņu un vides risku drošu un pamatotu pārvaldību saskaņā ar esošo prudenciālo ietvaru un tajā aprakstīts, ko ECB kā finanšu iestāžu uzraugs sagaida no uzraugāmajām institūcijām attiecībā uz klimata pārmaiņu un vides risku izvērtējumu, formulējot un īstenojot savu stratēģiju un risku pārvaldību, lielākas caurredzamības nodrošināšanu  attiecībā uz pakļautību šādiem riskiem, uzlabojot informācijas atklāšanu par klimata pārmaiņu un vides riskiem u.c. </w:t>
      </w:r>
    </w:p>
    <w:p w:rsidR="009E0E42" w:rsidRDefault="009E0E42" w:rsidP="009E0E42">
      <w:pPr>
        <w:ind w:firstLine="720"/>
        <w:jc w:val="both"/>
      </w:pPr>
    </w:p>
    <w:p w:rsidR="009E0E42" w:rsidRDefault="009E0E42" w:rsidP="009E0E42">
      <w:pPr>
        <w:ind w:firstLine="720"/>
        <w:jc w:val="both"/>
      </w:pPr>
    </w:p>
    <w:p w:rsidR="009E0E42" w:rsidRPr="001828BB" w:rsidRDefault="009E0E42" w:rsidP="003E6F7E">
      <w:pPr>
        <w:pStyle w:val="Heading2"/>
      </w:pPr>
      <w:bookmarkStart w:id="24" w:name="_Toc55202497"/>
      <w:r>
        <w:t xml:space="preserve">5.2. </w:t>
      </w:r>
      <w:r w:rsidRPr="001828BB">
        <w:t>Zaļās obligācijas</w:t>
      </w:r>
      <w:r>
        <w:t xml:space="preserve"> Latvijā</w:t>
      </w:r>
      <w:bookmarkEnd w:id="24"/>
    </w:p>
    <w:p w:rsidR="009E0E42" w:rsidRDefault="009E0E42" w:rsidP="009E0E42">
      <w:pPr>
        <w:jc w:val="both"/>
      </w:pPr>
      <w:r>
        <w:t xml:space="preserve">Pasaulē arvien straujāk pieaug interese par ilgtspējīgiem finanšu instrumentiem un arvien pieaug zaļo, sociālo un divējāda lietojuma obligāciju emisijas. Latvijā līdz šim tikai divi uzņēmumi (AS “Latvenergo” un ALTUM) ir emitējuši zaļās obligācijas, kas no vienas puses ir pozitīvs signāls, no otras puses – ņemot vērā arvien pieaugošo interesi par ilgtspējīgu ieguldījumu iespējām, kā arī finansējuma nepieciešamību ilgtspējīgas attīstības veicināšanai, ir būtiska tālāka šīs jomas attīstība. Tāpat līdz šim Latvijā nav emitētas valsts zaļās obligācijas, līdz ar to ir vērtējams, vai šobrīd, ņemot vērā investīciju nepieciešamību šajā jomā, kā arī tirgus interesi, nebūtu lietderīgi apsvērt šādu obligāciju emisiju. </w:t>
      </w:r>
    </w:p>
    <w:p w:rsidR="009E0E42" w:rsidRDefault="009E0E42" w:rsidP="009E0E42">
      <w:pPr>
        <w:pStyle w:val="Heading4"/>
        <w:jc w:val="both"/>
      </w:pPr>
      <w:r w:rsidRPr="001C6D27">
        <w:rPr>
          <w:rFonts w:eastAsiaTheme="minorHAnsi"/>
          <w:b w:val="0"/>
          <w:bCs w:val="0"/>
          <w:lang w:eastAsia="en-US"/>
        </w:rPr>
        <w:t xml:space="preserve">AS “Latvenergo” 2015.gada jūnijā emitēja zaļās obligācijas 75 milj.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1C6D27">
        <w:rPr>
          <w:rFonts w:eastAsiaTheme="minorHAnsi"/>
          <w:b w:val="0"/>
          <w:bCs w:val="0"/>
          <w:lang w:eastAsia="en-US"/>
        </w:rPr>
        <w:t xml:space="preserve"> apmērā, un programmu noslēdzot 2016.gadā ar vēl vienu emisiju 25 milj.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1C6D27">
        <w:rPr>
          <w:rFonts w:eastAsiaTheme="minorHAnsi"/>
          <w:b w:val="0"/>
          <w:bCs w:val="0"/>
          <w:lang w:eastAsia="en-US"/>
        </w:rPr>
        <w:t xml:space="preserve"> apmērā. 2020.gada aprīlī AS “Latvenergo” ir paziņojis par jaunu emisiju līdz 200 milj.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1C6D27">
        <w:rPr>
          <w:rFonts w:eastAsiaTheme="minorHAnsi"/>
          <w:b w:val="0"/>
          <w:bCs w:val="0"/>
          <w:lang w:eastAsia="en-US"/>
        </w:rPr>
        <w:t xml:space="preserve"> apmērā,</w:t>
      </w:r>
      <w:r>
        <w:rPr>
          <w:rFonts w:eastAsiaTheme="minorHAnsi"/>
          <w:b w:val="0"/>
          <w:bCs w:val="0"/>
          <w:lang w:eastAsia="en-US"/>
        </w:rPr>
        <w:t xml:space="preserve"> kurai jau ir apstiprināts emisijas prospekts</w:t>
      </w:r>
      <w:r w:rsidRPr="001C6D27">
        <w:rPr>
          <w:rFonts w:eastAsiaTheme="minorHAnsi"/>
          <w:b w:val="0"/>
          <w:bCs w:val="0"/>
          <w:lang w:eastAsia="en-US"/>
        </w:rPr>
        <w:t>. Atbilstoši Latvenergo koncerna stratēģiskajiem mērķiem piesaistītie līdzekļi tiks ieguldīti videi draudzīgu investīciju projektu īstenošanā. Neatkarīgais pētniecības centrs CICERO Shades of Green AS "Latvenergo" atjaunināto zaļo obligāciju satvaru novērtējis ar atzīmi Tumši zaļš, kas ir augstākais iespējamais novērtējums CICERO vērtējuma skalā.</w:t>
      </w:r>
      <w:r>
        <w:rPr>
          <w:rFonts w:eastAsiaTheme="minorHAnsi"/>
          <w:b w:val="0"/>
          <w:bCs w:val="0"/>
          <w:lang w:eastAsia="en-US"/>
        </w:rPr>
        <w:t xml:space="preserve"> </w:t>
      </w:r>
      <w:r w:rsidRPr="0027603A">
        <w:rPr>
          <w:rFonts w:eastAsiaTheme="minorHAnsi"/>
          <w:b w:val="0"/>
          <w:bCs w:val="0"/>
          <w:lang w:eastAsia="en-US"/>
        </w:rPr>
        <w:t>Savukārt ALTUM</w:t>
      </w:r>
      <w:r w:rsidRPr="001C6D27">
        <w:rPr>
          <w:rFonts w:eastAsiaTheme="minorHAnsi"/>
          <w:b w:val="0"/>
          <w:bCs w:val="0"/>
          <w:lang w:eastAsia="en-US"/>
        </w:rPr>
        <w:t xml:space="preserve"> 2020.gada aprīlī</w:t>
      </w:r>
      <w:r w:rsidRPr="0027603A">
        <w:rPr>
          <w:rFonts w:eastAsiaTheme="minorHAnsi"/>
          <w:b w:val="0"/>
          <w:bCs w:val="0"/>
          <w:lang w:eastAsia="en-US"/>
        </w:rPr>
        <w:t xml:space="preserve"> emitēja obligācijas par kopējo summu 20 milj</w:t>
      </w:r>
      <w:r w:rsidRPr="001C6D27">
        <w:rPr>
          <w:rFonts w:eastAsiaTheme="minorHAnsi"/>
          <w:b w:val="0"/>
          <w:bCs w:val="0"/>
          <w:lang w:eastAsia="en-US"/>
        </w:rPr>
        <w:t xml:space="preserve">.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27603A">
        <w:rPr>
          <w:rFonts w:eastAsiaTheme="minorHAnsi"/>
          <w:b w:val="0"/>
          <w:bCs w:val="0"/>
          <w:lang w:eastAsia="en-US"/>
        </w:rPr>
        <w:t>, kas ir otrā emisija 70 </w:t>
      </w:r>
      <w:r>
        <w:rPr>
          <w:rFonts w:eastAsiaTheme="minorHAnsi"/>
          <w:b w:val="0"/>
          <w:bCs w:val="0"/>
          <w:lang w:eastAsia="en-US"/>
        </w:rPr>
        <w:t>milj.</w:t>
      </w:r>
      <w:r w:rsidRPr="0027603A">
        <w:rPr>
          <w:rFonts w:eastAsiaTheme="minorHAnsi"/>
          <w:b w:val="0"/>
          <w:bCs w:val="0"/>
          <w:lang w:eastAsia="en-US"/>
        </w:rPr>
        <w:t xml:space="preserve">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Pr>
          <w:rFonts w:eastAsiaTheme="minorHAnsi"/>
          <w:b w:val="0"/>
          <w:bCs w:val="0"/>
          <w:lang w:eastAsia="en-US"/>
        </w:rPr>
        <w:t xml:space="preserve"> </w:t>
      </w:r>
      <w:r w:rsidRPr="0027603A">
        <w:rPr>
          <w:rFonts w:eastAsiaTheme="minorHAnsi"/>
          <w:b w:val="0"/>
          <w:bCs w:val="0"/>
          <w:lang w:eastAsia="en-US"/>
        </w:rPr>
        <w:t>obligāciju emisijas programmas ietvaros</w:t>
      </w:r>
      <w:r w:rsidRPr="001C6D27">
        <w:rPr>
          <w:rFonts w:eastAsiaTheme="minorHAnsi"/>
          <w:b w:val="0"/>
          <w:bCs w:val="0"/>
          <w:lang w:eastAsia="en-US"/>
        </w:rPr>
        <w:t>.</w:t>
      </w:r>
      <w:r w:rsidRPr="0027603A">
        <w:rPr>
          <w:rFonts w:eastAsiaTheme="minorHAnsi"/>
          <w:b w:val="0"/>
          <w:bCs w:val="0"/>
          <w:lang w:eastAsia="en-US"/>
        </w:rPr>
        <w:t xml:space="preserve"> Šīs obligācijas t</w:t>
      </w:r>
      <w:r w:rsidRPr="001C6D27">
        <w:rPr>
          <w:rFonts w:eastAsiaTheme="minorHAnsi"/>
          <w:b w:val="0"/>
          <w:bCs w:val="0"/>
          <w:lang w:eastAsia="en-US"/>
        </w:rPr>
        <w:t>ika emitētas papildus 2018. gadā</w:t>
      </w:r>
      <w:r w:rsidRPr="0027603A">
        <w:rPr>
          <w:rFonts w:eastAsiaTheme="minorHAnsi"/>
          <w:b w:val="0"/>
          <w:bCs w:val="0"/>
          <w:lang w:eastAsia="en-US"/>
        </w:rPr>
        <w:t xml:space="preserve"> emitētajām obligācijām</w:t>
      </w:r>
      <w:r w:rsidRPr="001C6D27">
        <w:rPr>
          <w:rFonts w:eastAsiaTheme="minorHAnsi"/>
          <w:b w:val="0"/>
          <w:bCs w:val="0"/>
          <w:lang w:eastAsia="en-US"/>
        </w:rPr>
        <w:t xml:space="preserve"> 10 </w:t>
      </w:r>
      <w:r>
        <w:rPr>
          <w:rFonts w:eastAsiaTheme="minorHAnsi"/>
          <w:b w:val="0"/>
          <w:bCs w:val="0"/>
          <w:lang w:eastAsia="en-US"/>
        </w:rPr>
        <w:t>milj.</w:t>
      </w:r>
      <w:r w:rsidR="00015493">
        <w:rPr>
          <w:rFonts w:eastAsiaTheme="minorHAnsi"/>
          <w:b w:val="0"/>
          <w:bCs w:val="0"/>
          <w:lang w:eastAsia="en-US"/>
        </w:rPr>
        <w:t xml:space="preserve">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1C6D27">
        <w:rPr>
          <w:rFonts w:eastAsiaTheme="minorHAnsi"/>
          <w:b w:val="0"/>
          <w:bCs w:val="0"/>
          <w:lang w:eastAsia="en-US"/>
        </w:rPr>
        <w:t xml:space="preserve"> apmērā un 2019.gadā</w:t>
      </w:r>
      <w:r w:rsidRPr="0027603A">
        <w:rPr>
          <w:rFonts w:eastAsiaTheme="minorHAnsi"/>
          <w:b w:val="0"/>
          <w:bCs w:val="0"/>
          <w:lang w:eastAsia="en-US"/>
        </w:rPr>
        <w:t xml:space="preserve"> emitētajām obligācijām 15 </w:t>
      </w:r>
      <w:r>
        <w:rPr>
          <w:rFonts w:eastAsiaTheme="minorHAnsi"/>
          <w:b w:val="0"/>
          <w:bCs w:val="0"/>
          <w:lang w:eastAsia="en-US"/>
        </w:rPr>
        <w:t xml:space="preserve">milj.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Pr>
          <w:rFonts w:eastAsiaTheme="minorHAnsi"/>
          <w:b w:val="0"/>
          <w:bCs w:val="0"/>
          <w:lang w:eastAsia="en-US"/>
        </w:rPr>
        <w:t xml:space="preserve"> apmērā</w:t>
      </w:r>
      <w:r w:rsidRPr="001C6D27">
        <w:rPr>
          <w:rFonts w:eastAsiaTheme="minorHAnsi"/>
          <w:b w:val="0"/>
          <w:bCs w:val="0"/>
          <w:lang w:eastAsia="en-US"/>
        </w:rPr>
        <w:t>.</w:t>
      </w:r>
    </w:p>
    <w:p w:rsidR="009E0E42" w:rsidRPr="001C6D27" w:rsidRDefault="009E0E42" w:rsidP="009E0E42">
      <w:pPr>
        <w:pStyle w:val="Heading4"/>
        <w:jc w:val="both"/>
      </w:pPr>
      <w:r>
        <w:rPr>
          <w:rFonts w:eastAsiaTheme="minorHAnsi"/>
          <w:b w:val="0"/>
          <w:bCs w:val="0"/>
          <w:lang w:eastAsia="en-US"/>
        </w:rPr>
        <w:t xml:space="preserve">Gan AS “Latvenergo”, gan ALTUM zaļās obligācijas ir iekļautas </w:t>
      </w:r>
      <w:r w:rsidRPr="0027603A">
        <w:rPr>
          <w:b w:val="0"/>
        </w:rPr>
        <w:t>Nasdaq</w:t>
      </w:r>
      <w:r w:rsidRPr="0027603A">
        <w:rPr>
          <w:rFonts w:eastAsiaTheme="minorHAnsi"/>
          <w:b w:val="0"/>
          <w:bCs w:val="0"/>
          <w:lang w:eastAsia="en-US"/>
        </w:rPr>
        <w:t xml:space="preserve"> Baltijas Regulētajā tirgū.</w:t>
      </w:r>
      <w:r>
        <w:rPr>
          <w:rFonts w:eastAsiaTheme="minorHAnsi"/>
          <w:b w:val="0"/>
          <w:bCs w:val="0"/>
          <w:lang w:eastAsia="en-US"/>
        </w:rPr>
        <w:t xml:space="preserve"> Kopumā Nasdaq korporatīvo parāda vērtspapīru sarakstā šobrīd ir trīs uzņēmumu obligācijas, papildus šo divu uzņēmumu obligācijām sarakstā ir iekļautas arī Lietuvas uzņēmuma AUGA group, AB emitētās obligācijas. Savukārt, valsts parāda vērtspapīru jomā, no Baltijas valstīm līdz šim tikai Lietuva ir emitējusi zaļās obligācijas.</w:t>
      </w:r>
    </w:p>
    <w:p w:rsidR="009E0E42" w:rsidRDefault="009E0E42" w:rsidP="009E0E42">
      <w:pPr>
        <w:jc w:val="both"/>
        <w:rPr>
          <w:rFonts w:ascii="Calibri" w:hAnsi="Calibri" w:cs="Calibri"/>
          <w:sz w:val="22"/>
          <w:szCs w:val="22"/>
        </w:rPr>
      </w:pPr>
    </w:p>
    <w:p w:rsidR="009E0E42" w:rsidRPr="002A4F41" w:rsidRDefault="009E0E42" w:rsidP="009E0E42">
      <w:pPr>
        <w:ind w:firstLine="720"/>
        <w:jc w:val="both"/>
        <w:rPr>
          <w:b/>
        </w:rPr>
      </w:pPr>
      <w:r w:rsidRPr="002A4F41">
        <w:rPr>
          <w:b/>
        </w:rPr>
        <w:t>Klimata pārmaiņu ietekme uz Latvijas finanšu sektoru</w:t>
      </w:r>
    </w:p>
    <w:p w:rsidR="009E0E42" w:rsidRPr="001D0D5F" w:rsidRDefault="009E0E42" w:rsidP="009E0E42">
      <w:pPr>
        <w:pStyle w:val="NormalWeb"/>
        <w:spacing w:before="0" w:beforeAutospacing="0" w:after="0" w:afterAutospacing="0"/>
        <w:jc w:val="both"/>
        <w:rPr>
          <w:lang w:val="lv-LV"/>
        </w:rPr>
      </w:pPr>
      <w:r w:rsidRPr="001D0D5F">
        <w:rPr>
          <w:lang w:val="lv-LV"/>
        </w:rPr>
        <w:t>Atbilstoši Latvijas Bankas novērtējumam, klimata pārmaiņas ietekmēs Latvijas tautsaimniecību un attiecīgi arī tās finanšu sistēmu mazāk nekā citas ES dalībvalstis. Klimata riski nav būtiski sistēmiskie riski Latvijas finanšu sektoram, ņemot vērā Latvijas tautsaimniecības oglekļa ietilpību un kredītiestāžu kredītportfeļa struktūru. Tomēr vienlaikus jānorāda, ka nepieciešama šā jautājuma tālāka izpēte un uzraudzību.</w:t>
      </w:r>
      <w:r>
        <w:rPr>
          <w:rStyle w:val="FootnoteReference"/>
        </w:rPr>
        <w:footnoteReference w:id="42"/>
      </w:r>
      <w:r w:rsidRPr="001D0D5F">
        <w:rPr>
          <w:lang w:val="lv-LV"/>
        </w:rPr>
        <w:t xml:space="preserve"> </w:t>
      </w:r>
    </w:p>
    <w:p w:rsidR="009E0E42" w:rsidRPr="001D0D5F" w:rsidRDefault="009E0E42" w:rsidP="009E0E42">
      <w:pPr>
        <w:pStyle w:val="NormalWeb"/>
        <w:spacing w:before="0" w:beforeAutospacing="0" w:after="0" w:afterAutospacing="0"/>
        <w:jc w:val="both"/>
        <w:rPr>
          <w:lang w:val="lv-LV"/>
        </w:rPr>
      </w:pPr>
      <w:r w:rsidRPr="001D0D5F">
        <w:rPr>
          <w:lang w:val="lv-LV"/>
        </w:rPr>
        <w:t xml:space="preserve">Svarīgi ņemt vērā, ka būs ievērojama ietekme uz finanšu sektoru un Latvijas tautsaimniecību kopumā no ES </w:t>
      </w:r>
      <w:r>
        <w:rPr>
          <w:lang w:val="lv-LV"/>
        </w:rPr>
        <w:t>normatīvā r</w:t>
      </w:r>
      <w:r w:rsidRPr="001D0D5F">
        <w:rPr>
          <w:lang w:val="lv-LV"/>
        </w:rPr>
        <w:t>egulējuma puses (</w:t>
      </w:r>
      <w:r w:rsidRPr="0027603A">
        <w:rPr>
          <w:i/>
          <w:lang w:val="lv-LV"/>
        </w:rPr>
        <w:t>t.sk. EU Disclosures Regulation izmaiņām un NFRD izmaiņām</w:t>
      </w:r>
      <w:r w:rsidRPr="001D0D5F">
        <w:rPr>
          <w:lang w:val="lv-LV"/>
        </w:rPr>
        <w:t>). Tas skars visus finanšu sektora dalībniekus: gan bankas, gan apdrošināšanas sabiedrības, gan arī ieguldījumu pārvaldes sabiedrības, gan lielos uzņēmumus – tieši, gan mazos uzņēmumus – pastarpināti, gan arī iedzīvotājus un investorus. Tāpēc ir jānodrošina, lai finanšu sektors un tautsaimniecība kopuma ir gatavi š</w:t>
      </w:r>
      <w:r>
        <w:rPr>
          <w:lang w:val="lv-LV"/>
        </w:rPr>
        <w:t>ī</w:t>
      </w:r>
      <w:r w:rsidRPr="001D0D5F">
        <w:rPr>
          <w:lang w:val="lv-LV"/>
        </w:rPr>
        <w:t>m pārmaiņām, sākot ar 2021.gada sākumu</w:t>
      </w:r>
      <w:r>
        <w:rPr>
          <w:lang w:val="lv-LV"/>
        </w:rPr>
        <w:t>.</w:t>
      </w:r>
      <w:r w:rsidRPr="001D0D5F">
        <w:rPr>
          <w:lang w:val="lv-LV"/>
        </w:rPr>
        <w:t xml:space="preserve"> Turklāt, jāņem vērā, ka lai gan sākotnēji izveidojot Taksonomiju, tā lielākoties bija fokusēta uz privāto sektoru, </w:t>
      </w:r>
      <w:r>
        <w:rPr>
          <w:lang w:val="lv-LV"/>
        </w:rPr>
        <w:t>EK</w:t>
      </w:r>
      <w:r w:rsidRPr="001D0D5F">
        <w:rPr>
          <w:lang w:val="lv-LV"/>
        </w:rPr>
        <w:t xml:space="preserve"> pašlaik strādā pie tā, lai Taksonomiju pielāgot un aktīvi izmantot arī publiskajā sektorā (piemēram, veicot iepirkumus vai veidojot budžetu, utt.). </w:t>
      </w:r>
    </w:p>
    <w:p w:rsidR="009E0E42" w:rsidRPr="001D0D5F" w:rsidRDefault="009E0E42" w:rsidP="009E0E42">
      <w:pPr>
        <w:pStyle w:val="NormalWeb"/>
        <w:spacing w:before="0" w:beforeAutospacing="0" w:after="0" w:afterAutospacing="0"/>
        <w:ind w:firstLine="720"/>
        <w:jc w:val="both"/>
        <w:rPr>
          <w:lang w:val="lv-LV"/>
        </w:rPr>
      </w:pPr>
    </w:p>
    <w:p w:rsidR="009E0E42" w:rsidRPr="001D0D5F" w:rsidRDefault="009E0E42" w:rsidP="009E0E42">
      <w:pPr>
        <w:pStyle w:val="NormalWeb"/>
        <w:spacing w:before="0" w:beforeAutospacing="0" w:after="0" w:afterAutospacing="0"/>
        <w:ind w:firstLine="720"/>
        <w:jc w:val="both"/>
        <w:rPr>
          <w:lang w:val="lv-LV"/>
        </w:rPr>
      </w:pPr>
    </w:p>
    <w:tbl>
      <w:tblPr>
        <w:tblStyle w:val="TableGrid"/>
        <w:tblW w:w="0" w:type="auto"/>
        <w:tblLook w:val="04A0" w:firstRow="1" w:lastRow="0" w:firstColumn="1" w:lastColumn="0" w:noHBand="0" w:noVBand="1"/>
      </w:tblPr>
      <w:tblGrid>
        <w:gridCol w:w="4335"/>
        <w:gridCol w:w="4266"/>
        <w:gridCol w:w="4686"/>
      </w:tblGrid>
      <w:tr w:rsidR="00CA5627" w:rsidTr="00B04B3D">
        <w:tc>
          <w:tcPr>
            <w:tcW w:w="3066" w:type="dxa"/>
          </w:tcPr>
          <w:p w:rsidR="009E0E42" w:rsidRDefault="009E0E42" w:rsidP="00B04B3D">
            <w:pPr>
              <w:jc w:val="both"/>
            </w:pPr>
            <w:r>
              <w:rPr>
                <w:noProof/>
                <w:lang w:eastAsia="lv-LV"/>
              </w:rPr>
              <w:drawing>
                <wp:inline distT="0" distB="0" distL="0" distR="0" wp14:anchorId="01A8AEBC" wp14:editId="360345B1">
                  <wp:extent cx="2615609" cy="2975178"/>
                  <wp:effectExtent l="0" t="0" r="0" b="0"/>
                  <wp:docPr id="33" name="Picture 5">
                    <a:extLst xmlns:a="http://schemas.openxmlformats.org/drawingml/2006/main">
                      <a:ext uri="{FF2B5EF4-FFF2-40B4-BE49-F238E27FC236}">
                        <a16:creationId xmlns:a16="http://schemas.microsoft.com/office/drawing/2014/main" id="{C19125E8-48FD-4288-BC0C-83B137F7DE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19125E8-48FD-4288-BC0C-83B137F7DE6F}"/>
                              </a:ext>
                            </a:extLst>
                          </pic:cNvPr>
                          <pic:cNvPicPr>
                            <a:picLocks noChangeAspect="1"/>
                          </pic:cNvPicPr>
                        </pic:nvPicPr>
                        <pic:blipFill>
                          <a:blip r:embed="rId32"/>
                          <a:stretch>
                            <a:fillRect/>
                          </a:stretch>
                        </pic:blipFill>
                        <pic:spPr>
                          <a:xfrm>
                            <a:off x="0" y="0"/>
                            <a:ext cx="2780003" cy="3162172"/>
                          </a:xfrm>
                          <a:prstGeom prst="rect">
                            <a:avLst/>
                          </a:prstGeom>
                        </pic:spPr>
                      </pic:pic>
                    </a:graphicData>
                  </a:graphic>
                </wp:inline>
              </w:drawing>
            </w:r>
          </w:p>
        </w:tc>
        <w:tc>
          <w:tcPr>
            <w:tcW w:w="2658" w:type="dxa"/>
          </w:tcPr>
          <w:p w:rsidR="009E0E42" w:rsidRDefault="009E0E42" w:rsidP="00B04B3D">
            <w:pPr>
              <w:jc w:val="both"/>
            </w:pPr>
            <w:r>
              <w:rPr>
                <w:noProof/>
                <w:lang w:eastAsia="lv-LV"/>
              </w:rPr>
              <w:drawing>
                <wp:inline distT="0" distB="0" distL="0" distR="0" wp14:anchorId="30E1CBAA" wp14:editId="02FBA1B7">
                  <wp:extent cx="2563504" cy="2870791"/>
                  <wp:effectExtent l="0" t="0" r="8255" b="6350"/>
                  <wp:docPr id="35" name="Picture 6">
                    <a:extLst xmlns:a="http://schemas.openxmlformats.org/drawingml/2006/main">
                      <a:ext uri="{FF2B5EF4-FFF2-40B4-BE49-F238E27FC236}">
                        <a16:creationId xmlns:a16="http://schemas.microsoft.com/office/drawing/2014/main" id="{B32808B2-8B4C-48A7-96C0-5FEC61931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2808B2-8B4C-48A7-96C0-5FEC61931114}"/>
                              </a:ext>
                            </a:extLst>
                          </pic:cNvPr>
                          <pic:cNvPicPr>
                            <a:picLocks noChangeAspect="1"/>
                          </pic:cNvPicPr>
                        </pic:nvPicPr>
                        <pic:blipFill>
                          <a:blip r:embed="rId33"/>
                          <a:stretch>
                            <a:fillRect/>
                          </a:stretch>
                        </pic:blipFill>
                        <pic:spPr>
                          <a:xfrm>
                            <a:off x="0" y="0"/>
                            <a:ext cx="2993247" cy="3352047"/>
                          </a:xfrm>
                          <a:prstGeom prst="rect">
                            <a:avLst/>
                          </a:prstGeom>
                        </pic:spPr>
                      </pic:pic>
                    </a:graphicData>
                  </a:graphic>
                </wp:inline>
              </w:drawing>
            </w:r>
          </w:p>
        </w:tc>
        <w:tc>
          <w:tcPr>
            <w:tcW w:w="2572" w:type="dxa"/>
          </w:tcPr>
          <w:p w:rsidR="009E0E42" w:rsidRDefault="009E0E42" w:rsidP="00B04B3D">
            <w:pPr>
              <w:jc w:val="both"/>
            </w:pPr>
            <w:r>
              <w:rPr>
                <w:noProof/>
                <w:lang w:eastAsia="lv-LV"/>
              </w:rPr>
              <w:drawing>
                <wp:inline distT="0" distB="0" distL="0" distR="0" wp14:anchorId="32528034" wp14:editId="1D3EA5AC">
                  <wp:extent cx="2838893" cy="2594344"/>
                  <wp:effectExtent l="0" t="0" r="0" b="0"/>
                  <wp:docPr id="36" name="Picture 7">
                    <a:extLst xmlns:a="http://schemas.openxmlformats.org/drawingml/2006/main">
                      <a:ext uri="{FF2B5EF4-FFF2-40B4-BE49-F238E27FC236}">
                        <a16:creationId xmlns:a16="http://schemas.microsoft.com/office/drawing/2014/main" id="{764A8017-928D-43A5-831F-5A7348AEB10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64A8017-928D-43A5-831F-5A7348AEB100}"/>
                              </a:ext>
                            </a:extLst>
                          </pic:cNvPr>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27428" cy="2675252"/>
                          </a:xfrm>
                          <a:prstGeom prst="rect">
                            <a:avLst/>
                          </a:prstGeom>
                          <a:solidFill>
                            <a:sysClr val="window" lastClr="FFFFFF"/>
                          </a:solidFill>
                          <a:ln>
                            <a:noFill/>
                          </a:ln>
                        </pic:spPr>
                      </pic:pic>
                    </a:graphicData>
                  </a:graphic>
                </wp:inline>
              </w:drawing>
            </w:r>
          </w:p>
        </w:tc>
      </w:tr>
    </w:tbl>
    <w:p w:rsidR="009E0E42" w:rsidRPr="00722872" w:rsidRDefault="009E0E42" w:rsidP="009E0E42">
      <w:pPr>
        <w:ind w:firstLine="720"/>
        <w:jc w:val="both"/>
        <w:rPr>
          <w:i/>
          <w:sz w:val="20"/>
          <w:szCs w:val="20"/>
        </w:rPr>
      </w:pPr>
      <w:r w:rsidRPr="00722872">
        <w:rPr>
          <w:i/>
          <w:sz w:val="20"/>
          <w:szCs w:val="20"/>
        </w:rPr>
        <w:t>Da</w:t>
      </w:r>
      <w:r>
        <w:rPr>
          <w:i/>
          <w:sz w:val="20"/>
          <w:szCs w:val="20"/>
        </w:rPr>
        <w:t>t</w:t>
      </w:r>
      <w:r w:rsidRPr="00722872">
        <w:rPr>
          <w:i/>
          <w:sz w:val="20"/>
          <w:szCs w:val="20"/>
        </w:rPr>
        <w:t>u avots: LB Finanšu Stabilitātes pārskats 2020</w:t>
      </w:r>
    </w:p>
    <w:p w:rsidR="009E0E42" w:rsidRDefault="009E0E42" w:rsidP="009E0E42">
      <w:pPr>
        <w:ind w:firstLine="720"/>
        <w:jc w:val="both"/>
      </w:pPr>
    </w:p>
    <w:p w:rsidR="009E0E42" w:rsidRPr="005B1DCA" w:rsidRDefault="009E0E42" w:rsidP="009E0E42">
      <w:pPr>
        <w:jc w:val="both"/>
      </w:pPr>
      <w:r w:rsidRPr="005B1DCA">
        <w:t>Ilgtspējīgas finanses arvien vairāk kļūst par daļu no finanšu sistēmas, kas palīdz sasniegt ilgtspējīgas ekonomikas attīstību. Tādējādi plāna ietvaros, nodrošinot sasniedzamos mērķus tuvāko trīs gadu laikā, tiks iekļauti pasākumi, kas atbilst šādām prioritātēm:</w:t>
      </w:r>
    </w:p>
    <w:p w:rsidR="009E0E42" w:rsidRPr="005B1DCA" w:rsidRDefault="009E0E42" w:rsidP="009E0E42">
      <w:pPr>
        <w:pStyle w:val="ListParagraph"/>
        <w:numPr>
          <w:ilvl w:val="0"/>
          <w:numId w:val="18"/>
        </w:numPr>
        <w:spacing w:after="0" w:line="240" w:lineRule="auto"/>
        <w:jc w:val="both"/>
      </w:pPr>
      <w:r w:rsidRPr="005B1DCA">
        <w:t>Nodrošināt ilgtspējīga finansējuma regulējuma atbilstību ES tiesību aktiem, rūpīgi veicot izvērtējumu par regulējuma ietekmi uz atsevišķām nozarēm un finanšu sektoru un, izvairoties no nepieciešamības ieviest papildu stingrāku regulējumu nacionālā līmenī;</w:t>
      </w:r>
    </w:p>
    <w:p w:rsidR="009E0E42" w:rsidRPr="005B1DCA" w:rsidRDefault="009E0E42" w:rsidP="009E0E42">
      <w:pPr>
        <w:pStyle w:val="ListParagraph"/>
        <w:numPr>
          <w:ilvl w:val="0"/>
          <w:numId w:val="18"/>
        </w:numPr>
        <w:spacing w:after="0" w:line="240" w:lineRule="auto"/>
        <w:jc w:val="both"/>
      </w:pPr>
      <w:r w:rsidRPr="005B1DCA">
        <w:t>Veicināt skaidrāku politikas mērķu un ceļa kartes definēšanu konkrētās tautsaimniecības nozarēs klimata neitralitātes sasniegšanai;</w:t>
      </w:r>
    </w:p>
    <w:p w:rsidR="009E0E42" w:rsidRPr="005B1DCA" w:rsidRDefault="009E0E42" w:rsidP="009E0E42">
      <w:pPr>
        <w:pStyle w:val="ListParagraph"/>
        <w:numPr>
          <w:ilvl w:val="0"/>
          <w:numId w:val="18"/>
        </w:numPr>
        <w:spacing w:after="0" w:line="240" w:lineRule="auto"/>
        <w:jc w:val="both"/>
      </w:pPr>
      <w:r w:rsidRPr="005B1DCA">
        <w:t xml:space="preserve">ESG datu pieejamības pilnveidošana, lai nodrošinātu finanšu aktīvu un saistību klasifikāciju un klimata ietekmes mērīšanu, kā arī šo datu publicēšanu; </w:t>
      </w:r>
    </w:p>
    <w:p w:rsidR="009E0E42" w:rsidRPr="005B1DCA" w:rsidRDefault="009E0E42" w:rsidP="009E0E42">
      <w:pPr>
        <w:pStyle w:val="ListParagraph"/>
        <w:numPr>
          <w:ilvl w:val="0"/>
          <w:numId w:val="18"/>
        </w:numPr>
        <w:spacing w:after="0" w:line="240" w:lineRule="auto"/>
        <w:ind w:hanging="294"/>
        <w:jc w:val="both"/>
      </w:pPr>
      <w:r w:rsidRPr="005B1DCA">
        <w:t xml:space="preserve">Privātā finansējuma mobilizēšana klimata </w:t>
      </w:r>
      <w:r w:rsidR="003C4941" w:rsidRPr="005B1DCA">
        <w:t>mērķu ieviešanas nodrošināšanai;</w:t>
      </w:r>
    </w:p>
    <w:p w:rsidR="009E0E42" w:rsidRPr="005B1DCA" w:rsidRDefault="009E0E42" w:rsidP="009E0E42">
      <w:pPr>
        <w:pStyle w:val="ListParagraph"/>
        <w:numPr>
          <w:ilvl w:val="0"/>
          <w:numId w:val="18"/>
        </w:numPr>
        <w:spacing w:after="0" w:line="240" w:lineRule="auto"/>
        <w:jc w:val="both"/>
      </w:pPr>
      <w:r w:rsidRPr="005B1DCA">
        <w:t>Finanšu nozares institūciju, valsts pārvaldes un iedzīvotāju izglītošana un izpratnes veidošana par ilgtspējīgām finansēm.</w:t>
      </w:r>
    </w:p>
    <w:p w:rsidR="009E0E42" w:rsidRPr="0027603A" w:rsidRDefault="009E0E42" w:rsidP="009E0E42">
      <w:pPr>
        <w:spacing w:after="0" w:line="240" w:lineRule="auto"/>
        <w:jc w:val="both"/>
        <w:rPr>
          <w:b/>
        </w:rPr>
      </w:pPr>
    </w:p>
    <w:p w:rsidR="009E0E42" w:rsidRPr="0027603A" w:rsidRDefault="009E0E42" w:rsidP="009E0E42">
      <w:pPr>
        <w:rPr>
          <w:b/>
        </w:rPr>
      </w:pPr>
    </w:p>
    <w:tbl>
      <w:tblPr>
        <w:tblW w:w="5122" w:type="pct"/>
        <w:tblInd w:w="525"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98"/>
        <w:gridCol w:w="3184"/>
        <w:gridCol w:w="2431"/>
        <w:gridCol w:w="2685"/>
        <w:gridCol w:w="1500"/>
        <w:gridCol w:w="2162"/>
        <w:gridCol w:w="1822"/>
      </w:tblGrid>
      <w:tr w:rsidR="009E0E42" w:rsidRPr="00AE13D3" w:rsidTr="00B04B3D">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rsidR="009E0E42" w:rsidRPr="00AE13D3" w:rsidRDefault="009E0E42" w:rsidP="00B04B3D">
            <w:pPr>
              <w:spacing w:after="0" w:line="240" w:lineRule="auto"/>
              <w:rPr>
                <w:b/>
                <w:bCs/>
                <w:sz w:val="20"/>
                <w:szCs w:val="20"/>
              </w:rPr>
            </w:pPr>
            <w:r w:rsidRPr="00AE13D3">
              <w:rPr>
                <w:b/>
                <w:bCs/>
                <w:sz w:val="20"/>
                <w:szCs w:val="20"/>
              </w:rPr>
              <w:t>3. Ilgtspējīgas finanses</w:t>
            </w:r>
          </w:p>
        </w:tc>
      </w:tr>
      <w:tr w:rsidR="009E0E42" w:rsidRPr="00AE13D3" w:rsidTr="00B04B3D">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rsidR="009E0E42" w:rsidRPr="00AE13D3" w:rsidRDefault="009E0E42" w:rsidP="00B04B3D">
            <w:pPr>
              <w:spacing w:after="0" w:line="240" w:lineRule="auto"/>
              <w:rPr>
                <w:b/>
                <w:bCs/>
                <w:sz w:val="20"/>
                <w:szCs w:val="20"/>
              </w:rPr>
            </w:pPr>
            <w:r>
              <w:rPr>
                <w:b/>
                <w:bCs/>
                <w:sz w:val="20"/>
                <w:szCs w:val="20"/>
              </w:rPr>
              <w:t xml:space="preserve">3.1. </w:t>
            </w:r>
            <w:r w:rsidRPr="00AE13D3">
              <w:rPr>
                <w:b/>
                <w:bCs/>
                <w:sz w:val="20"/>
                <w:szCs w:val="20"/>
              </w:rPr>
              <w:t>Izveidot institucionālo ietvaru ilgtspējīgu finanšu mērķu sasniegšanai</w:t>
            </w:r>
          </w:p>
        </w:tc>
      </w:tr>
      <w:tr w:rsidR="009E0E42" w:rsidRPr="00AE13D3" w:rsidTr="00B04B3D">
        <w:tc>
          <w:tcPr>
            <w:tcW w:w="174" w:type="pct"/>
            <w:vMerge w:val="restart"/>
            <w:tcBorders>
              <w:top w:val="outset" w:sz="6" w:space="0" w:color="414142"/>
              <w:left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3.1.1.</w:t>
            </w:r>
          </w:p>
        </w:tc>
        <w:tc>
          <w:tcPr>
            <w:tcW w:w="1115" w:type="pct"/>
            <w:vMerge w:val="restart"/>
            <w:tcBorders>
              <w:top w:val="outset" w:sz="6" w:space="0" w:color="414142"/>
              <w:left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sidRPr="00AE13D3">
              <w:rPr>
                <w:sz w:val="20"/>
                <w:szCs w:val="20"/>
              </w:rPr>
              <w:t>Starpinstitūciju darba</w:t>
            </w:r>
            <w:r w:rsidR="0046437D">
              <w:rPr>
                <w:sz w:val="20"/>
                <w:szCs w:val="20"/>
              </w:rPr>
              <w:t xml:space="preserve"> </w:t>
            </w:r>
            <w:r w:rsidRPr="00AE13D3">
              <w:rPr>
                <w:sz w:val="20"/>
                <w:szCs w:val="20"/>
              </w:rPr>
              <w:t>grupas/ komitejas izveidošana un Ilgtspējīgo finanšu stratēģijas sagatavošana, kas ietvers sevī konkrēto darbību plānu un ceļa karti finanšu sektoram ceļā uz ilgtspējīgo finanšu ieviešanu valstī.</w:t>
            </w:r>
          </w:p>
        </w:tc>
        <w:tc>
          <w:tcPr>
            <w:tcW w:w="851" w:type="pct"/>
            <w:vMerge w:val="restart"/>
            <w:tcBorders>
              <w:top w:val="outset" w:sz="6" w:space="0" w:color="414142"/>
              <w:left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sidRPr="00AE13D3">
              <w:rPr>
                <w:sz w:val="20"/>
                <w:szCs w:val="20"/>
              </w:rPr>
              <w:t>Veicināt skaidrāku politikas mērķu un ceļa kartes definēšanu konkrētās tautsaimniecības nozarēs klimata neitralitātes sasniegšanai</w:t>
            </w:r>
            <w:r>
              <w:rPr>
                <w:sz w:val="20"/>
                <w:szCs w:val="20"/>
              </w:rPr>
              <w:t>.</w:t>
            </w:r>
          </w:p>
        </w:tc>
        <w:tc>
          <w:tcPr>
            <w:tcW w:w="94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sidRPr="00AE13D3">
              <w:rPr>
                <w:sz w:val="20"/>
                <w:szCs w:val="20"/>
              </w:rPr>
              <w:t>Darba grupas vai komitejas izveide</w:t>
            </w:r>
            <w:r>
              <w:rPr>
                <w:sz w:val="20"/>
                <w:szCs w:val="20"/>
              </w:rPr>
              <w:t>.</w:t>
            </w:r>
          </w:p>
        </w:tc>
        <w:tc>
          <w:tcPr>
            <w:tcW w:w="52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C70686">
            <w:pPr>
              <w:spacing w:after="0" w:line="240" w:lineRule="auto"/>
              <w:rPr>
                <w:sz w:val="20"/>
                <w:szCs w:val="20"/>
              </w:rPr>
            </w:pPr>
            <w:r w:rsidRPr="00AE13D3">
              <w:rPr>
                <w:sz w:val="20"/>
                <w:szCs w:val="20"/>
              </w:rPr>
              <w:t>FM/</w:t>
            </w:r>
          </w:p>
        </w:tc>
        <w:tc>
          <w:tcPr>
            <w:tcW w:w="75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E90478" w:rsidRDefault="00C70686" w:rsidP="00C70686">
            <w:pPr>
              <w:spacing w:after="0" w:line="240" w:lineRule="auto"/>
              <w:rPr>
                <w:sz w:val="20"/>
                <w:szCs w:val="20"/>
              </w:rPr>
            </w:pPr>
            <w:r w:rsidRPr="00AE13D3">
              <w:rPr>
                <w:sz w:val="20"/>
                <w:szCs w:val="20"/>
              </w:rPr>
              <w:t>PKC</w:t>
            </w:r>
            <w:r>
              <w:rPr>
                <w:sz w:val="20"/>
                <w:szCs w:val="20"/>
              </w:rPr>
              <w:t xml:space="preserve">. </w:t>
            </w:r>
            <w:r w:rsidR="009E0E42" w:rsidRPr="00E90478">
              <w:rPr>
                <w:sz w:val="20"/>
                <w:szCs w:val="20"/>
              </w:rPr>
              <w:t>EM, ZM, VARAM, SM, LFNA, LTAB, LAA, LVCA</w:t>
            </w:r>
            <w:r w:rsidR="009E0E42">
              <w:rPr>
                <w:sz w:val="20"/>
                <w:szCs w:val="20"/>
              </w:rPr>
              <w:t>, FKTK, LB</w:t>
            </w:r>
          </w:p>
        </w:tc>
        <w:tc>
          <w:tcPr>
            <w:tcW w:w="63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E90478" w:rsidRDefault="009E0E42" w:rsidP="00B04B3D">
            <w:pPr>
              <w:spacing w:after="0" w:line="240" w:lineRule="auto"/>
              <w:rPr>
                <w:color w:val="201F1E"/>
                <w:sz w:val="20"/>
                <w:szCs w:val="20"/>
                <w:shd w:val="clear" w:color="auto" w:fill="FFFFFF"/>
              </w:rPr>
            </w:pPr>
            <w:r w:rsidRPr="00E90478">
              <w:rPr>
                <w:color w:val="201F1E"/>
                <w:sz w:val="20"/>
                <w:szCs w:val="20"/>
                <w:shd w:val="clear" w:color="auto" w:fill="FFFFFF"/>
              </w:rPr>
              <w:t>31.</w:t>
            </w:r>
            <w:r>
              <w:rPr>
                <w:color w:val="201F1E"/>
                <w:sz w:val="20"/>
                <w:szCs w:val="20"/>
                <w:shd w:val="clear" w:color="auto" w:fill="FFFFFF"/>
              </w:rPr>
              <w:t>03</w:t>
            </w:r>
            <w:r w:rsidRPr="00E90478">
              <w:rPr>
                <w:color w:val="201F1E"/>
                <w:sz w:val="20"/>
                <w:szCs w:val="20"/>
                <w:shd w:val="clear" w:color="auto" w:fill="FFFFFF"/>
              </w:rPr>
              <w:t>.2021.</w:t>
            </w:r>
          </w:p>
        </w:tc>
      </w:tr>
      <w:tr w:rsidR="009E0E42" w:rsidRPr="00AE13D3" w:rsidTr="00B04B3D">
        <w:tc>
          <w:tcPr>
            <w:tcW w:w="174" w:type="pct"/>
            <w:vMerge/>
            <w:tcBorders>
              <w:left w:val="outset" w:sz="6" w:space="0" w:color="414142"/>
              <w:bottom w:val="outset" w:sz="6" w:space="0" w:color="414142"/>
              <w:right w:val="outset" w:sz="6" w:space="0" w:color="414142"/>
            </w:tcBorders>
            <w:shd w:val="clear" w:color="auto" w:fill="FFFFFF" w:themeFill="background1"/>
          </w:tcPr>
          <w:p w:rsidR="009E0E42" w:rsidRDefault="009E0E42" w:rsidP="00B04B3D">
            <w:pPr>
              <w:spacing w:after="0" w:line="240" w:lineRule="auto"/>
              <w:rPr>
                <w:sz w:val="20"/>
                <w:szCs w:val="20"/>
              </w:rPr>
            </w:pPr>
          </w:p>
        </w:tc>
        <w:tc>
          <w:tcPr>
            <w:tcW w:w="1115" w:type="pct"/>
            <w:vMerge/>
            <w:tcBorders>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851" w:type="pct"/>
            <w:vMerge/>
            <w:tcBorders>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94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Identificēti politikas mērķi un veicamie uzdevumi.</w:t>
            </w:r>
          </w:p>
        </w:tc>
        <w:tc>
          <w:tcPr>
            <w:tcW w:w="52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C70686" w:rsidP="00C70686">
            <w:pPr>
              <w:spacing w:after="0" w:line="240" w:lineRule="auto"/>
              <w:rPr>
                <w:sz w:val="20"/>
                <w:szCs w:val="20"/>
              </w:rPr>
            </w:pPr>
            <w:r>
              <w:rPr>
                <w:sz w:val="20"/>
                <w:szCs w:val="20"/>
              </w:rPr>
              <w:t>FM</w:t>
            </w:r>
          </w:p>
        </w:tc>
        <w:tc>
          <w:tcPr>
            <w:tcW w:w="75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E90478" w:rsidRDefault="00C70686" w:rsidP="00C70686">
            <w:pPr>
              <w:spacing w:after="0" w:line="240" w:lineRule="auto"/>
              <w:rPr>
                <w:sz w:val="20"/>
                <w:szCs w:val="20"/>
              </w:rPr>
            </w:pPr>
            <w:r w:rsidRPr="00AE13D3">
              <w:rPr>
                <w:sz w:val="20"/>
                <w:szCs w:val="20"/>
              </w:rPr>
              <w:t>PKC</w:t>
            </w:r>
            <w:r>
              <w:rPr>
                <w:sz w:val="20"/>
                <w:szCs w:val="20"/>
              </w:rPr>
              <w:t xml:space="preserve">, </w:t>
            </w:r>
            <w:r w:rsidR="009E0E42" w:rsidRPr="00E90478">
              <w:rPr>
                <w:sz w:val="20"/>
                <w:szCs w:val="20"/>
              </w:rPr>
              <w:t>EM, ZM, VARAM, SM, LFNA, LTAB, LAA, LVCA</w:t>
            </w:r>
            <w:r w:rsidR="009E0E42">
              <w:rPr>
                <w:sz w:val="20"/>
                <w:szCs w:val="20"/>
              </w:rPr>
              <w:t>, FKTK, LB</w:t>
            </w:r>
          </w:p>
        </w:tc>
        <w:tc>
          <w:tcPr>
            <w:tcW w:w="63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E90478" w:rsidRDefault="009E0E42" w:rsidP="00B04B3D">
            <w:pPr>
              <w:spacing w:after="0" w:line="240" w:lineRule="auto"/>
              <w:rPr>
                <w:color w:val="201F1E"/>
                <w:sz w:val="20"/>
                <w:szCs w:val="20"/>
                <w:shd w:val="clear" w:color="auto" w:fill="FFFFFF"/>
              </w:rPr>
            </w:pPr>
            <w:r>
              <w:rPr>
                <w:color w:val="201F1E"/>
                <w:sz w:val="20"/>
                <w:szCs w:val="20"/>
                <w:shd w:val="clear" w:color="auto" w:fill="FFFFFF"/>
              </w:rPr>
              <w:t>31.12.2021.</w:t>
            </w:r>
          </w:p>
        </w:tc>
      </w:tr>
      <w:tr w:rsidR="009E0E42" w:rsidRPr="00AE13D3" w:rsidTr="00B04B3D">
        <w:tc>
          <w:tcPr>
            <w:tcW w:w="174"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3.1.2.</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CF066C" w:rsidP="00B04B3D">
            <w:pPr>
              <w:spacing w:after="0" w:line="240" w:lineRule="auto"/>
              <w:rPr>
                <w:sz w:val="20"/>
                <w:szCs w:val="20"/>
              </w:rPr>
            </w:pPr>
            <w:r w:rsidRPr="00CF066C">
              <w:rPr>
                <w:sz w:val="20"/>
                <w:szCs w:val="20"/>
              </w:rPr>
              <w:t>Sagatavots juridiskais ietvars un nepieciešamā infrastruktūra “zaļo” vai ilgtspējīgu valsts parāda vērtspapīru emisijai. Nodrošināta emisijas veikšana atbilstošu projektu pieejamības gadījumā.</w:t>
            </w:r>
          </w:p>
        </w:tc>
        <w:tc>
          <w:tcPr>
            <w:tcW w:w="851"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CF066C" w:rsidP="00B04B3D">
            <w:pPr>
              <w:spacing w:after="0" w:line="240" w:lineRule="auto"/>
              <w:rPr>
                <w:sz w:val="20"/>
                <w:szCs w:val="20"/>
              </w:rPr>
            </w:pPr>
            <w:r w:rsidRPr="00CF066C">
              <w:rPr>
                <w:sz w:val="20"/>
                <w:szCs w:val="20"/>
              </w:rPr>
              <w:t>Veikta “zaļo” vai ilgtspējīgu valsts parāda vērstpapīru emisija, kas pamatota ar atbilstošiem projektiem.</w:t>
            </w:r>
          </w:p>
        </w:tc>
        <w:tc>
          <w:tcPr>
            <w:tcW w:w="94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CF066C" w:rsidP="00B04B3D">
            <w:pPr>
              <w:spacing w:after="0" w:line="240" w:lineRule="auto"/>
              <w:rPr>
                <w:sz w:val="20"/>
                <w:szCs w:val="20"/>
              </w:rPr>
            </w:pPr>
            <w:r w:rsidRPr="00CF066C">
              <w:rPr>
                <w:sz w:val="20"/>
                <w:szCs w:val="20"/>
              </w:rPr>
              <w:t>Veikta “zaļo” vai ilgtspējīgu valsts parāda vērstpapīru emisija.</w:t>
            </w:r>
          </w:p>
        </w:tc>
        <w:tc>
          <w:tcPr>
            <w:tcW w:w="52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E90478" w:rsidRDefault="009E0E42" w:rsidP="00B04B3D">
            <w:pPr>
              <w:spacing w:after="0" w:line="240" w:lineRule="auto"/>
              <w:rPr>
                <w:sz w:val="20"/>
                <w:szCs w:val="20"/>
              </w:rPr>
            </w:pPr>
            <w:r w:rsidRPr="00E90478">
              <w:rPr>
                <w:sz w:val="20"/>
                <w:szCs w:val="20"/>
              </w:rPr>
              <w:t>Valsts kase</w:t>
            </w:r>
          </w:p>
        </w:tc>
        <w:tc>
          <w:tcPr>
            <w:tcW w:w="75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E90478" w:rsidRDefault="009E0E42" w:rsidP="00B04B3D">
            <w:pPr>
              <w:spacing w:after="0" w:line="240" w:lineRule="auto"/>
              <w:rPr>
                <w:sz w:val="20"/>
                <w:szCs w:val="20"/>
              </w:rPr>
            </w:pPr>
            <w:r>
              <w:rPr>
                <w:sz w:val="20"/>
                <w:szCs w:val="20"/>
              </w:rPr>
              <w:t>Valsts kase</w:t>
            </w:r>
          </w:p>
        </w:tc>
        <w:tc>
          <w:tcPr>
            <w:tcW w:w="63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E90478" w:rsidRDefault="009E0E42" w:rsidP="00B04B3D">
            <w:pPr>
              <w:spacing w:after="0" w:line="240" w:lineRule="auto"/>
              <w:rPr>
                <w:color w:val="201F1E"/>
                <w:sz w:val="20"/>
                <w:szCs w:val="20"/>
                <w:shd w:val="clear" w:color="auto" w:fill="FFFFFF"/>
              </w:rPr>
            </w:pPr>
            <w:r w:rsidRPr="00E90478">
              <w:rPr>
                <w:color w:val="201F1E"/>
                <w:sz w:val="20"/>
                <w:szCs w:val="20"/>
                <w:shd w:val="clear" w:color="auto" w:fill="FFFFFF"/>
              </w:rPr>
              <w:t>31.12.2021.</w:t>
            </w:r>
          </w:p>
        </w:tc>
      </w:tr>
      <w:tr w:rsidR="009E0E42" w:rsidRPr="00AE13D3" w:rsidTr="00B04B3D">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rsidR="009E0E42" w:rsidRPr="00AE13D3" w:rsidRDefault="009E0E42" w:rsidP="00B04B3D">
            <w:pPr>
              <w:spacing w:after="0" w:line="240" w:lineRule="auto"/>
              <w:rPr>
                <w:b/>
                <w:bCs/>
                <w:sz w:val="20"/>
                <w:szCs w:val="20"/>
              </w:rPr>
            </w:pPr>
            <w:r>
              <w:rPr>
                <w:b/>
                <w:bCs/>
                <w:sz w:val="20"/>
                <w:szCs w:val="20"/>
              </w:rPr>
              <w:t xml:space="preserve">3.2. </w:t>
            </w:r>
            <w:r w:rsidRPr="00AE13D3">
              <w:rPr>
                <w:b/>
                <w:bCs/>
                <w:sz w:val="20"/>
                <w:szCs w:val="20"/>
              </w:rPr>
              <w:t>Veicināt datu pieejamību ilgtspējības novērtēšanai</w:t>
            </w:r>
          </w:p>
        </w:tc>
      </w:tr>
      <w:tr w:rsidR="009E0E42" w:rsidRPr="00AE13D3" w:rsidTr="00B04B3D">
        <w:tc>
          <w:tcPr>
            <w:tcW w:w="174" w:type="pct"/>
            <w:vMerge w:val="restart"/>
            <w:tcBorders>
              <w:top w:val="outset" w:sz="6" w:space="0" w:color="414142"/>
              <w:left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3.2.1.</w:t>
            </w:r>
          </w:p>
        </w:tc>
        <w:tc>
          <w:tcPr>
            <w:tcW w:w="1115" w:type="pct"/>
            <w:vMerge w:val="restart"/>
            <w:tcBorders>
              <w:top w:val="outset" w:sz="6" w:space="0" w:color="414142"/>
              <w:left w:val="outset" w:sz="6" w:space="0" w:color="414142"/>
              <w:right w:val="outset" w:sz="6" w:space="0" w:color="414142"/>
            </w:tcBorders>
            <w:shd w:val="clear" w:color="auto" w:fill="FFFFFF" w:themeFill="background1"/>
          </w:tcPr>
          <w:p w:rsidR="009E0E42" w:rsidRPr="007A23BC" w:rsidRDefault="009E0E42" w:rsidP="00B04B3D">
            <w:pPr>
              <w:spacing w:after="0" w:line="240" w:lineRule="auto"/>
              <w:rPr>
                <w:sz w:val="20"/>
                <w:szCs w:val="20"/>
              </w:rPr>
            </w:pPr>
            <w:r w:rsidRPr="007A23BC">
              <w:rPr>
                <w:sz w:val="20"/>
                <w:szCs w:val="20"/>
              </w:rPr>
              <w:t>ESG datu pieejamības pilnveidošana</w:t>
            </w:r>
            <w:r>
              <w:rPr>
                <w:sz w:val="20"/>
                <w:szCs w:val="20"/>
              </w:rPr>
              <w:t>.</w:t>
            </w:r>
            <w:r w:rsidRPr="007A23BC">
              <w:rPr>
                <w:sz w:val="20"/>
                <w:szCs w:val="20"/>
              </w:rPr>
              <w:t xml:space="preserve"> </w:t>
            </w:r>
          </w:p>
        </w:tc>
        <w:tc>
          <w:tcPr>
            <w:tcW w:w="851" w:type="pct"/>
            <w:vMerge w:val="restart"/>
            <w:tcBorders>
              <w:top w:val="outset" w:sz="6" w:space="0" w:color="414142"/>
              <w:left w:val="outset" w:sz="6" w:space="0" w:color="414142"/>
              <w:right w:val="outset" w:sz="6" w:space="0" w:color="414142"/>
            </w:tcBorders>
            <w:shd w:val="clear" w:color="auto" w:fill="FFFFFF" w:themeFill="background1"/>
          </w:tcPr>
          <w:p w:rsidR="009E0E42" w:rsidRPr="007A23BC" w:rsidRDefault="009E0E42" w:rsidP="00B04B3D">
            <w:pPr>
              <w:spacing w:after="0" w:line="240" w:lineRule="auto"/>
              <w:rPr>
                <w:sz w:val="20"/>
                <w:szCs w:val="20"/>
              </w:rPr>
            </w:pPr>
            <w:r>
              <w:rPr>
                <w:sz w:val="20"/>
                <w:szCs w:val="20"/>
              </w:rPr>
              <w:t xml:space="preserve">Veicināta </w:t>
            </w:r>
            <w:r w:rsidRPr="007A23BC">
              <w:rPr>
                <w:sz w:val="20"/>
                <w:szCs w:val="20"/>
              </w:rPr>
              <w:t>finanšu aktīvu un saistību klasifikāciju</w:t>
            </w:r>
            <w:r>
              <w:rPr>
                <w:sz w:val="20"/>
                <w:szCs w:val="20"/>
              </w:rPr>
              <w:t xml:space="preserve"> atbilstoši ESG kritērijiem, klimata ietekmes mērīšana.</w:t>
            </w:r>
          </w:p>
        </w:tc>
        <w:tc>
          <w:tcPr>
            <w:tcW w:w="94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7A23BC" w:rsidRDefault="009E0E42" w:rsidP="00B04B3D">
            <w:pPr>
              <w:spacing w:after="0" w:line="240" w:lineRule="auto"/>
              <w:rPr>
                <w:sz w:val="20"/>
                <w:szCs w:val="20"/>
              </w:rPr>
            </w:pPr>
            <w:r>
              <w:rPr>
                <w:sz w:val="20"/>
                <w:szCs w:val="20"/>
              </w:rPr>
              <w:t>S</w:t>
            </w:r>
            <w:r w:rsidRPr="007A23BC">
              <w:rPr>
                <w:sz w:val="20"/>
                <w:szCs w:val="20"/>
              </w:rPr>
              <w:t>agatavots izvērtējums par ESG datu pieejamību</w:t>
            </w:r>
            <w:r>
              <w:rPr>
                <w:sz w:val="20"/>
                <w:szCs w:val="20"/>
              </w:rPr>
              <w:t>.</w:t>
            </w:r>
          </w:p>
        </w:tc>
        <w:tc>
          <w:tcPr>
            <w:tcW w:w="52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sidRPr="00AE13D3">
              <w:rPr>
                <w:sz w:val="20"/>
                <w:szCs w:val="20"/>
              </w:rPr>
              <w:t>FM</w:t>
            </w:r>
          </w:p>
        </w:tc>
        <w:tc>
          <w:tcPr>
            <w:tcW w:w="75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C70686">
            <w:pPr>
              <w:spacing w:after="0" w:line="240" w:lineRule="auto"/>
              <w:rPr>
                <w:sz w:val="20"/>
                <w:szCs w:val="20"/>
              </w:rPr>
            </w:pPr>
            <w:r w:rsidRPr="00AE13D3">
              <w:rPr>
                <w:sz w:val="20"/>
                <w:szCs w:val="20"/>
              </w:rPr>
              <w:t xml:space="preserve">EM, ZM, VARAM, SM, </w:t>
            </w:r>
            <w:r>
              <w:rPr>
                <w:sz w:val="20"/>
                <w:szCs w:val="20"/>
              </w:rPr>
              <w:t>LFNA, LAA, LVCA, NASDQ Riga</w:t>
            </w:r>
          </w:p>
        </w:tc>
        <w:tc>
          <w:tcPr>
            <w:tcW w:w="63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rFonts w:ascii="Segoe UI" w:hAnsi="Segoe UI" w:cs="Segoe UI"/>
                <w:color w:val="201F1E"/>
                <w:sz w:val="20"/>
                <w:szCs w:val="20"/>
                <w:shd w:val="clear" w:color="auto" w:fill="FFFFFF"/>
              </w:rPr>
            </w:pPr>
            <w:r>
              <w:rPr>
                <w:sz w:val="20"/>
                <w:szCs w:val="20"/>
              </w:rPr>
              <w:t>31.12.</w:t>
            </w:r>
            <w:r w:rsidRPr="00AE13D3">
              <w:rPr>
                <w:sz w:val="20"/>
                <w:szCs w:val="20"/>
              </w:rPr>
              <w:t>2021</w:t>
            </w:r>
            <w:r w:rsidR="000E4ADB">
              <w:rPr>
                <w:sz w:val="20"/>
                <w:szCs w:val="20"/>
              </w:rPr>
              <w:t>.</w:t>
            </w:r>
          </w:p>
        </w:tc>
      </w:tr>
      <w:tr w:rsidR="009E0E42" w:rsidTr="00B04B3D">
        <w:tc>
          <w:tcPr>
            <w:tcW w:w="174" w:type="pct"/>
            <w:vMerge/>
            <w:tcBorders>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1115" w:type="pct"/>
            <w:vMerge/>
            <w:tcBorders>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851" w:type="pct"/>
            <w:vMerge/>
            <w:tcBorders>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94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 xml:space="preserve">Izstrādāti un iesniegti MK </w:t>
            </w:r>
            <w:r w:rsidRPr="007A23BC">
              <w:rPr>
                <w:sz w:val="20"/>
                <w:szCs w:val="20"/>
              </w:rPr>
              <w:t>priekšlikumi regulējuma pilnveidošanai</w:t>
            </w:r>
            <w:r>
              <w:rPr>
                <w:sz w:val="20"/>
                <w:szCs w:val="20"/>
              </w:rPr>
              <w:t>.</w:t>
            </w:r>
          </w:p>
        </w:tc>
        <w:tc>
          <w:tcPr>
            <w:tcW w:w="52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sidRPr="00AE13D3">
              <w:rPr>
                <w:sz w:val="20"/>
                <w:szCs w:val="20"/>
              </w:rPr>
              <w:t>FM</w:t>
            </w:r>
          </w:p>
        </w:tc>
        <w:tc>
          <w:tcPr>
            <w:tcW w:w="75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C70686">
            <w:pPr>
              <w:spacing w:after="0" w:line="240" w:lineRule="auto"/>
              <w:rPr>
                <w:sz w:val="20"/>
                <w:szCs w:val="20"/>
              </w:rPr>
            </w:pPr>
            <w:r w:rsidRPr="00AE13D3">
              <w:rPr>
                <w:sz w:val="20"/>
                <w:szCs w:val="20"/>
              </w:rPr>
              <w:t>EM</w:t>
            </w:r>
            <w:r w:rsidR="00C70686">
              <w:rPr>
                <w:sz w:val="20"/>
                <w:szCs w:val="20"/>
              </w:rPr>
              <w:t xml:space="preserve">, </w:t>
            </w:r>
            <w:r w:rsidRPr="00AE13D3">
              <w:rPr>
                <w:sz w:val="20"/>
                <w:szCs w:val="20"/>
              </w:rPr>
              <w:t xml:space="preserve">ZM, VARAM, SM, </w:t>
            </w:r>
            <w:r>
              <w:rPr>
                <w:sz w:val="20"/>
                <w:szCs w:val="20"/>
              </w:rPr>
              <w:t>LFNA, LAA, LVCA, NASDQ Riga</w:t>
            </w:r>
          </w:p>
        </w:tc>
        <w:tc>
          <w:tcPr>
            <w:tcW w:w="63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Default="009E0E42" w:rsidP="00B04B3D">
            <w:pPr>
              <w:spacing w:after="0" w:line="240" w:lineRule="auto"/>
              <w:rPr>
                <w:sz w:val="20"/>
                <w:szCs w:val="20"/>
              </w:rPr>
            </w:pPr>
            <w:r>
              <w:rPr>
                <w:sz w:val="20"/>
                <w:szCs w:val="20"/>
              </w:rPr>
              <w:t>31.12.2021.</w:t>
            </w:r>
          </w:p>
        </w:tc>
      </w:tr>
      <w:tr w:rsidR="009E0E42" w:rsidRPr="00AE13D3" w:rsidTr="00B04B3D">
        <w:tc>
          <w:tcPr>
            <w:tcW w:w="174" w:type="pct"/>
            <w:vMerge w:val="restart"/>
            <w:tcBorders>
              <w:top w:val="outset" w:sz="6" w:space="0" w:color="414142"/>
              <w:left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3.2.2.</w:t>
            </w:r>
          </w:p>
        </w:tc>
        <w:tc>
          <w:tcPr>
            <w:tcW w:w="1115" w:type="pct"/>
            <w:vMerge w:val="restart"/>
            <w:tcBorders>
              <w:top w:val="outset" w:sz="6" w:space="0" w:color="414142"/>
              <w:left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sidRPr="00AE13D3">
              <w:rPr>
                <w:sz w:val="20"/>
                <w:szCs w:val="20"/>
              </w:rPr>
              <w:t>Ecolabel izveidošana mazumtirdzniecības finanšu produktiem (</w:t>
            </w:r>
            <w:r w:rsidRPr="0027603A">
              <w:rPr>
                <w:i/>
                <w:sz w:val="20"/>
                <w:szCs w:val="20"/>
              </w:rPr>
              <w:t>retail products</w:t>
            </w:r>
            <w:r w:rsidRPr="00AE13D3">
              <w:rPr>
                <w:sz w:val="20"/>
                <w:szCs w:val="20"/>
              </w:rPr>
              <w:t>)</w:t>
            </w:r>
            <w:r>
              <w:rPr>
                <w:sz w:val="20"/>
                <w:szCs w:val="20"/>
              </w:rPr>
              <w:t>.</w:t>
            </w:r>
          </w:p>
        </w:tc>
        <w:tc>
          <w:tcPr>
            <w:tcW w:w="851" w:type="pct"/>
            <w:vMerge w:val="restart"/>
            <w:tcBorders>
              <w:top w:val="outset" w:sz="6" w:space="0" w:color="414142"/>
              <w:left w:val="outset" w:sz="6" w:space="0" w:color="414142"/>
              <w:right w:val="outset" w:sz="6" w:space="0" w:color="414142"/>
            </w:tcBorders>
            <w:shd w:val="clear" w:color="auto" w:fill="FFFFFF" w:themeFill="background1"/>
          </w:tcPr>
          <w:p w:rsidR="009E0E42" w:rsidRDefault="009E0E42" w:rsidP="00B04B3D">
            <w:pPr>
              <w:spacing w:after="0" w:line="240" w:lineRule="auto"/>
              <w:rPr>
                <w:sz w:val="20"/>
                <w:szCs w:val="20"/>
              </w:rPr>
            </w:pPr>
            <w:r w:rsidRPr="00AE13D3">
              <w:rPr>
                <w:sz w:val="20"/>
                <w:szCs w:val="20"/>
              </w:rPr>
              <w:t>Uzlabota privāto ieguldītāju uzticība “zaļajiem” produktiem</w:t>
            </w:r>
            <w:r>
              <w:rPr>
                <w:sz w:val="20"/>
                <w:szCs w:val="20"/>
              </w:rPr>
              <w:t>;</w:t>
            </w:r>
          </w:p>
          <w:p w:rsidR="009E0E42" w:rsidRPr="00AE13D3" w:rsidRDefault="009E0E42" w:rsidP="00B04B3D">
            <w:pPr>
              <w:spacing w:after="0" w:line="240" w:lineRule="auto"/>
              <w:rPr>
                <w:sz w:val="20"/>
                <w:szCs w:val="20"/>
              </w:rPr>
            </w:pPr>
            <w:r w:rsidRPr="00AE13D3">
              <w:rPr>
                <w:sz w:val="20"/>
                <w:szCs w:val="20"/>
              </w:rPr>
              <w:t xml:space="preserve">samazināts </w:t>
            </w:r>
            <w:r>
              <w:rPr>
                <w:sz w:val="20"/>
                <w:szCs w:val="20"/>
              </w:rPr>
              <w:t xml:space="preserve">risks, ka bez pamatojuma mazumtirdzniecības finanšu produktiem tiek piešķirts “zaļais” marķējums. </w:t>
            </w:r>
          </w:p>
        </w:tc>
        <w:tc>
          <w:tcPr>
            <w:tcW w:w="94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N</w:t>
            </w:r>
            <w:r w:rsidRPr="00AE13D3">
              <w:rPr>
                <w:sz w:val="20"/>
                <w:szCs w:val="20"/>
              </w:rPr>
              <w:t>oteikta atbildīgā iestāde par marķējuma piešķiršanu</w:t>
            </w:r>
            <w:r>
              <w:rPr>
                <w:sz w:val="20"/>
                <w:szCs w:val="20"/>
              </w:rPr>
              <w:t>.</w:t>
            </w:r>
          </w:p>
          <w:p w:rsidR="009E0E42" w:rsidRPr="00AE13D3" w:rsidRDefault="009E0E42" w:rsidP="00B04B3D">
            <w:pPr>
              <w:spacing w:after="0" w:line="240" w:lineRule="auto"/>
              <w:rPr>
                <w:sz w:val="20"/>
                <w:szCs w:val="20"/>
              </w:rPr>
            </w:pPr>
          </w:p>
        </w:tc>
        <w:tc>
          <w:tcPr>
            <w:tcW w:w="52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4A3EB8" w:rsidRDefault="009E0E42" w:rsidP="00B04B3D">
            <w:pPr>
              <w:spacing w:after="0" w:line="240" w:lineRule="auto"/>
              <w:rPr>
                <w:sz w:val="20"/>
                <w:szCs w:val="20"/>
                <w:highlight w:val="yellow"/>
              </w:rPr>
            </w:pPr>
            <w:r w:rsidRPr="00C70686">
              <w:rPr>
                <w:sz w:val="20"/>
                <w:szCs w:val="20"/>
              </w:rPr>
              <w:t xml:space="preserve">FM </w:t>
            </w:r>
          </w:p>
        </w:tc>
        <w:tc>
          <w:tcPr>
            <w:tcW w:w="75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C70686">
            <w:pPr>
              <w:spacing w:after="0" w:line="240" w:lineRule="auto"/>
              <w:rPr>
                <w:sz w:val="20"/>
                <w:szCs w:val="20"/>
              </w:rPr>
            </w:pPr>
            <w:r w:rsidRPr="00AE13D3">
              <w:rPr>
                <w:sz w:val="20"/>
                <w:szCs w:val="20"/>
              </w:rPr>
              <w:t>EM, ZM, VARAM, SM,</w:t>
            </w:r>
            <w:r>
              <w:rPr>
                <w:sz w:val="20"/>
                <w:szCs w:val="20"/>
              </w:rPr>
              <w:t xml:space="preserve"> FKTK, </w:t>
            </w:r>
            <w:r w:rsidRPr="00AE13D3">
              <w:rPr>
                <w:sz w:val="20"/>
                <w:szCs w:val="20"/>
              </w:rPr>
              <w:t xml:space="preserve"> </w:t>
            </w:r>
            <w:r>
              <w:rPr>
                <w:sz w:val="20"/>
                <w:szCs w:val="20"/>
              </w:rPr>
              <w:t>LFNA, LAA, LVCA, NASDQ Riga</w:t>
            </w:r>
          </w:p>
        </w:tc>
        <w:tc>
          <w:tcPr>
            <w:tcW w:w="63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rFonts w:ascii="Segoe UI" w:hAnsi="Segoe UI" w:cs="Segoe UI"/>
                <w:color w:val="201F1E"/>
                <w:sz w:val="20"/>
                <w:szCs w:val="20"/>
                <w:shd w:val="clear" w:color="auto" w:fill="FFFFFF"/>
              </w:rPr>
            </w:pPr>
            <w:r w:rsidRPr="0014695C">
              <w:rPr>
                <w:sz w:val="20"/>
                <w:szCs w:val="20"/>
              </w:rPr>
              <w:t>31.12.2021.</w:t>
            </w:r>
          </w:p>
        </w:tc>
      </w:tr>
      <w:tr w:rsidR="009E0E42" w:rsidRPr="00AE13D3" w:rsidTr="00B04B3D">
        <w:tc>
          <w:tcPr>
            <w:tcW w:w="174" w:type="pct"/>
            <w:vMerge/>
            <w:tcBorders>
              <w:left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1115" w:type="pct"/>
            <w:vMerge/>
            <w:tcBorders>
              <w:left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851" w:type="pct"/>
            <w:vMerge/>
            <w:tcBorders>
              <w:left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94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N</w:t>
            </w:r>
            <w:r w:rsidRPr="00AE13D3">
              <w:rPr>
                <w:sz w:val="20"/>
                <w:szCs w:val="20"/>
              </w:rPr>
              <w:t>oteikta atbaidīgā iestāde, kas uzraudzīs ESG datu atbilstību</w:t>
            </w:r>
            <w:r>
              <w:rPr>
                <w:sz w:val="20"/>
                <w:szCs w:val="20"/>
              </w:rPr>
              <w:t>.</w:t>
            </w:r>
          </w:p>
          <w:p w:rsidR="009E0E42" w:rsidRPr="00AE13D3" w:rsidRDefault="009E0E42" w:rsidP="00B04B3D">
            <w:pPr>
              <w:spacing w:after="0" w:line="240" w:lineRule="auto"/>
              <w:rPr>
                <w:sz w:val="20"/>
                <w:szCs w:val="20"/>
              </w:rPr>
            </w:pPr>
          </w:p>
        </w:tc>
        <w:tc>
          <w:tcPr>
            <w:tcW w:w="52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FM</w:t>
            </w:r>
          </w:p>
        </w:tc>
        <w:tc>
          <w:tcPr>
            <w:tcW w:w="75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C70686">
            <w:pPr>
              <w:spacing w:after="0" w:line="240" w:lineRule="auto"/>
              <w:rPr>
                <w:sz w:val="20"/>
                <w:szCs w:val="20"/>
              </w:rPr>
            </w:pPr>
            <w:r w:rsidRPr="00AE13D3">
              <w:rPr>
                <w:sz w:val="20"/>
                <w:szCs w:val="20"/>
              </w:rPr>
              <w:t>EM, ZM, VARAM, SM,</w:t>
            </w:r>
            <w:r>
              <w:rPr>
                <w:sz w:val="20"/>
                <w:szCs w:val="20"/>
              </w:rPr>
              <w:t xml:space="preserve"> FKTK, </w:t>
            </w:r>
            <w:r w:rsidRPr="00AE13D3">
              <w:rPr>
                <w:sz w:val="20"/>
                <w:szCs w:val="20"/>
              </w:rPr>
              <w:t xml:space="preserve"> </w:t>
            </w:r>
            <w:r>
              <w:rPr>
                <w:sz w:val="20"/>
                <w:szCs w:val="20"/>
              </w:rPr>
              <w:t>LFNA, LAA, LVCA, NASDQ Riga</w:t>
            </w:r>
          </w:p>
        </w:tc>
        <w:tc>
          <w:tcPr>
            <w:tcW w:w="63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31.12.2022</w:t>
            </w:r>
            <w:r w:rsidRPr="0014695C">
              <w:rPr>
                <w:sz w:val="20"/>
                <w:szCs w:val="20"/>
              </w:rPr>
              <w:t>.</w:t>
            </w:r>
          </w:p>
        </w:tc>
      </w:tr>
      <w:tr w:rsidR="009E0E42" w:rsidRPr="00AE13D3" w:rsidTr="00B04B3D">
        <w:tc>
          <w:tcPr>
            <w:tcW w:w="174" w:type="pct"/>
            <w:vMerge/>
            <w:tcBorders>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1115" w:type="pct"/>
            <w:vMerge/>
            <w:tcBorders>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851" w:type="pct"/>
            <w:vMerge/>
            <w:tcBorders>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94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I</w:t>
            </w:r>
            <w:r w:rsidRPr="00AE13D3">
              <w:rPr>
                <w:sz w:val="20"/>
                <w:szCs w:val="20"/>
              </w:rPr>
              <w:t>zstrādāti un iesniegti MK tiesību akti par ekomarķējumu finanšu produktiem atbilstoši ES prasībām</w:t>
            </w:r>
            <w:r>
              <w:rPr>
                <w:sz w:val="20"/>
                <w:szCs w:val="20"/>
              </w:rPr>
              <w:t>.</w:t>
            </w:r>
            <w:r w:rsidRPr="00AE13D3">
              <w:rPr>
                <w:sz w:val="20"/>
                <w:szCs w:val="20"/>
              </w:rPr>
              <w:t xml:space="preserve"> </w:t>
            </w:r>
          </w:p>
        </w:tc>
        <w:tc>
          <w:tcPr>
            <w:tcW w:w="52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FM</w:t>
            </w:r>
          </w:p>
        </w:tc>
        <w:tc>
          <w:tcPr>
            <w:tcW w:w="75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C70686">
            <w:pPr>
              <w:spacing w:after="0" w:line="240" w:lineRule="auto"/>
              <w:rPr>
                <w:sz w:val="20"/>
                <w:szCs w:val="20"/>
              </w:rPr>
            </w:pPr>
            <w:r w:rsidRPr="00AE13D3">
              <w:rPr>
                <w:sz w:val="20"/>
                <w:szCs w:val="20"/>
              </w:rPr>
              <w:t>EM, ZM, VARAM, SM,</w:t>
            </w:r>
            <w:r>
              <w:rPr>
                <w:sz w:val="20"/>
                <w:szCs w:val="20"/>
              </w:rPr>
              <w:t xml:space="preserve"> FKTK, </w:t>
            </w:r>
            <w:r w:rsidRPr="00AE13D3">
              <w:rPr>
                <w:sz w:val="20"/>
                <w:szCs w:val="20"/>
              </w:rPr>
              <w:t xml:space="preserve"> </w:t>
            </w:r>
            <w:r>
              <w:rPr>
                <w:sz w:val="20"/>
                <w:szCs w:val="20"/>
              </w:rPr>
              <w:t>LFNA, LAA, LVCA, NASDQ Riga</w:t>
            </w:r>
          </w:p>
        </w:tc>
        <w:tc>
          <w:tcPr>
            <w:tcW w:w="63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31.12.2023</w:t>
            </w:r>
            <w:r w:rsidRPr="0014695C">
              <w:rPr>
                <w:sz w:val="20"/>
                <w:szCs w:val="20"/>
              </w:rPr>
              <w:t>.</w:t>
            </w:r>
          </w:p>
        </w:tc>
      </w:tr>
      <w:tr w:rsidR="009E0E42" w:rsidRPr="00AE13D3" w:rsidTr="00B04B3D">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rsidR="009E0E42" w:rsidRPr="00AE13D3" w:rsidRDefault="009E0E42" w:rsidP="00B04B3D">
            <w:pPr>
              <w:spacing w:after="0" w:line="240" w:lineRule="auto"/>
              <w:rPr>
                <w:b/>
                <w:bCs/>
                <w:sz w:val="20"/>
                <w:szCs w:val="20"/>
              </w:rPr>
            </w:pPr>
            <w:r>
              <w:rPr>
                <w:b/>
                <w:bCs/>
                <w:sz w:val="20"/>
                <w:szCs w:val="20"/>
              </w:rPr>
              <w:t xml:space="preserve">3.3. </w:t>
            </w:r>
            <w:r w:rsidRPr="00AE13D3">
              <w:rPr>
                <w:b/>
                <w:bCs/>
                <w:sz w:val="20"/>
                <w:szCs w:val="20"/>
              </w:rPr>
              <w:t>Veicināt sabiedrības izpratni par ilgtspējīgām finansēm</w:t>
            </w:r>
          </w:p>
        </w:tc>
      </w:tr>
      <w:tr w:rsidR="009E0E42" w:rsidRPr="00AE13D3" w:rsidTr="00B04B3D">
        <w:tc>
          <w:tcPr>
            <w:tcW w:w="174" w:type="pct"/>
            <w:vMerge w:val="restart"/>
            <w:tcBorders>
              <w:top w:val="outset" w:sz="6" w:space="0" w:color="414142"/>
              <w:left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3.3.1.</w:t>
            </w:r>
          </w:p>
        </w:tc>
        <w:tc>
          <w:tcPr>
            <w:tcW w:w="1115" w:type="pct"/>
            <w:vMerge w:val="restart"/>
            <w:tcBorders>
              <w:top w:val="outset" w:sz="6" w:space="0" w:color="414142"/>
              <w:left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sidRPr="00AE13D3">
              <w:rPr>
                <w:sz w:val="20"/>
                <w:szCs w:val="20"/>
              </w:rPr>
              <w:t>Finanšu nozares institūciju, valsts pārvaldes un iedzīvotāju izglītošana un izpratnes veidošana par ilgtspējīgām finansēm</w:t>
            </w:r>
            <w:r>
              <w:rPr>
                <w:sz w:val="20"/>
                <w:szCs w:val="20"/>
              </w:rPr>
              <w:t>.</w:t>
            </w:r>
          </w:p>
        </w:tc>
        <w:tc>
          <w:tcPr>
            <w:tcW w:w="851" w:type="pct"/>
            <w:vMerge w:val="restart"/>
            <w:tcBorders>
              <w:top w:val="outset" w:sz="6" w:space="0" w:color="414142"/>
              <w:left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sidRPr="00AE13D3">
              <w:rPr>
                <w:sz w:val="20"/>
                <w:szCs w:val="20"/>
              </w:rPr>
              <w:t>Sabiedrība un finanšu sektors būs labāk informēti par ilgtspējīgo finanšu aktivitātēm.</w:t>
            </w:r>
          </w:p>
        </w:tc>
        <w:tc>
          <w:tcPr>
            <w:tcW w:w="94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sidRPr="00AE13D3">
              <w:rPr>
                <w:sz w:val="20"/>
                <w:szCs w:val="20"/>
              </w:rPr>
              <w:t>FM mājaslapas sadaļas izveidošana, kas būs veltīta ilgtspējīgo  finanšu aktualitātēm.</w:t>
            </w:r>
          </w:p>
          <w:p w:rsidR="009E0E42" w:rsidRPr="00AE13D3" w:rsidRDefault="009E0E42" w:rsidP="00B04B3D">
            <w:pPr>
              <w:spacing w:after="0" w:line="240" w:lineRule="auto"/>
              <w:rPr>
                <w:sz w:val="20"/>
                <w:szCs w:val="20"/>
              </w:rPr>
            </w:pPr>
          </w:p>
        </w:tc>
        <w:tc>
          <w:tcPr>
            <w:tcW w:w="52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sidRPr="00AE13D3">
              <w:rPr>
                <w:sz w:val="20"/>
                <w:szCs w:val="20"/>
              </w:rPr>
              <w:t>FM</w:t>
            </w:r>
          </w:p>
          <w:p w:rsidR="009E0E42" w:rsidRPr="00AE13D3" w:rsidRDefault="009E0E42" w:rsidP="00B04B3D">
            <w:pPr>
              <w:spacing w:after="0" w:line="240" w:lineRule="auto"/>
              <w:rPr>
                <w:sz w:val="20"/>
                <w:szCs w:val="20"/>
              </w:rPr>
            </w:pPr>
          </w:p>
          <w:p w:rsidR="009E0E42" w:rsidRPr="00AE13D3" w:rsidRDefault="009E0E42" w:rsidP="00B04B3D">
            <w:pPr>
              <w:spacing w:after="0" w:line="240" w:lineRule="auto"/>
              <w:rPr>
                <w:sz w:val="20"/>
                <w:szCs w:val="20"/>
              </w:rPr>
            </w:pPr>
          </w:p>
        </w:tc>
        <w:tc>
          <w:tcPr>
            <w:tcW w:w="75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sidRPr="00AE13D3">
              <w:rPr>
                <w:sz w:val="20"/>
                <w:szCs w:val="20"/>
              </w:rPr>
              <w:t>FKTK, LB</w:t>
            </w:r>
          </w:p>
        </w:tc>
        <w:tc>
          <w:tcPr>
            <w:tcW w:w="63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C70686" w:rsidP="00C70686">
            <w:pPr>
              <w:spacing w:after="0" w:line="240" w:lineRule="auto"/>
              <w:rPr>
                <w:sz w:val="20"/>
                <w:szCs w:val="20"/>
              </w:rPr>
            </w:pPr>
            <w:r>
              <w:rPr>
                <w:sz w:val="20"/>
                <w:szCs w:val="20"/>
              </w:rPr>
              <w:t>30.06.2021.</w:t>
            </w:r>
          </w:p>
        </w:tc>
      </w:tr>
      <w:tr w:rsidR="00C70686" w:rsidRPr="00AE13D3" w:rsidTr="00B04B3D">
        <w:tc>
          <w:tcPr>
            <w:tcW w:w="174" w:type="pct"/>
            <w:vMerge/>
            <w:tcBorders>
              <w:top w:val="outset" w:sz="6" w:space="0" w:color="414142"/>
              <w:left w:val="outset" w:sz="6" w:space="0" w:color="414142"/>
              <w:right w:val="outset" w:sz="6" w:space="0" w:color="414142"/>
            </w:tcBorders>
            <w:shd w:val="clear" w:color="auto" w:fill="FFFFFF" w:themeFill="background1"/>
          </w:tcPr>
          <w:p w:rsidR="00C70686" w:rsidRDefault="00C70686" w:rsidP="00B04B3D">
            <w:pPr>
              <w:spacing w:after="0" w:line="240" w:lineRule="auto"/>
              <w:rPr>
                <w:sz w:val="20"/>
                <w:szCs w:val="20"/>
              </w:rPr>
            </w:pPr>
          </w:p>
        </w:tc>
        <w:tc>
          <w:tcPr>
            <w:tcW w:w="1115" w:type="pct"/>
            <w:vMerge/>
            <w:tcBorders>
              <w:top w:val="outset" w:sz="6" w:space="0" w:color="414142"/>
              <w:left w:val="outset" w:sz="6" w:space="0" w:color="414142"/>
              <w:right w:val="outset" w:sz="6" w:space="0" w:color="414142"/>
            </w:tcBorders>
            <w:shd w:val="clear" w:color="auto" w:fill="FFFFFF" w:themeFill="background1"/>
          </w:tcPr>
          <w:p w:rsidR="00C70686" w:rsidRPr="00AE13D3" w:rsidRDefault="00C70686" w:rsidP="00B04B3D">
            <w:pPr>
              <w:spacing w:after="0" w:line="240" w:lineRule="auto"/>
              <w:rPr>
                <w:sz w:val="20"/>
                <w:szCs w:val="20"/>
              </w:rPr>
            </w:pPr>
          </w:p>
        </w:tc>
        <w:tc>
          <w:tcPr>
            <w:tcW w:w="851" w:type="pct"/>
            <w:vMerge/>
            <w:tcBorders>
              <w:top w:val="outset" w:sz="6" w:space="0" w:color="414142"/>
              <w:left w:val="outset" w:sz="6" w:space="0" w:color="414142"/>
              <w:right w:val="outset" w:sz="6" w:space="0" w:color="414142"/>
            </w:tcBorders>
            <w:shd w:val="clear" w:color="auto" w:fill="FFFFFF" w:themeFill="background1"/>
          </w:tcPr>
          <w:p w:rsidR="00C70686" w:rsidRPr="00AE13D3" w:rsidRDefault="00C70686" w:rsidP="00B04B3D">
            <w:pPr>
              <w:spacing w:after="0" w:line="240" w:lineRule="auto"/>
              <w:rPr>
                <w:sz w:val="20"/>
                <w:szCs w:val="20"/>
              </w:rPr>
            </w:pPr>
          </w:p>
        </w:tc>
        <w:tc>
          <w:tcPr>
            <w:tcW w:w="94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C70686" w:rsidRPr="00AE13D3" w:rsidRDefault="00C70686" w:rsidP="00B04B3D">
            <w:pPr>
              <w:spacing w:after="0" w:line="240" w:lineRule="auto"/>
              <w:rPr>
                <w:sz w:val="20"/>
                <w:szCs w:val="20"/>
              </w:rPr>
            </w:pPr>
            <w:r>
              <w:rPr>
                <w:sz w:val="20"/>
                <w:szCs w:val="20"/>
              </w:rPr>
              <w:t xml:space="preserve">Mājas lapas uzturēšana </w:t>
            </w:r>
          </w:p>
        </w:tc>
        <w:tc>
          <w:tcPr>
            <w:tcW w:w="52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C70686" w:rsidRPr="00AE13D3" w:rsidRDefault="00C70686" w:rsidP="00B04B3D">
            <w:pPr>
              <w:spacing w:after="0" w:line="240" w:lineRule="auto"/>
              <w:rPr>
                <w:sz w:val="20"/>
                <w:szCs w:val="20"/>
              </w:rPr>
            </w:pPr>
            <w:r>
              <w:rPr>
                <w:sz w:val="20"/>
                <w:szCs w:val="20"/>
              </w:rPr>
              <w:t>FM</w:t>
            </w:r>
          </w:p>
        </w:tc>
        <w:tc>
          <w:tcPr>
            <w:tcW w:w="75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C70686" w:rsidRPr="00AE13D3" w:rsidRDefault="00C70686" w:rsidP="00B04B3D">
            <w:pPr>
              <w:spacing w:after="0" w:line="240" w:lineRule="auto"/>
              <w:rPr>
                <w:sz w:val="20"/>
                <w:szCs w:val="20"/>
              </w:rPr>
            </w:pPr>
            <w:r>
              <w:rPr>
                <w:sz w:val="20"/>
                <w:szCs w:val="20"/>
              </w:rPr>
              <w:t>FKTK, LB</w:t>
            </w:r>
          </w:p>
        </w:tc>
        <w:tc>
          <w:tcPr>
            <w:tcW w:w="63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C70686" w:rsidRPr="00AE13D3" w:rsidRDefault="00C70686" w:rsidP="00B04B3D">
            <w:pPr>
              <w:spacing w:after="0" w:line="240" w:lineRule="auto"/>
              <w:rPr>
                <w:sz w:val="20"/>
                <w:szCs w:val="20"/>
              </w:rPr>
            </w:pPr>
            <w:r>
              <w:rPr>
                <w:sz w:val="20"/>
                <w:szCs w:val="20"/>
              </w:rPr>
              <w:t xml:space="preserve">Pastāvīgi </w:t>
            </w:r>
          </w:p>
        </w:tc>
      </w:tr>
      <w:tr w:rsidR="009E0E42" w:rsidRPr="00AE13D3" w:rsidTr="00B04B3D">
        <w:tc>
          <w:tcPr>
            <w:tcW w:w="174" w:type="pct"/>
            <w:vMerge/>
            <w:tcBorders>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1115" w:type="pct"/>
            <w:vMerge/>
            <w:tcBorders>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851" w:type="pct"/>
            <w:vMerge/>
            <w:tcBorders>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94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U</w:t>
            </w:r>
            <w:r w:rsidRPr="00AE13D3">
              <w:rPr>
                <w:sz w:val="20"/>
                <w:szCs w:val="20"/>
              </w:rPr>
              <w:t>zlabot finanšu sektora dalībnieku izpratni par ilgtspējīgajām finansēm.</w:t>
            </w:r>
          </w:p>
        </w:tc>
        <w:tc>
          <w:tcPr>
            <w:tcW w:w="525"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FKTK</w:t>
            </w:r>
          </w:p>
        </w:tc>
        <w:tc>
          <w:tcPr>
            <w:tcW w:w="757"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p>
        </w:tc>
        <w:tc>
          <w:tcPr>
            <w:tcW w:w="638"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9E0E42" w:rsidRPr="00AE13D3" w:rsidRDefault="009E0E42" w:rsidP="00B04B3D">
            <w:pPr>
              <w:spacing w:after="0" w:line="240" w:lineRule="auto"/>
              <w:rPr>
                <w:sz w:val="20"/>
                <w:szCs w:val="20"/>
              </w:rPr>
            </w:pPr>
            <w:r>
              <w:rPr>
                <w:sz w:val="20"/>
                <w:szCs w:val="20"/>
              </w:rPr>
              <w:t>Pastāvīgi</w:t>
            </w:r>
          </w:p>
        </w:tc>
      </w:tr>
    </w:tbl>
    <w:p w:rsidR="009E0E42" w:rsidRPr="002A1B72" w:rsidRDefault="009E0E42" w:rsidP="009E0E42">
      <w:pPr>
        <w:spacing w:after="0" w:line="240" w:lineRule="auto"/>
        <w:jc w:val="both"/>
      </w:pPr>
    </w:p>
    <w:p w:rsidR="00E90478" w:rsidRDefault="00E90478" w:rsidP="00E90478">
      <w:pPr>
        <w:spacing w:after="0" w:line="240" w:lineRule="auto"/>
        <w:jc w:val="both"/>
      </w:pPr>
    </w:p>
    <w:p w:rsidR="00B07C46" w:rsidRDefault="00B07C46">
      <w:pPr>
        <w:rPr>
          <w:rFonts w:eastAsia="Times New Roman"/>
          <w:b/>
          <w:sz w:val="28"/>
          <w:szCs w:val="28"/>
          <w:lang w:eastAsia="lv-LV"/>
        </w:rPr>
      </w:pPr>
      <w:r>
        <w:br w:type="page"/>
      </w:r>
    </w:p>
    <w:p w:rsidR="00417843" w:rsidRPr="00403F9B" w:rsidRDefault="00921DFC" w:rsidP="00403F9B">
      <w:pPr>
        <w:pStyle w:val="Heading1"/>
      </w:pPr>
      <w:bookmarkStart w:id="25" w:name="_Toc55202498"/>
      <w:r w:rsidRPr="00403F9B">
        <w:t>6</w:t>
      </w:r>
      <w:r w:rsidR="00417843" w:rsidRPr="00403F9B">
        <w:t>. Plāna ietekmes novērtējums uz valsts un pašvaldību budžetu</w:t>
      </w:r>
      <w:bookmarkEnd w:id="25"/>
    </w:p>
    <w:p w:rsidR="00417843" w:rsidRDefault="00417843" w:rsidP="00417843">
      <w:pPr>
        <w:rPr>
          <w:lang w:eastAsia="lv-LV"/>
        </w:rPr>
      </w:pPr>
      <w:r>
        <w:rPr>
          <w:lang w:eastAsia="lv-LV"/>
        </w:rPr>
        <w:t>Plānam nav ietekmes uz valsts un pašvaldību budžetu.</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1494"/>
        <w:gridCol w:w="974"/>
        <w:gridCol w:w="2373"/>
        <w:gridCol w:w="898"/>
        <w:gridCol w:w="609"/>
        <w:gridCol w:w="609"/>
        <w:gridCol w:w="435"/>
        <w:gridCol w:w="435"/>
        <w:gridCol w:w="491"/>
        <w:gridCol w:w="2184"/>
        <w:gridCol w:w="1548"/>
        <w:gridCol w:w="1892"/>
      </w:tblGrid>
      <w:tr w:rsidR="00CB1FD8" w:rsidRPr="00D83632" w:rsidTr="00CB1FD8">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Uzdevums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Pasākums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Budžeta programmas (apakšprogrammas kods un nosaukums)</w:t>
            </w:r>
          </w:p>
        </w:t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Vidēja termiņa budžeta ietvara likumā plānotais finansējums</w:t>
            </w:r>
          </w:p>
        </w:tc>
        <w:tc>
          <w:tcPr>
            <w:tcW w:w="0" w:type="auto"/>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Nepieciešamais papildu finansējums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Pasākuma īstenošanas gads (ja pasākuma īstenošana ir terminēta)</w:t>
            </w:r>
          </w:p>
        </w:tc>
      </w:tr>
      <w:tr w:rsidR="00CB1FD8" w:rsidRPr="00D83632" w:rsidTr="00CB1FD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rPr>
                <w:rFonts w:ascii="Arial" w:eastAsia="Times New Roman" w:hAnsi="Arial" w:cs="Arial"/>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rPr>
                <w:rFonts w:ascii="Arial" w:eastAsia="Times New Roman" w:hAnsi="Arial" w:cs="Arial"/>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rPr>
                <w:rFonts w:ascii="Arial" w:eastAsia="Times New Roman" w:hAnsi="Arial" w:cs="Arial"/>
                <w:bCs/>
                <w:color w:val="414142"/>
                <w:sz w:val="20"/>
                <w:szCs w:val="20"/>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n gads</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n +1</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n +2</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n +1</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n +2</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n + 3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turpmākajā laikposmā līdz pasākuma pabeigšanai (ja pasākuma īstenošana ir terminēta)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turpmāk ik gadu (ja pasākuma izpilde nav terminēta)</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rPr>
                <w:rFonts w:ascii="Arial" w:eastAsia="Times New Roman" w:hAnsi="Arial" w:cs="Arial"/>
                <w:bCs/>
                <w:color w:val="414142"/>
                <w:sz w:val="20"/>
                <w:szCs w:val="20"/>
                <w:lang w:eastAsia="lv-LV"/>
              </w:rPr>
            </w:pPr>
          </w:p>
        </w:tc>
      </w:tr>
      <w:tr w:rsidR="00CB1FD8" w:rsidRPr="00D83632" w:rsidTr="00CB1FD8">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CB1FD8" w:rsidRPr="00D83632" w:rsidRDefault="00CB1FD8" w:rsidP="00CB1FD8">
            <w:pPr>
              <w:spacing w:after="0" w:line="240" w:lineRule="auto"/>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Finansējums plāna realizācijai kopā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CB1FD8" w:rsidRPr="00D83632" w:rsidRDefault="00CB1FD8" w:rsidP="00CB1FD8">
            <w:pPr>
              <w:spacing w:after="0" w:line="240" w:lineRule="auto"/>
              <w:rPr>
                <w:rFonts w:ascii="Arial" w:eastAsia="Times New Roman" w:hAnsi="Arial" w:cs="Arial"/>
                <w:color w:val="414142"/>
                <w:sz w:val="20"/>
                <w:szCs w:val="20"/>
                <w:lang w:eastAsia="lv-LV"/>
              </w:rPr>
            </w:pPr>
            <w:r w:rsidRPr="00D83632">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CB1FD8" w:rsidRPr="00D83632" w:rsidRDefault="00CB1FD8" w:rsidP="00CB1FD8">
            <w:pPr>
              <w:spacing w:after="0" w:line="240" w:lineRule="auto"/>
              <w:rPr>
                <w:rFonts w:ascii="Arial" w:eastAsia="Times New Roman" w:hAnsi="Arial" w:cs="Arial"/>
                <w:color w:val="414142"/>
                <w:sz w:val="20"/>
                <w:szCs w:val="20"/>
                <w:lang w:eastAsia="lv-LV"/>
              </w:rPr>
            </w:pPr>
            <w:r w:rsidRPr="00D83632">
              <w:rPr>
                <w:rFonts w:ascii="Arial" w:eastAsia="Times New Roman" w:hAnsi="Arial" w:cs="Arial"/>
                <w:color w:val="414142"/>
                <w:sz w:val="20"/>
                <w:szCs w:val="20"/>
                <w:lang w:eastAsia="lv-LV"/>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1FD8" w:rsidRPr="00D83632" w:rsidRDefault="00CB1FD8" w:rsidP="00CB1FD8">
            <w:pPr>
              <w:spacing w:after="0" w:line="240" w:lineRule="auto"/>
              <w:jc w:val="center"/>
              <w:rPr>
                <w:rFonts w:ascii="Arial" w:eastAsia="Times New Roman" w:hAnsi="Arial" w:cs="Arial"/>
                <w:bCs/>
                <w:color w:val="414142"/>
                <w:sz w:val="20"/>
                <w:szCs w:val="20"/>
                <w:lang w:eastAsia="lv-LV"/>
              </w:rPr>
            </w:pPr>
            <w:r w:rsidRPr="00D83632">
              <w:rPr>
                <w:rFonts w:ascii="Arial" w:eastAsia="Times New Roman" w:hAnsi="Arial" w:cs="Arial"/>
                <w:bCs/>
                <w:color w:val="414142"/>
                <w:sz w:val="20"/>
                <w:szCs w:val="20"/>
                <w:lang w:eastAsia="lv-LV"/>
              </w:rPr>
              <w:t>0</w:t>
            </w:r>
          </w:p>
        </w:tc>
      </w:tr>
    </w:tbl>
    <w:p w:rsidR="00CB1FD8" w:rsidRDefault="00CB1FD8" w:rsidP="00417843">
      <w:pPr>
        <w:rPr>
          <w:lang w:eastAsia="lv-LV"/>
        </w:rPr>
      </w:pPr>
    </w:p>
    <w:p w:rsidR="00DA3017" w:rsidRDefault="00DA3017" w:rsidP="00417843">
      <w:pPr>
        <w:rPr>
          <w:lang w:eastAsia="lv-LV"/>
        </w:rPr>
      </w:pPr>
    </w:p>
    <w:p w:rsidR="00DA3017" w:rsidRDefault="00DA3017" w:rsidP="005B1DCA">
      <w:pPr>
        <w:ind w:firstLine="720"/>
        <w:rPr>
          <w:rStyle w:val="normaltextrun"/>
          <w:color w:val="000000"/>
          <w:sz w:val="28"/>
          <w:szCs w:val="28"/>
          <w:shd w:val="clear" w:color="auto" w:fill="FFFFFF"/>
        </w:rPr>
      </w:pPr>
    </w:p>
    <w:p w:rsidR="00DA3017" w:rsidRPr="00417843" w:rsidRDefault="00DA3017" w:rsidP="005B1DCA">
      <w:pPr>
        <w:ind w:firstLine="720"/>
        <w:rPr>
          <w:lang w:eastAsia="lv-LV"/>
        </w:rPr>
      </w:pPr>
      <w:r>
        <w:rPr>
          <w:rStyle w:val="normaltextrun"/>
          <w:color w:val="000000"/>
          <w:sz w:val="28"/>
          <w:szCs w:val="28"/>
          <w:shd w:val="clear" w:color="auto" w:fill="FFFFFF"/>
        </w:rPr>
        <w:t>Finanšu ministrs                                 </w:t>
      </w:r>
      <w:r>
        <w:rPr>
          <w:rStyle w:val="normaltextrun"/>
          <w:color w:val="000000"/>
          <w:sz w:val="28"/>
          <w:szCs w:val="28"/>
          <w:shd w:val="clear" w:color="auto" w:fill="FFFFFF"/>
        </w:rPr>
        <w:tab/>
      </w:r>
      <w:r>
        <w:rPr>
          <w:rStyle w:val="normaltextrun"/>
          <w:color w:val="000000"/>
          <w:sz w:val="28"/>
          <w:szCs w:val="28"/>
          <w:shd w:val="clear" w:color="auto" w:fill="FFFFFF"/>
        </w:rPr>
        <w:tab/>
      </w:r>
      <w:r>
        <w:rPr>
          <w:rStyle w:val="normaltextrun"/>
          <w:color w:val="000000"/>
          <w:sz w:val="28"/>
          <w:szCs w:val="28"/>
          <w:shd w:val="clear" w:color="auto" w:fill="FFFFFF"/>
        </w:rPr>
        <w:tab/>
        <w:t>J. Reirs</w:t>
      </w:r>
    </w:p>
    <w:sectPr w:rsidR="00DA3017" w:rsidRPr="00417843" w:rsidSect="00EA012C">
      <w:footerReference w:type="default" r:id="rId35"/>
      <w:pgSz w:w="16838" w:h="11906" w:orient="landscape"/>
      <w:pgMar w:top="1800" w:right="1440" w:bottom="180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AB" w:rsidRDefault="00AD70AB" w:rsidP="009C0122">
      <w:pPr>
        <w:spacing w:after="0" w:line="240" w:lineRule="auto"/>
      </w:pPr>
      <w:r>
        <w:separator/>
      </w:r>
    </w:p>
  </w:endnote>
  <w:endnote w:type="continuationSeparator" w:id="0">
    <w:p w:rsidR="00AD70AB" w:rsidRDefault="00AD70AB" w:rsidP="009C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93890"/>
      <w:docPartObj>
        <w:docPartGallery w:val="Page Numbers (Bottom of Page)"/>
        <w:docPartUnique/>
      </w:docPartObj>
    </w:sdtPr>
    <w:sdtEndPr>
      <w:rPr>
        <w:noProof/>
      </w:rPr>
    </w:sdtEndPr>
    <w:sdtContent>
      <w:p w:rsidR="00DA3017" w:rsidRDefault="008D194F" w:rsidP="005B1DCA">
        <w:pPr>
          <w:pStyle w:val="Footer"/>
        </w:pPr>
        <w:r>
          <w:t>FSAP 2021-2023_02112020</w:t>
        </w:r>
        <w:r>
          <w:tab/>
        </w:r>
        <w:r>
          <w:tab/>
        </w:r>
        <w:r>
          <w:tab/>
        </w:r>
        <w:r>
          <w:tab/>
        </w:r>
        <w:r>
          <w:tab/>
        </w:r>
        <w:r>
          <w:tab/>
        </w:r>
        <w:r>
          <w:tab/>
        </w:r>
        <w:r>
          <w:tab/>
        </w:r>
        <w:r>
          <w:tab/>
        </w:r>
        <w:r>
          <w:tab/>
        </w:r>
        <w:r w:rsidR="00DA3017">
          <w:fldChar w:fldCharType="begin"/>
        </w:r>
        <w:r w:rsidR="00DA3017">
          <w:instrText xml:space="preserve"> PAGE   \* MERGEFORMAT </w:instrText>
        </w:r>
        <w:r w:rsidR="00DA3017">
          <w:fldChar w:fldCharType="separate"/>
        </w:r>
        <w:r w:rsidR="00A6370B">
          <w:rPr>
            <w:noProof/>
          </w:rPr>
          <w:t>40</w:t>
        </w:r>
        <w:r w:rsidR="00DA3017">
          <w:rPr>
            <w:noProof/>
          </w:rPr>
          <w:fldChar w:fldCharType="end"/>
        </w:r>
      </w:p>
    </w:sdtContent>
  </w:sdt>
  <w:p w:rsidR="00DA3017" w:rsidRDefault="00DA3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AB" w:rsidRDefault="00AD70AB" w:rsidP="009C0122">
      <w:pPr>
        <w:spacing w:after="0" w:line="240" w:lineRule="auto"/>
      </w:pPr>
      <w:r>
        <w:separator/>
      </w:r>
    </w:p>
  </w:footnote>
  <w:footnote w:type="continuationSeparator" w:id="0">
    <w:p w:rsidR="00AD70AB" w:rsidRDefault="00AD70AB" w:rsidP="009C0122">
      <w:pPr>
        <w:spacing w:after="0" w:line="240" w:lineRule="auto"/>
      </w:pPr>
      <w:r>
        <w:continuationSeparator/>
      </w:r>
    </w:p>
  </w:footnote>
  <w:footnote w:id="1">
    <w:p w:rsidR="00DA3017" w:rsidRDefault="00DA3017">
      <w:pPr>
        <w:pStyle w:val="FootnoteText"/>
      </w:pPr>
      <w:r>
        <w:rPr>
          <w:rStyle w:val="FootnoteReference"/>
        </w:rPr>
        <w:footnoteRef/>
      </w:r>
      <w:r>
        <w:t xml:space="preserve"> </w:t>
      </w:r>
      <w:hyperlink r:id="rId1" w:history="1">
        <w:r w:rsidRPr="00E951CD">
          <w:rPr>
            <w:rStyle w:val="Hyperlink"/>
          </w:rPr>
          <w:t>https://ec.europa.eu/info/business-economy-euro/economic-performance-and-forecasts/economic-forecasts/summer-2020-economic-forecast-deeper-recession-wider-divergences_en</w:t>
        </w:r>
      </w:hyperlink>
      <w:r>
        <w:t xml:space="preserve"> </w:t>
      </w:r>
    </w:p>
  </w:footnote>
  <w:footnote w:id="2">
    <w:p w:rsidR="00DA3017" w:rsidRDefault="00DA3017">
      <w:pPr>
        <w:pStyle w:val="FootnoteText"/>
      </w:pPr>
      <w:r>
        <w:rPr>
          <w:rStyle w:val="FootnoteReference"/>
        </w:rPr>
        <w:footnoteRef/>
      </w:r>
      <w:r>
        <w:t xml:space="preserve"> </w:t>
      </w:r>
      <w:hyperlink r:id="rId2" w:anchor="Full%20Report%20and%20Executi" w:history="1">
        <w:r w:rsidRPr="00E951CD">
          <w:rPr>
            <w:rStyle w:val="Hyperlink"/>
          </w:rPr>
          <w:t>https://www.imf.org/en/Publications/WEO/Issues/2020/09/30/world-economic-outlook-october-2020#Full%20Report%20and%20Executi</w:t>
        </w:r>
      </w:hyperlink>
      <w:r>
        <w:t xml:space="preserve"> </w:t>
      </w:r>
      <w:r w:rsidRPr="00C847E0">
        <w:t>ve%20Summary</w:t>
      </w:r>
    </w:p>
  </w:footnote>
  <w:footnote w:id="3">
    <w:p w:rsidR="00DA3017" w:rsidRDefault="00DA3017" w:rsidP="0008027B">
      <w:pPr>
        <w:pStyle w:val="FootnoteText"/>
        <w:jc w:val="both"/>
      </w:pPr>
      <w:r>
        <w:rPr>
          <w:rStyle w:val="FootnoteReference"/>
        </w:rPr>
        <w:footnoteRef/>
      </w:r>
      <w:r>
        <w:t xml:space="preserve"> Vispārējā izņēmuma klauzula ļauj dalībvalstīm veikt pasākumus budžeta jomā, lai pienācīgi tiktu galā ar šādu situāciju. Attiecībā uz preventīvo daļu Regulas (EK) 1466/97 5.panta 1.punktā un 9.panta 1.punktā ir noteikts, ka “nopietnas ekonomikas lejupslīdes periods eurozonā vai Savienībā kopumā dalībvalstīm var uz laiku atļaut pilnībā neveikt vidēja termiņa mērķu sasniegšanai vajadzīgās korekcijas ar noteikumu, ka tādējādi vidējā termiņā netiek apdraudēta fiskālā stabilitāte”- Komisijas paziņojums Padomei “Par Stabilitātes un izaugsmes pakta vispārējās izņēmuma klauzulas iedarbināšanu” - </w:t>
      </w:r>
      <w:hyperlink r:id="rId3" w:history="1">
        <w:r w:rsidRPr="005F0272">
          <w:rPr>
            <w:color w:val="0000FF"/>
            <w:u w:val="single"/>
          </w:rPr>
          <w:t>https://eur-lex.europa.eu/legal-content/EN/TXT/?qid=1591119459569&amp;uri=CELEX:52020DC0123</w:t>
        </w:r>
      </w:hyperlink>
      <w:r w:rsidRPr="005F0272">
        <w:t>.</w:t>
      </w:r>
    </w:p>
  </w:footnote>
  <w:footnote w:id="4">
    <w:p w:rsidR="00DA3017" w:rsidRDefault="00DA3017">
      <w:pPr>
        <w:pStyle w:val="FootnoteText"/>
      </w:pPr>
      <w:r>
        <w:rPr>
          <w:rStyle w:val="FootnoteReference"/>
        </w:rPr>
        <w:footnoteRef/>
      </w:r>
      <w:r>
        <w:t xml:space="preserve"> </w:t>
      </w:r>
      <w:hyperlink r:id="rId4" w:history="1">
        <w:r w:rsidRPr="006E1A8B">
          <w:rPr>
            <w:rStyle w:val="Hyperlink"/>
          </w:rPr>
          <w:t>https://likumi.lv/ta/id/317729-par-pasakumu-planu-noziedzigi-iegutu-lidzeklu-legalizacijas-terorisma-un-proliferacijas-finansesanas-noversanai-laikposmam</w:t>
        </w:r>
      </w:hyperlink>
      <w:r>
        <w:t xml:space="preserve"> </w:t>
      </w:r>
    </w:p>
  </w:footnote>
  <w:footnote w:id="5">
    <w:p w:rsidR="00DA3017" w:rsidRDefault="00DA3017">
      <w:pPr>
        <w:pStyle w:val="FootnoteText"/>
      </w:pPr>
      <w:r>
        <w:rPr>
          <w:rStyle w:val="FootnoteReference"/>
        </w:rPr>
        <w:footnoteRef/>
      </w:r>
      <w:r>
        <w:t xml:space="preserve"> </w:t>
      </w:r>
      <w:hyperlink r:id="rId5" w:history="1">
        <w:r>
          <w:rPr>
            <w:rStyle w:val="Hyperlink"/>
          </w:rPr>
          <w:t>https://eba.europa.eu/risk-analysis-and-data/risk-dashboard</w:t>
        </w:r>
      </w:hyperlink>
    </w:p>
  </w:footnote>
  <w:footnote w:id="6">
    <w:p w:rsidR="00DA3017" w:rsidRDefault="00DA3017">
      <w:pPr>
        <w:pStyle w:val="FootnoteText"/>
      </w:pPr>
      <w:r>
        <w:rPr>
          <w:rStyle w:val="FootnoteReference"/>
        </w:rPr>
        <w:footnoteRef/>
      </w:r>
      <w:r>
        <w:t xml:space="preserve"> </w:t>
      </w:r>
      <w:hyperlink r:id="rId6" w:history="1">
        <w:r w:rsidRPr="003708DC">
          <w:rPr>
            <w:rStyle w:val="Hyperlink"/>
          </w:rPr>
          <w:t>https://datnes.latvijasbanka.lv/publ/BLS_2020_jul_LV.pdf</w:t>
        </w:r>
      </w:hyperlink>
      <w:r>
        <w:t xml:space="preserve"> </w:t>
      </w:r>
    </w:p>
  </w:footnote>
  <w:footnote w:id="7">
    <w:p w:rsidR="00DA3017" w:rsidRDefault="00DA3017">
      <w:pPr>
        <w:pStyle w:val="FootnoteText"/>
      </w:pPr>
      <w:r>
        <w:rPr>
          <w:rStyle w:val="FootnoteReference"/>
        </w:rPr>
        <w:footnoteRef/>
      </w:r>
      <w:r>
        <w:t xml:space="preserve"> </w:t>
      </w:r>
      <w:hyperlink r:id="rId7" w:history="1">
        <w:r>
          <w:rPr>
            <w:rStyle w:val="Hyperlink"/>
          </w:rPr>
          <w:t>https://www.financelatvia.eu/nozares-dati/</w:t>
        </w:r>
      </w:hyperlink>
    </w:p>
  </w:footnote>
  <w:footnote w:id="8">
    <w:p w:rsidR="00DA3017" w:rsidRDefault="00DA3017">
      <w:pPr>
        <w:pStyle w:val="FootnoteText"/>
      </w:pPr>
      <w:r>
        <w:rPr>
          <w:rStyle w:val="FootnoteReference"/>
        </w:rPr>
        <w:footnoteRef/>
      </w:r>
      <w:r>
        <w:t xml:space="preserve"> </w:t>
      </w:r>
      <w:hyperlink r:id="rId8" w:history="1">
        <w:r w:rsidRPr="00FC374B">
          <w:rPr>
            <w:rStyle w:val="Hyperlink"/>
          </w:rPr>
          <w:t>https://www.cfla.gov.lv/lv/jaunumi/2020/liela-interese-par-es-fondu-atbalstu-uznemumu-akciju-emisijai</w:t>
        </w:r>
      </w:hyperlink>
      <w:r>
        <w:t xml:space="preserve"> </w:t>
      </w:r>
    </w:p>
  </w:footnote>
  <w:footnote w:id="9">
    <w:p w:rsidR="00DA3017" w:rsidRDefault="00DA3017" w:rsidP="00E62737">
      <w:pPr>
        <w:jc w:val="both"/>
      </w:pPr>
      <w:r>
        <w:rPr>
          <w:rStyle w:val="FootnoteReference"/>
        </w:rPr>
        <w:footnoteRef/>
      </w:r>
      <w:r>
        <w:t xml:space="preserve"> </w:t>
      </w:r>
      <w:r w:rsidRPr="00213F01">
        <w:rPr>
          <w:sz w:val="18"/>
          <w:szCs w:val="18"/>
        </w:rPr>
        <w:t>Pension Funds in Figures, OECD. June 2020</w:t>
      </w:r>
    </w:p>
  </w:footnote>
  <w:footnote w:id="10">
    <w:p w:rsidR="00DA3017" w:rsidRDefault="00DA3017">
      <w:pPr>
        <w:pStyle w:val="FootnoteText"/>
      </w:pPr>
      <w:r>
        <w:rPr>
          <w:rStyle w:val="FootnoteReference"/>
        </w:rPr>
        <w:footnoteRef/>
      </w:r>
      <w:r>
        <w:t xml:space="preserve"> </w:t>
      </w:r>
      <w:hyperlink r:id="rId9" w:history="1">
        <w:r w:rsidRPr="00CC316C">
          <w:rPr>
            <w:rStyle w:val="Hyperlink"/>
          </w:rPr>
          <w:t>https://www.oecd.org/latvia/oecd-reviews-of-pension-systems-latvia-9789264289390-en.htm</w:t>
        </w:r>
      </w:hyperlink>
      <w:r>
        <w:t xml:space="preserve"> </w:t>
      </w:r>
    </w:p>
  </w:footnote>
  <w:footnote w:id="11">
    <w:p w:rsidR="00DA3017" w:rsidRDefault="00DA3017">
      <w:pPr>
        <w:pStyle w:val="FootnoteText"/>
      </w:pPr>
      <w:r>
        <w:rPr>
          <w:rStyle w:val="FootnoteReference"/>
        </w:rPr>
        <w:footnoteRef/>
      </w:r>
      <w:r>
        <w:t xml:space="preserve"> </w:t>
      </w:r>
      <w:hyperlink r:id="rId10" w:history="1">
        <w:r w:rsidRPr="008F0B62">
          <w:rPr>
            <w:rStyle w:val="Hyperlink"/>
          </w:rPr>
          <w:t>http://www.oecd.org/daf/fin/private-pensions/globalpensionstatistics.htm</w:t>
        </w:r>
      </w:hyperlink>
      <w:r>
        <w:t xml:space="preserve"> </w:t>
      </w:r>
    </w:p>
  </w:footnote>
  <w:footnote w:id="12">
    <w:p w:rsidR="00DA3017" w:rsidRDefault="00DA3017" w:rsidP="001D0D5F">
      <w:pPr>
        <w:pStyle w:val="FootnoteText"/>
        <w:jc w:val="both"/>
      </w:pPr>
      <w:r>
        <w:rPr>
          <w:rStyle w:val="FootnoteReference"/>
        </w:rPr>
        <w:footnoteRef/>
      </w:r>
      <w:r>
        <w:t xml:space="preserve"> Komisijas paziņojums Eiropas Parlamentam, Padomei, Eiropas Centrālajai bankai, Eiropas Ekonomikas un Sociālo lietu komitejai un Reģionu komitejai “Finanšu tehnoloģijas rīcības plāns konkurētspējīgākam un inovatīvākam Eiropas finanšu sektoram”; </w:t>
      </w:r>
      <w:hyperlink w:history="1">
        <w:r w:rsidRPr="00FD75BB">
          <w:rPr>
            <w:rStyle w:val="Hyperlink"/>
          </w:rPr>
          <w:t>https://eur- ex.europa.eu/resource.html?uri=cellar:6793c578-22e6-11e8-ac73- 01aa75ed71a1.0005.02/DOC_1&amp;format=PDF</w:t>
        </w:r>
      </w:hyperlink>
      <w:r>
        <w:t xml:space="preserve"> </w:t>
      </w:r>
    </w:p>
  </w:footnote>
  <w:footnote w:id="13">
    <w:p w:rsidR="00DA3017" w:rsidRDefault="00DA3017" w:rsidP="006A4844">
      <w:pPr>
        <w:pStyle w:val="FootnoteText"/>
      </w:pPr>
      <w:r>
        <w:rPr>
          <w:rStyle w:val="FootnoteReference"/>
        </w:rPr>
        <w:footnoteRef/>
      </w:r>
      <w:r>
        <w:t xml:space="preserve"> </w:t>
      </w:r>
      <w:r w:rsidRPr="00663EAB">
        <w:t>https://ec.europa.eu/info/publications/200924-digital-finance-proposals_en</w:t>
      </w:r>
    </w:p>
  </w:footnote>
  <w:footnote w:id="14">
    <w:p w:rsidR="00DA3017" w:rsidRDefault="00DA3017">
      <w:pPr>
        <w:pStyle w:val="FootnoteText"/>
      </w:pPr>
      <w:r>
        <w:rPr>
          <w:rStyle w:val="FootnoteReference"/>
        </w:rPr>
        <w:footnoteRef/>
      </w:r>
      <w:r>
        <w:t xml:space="preserve"> </w:t>
      </w:r>
      <w:hyperlink r:id="rId11" w:history="1">
        <w:r w:rsidRPr="00EE051E">
          <w:rPr>
            <w:rStyle w:val="Hyperlink"/>
          </w:rPr>
          <w:t>https://www.ecb.europa.eu/pub/pdf/other/Report_on_a_digital_euro~4d7268b458.en.pdf</w:t>
        </w:r>
      </w:hyperlink>
      <w:r>
        <w:t xml:space="preserve"> </w:t>
      </w:r>
    </w:p>
  </w:footnote>
  <w:footnote w:id="15">
    <w:p w:rsidR="00DA3017" w:rsidRDefault="00DA3017" w:rsidP="00F65285">
      <w:pPr>
        <w:pStyle w:val="FootnoteText"/>
      </w:pPr>
      <w:r>
        <w:rPr>
          <w:rStyle w:val="FootnoteReference"/>
        </w:rPr>
        <w:footnoteRef/>
      </w:r>
      <w:r>
        <w:t xml:space="preserve"> Latvijas Bankas “Maksājumu radars”, </w:t>
      </w:r>
      <w:r w:rsidRPr="003019D1">
        <w:rPr>
          <w:rStyle w:val="Hyperlink"/>
        </w:rPr>
        <w:t>https://www.bank.lv/darbibas-jomas/maksajumu-sistemas-uzdevumi/maksajumu-radars</w:t>
      </w:r>
    </w:p>
  </w:footnote>
  <w:footnote w:id="16">
    <w:p w:rsidR="00DA3017" w:rsidRDefault="00DA3017" w:rsidP="00F65285">
      <w:pPr>
        <w:pStyle w:val="FootnoteText"/>
      </w:pPr>
      <w:r>
        <w:rPr>
          <w:rStyle w:val="FootnoteReference"/>
        </w:rPr>
        <w:footnoteRef/>
      </w:r>
      <w:r>
        <w:t xml:space="preserve"> K.Ozoliņš, “Maksājumu attīstība digitālajā laikmetā”, </w:t>
      </w:r>
      <w:hyperlink r:id="rId12" w:history="1">
        <w:r w:rsidRPr="00FD75BB">
          <w:rPr>
            <w:rStyle w:val="Hyperlink"/>
          </w:rPr>
          <w:t>https://www.bank.lv/par-mums/jaunumi/678-raksti/11853-maksajumu-attistiba-digitalaja-laikmeta</w:t>
        </w:r>
      </w:hyperlink>
      <w:r>
        <w:t xml:space="preserve"> </w:t>
      </w:r>
    </w:p>
  </w:footnote>
  <w:footnote w:id="17">
    <w:p w:rsidR="00DA3017" w:rsidRDefault="00DA3017" w:rsidP="00F65285">
      <w:pPr>
        <w:pStyle w:val="FootnoteText"/>
        <w:jc w:val="both"/>
      </w:pPr>
      <w:r>
        <w:rPr>
          <w:rStyle w:val="FootnoteReference"/>
        </w:rPr>
        <w:footnoteRef/>
      </w:r>
      <w:r>
        <w:t xml:space="preserve"> Zibmaksājumi jeb ātrie maksājumi ir naudas pārskaitījumi 24 stundas diennaktī, 7 dienas nedēļā, 365 dienas gadā, ieskaitot svētku dienas, izpildot banku klientu maksājumus dažu sekunžu laikā un dodot iespēju saņemto naudu uzriez izmantot tālāk.</w:t>
      </w:r>
    </w:p>
  </w:footnote>
  <w:footnote w:id="18">
    <w:p w:rsidR="00DA3017" w:rsidRDefault="00DA3017" w:rsidP="00F65285">
      <w:pPr>
        <w:pStyle w:val="FootnoteText"/>
      </w:pPr>
      <w:r>
        <w:rPr>
          <w:rStyle w:val="FootnoteReference"/>
        </w:rPr>
        <w:footnoteRef/>
      </w:r>
      <w:r>
        <w:t xml:space="preserve"> H.Ozols, Latvijas Bankas “Maksājumu radars” 2020. gada septembris, </w:t>
      </w:r>
      <w:r w:rsidRPr="003019D1">
        <w:rPr>
          <w:rStyle w:val="Hyperlink"/>
        </w:rPr>
        <w:t>https://www.bank.lv/darbibas-jomas/maksajumu-sistemas-uzdevumi/maksajumu-radars</w:t>
      </w:r>
    </w:p>
  </w:footnote>
  <w:footnote w:id="19">
    <w:p w:rsidR="00DA3017" w:rsidRDefault="00DA3017" w:rsidP="00F65285">
      <w:pPr>
        <w:spacing w:before="240" w:after="0" w:line="240" w:lineRule="auto"/>
        <w:jc w:val="both"/>
      </w:pPr>
      <w:r w:rsidRPr="00777D4D">
        <w:rPr>
          <w:rStyle w:val="FootnoteReference"/>
          <w:sz w:val="20"/>
          <w:szCs w:val="20"/>
        </w:rPr>
        <w:footnoteRef/>
      </w:r>
      <w:r w:rsidRPr="00777D4D">
        <w:rPr>
          <w:sz w:val="20"/>
          <w:szCs w:val="20"/>
        </w:rPr>
        <w:t xml:space="preserve"> Lai izpildītu Eiropas Parlamenta un Padomes Regulas (ES) Nr. 260/2012 prasības attiecībā uz EPC izveidoto SEPA  </w:t>
      </w:r>
      <w:r w:rsidRPr="00777D4D">
        <w:rPr>
          <w:i/>
          <w:iCs/>
          <w:sz w:val="20"/>
          <w:szCs w:val="20"/>
        </w:rPr>
        <w:t>SCT Inst</w:t>
      </w:r>
      <w:r w:rsidRPr="00777D4D">
        <w:rPr>
          <w:sz w:val="20"/>
          <w:szCs w:val="20"/>
        </w:rPr>
        <w:t xml:space="preserve"> shēmu (Zibmaksājumu shēma), ka tās dalībnieki pārstāv maksājumu pakalpojumu sniedzēju vairākumu lielākajā daļā dalībvalstu un Savienībā veido maksājumu pakalpojumu sniedzēju vairākumu (pašlaik spēkā esošajā termiņā 2020. gada novembrī šī regulas prasība netiks sasniegta) un neapdraudētu Zibmaksājumu shēmas turpmāko  eksistenci, Eiropas Komisija plāno regulējuma priekšlikumu, lai šo termiņu pārceltu par vienu gadu un  noteiktu obligātu pienākumu dalībai </w:t>
      </w:r>
      <w:r w:rsidRPr="00777D4D">
        <w:rPr>
          <w:i/>
          <w:iCs/>
          <w:sz w:val="20"/>
          <w:szCs w:val="20"/>
        </w:rPr>
        <w:t>SCT Inst</w:t>
      </w:r>
      <w:r w:rsidRPr="00777D4D">
        <w:rPr>
          <w:sz w:val="20"/>
          <w:szCs w:val="20"/>
        </w:rPr>
        <w:t xml:space="preserve"> shēmā.</w:t>
      </w:r>
    </w:p>
  </w:footnote>
  <w:footnote w:id="20">
    <w:p w:rsidR="00DA3017" w:rsidRDefault="00DA3017" w:rsidP="00F65285">
      <w:pPr>
        <w:pStyle w:val="FootnoteText"/>
      </w:pPr>
      <w:r>
        <w:rPr>
          <w:rStyle w:val="FootnoteReference"/>
        </w:rPr>
        <w:footnoteRef/>
      </w:r>
      <w:r>
        <w:t xml:space="preserve"> </w:t>
      </w:r>
      <w:r w:rsidRPr="00DC0E80">
        <w:t>https://ec.europa.eu/info/consultations/finance-2020-retail-payments-strategy_en</w:t>
      </w:r>
    </w:p>
  </w:footnote>
  <w:footnote w:id="21">
    <w:p w:rsidR="00DA3017" w:rsidRDefault="00DA3017" w:rsidP="00F65285">
      <w:pPr>
        <w:pStyle w:val="FootnoteText"/>
      </w:pPr>
      <w:r>
        <w:rPr>
          <w:rStyle w:val="FootnoteReference"/>
        </w:rPr>
        <w:footnoteRef/>
      </w:r>
      <w:r>
        <w:t xml:space="preserve"> McKinsey&amp;Company. FinTechnicolor: The New Picture in Finance, 2016</w:t>
      </w:r>
    </w:p>
  </w:footnote>
  <w:footnote w:id="22">
    <w:p w:rsidR="00DA3017" w:rsidRDefault="00DA3017" w:rsidP="00F65285">
      <w:pPr>
        <w:pStyle w:val="FootnoteText"/>
      </w:pPr>
      <w:r>
        <w:rPr>
          <w:rStyle w:val="FootnoteReference"/>
        </w:rPr>
        <w:footnoteRef/>
      </w:r>
      <w:r>
        <w:t xml:space="preserve"> Deloitte. FinTech in the Nordics, 2017</w:t>
      </w:r>
    </w:p>
  </w:footnote>
  <w:footnote w:id="23">
    <w:p w:rsidR="00DA3017" w:rsidRDefault="00DA3017" w:rsidP="00F65285">
      <w:pPr>
        <w:pStyle w:val="FootnoteText"/>
      </w:pPr>
      <w:r>
        <w:rPr>
          <w:rStyle w:val="FootnoteReference"/>
        </w:rPr>
        <w:footnoteRef/>
      </w:r>
      <w:r>
        <w:t xml:space="preserve"> </w:t>
      </w:r>
      <w:r w:rsidRPr="004C3715">
        <w:t>Inna Romānova</w:t>
      </w:r>
      <w:r>
        <w:t xml:space="preserve">, </w:t>
      </w:r>
      <w:r w:rsidRPr="004C3715">
        <w:t>Ramona Rupeika-Apoga</w:t>
      </w:r>
      <w:r>
        <w:t>. FinTech Study Latvia, 2020</w:t>
      </w:r>
    </w:p>
  </w:footnote>
  <w:footnote w:id="24">
    <w:p w:rsidR="00DA3017" w:rsidRDefault="00DA3017" w:rsidP="00F65285">
      <w:pPr>
        <w:pStyle w:val="FootnoteText"/>
      </w:pPr>
      <w:r>
        <w:rPr>
          <w:rStyle w:val="FootnoteReference"/>
        </w:rPr>
        <w:footnoteRef/>
      </w:r>
      <w:r>
        <w:t xml:space="preserve"> </w:t>
      </w:r>
      <w:hyperlink r:id="rId13" w:history="1">
        <w:r w:rsidRPr="00FD75BB">
          <w:rPr>
            <w:rStyle w:val="Hyperlink"/>
          </w:rPr>
          <w:t>https://www.fktk.lv/licencesana/inovacijas-un-fintech/</w:t>
        </w:r>
      </w:hyperlink>
      <w:r>
        <w:t xml:space="preserve"> </w:t>
      </w:r>
    </w:p>
  </w:footnote>
  <w:footnote w:id="25">
    <w:p w:rsidR="00DA3017" w:rsidRDefault="00DA3017" w:rsidP="00F65285">
      <w:pPr>
        <w:pStyle w:val="FootnoteText"/>
      </w:pPr>
      <w:r>
        <w:rPr>
          <w:rStyle w:val="FootnoteReference"/>
        </w:rPr>
        <w:footnoteRef/>
      </w:r>
      <w:r>
        <w:t xml:space="preserve"> </w:t>
      </w:r>
      <w:r w:rsidRPr="00F01D0C">
        <w:t>https://www.bis.org/topic/fintech/hub.htm</w:t>
      </w:r>
    </w:p>
  </w:footnote>
  <w:footnote w:id="26">
    <w:p w:rsidR="00DA3017" w:rsidRDefault="00DA3017" w:rsidP="00F65285">
      <w:pPr>
        <w:pStyle w:val="FootnoteText"/>
      </w:pPr>
      <w:r>
        <w:rPr>
          <w:rStyle w:val="FootnoteReference"/>
        </w:rPr>
        <w:footnoteRef/>
      </w:r>
      <w:r>
        <w:t xml:space="preserve"> </w:t>
      </w:r>
      <w:hyperlink r:id="rId14" w:history="1">
        <w:r w:rsidRPr="00FD75BB">
          <w:rPr>
            <w:rStyle w:val="Hyperlink"/>
          </w:rPr>
          <w:t>https://businessnetwork.lv/ievads/finanses/start-up-petijums-53037?utm_source=db&amp;utm_medium=widget&amp;utm_content=start-up-petijums-53037</w:t>
        </w:r>
      </w:hyperlink>
      <w:r>
        <w:t xml:space="preserve"> </w:t>
      </w:r>
    </w:p>
  </w:footnote>
  <w:footnote w:id="27">
    <w:p w:rsidR="00DA3017" w:rsidRDefault="00DA3017" w:rsidP="00F65285">
      <w:pPr>
        <w:pStyle w:val="FootnoteText"/>
      </w:pPr>
      <w:r>
        <w:rPr>
          <w:rStyle w:val="FootnoteReference"/>
        </w:rPr>
        <w:footnoteRef/>
      </w:r>
      <w:r>
        <w:t xml:space="preserve"> </w:t>
      </w:r>
      <w:hyperlink r:id="rId15" w:history="1">
        <w:r w:rsidRPr="005214A2">
          <w:rPr>
            <w:rStyle w:val="Hyperlink"/>
          </w:rPr>
          <w:t>https://www.lb.lt/en/news/electronic-money-and-payment-institutions-managed-to-withstand-the-shock-of-covid-19</w:t>
        </w:r>
      </w:hyperlink>
    </w:p>
    <w:p w:rsidR="00DA3017" w:rsidRDefault="00DA3017" w:rsidP="00F65285">
      <w:pPr>
        <w:pStyle w:val="FootnoteText"/>
      </w:pPr>
    </w:p>
  </w:footnote>
  <w:footnote w:id="28">
    <w:p w:rsidR="00DA3017" w:rsidRDefault="00DA3017" w:rsidP="00F65285">
      <w:pPr>
        <w:pStyle w:val="FootnoteText"/>
      </w:pPr>
      <w:r>
        <w:rPr>
          <w:rStyle w:val="FootnoteReference"/>
        </w:rPr>
        <w:footnoteRef/>
      </w:r>
      <w:r>
        <w:t xml:space="preserve"> </w:t>
      </w:r>
      <w:r w:rsidRPr="004F5166">
        <w:t>https://www.fktk.lv/tirgus-dalibnieki/maksajumu-pakalpojumu-sniedzeji/</w:t>
      </w:r>
    </w:p>
  </w:footnote>
  <w:footnote w:id="29">
    <w:p w:rsidR="00DA3017" w:rsidRDefault="00DA3017" w:rsidP="00F65285">
      <w:pPr>
        <w:pStyle w:val="FootnoteText"/>
      </w:pPr>
      <w:r>
        <w:rPr>
          <w:rStyle w:val="FootnoteReference"/>
        </w:rPr>
        <w:footnoteRef/>
      </w:r>
      <w:r>
        <w:t xml:space="preserve"> </w:t>
      </w:r>
      <w:r w:rsidRPr="00E80C92">
        <w:t>https://gfi.findexable.com/fintechs/</w:t>
      </w:r>
    </w:p>
  </w:footnote>
  <w:footnote w:id="30">
    <w:p w:rsidR="00DA3017" w:rsidRDefault="00DA3017" w:rsidP="00F65285">
      <w:pPr>
        <w:pStyle w:val="FootnoteText"/>
      </w:pPr>
      <w:r>
        <w:rPr>
          <w:rStyle w:val="FootnoteReference"/>
        </w:rPr>
        <w:footnoteRef/>
      </w:r>
      <w:r>
        <w:t xml:space="preserve"> </w:t>
      </w:r>
      <w:r w:rsidRPr="004C3715">
        <w:t>Inna Romānova</w:t>
      </w:r>
      <w:r>
        <w:t xml:space="preserve">, </w:t>
      </w:r>
      <w:r w:rsidRPr="004C3715">
        <w:t>Ramona Rupeika-Apoga</w:t>
      </w:r>
      <w:r>
        <w:t>. FinTech Study Latvia, 2020</w:t>
      </w:r>
    </w:p>
  </w:footnote>
  <w:footnote w:id="31">
    <w:p w:rsidR="00DA3017" w:rsidRDefault="00DA3017" w:rsidP="001D0D5F">
      <w:pPr>
        <w:pStyle w:val="FootnoteText"/>
      </w:pPr>
      <w:r>
        <w:rPr>
          <w:rStyle w:val="FootnoteReference"/>
        </w:rPr>
        <w:footnoteRef/>
      </w:r>
      <w:r>
        <w:t xml:space="preserve"> </w:t>
      </w:r>
      <w:hyperlink r:id="rId16" w:history="1">
        <w:r w:rsidRPr="00FD75BB">
          <w:rPr>
            <w:rStyle w:val="Hyperlink"/>
          </w:rPr>
          <w:t>http://www.oecd.org/going-digital/measuring-the-digital-transformation-9789264311992-en.htm</w:t>
        </w:r>
      </w:hyperlink>
      <w:r>
        <w:t xml:space="preserve"> </w:t>
      </w:r>
    </w:p>
  </w:footnote>
  <w:footnote w:id="32">
    <w:p w:rsidR="00DA3017" w:rsidRDefault="00DA3017" w:rsidP="001D0D5F">
      <w:pPr>
        <w:pStyle w:val="FootnoteText"/>
      </w:pPr>
      <w:r>
        <w:rPr>
          <w:rStyle w:val="FootnoteReference"/>
        </w:rPr>
        <w:footnoteRef/>
      </w:r>
      <w:r>
        <w:t xml:space="preserve"> </w:t>
      </w:r>
      <w:r w:rsidRPr="00135E50">
        <w:t>http://tap.mk.gov.lv/lv/mk/tap/?pid=40472319</w:t>
      </w:r>
    </w:p>
  </w:footnote>
  <w:footnote w:id="33">
    <w:p w:rsidR="00DA3017" w:rsidRDefault="00DA3017" w:rsidP="001D0D5F">
      <w:pPr>
        <w:pStyle w:val="FootnoteText"/>
      </w:pPr>
      <w:r>
        <w:rPr>
          <w:rStyle w:val="FootnoteReference"/>
        </w:rPr>
        <w:footnoteRef/>
      </w:r>
      <w:r>
        <w:t xml:space="preserve"> </w:t>
      </w:r>
      <w:hyperlink r:id="rId17" w:history="1">
        <w:r w:rsidRPr="00F150CC">
          <w:rPr>
            <w:rStyle w:val="Hyperlink"/>
          </w:rPr>
          <w:t>https://www.eib.org/en/publications/financing-the-digitalisation-of-smes-report</w:t>
        </w:r>
      </w:hyperlink>
      <w:r>
        <w:t xml:space="preserve"> </w:t>
      </w:r>
    </w:p>
  </w:footnote>
  <w:footnote w:id="34">
    <w:p w:rsidR="00DA3017" w:rsidRDefault="00DA3017" w:rsidP="001D0D5F">
      <w:pPr>
        <w:pStyle w:val="FootnoteText"/>
      </w:pPr>
      <w:r>
        <w:rPr>
          <w:rStyle w:val="FootnoteReference"/>
        </w:rPr>
        <w:footnoteRef/>
      </w:r>
      <w:r>
        <w:t xml:space="preserve"> </w:t>
      </w:r>
      <w:hyperlink r:id="rId18" w:history="1">
        <w:r w:rsidRPr="00F150CC">
          <w:rPr>
            <w:rStyle w:val="Hyperlink"/>
          </w:rPr>
          <w:t>https://www.eib.org/attachments/efs/eibis_2019_report_on_digitalisation_en.pdf</w:t>
        </w:r>
      </w:hyperlink>
      <w:r>
        <w:t xml:space="preserve"> </w:t>
      </w:r>
    </w:p>
  </w:footnote>
  <w:footnote w:id="35">
    <w:p w:rsidR="00DA3017" w:rsidRDefault="00DA3017" w:rsidP="001D0D5F">
      <w:pPr>
        <w:pStyle w:val="FootnoteText"/>
      </w:pPr>
      <w:r>
        <w:rPr>
          <w:rStyle w:val="FootnoteReference"/>
        </w:rPr>
        <w:footnoteRef/>
      </w:r>
      <w:r>
        <w:t xml:space="preserve"> </w:t>
      </w:r>
      <w:hyperlink r:id="rId19" w:history="1">
        <w:r w:rsidRPr="00F150CC">
          <w:rPr>
            <w:rStyle w:val="Hyperlink"/>
          </w:rPr>
          <w:t>https://ec.europa.eu/digital-single-market/en/scoreboard/latvia</w:t>
        </w:r>
      </w:hyperlink>
      <w:r>
        <w:t xml:space="preserve"> </w:t>
      </w:r>
    </w:p>
  </w:footnote>
  <w:footnote w:id="36">
    <w:p w:rsidR="00DA3017" w:rsidRDefault="00DA3017" w:rsidP="001D0D5F">
      <w:pPr>
        <w:pStyle w:val="FootnoteText"/>
      </w:pPr>
      <w:r>
        <w:rPr>
          <w:rStyle w:val="FootnoteReference"/>
        </w:rPr>
        <w:footnoteRef/>
      </w:r>
      <w:r>
        <w:t xml:space="preserve"> </w:t>
      </w:r>
      <w:hyperlink r:id="rId20" w:history="1">
        <w:r w:rsidRPr="00F150CC">
          <w:rPr>
            <w:rStyle w:val="Hyperlink"/>
          </w:rPr>
          <w:t>https://ec.europa.eu/digital-single-market/en/integration-digital-technology</w:t>
        </w:r>
      </w:hyperlink>
      <w:r>
        <w:t xml:space="preserve"> </w:t>
      </w:r>
    </w:p>
  </w:footnote>
  <w:footnote w:id="37">
    <w:p w:rsidR="00DA3017" w:rsidRDefault="00DA3017" w:rsidP="009E0E42">
      <w:pPr>
        <w:pStyle w:val="FootnoteText"/>
        <w:jc w:val="both"/>
        <w:rPr>
          <w:sz w:val="23"/>
          <w:szCs w:val="23"/>
        </w:rPr>
      </w:pPr>
      <w:r>
        <w:rPr>
          <w:rStyle w:val="FootnoteReference"/>
        </w:rPr>
        <w:footnoteRef/>
      </w:r>
      <w:r>
        <w:t xml:space="preserve"> </w:t>
      </w:r>
      <w:r w:rsidRPr="005840DF">
        <w:rPr>
          <w:b/>
        </w:rPr>
        <w:t>Pirmā vispārējā juridiski saistošā pasaules mēroga vienošanās klimata jomā</w:t>
      </w:r>
      <w:r w:rsidRPr="005840DF">
        <w:t xml:space="preserve">, kuras mērķis ir stiprināt globālo rīcību klimata pārmaiņu novēršanai un noturēt globālo sasilšanu būtiski zem 2°C robežām salīdzinot ar pirmsindustriālo līmeni un censties to ierobežot 1,5°C robežās. Parīzes nolīgums tika pieņemts 2015. gada decembrī Apvienoto Nāciju Organizācijas Vispārējās konvencijas par klimata pārmaiņām Līgumslēdzējpušu konferencē. </w:t>
      </w:r>
    </w:p>
    <w:p w:rsidR="00DA3017" w:rsidRDefault="00DA3017" w:rsidP="009E0E42">
      <w:pPr>
        <w:pStyle w:val="FootnoteText"/>
      </w:pPr>
    </w:p>
  </w:footnote>
  <w:footnote w:id="38">
    <w:p w:rsidR="00DA3017" w:rsidRDefault="00DA3017" w:rsidP="009E0E42">
      <w:pPr>
        <w:pStyle w:val="FootnoteText"/>
      </w:pPr>
      <w:r>
        <w:rPr>
          <w:rStyle w:val="FootnoteReference"/>
        </w:rPr>
        <w:footnoteRef/>
      </w:r>
      <w:r>
        <w:t xml:space="preserve"> </w:t>
      </w:r>
      <w:r w:rsidRPr="00AF6A48">
        <w:t>http://likumi.lv/ta/id/312423-par-latvijas-nacionalo-energetikas-un-klimata-planu-20212030-gadam</w:t>
      </w:r>
    </w:p>
  </w:footnote>
  <w:footnote w:id="39">
    <w:p w:rsidR="00DA3017" w:rsidRPr="00C869F1" w:rsidRDefault="00DA3017" w:rsidP="009E0E42">
      <w:pPr>
        <w:pStyle w:val="FootnoteText"/>
        <w:rPr>
          <w:lang w:val="en-GB"/>
        </w:rPr>
      </w:pPr>
      <w:r>
        <w:rPr>
          <w:rStyle w:val="FootnoteReference"/>
        </w:rPr>
        <w:footnoteRef/>
      </w:r>
      <w:r>
        <w:t xml:space="preserve"> </w:t>
      </w:r>
      <w:r w:rsidRPr="00C869F1">
        <w:rPr>
          <w:lang w:val="en-GB"/>
        </w:rPr>
        <w:t>European Commission, “Identifying Europe`s recovery needs”, Staff working document, Brussels, 27 May, 2020</w:t>
      </w:r>
    </w:p>
  </w:footnote>
  <w:footnote w:id="40">
    <w:p w:rsidR="00DA3017" w:rsidRDefault="00DA3017" w:rsidP="009E0E42">
      <w:pPr>
        <w:pStyle w:val="FootnoteText"/>
      </w:pPr>
      <w:r>
        <w:rPr>
          <w:rStyle w:val="FootnoteReference"/>
        </w:rPr>
        <w:footnoteRef/>
      </w:r>
      <w:r>
        <w:t xml:space="preserve"> Saistību riskus </w:t>
      </w:r>
      <w:r w:rsidRPr="00431D93">
        <w:t>rada cilvēki vai uzņēmumi, kuri meklē kompensāciju par zaudējumiem, kurus viņi varētu būt cietuši no iepriekš aprakstītajiem klimata pārmaiņu fiziskajiem vai</w:t>
      </w:r>
      <w:r>
        <w:t xml:space="preserve"> pārejas </w:t>
      </w:r>
      <w:r w:rsidRPr="00431D93">
        <w:t>riskiem</w:t>
      </w:r>
    </w:p>
  </w:footnote>
  <w:footnote w:id="41">
    <w:p w:rsidR="00DA3017" w:rsidRDefault="00DA3017" w:rsidP="009E0E42">
      <w:pPr>
        <w:pStyle w:val="FootnoteText"/>
        <w:jc w:val="both"/>
      </w:pPr>
      <w:r>
        <w:rPr>
          <w:rStyle w:val="FootnoteReference"/>
        </w:rPr>
        <w:footnoteRef/>
      </w:r>
      <w:r>
        <w:t xml:space="preserve"> </w:t>
      </w:r>
      <w:r w:rsidRPr="005840DF">
        <w:rPr>
          <w:b/>
        </w:rPr>
        <w:t>Ilgtspējīgas attīstības jēdziens</w:t>
      </w:r>
      <w:r>
        <w:t xml:space="preserve"> definēts Apvienoto Nāciju Organizācijas Pasaules Vides un attīstības komisijas ziņojumā “Mūsu kopējā nākotne” (saukts arī par Bruntlandes komisijas ziņojumu, 1987) un starptautiski plaši tiek lietots kopš 1992. gada ANO konferences Riodežaneiro “Vide un attīstība”. Ilgtspējīga attīstība tiek skaidrota kā “attīstība, kas nodrošina šodienas vajadzību apmierināšanu, neradot draudus nākamo paaudžu vajadzību apmierināšanai”. Ilgtspējīgu attīstību raksturo trīs savstarpēji saistītas dimensijas: vides, ekonomiskā, sociālā. Tas nozīmē, ka stingras vides aizsardzības un klimata noturības prasības un augsti ekonomiskie rādītāji nav pretrunā, ka ekonomiskā augšupeja nedrīkst degradēt vidi un vienlaikus tiek nodrošināta augsta dzīves kvalitāte.  </w:t>
      </w:r>
    </w:p>
  </w:footnote>
  <w:footnote w:id="42">
    <w:p w:rsidR="00DA3017" w:rsidRDefault="00DA3017" w:rsidP="009E0E42">
      <w:pPr>
        <w:pStyle w:val="FootnoteText"/>
        <w:jc w:val="both"/>
      </w:pPr>
      <w:r>
        <w:rPr>
          <w:rStyle w:val="FootnoteReference"/>
        </w:rPr>
        <w:footnoteRef/>
      </w:r>
      <w:r>
        <w:t xml:space="preserve"> Latvijas Banka, Finanšu Stabilitātes pārskats 2020, </w:t>
      </w:r>
      <w:hyperlink r:id="rId21" w:history="1">
        <w:r>
          <w:rPr>
            <w:rStyle w:val="Hyperlink"/>
          </w:rPr>
          <w:t>https://www.bank.lv/lb-publikacijas/finansu-stabilitates-parskats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9D2"/>
    <w:multiLevelType w:val="hybridMultilevel"/>
    <w:tmpl w:val="8DAA4B64"/>
    <w:lvl w:ilvl="0" w:tplc="DC16C5C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994718"/>
    <w:multiLevelType w:val="hybridMultilevel"/>
    <w:tmpl w:val="2AFC5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D75850"/>
    <w:multiLevelType w:val="hybridMultilevel"/>
    <w:tmpl w:val="841A4BEC"/>
    <w:lvl w:ilvl="0" w:tplc="04260001">
      <w:start w:val="1"/>
      <w:numFmt w:val="bullet"/>
      <w:lvlText w:val=""/>
      <w:lvlJc w:val="left"/>
      <w:pPr>
        <w:ind w:left="1326" w:hanging="360"/>
      </w:pPr>
      <w:rPr>
        <w:rFonts w:ascii="Symbol" w:hAnsi="Symbol" w:hint="default"/>
      </w:rPr>
    </w:lvl>
    <w:lvl w:ilvl="1" w:tplc="04260003" w:tentative="1">
      <w:start w:val="1"/>
      <w:numFmt w:val="bullet"/>
      <w:lvlText w:val="o"/>
      <w:lvlJc w:val="left"/>
      <w:pPr>
        <w:ind w:left="2046" w:hanging="360"/>
      </w:pPr>
      <w:rPr>
        <w:rFonts w:ascii="Courier New" w:hAnsi="Courier New" w:cs="Courier New" w:hint="default"/>
      </w:rPr>
    </w:lvl>
    <w:lvl w:ilvl="2" w:tplc="04260005" w:tentative="1">
      <w:start w:val="1"/>
      <w:numFmt w:val="bullet"/>
      <w:lvlText w:val=""/>
      <w:lvlJc w:val="left"/>
      <w:pPr>
        <w:ind w:left="2766" w:hanging="360"/>
      </w:pPr>
      <w:rPr>
        <w:rFonts w:ascii="Wingdings" w:hAnsi="Wingdings" w:hint="default"/>
      </w:rPr>
    </w:lvl>
    <w:lvl w:ilvl="3" w:tplc="04260001" w:tentative="1">
      <w:start w:val="1"/>
      <w:numFmt w:val="bullet"/>
      <w:lvlText w:val=""/>
      <w:lvlJc w:val="left"/>
      <w:pPr>
        <w:ind w:left="3486" w:hanging="360"/>
      </w:pPr>
      <w:rPr>
        <w:rFonts w:ascii="Symbol" w:hAnsi="Symbol" w:hint="default"/>
      </w:rPr>
    </w:lvl>
    <w:lvl w:ilvl="4" w:tplc="04260003" w:tentative="1">
      <w:start w:val="1"/>
      <w:numFmt w:val="bullet"/>
      <w:lvlText w:val="o"/>
      <w:lvlJc w:val="left"/>
      <w:pPr>
        <w:ind w:left="4206" w:hanging="360"/>
      </w:pPr>
      <w:rPr>
        <w:rFonts w:ascii="Courier New" w:hAnsi="Courier New" w:cs="Courier New" w:hint="default"/>
      </w:rPr>
    </w:lvl>
    <w:lvl w:ilvl="5" w:tplc="04260005" w:tentative="1">
      <w:start w:val="1"/>
      <w:numFmt w:val="bullet"/>
      <w:lvlText w:val=""/>
      <w:lvlJc w:val="left"/>
      <w:pPr>
        <w:ind w:left="4926" w:hanging="360"/>
      </w:pPr>
      <w:rPr>
        <w:rFonts w:ascii="Wingdings" w:hAnsi="Wingdings" w:hint="default"/>
      </w:rPr>
    </w:lvl>
    <w:lvl w:ilvl="6" w:tplc="04260001" w:tentative="1">
      <w:start w:val="1"/>
      <w:numFmt w:val="bullet"/>
      <w:lvlText w:val=""/>
      <w:lvlJc w:val="left"/>
      <w:pPr>
        <w:ind w:left="5646" w:hanging="360"/>
      </w:pPr>
      <w:rPr>
        <w:rFonts w:ascii="Symbol" w:hAnsi="Symbol" w:hint="default"/>
      </w:rPr>
    </w:lvl>
    <w:lvl w:ilvl="7" w:tplc="04260003" w:tentative="1">
      <w:start w:val="1"/>
      <w:numFmt w:val="bullet"/>
      <w:lvlText w:val="o"/>
      <w:lvlJc w:val="left"/>
      <w:pPr>
        <w:ind w:left="6366" w:hanging="360"/>
      </w:pPr>
      <w:rPr>
        <w:rFonts w:ascii="Courier New" w:hAnsi="Courier New" w:cs="Courier New" w:hint="default"/>
      </w:rPr>
    </w:lvl>
    <w:lvl w:ilvl="8" w:tplc="04260005" w:tentative="1">
      <w:start w:val="1"/>
      <w:numFmt w:val="bullet"/>
      <w:lvlText w:val=""/>
      <w:lvlJc w:val="left"/>
      <w:pPr>
        <w:ind w:left="7086" w:hanging="360"/>
      </w:pPr>
      <w:rPr>
        <w:rFonts w:ascii="Wingdings" w:hAnsi="Wingdings" w:hint="default"/>
      </w:rPr>
    </w:lvl>
  </w:abstractNum>
  <w:abstractNum w:abstractNumId="3" w15:restartNumberingAfterBreak="0">
    <w:nsid w:val="14CE6682"/>
    <w:multiLevelType w:val="hybridMultilevel"/>
    <w:tmpl w:val="17B6FCE2"/>
    <w:lvl w:ilvl="0" w:tplc="04260001">
      <w:start w:val="1"/>
      <w:numFmt w:val="bullet"/>
      <w:lvlText w:val=""/>
      <w:lvlJc w:val="left"/>
      <w:pPr>
        <w:ind w:left="1440" w:hanging="360"/>
      </w:pPr>
      <w:rPr>
        <w:rFonts w:ascii="Symbol" w:hAnsi="Symbol" w:hint="default"/>
      </w:rPr>
    </w:lvl>
    <w:lvl w:ilvl="1" w:tplc="ED52EDA0">
      <w:numFmt w:val="bullet"/>
      <w:lvlText w:val="-"/>
      <w:lvlJc w:val="left"/>
      <w:pPr>
        <w:ind w:left="2160" w:hanging="360"/>
      </w:pPr>
      <w:rPr>
        <w:rFonts w:ascii="Times New Roman" w:eastAsiaTheme="minorHAnsi"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52555C8"/>
    <w:multiLevelType w:val="hybridMultilevel"/>
    <w:tmpl w:val="5B58C0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B53134"/>
    <w:multiLevelType w:val="hybridMultilevel"/>
    <w:tmpl w:val="91B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74A05"/>
    <w:multiLevelType w:val="hybridMultilevel"/>
    <w:tmpl w:val="E34C6D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8F3292"/>
    <w:multiLevelType w:val="hybridMultilevel"/>
    <w:tmpl w:val="5944DF4A"/>
    <w:lvl w:ilvl="0" w:tplc="6EDEAF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537172"/>
    <w:multiLevelType w:val="hybridMultilevel"/>
    <w:tmpl w:val="C496510C"/>
    <w:lvl w:ilvl="0" w:tplc="C52E212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E465EF"/>
    <w:multiLevelType w:val="hybridMultilevel"/>
    <w:tmpl w:val="81CE5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CE7AB2"/>
    <w:multiLevelType w:val="hybridMultilevel"/>
    <w:tmpl w:val="3C54D87A"/>
    <w:lvl w:ilvl="0" w:tplc="6F74591E">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4B2AFA"/>
    <w:multiLevelType w:val="hybridMultilevel"/>
    <w:tmpl w:val="C870252E"/>
    <w:lvl w:ilvl="0" w:tplc="04260001">
      <w:start w:val="1"/>
      <w:numFmt w:val="bullet"/>
      <w:lvlText w:val=""/>
      <w:lvlJc w:val="left"/>
      <w:pPr>
        <w:ind w:left="2062" w:hanging="1211"/>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2" w15:restartNumberingAfterBreak="0">
    <w:nsid w:val="36B75A9C"/>
    <w:multiLevelType w:val="hybridMultilevel"/>
    <w:tmpl w:val="B7CA4D0E"/>
    <w:lvl w:ilvl="0" w:tplc="E93C4C7E">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A60424C"/>
    <w:multiLevelType w:val="hybridMultilevel"/>
    <w:tmpl w:val="6144E7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BD103CA"/>
    <w:multiLevelType w:val="hybridMultilevel"/>
    <w:tmpl w:val="83221272"/>
    <w:lvl w:ilvl="0" w:tplc="B77242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51C7F81"/>
    <w:multiLevelType w:val="hybridMultilevel"/>
    <w:tmpl w:val="5DEA41F4"/>
    <w:lvl w:ilvl="0" w:tplc="26E486E4">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783EFD"/>
    <w:multiLevelType w:val="hybridMultilevel"/>
    <w:tmpl w:val="5478F0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9111DF"/>
    <w:multiLevelType w:val="hybridMultilevel"/>
    <w:tmpl w:val="AAC6DB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7516DB"/>
    <w:multiLevelType w:val="hybridMultilevel"/>
    <w:tmpl w:val="87CAEF48"/>
    <w:lvl w:ilvl="0" w:tplc="0426000B">
      <w:start w:val="1"/>
      <w:numFmt w:val="bullet"/>
      <w:lvlText w:val=""/>
      <w:lvlJc w:val="left"/>
      <w:pPr>
        <w:ind w:left="771" w:hanging="360"/>
      </w:pPr>
      <w:rPr>
        <w:rFonts w:ascii="Wingdings" w:hAnsi="Wingdings"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9" w15:restartNumberingAfterBreak="0">
    <w:nsid w:val="53E07E47"/>
    <w:multiLevelType w:val="hybridMultilevel"/>
    <w:tmpl w:val="867E1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563160"/>
    <w:multiLevelType w:val="multilevel"/>
    <w:tmpl w:val="E286D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0861DE"/>
    <w:multiLevelType w:val="hybridMultilevel"/>
    <w:tmpl w:val="84ECCC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8A8715E"/>
    <w:multiLevelType w:val="hybridMultilevel"/>
    <w:tmpl w:val="CA9670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A7D3D1D"/>
    <w:multiLevelType w:val="hybridMultilevel"/>
    <w:tmpl w:val="9AA098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F4731D"/>
    <w:multiLevelType w:val="hybridMultilevel"/>
    <w:tmpl w:val="F4A26B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B770286"/>
    <w:multiLevelType w:val="hybridMultilevel"/>
    <w:tmpl w:val="F6EC3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3656E5"/>
    <w:multiLevelType w:val="hybridMultilevel"/>
    <w:tmpl w:val="CEEA77AA"/>
    <w:lvl w:ilvl="0" w:tplc="FFFFFFFF">
      <w:start w:val="43"/>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954BC"/>
    <w:multiLevelType w:val="hybridMultilevel"/>
    <w:tmpl w:val="BEC63EF4"/>
    <w:lvl w:ilvl="0" w:tplc="902EAE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69E5FAE"/>
    <w:multiLevelType w:val="hybridMultilevel"/>
    <w:tmpl w:val="AF665E3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7"/>
  </w:num>
  <w:num w:numId="2">
    <w:abstractNumId w:val="9"/>
  </w:num>
  <w:num w:numId="3">
    <w:abstractNumId w:val="16"/>
  </w:num>
  <w:num w:numId="4">
    <w:abstractNumId w:val="6"/>
  </w:num>
  <w:num w:numId="5">
    <w:abstractNumId w:val="19"/>
  </w:num>
  <w:num w:numId="6">
    <w:abstractNumId w:val="23"/>
  </w:num>
  <w:num w:numId="7">
    <w:abstractNumId w:val="4"/>
  </w:num>
  <w:num w:numId="8">
    <w:abstractNumId w:val="12"/>
  </w:num>
  <w:num w:numId="9">
    <w:abstractNumId w:val="2"/>
  </w:num>
  <w:num w:numId="10">
    <w:abstractNumId w:val="21"/>
  </w:num>
  <w:num w:numId="11">
    <w:abstractNumId w:val="14"/>
  </w:num>
  <w:num w:numId="12">
    <w:abstractNumId w:val="26"/>
  </w:num>
  <w:num w:numId="13">
    <w:abstractNumId w:val="27"/>
  </w:num>
  <w:num w:numId="14">
    <w:abstractNumId w:val="10"/>
  </w:num>
  <w:num w:numId="15">
    <w:abstractNumId w:val="3"/>
  </w:num>
  <w:num w:numId="16">
    <w:abstractNumId w:val="8"/>
  </w:num>
  <w:num w:numId="17">
    <w:abstractNumId w:val="0"/>
  </w:num>
  <w:num w:numId="18">
    <w:abstractNumId w:val="7"/>
  </w:num>
  <w:num w:numId="19">
    <w:abstractNumId w:val="5"/>
  </w:num>
  <w:num w:numId="20">
    <w:abstractNumId w:val="11"/>
  </w:num>
  <w:num w:numId="21">
    <w:abstractNumId w:val="1"/>
  </w:num>
  <w:num w:numId="22">
    <w:abstractNumId w:val="22"/>
  </w:num>
  <w:num w:numId="23">
    <w:abstractNumId w:val="1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num>
  <w:num w:numId="27">
    <w:abstractNumId w:val="25"/>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B8"/>
    <w:rsid w:val="00006F35"/>
    <w:rsid w:val="00007D3F"/>
    <w:rsid w:val="00013781"/>
    <w:rsid w:val="00014E92"/>
    <w:rsid w:val="00015274"/>
    <w:rsid w:val="00015493"/>
    <w:rsid w:val="00017036"/>
    <w:rsid w:val="00020082"/>
    <w:rsid w:val="000220E0"/>
    <w:rsid w:val="00026983"/>
    <w:rsid w:val="00027A60"/>
    <w:rsid w:val="000319C1"/>
    <w:rsid w:val="0004188E"/>
    <w:rsid w:val="00042388"/>
    <w:rsid w:val="000423EB"/>
    <w:rsid w:val="000426CD"/>
    <w:rsid w:val="00043F3E"/>
    <w:rsid w:val="00047F23"/>
    <w:rsid w:val="00051771"/>
    <w:rsid w:val="00051972"/>
    <w:rsid w:val="00054055"/>
    <w:rsid w:val="00055EA2"/>
    <w:rsid w:val="0005693A"/>
    <w:rsid w:val="000569B7"/>
    <w:rsid w:val="00063F31"/>
    <w:rsid w:val="00066399"/>
    <w:rsid w:val="000742BF"/>
    <w:rsid w:val="000742C8"/>
    <w:rsid w:val="00074468"/>
    <w:rsid w:val="000765A7"/>
    <w:rsid w:val="000772F9"/>
    <w:rsid w:val="0008027B"/>
    <w:rsid w:val="0008089E"/>
    <w:rsid w:val="000857BF"/>
    <w:rsid w:val="00087364"/>
    <w:rsid w:val="00093876"/>
    <w:rsid w:val="0009387D"/>
    <w:rsid w:val="000A1379"/>
    <w:rsid w:val="000A1FE6"/>
    <w:rsid w:val="000A3CA6"/>
    <w:rsid w:val="000A419D"/>
    <w:rsid w:val="000A48C6"/>
    <w:rsid w:val="000A4FAA"/>
    <w:rsid w:val="000A677C"/>
    <w:rsid w:val="000B6285"/>
    <w:rsid w:val="000B6AE7"/>
    <w:rsid w:val="000C0062"/>
    <w:rsid w:val="000C0937"/>
    <w:rsid w:val="000D00A6"/>
    <w:rsid w:val="000D0B71"/>
    <w:rsid w:val="000D157C"/>
    <w:rsid w:val="000D2824"/>
    <w:rsid w:val="000D5727"/>
    <w:rsid w:val="000E2FCE"/>
    <w:rsid w:val="000E4ADB"/>
    <w:rsid w:val="000E5258"/>
    <w:rsid w:val="000E53A9"/>
    <w:rsid w:val="000F334B"/>
    <w:rsid w:val="000F3744"/>
    <w:rsid w:val="000F4461"/>
    <w:rsid w:val="000F5B85"/>
    <w:rsid w:val="000F64CC"/>
    <w:rsid w:val="00100A76"/>
    <w:rsid w:val="00113034"/>
    <w:rsid w:val="00114DEB"/>
    <w:rsid w:val="001240E1"/>
    <w:rsid w:val="001336FD"/>
    <w:rsid w:val="001338A3"/>
    <w:rsid w:val="00133BAD"/>
    <w:rsid w:val="00134D3B"/>
    <w:rsid w:val="0013513D"/>
    <w:rsid w:val="00135379"/>
    <w:rsid w:val="00135E50"/>
    <w:rsid w:val="00140742"/>
    <w:rsid w:val="00142B9D"/>
    <w:rsid w:val="00143CCF"/>
    <w:rsid w:val="00152A99"/>
    <w:rsid w:val="0015771B"/>
    <w:rsid w:val="00162476"/>
    <w:rsid w:val="001641CC"/>
    <w:rsid w:val="00164E1D"/>
    <w:rsid w:val="001662D7"/>
    <w:rsid w:val="001664DD"/>
    <w:rsid w:val="0016654D"/>
    <w:rsid w:val="00166567"/>
    <w:rsid w:val="001674A6"/>
    <w:rsid w:val="001679E8"/>
    <w:rsid w:val="00167B81"/>
    <w:rsid w:val="00180E92"/>
    <w:rsid w:val="0018635A"/>
    <w:rsid w:val="00190E8E"/>
    <w:rsid w:val="00190FBB"/>
    <w:rsid w:val="00193C54"/>
    <w:rsid w:val="00195F26"/>
    <w:rsid w:val="0019608D"/>
    <w:rsid w:val="001A0D33"/>
    <w:rsid w:val="001A1643"/>
    <w:rsid w:val="001A33F7"/>
    <w:rsid w:val="001A3C16"/>
    <w:rsid w:val="001A5117"/>
    <w:rsid w:val="001A76C4"/>
    <w:rsid w:val="001B2555"/>
    <w:rsid w:val="001B2936"/>
    <w:rsid w:val="001B4093"/>
    <w:rsid w:val="001B4A6D"/>
    <w:rsid w:val="001B55B6"/>
    <w:rsid w:val="001B67B5"/>
    <w:rsid w:val="001C0AE3"/>
    <w:rsid w:val="001C0BE9"/>
    <w:rsid w:val="001C1BCF"/>
    <w:rsid w:val="001C3922"/>
    <w:rsid w:val="001D0474"/>
    <w:rsid w:val="001D0D5F"/>
    <w:rsid w:val="001D2DB7"/>
    <w:rsid w:val="001D316C"/>
    <w:rsid w:val="001D3D33"/>
    <w:rsid w:val="001D4ACE"/>
    <w:rsid w:val="001D5E61"/>
    <w:rsid w:val="001D75F1"/>
    <w:rsid w:val="001D7E2C"/>
    <w:rsid w:val="001D7EF9"/>
    <w:rsid w:val="001F1762"/>
    <w:rsid w:val="001F4733"/>
    <w:rsid w:val="00202235"/>
    <w:rsid w:val="0020432A"/>
    <w:rsid w:val="002051CF"/>
    <w:rsid w:val="00207556"/>
    <w:rsid w:val="00213735"/>
    <w:rsid w:val="00213D84"/>
    <w:rsid w:val="00213F01"/>
    <w:rsid w:val="00214BAB"/>
    <w:rsid w:val="00221AAF"/>
    <w:rsid w:val="002255FC"/>
    <w:rsid w:val="00225A16"/>
    <w:rsid w:val="00225BAB"/>
    <w:rsid w:val="00226E02"/>
    <w:rsid w:val="002323F9"/>
    <w:rsid w:val="002332BF"/>
    <w:rsid w:val="0023498B"/>
    <w:rsid w:val="00235329"/>
    <w:rsid w:val="00235C6E"/>
    <w:rsid w:val="00243A39"/>
    <w:rsid w:val="002473AB"/>
    <w:rsid w:val="00247B0C"/>
    <w:rsid w:val="00250272"/>
    <w:rsid w:val="00251C55"/>
    <w:rsid w:val="002543AC"/>
    <w:rsid w:val="00254FE0"/>
    <w:rsid w:val="00255BFA"/>
    <w:rsid w:val="002560A8"/>
    <w:rsid w:val="002573B6"/>
    <w:rsid w:val="00260188"/>
    <w:rsid w:val="00262519"/>
    <w:rsid w:val="002636CD"/>
    <w:rsid w:val="00266FA0"/>
    <w:rsid w:val="0027056E"/>
    <w:rsid w:val="002740F1"/>
    <w:rsid w:val="00276B03"/>
    <w:rsid w:val="00277396"/>
    <w:rsid w:val="0028228F"/>
    <w:rsid w:val="002825B7"/>
    <w:rsid w:val="00283544"/>
    <w:rsid w:val="002849C5"/>
    <w:rsid w:val="002901CC"/>
    <w:rsid w:val="00292E2B"/>
    <w:rsid w:val="00294FCD"/>
    <w:rsid w:val="0029634E"/>
    <w:rsid w:val="002976C0"/>
    <w:rsid w:val="002A1B72"/>
    <w:rsid w:val="002A23D3"/>
    <w:rsid w:val="002A451F"/>
    <w:rsid w:val="002A4A7F"/>
    <w:rsid w:val="002A4DE6"/>
    <w:rsid w:val="002B11C2"/>
    <w:rsid w:val="002C4538"/>
    <w:rsid w:val="002C491F"/>
    <w:rsid w:val="002D2024"/>
    <w:rsid w:val="002D340A"/>
    <w:rsid w:val="002D674E"/>
    <w:rsid w:val="002E13BA"/>
    <w:rsid w:val="002E2FDD"/>
    <w:rsid w:val="002E2FEF"/>
    <w:rsid w:val="002F00C8"/>
    <w:rsid w:val="002F054B"/>
    <w:rsid w:val="002F0D35"/>
    <w:rsid w:val="002F38AD"/>
    <w:rsid w:val="002F3FED"/>
    <w:rsid w:val="00300D14"/>
    <w:rsid w:val="00302482"/>
    <w:rsid w:val="003048D3"/>
    <w:rsid w:val="00305B03"/>
    <w:rsid w:val="00310356"/>
    <w:rsid w:val="00312069"/>
    <w:rsid w:val="0031324C"/>
    <w:rsid w:val="003150E2"/>
    <w:rsid w:val="00322B47"/>
    <w:rsid w:val="0032417A"/>
    <w:rsid w:val="00327B96"/>
    <w:rsid w:val="003311BC"/>
    <w:rsid w:val="00331A3D"/>
    <w:rsid w:val="00333521"/>
    <w:rsid w:val="00333817"/>
    <w:rsid w:val="00334057"/>
    <w:rsid w:val="00334A81"/>
    <w:rsid w:val="00341FF3"/>
    <w:rsid w:val="0034350A"/>
    <w:rsid w:val="00344390"/>
    <w:rsid w:val="003443EA"/>
    <w:rsid w:val="00346939"/>
    <w:rsid w:val="0035144E"/>
    <w:rsid w:val="00351856"/>
    <w:rsid w:val="00351C84"/>
    <w:rsid w:val="00356C7B"/>
    <w:rsid w:val="00360D57"/>
    <w:rsid w:val="003648A2"/>
    <w:rsid w:val="0036548D"/>
    <w:rsid w:val="003748A6"/>
    <w:rsid w:val="00375497"/>
    <w:rsid w:val="00377941"/>
    <w:rsid w:val="0038009B"/>
    <w:rsid w:val="00381B02"/>
    <w:rsid w:val="003869DD"/>
    <w:rsid w:val="00386AFA"/>
    <w:rsid w:val="00390F34"/>
    <w:rsid w:val="00392B41"/>
    <w:rsid w:val="00395361"/>
    <w:rsid w:val="00396346"/>
    <w:rsid w:val="003A115A"/>
    <w:rsid w:val="003A63C5"/>
    <w:rsid w:val="003B3856"/>
    <w:rsid w:val="003B7E2E"/>
    <w:rsid w:val="003C123F"/>
    <w:rsid w:val="003C2718"/>
    <w:rsid w:val="003C4941"/>
    <w:rsid w:val="003D335A"/>
    <w:rsid w:val="003D58BF"/>
    <w:rsid w:val="003D6070"/>
    <w:rsid w:val="003D6ADA"/>
    <w:rsid w:val="003E39F2"/>
    <w:rsid w:val="003E41E4"/>
    <w:rsid w:val="003E42A8"/>
    <w:rsid w:val="003E6A35"/>
    <w:rsid w:val="003E6F7E"/>
    <w:rsid w:val="003E7D92"/>
    <w:rsid w:val="003F0A93"/>
    <w:rsid w:val="003F4B7D"/>
    <w:rsid w:val="003F60EF"/>
    <w:rsid w:val="003F6225"/>
    <w:rsid w:val="003F7619"/>
    <w:rsid w:val="00401834"/>
    <w:rsid w:val="00403F9B"/>
    <w:rsid w:val="00405E28"/>
    <w:rsid w:val="00410316"/>
    <w:rsid w:val="00412BF0"/>
    <w:rsid w:val="004136D1"/>
    <w:rsid w:val="004168D1"/>
    <w:rsid w:val="0041747E"/>
    <w:rsid w:val="00417843"/>
    <w:rsid w:val="00425F9C"/>
    <w:rsid w:val="0042602C"/>
    <w:rsid w:val="004275FA"/>
    <w:rsid w:val="00427D85"/>
    <w:rsid w:val="004322A8"/>
    <w:rsid w:val="00432BC9"/>
    <w:rsid w:val="0043520F"/>
    <w:rsid w:val="00435C2E"/>
    <w:rsid w:val="00435D3F"/>
    <w:rsid w:val="004375CE"/>
    <w:rsid w:val="00440624"/>
    <w:rsid w:val="0044086A"/>
    <w:rsid w:val="004418BA"/>
    <w:rsid w:val="00444B4C"/>
    <w:rsid w:val="00446D36"/>
    <w:rsid w:val="00447572"/>
    <w:rsid w:val="00450A2E"/>
    <w:rsid w:val="00456296"/>
    <w:rsid w:val="004604DA"/>
    <w:rsid w:val="00463279"/>
    <w:rsid w:val="0046437D"/>
    <w:rsid w:val="00470431"/>
    <w:rsid w:val="00471AA1"/>
    <w:rsid w:val="004867E1"/>
    <w:rsid w:val="0048719E"/>
    <w:rsid w:val="00492FE6"/>
    <w:rsid w:val="004A0CCB"/>
    <w:rsid w:val="004A2104"/>
    <w:rsid w:val="004A44BC"/>
    <w:rsid w:val="004A7773"/>
    <w:rsid w:val="004B1E6F"/>
    <w:rsid w:val="004B20CD"/>
    <w:rsid w:val="004B2805"/>
    <w:rsid w:val="004B7EEE"/>
    <w:rsid w:val="004C0713"/>
    <w:rsid w:val="004C1CF4"/>
    <w:rsid w:val="004C4FCA"/>
    <w:rsid w:val="004C56E6"/>
    <w:rsid w:val="004C6D31"/>
    <w:rsid w:val="004D297F"/>
    <w:rsid w:val="004D341E"/>
    <w:rsid w:val="004D342E"/>
    <w:rsid w:val="004D440B"/>
    <w:rsid w:val="004D479B"/>
    <w:rsid w:val="004D4F53"/>
    <w:rsid w:val="004D60A7"/>
    <w:rsid w:val="004E47A9"/>
    <w:rsid w:val="004E4B79"/>
    <w:rsid w:val="004E592D"/>
    <w:rsid w:val="004E762E"/>
    <w:rsid w:val="004F1369"/>
    <w:rsid w:val="004F47E9"/>
    <w:rsid w:val="004F4AC0"/>
    <w:rsid w:val="004F7584"/>
    <w:rsid w:val="00500587"/>
    <w:rsid w:val="0050383C"/>
    <w:rsid w:val="00507332"/>
    <w:rsid w:val="005118D7"/>
    <w:rsid w:val="00511C44"/>
    <w:rsid w:val="00515041"/>
    <w:rsid w:val="005175E1"/>
    <w:rsid w:val="0052112F"/>
    <w:rsid w:val="005309FC"/>
    <w:rsid w:val="00530B40"/>
    <w:rsid w:val="00531D44"/>
    <w:rsid w:val="00533606"/>
    <w:rsid w:val="00534143"/>
    <w:rsid w:val="00535CB8"/>
    <w:rsid w:val="00541C9A"/>
    <w:rsid w:val="00543960"/>
    <w:rsid w:val="00544E5A"/>
    <w:rsid w:val="00546CF7"/>
    <w:rsid w:val="0054772F"/>
    <w:rsid w:val="00550AD9"/>
    <w:rsid w:val="005517C4"/>
    <w:rsid w:val="00552522"/>
    <w:rsid w:val="00554781"/>
    <w:rsid w:val="00554BFB"/>
    <w:rsid w:val="00557A59"/>
    <w:rsid w:val="00557E93"/>
    <w:rsid w:val="00560F72"/>
    <w:rsid w:val="00563230"/>
    <w:rsid w:val="005666A4"/>
    <w:rsid w:val="005668DE"/>
    <w:rsid w:val="00574D17"/>
    <w:rsid w:val="0058159A"/>
    <w:rsid w:val="00584CCE"/>
    <w:rsid w:val="00585B41"/>
    <w:rsid w:val="0058735E"/>
    <w:rsid w:val="005913AE"/>
    <w:rsid w:val="00591F44"/>
    <w:rsid w:val="005962B4"/>
    <w:rsid w:val="005A5C32"/>
    <w:rsid w:val="005A7A9D"/>
    <w:rsid w:val="005B1DCA"/>
    <w:rsid w:val="005B4BF5"/>
    <w:rsid w:val="005C1CC5"/>
    <w:rsid w:val="005C4502"/>
    <w:rsid w:val="005C6EC9"/>
    <w:rsid w:val="005D1EC6"/>
    <w:rsid w:val="005D4FDB"/>
    <w:rsid w:val="005D6410"/>
    <w:rsid w:val="005D7C50"/>
    <w:rsid w:val="005E226A"/>
    <w:rsid w:val="005E3264"/>
    <w:rsid w:val="005E32E6"/>
    <w:rsid w:val="005E642E"/>
    <w:rsid w:val="005E6D3B"/>
    <w:rsid w:val="005E72C8"/>
    <w:rsid w:val="005F716D"/>
    <w:rsid w:val="00600D2B"/>
    <w:rsid w:val="00604729"/>
    <w:rsid w:val="00605DA4"/>
    <w:rsid w:val="00607F5B"/>
    <w:rsid w:val="0063397D"/>
    <w:rsid w:val="00640499"/>
    <w:rsid w:val="006407B5"/>
    <w:rsid w:val="00643EB9"/>
    <w:rsid w:val="00651800"/>
    <w:rsid w:val="006576A5"/>
    <w:rsid w:val="006631EA"/>
    <w:rsid w:val="006646EE"/>
    <w:rsid w:val="00667E5E"/>
    <w:rsid w:val="00671FC0"/>
    <w:rsid w:val="006730D3"/>
    <w:rsid w:val="006735D8"/>
    <w:rsid w:val="00676A97"/>
    <w:rsid w:val="0068113A"/>
    <w:rsid w:val="00686DB2"/>
    <w:rsid w:val="006911B8"/>
    <w:rsid w:val="00692609"/>
    <w:rsid w:val="00692B5F"/>
    <w:rsid w:val="006977A3"/>
    <w:rsid w:val="006A39EE"/>
    <w:rsid w:val="006A446F"/>
    <w:rsid w:val="006A4844"/>
    <w:rsid w:val="006B2590"/>
    <w:rsid w:val="006B2A66"/>
    <w:rsid w:val="006C1EE1"/>
    <w:rsid w:val="006C50C2"/>
    <w:rsid w:val="006D06BC"/>
    <w:rsid w:val="006D0CA2"/>
    <w:rsid w:val="006D1CB5"/>
    <w:rsid w:val="006D43FF"/>
    <w:rsid w:val="006E09FB"/>
    <w:rsid w:val="006E4399"/>
    <w:rsid w:val="006E4D95"/>
    <w:rsid w:val="006E4DF6"/>
    <w:rsid w:val="006E4DF9"/>
    <w:rsid w:val="006E5659"/>
    <w:rsid w:val="006E681B"/>
    <w:rsid w:val="006E6C35"/>
    <w:rsid w:val="006E7B12"/>
    <w:rsid w:val="006F120F"/>
    <w:rsid w:val="006F56CA"/>
    <w:rsid w:val="0070354E"/>
    <w:rsid w:val="007035CD"/>
    <w:rsid w:val="007054EA"/>
    <w:rsid w:val="00710F9D"/>
    <w:rsid w:val="007111D8"/>
    <w:rsid w:val="007124A5"/>
    <w:rsid w:val="00717911"/>
    <w:rsid w:val="007221DB"/>
    <w:rsid w:val="007228B8"/>
    <w:rsid w:val="0072374D"/>
    <w:rsid w:val="007321D6"/>
    <w:rsid w:val="00733F92"/>
    <w:rsid w:val="00740006"/>
    <w:rsid w:val="007419F9"/>
    <w:rsid w:val="00741F62"/>
    <w:rsid w:val="00743D9C"/>
    <w:rsid w:val="00744BDF"/>
    <w:rsid w:val="00744DEB"/>
    <w:rsid w:val="0075176D"/>
    <w:rsid w:val="00751FBA"/>
    <w:rsid w:val="007577C1"/>
    <w:rsid w:val="00763D17"/>
    <w:rsid w:val="00764A13"/>
    <w:rsid w:val="00764D05"/>
    <w:rsid w:val="007663AC"/>
    <w:rsid w:val="00772ABD"/>
    <w:rsid w:val="00773347"/>
    <w:rsid w:val="00773D28"/>
    <w:rsid w:val="00780C73"/>
    <w:rsid w:val="00782A36"/>
    <w:rsid w:val="0078382F"/>
    <w:rsid w:val="0078467C"/>
    <w:rsid w:val="0079300B"/>
    <w:rsid w:val="007A26A7"/>
    <w:rsid w:val="007A382F"/>
    <w:rsid w:val="007A42D6"/>
    <w:rsid w:val="007B576B"/>
    <w:rsid w:val="007B6CC1"/>
    <w:rsid w:val="007B70BF"/>
    <w:rsid w:val="007B76A6"/>
    <w:rsid w:val="007C1911"/>
    <w:rsid w:val="007D5986"/>
    <w:rsid w:val="007D6407"/>
    <w:rsid w:val="007D75FD"/>
    <w:rsid w:val="007E4B7D"/>
    <w:rsid w:val="007F2186"/>
    <w:rsid w:val="007F2472"/>
    <w:rsid w:val="007F357E"/>
    <w:rsid w:val="007F46D5"/>
    <w:rsid w:val="007F4E06"/>
    <w:rsid w:val="007F5FD8"/>
    <w:rsid w:val="0080134B"/>
    <w:rsid w:val="00805A25"/>
    <w:rsid w:val="00812E58"/>
    <w:rsid w:val="0081557A"/>
    <w:rsid w:val="008157D3"/>
    <w:rsid w:val="008176A5"/>
    <w:rsid w:val="00817CD8"/>
    <w:rsid w:val="00821E54"/>
    <w:rsid w:val="008240E8"/>
    <w:rsid w:val="00827F30"/>
    <w:rsid w:val="00831FD1"/>
    <w:rsid w:val="00835868"/>
    <w:rsid w:val="008422FD"/>
    <w:rsid w:val="008435CF"/>
    <w:rsid w:val="008451E6"/>
    <w:rsid w:val="008467E6"/>
    <w:rsid w:val="00846B7A"/>
    <w:rsid w:val="0084719E"/>
    <w:rsid w:val="00850E2D"/>
    <w:rsid w:val="00854B66"/>
    <w:rsid w:val="00855960"/>
    <w:rsid w:val="00860A87"/>
    <w:rsid w:val="00871109"/>
    <w:rsid w:val="00871371"/>
    <w:rsid w:val="00871E20"/>
    <w:rsid w:val="00871F01"/>
    <w:rsid w:val="00876C40"/>
    <w:rsid w:val="00877B3B"/>
    <w:rsid w:val="00880045"/>
    <w:rsid w:val="008824AA"/>
    <w:rsid w:val="00883856"/>
    <w:rsid w:val="00883FB8"/>
    <w:rsid w:val="008841D5"/>
    <w:rsid w:val="00884D48"/>
    <w:rsid w:val="00886599"/>
    <w:rsid w:val="00886BA6"/>
    <w:rsid w:val="00886D7F"/>
    <w:rsid w:val="00887FEB"/>
    <w:rsid w:val="00890C57"/>
    <w:rsid w:val="00891ACC"/>
    <w:rsid w:val="00891BEC"/>
    <w:rsid w:val="0089501B"/>
    <w:rsid w:val="008A488B"/>
    <w:rsid w:val="008A55A4"/>
    <w:rsid w:val="008A6EF8"/>
    <w:rsid w:val="008B016F"/>
    <w:rsid w:val="008B437B"/>
    <w:rsid w:val="008B570C"/>
    <w:rsid w:val="008B690B"/>
    <w:rsid w:val="008B7E98"/>
    <w:rsid w:val="008C2575"/>
    <w:rsid w:val="008C2C06"/>
    <w:rsid w:val="008C33D5"/>
    <w:rsid w:val="008C3FC2"/>
    <w:rsid w:val="008D194F"/>
    <w:rsid w:val="008D68D3"/>
    <w:rsid w:val="008E0C16"/>
    <w:rsid w:val="008F2436"/>
    <w:rsid w:val="008F57D4"/>
    <w:rsid w:val="00915613"/>
    <w:rsid w:val="0091779F"/>
    <w:rsid w:val="00920AB8"/>
    <w:rsid w:val="00921DFC"/>
    <w:rsid w:val="009268A2"/>
    <w:rsid w:val="00926F54"/>
    <w:rsid w:val="00931848"/>
    <w:rsid w:val="00932F2D"/>
    <w:rsid w:val="009359CA"/>
    <w:rsid w:val="009404E9"/>
    <w:rsid w:val="0094264A"/>
    <w:rsid w:val="009479B0"/>
    <w:rsid w:val="00947E64"/>
    <w:rsid w:val="009510AA"/>
    <w:rsid w:val="00957338"/>
    <w:rsid w:val="0095786E"/>
    <w:rsid w:val="00957F28"/>
    <w:rsid w:val="009600DB"/>
    <w:rsid w:val="009616CD"/>
    <w:rsid w:val="009676AE"/>
    <w:rsid w:val="009742F9"/>
    <w:rsid w:val="009772EB"/>
    <w:rsid w:val="0098090A"/>
    <w:rsid w:val="009830BB"/>
    <w:rsid w:val="00983257"/>
    <w:rsid w:val="00986953"/>
    <w:rsid w:val="009879F9"/>
    <w:rsid w:val="00990503"/>
    <w:rsid w:val="00997F74"/>
    <w:rsid w:val="009A18C0"/>
    <w:rsid w:val="009A36E3"/>
    <w:rsid w:val="009A5ED8"/>
    <w:rsid w:val="009B12B7"/>
    <w:rsid w:val="009B281E"/>
    <w:rsid w:val="009B78BB"/>
    <w:rsid w:val="009C0122"/>
    <w:rsid w:val="009C138D"/>
    <w:rsid w:val="009C6612"/>
    <w:rsid w:val="009D043D"/>
    <w:rsid w:val="009D3E80"/>
    <w:rsid w:val="009D7669"/>
    <w:rsid w:val="009E0E42"/>
    <w:rsid w:val="009F30C0"/>
    <w:rsid w:val="009F616F"/>
    <w:rsid w:val="009F7952"/>
    <w:rsid w:val="009F7B5C"/>
    <w:rsid w:val="00A0142C"/>
    <w:rsid w:val="00A01AF9"/>
    <w:rsid w:val="00A032A5"/>
    <w:rsid w:val="00A0484B"/>
    <w:rsid w:val="00A04CBD"/>
    <w:rsid w:val="00A062F4"/>
    <w:rsid w:val="00A06D23"/>
    <w:rsid w:val="00A12AF1"/>
    <w:rsid w:val="00A1657C"/>
    <w:rsid w:val="00A253B0"/>
    <w:rsid w:val="00A30AA7"/>
    <w:rsid w:val="00A320A7"/>
    <w:rsid w:val="00A33F8D"/>
    <w:rsid w:val="00A40B96"/>
    <w:rsid w:val="00A4195C"/>
    <w:rsid w:val="00A51356"/>
    <w:rsid w:val="00A55F00"/>
    <w:rsid w:val="00A56513"/>
    <w:rsid w:val="00A60C94"/>
    <w:rsid w:val="00A6370B"/>
    <w:rsid w:val="00A63FB0"/>
    <w:rsid w:val="00A64490"/>
    <w:rsid w:val="00A64A9E"/>
    <w:rsid w:val="00A75149"/>
    <w:rsid w:val="00A76EDB"/>
    <w:rsid w:val="00A772FD"/>
    <w:rsid w:val="00A83C84"/>
    <w:rsid w:val="00A863B0"/>
    <w:rsid w:val="00A942DE"/>
    <w:rsid w:val="00A9663D"/>
    <w:rsid w:val="00A9696F"/>
    <w:rsid w:val="00A97D63"/>
    <w:rsid w:val="00AA03F2"/>
    <w:rsid w:val="00AA12D4"/>
    <w:rsid w:val="00AA12F3"/>
    <w:rsid w:val="00AB2629"/>
    <w:rsid w:val="00AB459B"/>
    <w:rsid w:val="00AB5AA1"/>
    <w:rsid w:val="00AD0280"/>
    <w:rsid w:val="00AD16D8"/>
    <w:rsid w:val="00AD2123"/>
    <w:rsid w:val="00AD23E1"/>
    <w:rsid w:val="00AD70AB"/>
    <w:rsid w:val="00AE1A1E"/>
    <w:rsid w:val="00AF0F3F"/>
    <w:rsid w:val="00AF1DBD"/>
    <w:rsid w:val="00AF2A59"/>
    <w:rsid w:val="00AF33C8"/>
    <w:rsid w:val="00AF6A48"/>
    <w:rsid w:val="00B02227"/>
    <w:rsid w:val="00B04B06"/>
    <w:rsid w:val="00B04B3D"/>
    <w:rsid w:val="00B0528C"/>
    <w:rsid w:val="00B05BC8"/>
    <w:rsid w:val="00B07C46"/>
    <w:rsid w:val="00B118A0"/>
    <w:rsid w:val="00B12BEF"/>
    <w:rsid w:val="00B134BD"/>
    <w:rsid w:val="00B1533B"/>
    <w:rsid w:val="00B1662E"/>
    <w:rsid w:val="00B22E66"/>
    <w:rsid w:val="00B24F55"/>
    <w:rsid w:val="00B260EC"/>
    <w:rsid w:val="00B26FFD"/>
    <w:rsid w:val="00B34E45"/>
    <w:rsid w:val="00B410B2"/>
    <w:rsid w:val="00B41A38"/>
    <w:rsid w:val="00B42931"/>
    <w:rsid w:val="00B4387D"/>
    <w:rsid w:val="00B445BD"/>
    <w:rsid w:val="00B47D7A"/>
    <w:rsid w:val="00B5279D"/>
    <w:rsid w:val="00B66D0E"/>
    <w:rsid w:val="00B67795"/>
    <w:rsid w:val="00B7078D"/>
    <w:rsid w:val="00B70A79"/>
    <w:rsid w:val="00B71075"/>
    <w:rsid w:val="00B7379A"/>
    <w:rsid w:val="00B740F2"/>
    <w:rsid w:val="00B857D7"/>
    <w:rsid w:val="00B874B0"/>
    <w:rsid w:val="00B91F8F"/>
    <w:rsid w:val="00B925F0"/>
    <w:rsid w:val="00B94D34"/>
    <w:rsid w:val="00BA390B"/>
    <w:rsid w:val="00BA407B"/>
    <w:rsid w:val="00BB3DA8"/>
    <w:rsid w:val="00BB7622"/>
    <w:rsid w:val="00BC2858"/>
    <w:rsid w:val="00BC3D5B"/>
    <w:rsid w:val="00BC428D"/>
    <w:rsid w:val="00BC5378"/>
    <w:rsid w:val="00BD044B"/>
    <w:rsid w:val="00BD1E82"/>
    <w:rsid w:val="00BD2FF5"/>
    <w:rsid w:val="00BD3636"/>
    <w:rsid w:val="00BE297E"/>
    <w:rsid w:val="00BE2A2C"/>
    <w:rsid w:val="00BE4E01"/>
    <w:rsid w:val="00BE6585"/>
    <w:rsid w:val="00BE6FFF"/>
    <w:rsid w:val="00BF3CD5"/>
    <w:rsid w:val="00BF682B"/>
    <w:rsid w:val="00BF7628"/>
    <w:rsid w:val="00BF78E4"/>
    <w:rsid w:val="00C03CC1"/>
    <w:rsid w:val="00C03F79"/>
    <w:rsid w:val="00C129B4"/>
    <w:rsid w:val="00C13118"/>
    <w:rsid w:val="00C13F77"/>
    <w:rsid w:val="00C17840"/>
    <w:rsid w:val="00C20455"/>
    <w:rsid w:val="00C23B7E"/>
    <w:rsid w:val="00C350FC"/>
    <w:rsid w:val="00C35BF2"/>
    <w:rsid w:val="00C36264"/>
    <w:rsid w:val="00C40A9F"/>
    <w:rsid w:val="00C43E4A"/>
    <w:rsid w:val="00C45912"/>
    <w:rsid w:val="00C50264"/>
    <w:rsid w:val="00C568D2"/>
    <w:rsid w:val="00C60E17"/>
    <w:rsid w:val="00C6228D"/>
    <w:rsid w:val="00C62871"/>
    <w:rsid w:val="00C63802"/>
    <w:rsid w:val="00C64E88"/>
    <w:rsid w:val="00C70686"/>
    <w:rsid w:val="00C713FF"/>
    <w:rsid w:val="00C76366"/>
    <w:rsid w:val="00C77726"/>
    <w:rsid w:val="00C777F5"/>
    <w:rsid w:val="00C83909"/>
    <w:rsid w:val="00C83AE9"/>
    <w:rsid w:val="00C847E0"/>
    <w:rsid w:val="00CA0FA3"/>
    <w:rsid w:val="00CA1CE1"/>
    <w:rsid w:val="00CA29B7"/>
    <w:rsid w:val="00CA398C"/>
    <w:rsid w:val="00CA434D"/>
    <w:rsid w:val="00CA4C7A"/>
    <w:rsid w:val="00CA5627"/>
    <w:rsid w:val="00CA6797"/>
    <w:rsid w:val="00CB067C"/>
    <w:rsid w:val="00CB1FD8"/>
    <w:rsid w:val="00CB3F4D"/>
    <w:rsid w:val="00CB55AF"/>
    <w:rsid w:val="00CB7109"/>
    <w:rsid w:val="00CC2D88"/>
    <w:rsid w:val="00CD0515"/>
    <w:rsid w:val="00CD065C"/>
    <w:rsid w:val="00CD2B9B"/>
    <w:rsid w:val="00CD3EA4"/>
    <w:rsid w:val="00CD412F"/>
    <w:rsid w:val="00CD421A"/>
    <w:rsid w:val="00CD5239"/>
    <w:rsid w:val="00CF066C"/>
    <w:rsid w:val="00CF3EF5"/>
    <w:rsid w:val="00D01A7E"/>
    <w:rsid w:val="00D112AD"/>
    <w:rsid w:val="00D1183D"/>
    <w:rsid w:val="00D119A0"/>
    <w:rsid w:val="00D131E4"/>
    <w:rsid w:val="00D1797C"/>
    <w:rsid w:val="00D17FA9"/>
    <w:rsid w:val="00D210A6"/>
    <w:rsid w:val="00D228CC"/>
    <w:rsid w:val="00D239F7"/>
    <w:rsid w:val="00D26F87"/>
    <w:rsid w:val="00D30033"/>
    <w:rsid w:val="00D32283"/>
    <w:rsid w:val="00D34C41"/>
    <w:rsid w:val="00D4222B"/>
    <w:rsid w:val="00D44ED9"/>
    <w:rsid w:val="00D46485"/>
    <w:rsid w:val="00D476B1"/>
    <w:rsid w:val="00D55DEE"/>
    <w:rsid w:val="00D56376"/>
    <w:rsid w:val="00D5654E"/>
    <w:rsid w:val="00D57444"/>
    <w:rsid w:val="00D6131C"/>
    <w:rsid w:val="00D62024"/>
    <w:rsid w:val="00D64B52"/>
    <w:rsid w:val="00D658E1"/>
    <w:rsid w:val="00D66098"/>
    <w:rsid w:val="00D82E81"/>
    <w:rsid w:val="00D83632"/>
    <w:rsid w:val="00D865B1"/>
    <w:rsid w:val="00D867DF"/>
    <w:rsid w:val="00D9040D"/>
    <w:rsid w:val="00D942EB"/>
    <w:rsid w:val="00D96859"/>
    <w:rsid w:val="00DA1A80"/>
    <w:rsid w:val="00DA3017"/>
    <w:rsid w:val="00DA418A"/>
    <w:rsid w:val="00DA602F"/>
    <w:rsid w:val="00DB2EBF"/>
    <w:rsid w:val="00DB4EFF"/>
    <w:rsid w:val="00DB7CD6"/>
    <w:rsid w:val="00DB7FA3"/>
    <w:rsid w:val="00DC0D9D"/>
    <w:rsid w:val="00DC124E"/>
    <w:rsid w:val="00DC1D21"/>
    <w:rsid w:val="00DC3AC1"/>
    <w:rsid w:val="00DC5B0D"/>
    <w:rsid w:val="00DD6DA0"/>
    <w:rsid w:val="00DE2766"/>
    <w:rsid w:val="00DE2DDE"/>
    <w:rsid w:val="00DE3769"/>
    <w:rsid w:val="00DE3EC6"/>
    <w:rsid w:val="00DF022B"/>
    <w:rsid w:val="00DF3389"/>
    <w:rsid w:val="00DF3A11"/>
    <w:rsid w:val="00DF78F1"/>
    <w:rsid w:val="00DF7AA7"/>
    <w:rsid w:val="00E00DF3"/>
    <w:rsid w:val="00E0309A"/>
    <w:rsid w:val="00E04B6B"/>
    <w:rsid w:val="00E07AF9"/>
    <w:rsid w:val="00E11F4E"/>
    <w:rsid w:val="00E15420"/>
    <w:rsid w:val="00E172C3"/>
    <w:rsid w:val="00E21C35"/>
    <w:rsid w:val="00E21EF2"/>
    <w:rsid w:val="00E24250"/>
    <w:rsid w:val="00E24A4A"/>
    <w:rsid w:val="00E279A5"/>
    <w:rsid w:val="00E33F2D"/>
    <w:rsid w:val="00E350A0"/>
    <w:rsid w:val="00E35CB6"/>
    <w:rsid w:val="00E365CF"/>
    <w:rsid w:val="00E36A35"/>
    <w:rsid w:val="00E36D32"/>
    <w:rsid w:val="00E40D48"/>
    <w:rsid w:val="00E410DC"/>
    <w:rsid w:val="00E45232"/>
    <w:rsid w:val="00E529B0"/>
    <w:rsid w:val="00E55222"/>
    <w:rsid w:val="00E60649"/>
    <w:rsid w:val="00E62737"/>
    <w:rsid w:val="00E63F3B"/>
    <w:rsid w:val="00E73D2D"/>
    <w:rsid w:val="00E744CF"/>
    <w:rsid w:val="00E80BF7"/>
    <w:rsid w:val="00E90478"/>
    <w:rsid w:val="00E9220E"/>
    <w:rsid w:val="00E9347A"/>
    <w:rsid w:val="00EA012C"/>
    <w:rsid w:val="00EA5119"/>
    <w:rsid w:val="00EB24D9"/>
    <w:rsid w:val="00EB2F6F"/>
    <w:rsid w:val="00EB7A89"/>
    <w:rsid w:val="00EC040D"/>
    <w:rsid w:val="00EC1582"/>
    <w:rsid w:val="00EC2D19"/>
    <w:rsid w:val="00EC5F89"/>
    <w:rsid w:val="00EC6690"/>
    <w:rsid w:val="00ED013B"/>
    <w:rsid w:val="00ED2FAF"/>
    <w:rsid w:val="00ED759C"/>
    <w:rsid w:val="00EE1244"/>
    <w:rsid w:val="00EE2DE5"/>
    <w:rsid w:val="00EE4C09"/>
    <w:rsid w:val="00EE5DBA"/>
    <w:rsid w:val="00EF14F6"/>
    <w:rsid w:val="00EF2CEE"/>
    <w:rsid w:val="00EF3B5D"/>
    <w:rsid w:val="00EF4A62"/>
    <w:rsid w:val="00EF4A78"/>
    <w:rsid w:val="00F01498"/>
    <w:rsid w:val="00F05961"/>
    <w:rsid w:val="00F07EAC"/>
    <w:rsid w:val="00F12034"/>
    <w:rsid w:val="00F16889"/>
    <w:rsid w:val="00F17C0F"/>
    <w:rsid w:val="00F21407"/>
    <w:rsid w:val="00F247A6"/>
    <w:rsid w:val="00F30C00"/>
    <w:rsid w:val="00F30D40"/>
    <w:rsid w:val="00F32075"/>
    <w:rsid w:val="00F32489"/>
    <w:rsid w:val="00F33076"/>
    <w:rsid w:val="00F33A97"/>
    <w:rsid w:val="00F33B83"/>
    <w:rsid w:val="00F348D0"/>
    <w:rsid w:val="00F37322"/>
    <w:rsid w:val="00F42232"/>
    <w:rsid w:val="00F42828"/>
    <w:rsid w:val="00F467D9"/>
    <w:rsid w:val="00F50716"/>
    <w:rsid w:val="00F51384"/>
    <w:rsid w:val="00F5439B"/>
    <w:rsid w:val="00F55110"/>
    <w:rsid w:val="00F55351"/>
    <w:rsid w:val="00F62CD5"/>
    <w:rsid w:val="00F639A4"/>
    <w:rsid w:val="00F65285"/>
    <w:rsid w:val="00F65FAF"/>
    <w:rsid w:val="00F66F59"/>
    <w:rsid w:val="00F67E99"/>
    <w:rsid w:val="00F70571"/>
    <w:rsid w:val="00F708F7"/>
    <w:rsid w:val="00F7771F"/>
    <w:rsid w:val="00F817AF"/>
    <w:rsid w:val="00F830A9"/>
    <w:rsid w:val="00F92998"/>
    <w:rsid w:val="00F92B5F"/>
    <w:rsid w:val="00F94743"/>
    <w:rsid w:val="00F948BA"/>
    <w:rsid w:val="00F94C68"/>
    <w:rsid w:val="00F9508D"/>
    <w:rsid w:val="00F9563B"/>
    <w:rsid w:val="00F95D23"/>
    <w:rsid w:val="00FA1AA1"/>
    <w:rsid w:val="00FA20F6"/>
    <w:rsid w:val="00FA2346"/>
    <w:rsid w:val="00FA2934"/>
    <w:rsid w:val="00FA7B7F"/>
    <w:rsid w:val="00FA7E99"/>
    <w:rsid w:val="00FB216A"/>
    <w:rsid w:val="00FB4324"/>
    <w:rsid w:val="00FB47DA"/>
    <w:rsid w:val="00FC0381"/>
    <w:rsid w:val="00FC4440"/>
    <w:rsid w:val="00FC6086"/>
    <w:rsid w:val="00FC7CBF"/>
    <w:rsid w:val="00FD17D9"/>
    <w:rsid w:val="00FD46E0"/>
    <w:rsid w:val="00FD75A2"/>
    <w:rsid w:val="00FD788F"/>
    <w:rsid w:val="00FE532A"/>
    <w:rsid w:val="00FE760E"/>
    <w:rsid w:val="00FE7A11"/>
    <w:rsid w:val="00FF025A"/>
    <w:rsid w:val="00FF34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F8008-2DEF-411F-AB1D-2B890B35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6F7E"/>
    <w:pPr>
      <w:widowControl w:val="0"/>
      <w:tabs>
        <w:tab w:val="left" w:pos="606"/>
      </w:tabs>
      <w:spacing w:before="100" w:beforeAutospacing="1" w:after="100" w:afterAutospacing="1" w:line="240" w:lineRule="auto"/>
      <w:jc w:val="center"/>
      <w:outlineLvl w:val="0"/>
    </w:pPr>
    <w:rPr>
      <w:rFonts w:eastAsia="Times New Roman"/>
      <w:b/>
      <w:sz w:val="28"/>
      <w:szCs w:val="28"/>
      <w:lang w:eastAsia="lv-LV"/>
    </w:rPr>
  </w:style>
  <w:style w:type="paragraph" w:styleId="Heading2">
    <w:name w:val="heading 2"/>
    <w:basedOn w:val="Normal"/>
    <w:next w:val="Normal"/>
    <w:link w:val="Heading2Char"/>
    <w:uiPriority w:val="9"/>
    <w:unhideWhenUsed/>
    <w:qFormat/>
    <w:rsid w:val="003E6F7E"/>
    <w:pPr>
      <w:spacing w:line="240" w:lineRule="auto"/>
      <w:outlineLvl w:val="1"/>
    </w:pPr>
    <w:rPr>
      <w:b/>
    </w:rPr>
  </w:style>
  <w:style w:type="paragraph" w:styleId="Heading3">
    <w:name w:val="heading 3"/>
    <w:basedOn w:val="Normal"/>
    <w:next w:val="Normal"/>
    <w:link w:val="Heading3Char"/>
    <w:uiPriority w:val="9"/>
    <w:semiHidden/>
    <w:unhideWhenUsed/>
    <w:qFormat/>
    <w:rsid w:val="003E6F7E"/>
    <w:pPr>
      <w:keepNext/>
      <w:keepLines/>
      <w:spacing w:before="40" w:after="0"/>
      <w:outlineLvl w:val="2"/>
    </w:pPr>
    <w:rPr>
      <w:rFonts w:eastAsiaTheme="majorEastAsia" w:cstheme="majorBidi"/>
    </w:rPr>
  </w:style>
  <w:style w:type="paragraph" w:styleId="Heading4">
    <w:name w:val="heading 4"/>
    <w:basedOn w:val="Normal"/>
    <w:link w:val="Heading4Char"/>
    <w:uiPriority w:val="9"/>
    <w:qFormat/>
    <w:rsid w:val="00A9663D"/>
    <w:pPr>
      <w:spacing w:before="100" w:beforeAutospacing="1" w:after="100" w:afterAutospacing="1" w:line="240" w:lineRule="auto"/>
      <w:outlineLvl w:val="3"/>
    </w:pPr>
    <w:rPr>
      <w:rFonts w:eastAsia="Times New Roman"/>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4A7F"/>
    <w:rPr>
      <w:sz w:val="16"/>
      <w:szCs w:val="16"/>
    </w:rPr>
  </w:style>
  <w:style w:type="paragraph" w:styleId="CommentText">
    <w:name w:val="annotation text"/>
    <w:basedOn w:val="Normal"/>
    <w:link w:val="CommentTextChar"/>
    <w:uiPriority w:val="99"/>
    <w:unhideWhenUsed/>
    <w:rsid w:val="002A4A7F"/>
    <w:pPr>
      <w:spacing w:line="240" w:lineRule="auto"/>
    </w:pPr>
    <w:rPr>
      <w:sz w:val="20"/>
      <w:szCs w:val="20"/>
    </w:rPr>
  </w:style>
  <w:style w:type="character" w:customStyle="1" w:styleId="CommentTextChar">
    <w:name w:val="Comment Text Char"/>
    <w:basedOn w:val="DefaultParagraphFont"/>
    <w:link w:val="CommentText"/>
    <w:uiPriority w:val="99"/>
    <w:rsid w:val="002A4A7F"/>
    <w:rPr>
      <w:sz w:val="20"/>
      <w:szCs w:val="20"/>
    </w:rPr>
  </w:style>
  <w:style w:type="paragraph" w:styleId="CommentSubject">
    <w:name w:val="annotation subject"/>
    <w:basedOn w:val="CommentText"/>
    <w:next w:val="CommentText"/>
    <w:link w:val="CommentSubjectChar"/>
    <w:uiPriority w:val="99"/>
    <w:semiHidden/>
    <w:unhideWhenUsed/>
    <w:rsid w:val="002A4A7F"/>
    <w:rPr>
      <w:b/>
      <w:bCs/>
    </w:rPr>
  </w:style>
  <w:style w:type="character" w:customStyle="1" w:styleId="CommentSubjectChar">
    <w:name w:val="Comment Subject Char"/>
    <w:basedOn w:val="CommentTextChar"/>
    <w:link w:val="CommentSubject"/>
    <w:uiPriority w:val="99"/>
    <w:semiHidden/>
    <w:rsid w:val="002A4A7F"/>
    <w:rPr>
      <w:b/>
      <w:bCs/>
      <w:sz w:val="20"/>
      <w:szCs w:val="20"/>
    </w:rPr>
  </w:style>
  <w:style w:type="paragraph" w:styleId="BalloonText">
    <w:name w:val="Balloon Text"/>
    <w:basedOn w:val="Normal"/>
    <w:link w:val="BalloonTextChar"/>
    <w:uiPriority w:val="99"/>
    <w:semiHidden/>
    <w:unhideWhenUsed/>
    <w:rsid w:val="002A4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7F"/>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221AAF"/>
    <w:pPr>
      <w:ind w:left="720"/>
      <w:contextualSpacing/>
    </w:p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unhideWhenUsed/>
    <w:qFormat/>
    <w:rsid w:val="009C0122"/>
    <w:pPr>
      <w:spacing w:after="0" w:line="240" w:lineRule="auto"/>
    </w:pPr>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9C0122"/>
    <w:rPr>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9C0122"/>
    <w:rPr>
      <w:vertAlign w:val="superscript"/>
    </w:rPr>
  </w:style>
  <w:style w:type="character" w:styleId="Hyperlink">
    <w:name w:val="Hyperlink"/>
    <w:basedOn w:val="DefaultParagraphFont"/>
    <w:uiPriority w:val="99"/>
    <w:unhideWhenUsed/>
    <w:rsid w:val="00515041"/>
    <w:rPr>
      <w:color w:val="9454C3" w:themeColor="hyperlink"/>
      <w:u w:val="single"/>
    </w:rPr>
  </w:style>
  <w:style w:type="paragraph" w:styleId="Caption">
    <w:name w:val="caption"/>
    <w:basedOn w:val="Normal"/>
    <w:next w:val="Normal"/>
    <w:uiPriority w:val="35"/>
    <w:unhideWhenUsed/>
    <w:qFormat/>
    <w:rsid w:val="008A488B"/>
    <w:pPr>
      <w:spacing w:after="200" w:line="240" w:lineRule="auto"/>
    </w:pPr>
    <w:rPr>
      <w:i/>
      <w:iCs/>
      <w:color w:val="242852" w:themeColor="text2"/>
      <w:sz w:val="18"/>
      <w:szCs w:val="18"/>
    </w:rPr>
  </w:style>
  <w:style w:type="paragraph" w:customStyle="1" w:styleId="Default">
    <w:name w:val="Default"/>
    <w:link w:val="DefaultChar"/>
    <w:rsid w:val="003F7619"/>
    <w:pPr>
      <w:autoSpaceDE w:val="0"/>
      <w:autoSpaceDN w:val="0"/>
      <w:adjustRightInd w:val="0"/>
      <w:spacing w:after="0" w:line="240" w:lineRule="auto"/>
    </w:pPr>
    <w:rPr>
      <w:rFonts w:ascii="Calibri" w:hAnsi="Calibri" w:cs="Calibri"/>
      <w:color w:val="000000"/>
    </w:rPr>
  </w:style>
  <w:style w:type="character" w:styleId="FollowedHyperlink">
    <w:name w:val="FollowedHyperlink"/>
    <w:basedOn w:val="DefaultParagraphFont"/>
    <w:uiPriority w:val="99"/>
    <w:semiHidden/>
    <w:unhideWhenUsed/>
    <w:rsid w:val="00CD065C"/>
    <w:rPr>
      <w:color w:val="3EBBF0" w:themeColor="followedHyperlink"/>
      <w:u w:val="single"/>
    </w:rPr>
  </w:style>
  <w:style w:type="character" w:customStyle="1" w:styleId="Heading2Char">
    <w:name w:val="Heading 2 Char"/>
    <w:basedOn w:val="DefaultParagraphFont"/>
    <w:link w:val="Heading2"/>
    <w:uiPriority w:val="9"/>
    <w:rsid w:val="003E6F7E"/>
    <w:rPr>
      <w:b/>
    </w:rPr>
  </w:style>
  <w:style w:type="paragraph" w:styleId="NormalWeb">
    <w:name w:val="Normal (Web)"/>
    <w:basedOn w:val="Normal"/>
    <w:uiPriority w:val="99"/>
    <w:unhideWhenUsed/>
    <w:rsid w:val="00A97D63"/>
    <w:pPr>
      <w:spacing w:before="100" w:beforeAutospacing="1" w:after="100" w:afterAutospacing="1" w:line="240" w:lineRule="auto"/>
    </w:pPr>
    <w:rPr>
      <w:rFonts w:eastAsiaTheme="minorEastAsia"/>
      <w:lang w:val="en-GB" w:eastAsia="en-GB"/>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A97D63"/>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A97D63"/>
    <w:pPr>
      <w:spacing w:line="240" w:lineRule="exact"/>
    </w:pPr>
    <w:rPr>
      <w:vertAlign w:val="superscript"/>
    </w:rPr>
  </w:style>
  <w:style w:type="paragraph" w:styleId="Header">
    <w:name w:val="header"/>
    <w:basedOn w:val="Normal"/>
    <w:link w:val="HeaderChar"/>
    <w:uiPriority w:val="99"/>
    <w:unhideWhenUsed/>
    <w:rsid w:val="001A76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76C4"/>
  </w:style>
  <w:style w:type="paragraph" w:styleId="Footer">
    <w:name w:val="footer"/>
    <w:basedOn w:val="Normal"/>
    <w:link w:val="FooterChar"/>
    <w:uiPriority w:val="99"/>
    <w:unhideWhenUsed/>
    <w:rsid w:val="001A76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76C4"/>
  </w:style>
  <w:style w:type="paragraph" w:styleId="EndnoteText">
    <w:name w:val="endnote text"/>
    <w:basedOn w:val="Normal"/>
    <w:link w:val="EndnoteTextChar"/>
    <w:uiPriority w:val="99"/>
    <w:semiHidden/>
    <w:unhideWhenUsed/>
    <w:rsid w:val="002573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3B6"/>
    <w:rPr>
      <w:sz w:val="20"/>
      <w:szCs w:val="20"/>
    </w:rPr>
  </w:style>
  <w:style w:type="character" w:styleId="EndnoteReference">
    <w:name w:val="endnote reference"/>
    <w:basedOn w:val="DefaultParagraphFont"/>
    <w:uiPriority w:val="99"/>
    <w:semiHidden/>
    <w:unhideWhenUsed/>
    <w:rsid w:val="002573B6"/>
    <w:rPr>
      <w:vertAlign w:val="superscript"/>
    </w:rPr>
  </w:style>
  <w:style w:type="character" w:styleId="Emphasis">
    <w:name w:val="Emphasis"/>
    <w:basedOn w:val="DefaultParagraphFont"/>
    <w:uiPriority w:val="20"/>
    <w:qFormat/>
    <w:rsid w:val="00A9663D"/>
    <w:rPr>
      <w:i/>
      <w:iCs/>
    </w:rPr>
  </w:style>
  <w:style w:type="character" w:customStyle="1" w:styleId="Heading4Char">
    <w:name w:val="Heading 4 Char"/>
    <w:basedOn w:val="DefaultParagraphFont"/>
    <w:link w:val="Heading4"/>
    <w:uiPriority w:val="9"/>
    <w:rsid w:val="00A9663D"/>
    <w:rPr>
      <w:rFonts w:eastAsia="Times New Roman"/>
      <w:b/>
      <w:bCs/>
      <w:lang w:eastAsia="lv-LV"/>
    </w:rPr>
  </w:style>
  <w:style w:type="character" w:customStyle="1" w:styleId="DefaultChar">
    <w:name w:val="Default Char"/>
    <w:link w:val="Default"/>
    <w:rsid w:val="001D0D5F"/>
    <w:rPr>
      <w:rFonts w:ascii="Calibri" w:hAnsi="Calibri" w:cs="Calibri"/>
      <w:color w:val="000000"/>
    </w:rPr>
  </w:style>
  <w:style w:type="table" w:styleId="TableGrid">
    <w:name w:val="Table Grid"/>
    <w:basedOn w:val="TableNormal"/>
    <w:uiPriority w:val="39"/>
    <w:rsid w:val="001D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57D7"/>
    <w:pPr>
      <w:spacing w:after="0" w:line="240" w:lineRule="auto"/>
    </w:pPr>
  </w:style>
  <w:style w:type="paragraph" w:customStyle="1" w:styleId="tvhtml">
    <w:name w:val="tv_html"/>
    <w:basedOn w:val="Normal"/>
    <w:rsid w:val="00C70686"/>
    <w:pPr>
      <w:spacing w:before="100" w:beforeAutospacing="1" w:after="100" w:afterAutospacing="1" w:line="240" w:lineRule="auto"/>
    </w:pPr>
    <w:rPr>
      <w:rFonts w:eastAsia="Times New Roman"/>
      <w:lang w:eastAsia="lv-LV"/>
    </w:rPr>
  </w:style>
  <w:style w:type="character" w:customStyle="1" w:styleId="Heading1Char">
    <w:name w:val="Heading 1 Char"/>
    <w:basedOn w:val="DefaultParagraphFont"/>
    <w:link w:val="Heading1"/>
    <w:uiPriority w:val="9"/>
    <w:rsid w:val="003E6F7E"/>
    <w:rPr>
      <w:rFonts w:eastAsia="Times New Roman"/>
      <w:b/>
      <w:sz w:val="28"/>
      <w:szCs w:val="28"/>
      <w:lang w:eastAsia="lv-LV"/>
    </w:rPr>
  </w:style>
  <w:style w:type="paragraph" w:styleId="TOCHeading">
    <w:name w:val="TOC Heading"/>
    <w:basedOn w:val="Heading1"/>
    <w:next w:val="Normal"/>
    <w:uiPriority w:val="39"/>
    <w:unhideWhenUsed/>
    <w:qFormat/>
    <w:rsid w:val="003E6F7E"/>
    <w:pPr>
      <w:outlineLvl w:val="9"/>
    </w:pPr>
    <w:rPr>
      <w:lang w:val="en-US"/>
    </w:rPr>
  </w:style>
  <w:style w:type="paragraph" w:styleId="TOC2">
    <w:name w:val="toc 2"/>
    <w:basedOn w:val="Normal"/>
    <w:next w:val="Normal"/>
    <w:autoRedefine/>
    <w:uiPriority w:val="39"/>
    <w:unhideWhenUsed/>
    <w:rsid w:val="003E6F7E"/>
    <w:pPr>
      <w:spacing w:after="100"/>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3E6F7E"/>
    <w:pPr>
      <w:spacing w:after="10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3E6F7E"/>
    <w:pPr>
      <w:spacing w:after="100"/>
      <w:ind w:left="440"/>
    </w:pPr>
    <w:rPr>
      <w:rFonts w:asciiTheme="minorHAnsi" w:eastAsiaTheme="minorEastAsia" w:hAnsiTheme="minorHAnsi"/>
      <w:sz w:val="22"/>
      <w:szCs w:val="22"/>
      <w:lang w:val="en-US"/>
    </w:rPr>
  </w:style>
  <w:style w:type="character" w:customStyle="1" w:styleId="Heading3Char">
    <w:name w:val="Heading 3 Char"/>
    <w:basedOn w:val="DefaultParagraphFont"/>
    <w:link w:val="Heading3"/>
    <w:uiPriority w:val="9"/>
    <w:semiHidden/>
    <w:rsid w:val="003E6F7E"/>
    <w:rPr>
      <w:rFonts w:eastAsiaTheme="majorEastAsia" w:cstheme="majorBidi"/>
    </w:rPr>
  </w:style>
  <w:style w:type="character" w:customStyle="1" w:styleId="normaltextrun">
    <w:name w:val="normaltextrun"/>
    <w:basedOn w:val="DefaultParagraphFont"/>
    <w:rsid w:val="00DA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2347">
      <w:bodyDiv w:val="1"/>
      <w:marLeft w:val="0"/>
      <w:marRight w:val="0"/>
      <w:marTop w:val="0"/>
      <w:marBottom w:val="0"/>
      <w:divBdr>
        <w:top w:val="none" w:sz="0" w:space="0" w:color="auto"/>
        <w:left w:val="none" w:sz="0" w:space="0" w:color="auto"/>
        <w:bottom w:val="none" w:sz="0" w:space="0" w:color="auto"/>
        <w:right w:val="none" w:sz="0" w:space="0" w:color="auto"/>
      </w:divBdr>
      <w:divsChild>
        <w:div w:id="1442915264">
          <w:marLeft w:val="0"/>
          <w:marRight w:val="0"/>
          <w:marTop w:val="0"/>
          <w:marBottom w:val="0"/>
          <w:divBdr>
            <w:top w:val="none" w:sz="0" w:space="0" w:color="auto"/>
            <w:left w:val="none" w:sz="0" w:space="0" w:color="auto"/>
            <w:bottom w:val="none" w:sz="0" w:space="0" w:color="auto"/>
            <w:right w:val="none" w:sz="0" w:space="0" w:color="auto"/>
          </w:divBdr>
        </w:div>
        <w:div w:id="1472668953">
          <w:marLeft w:val="0"/>
          <w:marRight w:val="0"/>
          <w:marTop w:val="0"/>
          <w:marBottom w:val="0"/>
          <w:divBdr>
            <w:top w:val="none" w:sz="0" w:space="0" w:color="auto"/>
            <w:left w:val="none" w:sz="0" w:space="0" w:color="auto"/>
            <w:bottom w:val="none" w:sz="0" w:space="0" w:color="auto"/>
            <w:right w:val="none" w:sz="0" w:space="0" w:color="auto"/>
          </w:divBdr>
        </w:div>
      </w:divsChild>
    </w:div>
    <w:div w:id="210390283">
      <w:bodyDiv w:val="1"/>
      <w:marLeft w:val="0"/>
      <w:marRight w:val="0"/>
      <w:marTop w:val="0"/>
      <w:marBottom w:val="0"/>
      <w:divBdr>
        <w:top w:val="none" w:sz="0" w:space="0" w:color="auto"/>
        <w:left w:val="none" w:sz="0" w:space="0" w:color="auto"/>
        <w:bottom w:val="none" w:sz="0" w:space="0" w:color="auto"/>
        <w:right w:val="none" w:sz="0" w:space="0" w:color="auto"/>
      </w:divBdr>
    </w:div>
    <w:div w:id="287786556">
      <w:bodyDiv w:val="1"/>
      <w:marLeft w:val="0"/>
      <w:marRight w:val="0"/>
      <w:marTop w:val="0"/>
      <w:marBottom w:val="0"/>
      <w:divBdr>
        <w:top w:val="none" w:sz="0" w:space="0" w:color="auto"/>
        <w:left w:val="none" w:sz="0" w:space="0" w:color="auto"/>
        <w:bottom w:val="none" w:sz="0" w:space="0" w:color="auto"/>
        <w:right w:val="none" w:sz="0" w:space="0" w:color="auto"/>
      </w:divBdr>
    </w:div>
    <w:div w:id="5782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chart" Target="charts/chart8.xml"/><Relationship Id="rId34"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diagramLayout" Target="diagrams/layout1.xm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chart" Target="charts/chart7.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1.xm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0.xml"/><Relationship Id="rId28" Type="http://schemas.microsoft.com/office/2007/relationships/diagramDrawing" Target="diagrams/drawing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diagramColors" Target="diagrams/colors1.xml"/><Relationship Id="rId30" Type="http://schemas.openxmlformats.org/officeDocument/2006/relationships/image" Target="media/image5.png"/><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fla.gov.lv/lv/jaunumi/2020/liela-interese-par-es-fondu-atbalstu-uznemumu-akciju-emisijai" TargetMode="External"/><Relationship Id="rId13" Type="http://schemas.openxmlformats.org/officeDocument/2006/relationships/hyperlink" Target="https://www.fktk.lv/licencesana/inovacijas-un-fintech/" TargetMode="External"/><Relationship Id="rId18" Type="http://schemas.openxmlformats.org/officeDocument/2006/relationships/hyperlink" Target="https://www.eib.org/attachments/efs/eibis_2019_report_on_digitalisation_en.pdf" TargetMode="External"/><Relationship Id="rId3" Type="http://schemas.openxmlformats.org/officeDocument/2006/relationships/hyperlink" Target="https://eur-lex.europa.eu/legal-content/EN/TXT/?qid=1591119459569&amp;uri=CELEX:52020DC0123" TargetMode="External"/><Relationship Id="rId21" Type="http://schemas.openxmlformats.org/officeDocument/2006/relationships/hyperlink" Target="https://www.bank.lv/lb-publikacijas/finansu-stabilitates-parskats" TargetMode="External"/><Relationship Id="rId7" Type="http://schemas.openxmlformats.org/officeDocument/2006/relationships/hyperlink" Target="https://www.financelatvia.eu/nozares-dati/" TargetMode="External"/><Relationship Id="rId12" Type="http://schemas.openxmlformats.org/officeDocument/2006/relationships/hyperlink" Target="https://www.bank.lv/par-mums/jaunumi/678-raksti/11853-maksajumu-attistiba-digitalaja-laikmeta" TargetMode="External"/><Relationship Id="rId17" Type="http://schemas.openxmlformats.org/officeDocument/2006/relationships/hyperlink" Target="https://www.eib.org/en/publications/financing-the-digitalisation-of-smes-report" TargetMode="External"/><Relationship Id="rId2" Type="http://schemas.openxmlformats.org/officeDocument/2006/relationships/hyperlink" Target="https://www.imf.org/en/Publications/WEO/Issues/2020/09/30/world-economic-outlook-october-2020" TargetMode="External"/><Relationship Id="rId16" Type="http://schemas.openxmlformats.org/officeDocument/2006/relationships/hyperlink" Target="http://www.oecd.org/going-digital/measuring-the-digital-transformation-9789264311992-en.htm" TargetMode="External"/><Relationship Id="rId20" Type="http://schemas.openxmlformats.org/officeDocument/2006/relationships/hyperlink" Target="https://ec.europa.eu/digital-single-market/en/integration-digital-technology" TargetMode="External"/><Relationship Id="rId1" Type="http://schemas.openxmlformats.org/officeDocument/2006/relationships/hyperlink" Target="https://ec.europa.eu/info/business-economy-euro/economic-performance-and-forecasts/economic-forecasts/summer-2020-economic-forecast-deeper-recession-wider-divergences_en" TargetMode="External"/><Relationship Id="rId6" Type="http://schemas.openxmlformats.org/officeDocument/2006/relationships/hyperlink" Target="https://datnes.latvijasbanka.lv/publ/BLS_2020_jul_LV.pdf" TargetMode="External"/><Relationship Id="rId11" Type="http://schemas.openxmlformats.org/officeDocument/2006/relationships/hyperlink" Target="https://www.ecb.europa.eu/pub/pdf/other/Report_on_a_digital_euro~4d7268b458.en.pdf" TargetMode="External"/><Relationship Id="rId5" Type="http://schemas.openxmlformats.org/officeDocument/2006/relationships/hyperlink" Target="https://eba.europa.eu/risk-analysis-and-data/risk-dashboard" TargetMode="External"/><Relationship Id="rId15" Type="http://schemas.openxmlformats.org/officeDocument/2006/relationships/hyperlink" Target="https://www.lb.lt/en/news/electronic-money-and-payment-institutions-managed-to-withstand-the-shock-of-covid-19" TargetMode="External"/><Relationship Id="rId10" Type="http://schemas.openxmlformats.org/officeDocument/2006/relationships/hyperlink" Target="http://www.oecd.org/daf/fin/private-pensions/globalpensionstatistics.htm" TargetMode="External"/><Relationship Id="rId19" Type="http://schemas.openxmlformats.org/officeDocument/2006/relationships/hyperlink" Target="https://ec.europa.eu/digital-single-market/en/scoreboard/latvia" TargetMode="External"/><Relationship Id="rId4" Type="http://schemas.openxmlformats.org/officeDocument/2006/relationships/hyperlink" Target="https://likumi.lv/ta/id/317729-par-pasakumu-planu-noziedzigi-iegutu-lidzeklu-legalizacijas-terorisma-un-proliferacijas-finansesanas-noversanai-laikposmam" TargetMode="External"/><Relationship Id="rId9" Type="http://schemas.openxmlformats.org/officeDocument/2006/relationships/hyperlink" Target="https://www.oecd.org/latvia/oecd-reviews-of-pension-systems-latvia-9789264289390-en.htm" TargetMode="External"/><Relationship Id="rId14" Type="http://schemas.openxmlformats.org/officeDocument/2006/relationships/hyperlink" Target="https://businessnetwork.lv/ievads/finanses/start-up-petijums-53037?utm_source=db&amp;utm_medium=widget&amp;utm_content=start-up-petijums-5303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fi-zitce\AppData\Local\Microsoft\Windows\INetCache\Content.Outlook\EROKT8B3\Eiropas%20Centr&#257;l&#257;s%20bankas%20eiro%20zonas%20banku%20kredit&#275;&#353;anas%20aptaujas%20dati%20par%20Latvijas%20liel&#257;kaj&#257;m%20bank&#257;m.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fk\personal$\ftpd\fi-pukit\FSAP\2020\Copy%20of%20Grafiki__madarai_04_09_2020_GP.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fk\ftpd\FTPD\Aija%20Zitcere\FSAP%202021-2023\tirgus%20kapitaliz&#257;cij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k\ftpd\FTPD\Aija%20Zitcere\FSAP%202021-2023\Nasdaq%20Turnover%20by%20months_F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k\ftpd\FTPD\Aija%20Zitcere\FSAP%202021-2023\statistika\penetrat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k\personal$\ftpd\fi-pastu\2020%20from%20birojs\Financial%20Markets\02%202020\Insurance%20LV%20feb%202020.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fk\ftpd\FTPD\Aija%20Zitcere\FSAP%202021-2023\statistika\penetrati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k\ftpd\FTPD\Aija%20Zitcere\FSAP%202021-2023\statistika\finan&#353;u%20kont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k\ftpd\FTPD\Aija%20Zitcere\FSAP%202021-2023\statistika\7_tabula_MFPA2017%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k\personal$\ftpd\fi-pukit\FSAP\2020\Copy%20of%20Grafiki__madarai_04_09_2020_GP.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315686535559865"/>
          <c:y val="4.8633547672212618E-2"/>
          <c:w val="0.52524439879797635"/>
          <c:h val="0.819666235750382"/>
        </c:manualLayout>
      </c:layout>
      <c:barChart>
        <c:barDir val="col"/>
        <c:grouping val="clustered"/>
        <c:varyColors val="0"/>
        <c:ser>
          <c:idx val="0"/>
          <c:order val="0"/>
          <c:tx>
            <c:strRef>
              <c:f>'[Eiropas Centrālās bankas eiro zonas banku kreditēšanas aptaujas dati par Latvijas lielākajām bankām.xlsx]NRD.'!$A$6</c:f>
              <c:strCache>
                <c:ptCount val="1"/>
                <c:pt idx="0">
                  <c:v>Apstiprināto pieteikumu īpatsvars</c:v>
                </c:pt>
              </c:strCache>
            </c:strRef>
          </c:tx>
          <c:spPr>
            <a:solidFill>
              <a:srgbClr val="FF0000"/>
            </a:solidFill>
            <a:ln>
              <a:noFill/>
            </a:ln>
            <a:effectLst/>
          </c:spPr>
          <c:invertIfNegative val="0"/>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bankām.xlsx]NRD.'!$B$6:$W$6</c:f>
              <c:numCache>
                <c:formatCode>0</c:formatCode>
                <c:ptCount val="22"/>
                <c:pt idx="0">
                  <c:v>-25</c:v>
                </c:pt>
                <c:pt idx="1">
                  <c:v>0</c:v>
                </c:pt>
                <c:pt idx="2">
                  <c:v>25</c:v>
                </c:pt>
                <c:pt idx="3">
                  <c:v>0</c:v>
                </c:pt>
                <c:pt idx="4">
                  <c:v>0</c:v>
                </c:pt>
                <c:pt idx="5">
                  <c:v>0</c:v>
                </c:pt>
                <c:pt idx="6">
                  <c:v>0</c:v>
                </c:pt>
                <c:pt idx="7">
                  <c:v>0</c:v>
                </c:pt>
                <c:pt idx="8">
                  <c:v>25</c:v>
                </c:pt>
                <c:pt idx="9">
                  <c:v>0</c:v>
                </c:pt>
                <c:pt idx="10">
                  <c:v>-25</c:v>
                </c:pt>
                <c:pt idx="11">
                  <c:v>0</c:v>
                </c:pt>
                <c:pt idx="12">
                  <c:v>0</c:v>
                </c:pt>
                <c:pt idx="13">
                  <c:v>-50</c:v>
                </c:pt>
                <c:pt idx="14">
                  <c:v>-25</c:v>
                </c:pt>
                <c:pt idx="15">
                  <c:v>0</c:v>
                </c:pt>
                <c:pt idx="16">
                  <c:v>-25</c:v>
                </c:pt>
                <c:pt idx="17">
                  <c:v>0</c:v>
                </c:pt>
                <c:pt idx="18">
                  <c:v>0</c:v>
                </c:pt>
                <c:pt idx="19">
                  <c:v>-25</c:v>
                </c:pt>
                <c:pt idx="20">
                  <c:v>-25</c:v>
                </c:pt>
                <c:pt idx="21">
                  <c:v>-75</c:v>
                </c:pt>
              </c:numCache>
            </c:numRef>
          </c:val>
          <c:extLst>
            <c:ext xmlns:c16="http://schemas.microsoft.com/office/drawing/2014/chart" uri="{C3380CC4-5D6E-409C-BE32-E72D297353CC}">
              <c16:uniqueId val="{00000000-9F39-424D-9DAD-7153DC01E3C9}"/>
            </c:ext>
          </c:extLst>
        </c:ser>
        <c:ser>
          <c:idx val="1"/>
          <c:order val="1"/>
          <c:tx>
            <c:strRef>
              <c:f>'[Eiropas Centrālās bankas eiro zonas banku kreditēšanas aptaujas dati par Latvijas lielākajām bankām.xlsx]NRD.'!$A$7</c:f>
              <c:strCache>
                <c:ptCount val="1"/>
                <c:pt idx="0">
                  <c:v>Kredītu standartu mīkstināšana</c:v>
                </c:pt>
              </c:strCache>
            </c:strRef>
          </c:tx>
          <c:spPr>
            <a:solidFill>
              <a:schemeClr val="accent2">
                <a:lumMod val="50000"/>
              </a:schemeClr>
            </a:solidFill>
            <a:ln>
              <a:noFill/>
            </a:ln>
            <a:effectLst/>
          </c:spPr>
          <c:invertIfNegative val="0"/>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bankām.xlsx]NRD.'!$B$7:$W$7</c:f>
              <c:numCache>
                <c:formatCode>0</c:formatCode>
                <c:ptCount val="22"/>
                <c:pt idx="0">
                  <c:v>-25</c:v>
                </c:pt>
                <c:pt idx="1">
                  <c:v>0</c:v>
                </c:pt>
                <c:pt idx="2">
                  <c:v>25</c:v>
                </c:pt>
                <c:pt idx="3">
                  <c:v>25</c:v>
                </c:pt>
                <c:pt idx="4">
                  <c:v>25</c:v>
                </c:pt>
                <c:pt idx="5">
                  <c:v>0</c:v>
                </c:pt>
                <c:pt idx="6">
                  <c:v>0</c:v>
                </c:pt>
                <c:pt idx="7">
                  <c:v>0</c:v>
                </c:pt>
                <c:pt idx="8">
                  <c:v>0</c:v>
                </c:pt>
                <c:pt idx="9">
                  <c:v>0</c:v>
                </c:pt>
                <c:pt idx="10">
                  <c:v>0</c:v>
                </c:pt>
                <c:pt idx="11">
                  <c:v>0</c:v>
                </c:pt>
                <c:pt idx="12">
                  <c:v>-25</c:v>
                </c:pt>
                <c:pt idx="13">
                  <c:v>0</c:v>
                </c:pt>
                <c:pt idx="14">
                  <c:v>0</c:v>
                </c:pt>
                <c:pt idx="15">
                  <c:v>-25</c:v>
                </c:pt>
                <c:pt idx="16">
                  <c:v>-25</c:v>
                </c:pt>
                <c:pt idx="17">
                  <c:v>0</c:v>
                </c:pt>
                <c:pt idx="18">
                  <c:v>0</c:v>
                </c:pt>
                <c:pt idx="19">
                  <c:v>-25</c:v>
                </c:pt>
                <c:pt idx="20">
                  <c:v>-75</c:v>
                </c:pt>
                <c:pt idx="21">
                  <c:v>-25</c:v>
                </c:pt>
              </c:numCache>
            </c:numRef>
          </c:val>
          <c:extLst>
            <c:ext xmlns:c16="http://schemas.microsoft.com/office/drawing/2014/chart" uri="{C3380CC4-5D6E-409C-BE32-E72D297353CC}">
              <c16:uniqueId val="{00000001-9F39-424D-9DAD-7153DC01E3C9}"/>
            </c:ext>
          </c:extLst>
        </c:ser>
        <c:ser>
          <c:idx val="2"/>
          <c:order val="2"/>
          <c:tx>
            <c:strRef>
              <c:f>'[Eiropas Centrālās bankas eiro zonas banku kreditēšanas aptaujas dati par Latvijas lielākajām bankām.xlsx]NRD.'!$A$8</c:f>
              <c:strCache>
                <c:ptCount val="1"/>
                <c:pt idx="0">
                  <c:v>Pieprasījuma pieaugums</c:v>
                </c:pt>
              </c:strCache>
            </c:strRef>
          </c:tx>
          <c:spPr>
            <a:solidFill>
              <a:schemeClr val="accent3"/>
            </a:solidFill>
            <a:ln>
              <a:noFill/>
            </a:ln>
            <a:effectLst/>
          </c:spPr>
          <c:invertIfNegative val="0"/>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bankām.xlsx]NRD.'!$B$8:$W$8</c:f>
              <c:numCache>
                <c:formatCode>0</c:formatCode>
                <c:ptCount val="22"/>
                <c:pt idx="0">
                  <c:v>-25</c:v>
                </c:pt>
                <c:pt idx="1">
                  <c:v>50</c:v>
                </c:pt>
                <c:pt idx="2">
                  <c:v>25</c:v>
                </c:pt>
                <c:pt idx="3">
                  <c:v>50</c:v>
                </c:pt>
                <c:pt idx="4">
                  <c:v>-25</c:v>
                </c:pt>
                <c:pt idx="5">
                  <c:v>75</c:v>
                </c:pt>
                <c:pt idx="6">
                  <c:v>25</c:v>
                </c:pt>
                <c:pt idx="7">
                  <c:v>25</c:v>
                </c:pt>
                <c:pt idx="8">
                  <c:v>0</c:v>
                </c:pt>
                <c:pt idx="9">
                  <c:v>0</c:v>
                </c:pt>
                <c:pt idx="10">
                  <c:v>0</c:v>
                </c:pt>
                <c:pt idx="11">
                  <c:v>25</c:v>
                </c:pt>
                <c:pt idx="12">
                  <c:v>50</c:v>
                </c:pt>
                <c:pt idx="13">
                  <c:v>50</c:v>
                </c:pt>
                <c:pt idx="14">
                  <c:v>0</c:v>
                </c:pt>
                <c:pt idx="15">
                  <c:v>0</c:v>
                </c:pt>
                <c:pt idx="16">
                  <c:v>0</c:v>
                </c:pt>
                <c:pt idx="17">
                  <c:v>0</c:v>
                </c:pt>
                <c:pt idx="18">
                  <c:v>-50</c:v>
                </c:pt>
                <c:pt idx="19">
                  <c:v>-25</c:v>
                </c:pt>
                <c:pt idx="20">
                  <c:v>-50</c:v>
                </c:pt>
                <c:pt idx="21">
                  <c:v>-25</c:v>
                </c:pt>
              </c:numCache>
            </c:numRef>
          </c:val>
          <c:extLst>
            <c:ext xmlns:c16="http://schemas.microsoft.com/office/drawing/2014/chart" uri="{C3380CC4-5D6E-409C-BE32-E72D297353CC}">
              <c16:uniqueId val="{00000002-9F39-424D-9DAD-7153DC01E3C9}"/>
            </c:ext>
          </c:extLst>
        </c:ser>
        <c:dLbls>
          <c:showLegendKey val="0"/>
          <c:showVal val="0"/>
          <c:showCatName val="0"/>
          <c:showSerName val="0"/>
          <c:showPercent val="0"/>
          <c:showBubbleSize val="0"/>
        </c:dLbls>
        <c:gapWidth val="219"/>
        <c:overlap val="-27"/>
        <c:axId val="1617483560"/>
        <c:axId val="1617478968"/>
      </c:barChart>
      <c:lineChart>
        <c:grouping val="standard"/>
        <c:varyColors val="0"/>
        <c:ser>
          <c:idx val="3"/>
          <c:order val="3"/>
          <c:tx>
            <c:v>Gada pieauguma temps (labā ass)</c:v>
          </c:tx>
          <c:spPr>
            <a:ln w="19050" cap="rnd">
              <a:solidFill>
                <a:schemeClr val="accent4"/>
              </a:solidFill>
              <a:round/>
            </a:ln>
            <a:effectLst/>
          </c:spPr>
          <c:marker>
            <c:symbol val="circle"/>
            <c:size val="5"/>
            <c:spPr>
              <a:solidFill>
                <a:sysClr val="window" lastClr="FFFFFF"/>
              </a:solidFill>
              <a:ln w="19050">
                <a:solidFill>
                  <a:schemeClr val="accent4"/>
                </a:solidFill>
              </a:ln>
              <a:effectLst/>
            </c:spPr>
          </c:marker>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bankām.xlsx]NRD.'!$B$9:$W$9</c:f>
              <c:numCache>
                <c:formatCode>0.0</c:formatCode>
                <c:ptCount val="22"/>
                <c:pt idx="0">
                  <c:v>-4.9000000000000004</c:v>
                </c:pt>
                <c:pt idx="1">
                  <c:v>-3.4</c:v>
                </c:pt>
                <c:pt idx="2">
                  <c:v>-2.8</c:v>
                </c:pt>
                <c:pt idx="3">
                  <c:v>-0.2</c:v>
                </c:pt>
                <c:pt idx="4">
                  <c:v>-0.3</c:v>
                </c:pt>
                <c:pt idx="5">
                  <c:v>3.2</c:v>
                </c:pt>
                <c:pt idx="6">
                  <c:v>3.1</c:v>
                </c:pt>
                <c:pt idx="7">
                  <c:v>3.8</c:v>
                </c:pt>
                <c:pt idx="8">
                  <c:v>6.1</c:v>
                </c:pt>
                <c:pt idx="9">
                  <c:v>2.6</c:v>
                </c:pt>
                <c:pt idx="10">
                  <c:v>1.6</c:v>
                </c:pt>
                <c:pt idx="11">
                  <c:v>2.7</c:v>
                </c:pt>
                <c:pt idx="12">
                  <c:v>2.1</c:v>
                </c:pt>
                <c:pt idx="13">
                  <c:v>1.6</c:v>
                </c:pt>
                <c:pt idx="14">
                  <c:v>3.6</c:v>
                </c:pt>
                <c:pt idx="15">
                  <c:v>3.9</c:v>
                </c:pt>
                <c:pt idx="16">
                  <c:v>3.7</c:v>
                </c:pt>
                <c:pt idx="17">
                  <c:v>5</c:v>
                </c:pt>
                <c:pt idx="18">
                  <c:v>3.6</c:v>
                </c:pt>
                <c:pt idx="19">
                  <c:v>-0.8</c:v>
                </c:pt>
                <c:pt idx="20">
                  <c:v>0.1</c:v>
                </c:pt>
                <c:pt idx="21">
                  <c:v>-1.2</c:v>
                </c:pt>
              </c:numCache>
            </c:numRef>
          </c:val>
          <c:smooth val="0"/>
          <c:extLst>
            <c:ext xmlns:c16="http://schemas.microsoft.com/office/drawing/2014/chart" uri="{C3380CC4-5D6E-409C-BE32-E72D297353CC}">
              <c16:uniqueId val="{00000003-9F39-424D-9DAD-7153DC01E3C9}"/>
            </c:ext>
          </c:extLst>
        </c:ser>
        <c:dLbls>
          <c:showLegendKey val="0"/>
          <c:showVal val="0"/>
          <c:showCatName val="0"/>
          <c:showSerName val="0"/>
          <c:showPercent val="0"/>
          <c:showBubbleSize val="0"/>
        </c:dLbls>
        <c:marker val="1"/>
        <c:smooth val="0"/>
        <c:axId val="902369432"/>
        <c:axId val="902367136"/>
      </c:lineChart>
      <c:catAx>
        <c:axId val="16174835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1617478968"/>
        <c:crosses val="autoZero"/>
        <c:auto val="1"/>
        <c:lblAlgn val="ctr"/>
        <c:lblOffset val="100"/>
        <c:noMultiLvlLbl val="0"/>
      </c:catAx>
      <c:valAx>
        <c:axId val="1617478968"/>
        <c:scaling>
          <c:orientation val="minMax"/>
          <c:max val="100"/>
        </c:scaling>
        <c:delete val="0"/>
        <c:axPos val="l"/>
        <c:majorGridlines>
          <c:spPr>
            <a:ln w="3175" cap="flat" cmpd="sng" algn="ctr">
              <a:solidFill>
                <a:schemeClr val="tx1">
                  <a:lumMod val="15000"/>
                  <a:lumOff val="85000"/>
                </a:schemeClr>
              </a:solidFill>
              <a:round/>
            </a:ln>
            <a:effectLst/>
          </c:spPr>
        </c:majorGridlines>
        <c:numFmt formatCode="0\ &quot;%&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1617483560"/>
        <c:crosses val="autoZero"/>
        <c:crossBetween val="between"/>
        <c:majorUnit val="25"/>
      </c:valAx>
      <c:valAx>
        <c:axId val="902367136"/>
        <c:scaling>
          <c:orientation val="minMax"/>
          <c:max val="8"/>
          <c:min val="-8"/>
        </c:scaling>
        <c:delete val="0"/>
        <c:axPos val="r"/>
        <c:numFmt formatCode="0\ &quot;%&quot;"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902369432"/>
        <c:crosses val="max"/>
        <c:crossBetween val="between"/>
      </c:valAx>
      <c:catAx>
        <c:axId val="902369432"/>
        <c:scaling>
          <c:orientation val="minMax"/>
        </c:scaling>
        <c:delete val="1"/>
        <c:axPos val="b"/>
        <c:numFmt formatCode="General" sourceLinked="1"/>
        <c:majorTickMark val="out"/>
        <c:minorTickMark val="none"/>
        <c:tickLblPos val="nextTo"/>
        <c:crossAx val="902367136"/>
        <c:crosses val="autoZero"/>
        <c:auto val="1"/>
        <c:lblAlgn val="ctr"/>
        <c:lblOffset val="100"/>
        <c:noMultiLvlLbl val="0"/>
      </c:catAx>
      <c:spPr>
        <a:noFill/>
        <a:ln>
          <a:noFill/>
        </a:ln>
        <a:effectLst/>
      </c:spPr>
    </c:plotArea>
    <c:legend>
      <c:legendPos val="l"/>
      <c:layout>
        <c:manualLayout>
          <c:xMode val="edge"/>
          <c:yMode val="edge"/>
          <c:x val="2.0790020790020791E-2"/>
          <c:y val="0.70518296741738207"/>
          <c:w val="0.24639691359957736"/>
          <c:h val="0.2948170325826178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560038811162237E-2"/>
          <c:y val="0.11238911591747236"/>
          <c:w val="0.90745415766811088"/>
          <c:h val="0.81293571214990534"/>
        </c:manualLayout>
      </c:layout>
      <c:barChart>
        <c:barDir val="col"/>
        <c:grouping val="clustered"/>
        <c:varyColors val="0"/>
        <c:ser>
          <c:idx val="4"/>
          <c:order val="4"/>
          <c:tx>
            <c:strRef>
              <c:f>Sheet1!$A$71</c:f>
              <c:strCache>
                <c:ptCount val="1"/>
                <c:pt idx="0">
                  <c:v>Portfelis kopā (labā ass)</c:v>
                </c:pt>
              </c:strCache>
            </c:strRef>
          </c:tx>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invertIfNegative val="0"/>
          <c:cat>
            <c:strRef>
              <c:f>Sheet1!$B$66:$F$66</c:f>
              <c:strCache>
                <c:ptCount val="5"/>
                <c:pt idx="0">
                  <c:v>2016</c:v>
                </c:pt>
                <c:pt idx="1">
                  <c:v>2017</c:v>
                </c:pt>
                <c:pt idx="2">
                  <c:v>2018</c:v>
                </c:pt>
                <c:pt idx="3">
                  <c:v>2019</c:v>
                </c:pt>
                <c:pt idx="4">
                  <c:v>2020 (6 mēn)</c:v>
                </c:pt>
              </c:strCache>
            </c:strRef>
          </c:cat>
          <c:val>
            <c:numRef>
              <c:f>Sheet1!$B$71:$F$71</c:f>
              <c:numCache>
                <c:formatCode>General</c:formatCode>
                <c:ptCount val="5"/>
                <c:pt idx="0">
                  <c:v>433.995</c:v>
                </c:pt>
                <c:pt idx="1">
                  <c:v>463.24399999999997</c:v>
                </c:pt>
                <c:pt idx="2">
                  <c:v>528.09500000000003</c:v>
                </c:pt>
                <c:pt idx="3">
                  <c:v>617.34100000000001</c:v>
                </c:pt>
                <c:pt idx="4">
                  <c:v>707.19599999999991</c:v>
                </c:pt>
              </c:numCache>
            </c:numRef>
          </c:val>
          <c:extLst>
            <c:ext xmlns:c16="http://schemas.microsoft.com/office/drawing/2014/chart" uri="{C3380CC4-5D6E-409C-BE32-E72D297353CC}">
              <c16:uniqueId val="{00000000-AB22-4391-9991-1DF4C1596DD6}"/>
            </c:ext>
          </c:extLst>
        </c:ser>
        <c:dLbls>
          <c:showLegendKey val="0"/>
          <c:showVal val="0"/>
          <c:showCatName val="0"/>
          <c:showSerName val="0"/>
          <c:showPercent val="0"/>
          <c:showBubbleSize val="0"/>
        </c:dLbls>
        <c:gapWidth val="150"/>
        <c:axId val="447968792"/>
        <c:axId val="447971416"/>
      </c:barChart>
      <c:lineChart>
        <c:grouping val="standard"/>
        <c:varyColors val="0"/>
        <c:ser>
          <c:idx val="0"/>
          <c:order val="0"/>
          <c:tx>
            <c:strRef>
              <c:f>Sheet1!$A$67</c:f>
              <c:strCache>
                <c:ptCount val="1"/>
                <c:pt idx="0">
                  <c:v>Aizdevumi</c:v>
                </c:pt>
              </c:strCache>
            </c:strRef>
          </c:tx>
          <c:spPr>
            <a:ln w="15875" cap="rnd">
              <a:solidFill>
                <a:schemeClr val="accent2"/>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Sheet1!$B$67:$F$67</c:f>
              <c:numCache>
                <c:formatCode>General</c:formatCode>
                <c:ptCount val="5"/>
                <c:pt idx="0">
                  <c:v>217.429</c:v>
                </c:pt>
                <c:pt idx="1">
                  <c:v>207.58500000000001</c:v>
                </c:pt>
                <c:pt idx="2">
                  <c:v>217.131</c:v>
                </c:pt>
                <c:pt idx="3">
                  <c:v>240.41200000000001</c:v>
                </c:pt>
                <c:pt idx="4">
                  <c:v>283.13</c:v>
                </c:pt>
              </c:numCache>
            </c:numRef>
          </c:val>
          <c:smooth val="0"/>
          <c:extLst>
            <c:ext xmlns:c16="http://schemas.microsoft.com/office/drawing/2014/chart" uri="{C3380CC4-5D6E-409C-BE32-E72D297353CC}">
              <c16:uniqueId val="{00000001-AB22-4391-9991-1DF4C1596DD6}"/>
            </c:ext>
          </c:extLst>
        </c:ser>
        <c:ser>
          <c:idx val="1"/>
          <c:order val="1"/>
          <c:tx>
            <c:strRef>
              <c:f>Sheet1!$A$68</c:f>
              <c:strCache>
                <c:ptCount val="1"/>
                <c:pt idx="0">
                  <c:v>Garantijas</c:v>
                </c:pt>
              </c:strCache>
            </c:strRef>
          </c:tx>
          <c:spPr>
            <a:ln w="15875" cap="rnd">
              <a:solidFill>
                <a:schemeClr val="accent4"/>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Sheet1!$B$68:$F$68</c:f>
              <c:numCache>
                <c:formatCode>General</c:formatCode>
                <c:ptCount val="5"/>
                <c:pt idx="0">
                  <c:v>147.17500000000001</c:v>
                </c:pt>
                <c:pt idx="1">
                  <c:v>182.376</c:v>
                </c:pt>
                <c:pt idx="2">
                  <c:v>236.89500000000001</c:v>
                </c:pt>
                <c:pt idx="3">
                  <c:v>284.23200000000003</c:v>
                </c:pt>
                <c:pt idx="4">
                  <c:v>321.98700000000002</c:v>
                </c:pt>
              </c:numCache>
            </c:numRef>
          </c:val>
          <c:smooth val="0"/>
          <c:extLst>
            <c:ext xmlns:c16="http://schemas.microsoft.com/office/drawing/2014/chart" uri="{C3380CC4-5D6E-409C-BE32-E72D297353CC}">
              <c16:uniqueId val="{00000002-AB22-4391-9991-1DF4C1596DD6}"/>
            </c:ext>
          </c:extLst>
        </c:ser>
        <c:ser>
          <c:idx val="2"/>
          <c:order val="2"/>
          <c:tx>
            <c:strRef>
              <c:f>Sheet1!$A$69</c:f>
              <c:strCache>
                <c:ptCount val="1"/>
                <c:pt idx="0">
                  <c:v>Riska kapitāla fondi</c:v>
                </c:pt>
              </c:strCache>
            </c:strRef>
          </c:tx>
          <c:spPr>
            <a:ln w="15875" cap="rnd">
              <a:solidFill>
                <a:schemeClr val="accent6"/>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Sheet1!$B$69:$F$69</c:f>
              <c:numCache>
                <c:formatCode>General</c:formatCode>
                <c:ptCount val="5"/>
                <c:pt idx="0">
                  <c:v>64.784999999999997</c:v>
                </c:pt>
                <c:pt idx="1">
                  <c:v>62.298999999999999</c:v>
                </c:pt>
                <c:pt idx="2">
                  <c:v>59.698</c:v>
                </c:pt>
                <c:pt idx="3">
                  <c:v>68.331000000000003</c:v>
                </c:pt>
                <c:pt idx="4">
                  <c:v>68.588999999999999</c:v>
                </c:pt>
              </c:numCache>
            </c:numRef>
          </c:val>
          <c:smooth val="0"/>
          <c:extLst>
            <c:ext xmlns:c16="http://schemas.microsoft.com/office/drawing/2014/chart" uri="{C3380CC4-5D6E-409C-BE32-E72D297353CC}">
              <c16:uniqueId val="{00000003-AB22-4391-9991-1DF4C1596DD6}"/>
            </c:ext>
          </c:extLst>
        </c:ser>
        <c:ser>
          <c:idx val="3"/>
          <c:order val="3"/>
          <c:tx>
            <c:strRef>
              <c:f>Sheet1!$A$70</c:f>
              <c:strCache>
                <c:ptCount val="1"/>
                <c:pt idx="0">
                  <c:v>Zemes fonds (ieguldījumi īpašumos)</c:v>
                </c:pt>
              </c:strCache>
            </c:strRef>
          </c:tx>
          <c:spPr>
            <a:ln w="15875" cap="rnd">
              <a:solidFill>
                <a:schemeClr val="accent2">
                  <a:lumMod val="60000"/>
                </a:schemeClr>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Sheet1!$B$70:$F$70</c:f>
              <c:numCache>
                <c:formatCode>General</c:formatCode>
                <c:ptCount val="5"/>
                <c:pt idx="0">
                  <c:v>4.6059999999999999</c:v>
                </c:pt>
                <c:pt idx="1">
                  <c:v>10.984</c:v>
                </c:pt>
                <c:pt idx="2">
                  <c:v>14.371</c:v>
                </c:pt>
                <c:pt idx="3">
                  <c:v>24.366</c:v>
                </c:pt>
                <c:pt idx="4">
                  <c:v>33.49</c:v>
                </c:pt>
              </c:numCache>
            </c:numRef>
          </c:val>
          <c:smooth val="0"/>
          <c:extLst>
            <c:ext xmlns:c16="http://schemas.microsoft.com/office/drawing/2014/chart" uri="{C3380CC4-5D6E-409C-BE32-E72D297353CC}">
              <c16:uniqueId val="{00000004-AB22-4391-9991-1DF4C1596DD6}"/>
            </c:ext>
          </c:extLst>
        </c:ser>
        <c:dLbls>
          <c:showLegendKey val="0"/>
          <c:showVal val="0"/>
          <c:showCatName val="0"/>
          <c:showSerName val="0"/>
          <c:showPercent val="0"/>
          <c:showBubbleSize val="0"/>
        </c:dLbls>
        <c:marker val="1"/>
        <c:smooth val="0"/>
        <c:axId val="152565615"/>
        <c:axId val="204316927"/>
      </c:lineChart>
      <c:catAx>
        <c:axId val="152565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04316927"/>
        <c:crosses val="autoZero"/>
        <c:auto val="1"/>
        <c:lblAlgn val="ctr"/>
        <c:lblOffset val="100"/>
        <c:noMultiLvlLbl val="0"/>
      </c:catAx>
      <c:valAx>
        <c:axId val="2043169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lv-LV"/>
                  <a:t>Milj EUR.</a:t>
                </a:r>
              </a:p>
            </c:rich>
          </c:tx>
          <c:layout>
            <c:manualLayout>
              <c:xMode val="edge"/>
              <c:yMode val="edge"/>
              <c:x val="0.104169630728412"/>
              <c:y val="0.42416984467521923"/>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152565615"/>
        <c:crosses val="autoZero"/>
        <c:crossBetween val="between"/>
      </c:valAx>
      <c:valAx>
        <c:axId val="44797141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447968792"/>
        <c:crosses val="max"/>
        <c:crossBetween val="between"/>
      </c:valAx>
      <c:catAx>
        <c:axId val="447968792"/>
        <c:scaling>
          <c:orientation val="minMax"/>
        </c:scaling>
        <c:delete val="1"/>
        <c:axPos val="b"/>
        <c:numFmt formatCode="General" sourceLinked="1"/>
        <c:majorTickMark val="none"/>
        <c:minorTickMark val="none"/>
        <c:tickLblPos val="nextTo"/>
        <c:crossAx val="447971416"/>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lv-LV"/>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v-LV" sz="1200" cap="none" spc="0" baseline="0">
                <a:solidFill>
                  <a:schemeClr val="bg1">
                    <a:lumMod val="50000"/>
                  </a:schemeClr>
                </a:solidFill>
                <a:latin typeface="Times New Roman" panose="02020603050405020304" pitchFamily="18" charset="0"/>
                <a:cs typeface="Times New Roman" panose="02020603050405020304" pitchFamily="18" charset="0"/>
              </a:rPr>
              <a:t>Akciju tirgus kapitalizācija ES valstīs 2018.gada beigās, % no IKP</a:t>
            </a:r>
          </a:p>
        </c:rich>
      </c:tx>
      <c:layout>
        <c:manualLayout>
          <c:xMode val="edge"/>
          <c:yMode val="edge"/>
          <c:x val="0.12254545454545454"/>
          <c:y val="3.2014635261833985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Sheet1!$D$10:$D$36</c:f>
            </c:numRef>
          </c:val>
          <c:extLst>
            <c:ext xmlns:c16="http://schemas.microsoft.com/office/drawing/2014/chart" uri="{C3380CC4-5D6E-409C-BE32-E72D297353CC}">
              <c16:uniqueId val="{00000000-D370-421B-93BF-DD3D37CB4805}"/>
            </c:ext>
          </c:extLst>
        </c:ser>
        <c:ser>
          <c:idx val="1"/>
          <c:order val="1"/>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Sheet1!$E$10:$E$36</c:f>
            </c:numRef>
          </c:val>
          <c:extLst>
            <c:ext xmlns:c16="http://schemas.microsoft.com/office/drawing/2014/chart" uri="{C3380CC4-5D6E-409C-BE32-E72D297353CC}">
              <c16:uniqueId val="{00000001-D370-421B-93BF-DD3D37CB4805}"/>
            </c:ext>
          </c:extLst>
        </c:ser>
        <c:ser>
          <c:idx val="2"/>
          <c:order val="2"/>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Sheet1!$F$10:$F$36</c:f>
            </c:numRef>
          </c:val>
          <c:extLst>
            <c:ext xmlns:c16="http://schemas.microsoft.com/office/drawing/2014/chart" uri="{C3380CC4-5D6E-409C-BE32-E72D297353CC}">
              <c16:uniqueId val="{00000002-D370-421B-93BF-DD3D37CB4805}"/>
            </c:ext>
          </c:extLst>
        </c:ser>
        <c:ser>
          <c:idx val="3"/>
          <c:order val="3"/>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Sheet1!$G$10:$G$36</c:f>
              <c:numCache>
                <c:formatCode>0.0%</c:formatCode>
                <c:ptCount val="27"/>
                <c:pt idx="0">
                  <c:v>1.2257071768537764</c:v>
                </c:pt>
                <c:pt idx="1">
                  <c:v>1.0833024327281984</c:v>
                </c:pt>
                <c:pt idx="2">
                  <c:v>1.0421265915114741</c:v>
                </c:pt>
                <c:pt idx="3">
                  <c:v>1.0107244450959076</c:v>
                </c:pt>
                <c:pt idx="4">
                  <c:v>0.87564806346627067</c:v>
                </c:pt>
                <c:pt idx="5">
                  <c:v>0.71991287710376317</c:v>
                </c:pt>
                <c:pt idx="6">
                  <c:v>0.61048902839325958</c:v>
                </c:pt>
                <c:pt idx="7">
                  <c:v>0.52594633307630301</c:v>
                </c:pt>
                <c:pt idx="8">
                  <c:v>0.45688518387205379</c:v>
                </c:pt>
                <c:pt idx="9">
                  <c:v>0.35353454487230807</c:v>
                </c:pt>
                <c:pt idx="10">
                  <c:v>0.34898161293634294</c:v>
                </c:pt>
                <c:pt idx="11">
                  <c:v>0.31056551506998581</c:v>
                </c:pt>
                <c:pt idx="12">
                  <c:v>0.30708400253158225</c:v>
                </c:pt>
                <c:pt idx="13">
                  <c:v>0.29433055411223902</c:v>
                </c:pt>
                <c:pt idx="14">
                  <c:v>0.28392244942172284</c:v>
                </c:pt>
                <c:pt idx="15">
                  <c:v>0.26580873283447087</c:v>
                </c:pt>
                <c:pt idx="16">
                  <c:v>0.26457571052383916</c:v>
                </c:pt>
                <c:pt idx="17">
                  <c:v>0.2439963699188224</c:v>
                </c:pt>
                <c:pt idx="18">
                  <c:v>0.19014487727066828</c:v>
                </c:pt>
                <c:pt idx="19">
                  <c:v>0.18149719349306168</c:v>
                </c:pt>
                <c:pt idx="20">
                  <c:v>0.13876139771127838</c:v>
                </c:pt>
                <c:pt idx="21">
                  <c:v>0.13695778672431982</c:v>
                </c:pt>
                <c:pt idx="22">
                  <c:v>9.8926269199925976E-2</c:v>
                </c:pt>
                <c:pt idx="23">
                  <c:v>8.8926678736613723E-2</c:v>
                </c:pt>
                <c:pt idx="24">
                  <c:v>7.3684617491892077E-2</c:v>
                </c:pt>
                <c:pt idx="25">
                  <c:v>6.2161085374958576E-2</c:v>
                </c:pt>
                <c:pt idx="26">
                  <c:v>2.5391225938787381E-2</c:v>
                </c:pt>
              </c:numCache>
            </c:numRef>
          </c:val>
          <c:extLst>
            <c:ext xmlns:c16="http://schemas.microsoft.com/office/drawing/2014/chart" uri="{C3380CC4-5D6E-409C-BE32-E72D297353CC}">
              <c16:uniqueId val="{00000003-D370-421B-93BF-DD3D37CB4805}"/>
            </c:ext>
          </c:extLst>
        </c:ser>
        <c:dLbls>
          <c:dLblPos val="outEnd"/>
          <c:showLegendKey val="0"/>
          <c:showVal val="1"/>
          <c:showCatName val="0"/>
          <c:showSerName val="0"/>
          <c:showPercent val="0"/>
          <c:showBubbleSize val="0"/>
        </c:dLbls>
        <c:gapWidth val="444"/>
        <c:overlap val="-90"/>
        <c:axId val="449842736"/>
        <c:axId val="449845648"/>
      </c:barChart>
      <c:catAx>
        <c:axId val="449842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lv-LV"/>
          </a:p>
        </c:txPr>
        <c:crossAx val="449845648"/>
        <c:crosses val="autoZero"/>
        <c:auto val="1"/>
        <c:lblAlgn val="ctr"/>
        <c:lblOffset val="100"/>
        <c:noMultiLvlLbl val="0"/>
      </c:catAx>
      <c:valAx>
        <c:axId val="449845648"/>
        <c:scaling>
          <c:orientation val="minMax"/>
        </c:scaling>
        <c:delete val="1"/>
        <c:axPos val="l"/>
        <c:numFmt formatCode="0.0%" sourceLinked="1"/>
        <c:majorTickMark val="none"/>
        <c:minorTickMark val="none"/>
        <c:tickLblPos val="nextTo"/>
        <c:crossAx val="4498427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382587360109279E-2"/>
          <c:y val="0.110846286701209"/>
          <c:w val="0.88807548013252502"/>
          <c:h val="0.64833040947601761"/>
        </c:manualLayout>
      </c:layout>
      <c:lineChart>
        <c:grouping val="standard"/>
        <c:varyColors val="0"/>
        <c:ser>
          <c:idx val="1"/>
          <c:order val="1"/>
          <c:tx>
            <c:strRef>
              <c:f>Equities!$B$2</c:f>
              <c:strCache>
                <c:ptCount val="1"/>
                <c:pt idx="0">
                  <c:v>Rīga</c:v>
                </c:pt>
              </c:strCache>
            </c:strRef>
          </c:tx>
          <c:spPr>
            <a:ln w="22225" cap="rnd" cmpd="sng" algn="ctr">
              <a:solidFill>
                <a:schemeClr val="accent3"/>
              </a:solidFill>
              <a:round/>
            </a:ln>
            <a:effectLst/>
          </c:spPr>
          <c:marker>
            <c:symbol val="none"/>
          </c:marker>
          <c:cat>
            <c:strRef>
              <c:f>Equities!$A$2:$A$38</c:f>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f>Equities!$B$3:$B$38</c:f>
              <c:numCache>
                <c:formatCode>#,##0</c:formatCode>
                <c:ptCount val="35"/>
                <c:pt idx="0">
                  <c:v>5591874.4819999998</c:v>
                </c:pt>
                <c:pt idx="1">
                  <c:v>1362918.284</c:v>
                </c:pt>
                <c:pt idx="2">
                  <c:v>1505707.9110000001</c:v>
                </c:pt>
                <c:pt idx="3">
                  <c:v>1787033.5630000001</c:v>
                </c:pt>
                <c:pt idx="4">
                  <c:v>3340697.14</c:v>
                </c:pt>
                <c:pt idx="5">
                  <c:v>1911394.7080000001</c:v>
                </c:pt>
                <c:pt idx="6">
                  <c:v>1248360.4850000001</c:v>
                </c:pt>
                <c:pt idx="7">
                  <c:v>1100133.4650000001</c:v>
                </c:pt>
                <c:pt idx="8">
                  <c:v>804281.76199999999</c:v>
                </c:pt>
                <c:pt idx="9">
                  <c:v>1018190.134</c:v>
                </c:pt>
                <c:pt idx="10">
                  <c:v>823021.848</c:v>
                </c:pt>
                <c:pt idx="11">
                  <c:v>952366.73800000001</c:v>
                </c:pt>
                <c:pt idx="12">
                  <c:v>1078049.625</c:v>
                </c:pt>
                <c:pt idx="13">
                  <c:v>1146416.963</c:v>
                </c:pt>
                <c:pt idx="14">
                  <c:v>1368251.76</c:v>
                </c:pt>
                <c:pt idx="15">
                  <c:v>1385477.61</c:v>
                </c:pt>
                <c:pt idx="16">
                  <c:v>6995709.7484999998</c:v>
                </c:pt>
                <c:pt idx="17">
                  <c:v>1577363.6695000001</c:v>
                </c:pt>
                <c:pt idx="18">
                  <c:v>1669992.487</c:v>
                </c:pt>
                <c:pt idx="19">
                  <c:v>1064632.9040000001</c:v>
                </c:pt>
                <c:pt idx="20">
                  <c:v>4334322.9495000001</c:v>
                </c:pt>
                <c:pt idx="21">
                  <c:v>3995798.1490000002</c:v>
                </c:pt>
                <c:pt idx="22">
                  <c:v>2381043.5630000001</c:v>
                </c:pt>
                <c:pt idx="23">
                  <c:v>2092656.8504999999</c:v>
                </c:pt>
                <c:pt idx="24">
                  <c:v>1673133.4839999999</c:v>
                </c:pt>
                <c:pt idx="25">
                  <c:v>2080755.6569999999</c:v>
                </c:pt>
                <c:pt idx="26">
                  <c:v>1505903.4180000001</c:v>
                </c:pt>
                <c:pt idx="27">
                  <c:v>1502957.9140000001</c:v>
                </c:pt>
                <c:pt idx="28">
                  <c:v>969891.57299999997</c:v>
                </c:pt>
                <c:pt idx="29">
                  <c:v>889844.90599999996</c:v>
                </c:pt>
                <c:pt idx="30">
                  <c:v>1640882.952</c:v>
                </c:pt>
                <c:pt idx="31">
                  <c:v>1724098.8049999999</c:v>
                </c:pt>
                <c:pt idx="32">
                  <c:v>1068945.0120000001</c:v>
                </c:pt>
                <c:pt idx="33">
                  <c:v>1298969.6950000001</c:v>
                </c:pt>
                <c:pt idx="34">
                  <c:v>740781.71600000001</c:v>
                </c:pt>
              </c:numCache>
            </c:numRef>
          </c:val>
          <c:smooth val="0"/>
          <c:extLst>
            <c:ext xmlns:c16="http://schemas.microsoft.com/office/drawing/2014/chart" uri="{C3380CC4-5D6E-409C-BE32-E72D297353CC}">
              <c16:uniqueId val="{00000000-57A6-4B9E-96E5-62CFADFD2CE3}"/>
            </c:ext>
          </c:extLst>
        </c:ser>
        <c:ser>
          <c:idx val="2"/>
          <c:order val="2"/>
          <c:tx>
            <c:strRef>
              <c:f>Equities!$C$2</c:f>
              <c:strCache>
                <c:ptCount val="1"/>
                <c:pt idx="0">
                  <c:v>Viļņa</c:v>
                </c:pt>
              </c:strCache>
            </c:strRef>
          </c:tx>
          <c:spPr>
            <a:ln w="22225" cap="rnd" cmpd="sng" algn="ctr">
              <a:solidFill>
                <a:schemeClr val="accent5"/>
              </a:solidFill>
              <a:round/>
            </a:ln>
            <a:effectLst/>
          </c:spPr>
          <c:marker>
            <c:symbol val="none"/>
          </c:marker>
          <c:cat>
            <c:strRef>
              <c:f>Equities!$A$2:$A$38</c:f>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f>Equities!$C$3:$C$38</c:f>
              <c:numCache>
                <c:formatCode>#,##0</c:formatCode>
                <c:ptCount val="35"/>
                <c:pt idx="0">
                  <c:v>15877638.935000001</c:v>
                </c:pt>
                <c:pt idx="1">
                  <c:v>7492151.3119999999</c:v>
                </c:pt>
                <c:pt idx="2">
                  <c:v>7668340.1555000003</c:v>
                </c:pt>
                <c:pt idx="3">
                  <c:v>9523974.3629999999</c:v>
                </c:pt>
                <c:pt idx="4">
                  <c:v>7187834.0975000001</c:v>
                </c:pt>
                <c:pt idx="5">
                  <c:v>5879247.8765000002</c:v>
                </c:pt>
                <c:pt idx="6">
                  <c:v>6093044.8820000002</c:v>
                </c:pt>
                <c:pt idx="7">
                  <c:v>11114115.510500001</c:v>
                </c:pt>
                <c:pt idx="8">
                  <c:v>8948860.8029999994</c:v>
                </c:pt>
                <c:pt idx="9">
                  <c:v>11212561.810000001</c:v>
                </c:pt>
                <c:pt idx="10">
                  <c:v>7928252.5190000003</c:v>
                </c:pt>
                <c:pt idx="11">
                  <c:v>3881313.0789999999</c:v>
                </c:pt>
                <c:pt idx="12">
                  <c:v>5035893.676</c:v>
                </c:pt>
                <c:pt idx="13">
                  <c:v>5242482.8925000001</c:v>
                </c:pt>
                <c:pt idx="14">
                  <c:v>7948100.3130000001</c:v>
                </c:pt>
                <c:pt idx="15">
                  <c:v>7259477.21</c:v>
                </c:pt>
                <c:pt idx="16">
                  <c:v>8924510.6359999999</c:v>
                </c:pt>
                <c:pt idx="17">
                  <c:v>6048476.523</c:v>
                </c:pt>
                <c:pt idx="18">
                  <c:v>4553435.3985000001</c:v>
                </c:pt>
                <c:pt idx="19">
                  <c:v>8951110.6235000007</c:v>
                </c:pt>
                <c:pt idx="20">
                  <c:v>9289650.7390000001</c:v>
                </c:pt>
                <c:pt idx="21">
                  <c:v>12936527.881999999</c:v>
                </c:pt>
                <c:pt idx="22">
                  <c:v>4563185.3550000004</c:v>
                </c:pt>
                <c:pt idx="23">
                  <c:v>10639544.129000001</c:v>
                </c:pt>
                <c:pt idx="24">
                  <c:v>9917526.0549999997</c:v>
                </c:pt>
                <c:pt idx="25">
                  <c:v>5325301.2980000004</c:v>
                </c:pt>
                <c:pt idx="26">
                  <c:v>4903411.1720000003</c:v>
                </c:pt>
                <c:pt idx="27">
                  <c:v>10217547.305500001</c:v>
                </c:pt>
                <c:pt idx="28">
                  <c:v>5577765.1579999998</c:v>
                </c:pt>
                <c:pt idx="29">
                  <c:v>13918273.002</c:v>
                </c:pt>
                <c:pt idx="30">
                  <c:v>13320196.844900001</c:v>
                </c:pt>
                <c:pt idx="31">
                  <c:v>21933772.2075</c:v>
                </c:pt>
                <c:pt idx="32">
                  <c:v>15307758.048</c:v>
                </c:pt>
                <c:pt idx="33">
                  <c:v>10471294.085000001</c:v>
                </c:pt>
                <c:pt idx="34">
                  <c:v>15640351.216</c:v>
                </c:pt>
              </c:numCache>
            </c:numRef>
          </c:val>
          <c:smooth val="0"/>
          <c:extLst>
            <c:ext xmlns:c16="http://schemas.microsoft.com/office/drawing/2014/chart" uri="{C3380CC4-5D6E-409C-BE32-E72D297353CC}">
              <c16:uniqueId val="{00000001-57A6-4B9E-96E5-62CFADFD2CE3}"/>
            </c:ext>
          </c:extLst>
        </c:ser>
        <c:ser>
          <c:idx val="3"/>
          <c:order val="3"/>
          <c:tx>
            <c:strRef>
              <c:f>Equities!$D$2</c:f>
              <c:strCache>
                <c:ptCount val="1"/>
                <c:pt idx="0">
                  <c:v>Tallina</c:v>
                </c:pt>
              </c:strCache>
            </c:strRef>
          </c:tx>
          <c:spPr>
            <a:ln w="22225" cap="rnd" cmpd="sng" algn="ctr">
              <a:solidFill>
                <a:schemeClr val="accent1">
                  <a:lumMod val="60000"/>
                </a:schemeClr>
              </a:solidFill>
              <a:round/>
            </a:ln>
            <a:effectLst/>
          </c:spPr>
          <c:marker>
            <c:symbol val="none"/>
          </c:marker>
          <c:cat>
            <c:strRef>
              <c:f>Equities!$A$2:$A$38</c:f>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f>Equities!$D$3:$D$38</c:f>
              <c:numCache>
                <c:formatCode>#,##0</c:formatCode>
                <c:ptCount val="35"/>
                <c:pt idx="0">
                  <c:v>13669791.4856</c:v>
                </c:pt>
                <c:pt idx="1">
                  <c:v>13579386.604</c:v>
                </c:pt>
                <c:pt idx="2">
                  <c:v>8672088.1254999992</c:v>
                </c:pt>
                <c:pt idx="3">
                  <c:v>9358242.4020000007</c:v>
                </c:pt>
                <c:pt idx="4">
                  <c:v>15813719.533</c:v>
                </c:pt>
                <c:pt idx="5">
                  <c:v>12348236.273399999</c:v>
                </c:pt>
                <c:pt idx="6">
                  <c:v>12732136.335899999</c:v>
                </c:pt>
                <c:pt idx="7">
                  <c:v>34680990.6778</c:v>
                </c:pt>
                <c:pt idx="8">
                  <c:v>30814452.141100001</c:v>
                </c:pt>
                <c:pt idx="9">
                  <c:v>22382101.938000001</c:v>
                </c:pt>
                <c:pt idx="10">
                  <c:v>35789763.341399997</c:v>
                </c:pt>
                <c:pt idx="11">
                  <c:v>13290503.2546</c:v>
                </c:pt>
                <c:pt idx="12">
                  <c:v>14091066.266000001</c:v>
                </c:pt>
                <c:pt idx="13">
                  <c:v>13577437.6943</c:v>
                </c:pt>
                <c:pt idx="14">
                  <c:v>18658067.805199999</c:v>
                </c:pt>
                <c:pt idx="15">
                  <c:v>11632914.940099999</c:v>
                </c:pt>
                <c:pt idx="16">
                  <c:v>11612336.055199999</c:v>
                </c:pt>
                <c:pt idx="17">
                  <c:v>13548555.4855</c:v>
                </c:pt>
                <c:pt idx="18">
                  <c:v>21416288.842900001</c:v>
                </c:pt>
                <c:pt idx="19">
                  <c:v>8939785.3948999997</c:v>
                </c:pt>
                <c:pt idx="20">
                  <c:v>11133027.5803</c:v>
                </c:pt>
                <c:pt idx="21">
                  <c:v>14403670.8026</c:v>
                </c:pt>
                <c:pt idx="22">
                  <c:v>14762933.3312</c:v>
                </c:pt>
                <c:pt idx="23">
                  <c:v>16556486.3102</c:v>
                </c:pt>
                <c:pt idx="24">
                  <c:v>9117534.7413999997</c:v>
                </c:pt>
                <c:pt idx="25">
                  <c:v>9349704.0041000005</c:v>
                </c:pt>
                <c:pt idx="26">
                  <c:v>16910363.9197</c:v>
                </c:pt>
                <c:pt idx="27">
                  <c:v>14616935.346999999</c:v>
                </c:pt>
                <c:pt idx="28">
                  <c:v>13744232.3605</c:v>
                </c:pt>
                <c:pt idx="29">
                  <c:v>18179040.967300002</c:v>
                </c:pt>
                <c:pt idx="30">
                  <c:v>28466533.138500001</c:v>
                </c:pt>
                <c:pt idx="31">
                  <c:v>55080087.021899998</c:v>
                </c:pt>
                <c:pt idx="32">
                  <c:v>28519198.4219</c:v>
                </c:pt>
                <c:pt idx="33">
                  <c:v>21800155.483600002</c:v>
                </c:pt>
                <c:pt idx="34">
                  <c:v>21311247.359999999</c:v>
                </c:pt>
              </c:numCache>
            </c:numRef>
          </c:val>
          <c:smooth val="0"/>
          <c:extLst>
            <c:ext xmlns:c16="http://schemas.microsoft.com/office/drawing/2014/chart" uri="{C3380CC4-5D6E-409C-BE32-E72D297353CC}">
              <c16:uniqueId val="{00000002-57A6-4B9E-96E5-62CFADFD2CE3}"/>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672870528"/>
        <c:axId val="672872168"/>
        <c:extLst>
          <c:ext xmlns:c15="http://schemas.microsoft.com/office/drawing/2012/chart" uri="{02D57815-91ED-43cb-92C2-25804820EDAC}">
            <c15:filteredLineSeries>
              <c15:ser>
                <c:idx val="0"/>
                <c:order val="0"/>
                <c:tx>
                  <c:strRef>
                    <c:extLst>
                      <c:ext uri="{02D57815-91ED-43cb-92C2-25804820EDAC}">
                        <c15:formulaRef>
                          <c15:sqref>Equities!$A$2</c15:sqref>
                        </c15:formulaRef>
                      </c:ext>
                    </c:extLst>
                    <c:strCache>
                      <c:ptCount val="1"/>
                      <c:pt idx="0">
                        <c:v>Date</c:v>
                      </c:pt>
                    </c:strCache>
                  </c:strRef>
                </c:tx>
                <c:spPr>
                  <a:ln w="22225" cap="rnd" cmpd="sng" algn="ctr">
                    <a:solidFill>
                      <a:schemeClr val="accent1"/>
                    </a:solidFill>
                    <a:round/>
                  </a:ln>
                  <a:effectLst/>
                </c:spPr>
                <c:marker>
                  <c:symbol val="none"/>
                </c:marker>
                <c:cat>
                  <c:strRef>
                    <c:extLst>
                      <c:ext uri="{02D57815-91ED-43cb-92C2-25804820EDAC}">
                        <c15:formulaRef>
                          <c15:sqref>Equities!$A$2:$A$38</c15:sqref>
                        </c15:formulaRef>
                      </c:ext>
                    </c:extLst>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extLst>
                      <c:ext uri="{02D57815-91ED-43cb-92C2-25804820EDAC}">
                        <c15:formulaRef>
                          <c15:sqref>Equities!$A$3:$A$38</c15:sqref>
                        </c15:formulaRef>
                      </c:ext>
                    </c:extLst>
                    <c:numCache>
                      <c:formatCode>General</c:formatCode>
                      <c:ptCount val="35"/>
                      <c:pt idx="0">
                        <c:v>2017.08</c:v>
                      </c:pt>
                      <c:pt idx="1">
                        <c:v>2017.09</c:v>
                      </c:pt>
                      <c:pt idx="2">
                        <c:v>2017.1</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c:v>
                      </c:pt>
                      <c:pt idx="27">
                        <c:v>2019.11</c:v>
                      </c:pt>
                      <c:pt idx="28">
                        <c:v>2019.12</c:v>
                      </c:pt>
                      <c:pt idx="29">
                        <c:v>2020.01</c:v>
                      </c:pt>
                      <c:pt idx="30">
                        <c:v>2020.02</c:v>
                      </c:pt>
                      <c:pt idx="31">
                        <c:v>2020.03</c:v>
                      </c:pt>
                      <c:pt idx="32">
                        <c:v>2020.04</c:v>
                      </c:pt>
                      <c:pt idx="33">
                        <c:v>2020.05</c:v>
                      </c:pt>
                      <c:pt idx="34">
                        <c:v>2020.06</c:v>
                      </c:pt>
                    </c:numCache>
                  </c:numRef>
                </c:val>
                <c:smooth val="0"/>
                <c:extLst>
                  <c:ext xmlns:c16="http://schemas.microsoft.com/office/drawing/2014/chart" uri="{C3380CC4-5D6E-409C-BE32-E72D297353CC}">
                    <c16:uniqueId val="{00000003-57A6-4B9E-96E5-62CFADFD2CE3}"/>
                  </c:ext>
                </c:extLst>
              </c15:ser>
            </c15:filteredLineSeries>
          </c:ext>
        </c:extLst>
      </c:lineChart>
      <c:catAx>
        <c:axId val="6728705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72872168"/>
        <c:crosses val="autoZero"/>
        <c:auto val="1"/>
        <c:lblAlgn val="ctr"/>
        <c:lblOffset val="100"/>
        <c:noMultiLvlLbl val="0"/>
      </c:catAx>
      <c:valAx>
        <c:axId val="6728721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7287052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53117329405989"/>
          <c:y val="0.35783974946576402"/>
          <c:w val="0.60581854161946713"/>
          <c:h val="0.50031634863122831"/>
        </c:manualLayout>
      </c:layout>
      <c:pie3DChart>
        <c:varyColors val="1"/>
        <c:ser>
          <c:idx val="0"/>
          <c:order val="0"/>
          <c:explosion val="1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6AD4-445A-839C-AC92ECA0B97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6AD4-445A-839C-AC92ECA0B97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6AD4-445A-839C-AC92ECA0B97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6AD4-445A-839C-AC92ECA0B97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6AD4-445A-839C-AC92ECA0B97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6AD4-445A-839C-AC92ECA0B97D}"/>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6AD4-445A-839C-AC92ECA0B97D}"/>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6AD4-445A-839C-AC92ECA0B97D}"/>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1-6AD4-445A-839C-AC92ECA0B97D}"/>
              </c:ext>
            </c:extLst>
          </c:dPt>
          <c:dLbls>
            <c:dLbl>
              <c:idx val="0"/>
              <c:layout>
                <c:manualLayout>
                  <c:x val="1.7697169297136828E-2"/>
                  <c:y val="-9.347058568033895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AD4-445A-839C-AC92ECA0B97D}"/>
                </c:ext>
              </c:extLst>
            </c:dLbl>
            <c:dLbl>
              <c:idx val="1"/>
              <c:layout>
                <c:manualLayout>
                  <c:x val="3.2004298431768191E-2"/>
                  <c:y val="-0.1149539286312615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AD4-445A-839C-AC92ECA0B97D}"/>
                </c:ext>
              </c:extLst>
            </c:dLbl>
            <c:dLbl>
              <c:idx val="2"/>
              <c:layout>
                <c:manualLayout>
                  <c:x val="-5.959048933316325E-3"/>
                  <c:y val="1.818134435323232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AD4-445A-839C-AC92ECA0B97D}"/>
                </c:ext>
              </c:extLst>
            </c:dLbl>
            <c:dLbl>
              <c:idx val="3"/>
              <c:layout>
                <c:manualLayout>
                  <c:x val="-5.4777173471872734E-2"/>
                  <c:y val="2.05568275596754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AD4-445A-839C-AC92ECA0B97D}"/>
                </c:ext>
              </c:extLst>
            </c:dLbl>
            <c:dLbl>
              <c:idx val="4"/>
              <c:layout>
                <c:manualLayout>
                  <c:x val="-0.10819369228330995"/>
                  <c:y val="6.11294155606436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AD4-445A-839C-AC92ECA0B97D}"/>
                </c:ext>
              </c:extLst>
            </c:dLbl>
            <c:dLbl>
              <c:idx val="5"/>
              <c:layout>
                <c:manualLayout>
                  <c:x val="-0.14788074171140977"/>
                  <c:y val="-1.878594962863713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AD4-445A-839C-AC92ECA0B97D}"/>
                </c:ext>
              </c:extLst>
            </c:dLbl>
            <c:dLbl>
              <c:idx val="6"/>
              <c:layout>
                <c:manualLayout>
                  <c:x val="-9.001720145806516E-2"/>
                  <c:y val="-5.2383239329126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AD4-445A-839C-AC92ECA0B97D}"/>
                </c:ext>
              </c:extLst>
            </c:dLbl>
            <c:dLbl>
              <c:idx val="7"/>
              <c:layout>
                <c:manualLayout>
                  <c:x val="0.12214643272683698"/>
                  <c:y val="-6.77770952389816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AD4-445A-839C-AC92ECA0B97D}"/>
                </c:ext>
              </c:extLst>
            </c:dLbl>
            <c:dLbl>
              <c:idx val="8"/>
              <c:layout>
                <c:manualLayout>
                  <c:x val="0.15003212227337556"/>
                  <c:y val="-1.37972115187729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AD4-445A-839C-AC92ECA0B9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'apdrošināšanas veidi'!$B$10:$B$18</c:f>
              <c:strCache>
                <c:ptCount val="9"/>
                <c:pt idx="0">
                  <c:v>Dzīvība</c:v>
                </c:pt>
                <c:pt idx="1">
                  <c:v>OCTA</c:v>
                </c:pt>
                <c:pt idx="2">
                  <c:v>Veselība</c:v>
                </c:pt>
                <c:pt idx="3">
                  <c:v>KASKO</c:v>
                </c:pt>
                <c:pt idx="4">
                  <c:v>Īpašums </c:v>
                </c:pt>
                <c:pt idx="5">
                  <c:v>Vispārējā CTA</c:v>
                </c:pt>
                <c:pt idx="6">
                  <c:v>Ceļojumi</c:v>
                </c:pt>
                <c:pt idx="7">
                  <c:v>Nelaimes gadījumi</c:v>
                </c:pt>
                <c:pt idx="8">
                  <c:v>pārējie</c:v>
                </c:pt>
              </c:strCache>
            </c:strRef>
          </c:cat>
          <c:val>
            <c:numRef>
              <c:f>'apdrošināšanas veidi'!$C$10:$C$18</c:f>
              <c:numCache>
                <c:formatCode>0%</c:formatCode>
                <c:ptCount val="9"/>
                <c:pt idx="0">
                  <c:v>0.23</c:v>
                </c:pt>
                <c:pt idx="1">
                  <c:v>0.19</c:v>
                </c:pt>
                <c:pt idx="2">
                  <c:v>0.17100000000000001</c:v>
                </c:pt>
                <c:pt idx="3">
                  <c:v>0.16700000000000001</c:v>
                </c:pt>
                <c:pt idx="4">
                  <c:v>0.14099999999999999</c:v>
                </c:pt>
                <c:pt idx="5">
                  <c:v>2.7E-2</c:v>
                </c:pt>
                <c:pt idx="6">
                  <c:v>0.02</c:v>
                </c:pt>
                <c:pt idx="7">
                  <c:v>2.1999999999999999E-2</c:v>
                </c:pt>
                <c:pt idx="8">
                  <c:v>0.03</c:v>
                </c:pt>
              </c:numCache>
            </c:numRef>
          </c:val>
          <c:extLst>
            <c:ext xmlns:c16="http://schemas.microsoft.com/office/drawing/2014/chart" uri="{C3380CC4-5D6E-409C-BE32-E72D297353CC}">
              <c16:uniqueId val="{00000012-6AD4-445A-839C-AC92ECA0B97D}"/>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Dzīvības apdrošināšanas īpatsvars, % no</a:t>
            </a:r>
            <a:r>
              <a:rPr lang="lv-LV" baseline="0"/>
              <a:t> kopējā</a:t>
            </a:r>
            <a:endParaRPr lang="lv-LV"/>
          </a:p>
        </c:rich>
      </c:tx>
      <c:layout>
        <c:manualLayout>
          <c:xMode val="edge"/>
          <c:yMode val="edge"/>
          <c:x val="2.0491803278688608E-3"/>
          <c:y val="2.070929329536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'Life share of tot lv'!$A$3</c:f>
              <c:strCache>
                <c:ptCount val="1"/>
                <c:pt idx="0">
                  <c:v>Igaunija</c:v>
                </c:pt>
              </c:strCache>
            </c:strRef>
          </c:tx>
          <c:spPr>
            <a:ln w="28575" cap="rnd">
              <a:solidFill>
                <a:schemeClr val="accent1"/>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lv'!$B$3:$J$3</c:f>
              <c:numCache>
                <c:formatCode>#\ ##0_ ;\-#\ ##0\ </c:formatCode>
                <c:ptCount val="9"/>
                <c:pt idx="0">
                  <c:v>40.572000000000003</c:v>
                </c:pt>
                <c:pt idx="1">
                  <c:v>39.796999999999997</c:v>
                </c:pt>
                <c:pt idx="2">
                  <c:v>33.880000000000003</c:v>
                </c:pt>
                <c:pt idx="3">
                  <c:v>29.332000000000001</c:v>
                </c:pt>
                <c:pt idx="4">
                  <c:v>30.317</c:v>
                </c:pt>
                <c:pt idx="5">
                  <c:v>31.152000000000001</c:v>
                </c:pt>
                <c:pt idx="6">
                  <c:v>30.032</c:v>
                </c:pt>
                <c:pt idx="7">
                  <c:v>27.262</c:v>
                </c:pt>
                <c:pt idx="8">
                  <c:v>25.189</c:v>
                </c:pt>
              </c:numCache>
            </c:numRef>
          </c:val>
          <c:smooth val="0"/>
          <c:extLst>
            <c:ext xmlns:c16="http://schemas.microsoft.com/office/drawing/2014/chart" uri="{C3380CC4-5D6E-409C-BE32-E72D297353CC}">
              <c16:uniqueId val="{00000000-D000-45B4-ACDD-0B0E99FE97DC}"/>
            </c:ext>
          </c:extLst>
        </c:ser>
        <c:ser>
          <c:idx val="1"/>
          <c:order val="1"/>
          <c:tx>
            <c:strRef>
              <c:f>'Life share of tot lv'!$A$4</c:f>
              <c:strCache>
                <c:ptCount val="1"/>
                <c:pt idx="0">
                  <c:v>Latvija</c:v>
                </c:pt>
              </c:strCache>
            </c:strRef>
          </c:tx>
          <c:spPr>
            <a:ln w="28575" cap="rnd">
              <a:solidFill>
                <a:schemeClr val="accent2"/>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lv'!$B$4:$J$4</c:f>
              <c:numCache>
                <c:formatCode>#\ ##0_ ;\-#\ ##0\ </c:formatCode>
                <c:ptCount val="9"/>
                <c:pt idx="0">
                  <c:v>22.99</c:v>
                </c:pt>
                <c:pt idx="1">
                  <c:v>18.448</c:v>
                </c:pt>
                <c:pt idx="2">
                  <c:v>17.579999999999998</c:v>
                </c:pt>
                <c:pt idx="3">
                  <c:v>18.943000000000001</c:v>
                </c:pt>
                <c:pt idx="4">
                  <c:v>20.606000000000002</c:v>
                </c:pt>
                <c:pt idx="5">
                  <c:v>21.640999999999998</c:v>
                </c:pt>
                <c:pt idx="6">
                  <c:v>23.231999999999999</c:v>
                </c:pt>
                <c:pt idx="7">
                  <c:v>22.457999999999998</c:v>
                </c:pt>
                <c:pt idx="8">
                  <c:v>19.207000000000001</c:v>
                </c:pt>
              </c:numCache>
            </c:numRef>
          </c:val>
          <c:smooth val="0"/>
          <c:extLst>
            <c:ext xmlns:c16="http://schemas.microsoft.com/office/drawing/2014/chart" uri="{C3380CC4-5D6E-409C-BE32-E72D297353CC}">
              <c16:uniqueId val="{00000001-D000-45B4-ACDD-0B0E99FE97DC}"/>
            </c:ext>
          </c:extLst>
        </c:ser>
        <c:ser>
          <c:idx val="2"/>
          <c:order val="2"/>
          <c:tx>
            <c:strRef>
              <c:f>'Life share of tot lv'!$A$5</c:f>
              <c:strCache>
                <c:ptCount val="1"/>
                <c:pt idx="0">
                  <c:v>Lietuva</c:v>
                </c:pt>
              </c:strCache>
            </c:strRef>
          </c:tx>
          <c:spPr>
            <a:ln w="28575" cap="rnd">
              <a:solidFill>
                <a:schemeClr val="accent3"/>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lv'!$B$5:$J$5</c:f>
              <c:numCache>
                <c:formatCode>#\ ##0_ ;\-#\ ##0\ </c:formatCode>
                <c:ptCount val="9"/>
                <c:pt idx="0">
                  <c:v>34.72</c:v>
                </c:pt>
                <c:pt idx="1">
                  <c:v>32.96</c:v>
                </c:pt>
                <c:pt idx="2">
                  <c:v>31.99</c:v>
                </c:pt>
                <c:pt idx="3">
                  <c:v>31.966999999999999</c:v>
                </c:pt>
                <c:pt idx="4">
                  <c:v>35.789000000000001</c:v>
                </c:pt>
                <c:pt idx="5">
                  <c:v>36.576000000000001</c:v>
                </c:pt>
                <c:pt idx="6">
                  <c:v>34.747</c:v>
                </c:pt>
                <c:pt idx="7">
                  <c:v>29.186</c:v>
                </c:pt>
                <c:pt idx="8">
                  <c:v>28.28</c:v>
                </c:pt>
              </c:numCache>
            </c:numRef>
          </c:val>
          <c:smooth val="0"/>
          <c:extLst>
            <c:ext xmlns:c16="http://schemas.microsoft.com/office/drawing/2014/chart" uri="{C3380CC4-5D6E-409C-BE32-E72D297353CC}">
              <c16:uniqueId val="{00000002-D000-45B4-ACDD-0B0E99FE97DC}"/>
            </c:ext>
          </c:extLst>
        </c:ser>
        <c:ser>
          <c:idx val="3"/>
          <c:order val="3"/>
          <c:tx>
            <c:strRef>
              <c:f>'Life share of tot lv'!$A$6</c:f>
              <c:strCache>
                <c:ptCount val="1"/>
                <c:pt idx="0">
                  <c:v>OECD vidējais</c:v>
                </c:pt>
              </c:strCache>
            </c:strRef>
          </c:tx>
          <c:spPr>
            <a:ln w="28575" cap="rnd">
              <a:solidFill>
                <a:schemeClr val="accent4"/>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lv'!$B$6:$J$6</c:f>
              <c:numCache>
                <c:formatCode>#\ ##0_ ;\-#\ ##0\ </c:formatCode>
                <c:ptCount val="9"/>
                <c:pt idx="0">
                  <c:v>49.634999999999998</c:v>
                </c:pt>
                <c:pt idx="1">
                  <c:v>52.884</c:v>
                </c:pt>
                <c:pt idx="2">
                  <c:v>53.238</c:v>
                </c:pt>
                <c:pt idx="3">
                  <c:v>52.692999999999998</c:v>
                </c:pt>
                <c:pt idx="4">
                  <c:v>50.204999999999998</c:v>
                </c:pt>
                <c:pt idx="5">
                  <c:v>49.24</c:v>
                </c:pt>
                <c:pt idx="6">
                  <c:v>46.488999999999997</c:v>
                </c:pt>
                <c:pt idx="7">
                  <c:v>45.362000000000002</c:v>
                </c:pt>
                <c:pt idx="8">
                  <c:v>50.231000000000002</c:v>
                </c:pt>
              </c:numCache>
            </c:numRef>
          </c:val>
          <c:smooth val="0"/>
          <c:extLst>
            <c:ext xmlns:c16="http://schemas.microsoft.com/office/drawing/2014/chart" uri="{C3380CC4-5D6E-409C-BE32-E72D297353CC}">
              <c16:uniqueId val="{00000003-D000-45B4-ACDD-0B0E99FE97DC}"/>
            </c:ext>
          </c:extLst>
        </c:ser>
        <c:dLbls>
          <c:showLegendKey val="0"/>
          <c:showVal val="0"/>
          <c:showCatName val="0"/>
          <c:showSerName val="0"/>
          <c:showPercent val="0"/>
          <c:showBubbleSize val="0"/>
        </c:dLbls>
        <c:smooth val="0"/>
        <c:axId val="767073088"/>
        <c:axId val="767074720"/>
      </c:lineChart>
      <c:catAx>
        <c:axId val="76707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67074720"/>
        <c:crosses val="autoZero"/>
        <c:auto val="1"/>
        <c:lblAlgn val="ctr"/>
        <c:lblOffset val="100"/>
        <c:noMultiLvlLbl val="0"/>
      </c:catAx>
      <c:valAx>
        <c:axId val="767074720"/>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6707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2017</c:v>
                </c:pt>
              </c:strCache>
            </c:strRef>
          </c:tx>
          <c:spPr>
            <a:solidFill>
              <a:schemeClr val="accent1"/>
            </a:solidFill>
            <a:ln>
              <a:noFill/>
            </a:ln>
            <a:effectLst/>
          </c:spPr>
          <c:invertIfNegative val="0"/>
          <c:cat>
            <c:strRef>
              <c:f>Sheet1!$A$3:$A$32</c:f>
              <c:strCache>
                <c:ptCount val="30"/>
                <c:pt idx="0">
                  <c:v>DK</c:v>
                </c:pt>
                <c:pt idx="1">
                  <c:v>FI</c:v>
                </c:pt>
                <c:pt idx="2">
                  <c:v>NL</c:v>
                </c:pt>
                <c:pt idx="3">
                  <c:v>FR</c:v>
                </c:pt>
                <c:pt idx="4">
                  <c:v>CH</c:v>
                </c:pt>
                <c:pt idx="5">
                  <c:v>IT</c:v>
                </c:pt>
                <c:pt idx="6">
                  <c:v>SE</c:v>
                </c:pt>
                <c:pt idx="7">
                  <c:v>BE</c:v>
                </c:pt>
                <c:pt idx="8">
                  <c:v>DE</c:v>
                </c:pt>
                <c:pt idx="9">
                  <c:v>PT</c:v>
                </c:pt>
                <c:pt idx="10">
                  <c:v>IE</c:v>
                </c:pt>
                <c:pt idx="11">
                  <c:v>ES</c:v>
                </c:pt>
                <c:pt idx="12">
                  <c:v>SI</c:v>
                </c:pt>
                <c:pt idx="13">
                  <c:v>LU</c:v>
                </c:pt>
                <c:pt idx="14">
                  <c:v>MT</c:v>
                </c:pt>
                <c:pt idx="15">
                  <c:v>AT</c:v>
                </c:pt>
                <c:pt idx="16">
                  <c:v>CY</c:v>
                </c:pt>
                <c:pt idx="17">
                  <c:v>NO</c:v>
                </c:pt>
                <c:pt idx="18">
                  <c:v>PL</c:v>
                </c:pt>
                <c:pt idx="19">
                  <c:v>CZ</c:v>
                </c:pt>
                <c:pt idx="20">
                  <c:v>HR</c:v>
                </c:pt>
                <c:pt idx="21">
                  <c:v>SK</c:v>
                </c:pt>
                <c:pt idx="22">
                  <c:v>HU</c:v>
                </c:pt>
                <c:pt idx="23">
                  <c:v>EE</c:v>
                </c:pt>
                <c:pt idx="24">
                  <c:v>BG</c:v>
                </c:pt>
                <c:pt idx="25">
                  <c:v>GR</c:v>
                </c:pt>
                <c:pt idx="26">
                  <c:v>IS</c:v>
                </c:pt>
                <c:pt idx="27">
                  <c:v>RO</c:v>
                </c:pt>
                <c:pt idx="28">
                  <c:v>LV</c:v>
                </c:pt>
                <c:pt idx="29">
                  <c:v>LT</c:v>
                </c:pt>
              </c:strCache>
            </c:strRef>
          </c:cat>
          <c:val>
            <c:numRef>
              <c:f>Sheet1!$B$3:$B$32</c:f>
              <c:numCache>
                <c:formatCode>0.0%</c:formatCode>
                <c:ptCount val="30"/>
                <c:pt idx="0">
                  <c:v>0.10745760683240115</c:v>
                </c:pt>
                <c:pt idx="1">
                  <c:v>9.9940583355298138E-2</c:v>
                </c:pt>
                <c:pt idx="2">
                  <c:v>9.4921904679206776E-2</c:v>
                </c:pt>
                <c:pt idx="3">
                  <c:v>9.0897388625499356E-2</c:v>
                </c:pt>
                <c:pt idx="4">
                  <c:v>8.4443711016648035E-2</c:v>
                </c:pt>
                <c:pt idx="5">
                  <c:v>7.6248677366704751E-2</c:v>
                </c:pt>
                <c:pt idx="6">
                  <c:v>6.0505154789283401E-2</c:v>
                </c:pt>
                <c:pt idx="7">
                  <c:v>5.8921426080313519E-2</c:v>
                </c:pt>
                <c:pt idx="8">
                  <c:v>6.0677831063171282E-2</c:v>
                </c:pt>
                <c:pt idx="9">
                  <c:v>5.5376635405967725E-2</c:v>
                </c:pt>
                <c:pt idx="10">
                  <c:v>5.9550541310233469E-2</c:v>
                </c:pt>
                <c:pt idx="11">
                  <c:v>5.3476868712736172E-2</c:v>
                </c:pt>
                <c:pt idx="12">
                  <c:v>4.904790182563467E-2</c:v>
                </c:pt>
                <c:pt idx="13">
                  <c:v>4.6214511952443034E-2</c:v>
                </c:pt>
                <c:pt idx="14">
                  <c:v>4.8346216070465575E-2</c:v>
                </c:pt>
                <c:pt idx="15">
                  <c:v>4.6266303367263936E-2</c:v>
                </c:pt>
                <c:pt idx="16">
                  <c:v>4.5956552061539105E-2</c:v>
                </c:pt>
                <c:pt idx="17">
                  <c:v>4.2425439069671181E-2</c:v>
                </c:pt>
                <c:pt idx="18">
                  <c:v>3.0128529331817713E-2</c:v>
                </c:pt>
                <c:pt idx="19">
                  <c:v>2.9297827903190979E-2</c:v>
                </c:pt>
                <c:pt idx="20">
                  <c:v>2.4938406545354119E-2</c:v>
                </c:pt>
                <c:pt idx="21">
                  <c:v>2.5110254491370262E-2</c:v>
                </c:pt>
                <c:pt idx="22">
                  <c:v>2.4117406814012938E-2</c:v>
                </c:pt>
                <c:pt idx="23">
                  <c:v>1.6011442334027466E-2</c:v>
                </c:pt>
                <c:pt idx="24">
                  <c:v>2.2112680677251549E-2</c:v>
                </c:pt>
                <c:pt idx="25">
                  <c:v>2.0806221386522543E-2</c:v>
                </c:pt>
                <c:pt idx="26">
                  <c:v>2.0211007838823077E-2</c:v>
                </c:pt>
                <c:pt idx="27">
                  <c:v>1.1075263230695589E-2</c:v>
                </c:pt>
                <c:pt idx="28">
                  <c:v>8.9624151977539968E-3</c:v>
                </c:pt>
                <c:pt idx="29">
                  <c:v>5.3702208026503986E-3</c:v>
                </c:pt>
              </c:numCache>
            </c:numRef>
          </c:val>
          <c:extLst>
            <c:ext xmlns:c16="http://schemas.microsoft.com/office/drawing/2014/chart" uri="{C3380CC4-5D6E-409C-BE32-E72D297353CC}">
              <c16:uniqueId val="{00000000-44B7-4583-8B51-DA49F51E6B66}"/>
            </c:ext>
          </c:extLst>
        </c:ser>
        <c:ser>
          <c:idx val="1"/>
          <c:order val="1"/>
          <c:tx>
            <c:strRef>
              <c:f>Sheet1!$C$2</c:f>
              <c:strCache>
                <c:ptCount val="1"/>
                <c:pt idx="0">
                  <c:v>2018</c:v>
                </c:pt>
              </c:strCache>
            </c:strRef>
          </c:tx>
          <c:spPr>
            <a:solidFill>
              <a:schemeClr val="accent2"/>
            </a:solidFill>
            <a:ln>
              <a:noFill/>
            </a:ln>
            <a:effectLst/>
          </c:spPr>
          <c:invertIfNegative val="0"/>
          <c:cat>
            <c:strRef>
              <c:f>Sheet1!$A$3:$A$32</c:f>
              <c:strCache>
                <c:ptCount val="30"/>
                <c:pt idx="0">
                  <c:v>DK</c:v>
                </c:pt>
                <c:pt idx="1">
                  <c:v>FI</c:v>
                </c:pt>
                <c:pt idx="2">
                  <c:v>NL</c:v>
                </c:pt>
                <c:pt idx="3">
                  <c:v>FR</c:v>
                </c:pt>
                <c:pt idx="4">
                  <c:v>CH</c:v>
                </c:pt>
                <c:pt idx="5">
                  <c:v>IT</c:v>
                </c:pt>
                <c:pt idx="6">
                  <c:v>SE</c:v>
                </c:pt>
                <c:pt idx="7">
                  <c:v>BE</c:v>
                </c:pt>
                <c:pt idx="8">
                  <c:v>DE</c:v>
                </c:pt>
                <c:pt idx="9">
                  <c:v>PT</c:v>
                </c:pt>
                <c:pt idx="10">
                  <c:v>IE</c:v>
                </c:pt>
                <c:pt idx="11">
                  <c:v>ES</c:v>
                </c:pt>
                <c:pt idx="12">
                  <c:v>SI</c:v>
                </c:pt>
                <c:pt idx="13">
                  <c:v>LU</c:v>
                </c:pt>
                <c:pt idx="14">
                  <c:v>MT</c:v>
                </c:pt>
                <c:pt idx="15">
                  <c:v>AT</c:v>
                </c:pt>
                <c:pt idx="16">
                  <c:v>CY</c:v>
                </c:pt>
                <c:pt idx="17">
                  <c:v>NO</c:v>
                </c:pt>
                <c:pt idx="18">
                  <c:v>PL</c:v>
                </c:pt>
                <c:pt idx="19">
                  <c:v>CZ</c:v>
                </c:pt>
                <c:pt idx="20">
                  <c:v>HR</c:v>
                </c:pt>
                <c:pt idx="21">
                  <c:v>SK</c:v>
                </c:pt>
                <c:pt idx="22">
                  <c:v>HU</c:v>
                </c:pt>
                <c:pt idx="23">
                  <c:v>EE</c:v>
                </c:pt>
                <c:pt idx="24">
                  <c:v>BG</c:v>
                </c:pt>
                <c:pt idx="25">
                  <c:v>GR</c:v>
                </c:pt>
                <c:pt idx="26">
                  <c:v>IS</c:v>
                </c:pt>
                <c:pt idx="27">
                  <c:v>RO</c:v>
                </c:pt>
                <c:pt idx="28">
                  <c:v>LV</c:v>
                </c:pt>
                <c:pt idx="29">
                  <c:v>LT</c:v>
                </c:pt>
              </c:strCache>
            </c:strRef>
          </c:cat>
          <c:val>
            <c:numRef>
              <c:f>Sheet1!$C$3:$C$32</c:f>
              <c:numCache>
                <c:formatCode>0.0%</c:formatCode>
                <c:ptCount val="30"/>
                <c:pt idx="0">
                  <c:v>0.106649465920418</c:v>
                </c:pt>
                <c:pt idx="1">
                  <c:v>9.8967668550944438E-2</c:v>
                </c:pt>
                <c:pt idx="2">
                  <c:v>9.3439736240680374E-2</c:v>
                </c:pt>
                <c:pt idx="3">
                  <c:v>9.1181382777539316E-2</c:v>
                </c:pt>
                <c:pt idx="4">
                  <c:v>8.5952943029160178E-2</c:v>
                </c:pt>
                <c:pt idx="5">
                  <c:v>7.6918282861828655E-2</c:v>
                </c:pt>
                <c:pt idx="6">
                  <c:v>6.6980236490132627E-2</c:v>
                </c:pt>
                <c:pt idx="7">
                  <c:v>5.9995840721904295E-2</c:v>
                </c:pt>
                <c:pt idx="8">
                  <c:v>5.9964559952746604E-2</c:v>
                </c:pt>
                <c:pt idx="9">
                  <c:v>5.8011648864743005E-2</c:v>
                </c:pt>
                <c:pt idx="10">
                  <c:v>5.4425681910342666E-2</c:v>
                </c:pt>
                <c:pt idx="11">
                  <c:v>5.2393217286517337E-2</c:v>
                </c:pt>
                <c:pt idx="12">
                  <c:v>4.9675064638849471E-2</c:v>
                </c:pt>
                <c:pt idx="13">
                  <c:v>4.7282161130098595E-2</c:v>
                </c:pt>
                <c:pt idx="14">
                  <c:v>4.7053383842890394E-2</c:v>
                </c:pt>
                <c:pt idx="15">
                  <c:v>4.4996837556055033E-2</c:v>
                </c:pt>
                <c:pt idx="16">
                  <c:v>4.4378198727503385E-2</c:v>
                </c:pt>
                <c:pt idx="17">
                  <c:v>4.3431597816538485E-2</c:v>
                </c:pt>
                <c:pt idx="18">
                  <c:v>2.8026007247543772E-2</c:v>
                </c:pt>
                <c:pt idx="19">
                  <c:v>2.7843277216690526E-2</c:v>
                </c:pt>
                <c:pt idx="20">
                  <c:v>2.5842382814482538E-2</c:v>
                </c:pt>
                <c:pt idx="21">
                  <c:v>2.438975718888093E-2</c:v>
                </c:pt>
                <c:pt idx="22">
                  <c:v>2.4182403963590025E-2</c:v>
                </c:pt>
                <c:pt idx="23">
                  <c:v>2.3023046431953978E-2</c:v>
                </c:pt>
                <c:pt idx="24">
                  <c:v>2.2951049724289997E-2</c:v>
                </c:pt>
                <c:pt idx="25">
                  <c:v>2.0317940855464893E-2</c:v>
                </c:pt>
                <c:pt idx="26">
                  <c:v>1.9542462294210881E-2</c:v>
                </c:pt>
                <c:pt idx="27">
                  <c:v>1.0718200061736113E-2</c:v>
                </c:pt>
                <c:pt idx="28">
                  <c:v>8.5490639723340908E-3</c:v>
                </c:pt>
                <c:pt idx="29">
                  <c:v>4.578656464687479E-3</c:v>
                </c:pt>
              </c:numCache>
            </c:numRef>
          </c:val>
          <c:extLst>
            <c:ext xmlns:c16="http://schemas.microsoft.com/office/drawing/2014/chart" uri="{C3380CC4-5D6E-409C-BE32-E72D297353CC}">
              <c16:uniqueId val="{00000001-44B7-4583-8B51-DA49F51E6B66}"/>
            </c:ext>
          </c:extLst>
        </c:ser>
        <c:dLbls>
          <c:showLegendKey val="0"/>
          <c:showVal val="0"/>
          <c:showCatName val="0"/>
          <c:showSerName val="0"/>
          <c:showPercent val="0"/>
          <c:showBubbleSize val="0"/>
        </c:dLbls>
        <c:gapWidth val="219"/>
        <c:overlap val="-27"/>
        <c:axId val="2086511824"/>
        <c:axId val="2086507248"/>
      </c:barChart>
      <c:catAx>
        <c:axId val="208651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86507248"/>
        <c:crosses val="autoZero"/>
        <c:auto val="1"/>
        <c:lblAlgn val="ctr"/>
        <c:lblOffset val="100"/>
        <c:noMultiLvlLbl val="0"/>
      </c:catAx>
      <c:valAx>
        <c:axId val="2086507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8651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Sheet1!$B$27:$E$27</c:f>
              <c:strCache>
                <c:ptCount val="4"/>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Sheet1!$F$27:$T$27</c:f>
            </c:numRef>
          </c:val>
          <c:extLst>
            <c:ext xmlns:c16="http://schemas.microsoft.com/office/drawing/2014/chart" uri="{C3380CC4-5D6E-409C-BE32-E72D297353CC}">
              <c16:uniqueId val="{00000000-8DD2-4873-B654-A81C27EA9603}"/>
            </c:ext>
          </c:extLst>
        </c:ser>
        <c:ser>
          <c:idx val="1"/>
          <c:order val="1"/>
          <c:tx>
            <c:strRef>
              <c:f>Sheet1!$B$28:$E$28</c:f>
              <c:strCache>
                <c:ptCount val="4"/>
                <c:pt idx="0">
                  <c:v>Nauda un noguldījumi (kopā)</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Sheet1!$F$28:$T$28</c:f>
            </c:numRef>
          </c:val>
          <c:extLst>
            <c:ext xmlns:c16="http://schemas.microsoft.com/office/drawing/2014/chart" uri="{C3380CC4-5D6E-409C-BE32-E72D297353CC}">
              <c16:uniqueId val="{00000001-8DD2-4873-B654-A81C27EA9603}"/>
            </c:ext>
          </c:extLst>
        </c:ser>
        <c:ser>
          <c:idx val="2"/>
          <c:order val="2"/>
          <c:tx>
            <c:strRef>
              <c:f>Sheet1!$B$29:$E$29</c:f>
              <c:strCache>
                <c:ptCount val="4"/>
                <c:pt idx="0">
                  <c:v>Nauda un noguldījumi</c:v>
                </c:pt>
                <c:pt idx="3">
                  <c:v>Nauda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Sheet1!$F$29:$T$29</c:f>
            </c:numRef>
          </c:val>
          <c:extLst>
            <c:ext xmlns:c16="http://schemas.microsoft.com/office/drawing/2014/chart" uri="{C3380CC4-5D6E-409C-BE32-E72D297353CC}">
              <c16:uniqueId val="{00000002-8DD2-4873-B654-A81C27EA9603}"/>
            </c:ext>
          </c:extLst>
        </c:ser>
        <c:ser>
          <c:idx val="3"/>
          <c:order val="3"/>
          <c:tx>
            <c:strRef>
              <c:f>Sheet1!$B$30:$E$30</c:f>
              <c:strCache>
                <c:ptCount val="4"/>
                <c:pt idx="0">
                  <c:v>Noguldījumi</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Sheet1!$F$30:$T$30</c:f>
              <c:numCache>
                <c:formatCode>0%</c:formatCode>
                <c:ptCount val="13"/>
                <c:pt idx="0">
                  <c:v>0.44886105817224792</c:v>
                </c:pt>
                <c:pt idx="1">
                  <c:v>0.44768392370572208</c:v>
                </c:pt>
                <c:pt idx="2">
                  <c:v>0.47574141519250779</c:v>
                </c:pt>
                <c:pt idx="3">
                  <c:v>0.55304151688165226</c:v>
                </c:pt>
                <c:pt idx="4">
                  <c:v>0.50999185616738707</c:v>
                </c:pt>
                <c:pt idx="5">
                  <c:v>0.4948173101839855</c:v>
                </c:pt>
                <c:pt idx="6">
                  <c:v>0.45608128419407201</c:v>
                </c:pt>
                <c:pt idx="7">
                  <c:v>0.45488574780714008</c:v>
                </c:pt>
                <c:pt idx="8">
                  <c:v>0.29849843242945934</c:v>
                </c:pt>
                <c:pt idx="9">
                  <c:v>0.26872225894796486</c:v>
                </c:pt>
                <c:pt idx="10">
                  <c:v>0.27109570406775196</c:v>
                </c:pt>
                <c:pt idx="11">
                  <c:v>0.2730693717277487</c:v>
                </c:pt>
                <c:pt idx="12">
                  <c:v>0.27469440437324427</c:v>
                </c:pt>
              </c:numCache>
            </c:numRef>
          </c:val>
          <c:extLst>
            <c:ext xmlns:c16="http://schemas.microsoft.com/office/drawing/2014/chart" uri="{C3380CC4-5D6E-409C-BE32-E72D297353CC}">
              <c16:uniqueId val="{00000003-8DD2-4873-B654-A81C27EA9603}"/>
            </c:ext>
          </c:extLst>
        </c:ser>
        <c:ser>
          <c:idx val="4"/>
          <c:order val="4"/>
          <c:tx>
            <c:strRef>
              <c:f>Sheet1!$B$31:$E$31</c:f>
              <c:strCache>
                <c:ptCount val="4"/>
                <c:pt idx="0">
                  <c:v>Parāda vērtspapīri</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Sheet1!$F$31:$T$31</c:f>
            </c:numRef>
          </c:val>
          <c:extLst>
            <c:ext xmlns:c16="http://schemas.microsoft.com/office/drawing/2014/chart" uri="{C3380CC4-5D6E-409C-BE32-E72D297353CC}">
              <c16:uniqueId val="{00000004-8DD2-4873-B654-A81C27EA9603}"/>
            </c:ext>
          </c:extLst>
        </c:ser>
        <c:ser>
          <c:idx val="5"/>
          <c:order val="5"/>
          <c:tx>
            <c:strRef>
              <c:f>Sheet1!$B$32:$E$32</c:f>
              <c:strCache>
                <c:ptCount val="4"/>
                <c:pt idx="0">
                  <c:v>Aizdevumi vai aizņēmumi</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Sheet1!$F$32:$T$32</c:f>
            </c:numRef>
          </c:val>
          <c:extLst>
            <c:ext xmlns:c16="http://schemas.microsoft.com/office/drawing/2014/chart" uri="{C3380CC4-5D6E-409C-BE32-E72D297353CC}">
              <c16:uniqueId val="{00000005-8DD2-4873-B654-A81C27EA9603}"/>
            </c:ext>
          </c:extLst>
        </c:ser>
        <c:ser>
          <c:idx val="6"/>
          <c:order val="6"/>
          <c:tx>
            <c:strRef>
              <c:f>Sheet1!$B$33:$E$33</c:f>
              <c:strCache>
                <c:ptCount val="4"/>
                <c:pt idx="0">
                  <c:v>Pašu kapitāls un ieguldījumu fondu ieguldījumu apliecības</c:v>
                </c:pt>
              </c:strCache>
            </c:strRef>
          </c:tx>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Sheet1!$F$33:$T$33</c:f>
              <c:numCache>
                <c:formatCode>0%</c:formatCode>
                <c:ptCount val="13"/>
                <c:pt idx="0">
                  <c:v>0.34848897359106995</c:v>
                </c:pt>
                <c:pt idx="1">
                  <c:v>0.37540871934604902</c:v>
                </c:pt>
                <c:pt idx="2">
                  <c:v>0.3397502601456816</c:v>
                </c:pt>
                <c:pt idx="3">
                  <c:v>0.23972651018538099</c:v>
                </c:pt>
                <c:pt idx="4">
                  <c:v>0.20685334836810124</c:v>
                </c:pt>
                <c:pt idx="5">
                  <c:v>0.19415651723244365</c:v>
                </c:pt>
                <c:pt idx="6">
                  <c:v>0.26555642397643242</c:v>
                </c:pt>
                <c:pt idx="7">
                  <c:v>0.31750377116040002</c:v>
                </c:pt>
                <c:pt idx="8">
                  <c:v>0.31037896705351742</c:v>
                </c:pt>
                <c:pt idx="9">
                  <c:v>0.3722731136084616</c:v>
                </c:pt>
                <c:pt idx="10">
                  <c:v>0.37610250559480451</c:v>
                </c:pt>
                <c:pt idx="11">
                  <c:v>0.37814954188481675</c:v>
                </c:pt>
                <c:pt idx="12">
                  <c:v>0.38899855743679296</c:v>
                </c:pt>
              </c:numCache>
            </c:numRef>
          </c:val>
          <c:extLst>
            <c:ext xmlns:c16="http://schemas.microsoft.com/office/drawing/2014/chart" uri="{C3380CC4-5D6E-409C-BE32-E72D297353CC}">
              <c16:uniqueId val="{00000006-8DD2-4873-B654-A81C27EA9603}"/>
            </c:ext>
          </c:extLst>
        </c:ser>
        <c:ser>
          <c:idx val="7"/>
          <c:order val="7"/>
          <c:tx>
            <c:strRef>
              <c:f>Sheet1!$B$34:$E$34</c:f>
              <c:strCache>
                <c:ptCount val="4"/>
                <c:pt idx="0">
                  <c:v>Apdrošināšanas, pensiju un standarta garantijas</c:v>
                </c:pt>
              </c:strCache>
            </c:strRef>
          </c:tx>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Sheet1!$F$34:$T$34</c:f>
              <c:numCache>
                <c:formatCode>0%</c:formatCode>
                <c:ptCount val="13"/>
                <c:pt idx="0">
                  <c:v>2.7860967419911061E-2</c:v>
                </c:pt>
                <c:pt idx="1">
                  <c:v>3.6171662125340599E-2</c:v>
                </c:pt>
                <c:pt idx="2">
                  <c:v>5.3720083246618103E-2</c:v>
                </c:pt>
                <c:pt idx="3">
                  <c:v>8.9518573341791779E-2</c:v>
                </c:pt>
                <c:pt idx="4">
                  <c:v>9.258911232224519E-2</c:v>
                </c:pt>
                <c:pt idx="5">
                  <c:v>0.10805908266390256</c:v>
                </c:pt>
                <c:pt idx="6">
                  <c:v>0.11952143329525641</c:v>
                </c:pt>
                <c:pt idx="7">
                  <c:v>0.12570534666741159</c:v>
                </c:pt>
                <c:pt idx="8">
                  <c:v>0.14636158627138221</c:v>
                </c:pt>
                <c:pt idx="9">
                  <c:v>0.14340353196713571</c:v>
                </c:pt>
                <c:pt idx="10">
                  <c:v>0.15797095089736277</c:v>
                </c:pt>
                <c:pt idx="11">
                  <c:v>0.17408376963350786</c:v>
                </c:pt>
                <c:pt idx="12">
                  <c:v>0.17367701769038038</c:v>
                </c:pt>
              </c:numCache>
            </c:numRef>
          </c:val>
          <c:extLst>
            <c:ext xmlns:c16="http://schemas.microsoft.com/office/drawing/2014/chart" uri="{C3380CC4-5D6E-409C-BE32-E72D297353CC}">
              <c16:uniqueId val="{00000007-8DD2-4873-B654-A81C27EA9603}"/>
            </c:ext>
          </c:extLst>
        </c:ser>
        <c:dLbls>
          <c:showLegendKey val="0"/>
          <c:showVal val="0"/>
          <c:showCatName val="0"/>
          <c:showSerName val="0"/>
          <c:showPercent val="0"/>
          <c:showBubbleSize val="0"/>
        </c:dLbls>
        <c:gapWidth val="100"/>
        <c:overlap val="-24"/>
        <c:axId val="1199339647"/>
        <c:axId val="1199341727"/>
      </c:barChart>
      <c:catAx>
        <c:axId val="119933964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199341727"/>
        <c:crosses val="autoZero"/>
        <c:auto val="1"/>
        <c:lblAlgn val="ctr"/>
        <c:lblOffset val="100"/>
        <c:noMultiLvlLbl val="0"/>
      </c:catAx>
      <c:valAx>
        <c:axId val="1199341727"/>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199339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212257100149483E-2"/>
          <c:y val="5.8001581861323488E-2"/>
          <c:w val="0.91778774289985054"/>
          <c:h val="0.70884866652411926"/>
        </c:manualLayout>
      </c:layout>
      <c:barChart>
        <c:barDir val="col"/>
        <c:grouping val="clustered"/>
        <c:varyColors val="0"/>
        <c:ser>
          <c:idx val="0"/>
          <c:order val="0"/>
          <c:tx>
            <c:strRef>
              <c:f>Sheet1!$E$21</c:f>
              <c:strCache>
                <c:ptCount val="1"/>
                <c:pt idx="0">
                  <c:v>2014</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Sheet1!$D$22:$D$26</c:f>
              <c:strCache>
                <c:ptCount val="5"/>
                <c:pt idx="0">
                  <c:v>1.</c:v>
                </c:pt>
                <c:pt idx="1">
                  <c:v>2.</c:v>
                </c:pt>
                <c:pt idx="2">
                  <c:v>3.</c:v>
                </c:pt>
                <c:pt idx="3">
                  <c:v>4.</c:v>
                </c:pt>
                <c:pt idx="4">
                  <c:v>5.</c:v>
                </c:pt>
              </c:strCache>
            </c:strRef>
          </c:cat>
          <c:val>
            <c:numRef>
              <c:f>Sheet1!$E$22:$E$26</c:f>
              <c:numCache>
                <c:formatCode>0.00%</c:formatCode>
                <c:ptCount val="5"/>
                <c:pt idx="0">
                  <c:v>3.5999999999999997E-2</c:v>
                </c:pt>
                <c:pt idx="1">
                  <c:v>4.4999999999999998E-2</c:v>
                </c:pt>
                <c:pt idx="2">
                  <c:v>8.3000000000000004E-2</c:v>
                </c:pt>
                <c:pt idx="3">
                  <c:v>8.5999999999999993E-2</c:v>
                </c:pt>
                <c:pt idx="4">
                  <c:v>0.19500000000000001</c:v>
                </c:pt>
              </c:numCache>
            </c:numRef>
          </c:val>
          <c:extLst>
            <c:ext xmlns:c16="http://schemas.microsoft.com/office/drawing/2014/chart" uri="{C3380CC4-5D6E-409C-BE32-E72D297353CC}">
              <c16:uniqueId val="{00000000-4A20-4796-A470-CF8862DE12E9}"/>
            </c:ext>
          </c:extLst>
        </c:ser>
        <c:ser>
          <c:idx val="1"/>
          <c:order val="1"/>
          <c:tx>
            <c:strRef>
              <c:f>Sheet1!$F$21</c:f>
              <c:strCache>
                <c:ptCount val="1"/>
                <c:pt idx="0">
                  <c:v>2017</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Sheet1!$D$22:$D$26</c:f>
              <c:strCache>
                <c:ptCount val="5"/>
                <c:pt idx="0">
                  <c:v>1.</c:v>
                </c:pt>
                <c:pt idx="1">
                  <c:v>2.</c:v>
                </c:pt>
                <c:pt idx="2">
                  <c:v>3.</c:v>
                </c:pt>
                <c:pt idx="3">
                  <c:v>4.</c:v>
                </c:pt>
                <c:pt idx="4">
                  <c:v>5.</c:v>
                </c:pt>
              </c:strCache>
            </c:strRef>
          </c:cat>
          <c:val>
            <c:numRef>
              <c:f>Sheet1!$F$22:$F$26</c:f>
              <c:numCache>
                <c:formatCode>0.00%</c:formatCode>
                <c:ptCount val="5"/>
                <c:pt idx="0">
                  <c:v>3.1E-2</c:v>
                </c:pt>
                <c:pt idx="1">
                  <c:v>0.113</c:v>
                </c:pt>
                <c:pt idx="2">
                  <c:v>0.152</c:v>
                </c:pt>
                <c:pt idx="3">
                  <c:v>0.32100000000000001</c:v>
                </c:pt>
                <c:pt idx="4">
                  <c:v>0.47399999999999998</c:v>
                </c:pt>
              </c:numCache>
            </c:numRef>
          </c:val>
          <c:extLst>
            <c:ext xmlns:c16="http://schemas.microsoft.com/office/drawing/2014/chart" uri="{C3380CC4-5D6E-409C-BE32-E72D297353CC}">
              <c16:uniqueId val="{00000001-4A20-4796-A470-CF8862DE12E9}"/>
            </c:ext>
          </c:extLst>
        </c:ser>
        <c:dLbls>
          <c:dLblPos val="outEnd"/>
          <c:showLegendKey val="0"/>
          <c:showVal val="1"/>
          <c:showCatName val="0"/>
          <c:showSerName val="0"/>
          <c:showPercent val="0"/>
          <c:showBubbleSize val="0"/>
        </c:dLbls>
        <c:gapWidth val="444"/>
        <c:overlap val="-90"/>
        <c:axId val="524878831"/>
        <c:axId val="524879247"/>
      </c:barChart>
      <c:catAx>
        <c:axId val="5248788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v-LV"/>
          </a:p>
        </c:txPr>
        <c:crossAx val="524879247"/>
        <c:crosses val="autoZero"/>
        <c:auto val="1"/>
        <c:lblAlgn val="ctr"/>
        <c:lblOffset val="100"/>
        <c:noMultiLvlLbl val="0"/>
      </c:catAx>
      <c:valAx>
        <c:axId val="524879247"/>
        <c:scaling>
          <c:orientation val="minMax"/>
        </c:scaling>
        <c:delete val="1"/>
        <c:axPos val="l"/>
        <c:numFmt formatCode="0%" sourceLinked="0"/>
        <c:majorTickMark val="none"/>
        <c:minorTickMark val="none"/>
        <c:tickLblPos val="nextTo"/>
        <c:crossAx val="5248788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02073513420641"/>
          <c:y val="2.6888935159413763E-2"/>
          <c:w val="0.77616145199307962"/>
          <c:h val="0.71280610909142028"/>
        </c:manualLayout>
      </c:layout>
      <c:barChart>
        <c:barDir val="col"/>
        <c:grouping val="stacked"/>
        <c:varyColors val="0"/>
        <c:ser>
          <c:idx val="0"/>
          <c:order val="0"/>
          <c:tx>
            <c:strRef>
              <c:f>Sheet1!$U$4</c:f>
              <c:strCache>
                <c:ptCount val="1"/>
                <c:pt idx="0">
                  <c:v>2016</c:v>
                </c:pt>
              </c:strCache>
            </c:strRef>
          </c:tx>
          <c:spPr>
            <a:solidFill>
              <a:schemeClr val="accent1"/>
            </a:solidFill>
            <a:ln>
              <a:noFill/>
            </a:ln>
            <a:effectLst/>
          </c:spPr>
          <c:invertIfNegative val="0"/>
          <c:dLbls>
            <c:dLbl>
              <c:idx val="0"/>
              <c:layout>
                <c:manualLayout>
                  <c:x val="-9.7464761018334879E-18"/>
                  <c:y val="-0.200779017206182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0F-4644-BEA8-246DA80F1E2F}"/>
                </c:ext>
              </c:extLst>
            </c:dLbl>
            <c:dLbl>
              <c:idx val="6"/>
              <c:layout>
                <c:manualLayout>
                  <c:x val="0"/>
                  <c:y val="-0.191794619422572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0F-4644-BEA8-246DA80F1E2F}"/>
                </c:ext>
              </c:extLst>
            </c:dLbl>
            <c:dLbl>
              <c:idx val="12"/>
              <c:layout>
                <c:manualLayout>
                  <c:x val="0"/>
                  <c:y val="-9.412802566345873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0F-4644-BEA8-246DA80F1E2F}"/>
                </c:ext>
              </c:extLst>
            </c:dLbl>
            <c:dLbl>
              <c:idx val="18"/>
              <c:layout>
                <c:manualLayout>
                  <c:x val="1.9293572887352259E-3"/>
                  <c:y val="-5.33195459414757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0F-4644-BEA8-246DA80F1E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Sheet1!$U$5:$U$22</c:f>
              <c:numCache>
                <c:formatCode>General</c:formatCode>
                <c:ptCount val="18"/>
                <c:pt idx="0" formatCode="#,##0">
                  <c:v>59.465000000000003</c:v>
                </c:pt>
                <c:pt idx="6" formatCode="#,##0">
                  <c:v>56.109000000000002</c:v>
                </c:pt>
                <c:pt idx="12" formatCode="#,##0">
                  <c:v>21.356000000000002</c:v>
                </c:pt>
              </c:numCache>
            </c:numRef>
          </c:val>
          <c:extLst>
            <c:ext xmlns:c16="http://schemas.microsoft.com/office/drawing/2014/chart" uri="{C3380CC4-5D6E-409C-BE32-E72D297353CC}">
              <c16:uniqueId val="{00000004-1B0F-4644-BEA8-246DA80F1E2F}"/>
            </c:ext>
          </c:extLst>
        </c:ser>
        <c:ser>
          <c:idx val="1"/>
          <c:order val="1"/>
          <c:tx>
            <c:strRef>
              <c:f>Sheet1!$V$4</c:f>
              <c:strCache>
                <c:ptCount val="1"/>
                <c:pt idx="0">
                  <c:v>2017</c:v>
                </c:pt>
              </c:strCache>
            </c:strRef>
          </c:tx>
          <c:spPr>
            <a:solidFill>
              <a:schemeClr val="accent2"/>
            </a:solidFill>
            <a:ln>
              <a:noFill/>
            </a:ln>
            <a:effectLst/>
          </c:spPr>
          <c:invertIfNegative val="0"/>
          <c:dLbls>
            <c:dLbl>
              <c:idx val="1"/>
              <c:layout>
                <c:manualLayout>
                  <c:x val="0"/>
                  <c:y val="-0.1897029017206182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0F-4644-BEA8-246DA80F1E2F}"/>
                </c:ext>
              </c:extLst>
            </c:dLbl>
            <c:dLbl>
              <c:idx val="7"/>
              <c:layout>
                <c:manualLayout>
                  <c:x val="-2.1265284423179162E-3"/>
                  <c:y val="-0.220644867308253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0F-4644-BEA8-246DA80F1E2F}"/>
                </c:ext>
              </c:extLst>
            </c:dLbl>
            <c:dLbl>
              <c:idx val="13"/>
              <c:layout>
                <c:manualLayout>
                  <c:x val="2.1265284423179162E-3"/>
                  <c:y val="-4.401793525809273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0F-4644-BEA8-246DA80F1E2F}"/>
                </c:ext>
              </c:extLst>
            </c:dLbl>
            <c:dLbl>
              <c:idx val="19"/>
              <c:layout>
                <c:manualLayout>
                  <c:x val="0"/>
                  <c:y val="-6.07961504811898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B0F-4644-BEA8-246DA80F1E2F}"/>
                </c:ext>
              </c:extLst>
            </c:dLbl>
            <c:spPr>
              <a:noFill/>
              <a:ln>
                <a:noFill/>
              </a:ln>
              <a:effectLst/>
            </c:spPr>
            <c:txPr>
              <a:bodyPr rot="0" spcFirstLastPara="1" vertOverflow="ellipsis" vert="horz" wrap="square" anchor="ctr" anchorCtr="1"/>
              <a:lstStyle/>
              <a:p>
                <a:pPr algn="ct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Sheet1!$V$5:$V$22</c:f>
              <c:numCache>
                <c:formatCode>#,##0</c:formatCode>
                <c:ptCount val="18"/>
                <c:pt idx="1">
                  <c:v>51.869</c:v>
                </c:pt>
                <c:pt idx="7">
                  <c:v>68.614999999999995</c:v>
                </c:pt>
                <c:pt idx="13">
                  <c:v>2.6379999999999999</c:v>
                </c:pt>
              </c:numCache>
            </c:numRef>
          </c:val>
          <c:extLst>
            <c:ext xmlns:c16="http://schemas.microsoft.com/office/drawing/2014/chart" uri="{C3380CC4-5D6E-409C-BE32-E72D297353CC}">
              <c16:uniqueId val="{00000009-1B0F-4644-BEA8-246DA80F1E2F}"/>
            </c:ext>
          </c:extLst>
        </c:ser>
        <c:ser>
          <c:idx val="2"/>
          <c:order val="2"/>
          <c:tx>
            <c:strRef>
              <c:f>Sheet1!$W$4</c:f>
              <c:strCache>
                <c:ptCount val="1"/>
                <c:pt idx="0">
                  <c:v>2018</c:v>
                </c:pt>
              </c:strCache>
            </c:strRef>
          </c:tx>
          <c:spPr>
            <a:solidFill>
              <a:schemeClr val="accent3"/>
            </a:solidFill>
            <a:ln>
              <a:noFill/>
            </a:ln>
            <a:effectLst/>
          </c:spPr>
          <c:invertIfNegative val="0"/>
          <c:dLbls>
            <c:dLbl>
              <c:idx val="2"/>
              <c:layout>
                <c:manualLayout>
                  <c:x val="0"/>
                  <c:y val="-0.224089384660250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B0F-4644-BEA8-246DA80F1E2F}"/>
                </c:ext>
              </c:extLst>
            </c:dLbl>
            <c:dLbl>
              <c:idx val="8"/>
              <c:layout>
                <c:manualLayout>
                  <c:x val="0"/>
                  <c:y val="-0.3062402883521138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B0F-4644-BEA8-246DA80F1E2F}"/>
                </c:ext>
              </c:extLst>
            </c:dLbl>
            <c:dLbl>
              <c:idx val="14"/>
              <c:layout>
                <c:manualLayout>
                  <c:x val="0"/>
                  <c:y val="-4.806321084864392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B0F-4644-BEA8-246DA80F1E2F}"/>
                </c:ext>
              </c:extLst>
            </c:dLbl>
            <c:dLbl>
              <c:idx val="20"/>
              <c:layout>
                <c:manualLayout>
                  <c:x val="-1.5112312846914805E-16"/>
                  <c:y val="-4.5517135549272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B0F-4644-BEA8-246DA80F1E2F}"/>
                </c:ext>
              </c:extLst>
            </c:dLbl>
            <c:spPr>
              <a:noFill/>
              <a:ln>
                <a:noFill/>
              </a:ln>
              <a:effectLst/>
            </c:spPr>
            <c:txPr>
              <a:bodyPr rot="0" spcFirstLastPara="1" vertOverflow="ellipsis" vert="horz" wrap="square" anchor="ctr" anchorCtr="1"/>
              <a:lstStyle/>
              <a:p>
                <a:pPr algn="ct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Sheet1!$W$5:$W$22</c:f>
              <c:numCache>
                <c:formatCode>General</c:formatCode>
                <c:ptCount val="18"/>
                <c:pt idx="2" formatCode="#,##0">
                  <c:v>66.442999999999998</c:v>
                </c:pt>
                <c:pt idx="8" formatCode="#,##0">
                  <c:v>88.765000000000001</c:v>
                </c:pt>
                <c:pt idx="14" formatCode="#,##0">
                  <c:v>4.149</c:v>
                </c:pt>
              </c:numCache>
            </c:numRef>
          </c:val>
          <c:extLst>
            <c:ext xmlns:c16="http://schemas.microsoft.com/office/drawing/2014/chart" uri="{C3380CC4-5D6E-409C-BE32-E72D297353CC}">
              <c16:uniqueId val="{0000000E-1B0F-4644-BEA8-246DA80F1E2F}"/>
            </c:ext>
          </c:extLst>
        </c:ser>
        <c:ser>
          <c:idx val="3"/>
          <c:order val="3"/>
          <c:tx>
            <c:strRef>
              <c:f>Sheet1!$X$4</c:f>
              <c:strCache>
                <c:ptCount val="1"/>
                <c:pt idx="0">
                  <c:v>2019</c:v>
                </c:pt>
              </c:strCache>
            </c:strRef>
          </c:tx>
          <c:spPr>
            <a:solidFill>
              <a:schemeClr val="accent4"/>
            </a:solidFill>
            <a:ln>
              <a:noFill/>
            </a:ln>
            <a:effectLst/>
          </c:spPr>
          <c:invertIfNegative val="0"/>
          <c:dLbls>
            <c:dLbl>
              <c:idx val="3"/>
              <c:layout>
                <c:manualLayout>
                  <c:x val="2.0607937398603266E-3"/>
                  <c:y val="-0.2618901612258010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B0F-4644-BEA8-246DA80F1E2F}"/>
                </c:ext>
              </c:extLst>
            </c:dLbl>
            <c:dLbl>
              <c:idx val="9"/>
              <c:layout>
                <c:manualLayout>
                  <c:x val="0"/>
                  <c:y val="-0.3419747598188310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B0F-4644-BEA8-246DA80F1E2F}"/>
                </c:ext>
              </c:extLst>
            </c:dLbl>
            <c:dLbl>
              <c:idx val="15"/>
              <c:layout>
                <c:manualLayout>
                  <c:x val="-7.5561564234574023E-17"/>
                  <c:y val="-5.80259430218753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B0F-4644-BEA8-246DA80F1E2F}"/>
                </c:ext>
              </c:extLst>
            </c:dLbl>
            <c:dLbl>
              <c:idx val="21"/>
              <c:layout>
                <c:manualLayout>
                  <c:x val="0"/>
                  <c:y val="-6.213170414857597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B0F-4644-BEA8-246DA80F1E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Sheet1!$X$5:$X$22</c:f>
              <c:numCache>
                <c:formatCode>General</c:formatCode>
                <c:ptCount val="18"/>
                <c:pt idx="3" formatCode="#,##0">
                  <c:v>71.558999999999997</c:v>
                </c:pt>
                <c:pt idx="9" formatCode="#,##0">
                  <c:v>98.24</c:v>
                </c:pt>
                <c:pt idx="15" formatCode="#,##0">
                  <c:v>9.0220000000000002</c:v>
                </c:pt>
              </c:numCache>
            </c:numRef>
          </c:val>
          <c:extLst>
            <c:ext xmlns:c16="http://schemas.microsoft.com/office/drawing/2014/chart" uri="{C3380CC4-5D6E-409C-BE32-E72D297353CC}">
              <c16:uniqueId val="{00000013-1B0F-4644-BEA8-246DA80F1E2F}"/>
            </c:ext>
          </c:extLst>
        </c:ser>
        <c:ser>
          <c:idx val="4"/>
          <c:order val="4"/>
          <c:tx>
            <c:strRef>
              <c:f>Sheet1!$Y$4</c:f>
              <c:strCache>
                <c:ptCount val="1"/>
                <c:pt idx="0">
                  <c:v>2020 (6 mēn)</c:v>
                </c:pt>
              </c:strCache>
            </c:strRef>
          </c:tx>
          <c:spPr>
            <a:solidFill>
              <a:schemeClr val="accent5"/>
            </a:solidFill>
            <a:ln>
              <a:noFill/>
            </a:ln>
            <a:effectLst/>
          </c:spPr>
          <c:invertIfNegative val="0"/>
          <c:dLbls>
            <c:dLbl>
              <c:idx val="4"/>
              <c:layout>
                <c:manualLayout>
                  <c:x val="2.0687876790172911E-3"/>
                  <c:y val="-2.98994054461804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B0F-4644-BEA8-246DA80F1E2F}"/>
                </c:ext>
              </c:extLst>
            </c:dLbl>
            <c:dLbl>
              <c:idx val="16"/>
              <c:layout>
                <c:manualLayout>
                  <c:x val="2.0607937398604025E-3"/>
                  <c:y val="-4.63579087443340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B0F-4644-BEA8-246DA80F1E2F}"/>
                </c:ext>
              </c:extLst>
            </c:dLbl>
            <c:dLbl>
              <c:idx val="22"/>
              <c:layout>
                <c:manualLayout>
                  <c:x val="-1.5112312846914805E-16"/>
                  <c:y val="-4.67146004028448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B0F-4644-BEA8-246DA80F1E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Sheet1!$T$6:$T$22</c:f>
              <c:strCache>
                <c:ptCount val="15"/>
                <c:pt idx="2">
                  <c:v>Aizdevumi</c:v>
                </c:pt>
                <c:pt idx="8">
                  <c:v>Garantijas</c:v>
                </c:pt>
                <c:pt idx="14">
                  <c:v>Riska kapitāla fondi</c:v>
                </c:pt>
              </c:strCache>
            </c:strRef>
          </c:cat>
          <c:val>
            <c:numRef>
              <c:f>Sheet1!$Y$5:$Y$22</c:f>
              <c:numCache>
                <c:formatCode>General</c:formatCode>
                <c:ptCount val="18"/>
                <c:pt idx="4" formatCode="#,##0">
                  <c:v>38.433999999999997</c:v>
                </c:pt>
                <c:pt idx="10" formatCode="#,##0">
                  <c:v>44.333999999999996</c:v>
                </c:pt>
                <c:pt idx="16" formatCode="#,##0">
                  <c:v>2.9390000000000001</c:v>
                </c:pt>
              </c:numCache>
            </c:numRef>
          </c:val>
          <c:extLst>
            <c:ext xmlns:c16="http://schemas.microsoft.com/office/drawing/2014/chart" uri="{C3380CC4-5D6E-409C-BE32-E72D297353CC}">
              <c16:uniqueId val="{00000017-1B0F-4644-BEA8-246DA80F1E2F}"/>
            </c:ext>
          </c:extLst>
        </c:ser>
        <c:ser>
          <c:idx val="5"/>
          <c:order val="5"/>
          <c:tx>
            <c:strRef>
              <c:f>Sheet1!$Z$4</c:f>
              <c:strCache>
                <c:ptCount val="1"/>
                <c:pt idx="0">
                  <c:v>COVID - 19</c:v>
                </c:pt>
              </c:strCache>
            </c:strRef>
          </c:tx>
          <c:spPr>
            <a:solidFill>
              <a:schemeClr val="accent6"/>
            </a:solidFill>
            <a:ln>
              <a:noFill/>
            </a:ln>
            <a:effectLst/>
          </c:spPr>
          <c:invertIfNegative val="0"/>
          <c:dPt>
            <c:idx val="4"/>
            <c:invertIfNegative val="0"/>
            <c:bubble3D val="0"/>
            <c:spPr>
              <a:solidFill>
                <a:schemeClr val="accent6"/>
              </a:solidFill>
              <a:ln>
                <a:noFill/>
              </a:ln>
              <a:effectLst/>
            </c:spPr>
            <c:extLst>
              <c:ext xmlns:c16="http://schemas.microsoft.com/office/drawing/2014/chart" uri="{C3380CC4-5D6E-409C-BE32-E72D297353CC}">
                <c16:uniqueId val="{00000019-1B0F-4644-BEA8-246DA80F1E2F}"/>
              </c:ext>
            </c:extLst>
          </c:dPt>
          <c:dPt>
            <c:idx val="10"/>
            <c:invertIfNegative val="0"/>
            <c:bubble3D val="0"/>
            <c:spPr>
              <a:solidFill>
                <a:schemeClr val="accent6"/>
              </a:solidFill>
              <a:ln>
                <a:noFill/>
              </a:ln>
              <a:effectLst/>
            </c:spPr>
            <c:extLst>
              <c:ext xmlns:c16="http://schemas.microsoft.com/office/drawing/2014/chart" uri="{C3380CC4-5D6E-409C-BE32-E72D297353CC}">
                <c16:uniqueId val="{0000001B-1B0F-4644-BEA8-246DA80F1E2F}"/>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Sheet1!$Z$5:$Z$22</c:f>
              <c:numCache>
                <c:formatCode>General</c:formatCode>
                <c:ptCount val="18"/>
                <c:pt idx="4" formatCode="#,##0">
                  <c:v>31.7</c:v>
                </c:pt>
                <c:pt idx="10" formatCode="#,##0">
                  <c:v>24.4</c:v>
                </c:pt>
              </c:numCache>
            </c:numRef>
          </c:val>
          <c:extLst>
            <c:ext xmlns:c16="http://schemas.microsoft.com/office/drawing/2014/chart" uri="{C3380CC4-5D6E-409C-BE32-E72D297353CC}">
              <c16:uniqueId val="{0000001C-1B0F-4644-BEA8-246DA80F1E2F}"/>
            </c:ext>
          </c:extLst>
        </c:ser>
        <c:dLbls>
          <c:showLegendKey val="0"/>
          <c:showVal val="0"/>
          <c:showCatName val="0"/>
          <c:showSerName val="0"/>
          <c:showPercent val="0"/>
          <c:showBubbleSize val="0"/>
        </c:dLbls>
        <c:gapWidth val="38"/>
        <c:overlap val="100"/>
        <c:axId val="1948770063"/>
        <c:axId val="327922655"/>
      </c:barChart>
      <c:catAx>
        <c:axId val="1948770063"/>
        <c:scaling>
          <c:orientation val="minMax"/>
        </c:scaling>
        <c:delete val="0"/>
        <c:axPos val="b"/>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27922655"/>
        <c:crosses val="autoZero"/>
        <c:auto val="0"/>
        <c:lblAlgn val="ctr"/>
        <c:lblOffset val="50"/>
        <c:noMultiLvlLbl val="0"/>
      </c:catAx>
      <c:valAx>
        <c:axId val="327922655"/>
        <c:scaling>
          <c:orientation val="minMax"/>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Milj. EUR</a:t>
                </a:r>
              </a:p>
            </c:rich>
          </c:tx>
          <c:layout>
            <c:manualLayout>
              <c:xMode val="edge"/>
              <c:yMode val="edge"/>
              <c:x val="1.8200105795829216E-2"/>
              <c:y val="0.29466632302224749"/>
            </c:manualLayout>
          </c:layout>
          <c:overlay val="0"/>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48770063"/>
        <c:crosses val="autoZero"/>
        <c:crossBetween val="between"/>
      </c:valAx>
      <c:dTable>
        <c:showHorzBorder val="1"/>
        <c:showVertBorder val="0"/>
        <c:showOutline val="1"/>
        <c:showKeys val="1"/>
        <c:spPr>
          <a:noFill/>
          <a:ln w="317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247DE-FEEF-4100-9436-724C59935369}" type="doc">
      <dgm:prSet loTypeId="urn:microsoft.com/office/officeart/2005/8/layout/venn1" loCatId="relationship" qsTypeId="urn:microsoft.com/office/officeart/2005/8/quickstyle/3d3" qsCatId="3D" csTypeId="urn:microsoft.com/office/officeart/2005/8/colors/accent1_2" csCatId="accent1" phldr="1"/>
      <dgm:spPr/>
    </dgm:pt>
    <dgm:pt modelId="{6963855A-BD04-43E5-8FEA-33A149194559}">
      <dgm:prSet phldrT="[Text]" custT="1"/>
      <dgm:spPr/>
      <dgm:t>
        <a:bodyPr/>
        <a:lstStyle/>
        <a:p>
          <a:r>
            <a:rPr lang="lv-LV" sz="1200"/>
            <a:t>Inovācijas un jaunuzņēmumi</a:t>
          </a:r>
          <a:endParaRPr lang="en-US" sz="1200"/>
        </a:p>
      </dgm:t>
    </dgm:pt>
    <dgm:pt modelId="{029357C3-B84D-4D3C-AE8A-BC45082BCC6D}" type="parTrans" cxnId="{913658F4-5B5F-4004-BE00-4F2F5ED7092E}">
      <dgm:prSet/>
      <dgm:spPr/>
      <dgm:t>
        <a:bodyPr/>
        <a:lstStyle/>
        <a:p>
          <a:endParaRPr lang="en-US" sz="1200"/>
        </a:p>
      </dgm:t>
    </dgm:pt>
    <dgm:pt modelId="{AFA10CEC-AE62-4AA1-9DC0-83C2C622594B}" type="sibTrans" cxnId="{913658F4-5B5F-4004-BE00-4F2F5ED7092E}">
      <dgm:prSet/>
      <dgm:spPr/>
      <dgm:t>
        <a:bodyPr/>
        <a:lstStyle/>
        <a:p>
          <a:endParaRPr lang="en-US" sz="1200"/>
        </a:p>
      </dgm:t>
    </dgm:pt>
    <dgm:pt modelId="{216BC837-31A1-4D46-A3F7-A7974D545861}">
      <dgm:prSet phldrT="[Text]" custT="1"/>
      <dgm:spPr/>
      <dgm:t>
        <a:bodyPr/>
        <a:lstStyle/>
        <a:p>
          <a:r>
            <a:rPr lang="lv-LV" sz="1200"/>
            <a:t>Inovāciju līderi</a:t>
          </a:r>
          <a:endParaRPr lang="en-US" sz="1200"/>
        </a:p>
      </dgm:t>
    </dgm:pt>
    <dgm:pt modelId="{5713A79E-1177-4B9F-AC68-3659ED9601D0}" type="parTrans" cxnId="{92ECC271-1556-4A5E-BEBC-CAC6128C9032}">
      <dgm:prSet/>
      <dgm:spPr/>
      <dgm:t>
        <a:bodyPr/>
        <a:lstStyle/>
        <a:p>
          <a:endParaRPr lang="en-US" sz="1200"/>
        </a:p>
      </dgm:t>
    </dgm:pt>
    <dgm:pt modelId="{3BA9E4BE-7A26-41DF-AF8E-2488A574FD65}" type="sibTrans" cxnId="{92ECC271-1556-4A5E-BEBC-CAC6128C9032}">
      <dgm:prSet/>
      <dgm:spPr/>
      <dgm:t>
        <a:bodyPr/>
        <a:lstStyle/>
        <a:p>
          <a:endParaRPr lang="en-US" sz="1200"/>
        </a:p>
      </dgm:t>
    </dgm:pt>
    <dgm:pt modelId="{D5499471-81ED-4FD8-B6CC-25C89D9FF6C5}">
      <dgm:prSet phldrT="[Text]" custT="1"/>
      <dgm:spPr/>
      <dgm:t>
        <a:bodyPr/>
        <a:lstStyle/>
        <a:p>
          <a:r>
            <a:rPr lang="lv-LV" sz="1200"/>
            <a:t>Akadēmiskais sektors un universitātes</a:t>
          </a:r>
          <a:endParaRPr lang="en-US" sz="1200"/>
        </a:p>
      </dgm:t>
    </dgm:pt>
    <dgm:pt modelId="{3FC3FB39-A526-4561-BCEA-681E4B569DCC}" type="parTrans" cxnId="{B7E004BB-D3D5-4E3F-AB23-AF04C1B7A4A2}">
      <dgm:prSet/>
      <dgm:spPr/>
      <dgm:t>
        <a:bodyPr/>
        <a:lstStyle/>
        <a:p>
          <a:endParaRPr lang="en-US" sz="1200"/>
        </a:p>
      </dgm:t>
    </dgm:pt>
    <dgm:pt modelId="{2FB29737-6EB8-4839-81A3-E7FD3CC79220}" type="sibTrans" cxnId="{B7E004BB-D3D5-4E3F-AB23-AF04C1B7A4A2}">
      <dgm:prSet/>
      <dgm:spPr/>
      <dgm:t>
        <a:bodyPr/>
        <a:lstStyle/>
        <a:p>
          <a:endParaRPr lang="en-US" sz="1200"/>
        </a:p>
      </dgm:t>
    </dgm:pt>
    <dgm:pt modelId="{FDBDE9C7-47F5-4A5D-B9E8-F6E61139321B}">
      <dgm:prSet phldrT="[Text]" custT="1"/>
      <dgm:spPr/>
      <dgm:t>
        <a:bodyPr/>
        <a:lstStyle/>
        <a:p>
          <a:r>
            <a:rPr lang="lv-LV" sz="1200"/>
            <a:t>Starptautiskās partnerības</a:t>
          </a:r>
          <a:endParaRPr lang="en-US" sz="1200"/>
        </a:p>
      </dgm:t>
    </dgm:pt>
    <dgm:pt modelId="{878673FC-39D4-4992-B675-B8F3D9305D8A}" type="parTrans" cxnId="{D34CF379-04C1-498B-A852-235556A00B05}">
      <dgm:prSet/>
      <dgm:spPr/>
      <dgm:t>
        <a:bodyPr/>
        <a:lstStyle/>
        <a:p>
          <a:endParaRPr lang="en-US" sz="1200"/>
        </a:p>
      </dgm:t>
    </dgm:pt>
    <dgm:pt modelId="{F2493D6D-3AEC-4B78-BD55-6CF5F8A7E850}" type="sibTrans" cxnId="{D34CF379-04C1-498B-A852-235556A00B05}">
      <dgm:prSet/>
      <dgm:spPr/>
      <dgm:t>
        <a:bodyPr/>
        <a:lstStyle/>
        <a:p>
          <a:endParaRPr lang="en-US" sz="1200"/>
        </a:p>
      </dgm:t>
    </dgm:pt>
    <dgm:pt modelId="{58A01696-C788-48CE-B304-CA860738C39F}">
      <dgm:prSet phldrT="[Text]" custT="1"/>
      <dgm:spPr/>
      <dgm:t>
        <a:bodyPr/>
        <a:lstStyle/>
        <a:p>
          <a:r>
            <a:rPr lang="lv-LV" sz="1200"/>
            <a:t>Valsts institūcijas</a:t>
          </a:r>
          <a:endParaRPr lang="en-US" sz="1200"/>
        </a:p>
      </dgm:t>
    </dgm:pt>
    <dgm:pt modelId="{8A5179EB-672A-4C29-825E-5132A8B53356}" type="parTrans" cxnId="{AD377FAE-B9A4-45E5-85B7-86FCE4BA22C5}">
      <dgm:prSet/>
      <dgm:spPr/>
      <dgm:t>
        <a:bodyPr/>
        <a:lstStyle/>
        <a:p>
          <a:endParaRPr lang="en-US" sz="1200"/>
        </a:p>
      </dgm:t>
    </dgm:pt>
    <dgm:pt modelId="{86F60FD6-F0D9-4092-914C-58DD5F129CC6}" type="sibTrans" cxnId="{AD377FAE-B9A4-45E5-85B7-86FCE4BA22C5}">
      <dgm:prSet/>
      <dgm:spPr/>
      <dgm:t>
        <a:bodyPr/>
        <a:lstStyle/>
        <a:p>
          <a:endParaRPr lang="en-US" sz="1200"/>
        </a:p>
      </dgm:t>
    </dgm:pt>
    <dgm:pt modelId="{B185C9CF-A319-45EF-AD1C-3026BF5D3B6E}">
      <dgm:prSet phldrT="[Text]" custT="1"/>
      <dgm:spPr/>
      <dgm:t>
        <a:bodyPr/>
        <a:lstStyle/>
        <a:p>
          <a:r>
            <a:rPr lang="lv-LV" sz="1200"/>
            <a:t>Finanšu institūcijas</a:t>
          </a:r>
          <a:endParaRPr lang="en-US" sz="1200"/>
        </a:p>
      </dgm:t>
    </dgm:pt>
    <dgm:pt modelId="{3F395C0E-FCC6-4C79-A779-A8B835AF19CE}" type="parTrans" cxnId="{0DFB9769-5495-4DE6-84A8-5BFA0417C74F}">
      <dgm:prSet/>
      <dgm:spPr/>
      <dgm:t>
        <a:bodyPr/>
        <a:lstStyle/>
        <a:p>
          <a:endParaRPr lang="en-US" sz="1200"/>
        </a:p>
      </dgm:t>
    </dgm:pt>
    <dgm:pt modelId="{0C7B70D9-B391-49C6-BF66-4B539CDFD689}" type="sibTrans" cxnId="{0DFB9769-5495-4DE6-84A8-5BFA0417C74F}">
      <dgm:prSet/>
      <dgm:spPr/>
      <dgm:t>
        <a:bodyPr/>
        <a:lstStyle/>
        <a:p>
          <a:endParaRPr lang="en-US" sz="1200"/>
        </a:p>
      </dgm:t>
    </dgm:pt>
    <dgm:pt modelId="{C48539C9-5E1E-455C-93CE-5F1B435CF100}" type="pres">
      <dgm:prSet presAssocID="{F79247DE-FEEF-4100-9436-724C59935369}" presName="compositeShape" presStyleCnt="0">
        <dgm:presLayoutVars>
          <dgm:chMax val="7"/>
          <dgm:dir/>
          <dgm:resizeHandles val="exact"/>
        </dgm:presLayoutVars>
      </dgm:prSet>
      <dgm:spPr/>
    </dgm:pt>
    <dgm:pt modelId="{E0CA27DE-80D8-4169-BB42-6EB64F9908FA}" type="pres">
      <dgm:prSet presAssocID="{6963855A-BD04-43E5-8FEA-33A149194559}" presName="circ1" presStyleLbl="vennNode1" presStyleIdx="0" presStyleCnt="6"/>
      <dgm:spPr/>
      <dgm:t>
        <a:bodyPr/>
        <a:lstStyle/>
        <a:p>
          <a:endParaRPr lang="en-US"/>
        </a:p>
      </dgm:t>
    </dgm:pt>
    <dgm:pt modelId="{B4FF4AEF-D274-4726-B6C2-1AD26DB799A9}" type="pres">
      <dgm:prSet presAssocID="{6963855A-BD04-43E5-8FEA-33A149194559}" presName="circ1Tx" presStyleLbl="revTx" presStyleIdx="0" presStyleCnt="0">
        <dgm:presLayoutVars>
          <dgm:chMax val="0"/>
          <dgm:chPref val="0"/>
          <dgm:bulletEnabled val="1"/>
        </dgm:presLayoutVars>
      </dgm:prSet>
      <dgm:spPr/>
      <dgm:t>
        <a:bodyPr/>
        <a:lstStyle/>
        <a:p>
          <a:endParaRPr lang="en-US"/>
        </a:p>
      </dgm:t>
    </dgm:pt>
    <dgm:pt modelId="{9BF51E79-15B3-4CBF-ADF4-AD24EF9E610D}" type="pres">
      <dgm:prSet presAssocID="{216BC837-31A1-4D46-A3F7-A7974D545861}" presName="circ2" presStyleLbl="vennNode1" presStyleIdx="1" presStyleCnt="6"/>
      <dgm:spPr/>
      <dgm:t>
        <a:bodyPr/>
        <a:lstStyle/>
        <a:p>
          <a:endParaRPr lang="en-US"/>
        </a:p>
      </dgm:t>
    </dgm:pt>
    <dgm:pt modelId="{91AB4325-FA78-4892-AB12-1BCEC03B3F5E}" type="pres">
      <dgm:prSet presAssocID="{216BC837-31A1-4D46-A3F7-A7974D545861}" presName="circ2Tx" presStyleLbl="revTx" presStyleIdx="0" presStyleCnt="0">
        <dgm:presLayoutVars>
          <dgm:chMax val="0"/>
          <dgm:chPref val="0"/>
          <dgm:bulletEnabled val="1"/>
        </dgm:presLayoutVars>
      </dgm:prSet>
      <dgm:spPr/>
      <dgm:t>
        <a:bodyPr/>
        <a:lstStyle/>
        <a:p>
          <a:endParaRPr lang="en-US"/>
        </a:p>
      </dgm:t>
    </dgm:pt>
    <dgm:pt modelId="{217604A1-C9F8-4E93-AB8E-8A82812C2BB8}" type="pres">
      <dgm:prSet presAssocID="{D5499471-81ED-4FD8-B6CC-25C89D9FF6C5}" presName="circ3" presStyleLbl="vennNode1" presStyleIdx="2" presStyleCnt="6"/>
      <dgm:spPr/>
    </dgm:pt>
    <dgm:pt modelId="{FE9CEA67-2A8E-4CD2-8B48-BEFC55355FFF}" type="pres">
      <dgm:prSet presAssocID="{D5499471-81ED-4FD8-B6CC-25C89D9FF6C5}" presName="circ3Tx" presStyleLbl="revTx" presStyleIdx="0" presStyleCnt="0">
        <dgm:presLayoutVars>
          <dgm:chMax val="0"/>
          <dgm:chPref val="0"/>
          <dgm:bulletEnabled val="1"/>
        </dgm:presLayoutVars>
      </dgm:prSet>
      <dgm:spPr/>
      <dgm:t>
        <a:bodyPr/>
        <a:lstStyle/>
        <a:p>
          <a:endParaRPr lang="en-US"/>
        </a:p>
      </dgm:t>
    </dgm:pt>
    <dgm:pt modelId="{B39E8731-6D62-45C8-B326-259210463BD1}" type="pres">
      <dgm:prSet presAssocID="{FDBDE9C7-47F5-4A5D-B9E8-F6E61139321B}" presName="circ4" presStyleLbl="vennNode1" presStyleIdx="3" presStyleCnt="6"/>
      <dgm:spPr/>
      <dgm:t>
        <a:bodyPr/>
        <a:lstStyle/>
        <a:p>
          <a:endParaRPr lang="en-US"/>
        </a:p>
      </dgm:t>
    </dgm:pt>
    <dgm:pt modelId="{4E032AC0-CFC7-44E8-8FD7-492E45E20D23}" type="pres">
      <dgm:prSet presAssocID="{FDBDE9C7-47F5-4A5D-B9E8-F6E61139321B}" presName="circ4Tx" presStyleLbl="revTx" presStyleIdx="0" presStyleCnt="0">
        <dgm:presLayoutVars>
          <dgm:chMax val="0"/>
          <dgm:chPref val="0"/>
          <dgm:bulletEnabled val="1"/>
        </dgm:presLayoutVars>
      </dgm:prSet>
      <dgm:spPr/>
      <dgm:t>
        <a:bodyPr/>
        <a:lstStyle/>
        <a:p>
          <a:endParaRPr lang="en-US"/>
        </a:p>
      </dgm:t>
    </dgm:pt>
    <dgm:pt modelId="{370195EA-7015-473F-81BE-F27365EFBB87}" type="pres">
      <dgm:prSet presAssocID="{58A01696-C788-48CE-B304-CA860738C39F}" presName="circ5" presStyleLbl="vennNode1" presStyleIdx="4" presStyleCnt="6"/>
      <dgm:spPr/>
    </dgm:pt>
    <dgm:pt modelId="{6D637FA6-F526-4E7A-8743-24AB052E5AE1}" type="pres">
      <dgm:prSet presAssocID="{58A01696-C788-48CE-B304-CA860738C39F}" presName="circ5Tx" presStyleLbl="revTx" presStyleIdx="0" presStyleCnt="0">
        <dgm:presLayoutVars>
          <dgm:chMax val="0"/>
          <dgm:chPref val="0"/>
          <dgm:bulletEnabled val="1"/>
        </dgm:presLayoutVars>
      </dgm:prSet>
      <dgm:spPr/>
      <dgm:t>
        <a:bodyPr/>
        <a:lstStyle/>
        <a:p>
          <a:endParaRPr lang="en-US"/>
        </a:p>
      </dgm:t>
    </dgm:pt>
    <dgm:pt modelId="{3634E7BB-FD8D-4A65-9F5A-1A7A21B09B79}" type="pres">
      <dgm:prSet presAssocID="{B185C9CF-A319-45EF-AD1C-3026BF5D3B6E}" presName="circ6" presStyleLbl="vennNode1" presStyleIdx="5" presStyleCnt="6"/>
      <dgm:spPr/>
    </dgm:pt>
    <dgm:pt modelId="{755248D9-3AA2-4B4E-83BF-CF97965743D7}" type="pres">
      <dgm:prSet presAssocID="{B185C9CF-A319-45EF-AD1C-3026BF5D3B6E}" presName="circ6Tx" presStyleLbl="revTx" presStyleIdx="0" presStyleCnt="0">
        <dgm:presLayoutVars>
          <dgm:chMax val="0"/>
          <dgm:chPref val="0"/>
          <dgm:bulletEnabled val="1"/>
        </dgm:presLayoutVars>
      </dgm:prSet>
      <dgm:spPr/>
      <dgm:t>
        <a:bodyPr/>
        <a:lstStyle/>
        <a:p>
          <a:endParaRPr lang="en-US"/>
        </a:p>
      </dgm:t>
    </dgm:pt>
  </dgm:ptLst>
  <dgm:cxnLst>
    <dgm:cxn modelId="{F4FEE8C5-E2BD-449A-B343-17186DA532C5}" type="presOf" srcId="{FDBDE9C7-47F5-4A5D-B9E8-F6E61139321B}" destId="{4E032AC0-CFC7-44E8-8FD7-492E45E20D23}" srcOrd="0" destOrd="0" presId="urn:microsoft.com/office/officeart/2005/8/layout/venn1"/>
    <dgm:cxn modelId="{AD377FAE-B9A4-45E5-85B7-86FCE4BA22C5}" srcId="{F79247DE-FEEF-4100-9436-724C59935369}" destId="{58A01696-C788-48CE-B304-CA860738C39F}" srcOrd="4" destOrd="0" parTransId="{8A5179EB-672A-4C29-825E-5132A8B53356}" sibTransId="{86F60FD6-F0D9-4092-914C-58DD5F129CC6}"/>
    <dgm:cxn modelId="{84E42D43-F26F-4E9F-BCB0-033A9A02E4AE}" type="presOf" srcId="{6963855A-BD04-43E5-8FEA-33A149194559}" destId="{B4FF4AEF-D274-4726-B6C2-1AD26DB799A9}" srcOrd="0" destOrd="0" presId="urn:microsoft.com/office/officeart/2005/8/layout/venn1"/>
    <dgm:cxn modelId="{FDF8E754-CBC0-4774-8EEF-6AE8D79A3192}" type="presOf" srcId="{58A01696-C788-48CE-B304-CA860738C39F}" destId="{6D637FA6-F526-4E7A-8743-24AB052E5AE1}" srcOrd="0" destOrd="0" presId="urn:microsoft.com/office/officeart/2005/8/layout/venn1"/>
    <dgm:cxn modelId="{2266D328-4657-4197-A77B-879C1C36F40A}" type="presOf" srcId="{216BC837-31A1-4D46-A3F7-A7974D545861}" destId="{91AB4325-FA78-4892-AB12-1BCEC03B3F5E}" srcOrd="0" destOrd="0" presId="urn:microsoft.com/office/officeart/2005/8/layout/venn1"/>
    <dgm:cxn modelId="{D34CF379-04C1-498B-A852-235556A00B05}" srcId="{F79247DE-FEEF-4100-9436-724C59935369}" destId="{FDBDE9C7-47F5-4A5D-B9E8-F6E61139321B}" srcOrd="3" destOrd="0" parTransId="{878673FC-39D4-4992-B675-B8F3D9305D8A}" sibTransId="{F2493D6D-3AEC-4B78-BD55-6CF5F8A7E850}"/>
    <dgm:cxn modelId="{9B56C3B7-59A3-4A04-80C4-0EB3CF96AA20}" type="presOf" srcId="{D5499471-81ED-4FD8-B6CC-25C89D9FF6C5}" destId="{FE9CEA67-2A8E-4CD2-8B48-BEFC55355FFF}" srcOrd="0" destOrd="0" presId="urn:microsoft.com/office/officeart/2005/8/layout/venn1"/>
    <dgm:cxn modelId="{0DFB9769-5495-4DE6-84A8-5BFA0417C74F}" srcId="{F79247DE-FEEF-4100-9436-724C59935369}" destId="{B185C9CF-A319-45EF-AD1C-3026BF5D3B6E}" srcOrd="5" destOrd="0" parTransId="{3F395C0E-FCC6-4C79-A779-A8B835AF19CE}" sibTransId="{0C7B70D9-B391-49C6-BF66-4B539CDFD689}"/>
    <dgm:cxn modelId="{92ECC271-1556-4A5E-BEBC-CAC6128C9032}" srcId="{F79247DE-FEEF-4100-9436-724C59935369}" destId="{216BC837-31A1-4D46-A3F7-A7974D545861}" srcOrd="1" destOrd="0" parTransId="{5713A79E-1177-4B9F-AC68-3659ED9601D0}" sibTransId="{3BA9E4BE-7A26-41DF-AF8E-2488A574FD65}"/>
    <dgm:cxn modelId="{913658F4-5B5F-4004-BE00-4F2F5ED7092E}" srcId="{F79247DE-FEEF-4100-9436-724C59935369}" destId="{6963855A-BD04-43E5-8FEA-33A149194559}" srcOrd="0" destOrd="0" parTransId="{029357C3-B84D-4D3C-AE8A-BC45082BCC6D}" sibTransId="{AFA10CEC-AE62-4AA1-9DC0-83C2C622594B}"/>
    <dgm:cxn modelId="{0EB86C88-34E2-4F43-9935-72A206AEFE05}" type="presOf" srcId="{B185C9CF-A319-45EF-AD1C-3026BF5D3B6E}" destId="{755248D9-3AA2-4B4E-83BF-CF97965743D7}" srcOrd="0" destOrd="0" presId="urn:microsoft.com/office/officeart/2005/8/layout/venn1"/>
    <dgm:cxn modelId="{B8198C86-5300-4D26-8643-579A75715F2D}" type="presOf" srcId="{F79247DE-FEEF-4100-9436-724C59935369}" destId="{C48539C9-5E1E-455C-93CE-5F1B435CF100}" srcOrd="0" destOrd="0" presId="urn:microsoft.com/office/officeart/2005/8/layout/venn1"/>
    <dgm:cxn modelId="{B7E004BB-D3D5-4E3F-AB23-AF04C1B7A4A2}" srcId="{F79247DE-FEEF-4100-9436-724C59935369}" destId="{D5499471-81ED-4FD8-B6CC-25C89D9FF6C5}" srcOrd="2" destOrd="0" parTransId="{3FC3FB39-A526-4561-BCEA-681E4B569DCC}" sibTransId="{2FB29737-6EB8-4839-81A3-E7FD3CC79220}"/>
    <dgm:cxn modelId="{70EE10CD-5930-42ED-9049-F5EE354FB561}" type="presParOf" srcId="{C48539C9-5E1E-455C-93CE-5F1B435CF100}" destId="{E0CA27DE-80D8-4169-BB42-6EB64F9908FA}" srcOrd="0" destOrd="0" presId="urn:microsoft.com/office/officeart/2005/8/layout/venn1"/>
    <dgm:cxn modelId="{A48EADE3-5765-42AA-95DD-570076E254C9}" type="presParOf" srcId="{C48539C9-5E1E-455C-93CE-5F1B435CF100}" destId="{B4FF4AEF-D274-4726-B6C2-1AD26DB799A9}" srcOrd="1" destOrd="0" presId="urn:microsoft.com/office/officeart/2005/8/layout/venn1"/>
    <dgm:cxn modelId="{90A550F8-6073-4781-B574-84BA7298FC6C}" type="presParOf" srcId="{C48539C9-5E1E-455C-93CE-5F1B435CF100}" destId="{9BF51E79-15B3-4CBF-ADF4-AD24EF9E610D}" srcOrd="2" destOrd="0" presId="urn:microsoft.com/office/officeart/2005/8/layout/venn1"/>
    <dgm:cxn modelId="{70E2614E-9F4D-4702-A404-F174A436B4C1}" type="presParOf" srcId="{C48539C9-5E1E-455C-93CE-5F1B435CF100}" destId="{91AB4325-FA78-4892-AB12-1BCEC03B3F5E}" srcOrd="3" destOrd="0" presId="urn:microsoft.com/office/officeart/2005/8/layout/venn1"/>
    <dgm:cxn modelId="{2F0E37A6-C531-48BB-A709-59BFFD6202E4}" type="presParOf" srcId="{C48539C9-5E1E-455C-93CE-5F1B435CF100}" destId="{217604A1-C9F8-4E93-AB8E-8A82812C2BB8}" srcOrd="4" destOrd="0" presId="urn:microsoft.com/office/officeart/2005/8/layout/venn1"/>
    <dgm:cxn modelId="{53A94245-9E43-470A-9AA9-2426BB5C12E6}" type="presParOf" srcId="{C48539C9-5E1E-455C-93CE-5F1B435CF100}" destId="{FE9CEA67-2A8E-4CD2-8B48-BEFC55355FFF}" srcOrd="5" destOrd="0" presId="urn:microsoft.com/office/officeart/2005/8/layout/venn1"/>
    <dgm:cxn modelId="{E85BEC7F-8B0F-493A-9682-4A31965BF79C}" type="presParOf" srcId="{C48539C9-5E1E-455C-93CE-5F1B435CF100}" destId="{B39E8731-6D62-45C8-B326-259210463BD1}" srcOrd="6" destOrd="0" presId="urn:microsoft.com/office/officeart/2005/8/layout/venn1"/>
    <dgm:cxn modelId="{C53A15FE-33F0-4805-B106-3D1C1CEF2F82}" type="presParOf" srcId="{C48539C9-5E1E-455C-93CE-5F1B435CF100}" destId="{4E032AC0-CFC7-44E8-8FD7-492E45E20D23}" srcOrd="7" destOrd="0" presId="urn:microsoft.com/office/officeart/2005/8/layout/venn1"/>
    <dgm:cxn modelId="{F2F0E9B3-2955-4D27-B75A-C2789D64BFC2}" type="presParOf" srcId="{C48539C9-5E1E-455C-93CE-5F1B435CF100}" destId="{370195EA-7015-473F-81BE-F27365EFBB87}" srcOrd="8" destOrd="0" presId="urn:microsoft.com/office/officeart/2005/8/layout/venn1"/>
    <dgm:cxn modelId="{3D0C2104-A8F2-43EC-A66C-17B9A763FC37}" type="presParOf" srcId="{C48539C9-5E1E-455C-93CE-5F1B435CF100}" destId="{6D637FA6-F526-4E7A-8743-24AB052E5AE1}" srcOrd="9" destOrd="0" presId="urn:microsoft.com/office/officeart/2005/8/layout/venn1"/>
    <dgm:cxn modelId="{20551069-949C-4D10-95EF-0FD79B466D1F}" type="presParOf" srcId="{C48539C9-5E1E-455C-93CE-5F1B435CF100}" destId="{3634E7BB-FD8D-4A65-9F5A-1A7A21B09B79}" srcOrd="10" destOrd="0" presId="urn:microsoft.com/office/officeart/2005/8/layout/venn1"/>
    <dgm:cxn modelId="{41BD27B5-2558-41C5-8ED7-0C26BDBAC039}" type="presParOf" srcId="{C48539C9-5E1E-455C-93CE-5F1B435CF100}" destId="{755248D9-3AA2-4B4E-83BF-CF97965743D7}" srcOrd="11" destOrd="0" presId="urn:microsoft.com/office/officeart/2005/8/layout/ven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CA27DE-80D8-4169-BB42-6EB64F9908FA}">
      <dsp:nvSpPr>
        <dsp:cNvPr id="0" name=""/>
        <dsp:cNvSpPr/>
      </dsp:nvSpPr>
      <dsp:spPr>
        <a:xfrm>
          <a:off x="2162747" y="708227"/>
          <a:ext cx="948815" cy="94881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B4FF4AEF-D274-4726-B6C2-1AD26DB799A9}">
      <dsp:nvSpPr>
        <dsp:cNvPr id="0" name=""/>
        <dsp:cNvSpPr/>
      </dsp:nvSpPr>
      <dsp:spPr>
        <a:xfrm>
          <a:off x="2044145" y="0"/>
          <a:ext cx="1186019" cy="646080"/>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Inovācijas un jaunuzņēmumi</a:t>
          </a:r>
          <a:endParaRPr lang="en-US" sz="1200" kern="1200"/>
        </a:p>
      </dsp:txBody>
      <dsp:txXfrm>
        <a:off x="2044145" y="0"/>
        <a:ext cx="1186019" cy="646080"/>
      </dsp:txXfrm>
    </dsp:sp>
    <dsp:sp modelId="{9BF51E79-15B3-4CBF-ADF4-AD24EF9E610D}">
      <dsp:nvSpPr>
        <dsp:cNvPr id="0" name=""/>
        <dsp:cNvSpPr/>
      </dsp:nvSpPr>
      <dsp:spPr>
        <a:xfrm>
          <a:off x="2470716" y="886053"/>
          <a:ext cx="948815" cy="94881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91AB4325-FA78-4892-AB12-1BCEC03B3F5E}">
      <dsp:nvSpPr>
        <dsp:cNvPr id="0" name=""/>
        <dsp:cNvSpPr/>
      </dsp:nvSpPr>
      <dsp:spPr>
        <a:xfrm>
          <a:off x="3489903" y="615314"/>
          <a:ext cx="1123951" cy="707612"/>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Inovāciju līderi</a:t>
          </a:r>
          <a:endParaRPr lang="en-US" sz="1200" kern="1200"/>
        </a:p>
      </dsp:txBody>
      <dsp:txXfrm>
        <a:off x="3489903" y="615314"/>
        <a:ext cx="1123951" cy="707612"/>
      </dsp:txXfrm>
    </dsp:sp>
    <dsp:sp modelId="{217604A1-C9F8-4E93-AB8E-8A82812C2BB8}">
      <dsp:nvSpPr>
        <dsp:cNvPr id="0" name=""/>
        <dsp:cNvSpPr/>
      </dsp:nvSpPr>
      <dsp:spPr>
        <a:xfrm>
          <a:off x="2470716" y="1241705"/>
          <a:ext cx="948815" cy="94881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FE9CEA67-2A8E-4CD2-8B48-BEFC55355FFF}">
      <dsp:nvSpPr>
        <dsp:cNvPr id="0" name=""/>
        <dsp:cNvSpPr/>
      </dsp:nvSpPr>
      <dsp:spPr>
        <a:xfrm>
          <a:off x="3489903" y="1670580"/>
          <a:ext cx="1123951" cy="790679"/>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Akadēmiskais sektors un universitātes</a:t>
          </a:r>
          <a:endParaRPr lang="en-US" sz="1200" kern="1200"/>
        </a:p>
      </dsp:txBody>
      <dsp:txXfrm>
        <a:off x="3489903" y="1670580"/>
        <a:ext cx="1123951" cy="790679"/>
      </dsp:txXfrm>
    </dsp:sp>
    <dsp:sp modelId="{B39E8731-6D62-45C8-B326-259210463BD1}">
      <dsp:nvSpPr>
        <dsp:cNvPr id="0" name=""/>
        <dsp:cNvSpPr/>
      </dsp:nvSpPr>
      <dsp:spPr>
        <a:xfrm>
          <a:off x="2162747" y="1419839"/>
          <a:ext cx="948815" cy="94881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4E032AC0-CFC7-44E8-8FD7-492E45E20D23}">
      <dsp:nvSpPr>
        <dsp:cNvPr id="0" name=""/>
        <dsp:cNvSpPr/>
      </dsp:nvSpPr>
      <dsp:spPr>
        <a:xfrm>
          <a:off x="2044145" y="2430494"/>
          <a:ext cx="1186019" cy="646080"/>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Starptautiskās partnerības</a:t>
          </a:r>
          <a:endParaRPr lang="en-US" sz="1200" kern="1200"/>
        </a:p>
      </dsp:txBody>
      <dsp:txXfrm>
        <a:off x="2044145" y="2430494"/>
        <a:ext cx="1186019" cy="646080"/>
      </dsp:txXfrm>
    </dsp:sp>
    <dsp:sp modelId="{370195EA-7015-473F-81BE-F27365EFBB87}">
      <dsp:nvSpPr>
        <dsp:cNvPr id="0" name=""/>
        <dsp:cNvSpPr/>
      </dsp:nvSpPr>
      <dsp:spPr>
        <a:xfrm>
          <a:off x="1854777" y="1241705"/>
          <a:ext cx="948815" cy="94881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6D637FA6-F526-4E7A-8743-24AB052E5AE1}">
      <dsp:nvSpPr>
        <dsp:cNvPr id="0" name=""/>
        <dsp:cNvSpPr/>
      </dsp:nvSpPr>
      <dsp:spPr>
        <a:xfrm>
          <a:off x="660455" y="1670580"/>
          <a:ext cx="1123951" cy="790679"/>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Valsts institūcijas</a:t>
          </a:r>
          <a:endParaRPr lang="en-US" sz="1200" kern="1200"/>
        </a:p>
      </dsp:txBody>
      <dsp:txXfrm>
        <a:off x="660455" y="1670580"/>
        <a:ext cx="1123951" cy="790679"/>
      </dsp:txXfrm>
    </dsp:sp>
    <dsp:sp modelId="{3634E7BB-FD8D-4A65-9F5A-1A7A21B09B79}">
      <dsp:nvSpPr>
        <dsp:cNvPr id="0" name=""/>
        <dsp:cNvSpPr/>
      </dsp:nvSpPr>
      <dsp:spPr>
        <a:xfrm>
          <a:off x="1854777" y="886053"/>
          <a:ext cx="948815" cy="94881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755248D9-3AA2-4B4E-83BF-CF97965743D7}">
      <dsp:nvSpPr>
        <dsp:cNvPr id="0" name=""/>
        <dsp:cNvSpPr/>
      </dsp:nvSpPr>
      <dsp:spPr>
        <a:xfrm>
          <a:off x="660455" y="615314"/>
          <a:ext cx="1123951" cy="790679"/>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Finanšu institūcijas</a:t>
          </a:r>
          <a:endParaRPr lang="en-US" sz="1200" kern="1200"/>
        </a:p>
      </dsp:txBody>
      <dsp:txXfrm>
        <a:off x="660455" y="615314"/>
        <a:ext cx="1123951" cy="79067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0.00485</cdr:x>
      <cdr:y>0.02559</cdr:y>
    </cdr:from>
    <cdr:to>
      <cdr:x>0.35871</cdr:x>
      <cdr:y>0.65607</cdr:y>
    </cdr:to>
    <cdr:sp macro="" textlink="">
      <cdr:nvSpPr>
        <cdr:cNvPr id="2" name="TextBox 1">
          <a:extLst xmlns:a="http://schemas.openxmlformats.org/drawingml/2006/main">
            <a:ext uri="{FF2B5EF4-FFF2-40B4-BE49-F238E27FC236}">
              <a16:creationId xmlns:a16="http://schemas.microsoft.com/office/drawing/2014/main" id="{A4CFEB2F-D771-4928-A953-8D28DF65DAFD}"/>
            </a:ext>
          </a:extLst>
        </cdr:cNvPr>
        <cdr:cNvSpPr txBox="1"/>
      </cdr:nvSpPr>
      <cdr:spPr>
        <a:xfrm xmlns:a="http://schemas.openxmlformats.org/drawingml/2006/main">
          <a:off x="28161" y="44979"/>
          <a:ext cx="2054639" cy="1108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b="1" baseline="0">
              <a:latin typeface="Times New Roman" panose="02020603050405020304" pitchFamily="18" charset="0"/>
              <a:cs typeface="Times New Roman" panose="02020603050405020304" pitchFamily="18" charset="0"/>
            </a:rPr>
            <a:t>APSTIPRINĀTO KREDĪTU PIETEIKUMU ĪPATSVARA,  KREDĪTU STANDARTU UN PIERPASĪJUMA PĀRMAIŅAS AIZDEVUMIEM UZŅĒMUMIEM KOPĀ AR ATLIKUMA GADA PIEAUGUMA TEMPU</a:t>
          </a:r>
        </a:p>
        <a:p xmlns:a="http://schemas.openxmlformats.org/drawingml/2006/main">
          <a:r>
            <a:rPr lang="lv-LV" sz="800" i="1" baseline="0">
              <a:latin typeface="Times New Roman" panose="02020603050405020304" pitchFamily="18" charset="0"/>
              <a:cs typeface="Times New Roman" panose="02020603050405020304" pitchFamily="18" charset="0"/>
            </a:rPr>
            <a:t>(par apstiprināto kredītu pieteikumu īpatsvara pieaugumu un kredītu standartu mīkstināšanu un pieprasījuma pieaugumu ziņojoš kredītiestāžu skaits, neto % un atlikuma gada pieauguma temps %)</a:t>
          </a:r>
          <a:endParaRPr lang="lv-LV" sz="800" i="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3ECE284423E42A4E2FF8FE0071043" ma:contentTypeVersion="7" ma:contentTypeDescription="Create a new document." ma:contentTypeScope="" ma:versionID="859cd0972fcb28a64fb8b718c4801e72">
  <xsd:schema xmlns:xsd="http://www.w3.org/2001/XMLSchema" xmlns:xs="http://www.w3.org/2001/XMLSchema" xmlns:p="http://schemas.microsoft.com/office/2006/metadata/properties" xmlns:ns3="e5534ccd-c54f-4ae6-9d1c-7855d77a211c" xmlns:ns4="5c273623-a73f-44c6-a1ab-f5a3cffc58f9" targetNamespace="http://schemas.microsoft.com/office/2006/metadata/properties" ma:root="true" ma:fieldsID="00e6bd9e226fcc3e80cb87943050a782" ns3:_="" ns4:_="">
    <xsd:import namespace="e5534ccd-c54f-4ae6-9d1c-7855d77a211c"/>
    <xsd:import namespace="5c273623-a73f-44c6-a1ab-f5a3cffc58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34ccd-c54f-4ae6-9d1c-7855d77a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73623-a73f-44c6-a1ab-f5a3cffc58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FCCD6-5DCE-4843-8B43-1A24F1C1C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B24F2F-742F-4BE1-B9AE-A79DC41CA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34ccd-c54f-4ae6-9d1c-7855d77a211c"/>
    <ds:schemaRef ds:uri="5c273623-a73f-44c6-a1ab-f5a3cffc5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A20A7-1DD6-4F43-91BE-5CAA5B9FBC7B}">
  <ds:schemaRefs>
    <ds:schemaRef ds:uri="http://schemas.microsoft.com/sharepoint/v3/contenttype/forms"/>
  </ds:schemaRefs>
</ds:datastoreItem>
</file>

<file path=customXml/itemProps4.xml><?xml version="1.0" encoding="utf-8"?>
<ds:datastoreItem xmlns:ds="http://schemas.openxmlformats.org/officeDocument/2006/customXml" ds:itemID="{B0D40F91-F76D-4B5E-8A59-47C34388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69160</Words>
  <Characters>39422</Characters>
  <Application>Microsoft Office Word</Application>
  <DocSecurity>0</DocSecurity>
  <Lines>328</Lines>
  <Paragraphs>216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Finanšu Ministrija</Company>
  <LinksUpToDate>false</LinksUpToDate>
  <CharactersWithSpaces>108366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Braslavs</dc:creator>
  <cp:keywords/>
  <dc:description/>
  <cp:lastModifiedBy>Kate</cp:lastModifiedBy>
  <cp:revision>3</cp:revision>
  <dcterms:created xsi:type="dcterms:W3CDTF">2020-11-03T15:21:00Z</dcterms:created>
  <dcterms:modified xsi:type="dcterms:W3CDTF">2020-11-03T15:21:00Z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0x0101003403ECE284423E42A4E2FF8FE0071043</vt:lpwstr>
  </property>
</Properties>
</file>