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0D53" w14:textId="0D9F1984" w:rsidR="00681E25" w:rsidRDefault="002B531E" w:rsidP="00243B16">
      <w:pPr>
        <w:ind w:left="-142" w:right="-143"/>
        <w:jc w:val="center"/>
        <w:rPr>
          <w:b/>
          <w:sz w:val="26"/>
          <w:szCs w:val="26"/>
        </w:rPr>
      </w:pPr>
      <w:bookmarkStart w:id="0" w:name="OLE_LINK3"/>
      <w:bookmarkStart w:id="1" w:name="OLE_LINK4"/>
      <w:bookmarkStart w:id="2" w:name="OLE_LINK1"/>
      <w:r w:rsidRPr="00920A52">
        <w:rPr>
          <w:b/>
          <w:sz w:val="26"/>
          <w:szCs w:val="26"/>
        </w:rPr>
        <w:t>Minis</w:t>
      </w:r>
      <w:r>
        <w:rPr>
          <w:b/>
          <w:sz w:val="26"/>
          <w:szCs w:val="26"/>
        </w:rPr>
        <w:t>tru kabineta rīkojuma projekta „</w:t>
      </w:r>
      <w:r w:rsidR="00243B16" w:rsidRPr="00243B16">
        <w:rPr>
          <w:b/>
          <w:sz w:val="26"/>
          <w:szCs w:val="26"/>
        </w:rPr>
        <w:t xml:space="preserve">Par apropriācijas pārdali starp Izglītības un zinātnes ministrijas budžeta </w:t>
      </w:r>
      <w:r w:rsidR="00513156">
        <w:rPr>
          <w:b/>
          <w:sz w:val="26"/>
          <w:szCs w:val="26"/>
        </w:rPr>
        <w:t xml:space="preserve">programmām un </w:t>
      </w:r>
      <w:r w:rsidR="00243B16" w:rsidRPr="00243B16">
        <w:rPr>
          <w:b/>
          <w:sz w:val="26"/>
          <w:szCs w:val="26"/>
        </w:rPr>
        <w:t>apakšprogrammām</w:t>
      </w:r>
      <w:r>
        <w:rPr>
          <w:b/>
          <w:sz w:val="26"/>
          <w:szCs w:val="26"/>
        </w:rPr>
        <w:t xml:space="preserve">” </w:t>
      </w:r>
      <w:r w:rsidR="00920A52" w:rsidRPr="00920A52">
        <w:rPr>
          <w:b/>
          <w:sz w:val="26"/>
          <w:szCs w:val="26"/>
        </w:rPr>
        <w:t xml:space="preserve">sākotnējās ietekmes </w:t>
      </w:r>
      <w:r w:rsidR="00D82229">
        <w:rPr>
          <w:b/>
          <w:sz w:val="26"/>
          <w:szCs w:val="26"/>
        </w:rPr>
        <w:t>novērtējuma ziņojums (anotācija)</w:t>
      </w:r>
    </w:p>
    <w:p w14:paraId="4E59E4F2" w14:textId="77777777" w:rsidR="00761B03" w:rsidRDefault="00761B03"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7513"/>
      </w:tblGrid>
      <w:tr w:rsidR="00717D4B" w:rsidRPr="00317B6A" w14:paraId="43EC8E26" w14:textId="77777777" w:rsidTr="00DB6D8A">
        <w:tc>
          <w:tcPr>
            <w:tcW w:w="10060" w:type="dxa"/>
            <w:gridSpan w:val="2"/>
            <w:vAlign w:val="center"/>
          </w:tcPr>
          <w:p w14:paraId="69B0EFCD" w14:textId="36AF3BE8" w:rsidR="00717D4B" w:rsidRPr="00317B6A" w:rsidRDefault="00717D4B" w:rsidP="001B2A96">
            <w:pPr>
              <w:pStyle w:val="naisnod"/>
              <w:spacing w:before="0" w:after="0"/>
            </w:pPr>
            <w:r w:rsidRPr="00717D4B">
              <w:t xml:space="preserve">Tiesību akta </w:t>
            </w:r>
            <w:r w:rsidR="00346467">
              <w:t>projekta anotācijas kopsavilkums</w:t>
            </w:r>
          </w:p>
        </w:tc>
      </w:tr>
      <w:tr w:rsidR="00667437" w:rsidRPr="00317B6A" w14:paraId="1F5874AC" w14:textId="77777777" w:rsidTr="00DB6D8A">
        <w:trPr>
          <w:trHeight w:val="476"/>
        </w:trPr>
        <w:tc>
          <w:tcPr>
            <w:tcW w:w="2547" w:type="dxa"/>
            <w:tcBorders>
              <w:bottom w:val="single" w:sz="4" w:space="0" w:color="auto"/>
            </w:tcBorders>
          </w:tcPr>
          <w:p w14:paraId="65161940" w14:textId="387F3FA4" w:rsidR="00667437" w:rsidRPr="00317B6A" w:rsidRDefault="00A67C41" w:rsidP="00667437">
            <w:pPr>
              <w:pStyle w:val="naiskr"/>
              <w:spacing w:before="0" w:after="0"/>
              <w:ind w:left="141"/>
            </w:pPr>
            <w:r w:rsidRPr="00A67C41">
              <w:t>Mērķis, risinājums un projekta spēkā stāšanās laiks (500 zīmes bez atstarpēm)</w:t>
            </w:r>
          </w:p>
        </w:tc>
        <w:tc>
          <w:tcPr>
            <w:tcW w:w="7513" w:type="dxa"/>
            <w:tcBorders>
              <w:bottom w:val="single" w:sz="4" w:space="0" w:color="auto"/>
            </w:tcBorders>
          </w:tcPr>
          <w:p w14:paraId="1BD3971A" w14:textId="3A016ED8" w:rsidR="009C55AA" w:rsidRPr="00317B6A" w:rsidRDefault="00371927" w:rsidP="009A1301">
            <w:pPr>
              <w:ind w:left="82" w:right="141"/>
              <w:jc w:val="both"/>
            </w:pPr>
            <w:r>
              <w:t>Rīkojuma projekts</w:t>
            </w:r>
            <w:r w:rsidR="004607EA" w:rsidRPr="004607EA">
              <w:t xml:space="preserve"> paredz valsts budžeta līdzekļu </w:t>
            </w:r>
            <w:bdo w:val="ltr">
              <w:r w:rsidR="00015B6F">
                <w:t>638 000</w:t>
              </w:r>
              <w:r w:rsidR="004607EA" w:rsidRPr="004607EA">
                <w:t xml:space="preserve">‬ </w:t>
              </w:r>
              <w:r w:rsidR="004607EA" w:rsidRPr="00015B6F">
                <w:rPr>
                  <w:i/>
                </w:rPr>
                <w:t>euro</w:t>
              </w:r>
              <w:r w:rsidR="004607EA" w:rsidRPr="004607EA">
                <w:t xml:space="preserve"> apmērā pārdali starp </w:t>
              </w:r>
              <w:r w:rsidR="004607EA" w:rsidRPr="00502659">
                <w:t>Izglītības</w:t>
              </w:r>
              <w:r w:rsidR="004607EA" w:rsidRPr="004607EA">
                <w:t xml:space="preserve"> un zinātnes ministrijas budžeta apakšprogrammām, tādejādi nodrošinot </w:t>
              </w:r>
              <w:r w:rsidR="00015B6F" w:rsidRPr="004607EA">
                <w:t xml:space="preserve">2020. </w:t>
              </w:r>
              <w:r w:rsidR="00015B6F">
                <w:t xml:space="preserve">un 2021. </w:t>
              </w:r>
              <w:r w:rsidR="00015B6F" w:rsidRPr="004607EA">
                <w:t>gadā Latvijā paredzēto nacionālas nozīmes starptautisku sporta sacensību (tai skaitā Pasaules kausa posma kamaniņu sportā, kā arī pasaules un Eiropas kausa posmu skeletonā un bobslejā divniekiem)</w:t>
              </w:r>
              <w:r w:rsidR="00015B6F">
                <w:t xml:space="preserve"> </w:t>
              </w:r>
              <w:r w:rsidR="00015B6F" w:rsidRPr="004607EA">
                <w:t>organizēšanas</w:t>
              </w:r>
              <w:r w:rsidR="00015B6F">
                <w:t xml:space="preserve"> izdevumu </w:t>
              </w:r>
              <w:r w:rsidR="00015B6F" w:rsidRPr="004607EA">
                <w:t>segšanu</w:t>
              </w:r>
              <w:r w:rsidR="00015B6F">
                <w:t xml:space="preserve"> 2020. gadā, kā arī nodrošinot Izglītības un zinātnes ministrijas resorā esošo informācijas sistēmu un centralizēto infrastruktūras resursu uzturēšanu.</w:t>
              </w:r>
              <w:r w:rsidR="002B1446">
                <w:t>‬</w:t>
              </w:r>
              <w:r w:rsidR="00165A63">
                <w:t>‬</w:t>
              </w:r>
              <w:r w:rsidR="006019AB">
                <w:t>‬</w:t>
              </w:r>
              <w:r w:rsidR="0011078B">
                <w:t>‬</w:t>
              </w:r>
              <w:r w:rsidR="006C3460">
                <w:t>‬</w:t>
              </w:r>
              <w:r w:rsidR="00DE180F">
                <w:t>‬</w:t>
              </w:r>
              <w:r w:rsidR="006B2B76">
                <w:t>‬</w:t>
              </w:r>
              <w:r w:rsidR="00F67E9C">
                <w:t>‬</w:t>
              </w:r>
            </w:bdo>
          </w:p>
        </w:tc>
      </w:tr>
    </w:tbl>
    <w:p w14:paraId="1F80B51E" w14:textId="2E6514A8" w:rsidR="00717D4B" w:rsidRPr="00920A52" w:rsidRDefault="00717D4B"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884"/>
        <w:gridCol w:w="7614"/>
      </w:tblGrid>
      <w:tr w:rsidR="00585B7B" w:rsidRPr="00317B6A" w14:paraId="49F7013D" w14:textId="77777777" w:rsidTr="000E5748">
        <w:tc>
          <w:tcPr>
            <w:tcW w:w="10060" w:type="dxa"/>
            <w:gridSpan w:val="3"/>
            <w:vAlign w:val="center"/>
          </w:tcPr>
          <w:bookmarkEnd w:id="0"/>
          <w:bookmarkEnd w:id="1"/>
          <w:bookmarkEnd w:id="2"/>
          <w:p w14:paraId="27B0F014" w14:textId="77777777" w:rsidR="00585B7B" w:rsidRPr="00317B6A" w:rsidRDefault="00585B7B" w:rsidP="00194A0F">
            <w:pPr>
              <w:pStyle w:val="naisnod"/>
              <w:spacing w:before="0" w:after="0"/>
            </w:pPr>
            <w:r w:rsidRPr="00317B6A">
              <w:t>I. Tiesību akta projekta izstrādes nepieciešamība</w:t>
            </w:r>
          </w:p>
        </w:tc>
      </w:tr>
      <w:tr w:rsidR="00585B7B" w:rsidRPr="00B24229" w14:paraId="1B27C5D4" w14:textId="77777777" w:rsidTr="000E5748">
        <w:trPr>
          <w:trHeight w:val="630"/>
        </w:trPr>
        <w:tc>
          <w:tcPr>
            <w:tcW w:w="562" w:type="dxa"/>
          </w:tcPr>
          <w:p w14:paraId="23F75010" w14:textId="77777777" w:rsidR="00585B7B" w:rsidRPr="00B24229" w:rsidRDefault="00585B7B" w:rsidP="00BD696A">
            <w:pPr>
              <w:pStyle w:val="naiskr"/>
              <w:spacing w:before="0" w:after="0"/>
              <w:jc w:val="center"/>
            </w:pPr>
            <w:r w:rsidRPr="00B24229">
              <w:t>1.</w:t>
            </w:r>
          </w:p>
        </w:tc>
        <w:tc>
          <w:tcPr>
            <w:tcW w:w="1884" w:type="dxa"/>
          </w:tcPr>
          <w:p w14:paraId="61C7338D" w14:textId="3B25BEC8" w:rsidR="00ED01CB" w:rsidRDefault="00585B7B" w:rsidP="00B33243">
            <w:pPr>
              <w:pStyle w:val="naiskr"/>
              <w:tabs>
                <w:tab w:val="right" w:pos="2537"/>
              </w:tabs>
              <w:spacing w:before="0" w:after="0"/>
              <w:ind w:left="141" w:hanging="10"/>
            </w:pPr>
            <w:r w:rsidRPr="00B24229">
              <w:t>Pamatojums</w:t>
            </w:r>
            <w:r w:rsidR="00B33243">
              <w:tab/>
            </w:r>
          </w:p>
          <w:p w14:paraId="34EB22D4" w14:textId="77777777" w:rsidR="00ED01CB" w:rsidRPr="00ED01CB" w:rsidRDefault="00ED01CB" w:rsidP="00ED01CB"/>
          <w:p w14:paraId="1CA5BA33" w14:textId="77777777" w:rsidR="00ED01CB" w:rsidRPr="00ED01CB" w:rsidRDefault="00ED01CB" w:rsidP="00ED01CB"/>
          <w:p w14:paraId="15AFB181" w14:textId="77777777" w:rsidR="00ED01CB" w:rsidRPr="00ED01CB" w:rsidRDefault="00ED01CB" w:rsidP="00ED01CB"/>
          <w:p w14:paraId="3214E29D" w14:textId="10395172" w:rsidR="00ED01CB" w:rsidRDefault="00ED01CB" w:rsidP="004A544E">
            <w:pPr>
              <w:ind w:firstLine="720"/>
            </w:pPr>
          </w:p>
          <w:p w14:paraId="01F64302" w14:textId="77777777" w:rsidR="00585B7B" w:rsidRPr="00ED01CB" w:rsidRDefault="00585B7B" w:rsidP="00ED01CB">
            <w:pPr>
              <w:jc w:val="center"/>
            </w:pPr>
          </w:p>
        </w:tc>
        <w:tc>
          <w:tcPr>
            <w:tcW w:w="7614" w:type="dxa"/>
          </w:tcPr>
          <w:p w14:paraId="120ADBD1" w14:textId="5D3C7215" w:rsidR="00C25FFD" w:rsidRDefault="00D715DB" w:rsidP="004E4E6A">
            <w:pPr>
              <w:pStyle w:val="ListParagraph"/>
              <w:numPr>
                <w:ilvl w:val="0"/>
                <w:numId w:val="1"/>
              </w:numPr>
              <w:ind w:left="461" w:right="142"/>
              <w:jc w:val="both"/>
            </w:pPr>
            <w:r>
              <w:t xml:space="preserve">Nepieciešamība nodrošināt lietderīgu rīcību ar </w:t>
            </w:r>
            <w:r w:rsidR="00C25FFD">
              <w:t>Izglītības un zinātnes ministrijas (turpmāk – IZM)</w:t>
            </w:r>
            <w:r w:rsidR="009A1301">
              <w:t xml:space="preserve"> pamatbudžeta apakšprogrammā</w:t>
            </w:r>
            <w:r>
              <w:t xml:space="preserve"> ietaupītajiem valsts budžeta līdzekļiem.</w:t>
            </w:r>
          </w:p>
          <w:p w14:paraId="3301E30C" w14:textId="77777777" w:rsidR="00C3234A" w:rsidRDefault="00C25FFD" w:rsidP="004E4E6A">
            <w:pPr>
              <w:pStyle w:val="ListParagraph"/>
              <w:numPr>
                <w:ilvl w:val="0"/>
                <w:numId w:val="1"/>
              </w:numPr>
              <w:ind w:right="142"/>
              <w:jc w:val="both"/>
            </w:pPr>
            <w:r w:rsidRPr="00816929">
              <w:t>Ministru kabineta 20</w:t>
            </w:r>
            <w:r>
              <w:t>20</w:t>
            </w:r>
            <w:r w:rsidRPr="00816929">
              <w:t>.</w:t>
            </w:r>
            <w:r>
              <w:t xml:space="preserve"> gada 27</w:t>
            </w:r>
            <w:r w:rsidRPr="00816929">
              <w:t>.</w:t>
            </w:r>
            <w:r>
              <w:t xml:space="preserve"> oktobra sēdē atbalstītais (</w:t>
            </w:r>
            <w:r w:rsidRPr="007C474B">
              <w:t>prot Nr.</w:t>
            </w:r>
            <w:r>
              <w:t>65</w:t>
            </w:r>
            <w:r w:rsidRPr="007C474B">
              <w:t xml:space="preserve">, </w:t>
            </w:r>
            <w:r>
              <w:t>34</w:t>
            </w:r>
            <w:r w:rsidRPr="007C474B">
              <w:t>.§</w:t>
            </w:r>
            <w:r>
              <w:t>) informatīvais ziņojums „</w:t>
            </w:r>
            <w:r w:rsidRPr="00C25FFD">
              <w:t>Par prognozēto līdzekļu neapguvi un ekonomiju izdevumiem no dotācijas no vispārējiem ieņēmumiem valsts budžeta programmās/apakšprogra</w:t>
            </w:r>
            <w:r>
              <w:t>mmās (pamatfunkcijām) 2020.gadā” un tā 2. pielikumā ietvertās pārdales.</w:t>
            </w:r>
          </w:p>
          <w:p w14:paraId="01C5E86A" w14:textId="57E1A721" w:rsidR="00C3234A" w:rsidRDefault="00C3234A" w:rsidP="004E4E6A">
            <w:pPr>
              <w:pStyle w:val="ListParagraph"/>
              <w:numPr>
                <w:ilvl w:val="0"/>
                <w:numId w:val="1"/>
              </w:numPr>
              <w:ind w:right="142"/>
              <w:jc w:val="both"/>
            </w:pPr>
            <w:r>
              <w:t xml:space="preserve">Nepieciešamība </w:t>
            </w:r>
            <w:r w:rsidR="009A1301">
              <w:t>nodrošinā</w:t>
            </w:r>
            <w:r w:rsidRPr="00C3234A">
              <w:t>t 2020. un 2021. gadā Latvijā paredzēto nacionālas nozīmes starptautisku sporta sacensību (Pasaules kausa posma kamaniņu sportā, kā arī pasaules un Eiropas kausa posmu skeletonā un bobslejā divniekiem) organizēša</w:t>
            </w:r>
            <w:r>
              <w:t>nas izdevumu segšanu 2020. gadā.</w:t>
            </w:r>
          </w:p>
          <w:p w14:paraId="44AD2744" w14:textId="4E95120F" w:rsidR="00C3234A" w:rsidRDefault="00C3234A" w:rsidP="004E4E6A">
            <w:pPr>
              <w:pStyle w:val="ListParagraph"/>
              <w:numPr>
                <w:ilvl w:val="0"/>
                <w:numId w:val="1"/>
              </w:numPr>
              <w:ind w:right="142"/>
              <w:jc w:val="both"/>
            </w:pPr>
            <w:r>
              <w:t>Nepieciešamība nodrošināt</w:t>
            </w:r>
            <w:r w:rsidRPr="00C3234A">
              <w:t xml:space="preserve"> </w:t>
            </w:r>
            <w:r>
              <w:t xml:space="preserve">IZM </w:t>
            </w:r>
            <w:r w:rsidRPr="00C3234A">
              <w:t>resorā esošo informācijas sistēmu un centralizēto infrastruktūras resursu uzturēšanu.</w:t>
            </w:r>
          </w:p>
          <w:p w14:paraId="0A14FDA4" w14:textId="77777777" w:rsidR="00C3234A" w:rsidRDefault="007A5A59" w:rsidP="004E4E6A">
            <w:pPr>
              <w:pStyle w:val="ListParagraph"/>
              <w:numPr>
                <w:ilvl w:val="0"/>
                <w:numId w:val="1"/>
              </w:numPr>
              <w:ind w:right="142"/>
              <w:jc w:val="both"/>
            </w:pPr>
            <w:r>
              <w:t>Likuma par budžetu un finanšu vadību 9. panta 13. daļas 1. punkts</w:t>
            </w:r>
            <w:r w:rsidR="00C3234A">
              <w:t xml:space="preserve"> un</w:t>
            </w:r>
            <w:r w:rsidR="00C820C7">
              <w:t xml:space="preserve"> 9. panta 13.</w:t>
            </w:r>
            <w:r w:rsidR="00C820C7" w:rsidRPr="00C3234A">
              <w:rPr>
                <w:vertAlign w:val="superscript"/>
              </w:rPr>
              <w:t>3</w:t>
            </w:r>
            <w:r w:rsidR="00C820C7">
              <w:t xml:space="preserve"> daļas 3. punkts</w:t>
            </w:r>
            <w:r w:rsidR="009D5B37">
              <w:t>.</w:t>
            </w:r>
          </w:p>
          <w:p w14:paraId="689444FE" w14:textId="62534016" w:rsidR="00E344AF" w:rsidRPr="00B24229" w:rsidRDefault="00E251D1" w:rsidP="004E4E6A">
            <w:pPr>
              <w:pStyle w:val="ListParagraph"/>
              <w:numPr>
                <w:ilvl w:val="0"/>
                <w:numId w:val="1"/>
              </w:numPr>
              <w:ind w:right="142"/>
              <w:jc w:val="both"/>
            </w:pPr>
            <w:r w:rsidRPr="008E6979">
              <w:t>Ministru kabineta 2018.</w:t>
            </w:r>
            <w:r>
              <w:t xml:space="preserve"> </w:t>
            </w:r>
            <w:r w:rsidRPr="008E6979">
              <w:t>gada 17.</w:t>
            </w:r>
            <w:r>
              <w:t xml:space="preserve"> </w:t>
            </w:r>
            <w:r w:rsidRPr="008E6979">
              <w:t>jūlija noteikum</w:t>
            </w:r>
            <w:r w:rsidR="00C25FFD">
              <w:t>i</w:t>
            </w:r>
            <w:r w:rsidRPr="008E6979">
              <w:t xml:space="preserve"> Nr.</w:t>
            </w:r>
            <w:r>
              <w:t xml:space="preserve"> </w:t>
            </w:r>
            <w:r w:rsidRPr="008E6979">
              <w:t>421 „Kārtība, kādā veic gadskārtējā valsts budžeta likumā noteiktās apropriācijas izmaiņas”</w:t>
            </w:r>
            <w:r w:rsidR="0018757E">
              <w:t>.</w:t>
            </w:r>
          </w:p>
        </w:tc>
      </w:tr>
      <w:tr w:rsidR="00585B7B" w:rsidRPr="00317B6A" w14:paraId="4917C93B" w14:textId="77777777" w:rsidTr="000E5748">
        <w:trPr>
          <w:trHeight w:val="562"/>
        </w:trPr>
        <w:tc>
          <w:tcPr>
            <w:tcW w:w="562" w:type="dxa"/>
          </w:tcPr>
          <w:p w14:paraId="5FDD0BAA" w14:textId="2071EC86" w:rsidR="00585B7B" w:rsidRPr="00317B6A" w:rsidRDefault="00585B7B" w:rsidP="00BD696A">
            <w:pPr>
              <w:pStyle w:val="naiskr"/>
              <w:spacing w:before="0" w:after="0"/>
              <w:jc w:val="center"/>
            </w:pPr>
            <w:r w:rsidRPr="00317B6A">
              <w:t>2.</w:t>
            </w:r>
          </w:p>
        </w:tc>
        <w:tc>
          <w:tcPr>
            <w:tcW w:w="1884" w:type="dxa"/>
          </w:tcPr>
          <w:p w14:paraId="3E1554B2" w14:textId="77777777"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14:paraId="535F05A2" w14:textId="77777777" w:rsidR="00955825" w:rsidRDefault="00955825" w:rsidP="00955825"/>
          <w:p w14:paraId="7F67F0F0" w14:textId="77777777" w:rsidR="00585B7B" w:rsidRPr="00955825" w:rsidRDefault="00585B7B" w:rsidP="00955825">
            <w:pPr>
              <w:ind w:firstLine="720"/>
            </w:pPr>
          </w:p>
        </w:tc>
        <w:tc>
          <w:tcPr>
            <w:tcW w:w="7614" w:type="dxa"/>
          </w:tcPr>
          <w:p w14:paraId="7CC091DA" w14:textId="06D57675" w:rsidR="006C069B" w:rsidRDefault="006C069B" w:rsidP="00460F7A">
            <w:pPr>
              <w:ind w:left="141" w:right="142" w:firstLine="567"/>
              <w:jc w:val="both"/>
            </w:pPr>
            <w:r>
              <w:tab/>
              <w:t>Ministru kabineta 2020. gada 27. oktobra sēdē tika izskatīts (</w:t>
            </w:r>
            <w:r w:rsidRPr="007C474B">
              <w:t>prot Nr.</w:t>
            </w:r>
            <w:r>
              <w:t>65</w:t>
            </w:r>
            <w:r w:rsidRPr="007C474B">
              <w:t xml:space="preserve">, </w:t>
            </w:r>
            <w:r>
              <w:t>34</w:t>
            </w:r>
            <w:r w:rsidRPr="007C474B">
              <w:t>.§</w:t>
            </w:r>
            <w:r>
              <w:t>) Finanšu ministrijas izstrādātais informatīvais ziņojums „</w:t>
            </w:r>
            <w:r w:rsidRPr="00C25FFD">
              <w:t>Par prognozēto līdzekļu neapguvi un ekonomiju izdevumiem no dotācijas no vispārējiem ieņēmumiem valsts budžeta programmās/apakšprogra</w:t>
            </w:r>
            <w:r>
              <w:t>mmās (pamatfunkcijām) 2020.gadā</w:t>
            </w:r>
            <w:r w:rsidR="00CA2F32">
              <w:t>”</w:t>
            </w:r>
            <w:r>
              <w:t xml:space="preserve"> (turpmāk – Ziņojums). Attiecībā uz IZM budžetu prognozētā neapguve un iespējamo līdzekļu ekonomija norādīti  </w:t>
            </w:r>
            <w:r>
              <w:br/>
            </w:r>
            <w:r w:rsidRPr="006C069B">
              <w:t>2 000</w:t>
            </w:r>
            <w:r>
              <w:t> </w:t>
            </w:r>
            <w:r w:rsidRPr="006C069B">
              <w:t xml:space="preserve">692 </w:t>
            </w:r>
            <w:r w:rsidRPr="006C069B">
              <w:rPr>
                <w:i/>
              </w:rPr>
              <w:t>euro</w:t>
            </w:r>
            <w:r>
              <w:t xml:space="preserve">, tai skaitā </w:t>
            </w:r>
            <w:r w:rsidRPr="006C069B">
              <w:t xml:space="preserve">1 402 382 </w:t>
            </w:r>
            <w:r w:rsidRPr="006C069B">
              <w:rPr>
                <w:i/>
              </w:rPr>
              <w:t>euro</w:t>
            </w:r>
            <w:r>
              <w:t xml:space="preserve"> apakšprogrammā 01.07.00 „Dotācija brīvpusdienu nodrošināšanai 1., 2., 3. un 4. klases izglītojamiem”.</w:t>
            </w:r>
            <w:r w:rsidR="00460F7A">
              <w:t xml:space="preserve"> Atzīmējams, ka minētajā summā nav ierēķināta </w:t>
            </w:r>
            <w:r>
              <w:t>identific</w:t>
            </w:r>
            <w:r w:rsidR="00460F7A">
              <w:t>ētā</w:t>
            </w:r>
            <w:r>
              <w:t xml:space="preserve"> papildus ekonom</w:t>
            </w:r>
            <w:r w:rsidR="00460F7A">
              <w:t xml:space="preserve">ija </w:t>
            </w:r>
            <w:r w:rsidRPr="006C069B">
              <w:t>556</w:t>
            </w:r>
            <w:r>
              <w:t> </w:t>
            </w:r>
            <w:r w:rsidRPr="006C069B">
              <w:t>000</w:t>
            </w:r>
            <w:r>
              <w:t xml:space="preserve"> </w:t>
            </w:r>
            <w:r w:rsidRPr="006C069B">
              <w:rPr>
                <w:i/>
              </w:rPr>
              <w:t>euro</w:t>
            </w:r>
            <w:r>
              <w:t xml:space="preserve"> apmērā (skatīt  Ministru kabineta 2020. gada 27. oktobra sēdes protokollēmuma (</w:t>
            </w:r>
            <w:r w:rsidRPr="007C474B">
              <w:t>prot Nr.</w:t>
            </w:r>
            <w:r>
              <w:t>65</w:t>
            </w:r>
            <w:r w:rsidRPr="007C474B">
              <w:t xml:space="preserve">, </w:t>
            </w:r>
            <w:r>
              <w:t>34</w:t>
            </w:r>
            <w:r w:rsidRPr="007C474B">
              <w:t>.§</w:t>
            </w:r>
            <w:r>
              <w:t>) 8. punktā noteikto)</w:t>
            </w:r>
            <w:r w:rsidR="00460F7A">
              <w:t xml:space="preserve">, kā rezultātā, </w:t>
            </w:r>
            <w:r>
              <w:t xml:space="preserve">kopējā  prognozētā neapguve un iespējamo līdzekļu ekonomija </w:t>
            </w:r>
            <w:r w:rsidR="00460F7A">
              <w:t xml:space="preserve">IZM budžetā ir </w:t>
            </w:r>
            <w:r w:rsidR="00460F7A" w:rsidRPr="00460F7A">
              <w:t xml:space="preserve">2 556 692 </w:t>
            </w:r>
            <w:r w:rsidR="00460F7A" w:rsidRPr="00460F7A">
              <w:rPr>
                <w:i/>
              </w:rPr>
              <w:t>euro</w:t>
            </w:r>
            <w:r w:rsidR="00460F7A">
              <w:t xml:space="preserve">. </w:t>
            </w:r>
            <w:r>
              <w:t>Ņemot vērā Ziņojumā (tā 2. pielikumā) minētos un Ministru kabineta atbalstītos IZM pārdales pieprasījumus, ievērojot Finanšu ministrijā jau iesniegtos apropriācijas pārdales pieprasījumus Likuma par budžetu un finanšu vadību 9. panta 13. daļas 1. punktā noteiktā kārtībā, kā arī vēl plānotos iesniedzamos apropriācijas pārdales pieprasījumus</w:t>
            </w:r>
            <w:r w:rsidR="00095B14">
              <w:t xml:space="preserve"> (tai skaitā </w:t>
            </w:r>
            <w:r w:rsidR="00095B14" w:rsidRPr="00095B14">
              <w:t xml:space="preserve">528 868 </w:t>
            </w:r>
            <w:r w:rsidR="00095B14" w:rsidRPr="00095B14">
              <w:rPr>
                <w:i/>
              </w:rPr>
              <w:t>euro</w:t>
            </w:r>
            <w:r w:rsidR="00095B14">
              <w:t xml:space="preserve"> apmērā no  apakšprogrammas 01.07.00 „Dotācija brīvpusdienu nodrošināšanai 1., 2., 3. un 4. klases izglītojamiem”)</w:t>
            </w:r>
            <w:r w:rsidR="00460F7A">
              <w:t xml:space="preserve">, šobrīd izskatīšanai Ministru kabinetā virzāms </w:t>
            </w:r>
            <w:r w:rsidR="00460F7A">
              <w:lastRenderedPageBreak/>
              <w:t xml:space="preserve">jautājums par apropriācijas pārdali no budžeta apakšprogrammas 01.07.00 „Dotācija brīvpusdienu nodrošināšanai 1., 2., 3. un 4. klases izglītojamiem” </w:t>
            </w:r>
            <w:r w:rsidR="00460F7A" w:rsidRPr="00460F7A">
              <w:t xml:space="preserve">638 000 </w:t>
            </w:r>
            <w:r w:rsidR="00460F7A" w:rsidRPr="00460F7A">
              <w:rPr>
                <w:i/>
              </w:rPr>
              <w:t>euro</w:t>
            </w:r>
            <w:r w:rsidR="00460F7A" w:rsidRPr="00460F7A">
              <w:t xml:space="preserve"> apmērā</w:t>
            </w:r>
            <w:r w:rsidR="00460F7A">
              <w:t>.</w:t>
            </w:r>
          </w:p>
          <w:p w14:paraId="06395603" w14:textId="207164E6" w:rsidR="00460F7A" w:rsidRDefault="006C069B" w:rsidP="00460F7A">
            <w:pPr>
              <w:ind w:left="141" w:right="142" w:firstLine="567"/>
              <w:jc w:val="both"/>
            </w:pPr>
            <w:r>
              <w:tab/>
              <w:t>Budžeta apakšprogrammā 01.07.00 „Dotācija brīvpusdienu nodrošināšanai 1., 2., 3.un 4. klases izglītojamiem”  finanšu līdzekļu ekonomi</w:t>
            </w:r>
            <w:r w:rsidR="00460F7A">
              <w:t xml:space="preserve">ja ir izveidojusies turpmāk minētu iemeslu dēļ. </w:t>
            </w:r>
            <w:r w:rsidR="00A3622E">
              <w:t xml:space="preserve">Valsts kontrole </w:t>
            </w:r>
            <w:r w:rsidR="000727CB">
              <w:t xml:space="preserve">revīzijas </w:t>
            </w:r>
            <w:r w:rsidR="00A3622E">
              <w:t>ziņojumā par IZM 2019. gada pārskatu</w:t>
            </w:r>
            <w:r w:rsidR="00A3622E">
              <w:rPr>
                <w:rStyle w:val="FootnoteReference"/>
              </w:rPr>
              <w:footnoteReference w:id="1"/>
            </w:r>
            <w:r w:rsidR="00A3622E">
              <w:t xml:space="preserve"> </w:t>
            </w:r>
            <w:r w:rsidR="000727CB">
              <w:t xml:space="preserve">(Nr. </w:t>
            </w:r>
            <w:r w:rsidR="000727CB" w:rsidRPr="000727CB">
              <w:t>2.4.1-19/2019</w:t>
            </w:r>
            <w:r w:rsidR="000727CB">
              <w:t xml:space="preserve">) </w:t>
            </w:r>
            <w:r w:rsidR="00A3622E">
              <w:t>ietvēra izskatāmo atbilstības jautājumu: „Vai IZM ir nodrošinājusi piešķirtā valsts budžeta finansējuma (dotāciju) brīvpusdienu nodrošināšanai 1.</w:t>
            </w:r>
            <w:r w:rsidR="00131E29" w:rsidRPr="00B11AF2">
              <w:t>–</w:t>
            </w:r>
            <w:r w:rsidR="00A3622E">
              <w:t xml:space="preserve">4.klases izglītojamajiem izlietojumu atbilstoši mērķim normatīvajos aktos noteiktajā kārtībā un apjomā”. </w:t>
            </w:r>
            <w:r w:rsidR="000727CB">
              <w:t>V</w:t>
            </w:r>
            <w:r w:rsidR="00A3622E">
              <w:t xml:space="preserve">alsts kontroles ieskatā </w:t>
            </w:r>
            <w:r w:rsidR="00F345D3">
              <w:t xml:space="preserve"> attiecībā uz brīvpusdienu nodrošināšanai 1.</w:t>
            </w:r>
            <w:r w:rsidR="00131E29" w:rsidRPr="00B11AF2">
              <w:t>–</w:t>
            </w:r>
            <w:r w:rsidR="00F345D3">
              <w:t xml:space="preserve">4.klases izglītojamajiem piešķirtajiem valsts budžeta līdzekļiem </w:t>
            </w:r>
            <w:r w:rsidR="001830AB">
              <w:t xml:space="preserve">nav tikusi nodrošināta </w:t>
            </w:r>
            <w:r w:rsidR="00F345D3">
              <w:t>tādas gadskārtējā valsts budžeta likumā noteiktās apropriācijas izpildes kontroles sistēmas izveid</w:t>
            </w:r>
            <w:r w:rsidR="001830AB">
              <w:t>e</w:t>
            </w:r>
            <w:r w:rsidR="00F345D3">
              <w:t xml:space="preserve">, kas paredzētu, ka pašvaldības, kuras saimnieciskā gada laikā ir saņēmušas valsts pamatbudžeta kontā transferta ieņēmumus no dotācijas no vispārējiem ieņēmumiem un nav tos izlietojušas, veic transferta atlikuma atmaksu līdz saimnieciskā gada beigām. </w:t>
            </w:r>
            <w:r w:rsidR="000468F9">
              <w:t>P</w:t>
            </w:r>
            <w:r w:rsidR="00F345D3">
              <w:t xml:space="preserve">ienākums veikt attiecīgu atmaksu valsts budžetā izriet no </w:t>
            </w:r>
            <w:r w:rsidR="00A3622E">
              <w:t xml:space="preserve">Ministru kabineta 2010. gada 28. decembra noteikumu Nr. 1220 „Asignējumu piešķiršanas un izpildes kārtība” </w:t>
            </w:r>
            <w:r w:rsidR="00A17BA6">
              <w:t xml:space="preserve">48. un </w:t>
            </w:r>
            <w:r w:rsidR="00A3622E">
              <w:t>49. punkt</w:t>
            </w:r>
            <w:r w:rsidR="00F345D3">
              <w:t>a</w:t>
            </w:r>
            <w:r w:rsidR="00A3622E">
              <w:t xml:space="preserve">. </w:t>
            </w:r>
            <w:r w:rsidR="000727CB">
              <w:t xml:space="preserve">Ievērojot minēto, </w:t>
            </w:r>
            <w:r w:rsidR="001830AB">
              <w:t>IZM</w:t>
            </w:r>
            <w:r w:rsidR="000468F9">
              <w:t xml:space="preserve"> norādīja Rīgas pilsētas </w:t>
            </w:r>
            <w:r w:rsidR="000727CB">
              <w:t>pašvaldība</w:t>
            </w:r>
            <w:r w:rsidR="000468F9">
              <w:t xml:space="preserve">i, ka </w:t>
            </w:r>
            <w:r w:rsidR="000727CB">
              <w:t xml:space="preserve">tai piešķirtos valsts budžeta līdzekļus, kas bija paredzēti izglītojamo ēdināšanai līdz 2019. gada 31. decembrim, </w:t>
            </w:r>
            <w:r w:rsidR="000468F9">
              <w:t xml:space="preserve">tā </w:t>
            </w:r>
            <w:r w:rsidR="000727CB">
              <w:t xml:space="preserve">nebija tiesīga izlietot citam mērķim, un tādējādi neizlietotais finansējums atmaksājams valsts budžetā. </w:t>
            </w:r>
            <w:r w:rsidR="000468F9">
              <w:t xml:space="preserve"> Rīgas domes Izglītības, kultūras un sporta departaments </w:t>
            </w:r>
            <w:r w:rsidR="000727CB">
              <w:t>2020. gada 28.</w:t>
            </w:r>
            <w:r w:rsidR="001830AB">
              <w:t xml:space="preserve"> </w:t>
            </w:r>
            <w:r w:rsidR="000727CB">
              <w:t>jūli</w:t>
            </w:r>
            <w:r w:rsidR="000468F9">
              <w:t xml:space="preserve">ja vēstulē Nr.  </w:t>
            </w:r>
            <w:r w:rsidR="000727CB">
              <w:t>DIKS-20-1852-nd</w:t>
            </w:r>
            <w:r w:rsidR="00A17BA6">
              <w:t xml:space="preserve">, piekrītot IZM prasībai, </w:t>
            </w:r>
            <w:r w:rsidR="00A17BA6" w:rsidRPr="00A17BA6">
              <w:t>ierosinā</w:t>
            </w:r>
            <w:r w:rsidR="00A17BA6">
              <w:t>ja</w:t>
            </w:r>
            <w:r w:rsidR="00A17BA6" w:rsidRPr="00A17BA6">
              <w:t xml:space="preserve"> samazināt finansējuma ieņēmumu daļu, ko plānots pārskaitīt pašvaldībai brīvpusdienu nodrošināšanai 1.-4.</w:t>
            </w:r>
            <w:r w:rsidR="001830AB">
              <w:t xml:space="preserve"> </w:t>
            </w:r>
            <w:r w:rsidR="00A17BA6" w:rsidRPr="00A17BA6">
              <w:t xml:space="preserve">klašu izglītojamiem </w:t>
            </w:r>
            <w:r w:rsidR="00A17BA6">
              <w:t xml:space="preserve">2020. gada </w:t>
            </w:r>
            <w:r w:rsidR="00A17BA6" w:rsidRPr="00A17BA6">
              <w:t xml:space="preserve">septembra, oktobra, novembra, decembra mēnešiem, attiecīgi par šo summu samazinot iepriekšējo gadu neizlietotā atlikuma </w:t>
            </w:r>
            <w:r w:rsidR="00A17BA6">
              <w:t>(</w:t>
            </w:r>
            <w:r w:rsidR="00A17BA6" w:rsidRPr="00A17BA6">
              <w:t xml:space="preserve">2 128 174,02 </w:t>
            </w:r>
            <w:r w:rsidR="00A17BA6" w:rsidRPr="00A17BA6">
              <w:rPr>
                <w:i/>
              </w:rPr>
              <w:t>euro</w:t>
            </w:r>
            <w:r w:rsidR="00A17BA6">
              <w:t>)</w:t>
            </w:r>
            <w:r w:rsidR="00A17BA6" w:rsidRPr="00A17BA6">
              <w:t xml:space="preserve"> apmēru</w:t>
            </w:r>
            <w:r w:rsidR="00A17BA6">
              <w:t xml:space="preserve">, kam IZM arī piekrita. Iepriekšminētā rezultātā </w:t>
            </w:r>
            <w:r w:rsidR="000727CB">
              <w:t xml:space="preserve">IZM </w:t>
            </w:r>
            <w:r w:rsidR="006C3F17">
              <w:t>jau veic un turpinās veikt</w:t>
            </w:r>
            <w:r w:rsidR="000727CB">
              <w:t xml:space="preserve"> ieturējumu Rīgas pašvaldībai sākot no 2020. gada septembrim aprēķinātā finansējuma 1.</w:t>
            </w:r>
            <w:r w:rsidR="000E5748">
              <w:t>–</w:t>
            </w:r>
            <w:r w:rsidR="000727CB">
              <w:t>4.</w:t>
            </w:r>
            <w:r w:rsidR="001830AB">
              <w:t xml:space="preserve"> </w:t>
            </w:r>
            <w:r w:rsidR="000727CB">
              <w:t xml:space="preserve">klašu izglītojamo ēdināšanas nodrošināšanai par neizlietoto valsts budžeta līdzekļu apmēru 2 128 174,02 </w:t>
            </w:r>
            <w:r w:rsidR="000727CB" w:rsidRPr="000727CB">
              <w:rPr>
                <w:i/>
              </w:rPr>
              <w:t>euro</w:t>
            </w:r>
            <w:r w:rsidR="000727CB">
              <w:t>, kas Rīgas pašvaldīb</w:t>
            </w:r>
            <w:r w:rsidR="00F345D3">
              <w:t>ā</w:t>
            </w:r>
            <w:r w:rsidR="000727CB">
              <w:t xml:space="preserve"> netika izlietots 1.</w:t>
            </w:r>
            <w:r w:rsidR="000E5748">
              <w:t>–</w:t>
            </w:r>
            <w:r w:rsidR="000727CB">
              <w:t>4.</w:t>
            </w:r>
            <w:r w:rsidR="001830AB">
              <w:t xml:space="preserve"> </w:t>
            </w:r>
            <w:r w:rsidR="000727CB">
              <w:t xml:space="preserve">klašu izglītojamo ēdināšanas nodrošināšanai uz 2019. gada 31. decembri. </w:t>
            </w:r>
            <w:r w:rsidR="00460F7A">
              <w:t>Atzīmējams, ka daļa no</w:t>
            </w:r>
            <w:r w:rsidR="00A17BA6">
              <w:t xml:space="preserve"> minētā ietaupījuma </w:t>
            </w:r>
            <w:r w:rsidR="00460F7A">
              <w:t xml:space="preserve">(808 484 </w:t>
            </w:r>
            <w:r w:rsidR="00460F7A" w:rsidRPr="00460F7A">
              <w:rPr>
                <w:i/>
              </w:rPr>
              <w:t>euro</w:t>
            </w:r>
            <w:r w:rsidR="00460F7A">
              <w:t xml:space="preserve"> apmērā) ar Ministru kabineta 2020. gada 30. oktobra rīkojuma Nr. 634 „Par apropriācijas pārdali no Izglītības un zinātnes ministrijas budžeta uz valsts budžeta programmu 02.00.00 „Līdzekļi neparedzētiem gadījumiem”” 1.1. apakšpunktu jau tika pārdalīti  uz budžeta resora „74. Gadskārtējā valsts budžeta izpildes procesā pārdalāmais finansējums” programmu 02.00.00 „Līdzekļi neparedzētiem gadījumiem”.</w:t>
            </w:r>
          </w:p>
          <w:p w14:paraId="2FD91163" w14:textId="77777777" w:rsidR="00095B14" w:rsidRDefault="00095B14" w:rsidP="00460F7A">
            <w:pPr>
              <w:ind w:left="141" w:right="142" w:firstLine="567"/>
              <w:jc w:val="both"/>
            </w:pPr>
          </w:p>
          <w:p w14:paraId="5C6073D9" w14:textId="7CDD620A" w:rsidR="00052437" w:rsidRPr="00052437" w:rsidRDefault="00052437" w:rsidP="00052437">
            <w:pPr>
              <w:ind w:left="141" w:right="142"/>
              <w:jc w:val="center"/>
              <w:rPr>
                <w:i/>
              </w:rPr>
            </w:pPr>
            <w:r w:rsidRPr="00052437">
              <w:rPr>
                <w:i/>
              </w:rPr>
              <w:t>Par pārdali uz budžeta apakšprogrammu 09.16.00 „Dotācija nacionālās nozīmes starptautisku sporta pasākumu organizēšanai Latvijā” 2020. un 2021. gadā Latvijā paredzēto nacionālas nozīmes starptautisku sporta sacensību organizēšanas izdevumu segšanai 2020. gadā</w:t>
            </w:r>
          </w:p>
          <w:p w14:paraId="54070B99" w14:textId="77777777" w:rsidR="00052437" w:rsidRDefault="00052437" w:rsidP="00460F7A">
            <w:pPr>
              <w:ind w:left="141" w:right="142" w:firstLine="567"/>
              <w:jc w:val="both"/>
            </w:pPr>
          </w:p>
          <w:p w14:paraId="3DBA1437" w14:textId="31376F83" w:rsidR="00052437" w:rsidRDefault="00095B14" w:rsidP="00052437">
            <w:pPr>
              <w:ind w:left="141" w:right="142" w:firstLine="567"/>
              <w:jc w:val="both"/>
            </w:pPr>
            <w:r>
              <w:t xml:space="preserve">Ziņojumā (tā 2. pielikumā) </w:t>
            </w:r>
            <w:r w:rsidR="00052437">
              <w:t>kā viens no ietaupīto līdzekļu pārdales mērķiem norādīta pārdale n</w:t>
            </w:r>
            <w:r w:rsidR="00052437" w:rsidRPr="00052437">
              <w:t xml:space="preserve">acionālas nozīmes starptautisku sporta pasākumu organizēšanai Latvijā 385 000 </w:t>
            </w:r>
            <w:r w:rsidR="00052437" w:rsidRPr="00052437">
              <w:rPr>
                <w:i/>
              </w:rPr>
              <w:t>euro</w:t>
            </w:r>
            <w:r w:rsidR="00052437">
              <w:t xml:space="preserve"> apmērā. </w:t>
            </w:r>
          </w:p>
          <w:p w14:paraId="17A86064" w14:textId="590FA532" w:rsidR="00052437" w:rsidRDefault="00052437" w:rsidP="00B1152C">
            <w:pPr>
              <w:tabs>
                <w:tab w:val="left" w:pos="567"/>
              </w:tabs>
              <w:ind w:left="141" w:right="142"/>
              <w:jc w:val="both"/>
              <w:rPr>
                <w:noProof/>
              </w:rPr>
            </w:pPr>
            <w:r>
              <w:rPr>
                <w:noProof/>
              </w:rPr>
              <w:tab/>
              <w:t>IZM ir saņēmusi finanšu pieprasījumu</w:t>
            </w:r>
            <w:r w:rsidR="00B1152C">
              <w:rPr>
                <w:noProof/>
              </w:rPr>
              <w:t>s</w:t>
            </w:r>
            <w:r>
              <w:rPr>
                <w:noProof/>
              </w:rPr>
              <w:t xml:space="preserve"> </w:t>
            </w:r>
            <w:r w:rsidR="00B1152C">
              <w:rPr>
                <w:noProof/>
              </w:rPr>
              <w:t xml:space="preserve">šādu starptautisku sporta sacensību organizēšanu </w:t>
            </w:r>
            <w:r>
              <w:rPr>
                <w:noProof/>
              </w:rPr>
              <w:t>Latvijā</w:t>
            </w:r>
            <w:r w:rsidR="00B1152C">
              <w:rPr>
                <w:noProof/>
              </w:rPr>
              <w:t xml:space="preserve"> </w:t>
            </w:r>
            <w:r>
              <w:rPr>
                <w:noProof/>
              </w:rPr>
              <w:t>2020. gada nogalē / 2021. gada janvārī</w:t>
            </w:r>
            <w:r w:rsidR="00B1152C">
              <w:rPr>
                <w:noProof/>
              </w:rPr>
              <w:t>:</w:t>
            </w:r>
          </w:p>
          <w:p w14:paraId="19A7838E" w14:textId="42ABDDC4" w:rsidR="00B1152C" w:rsidRDefault="00B1152C" w:rsidP="004E4E6A">
            <w:pPr>
              <w:pStyle w:val="ListParagraph"/>
              <w:numPr>
                <w:ilvl w:val="0"/>
                <w:numId w:val="2"/>
              </w:numPr>
              <w:tabs>
                <w:tab w:val="left" w:pos="567"/>
              </w:tabs>
              <w:ind w:right="142"/>
              <w:jc w:val="both"/>
              <w:rPr>
                <w:noProof/>
              </w:rPr>
            </w:pPr>
            <w:r>
              <w:rPr>
                <w:noProof/>
              </w:rPr>
              <w:lastRenderedPageBreak/>
              <w:t>2021. gada IBSF pasaules kausa posma skeletonā un bobslejā divniekiem organizēšanai (biedrība „Latvijas Bobsleja un skeletona federācija”</w:t>
            </w:r>
            <w:r w:rsidR="00672C64">
              <w:rPr>
                <w:noProof/>
              </w:rPr>
              <w:t xml:space="preserve"> (turpmāk – LBSF)</w:t>
            </w:r>
            <w:r>
              <w:rPr>
                <w:noProof/>
              </w:rPr>
              <w:t>)</w:t>
            </w:r>
            <w:r w:rsidR="00672C64">
              <w:rPr>
                <w:noProof/>
              </w:rPr>
              <w:t xml:space="preserve"> </w:t>
            </w:r>
            <w:r>
              <w:rPr>
                <w:noProof/>
              </w:rPr>
              <w:t>2020. gada 15.–22. novembrī;</w:t>
            </w:r>
          </w:p>
          <w:p w14:paraId="4A6E8D31" w14:textId="3B5B39B7" w:rsidR="00B1152C" w:rsidRDefault="00B1152C" w:rsidP="004E4E6A">
            <w:pPr>
              <w:pStyle w:val="ListParagraph"/>
              <w:numPr>
                <w:ilvl w:val="0"/>
                <w:numId w:val="2"/>
              </w:numPr>
              <w:tabs>
                <w:tab w:val="left" w:pos="567"/>
              </w:tabs>
              <w:ind w:right="142"/>
              <w:jc w:val="both"/>
              <w:rPr>
                <w:noProof/>
              </w:rPr>
            </w:pPr>
            <w:r>
              <w:rPr>
                <w:noProof/>
              </w:rPr>
              <w:t>2021. gada IBSF pasaules kausa posma skeletonā un bobslejā divniekiem organizēšanai (</w:t>
            </w:r>
            <w:r w:rsidR="00672C64">
              <w:rPr>
                <w:noProof/>
              </w:rPr>
              <w:t>LBSF</w:t>
            </w:r>
            <w:r w:rsidR="006E0936">
              <w:rPr>
                <w:noProof/>
              </w:rPr>
              <w:t xml:space="preserve">) </w:t>
            </w:r>
            <w:r>
              <w:rPr>
                <w:noProof/>
              </w:rPr>
              <w:t>2020. gada 23.–29. novembrī;</w:t>
            </w:r>
          </w:p>
          <w:p w14:paraId="0E2B69E5" w14:textId="70F54BDF" w:rsidR="00B1152C" w:rsidRDefault="00B1152C" w:rsidP="004E4E6A">
            <w:pPr>
              <w:pStyle w:val="ListParagraph"/>
              <w:numPr>
                <w:ilvl w:val="0"/>
                <w:numId w:val="2"/>
              </w:numPr>
              <w:tabs>
                <w:tab w:val="left" w:pos="567"/>
              </w:tabs>
              <w:ind w:right="142"/>
              <w:jc w:val="both"/>
              <w:rPr>
                <w:noProof/>
              </w:rPr>
            </w:pPr>
            <w:r>
              <w:rPr>
                <w:noProof/>
              </w:rPr>
              <w:t>2021. gada IBSF Eiropas kausa posma skeletonā un bobslejā divniekiem organizēšanai (</w:t>
            </w:r>
            <w:r w:rsidR="006E0936">
              <w:rPr>
                <w:noProof/>
              </w:rPr>
              <w:t>LBSF</w:t>
            </w:r>
            <w:r>
              <w:rPr>
                <w:noProof/>
              </w:rPr>
              <w:t>)</w:t>
            </w:r>
            <w:r w:rsidR="005421F4">
              <w:rPr>
                <w:noProof/>
              </w:rPr>
              <w:t xml:space="preserve"> </w:t>
            </w:r>
            <w:r>
              <w:rPr>
                <w:noProof/>
              </w:rPr>
              <w:t>2020. gada 14.–20. decembrī;</w:t>
            </w:r>
          </w:p>
          <w:p w14:paraId="36CFE450" w14:textId="77777777" w:rsidR="006E0936" w:rsidRDefault="00B1152C" w:rsidP="004E4E6A">
            <w:pPr>
              <w:pStyle w:val="ListParagraph"/>
              <w:numPr>
                <w:ilvl w:val="0"/>
                <w:numId w:val="2"/>
              </w:numPr>
              <w:tabs>
                <w:tab w:val="left" w:pos="567"/>
              </w:tabs>
              <w:ind w:right="142"/>
              <w:jc w:val="both"/>
              <w:rPr>
                <w:noProof/>
              </w:rPr>
            </w:pPr>
            <w:r>
              <w:rPr>
                <w:noProof/>
              </w:rPr>
              <w:t>2021. gada FIL pasaules kausa posma (arī Eiropas čempionāta) kamaniņu sportā organizēšanai (biedrība „Latvijas Kamaniņu sporta federācija”</w:t>
            </w:r>
            <w:r w:rsidR="006E0936">
              <w:rPr>
                <w:noProof/>
              </w:rPr>
              <w:t xml:space="preserve"> (turpmāk – LKSF)</w:t>
            </w:r>
            <w:r>
              <w:rPr>
                <w:noProof/>
              </w:rPr>
              <w:t>) 2021. gada 6.–10. janvārī.</w:t>
            </w:r>
          </w:p>
          <w:p w14:paraId="2A9EDB8E" w14:textId="77777777" w:rsidR="006E0936" w:rsidRDefault="006E0936" w:rsidP="006E0936">
            <w:pPr>
              <w:tabs>
                <w:tab w:val="left" w:pos="567"/>
              </w:tabs>
              <w:ind w:left="141" w:right="142"/>
              <w:jc w:val="both"/>
              <w:rPr>
                <w:noProof/>
              </w:rPr>
            </w:pPr>
          </w:p>
          <w:p w14:paraId="494406B9" w14:textId="52319649" w:rsidR="006E0936" w:rsidRDefault="006E0936" w:rsidP="006E0936">
            <w:pPr>
              <w:tabs>
                <w:tab w:val="left" w:pos="567"/>
              </w:tabs>
              <w:ind w:left="141" w:right="142"/>
              <w:jc w:val="both"/>
              <w:rPr>
                <w:noProof/>
              </w:rPr>
            </w:pPr>
            <w:r>
              <w:rPr>
                <w:noProof/>
              </w:rPr>
              <w:tab/>
              <w:t xml:space="preserve">Būtiski ir atzīmēt, ka minēto sporta sacensību norise Latvijā ir iespējama arī esošajā epidemioloģiskajā situācijā, kad, ņemot </w:t>
            </w:r>
            <w:r w:rsidRPr="006E0936">
              <w:rPr>
                <w:noProof/>
              </w:rPr>
              <w:t>vērā straujo Covid-19 infekcijas izplatīšanos un pieaugošo veselības nozares pārslodzes risku</w:t>
            </w:r>
            <w:r>
              <w:rPr>
                <w:noProof/>
              </w:rPr>
              <w:t xml:space="preserve">, </w:t>
            </w:r>
            <w:r w:rsidRPr="006E0936">
              <w:rPr>
                <w:noProof/>
              </w:rPr>
              <w:t>lai samazinātu atkārtotu Covid-19 infekcijas izplatību Latvijā līdz kontrolējamai robežai, vienlaikus nodrošinot svarīgu valsts funkcij</w:t>
            </w:r>
            <w:r>
              <w:rPr>
                <w:noProof/>
              </w:rPr>
              <w:t xml:space="preserve">u un pakalpojumu nepārtrauktību, ar Ministru kabineta 2020. gada 6. novembra rīkojumu </w:t>
            </w:r>
            <w:r w:rsidR="005421F4">
              <w:rPr>
                <w:noProof/>
              </w:rPr>
              <w:br/>
            </w:r>
            <w:r>
              <w:rPr>
                <w:noProof/>
              </w:rPr>
              <w:t xml:space="preserve">Nr. 655 „Par ārkārtējās situācijas izsludināšanu” </w:t>
            </w:r>
            <w:r w:rsidRPr="006E0936">
              <w:rPr>
                <w:noProof/>
              </w:rPr>
              <w:t xml:space="preserve">visā valsts teritorijā </w:t>
            </w:r>
            <w:r>
              <w:rPr>
                <w:noProof/>
              </w:rPr>
              <w:t>ir izsludināta ārkārtējā situācija (šobrīd līdz 2020. gada 6. decembrim). Lai gan ārkārtējās situācijas laikā ir aizliegti un atcelti visi, minētā Ministru kabineta rīkojuma 5.16.1. apakšpunkts paredz</w:t>
            </w:r>
            <w:r w:rsidR="00FE32C3">
              <w:rPr>
                <w:noProof/>
              </w:rPr>
              <w:t xml:space="preserve"> izņēmumu, ka </w:t>
            </w:r>
            <w:r w:rsidR="00FB73B5">
              <w:rPr>
                <w:noProof/>
              </w:rPr>
              <w:t xml:space="preserve"> sporta pasākumu </w:t>
            </w:r>
            <w:r w:rsidR="00FE32C3">
              <w:rPr>
                <w:noProof/>
              </w:rPr>
              <w:t xml:space="preserve">aizliegums neattiecas uz </w:t>
            </w:r>
            <w:r>
              <w:rPr>
                <w:noProof/>
              </w:rPr>
              <w:t>starptautisko olimpisko sporta federāciju sporta sacensību kalendārā iekļaut</w:t>
            </w:r>
            <w:r w:rsidR="00FE32C3">
              <w:rPr>
                <w:noProof/>
              </w:rPr>
              <w:t>ām</w:t>
            </w:r>
            <w:r>
              <w:rPr>
                <w:noProof/>
              </w:rPr>
              <w:t xml:space="preserve"> sporta sacensīb</w:t>
            </w:r>
            <w:r w:rsidR="00FE32C3">
              <w:rPr>
                <w:noProof/>
              </w:rPr>
              <w:t xml:space="preserve">ām </w:t>
            </w:r>
            <w:r>
              <w:rPr>
                <w:noProof/>
              </w:rPr>
              <w:t>(tai skaitā pirms sacensībām paredzēt</w:t>
            </w:r>
            <w:r w:rsidR="00FE32C3">
              <w:rPr>
                <w:noProof/>
              </w:rPr>
              <w:t>ajiem oficiāliem treniņiem</w:t>
            </w:r>
            <w:r>
              <w:rPr>
                <w:noProof/>
              </w:rPr>
              <w:t>) pieaugušo izlašu sportistiem, j</w:t>
            </w:r>
            <w:r w:rsidR="00FE32C3">
              <w:rPr>
                <w:noProof/>
              </w:rPr>
              <w:t>a tās norisinās bez skatītājiem. Visas četras minētās sporta sacensības atbilst šim nosacījumam.</w:t>
            </w:r>
          </w:p>
          <w:p w14:paraId="7B8F4100" w14:textId="4AC399A6" w:rsidR="00253AC2" w:rsidRDefault="00FE32C3" w:rsidP="006E0936">
            <w:pPr>
              <w:tabs>
                <w:tab w:val="left" w:pos="567"/>
              </w:tabs>
              <w:ind w:left="141" w:right="142"/>
              <w:jc w:val="both"/>
              <w:rPr>
                <w:noProof/>
              </w:rPr>
            </w:pPr>
            <w:r>
              <w:rPr>
                <w:noProof/>
              </w:rPr>
              <w:tab/>
            </w:r>
            <w:r w:rsidR="00B1152C">
              <w:rPr>
                <w:noProof/>
              </w:rPr>
              <w:t xml:space="preserve">Visas četras minētās sporta sacensības, kas tiek organizētas valsts īpašumā esošajā </w:t>
            </w:r>
            <w:r w:rsidR="00B1152C" w:rsidRPr="00F1697B">
              <w:rPr>
                <w:noProof/>
              </w:rPr>
              <w:t>Bobslej</w:t>
            </w:r>
            <w:r w:rsidR="00B1152C">
              <w:rPr>
                <w:noProof/>
              </w:rPr>
              <w:t xml:space="preserve">a un kamaniņu trasē „Sigulda”, </w:t>
            </w:r>
            <w:r w:rsidR="00B1152C" w:rsidRPr="00F1697B">
              <w:rPr>
                <w:noProof/>
              </w:rPr>
              <w:t xml:space="preserve">ir norisinājušās arī iepriekšējos gados un to organizēšanas izdevumu segšanai arī iepriekšējos gados ir ticis piešķirts valsts budžeta līdzfinansējums no </w:t>
            </w:r>
            <w:r w:rsidR="00B1152C">
              <w:rPr>
                <w:noProof/>
              </w:rPr>
              <w:t xml:space="preserve">IZM </w:t>
            </w:r>
            <w:r w:rsidR="00B1152C" w:rsidRPr="00F1697B">
              <w:rPr>
                <w:noProof/>
              </w:rPr>
              <w:t>budžeta apakšprogrammas 09.16.00 „Dotācija nacionālās nozīmes starptautisku sporta pasākumu organizēšanai Latvijā”.</w:t>
            </w:r>
            <w:r w:rsidR="00B1152C">
              <w:rPr>
                <w:noProof/>
              </w:rPr>
              <w:t xml:space="preserve"> Šo sacensību norise Latvijā ir </w:t>
            </w:r>
            <w:r>
              <w:rPr>
                <w:noProof/>
              </w:rPr>
              <w:t>iekļauta</w:t>
            </w:r>
            <w:r w:rsidR="00B1152C">
              <w:rPr>
                <w:noProof/>
              </w:rPr>
              <w:t xml:space="preserve"> arī </w:t>
            </w:r>
            <w:r w:rsidR="00052437">
              <w:rPr>
                <w:noProof/>
              </w:rPr>
              <w:t>Latvijas Nacionālajā sporta padomē apstiprināt</w:t>
            </w:r>
            <w:r w:rsidR="00B1152C">
              <w:rPr>
                <w:noProof/>
              </w:rPr>
              <w:t>ajā</w:t>
            </w:r>
            <w:r w:rsidR="00052437">
              <w:rPr>
                <w:noProof/>
              </w:rPr>
              <w:t xml:space="preserve"> Latvijā plānoto nacionālas nozīmes starptautisko sporta sacensību un valsts mēroga komplekso sporta sacensību (Latvijas Olimpiādes un Latvijas</w:t>
            </w:r>
            <w:r w:rsidR="00B1152C">
              <w:rPr>
                <w:noProof/>
              </w:rPr>
              <w:t xml:space="preserve"> Jaunatnes olimpiādes) kalendārā.</w:t>
            </w:r>
            <w:r>
              <w:rPr>
                <w:noProof/>
              </w:rPr>
              <w:t xml:space="preserve"> </w:t>
            </w:r>
            <w:r w:rsidR="00253AC2">
              <w:rPr>
                <w:noProof/>
              </w:rPr>
              <w:t xml:space="preserve">Saskaņā ar </w:t>
            </w:r>
            <w:r>
              <w:rPr>
                <w:noProof/>
              </w:rPr>
              <w:t>Starptautiskās Bobsleja un Skeletona federācijas (</w:t>
            </w:r>
            <w:r w:rsidRPr="00FE32C3">
              <w:rPr>
                <w:i/>
                <w:noProof/>
              </w:rPr>
              <w:t>International Bobsleigh &amp; Skeleton Federation</w:t>
            </w:r>
            <w:r>
              <w:rPr>
                <w:noProof/>
              </w:rPr>
              <w:t xml:space="preserve"> – IBSF) lēmumu </w:t>
            </w:r>
            <w:r w:rsidR="00253AC2">
              <w:rPr>
                <w:noProof/>
              </w:rPr>
              <w:t xml:space="preserve">visi Latvijā plānotie </w:t>
            </w:r>
            <w:r>
              <w:rPr>
                <w:noProof/>
              </w:rPr>
              <w:t xml:space="preserve">IBSF pasaules un Eiropas kausa posmi skeletonā un bobslejā divniekiem </w:t>
            </w:r>
            <w:r w:rsidR="00253AC2">
              <w:rPr>
                <w:noProof/>
              </w:rPr>
              <w:t xml:space="preserve">šoreiz </w:t>
            </w:r>
            <w:r>
              <w:rPr>
                <w:noProof/>
              </w:rPr>
              <w:t xml:space="preserve">norisinās </w:t>
            </w:r>
            <w:r w:rsidR="00253AC2">
              <w:rPr>
                <w:noProof/>
              </w:rPr>
              <w:t xml:space="preserve">2020. </w:t>
            </w:r>
            <w:r>
              <w:rPr>
                <w:noProof/>
              </w:rPr>
              <w:t xml:space="preserve">gada nogalē, kā </w:t>
            </w:r>
            <w:r w:rsidR="00253AC2">
              <w:rPr>
                <w:noProof/>
              </w:rPr>
              <w:t>rezultātā visi izdevumi sedzami 2020. gadā (nevis 2021. gadā kā plānots iepriekš). Lai gan saskaņā ar Starptautiskās Kamaniņu sporta federācijas (</w:t>
            </w:r>
            <w:r w:rsidR="00253AC2" w:rsidRPr="00253AC2">
              <w:rPr>
                <w:i/>
                <w:noProof/>
              </w:rPr>
              <w:t>Federation Internationale de Luge de course</w:t>
            </w:r>
            <w:r w:rsidR="00253AC2">
              <w:rPr>
                <w:noProof/>
              </w:rPr>
              <w:t xml:space="preserve"> – FIL) lēmumu 2021. gada FIL pasaules kausa posms (kas vielaikus būs arī Eiropas čempionāts) kamaniņu sportā Latvijā norisināsies 2021. gada janvārī, </w:t>
            </w:r>
            <w:r w:rsidR="006E0936" w:rsidRPr="00F1697B">
              <w:rPr>
                <w:noProof/>
              </w:rPr>
              <w:t xml:space="preserve">lielākā daļa no izdevumiem, kas saistīti ar sacensību </w:t>
            </w:r>
            <w:r w:rsidR="00CA22C4">
              <w:rPr>
                <w:noProof/>
              </w:rPr>
              <w:t>organizēšanu</w:t>
            </w:r>
            <w:r w:rsidR="006E0936" w:rsidRPr="00F1697B">
              <w:rPr>
                <w:noProof/>
              </w:rPr>
              <w:t xml:space="preserve">, ir jāsedz jau </w:t>
            </w:r>
            <w:r w:rsidR="00253AC2">
              <w:rPr>
                <w:noProof/>
              </w:rPr>
              <w:t>2020</w:t>
            </w:r>
            <w:r w:rsidR="006E0936">
              <w:rPr>
                <w:noProof/>
              </w:rPr>
              <w:t xml:space="preserve">. gada </w:t>
            </w:r>
            <w:r w:rsidR="006E0936" w:rsidRPr="00F1697B">
              <w:rPr>
                <w:noProof/>
              </w:rPr>
              <w:t>decembrī. Turklāt, ņemot vērā kārtējā gada IZM valsts budžeta programmā „Sports” paredzēto līdzekļu (ta skaitā apakšprogrammā 09.16.00 „Dotācija nacionālās nozīmes starptautisku sporta pasākumu organizēšanai Latvijā”) sadales procedūru, līdz 20</w:t>
            </w:r>
            <w:r w:rsidR="006E0936">
              <w:rPr>
                <w:noProof/>
              </w:rPr>
              <w:t>2</w:t>
            </w:r>
            <w:r w:rsidR="00253AC2">
              <w:rPr>
                <w:noProof/>
              </w:rPr>
              <w:t>1</w:t>
            </w:r>
            <w:r w:rsidR="006E0936" w:rsidRPr="00F1697B">
              <w:rPr>
                <w:noProof/>
              </w:rPr>
              <w:t>.</w:t>
            </w:r>
            <w:r w:rsidR="006E0936">
              <w:rPr>
                <w:noProof/>
              </w:rPr>
              <w:t xml:space="preserve"> </w:t>
            </w:r>
            <w:r w:rsidR="006E0936" w:rsidRPr="00F1697B">
              <w:rPr>
                <w:noProof/>
              </w:rPr>
              <w:t>gada janvāra sākumam nav iespējams nodrošināt sacensību organizēšanai nepieciešamo valsts budže</w:t>
            </w:r>
            <w:r w:rsidR="006E0936">
              <w:rPr>
                <w:noProof/>
              </w:rPr>
              <w:t xml:space="preserve">ta līdzfinansējuma piešķiršanu. </w:t>
            </w:r>
          </w:p>
          <w:p w14:paraId="625311C2" w14:textId="724AD8FF" w:rsidR="003C5CDD" w:rsidRDefault="003C5CDD" w:rsidP="003C5CDD">
            <w:pPr>
              <w:tabs>
                <w:tab w:val="left" w:pos="567"/>
              </w:tabs>
              <w:ind w:left="141" w:right="142"/>
              <w:jc w:val="both"/>
              <w:rPr>
                <w:noProof/>
              </w:rPr>
            </w:pPr>
            <w:r>
              <w:rPr>
                <w:noProof/>
              </w:rPr>
              <w:tab/>
              <w:t xml:space="preserve">Saskaņā ar </w:t>
            </w:r>
            <w:r w:rsidRPr="00816929">
              <w:t>Ministru kabineta 20</w:t>
            </w:r>
            <w:r>
              <w:t>20</w:t>
            </w:r>
            <w:r w:rsidRPr="00816929">
              <w:t>.</w:t>
            </w:r>
            <w:r>
              <w:t xml:space="preserve"> gada 27</w:t>
            </w:r>
            <w:r w:rsidRPr="00816929">
              <w:t>.</w:t>
            </w:r>
            <w:r>
              <w:t xml:space="preserve"> oktobra sēdes protokollēmuma „Informatīvais ziņojums „</w:t>
            </w:r>
            <w:r w:rsidRPr="00C25FFD">
              <w:t>Par prognozēto līdzekļu neapguvi un ekonomiju izdevumiem no dotācijas no vispārējiem ieņēmumiem valsts budžeta programmās/apakšprogra</w:t>
            </w:r>
            <w:r>
              <w:t xml:space="preserve">mmās (pamatfunkcijām) 2020.gadā”” </w:t>
            </w:r>
            <w:r>
              <w:lastRenderedPageBreak/>
              <w:t>(</w:t>
            </w:r>
            <w:r w:rsidRPr="007C474B">
              <w:t>prot Nr.</w:t>
            </w:r>
            <w:r>
              <w:t>65</w:t>
            </w:r>
            <w:r w:rsidRPr="007C474B">
              <w:t xml:space="preserve">, </w:t>
            </w:r>
            <w:r>
              <w:t>34</w:t>
            </w:r>
            <w:r w:rsidRPr="007C474B">
              <w:t>.§</w:t>
            </w:r>
            <w:r>
              <w:t xml:space="preserve">) 6. punktu </w:t>
            </w:r>
            <w:r>
              <w:rPr>
                <w:noProof/>
              </w:rPr>
              <w:t xml:space="preserve">Ziņojuma </w:t>
            </w:r>
            <w:r w:rsidRPr="003C5CDD">
              <w:rPr>
                <w:noProof/>
              </w:rPr>
              <w:t>2.</w:t>
            </w:r>
            <w:r>
              <w:rPr>
                <w:noProof/>
              </w:rPr>
              <w:t xml:space="preserve"> </w:t>
            </w:r>
            <w:r w:rsidRPr="003C5CDD">
              <w:rPr>
                <w:noProof/>
              </w:rPr>
              <w:t>pielikumā minētā finansējuma pārdales veicamas, ņemot vērā šādus kritērijus: primāri nepieciešams ar Covid-19 saistīto izdevumu segšanai; pamatā atslogo 2021.gada budžetu; ir pilnībā īstenojami 2020.</w:t>
            </w:r>
            <w:r>
              <w:rPr>
                <w:noProof/>
              </w:rPr>
              <w:t xml:space="preserve"> </w:t>
            </w:r>
            <w:r w:rsidRPr="003C5CDD">
              <w:rPr>
                <w:noProof/>
              </w:rPr>
              <w:t>gadā; sasniedzot mērķi, nerada vajadzību pēc papildus līdzekļiem 2021.</w:t>
            </w:r>
            <w:r>
              <w:rPr>
                <w:noProof/>
              </w:rPr>
              <w:t xml:space="preserve"> </w:t>
            </w:r>
            <w:r w:rsidRPr="003C5CDD">
              <w:rPr>
                <w:noProof/>
              </w:rPr>
              <w:t>gadā un turpmākajos gados; nepieciešams saistību izpildei.</w:t>
            </w:r>
            <w:r>
              <w:rPr>
                <w:noProof/>
              </w:rPr>
              <w:t xml:space="preserve"> </w:t>
            </w:r>
            <w:r w:rsidR="00F83D9D">
              <w:rPr>
                <w:noProof/>
              </w:rPr>
              <w:t>L</w:t>
            </w:r>
            <w:r>
              <w:rPr>
                <w:noProof/>
              </w:rPr>
              <w:t xml:space="preserve">īdzekļu pārdale </w:t>
            </w:r>
            <w:r w:rsidRPr="003C5CDD">
              <w:rPr>
                <w:noProof/>
              </w:rPr>
              <w:t>uz budžeta apakšprogrammu 09.16.00 „Dotācija nacionālās nozīmes starptautisku sporta pasākumu organizēšanai Latvijā”</w:t>
            </w:r>
            <w:r>
              <w:rPr>
                <w:noProof/>
              </w:rPr>
              <w:t xml:space="preserve"> atslogo 2021. gada budžetu, ir pilnībā īstenojama 2020. gadā, kā arī, sasniedzot mērķi, </w:t>
            </w:r>
            <w:r w:rsidRPr="003C5CDD">
              <w:rPr>
                <w:noProof/>
              </w:rPr>
              <w:t>nerada vajadzību pēc papildus līdzekļiem 2021.</w:t>
            </w:r>
            <w:r>
              <w:rPr>
                <w:noProof/>
              </w:rPr>
              <w:t xml:space="preserve"> </w:t>
            </w:r>
            <w:r w:rsidRPr="003C5CDD">
              <w:rPr>
                <w:noProof/>
              </w:rPr>
              <w:t>gadā un turpmākajos gados</w:t>
            </w:r>
            <w:r>
              <w:rPr>
                <w:noProof/>
              </w:rPr>
              <w:t>.</w:t>
            </w:r>
          </w:p>
          <w:p w14:paraId="5C22CB06" w14:textId="5DF736AE" w:rsidR="003C5CDD" w:rsidRDefault="003C5CDD" w:rsidP="003C5CDD">
            <w:pPr>
              <w:tabs>
                <w:tab w:val="left" w:pos="567"/>
              </w:tabs>
              <w:ind w:left="141" w:right="142"/>
              <w:jc w:val="both"/>
              <w:rPr>
                <w:noProof/>
              </w:rPr>
            </w:pPr>
            <w:r>
              <w:rPr>
                <w:noProof/>
              </w:rPr>
              <w:tab/>
              <w:t>Izvērtējoto LBSF un LKSF finanšu pieprasījumus, ņemot vērā iepirekšējos gados atbalstīto līdzekļu apjomu, kā arī, papildus izdevumus, kas saistīti ar Bobsleja un kamaniņu trases „Sigulda” infrastruktūras izmantošanu un epidemioloģiskās drošības prasīb</w:t>
            </w:r>
            <w:r w:rsidR="00F83D9D">
              <w:rPr>
                <w:noProof/>
              </w:rPr>
              <w:t>u</w:t>
            </w:r>
            <w:r>
              <w:rPr>
                <w:noProof/>
              </w:rPr>
              <w:t xml:space="preserve"> nodrošināšanu saistībā ar Covid-19 infekciju, IZM rosina </w:t>
            </w:r>
            <w:r w:rsidR="002B64F8">
              <w:rPr>
                <w:noProof/>
              </w:rPr>
              <w:t>četru minēto sporta sacensību organizēšanas izdevumu segšanai 2020. gadā pārdalītos valsts budžeta līdzekļus sadalīt šādi:</w:t>
            </w:r>
          </w:p>
          <w:p w14:paraId="69C64351" w14:textId="2617AA08" w:rsidR="002B64F8" w:rsidRDefault="002B64F8" w:rsidP="00063555">
            <w:pPr>
              <w:pStyle w:val="ListParagraph"/>
              <w:numPr>
                <w:ilvl w:val="0"/>
                <w:numId w:val="3"/>
              </w:numPr>
              <w:tabs>
                <w:tab w:val="left" w:pos="567"/>
              </w:tabs>
              <w:ind w:right="142"/>
              <w:jc w:val="both"/>
              <w:rPr>
                <w:noProof/>
              </w:rPr>
            </w:pPr>
            <w:r w:rsidRPr="002B64F8">
              <w:rPr>
                <w:noProof/>
              </w:rPr>
              <w:t xml:space="preserve">divu </w:t>
            </w:r>
            <w:r w:rsidR="00063555" w:rsidRPr="00063555">
              <w:rPr>
                <w:noProof/>
              </w:rPr>
              <w:t xml:space="preserve">2020./2021. gada sezonas </w:t>
            </w:r>
            <w:r w:rsidRPr="002B64F8">
              <w:rPr>
                <w:noProof/>
              </w:rPr>
              <w:t xml:space="preserve">IBSF pasaules kausa posmu skeletonā un bobslejā divniekiem organizēšanai (LBSF) 2020. gadā – 200 000 </w:t>
            </w:r>
            <w:r w:rsidRPr="002B64F8">
              <w:rPr>
                <w:i/>
                <w:noProof/>
              </w:rPr>
              <w:t>euro</w:t>
            </w:r>
            <w:r w:rsidRPr="002B64F8">
              <w:rPr>
                <w:noProof/>
              </w:rPr>
              <w:t>;</w:t>
            </w:r>
          </w:p>
          <w:p w14:paraId="092D1997" w14:textId="33C307CF" w:rsidR="002B64F8" w:rsidRDefault="00063555" w:rsidP="00063555">
            <w:pPr>
              <w:pStyle w:val="ListParagraph"/>
              <w:numPr>
                <w:ilvl w:val="0"/>
                <w:numId w:val="3"/>
              </w:numPr>
              <w:tabs>
                <w:tab w:val="left" w:pos="567"/>
              </w:tabs>
              <w:ind w:right="142"/>
              <w:jc w:val="both"/>
              <w:rPr>
                <w:noProof/>
              </w:rPr>
            </w:pPr>
            <w:r w:rsidRPr="00063555">
              <w:rPr>
                <w:noProof/>
              </w:rPr>
              <w:t xml:space="preserve">2020./2021. gada sezonas </w:t>
            </w:r>
            <w:r w:rsidR="002B64F8">
              <w:rPr>
                <w:noProof/>
              </w:rPr>
              <w:t xml:space="preserve">IBSF Eiropas kausa posma skeletonā un bobslejā divniekiem organizēšanai (LBSF) 2020. gadā – 75 000 </w:t>
            </w:r>
            <w:r w:rsidR="002B64F8" w:rsidRPr="002B64F8">
              <w:rPr>
                <w:i/>
                <w:noProof/>
              </w:rPr>
              <w:t>euro</w:t>
            </w:r>
            <w:r w:rsidR="002B64F8">
              <w:rPr>
                <w:noProof/>
              </w:rPr>
              <w:t>;</w:t>
            </w:r>
          </w:p>
          <w:p w14:paraId="6854C7C5" w14:textId="0BC46AE8" w:rsidR="003C5CDD" w:rsidRDefault="00063555" w:rsidP="00063555">
            <w:pPr>
              <w:pStyle w:val="ListParagraph"/>
              <w:numPr>
                <w:ilvl w:val="0"/>
                <w:numId w:val="3"/>
              </w:numPr>
              <w:tabs>
                <w:tab w:val="left" w:pos="567"/>
              </w:tabs>
              <w:ind w:right="142"/>
              <w:jc w:val="both"/>
              <w:rPr>
                <w:noProof/>
              </w:rPr>
            </w:pPr>
            <w:r w:rsidRPr="00063555">
              <w:rPr>
                <w:noProof/>
              </w:rPr>
              <w:t xml:space="preserve">2020./2021. gada sezonas </w:t>
            </w:r>
            <w:r w:rsidR="002B64F8">
              <w:rPr>
                <w:noProof/>
              </w:rPr>
              <w:t xml:space="preserve">FIL pasaules kausa posma (arī Eiropas čempionāta) kamaniņu sportā organizēšanai (LKSF) 2021. gadā – </w:t>
            </w:r>
            <w:r>
              <w:rPr>
                <w:noProof/>
              </w:rPr>
              <w:br/>
            </w:r>
            <w:r w:rsidR="002B64F8">
              <w:rPr>
                <w:noProof/>
              </w:rPr>
              <w:t xml:space="preserve">110 000 </w:t>
            </w:r>
            <w:r w:rsidR="002B64F8" w:rsidRPr="002B64F8">
              <w:rPr>
                <w:i/>
                <w:noProof/>
              </w:rPr>
              <w:t>euro</w:t>
            </w:r>
            <w:r w:rsidR="002B64F8">
              <w:rPr>
                <w:noProof/>
              </w:rPr>
              <w:t xml:space="preserve">. </w:t>
            </w:r>
          </w:p>
          <w:p w14:paraId="660D1F45" w14:textId="77777777" w:rsidR="00FE32C3" w:rsidRDefault="00FE32C3" w:rsidP="006E0936">
            <w:pPr>
              <w:tabs>
                <w:tab w:val="left" w:pos="567"/>
              </w:tabs>
              <w:ind w:left="141" w:right="142"/>
              <w:jc w:val="both"/>
              <w:rPr>
                <w:noProof/>
              </w:rPr>
            </w:pPr>
          </w:p>
          <w:p w14:paraId="57ED61F9" w14:textId="77777777" w:rsidR="001C5009" w:rsidRDefault="00052437" w:rsidP="002B64F8">
            <w:pPr>
              <w:autoSpaceDE w:val="0"/>
              <w:autoSpaceDN w:val="0"/>
              <w:adjustRightInd w:val="0"/>
              <w:ind w:left="198" w:right="171" w:firstLine="641"/>
              <w:jc w:val="both"/>
            </w:pPr>
            <w:r w:rsidRPr="00F1697B">
              <w:t xml:space="preserve">IZM ir veikusi </w:t>
            </w:r>
            <w:r w:rsidR="002B64F8">
              <w:t xml:space="preserve">arī </w:t>
            </w:r>
            <w:r w:rsidRPr="00F1697B">
              <w:t xml:space="preserve">sākotnējo izvērtējumu par finansējuma piešķiršanas </w:t>
            </w:r>
            <w:r w:rsidR="002B64F8">
              <w:t xml:space="preserve">minēto sporta sacensību organizēšanai </w:t>
            </w:r>
            <w:r w:rsidRPr="00F1697B">
              <w:t>atbilstību komercdarbības atbalsta kontroles regulējumam</w:t>
            </w:r>
            <w:r w:rsidR="001C5009">
              <w:t>.</w:t>
            </w:r>
          </w:p>
          <w:p w14:paraId="3FC153E5" w14:textId="68C511BE" w:rsidR="00052437" w:rsidRPr="00F1697B" w:rsidRDefault="00730551" w:rsidP="002B64F8">
            <w:pPr>
              <w:autoSpaceDE w:val="0"/>
              <w:autoSpaceDN w:val="0"/>
              <w:adjustRightInd w:val="0"/>
              <w:ind w:left="198" w:right="171" w:firstLine="641"/>
              <w:jc w:val="both"/>
              <w:rPr>
                <w:rFonts w:eastAsia="Times New Roman"/>
              </w:rPr>
            </w:pPr>
            <w:r>
              <w:t>L</w:t>
            </w:r>
            <w:r w:rsidR="00052437" w:rsidRPr="00F1697B">
              <w:t>ai kādu pasākumu varētu klasificēt kā komercdarbības atbalstu, tam vienlaikus jāatbilst visām četrām kumulatīvām pazīmēm</w:t>
            </w:r>
            <w:r w:rsidR="00052437" w:rsidRPr="00F1697B">
              <w:rPr>
                <w:rStyle w:val="FootnoteReference"/>
              </w:rPr>
              <w:footnoteReference w:id="2"/>
            </w:r>
            <w:r w:rsidR="00052437" w:rsidRPr="00F1697B">
              <w:t xml:space="preserve">: </w:t>
            </w:r>
          </w:p>
          <w:p w14:paraId="76BC4870" w14:textId="77777777" w:rsidR="00052437" w:rsidRPr="00F1697B" w:rsidRDefault="00052437" w:rsidP="00052437">
            <w:pPr>
              <w:ind w:left="567"/>
              <w:jc w:val="both"/>
            </w:pPr>
            <w:r w:rsidRPr="00F1697B">
              <w:rPr>
                <w:i/>
                <w:u w:val="single"/>
              </w:rPr>
              <w:t>1. pazīme</w:t>
            </w:r>
            <w:r w:rsidRPr="00F1697B">
              <w:t>: Atbalsts tiek sniegts no publiskiem resursiem;</w:t>
            </w:r>
          </w:p>
          <w:p w14:paraId="3033DF22" w14:textId="77777777" w:rsidR="00052437" w:rsidRPr="00F1697B" w:rsidRDefault="00052437" w:rsidP="00052437">
            <w:pPr>
              <w:ind w:left="120" w:right="118" w:firstLine="426"/>
              <w:jc w:val="both"/>
            </w:pPr>
            <w:r w:rsidRPr="00F1697B">
              <w:rPr>
                <w:i/>
                <w:u w:val="single"/>
              </w:rPr>
              <w:t>2. pazīme</w:t>
            </w:r>
            <w:r w:rsidRPr="00F1697B">
              <w:t>: Atbalsta saņēmējs veic saimniecisku darbību un attiecībā uz to gūst ekonomiskas priekšrocības, kādas tas nevarētu gūt normālos komercdarbības veikšanas apstākļos;</w:t>
            </w:r>
          </w:p>
          <w:p w14:paraId="5103EB4D" w14:textId="77777777" w:rsidR="00052437" w:rsidRPr="00F1697B" w:rsidRDefault="00052437" w:rsidP="00052437">
            <w:pPr>
              <w:ind w:left="567"/>
              <w:jc w:val="both"/>
            </w:pPr>
            <w:r w:rsidRPr="00F1697B">
              <w:rPr>
                <w:i/>
                <w:u w:val="single"/>
              </w:rPr>
              <w:t>3. pazīme</w:t>
            </w:r>
            <w:r w:rsidRPr="00F1697B">
              <w:t>: Pasākums ir selektīvs pēc sava rakstura;</w:t>
            </w:r>
          </w:p>
          <w:p w14:paraId="1E66BB8C" w14:textId="77777777" w:rsidR="00052437" w:rsidRPr="00F1697B" w:rsidRDefault="00052437" w:rsidP="00052437">
            <w:pPr>
              <w:ind w:left="120" w:right="118" w:firstLine="426"/>
              <w:jc w:val="both"/>
            </w:pPr>
            <w:r w:rsidRPr="00F1697B">
              <w:rPr>
                <w:i/>
                <w:u w:val="single"/>
              </w:rPr>
              <w:t>4. pazīme</w:t>
            </w:r>
            <w:r w:rsidRPr="00F1697B">
              <w:t>: Atbalsts ietekmē konkurenci un tirdzniecību Eiropas Savienības iekšējā tirgū.</w:t>
            </w:r>
          </w:p>
          <w:p w14:paraId="6635A3C7" w14:textId="4986B664" w:rsidR="00052437" w:rsidRDefault="00730551" w:rsidP="00052437">
            <w:pPr>
              <w:ind w:left="120" w:right="118" w:firstLine="709"/>
              <w:jc w:val="both"/>
            </w:pPr>
            <w:r>
              <w:t>K</w:t>
            </w:r>
            <w:r w:rsidR="00052437" w:rsidRPr="00F1697B">
              <w:t xml:space="preserve">onstatējams, ka minētā atbalsta </w:t>
            </w:r>
            <w:r w:rsidRPr="00F1697B">
              <w:t xml:space="preserve"> </w:t>
            </w:r>
            <w:r w:rsidRPr="00F1697B">
              <w:t xml:space="preserve">sniegšana </w:t>
            </w:r>
            <w:r>
              <w:t xml:space="preserve">LBSF un LKSF ar sporta sacensību organizēšanu saistīto izdevumu segšanai </w:t>
            </w:r>
            <w:r w:rsidR="00052437" w:rsidRPr="00F1697B">
              <w:t>nerada konkurences kropļojumu Eiropas Savienības līmenī, jo konkrēto sporta sacensību rīkošanas tiesības 20</w:t>
            </w:r>
            <w:r w:rsidR="002B64F8">
              <w:t>20</w:t>
            </w:r>
            <w:r w:rsidR="00052437" w:rsidRPr="00F1697B">
              <w:t>./20</w:t>
            </w:r>
            <w:r w:rsidR="002B64F8">
              <w:t>21</w:t>
            </w:r>
            <w:r w:rsidR="00052437" w:rsidRPr="00F1697B">
              <w:t>.</w:t>
            </w:r>
            <w:r w:rsidR="00052437">
              <w:t xml:space="preserve"> </w:t>
            </w:r>
            <w:r w:rsidR="00052437" w:rsidRPr="00F1697B">
              <w:t>gada sacensību sezonai jau ir piešķirtas (šo sporta sacensību rīkošana tieši Latvijā (Bobsleja un kamaniņu trasē „Sigulda”) ir iekļauta attiecīgā sporta veida starptautiskās sporta federācijas (FIL un IBSF) kalendārā), turklāt tās ir piešķīrusi neatkarīga trešā puse (attiecīgā sporta veida starptautiskā sporta federācija – FIL un IBSF), kā rezultātā citas valstis un trases, kuras nav iekļautas attiecīgā sporta veida starptautisko sporta sacensību kalendārā 20</w:t>
            </w:r>
            <w:r w:rsidR="002B64F8">
              <w:t>20</w:t>
            </w:r>
            <w:r w:rsidR="00052437" w:rsidRPr="00F1697B">
              <w:t>./20</w:t>
            </w:r>
            <w:r w:rsidR="00052437">
              <w:t>2</w:t>
            </w:r>
            <w:r w:rsidR="002B64F8">
              <w:t>1</w:t>
            </w:r>
            <w:r w:rsidR="00052437" w:rsidRPr="00F1697B">
              <w:t>.</w:t>
            </w:r>
            <w:r w:rsidR="00052437">
              <w:t xml:space="preserve"> </w:t>
            </w:r>
            <w:r w:rsidR="00052437" w:rsidRPr="00F1697B">
              <w:t xml:space="preserve">gada sacensību sezonai, nevar organizēt šāda veida sporta sacensības. Iepriekšminētā rezultātā secināms, ka papildus finansējuma piešķiršana </w:t>
            </w:r>
            <w:r w:rsidR="002B64F8">
              <w:rPr>
                <w:noProof/>
              </w:rPr>
              <w:t xml:space="preserve">divu 2021. gada IBSF pasaules kausa posmu skeletonā un bobslejā divniekiem, 2021. gada IBSF Eiropas kausa posma skeletonā un bobslejā divniekiem un 2021. gada FIL pasaules kausa posma (arī Eiropas čempionāta) kamaniņu sportā organizēšanai </w:t>
            </w:r>
            <w:r w:rsidR="00052437" w:rsidRPr="00F1697B">
              <w:t xml:space="preserve">vienlaikus neatbilst </w:t>
            </w:r>
            <w:r w:rsidR="00195795">
              <w:t xml:space="preserve">arī </w:t>
            </w:r>
            <w:r w:rsidR="00052437" w:rsidRPr="00F1697B">
              <w:t xml:space="preserve">visām Komercdarbības atbalsta </w:t>
            </w:r>
            <w:r w:rsidR="00052437" w:rsidRPr="00F1697B">
              <w:lastRenderedPageBreak/>
              <w:t>kontroles likuma 5.</w:t>
            </w:r>
            <w:r w:rsidR="00052437">
              <w:t xml:space="preserve"> </w:t>
            </w:r>
            <w:r w:rsidR="00052437" w:rsidRPr="00F1697B">
              <w:t>pantā noteiktajām pazīmēm un attiecīgi minētais atbalsts nav uzskatāms par komercdarbības atbalstu.</w:t>
            </w:r>
          </w:p>
          <w:p w14:paraId="500FE482" w14:textId="0CBE2DCA" w:rsidR="00730551" w:rsidRDefault="00730551" w:rsidP="00052437">
            <w:pPr>
              <w:ind w:left="120" w:right="118" w:firstLine="709"/>
              <w:jc w:val="both"/>
              <w:rPr>
                <w:noProof/>
              </w:rPr>
            </w:pPr>
            <w:r w:rsidRPr="00F1697B">
              <w:t>Papildus minētam uzsverams, ka šo sporta sacensību organizēšana tiešā veidā ir saistīta ar valsts politikas īstenošanu sporta nozarē.</w:t>
            </w:r>
          </w:p>
          <w:p w14:paraId="3D3928B1" w14:textId="77777777" w:rsidR="00052437" w:rsidRDefault="00052437" w:rsidP="00214C22">
            <w:pPr>
              <w:ind w:left="141" w:right="142" w:firstLine="567"/>
              <w:jc w:val="both"/>
            </w:pPr>
          </w:p>
          <w:p w14:paraId="5584D025" w14:textId="1B368853" w:rsidR="00052437" w:rsidRPr="00052437" w:rsidRDefault="00052437" w:rsidP="00052437">
            <w:pPr>
              <w:ind w:left="141" w:right="142"/>
              <w:jc w:val="center"/>
              <w:rPr>
                <w:i/>
              </w:rPr>
            </w:pPr>
            <w:r w:rsidRPr="00052437">
              <w:rPr>
                <w:i/>
              </w:rPr>
              <w:t xml:space="preserve">Par pārdali uz budžeta programmu 07.00.00 „Informācijas un komunikāciju tehnoloģiju uzturēšana un attīstība”, lai nodrošinātu </w:t>
            </w:r>
            <w:r>
              <w:rPr>
                <w:i/>
              </w:rPr>
              <w:t>IZM</w:t>
            </w:r>
            <w:r w:rsidRPr="00052437">
              <w:rPr>
                <w:i/>
              </w:rPr>
              <w:t xml:space="preserve"> resorā esošo informācijas sistēmu un centralizēto infrastruktūras resursu uzturēšanu</w:t>
            </w:r>
          </w:p>
          <w:p w14:paraId="6331F880" w14:textId="77777777" w:rsidR="00052437" w:rsidRDefault="00052437" w:rsidP="00095B14">
            <w:pPr>
              <w:ind w:left="141" w:right="142" w:firstLine="567"/>
              <w:jc w:val="both"/>
            </w:pPr>
          </w:p>
          <w:p w14:paraId="56E0FBAD" w14:textId="56B7CA7D" w:rsidR="00052437" w:rsidRPr="001A1874" w:rsidRDefault="001A1874" w:rsidP="00052437">
            <w:pPr>
              <w:ind w:left="141" w:right="142" w:firstLine="567"/>
              <w:jc w:val="both"/>
            </w:pPr>
            <w:r>
              <w:t>Ziņojumā (tā 2. pielikumā) kā viens no ietaupīto līdzekļu pārdales mērķiem norādīta pārdale IZM i</w:t>
            </w:r>
            <w:r w:rsidRPr="001A1874">
              <w:t xml:space="preserve">nformācijas un komunikāciju tehnoloģiju uzturēšanai un attīstībai 253 000 </w:t>
            </w:r>
            <w:r w:rsidRPr="001A1874">
              <w:rPr>
                <w:i/>
              </w:rPr>
              <w:t>euro</w:t>
            </w:r>
            <w:r>
              <w:t xml:space="preserve"> apmērā.</w:t>
            </w:r>
          </w:p>
          <w:p w14:paraId="254A7173" w14:textId="0B0F1016" w:rsidR="00095B14" w:rsidRDefault="00095B14" w:rsidP="00095B14">
            <w:pPr>
              <w:ind w:left="141" w:right="142" w:firstLine="567"/>
              <w:jc w:val="both"/>
            </w:pPr>
            <w:r>
              <w:t xml:space="preserve">Atbilstoši Ministru kabineta 2019. gada 25. jūnija noteikumiem Nr. 276 “Valsts izglītības informācijas sistēmas noteikumi” izglītības iestādes Valsts izglītības informācijas sistēmā (turpmāk – VIIS) ievada informāciju par oficiālo statistiku. Šobrīd izglītības iestādes valsts statistikas pārskatus aizpilda </w:t>
            </w:r>
            <w:r w:rsidRPr="001A1874">
              <w:rPr>
                <w:i/>
              </w:rPr>
              <w:t>Excel</w:t>
            </w:r>
            <w:r>
              <w:t xml:space="preserve"> failā un pēc tam šos failus augšuplādē VIIS sistēmā, kur pārskati tiek uzglabāti un attēloti atsevišķu failu veidā. Lai mazinātu administratīvo slogu izglītības iestādēm un padarītu pārskatu aizpildīšanu ērtāku, kā arī pēc tam ar sistēmas līdzekļiem būtu ērti iegūt datu kopsavilkumus no valsts statistikas pārskatiem, nepieciešams  pāriet uz valsts statistikas pārskatu datu ievadi VIIS ekrānformās, kā arī izveidot valsts un pašvaldības lietotājiem ērti izmantojamu kontroles skatu par pārskatu aizpildīšanas un iesniegšanas statusu.</w:t>
            </w:r>
          </w:p>
          <w:p w14:paraId="33EF1116" w14:textId="02ED595B" w:rsidR="00095B14" w:rsidRDefault="00095B14" w:rsidP="00095B14">
            <w:pPr>
              <w:ind w:left="141" w:right="142" w:firstLine="567"/>
              <w:jc w:val="both"/>
            </w:pPr>
            <w:r>
              <w:t>Šobrīd I</w:t>
            </w:r>
            <w:r w:rsidR="001A1874">
              <w:t xml:space="preserve">ZM nereti no fiziskām personām </w:t>
            </w:r>
            <w:r>
              <w:t xml:space="preserve">tiek saņemti pieprasījumi sniegt informāciju par to, kad un kāpēc konkrētās </w:t>
            </w:r>
            <w:r w:rsidR="001A1874">
              <w:t>fiziskās personas</w:t>
            </w:r>
            <w:r>
              <w:t xml:space="preserve"> dati apstrādāti VIIS. Jau šobrīd izveidots interfeiss, lai VIIS administrators varētu apskatīt ar </w:t>
            </w:r>
            <w:r w:rsidR="001A1874">
              <w:t xml:space="preserve">fiziskās personas </w:t>
            </w:r>
            <w:r>
              <w:t xml:space="preserve">datiem veiktās darbības VIIS, bet šo datu auditāciju nepieciešams papildināt ar iespēju ērtā veidā redzēt, kura tīmekļa pakalpe saņēmusi datus par konkrēto </w:t>
            </w:r>
            <w:r w:rsidR="001A1874">
              <w:t>fizisko personu</w:t>
            </w:r>
            <w:r>
              <w:t xml:space="preserve">. Līdz šim šis darbs bija jāveic manuāli, jo bija redzams tikai tas, ka tīmekļa pakalpe noteiktā datumā datus saņēmusi, bet informācija par konkrētām </w:t>
            </w:r>
            <w:r w:rsidR="002A5CBD">
              <w:t>fiziskās personām</w:t>
            </w:r>
            <w:r>
              <w:t xml:space="preserve"> nebija ērti pieejama.</w:t>
            </w:r>
          </w:p>
          <w:p w14:paraId="756F3754" w14:textId="6689BA98" w:rsidR="00095B14" w:rsidRDefault="00095B14" w:rsidP="00095B14">
            <w:pPr>
              <w:ind w:left="141" w:right="142" w:firstLine="567"/>
              <w:jc w:val="both"/>
            </w:pPr>
            <w:r>
              <w:t xml:space="preserve">Esošie IZM tīkla komutatori ir fiziski un morāli novecojuši (vecums pārsniedz 10 gadus) un uz doto brīdi ir bijuši vairāki incidenti, kad tīkla komutatoru nekorektas darbības vai bojājumu dēļ ir traucēta tīkla darbība, kā rezultātā </w:t>
            </w:r>
            <w:r w:rsidR="002A5CBD">
              <w:t xml:space="preserve">IZM </w:t>
            </w:r>
            <w:r>
              <w:t>darbinieki nevar pilnvērtīgi pildīt savus pienākumus. Tādēļ plānots iegādāties jaunus tīkla komutatorus.</w:t>
            </w:r>
          </w:p>
          <w:p w14:paraId="31B563FC" w14:textId="39109B78" w:rsidR="00095B14" w:rsidRDefault="00095B14" w:rsidP="00095B14">
            <w:pPr>
              <w:ind w:left="141" w:right="142" w:firstLine="567"/>
              <w:jc w:val="both"/>
            </w:pPr>
            <w:r>
              <w:t xml:space="preserve">IZM resorā centralizētajā infrastruktūrā tiek izvietotas arvien jaunas sistēmas un platformas, kā arī papildinātas un paplašinātas esošās. Lai nodrošinātu sistēmu darbības nepārtrauktību un atjaunošanas spēju, plānots iegādāties datu rezerves kopiju veidošanas un glabāšanas iekārtu, kas nodrošinātu regulāru </w:t>
            </w:r>
            <w:r w:rsidR="002A5CBD">
              <w:t>IZM</w:t>
            </w:r>
            <w:r>
              <w:t xml:space="preserve"> informācijas sistēmu rezerves kopiju uzkrāšanu un glabāšanu drošā veidā (šifrētā) uz magnētiskajām lentēm, lai nodrošinātu rezerves kopiju drošu glabāšanu ārpus datu centriem. Papildus rezerves kopiju risinājuma uzlabošanai, lai turpinātu drošības prasību nodrošināšanas un pilnveides procesu, tiks veikta sistēmu un iekštīkla drošības skenēšana.</w:t>
            </w:r>
          </w:p>
          <w:p w14:paraId="75D1B600" w14:textId="25B4B6AE" w:rsidR="00095B14" w:rsidRDefault="003C5CDD" w:rsidP="00214C22">
            <w:pPr>
              <w:ind w:left="141" w:right="142" w:firstLine="567"/>
              <w:jc w:val="both"/>
              <w:rPr>
                <w:noProof/>
              </w:rPr>
            </w:pPr>
            <w:r>
              <w:rPr>
                <w:noProof/>
              </w:rPr>
              <w:t xml:space="preserve">Saskaņā ar </w:t>
            </w:r>
            <w:r w:rsidRPr="00816929">
              <w:t>Ministru kabineta 20</w:t>
            </w:r>
            <w:r>
              <w:t>20</w:t>
            </w:r>
            <w:r w:rsidRPr="00816929">
              <w:t>.</w:t>
            </w:r>
            <w:r>
              <w:t xml:space="preserve"> gada 27</w:t>
            </w:r>
            <w:r w:rsidRPr="00816929">
              <w:t>.</w:t>
            </w:r>
            <w:r>
              <w:t xml:space="preserve"> oktobra sēdes protokollēmuma „Informatīvais ziņojums „</w:t>
            </w:r>
            <w:r w:rsidRPr="00C25FFD">
              <w:t>Par prognozēto līdzekļu neapguvi un ekonomiju izdevumiem no dotācijas no vispārējiem ieņēmumiem valsts budžeta programmās/apakšprogra</w:t>
            </w:r>
            <w:r>
              <w:t>mmās (pamatfunkcijām) 2020.gadā”” (</w:t>
            </w:r>
            <w:r w:rsidRPr="007C474B">
              <w:t>prot Nr.</w:t>
            </w:r>
            <w:r>
              <w:t>65</w:t>
            </w:r>
            <w:r w:rsidRPr="007C474B">
              <w:t xml:space="preserve">, </w:t>
            </w:r>
            <w:r>
              <w:t>34</w:t>
            </w:r>
            <w:r w:rsidRPr="007C474B">
              <w:t>.§</w:t>
            </w:r>
            <w:r>
              <w:t xml:space="preserve">) 6. punktu </w:t>
            </w:r>
            <w:r>
              <w:rPr>
                <w:noProof/>
              </w:rPr>
              <w:t xml:space="preserve">Ziņojuma </w:t>
            </w:r>
            <w:r w:rsidRPr="003C5CDD">
              <w:rPr>
                <w:noProof/>
              </w:rPr>
              <w:t>2.</w:t>
            </w:r>
            <w:r>
              <w:rPr>
                <w:noProof/>
              </w:rPr>
              <w:t xml:space="preserve"> </w:t>
            </w:r>
            <w:r w:rsidRPr="003C5CDD">
              <w:rPr>
                <w:noProof/>
              </w:rPr>
              <w:t xml:space="preserve">pielikumā minētā finansējuma pārdales veicamas, ņemot vērā šādus kritērijus: primāri nepieciešams ar </w:t>
            </w:r>
            <w:r w:rsidRPr="003C5CDD">
              <w:rPr>
                <w:noProof/>
              </w:rPr>
              <w:lastRenderedPageBreak/>
              <w:t>Covid-19 saistīto izdevumu segšanai; pamatā atslogo 2021.gada budžetu; ir pilnībā īstenojami 2020.</w:t>
            </w:r>
            <w:r>
              <w:rPr>
                <w:noProof/>
              </w:rPr>
              <w:t xml:space="preserve"> </w:t>
            </w:r>
            <w:r w:rsidRPr="003C5CDD">
              <w:rPr>
                <w:noProof/>
              </w:rPr>
              <w:t>gadā; sasniedzot mērķi, nerada vajadzību pēc papildus līdzekļiem 2021.</w:t>
            </w:r>
            <w:r>
              <w:rPr>
                <w:noProof/>
              </w:rPr>
              <w:t xml:space="preserve"> </w:t>
            </w:r>
            <w:r w:rsidRPr="003C5CDD">
              <w:rPr>
                <w:noProof/>
              </w:rPr>
              <w:t>gadā un turpmākajos gados; nepieciešams saistību izpildei.</w:t>
            </w:r>
            <w:r>
              <w:rPr>
                <w:noProof/>
              </w:rPr>
              <w:t xml:space="preserve"> </w:t>
            </w:r>
            <w:r w:rsidR="00F83D9D">
              <w:rPr>
                <w:noProof/>
              </w:rPr>
              <w:t>L</w:t>
            </w:r>
            <w:r>
              <w:rPr>
                <w:noProof/>
              </w:rPr>
              <w:t xml:space="preserve">īdzekļu pārdale </w:t>
            </w:r>
            <w:r w:rsidR="002A5CBD" w:rsidRPr="002A5CBD">
              <w:rPr>
                <w:noProof/>
              </w:rPr>
              <w:t>uz budžeta programmu 07.00.00 „Informācijas un komunikāciju tehnoloģiju uzturēšana un attīstība”</w:t>
            </w:r>
            <w:r w:rsidR="002A5CBD">
              <w:rPr>
                <w:noProof/>
              </w:rPr>
              <w:t xml:space="preserve"> </w:t>
            </w:r>
            <w:r>
              <w:rPr>
                <w:noProof/>
              </w:rPr>
              <w:t xml:space="preserve">atslogo 2021. gada budžetu, ir pilnībā īstenojama 2020. gadā, kā arī, sasniedzot mērķi, </w:t>
            </w:r>
            <w:r w:rsidRPr="003C5CDD">
              <w:rPr>
                <w:noProof/>
              </w:rPr>
              <w:t>nerada vajadzību pēc papildus līdzekļiem 2021.</w:t>
            </w:r>
            <w:r>
              <w:rPr>
                <w:noProof/>
              </w:rPr>
              <w:t xml:space="preserve"> </w:t>
            </w:r>
            <w:r w:rsidRPr="003C5CDD">
              <w:rPr>
                <w:noProof/>
              </w:rPr>
              <w:t>gadā un turpmākajos gados</w:t>
            </w:r>
            <w:r>
              <w:rPr>
                <w:noProof/>
              </w:rPr>
              <w:t>.</w:t>
            </w:r>
          </w:p>
          <w:p w14:paraId="7A5533E9" w14:textId="77777777" w:rsidR="00095B14" w:rsidRDefault="00095B14" w:rsidP="00214C22">
            <w:pPr>
              <w:ind w:left="141" w:right="142" w:firstLine="567"/>
              <w:jc w:val="both"/>
            </w:pPr>
          </w:p>
          <w:p w14:paraId="4A2A053D" w14:textId="4F133D4F" w:rsidR="00287551" w:rsidRPr="00945164" w:rsidRDefault="00214C22" w:rsidP="00513156">
            <w:pPr>
              <w:ind w:left="141" w:right="142" w:firstLine="567"/>
              <w:jc w:val="both"/>
            </w:pPr>
            <w:r>
              <w:t xml:space="preserve">Ievērojot minēto, </w:t>
            </w:r>
            <w:r w:rsidR="002A5CBD">
              <w:t>l</w:t>
            </w:r>
            <w:r w:rsidR="002A5CBD" w:rsidRPr="002A5CBD">
              <w:t>ai nodrošinātu lietderīgu rīcību ar finansēšanas naudas plūsmas maiņas, kā arī pārskaitīto līdzekļu atgūšanas rezultātā brīvpusdienu nodrošināšanai 1., 2., 3. un 4. klases izglītojamiem ietaupītajiem valsts budžeta līdzekļiem</w:t>
            </w:r>
            <w:r w:rsidR="002A5CBD">
              <w:t xml:space="preserve">, </w:t>
            </w:r>
            <w:r w:rsidR="008A7790">
              <w:t>ņemot vērā Likuma par budžetu un finanšu vadību 9. panta 13.</w:t>
            </w:r>
            <w:r w:rsidR="008A7790" w:rsidRPr="00C820C7">
              <w:rPr>
                <w:vertAlign w:val="superscript"/>
              </w:rPr>
              <w:t>3</w:t>
            </w:r>
            <w:r w:rsidR="008A7790">
              <w:t xml:space="preserve"> daļas 3. punktā noteikto (par finanšu ministra tiesībām veikt a</w:t>
            </w:r>
            <w:r w:rsidR="008A7790" w:rsidRPr="008A7790">
              <w:t>propriācijas pārdali starp programmām, apakšprogrammām un budžeta izdevumu kodiem atbilstoši ekonomiskajām kategorijām budžeta resoram gadskārtējā valsts budžeta likumā noteiktās apropriācijas ietvaros, ja ir pieņemts Ministru kabineta lēmums par apropriācijas pārdali</w:t>
            </w:r>
            <w:r w:rsidR="008A7790">
              <w:t xml:space="preserve"> un </w:t>
            </w:r>
            <w:r w:rsidR="008A7790" w:rsidRPr="008A7790">
              <w:t>Saeimas Budžeta un finanšu (nodokļu) komisija piecu darba dienu laikā no attiecīgās informācijas saņemšanas dienas nav iebildusi pret apropriācijas pārdali</w:t>
            </w:r>
            <w:r w:rsidR="008A7790">
              <w:t xml:space="preserve">), </w:t>
            </w:r>
            <w:r w:rsidR="009C6E17">
              <w:t xml:space="preserve">IZM rosina veikt </w:t>
            </w:r>
            <w:r w:rsidR="00EE0826">
              <w:t>apropriācijas</w:t>
            </w:r>
            <w:r w:rsidR="001D0FA6">
              <w:t xml:space="preserve"> </w:t>
            </w:r>
            <w:r w:rsidR="00EE0826">
              <w:t>pārdal</w:t>
            </w:r>
            <w:r w:rsidR="009C6E17">
              <w:t>i</w:t>
            </w:r>
            <w:r w:rsidR="00EE0826" w:rsidRPr="00EE0826">
              <w:t xml:space="preserve"> no </w:t>
            </w:r>
            <w:r w:rsidR="00EE0826">
              <w:t>IZM</w:t>
            </w:r>
            <w:r w:rsidR="00A10B31">
              <w:t xml:space="preserve"> budžeta apakšprogramm</w:t>
            </w:r>
            <w:r w:rsidR="002A5CBD">
              <w:t xml:space="preserve">as </w:t>
            </w:r>
            <w:r w:rsidR="00A10B31">
              <w:t>01.07.00 „Dotācija brīvpusdienu nodrošināšanai 1., 2., 3. un 4. klases izglītojamiem”</w:t>
            </w:r>
            <w:r w:rsidR="002A5CBD">
              <w:t xml:space="preserve"> 385 000 </w:t>
            </w:r>
            <w:r w:rsidR="002A5CBD" w:rsidRPr="002A5CBD">
              <w:rPr>
                <w:i/>
              </w:rPr>
              <w:t>euro</w:t>
            </w:r>
            <w:r w:rsidR="002A5CBD">
              <w:t xml:space="preserve"> apmērā uz budžeta apakšprogrammu 09.16.00 „Dotācija nacionālās nozīmes starptautisku sporta pasākumu organizēšanai Latvijā” 2020. un 2021. gadā Latvijā paredzēto nacionālas nozīmes starptautisku sporta sacensību organizēšanas izdevumu segšanai 2020. gadā, kā arī 253 000 </w:t>
            </w:r>
            <w:r w:rsidR="002A5CBD" w:rsidRPr="002A5CBD">
              <w:rPr>
                <w:i/>
              </w:rPr>
              <w:t>euro</w:t>
            </w:r>
            <w:r w:rsidR="002A5CBD">
              <w:t xml:space="preserve"> apmērā uz budžeta programmu 07.00.00 „Informācijas un komunikāciju tehnoloģiju uzturēšana un attīstība”, lai nodrošinātu IZM resorā esošo informācijas sistēmu un centralizēto infrastruktūras resursu uzturēšanu. Kopumā apropriācijas pārdale tiek veikta 638 000 </w:t>
            </w:r>
            <w:r w:rsidR="002A5CBD" w:rsidRPr="002A5CBD">
              <w:rPr>
                <w:i/>
              </w:rPr>
              <w:t>euro</w:t>
            </w:r>
            <w:r w:rsidR="002A5CBD">
              <w:t xml:space="preserve"> apmērā.</w:t>
            </w:r>
          </w:p>
        </w:tc>
      </w:tr>
      <w:tr w:rsidR="00585B7B" w:rsidRPr="00317B6A" w14:paraId="42AC8649" w14:textId="77777777" w:rsidTr="000E5748">
        <w:trPr>
          <w:trHeight w:val="476"/>
        </w:trPr>
        <w:tc>
          <w:tcPr>
            <w:tcW w:w="562" w:type="dxa"/>
          </w:tcPr>
          <w:p w14:paraId="308FAEA2" w14:textId="2832DACA" w:rsidR="00585B7B" w:rsidRPr="00317B6A" w:rsidRDefault="00005A9D" w:rsidP="00BD696A">
            <w:pPr>
              <w:pStyle w:val="naiskr"/>
              <w:spacing w:before="0" w:after="0"/>
              <w:jc w:val="center"/>
            </w:pPr>
            <w:r w:rsidRPr="00317B6A">
              <w:lastRenderedPageBreak/>
              <w:t>3.</w:t>
            </w:r>
          </w:p>
        </w:tc>
        <w:tc>
          <w:tcPr>
            <w:tcW w:w="1884" w:type="dxa"/>
          </w:tcPr>
          <w:p w14:paraId="132B3A4C" w14:textId="77777777"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7614" w:type="dxa"/>
          </w:tcPr>
          <w:p w14:paraId="7C6826FC" w14:textId="707281D5" w:rsidR="00643E6C" w:rsidRPr="00317B6A" w:rsidRDefault="00BB3C51" w:rsidP="00AF3B4A">
            <w:pPr>
              <w:ind w:left="101" w:right="142"/>
              <w:jc w:val="both"/>
            </w:pPr>
            <w:r>
              <w:t xml:space="preserve">Rīkojuma </w:t>
            </w:r>
            <w:r w:rsidR="00B73BB9">
              <w:t xml:space="preserve">projektu </w:t>
            </w:r>
            <w:r w:rsidR="00DC332F" w:rsidRPr="00317B6A">
              <w:t>izstrādāja IZM.</w:t>
            </w:r>
            <w:r w:rsidR="00790CFC">
              <w:t xml:space="preserve"> </w:t>
            </w:r>
            <w:r>
              <w:t xml:space="preserve">Rīkojuma </w:t>
            </w:r>
            <w:r w:rsidR="00790CFC">
              <w:t>projekta izstrādes procesā notikušas konsu</w:t>
            </w:r>
            <w:r w:rsidR="0065105A">
              <w:t xml:space="preserve">ltācijas ar </w:t>
            </w:r>
            <w:r w:rsidR="00AF3B4A">
              <w:t>LBSF un LKSF</w:t>
            </w:r>
            <w:r w:rsidR="00665538">
              <w:t>.</w:t>
            </w:r>
          </w:p>
        </w:tc>
      </w:tr>
      <w:tr w:rsidR="00585B7B" w:rsidRPr="00317B6A" w14:paraId="26593524" w14:textId="77777777" w:rsidTr="000E5748">
        <w:tc>
          <w:tcPr>
            <w:tcW w:w="562" w:type="dxa"/>
          </w:tcPr>
          <w:p w14:paraId="6FA8785B" w14:textId="77777777" w:rsidR="00585B7B" w:rsidRPr="00317B6A" w:rsidRDefault="00005A9D" w:rsidP="00BD696A">
            <w:pPr>
              <w:pStyle w:val="naiskr"/>
              <w:spacing w:before="0" w:after="0"/>
              <w:jc w:val="center"/>
            </w:pPr>
            <w:r w:rsidRPr="00317B6A">
              <w:t>4</w:t>
            </w:r>
            <w:r w:rsidR="00585B7B" w:rsidRPr="00317B6A">
              <w:t>.</w:t>
            </w:r>
          </w:p>
        </w:tc>
        <w:tc>
          <w:tcPr>
            <w:tcW w:w="1884" w:type="dxa"/>
          </w:tcPr>
          <w:p w14:paraId="2D1E3318" w14:textId="77777777" w:rsidR="00585B7B" w:rsidRPr="00317B6A" w:rsidRDefault="00585B7B" w:rsidP="00916055">
            <w:pPr>
              <w:pStyle w:val="naiskr"/>
              <w:spacing w:before="0" w:after="0"/>
              <w:ind w:left="141"/>
            </w:pPr>
            <w:r w:rsidRPr="00317B6A">
              <w:t>Cita informācija</w:t>
            </w:r>
          </w:p>
        </w:tc>
        <w:tc>
          <w:tcPr>
            <w:tcW w:w="7614" w:type="dxa"/>
          </w:tcPr>
          <w:p w14:paraId="7A9AF941" w14:textId="6DF4B11D" w:rsidR="002D5B95" w:rsidRPr="00317B6A" w:rsidRDefault="00EB687E" w:rsidP="00316143">
            <w:pPr>
              <w:ind w:left="114" w:right="127"/>
              <w:jc w:val="both"/>
            </w:pPr>
            <w:r w:rsidRPr="00EB687E">
              <w:t>Rīkojuma projekt</w:t>
            </w:r>
            <w:r w:rsidR="00AF3B4A">
              <w:t>s</w:t>
            </w:r>
            <w:r w:rsidRPr="00EB687E">
              <w:t xml:space="preserve"> tiešā veidā attiecas uz budžeta un finanšu politiku</w:t>
            </w:r>
            <w:r w:rsidR="00665538">
              <w:t>. Pastarpināti Rīkojuma projekt</w:t>
            </w:r>
            <w:r w:rsidR="00AF3B4A">
              <w:t>s</w:t>
            </w:r>
            <w:r w:rsidR="0024757F" w:rsidRPr="00EB687E">
              <w:t xml:space="preserve"> </w:t>
            </w:r>
            <w:r w:rsidRPr="00EB687E">
              <w:t>attiecas uz tūrisma, sporta un brīvā l</w:t>
            </w:r>
            <w:r w:rsidR="00AF3B4A">
              <w:t>aika politiku (sporta politiku), izglītības un zinātnes politiku un p</w:t>
            </w:r>
            <w:r w:rsidR="00316143">
              <w:t>ubliskās pārvaldes politiku</w:t>
            </w:r>
            <w:r w:rsidR="00AF3B4A">
              <w:t>.</w:t>
            </w:r>
          </w:p>
        </w:tc>
      </w:tr>
    </w:tbl>
    <w:p w14:paraId="49FB10F9" w14:textId="77777777" w:rsidR="00253AC2" w:rsidRDefault="00253AC2"/>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66A35" w:rsidRPr="00317B6A" w14:paraId="014B972D" w14:textId="77777777" w:rsidTr="0053721C">
        <w:tc>
          <w:tcPr>
            <w:tcW w:w="10060" w:type="dxa"/>
            <w:vAlign w:val="center"/>
          </w:tcPr>
          <w:p w14:paraId="25DD5253" w14:textId="0FCE7D06" w:rsidR="00C66A35" w:rsidRDefault="00C66A35" w:rsidP="001B2A96">
            <w:pPr>
              <w:pStyle w:val="naisnod"/>
              <w:spacing w:before="0" w:after="0"/>
            </w:pPr>
            <w:r w:rsidRPr="00C3572A">
              <w:t xml:space="preserve">II. Tiesību akta projekta ietekme uz sabiedrību, tautsaimniecības attīstību un </w:t>
            </w:r>
          </w:p>
          <w:p w14:paraId="36AC0BC0" w14:textId="77777777" w:rsidR="00C66A35" w:rsidRPr="00317B6A" w:rsidRDefault="00C66A35" w:rsidP="001B2A96">
            <w:pPr>
              <w:pStyle w:val="naisnod"/>
              <w:spacing w:before="0" w:after="0"/>
            </w:pPr>
            <w:r w:rsidRPr="00C3572A">
              <w:t>administratīvo slogu</w:t>
            </w:r>
          </w:p>
        </w:tc>
      </w:tr>
      <w:tr w:rsidR="00C66A35" w:rsidRPr="00B24229" w14:paraId="4EB79942" w14:textId="77777777" w:rsidTr="0053721C">
        <w:trPr>
          <w:trHeight w:val="273"/>
        </w:trPr>
        <w:tc>
          <w:tcPr>
            <w:tcW w:w="10060" w:type="dxa"/>
          </w:tcPr>
          <w:p w14:paraId="4BF34555" w14:textId="4D0DCDA9" w:rsidR="00C66A35" w:rsidRPr="00B24229" w:rsidRDefault="00B5403D" w:rsidP="001B2A96">
            <w:pPr>
              <w:ind w:right="127"/>
              <w:jc w:val="center"/>
            </w:pPr>
            <w:r>
              <w:t>Projekti</w:t>
            </w:r>
            <w:r w:rsidR="00C66A35" w:rsidRPr="00C3572A">
              <w:t xml:space="preserve"> šo jomu neskar</w:t>
            </w:r>
          </w:p>
        </w:tc>
      </w:tr>
    </w:tbl>
    <w:p w14:paraId="57D827AB" w14:textId="77777777" w:rsidR="00A10B31" w:rsidRDefault="00A10B31"/>
    <w:p w14:paraId="1926BF50" w14:textId="77777777" w:rsidR="0048436B" w:rsidRDefault="0048436B"/>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316"/>
        <w:gridCol w:w="1418"/>
        <w:gridCol w:w="1191"/>
        <w:gridCol w:w="1393"/>
        <w:gridCol w:w="1129"/>
        <w:gridCol w:w="1294"/>
        <w:gridCol w:w="1177"/>
      </w:tblGrid>
      <w:tr w:rsidR="00DA708F" w:rsidRPr="0033617F" w14:paraId="23001469" w14:textId="77777777" w:rsidTr="00256777">
        <w:trPr>
          <w:trHeight w:val="361"/>
          <w:jc w:val="center"/>
        </w:trPr>
        <w:tc>
          <w:tcPr>
            <w:tcW w:w="10614" w:type="dxa"/>
            <w:gridSpan w:val="8"/>
            <w:vAlign w:val="center"/>
          </w:tcPr>
          <w:p w14:paraId="53C40BA8" w14:textId="77777777" w:rsidR="00DA708F" w:rsidRPr="0033617F" w:rsidRDefault="00DA708F" w:rsidP="001B2A96">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256777" w:rsidRPr="0033617F" w14:paraId="4EF90857" w14:textId="77777777" w:rsidTr="00256777">
        <w:trPr>
          <w:jc w:val="center"/>
        </w:trPr>
        <w:tc>
          <w:tcPr>
            <w:tcW w:w="1696" w:type="dxa"/>
            <w:vMerge w:val="restart"/>
            <w:vAlign w:val="center"/>
          </w:tcPr>
          <w:p w14:paraId="551BB498" w14:textId="77777777" w:rsidR="00DA708F" w:rsidRPr="0033617F" w:rsidRDefault="00DA708F" w:rsidP="001B2A96">
            <w:pPr>
              <w:jc w:val="center"/>
              <w:rPr>
                <w:b/>
              </w:rPr>
            </w:pPr>
            <w:r w:rsidRPr="0033617F">
              <w:rPr>
                <w:b/>
              </w:rPr>
              <w:t>Rādītāji</w:t>
            </w:r>
          </w:p>
        </w:tc>
        <w:tc>
          <w:tcPr>
            <w:tcW w:w="2734" w:type="dxa"/>
            <w:gridSpan w:val="2"/>
            <w:vMerge w:val="restart"/>
            <w:vAlign w:val="center"/>
          </w:tcPr>
          <w:p w14:paraId="22EC0AC1" w14:textId="77777777" w:rsidR="00DA708F" w:rsidRPr="0033617F" w:rsidRDefault="008C2D86" w:rsidP="001B2A96">
            <w:pPr>
              <w:jc w:val="center"/>
              <w:rPr>
                <w:b/>
              </w:rPr>
            </w:pPr>
            <w:r>
              <w:rPr>
                <w:b/>
              </w:rPr>
              <w:t>2020</w:t>
            </w:r>
          </w:p>
        </w:tc>
        <w:tc>
          <w:tcPr>
            <w:tcW w:w="6184" w:type="dxa"/>
            <w:gridSpan w:val="5"/>
            <w:vAlign w:val="center"/>
          </w:tcPr>
          <w:p w14:paraId="5465584B" w14:textId="77777777" w:rsidR="00DA708F" w:rsidRPr="0033617F" w:rsidRDefault="00DA708F" w:rsidP="001B2A96">
            <w:pPr>
              <w:jc w:val="center"/>
            </w:pPr>
            <w:r w:rsidRPr="0033617F">
              <w:t>Turpmākie trīs gadi (</w:t>
            </w:r>
            <w:r w:rsidRPr="0033617F">
              <w:rPr>
                <w:i/>
              </w:rPr>
              <w:t>euro</w:t>
            </w:r>
            <w:r w:rsidRPr="0033617F">
              <w:t>)</w:t>
            </w:r>
          </w:p>
        </w:tc>
      </w:tr>
      <w:tr w:rsidR="00256777" w:rsidRPr="0033617F" w14:paraId="5789D37E" w14:textId="77777777" w:rsidTr="00256777">
        <w:trPr>
          <w:jc w:val="center"/>
        </w:trPr>
        <w:tc>
          <w:tcPr>
            <w:tcW w:w="1696" w:type="dxa"/>
            <w:vMerge/>
            <w:vAlign w:val="center"/>
          </w:tcPr>
          <w:p w14:paraId="42C1DC4E" w14:textId="77777777" w:rsidR="00DA708F" w:rsidRPr="0033617F" w:rsidRDefault="00DA708F" w:rsidP="001B2A96">
            <w:pPr>
              <w:jc w:val="center"/>
              <w:rPr>
                <w:b/>
                <w:i/>
              </w:rPr>
            </w:pPr>
          </w:p>
        </w:tc>
        <w:tc>
          <w:tcPr>
            <w:tcW w:w="2734" w:type="dxa"/>
            <w:gridSpan w:val="2"/>
            <w:vMerge/>
            <w:vAlign w:val="center"/>
          </w:tcPr>
          <w:p w14:paraId="222D68FD" w14:textId="77777777" w:rsidR="00DA708F" w:rsidRPr="0033617F" w:rsidRDefault="00DA708F" w:rsidP="001B2A96">
            <w:pPr>
              <w:jc w:val="center"/>
              <w:rPr>
                <w:b/>
                <w:i/>
              </w:rPr>
            </w:pPr>
          </w:p>
        </w:tc>
        <w:tc>
          <w:tcPr>
            <w:tcW w:w="2584" w:type="dxa"/>
            <w:gridSpan w:val="2"/>
            <w:vAlign w:val="center"/>
          </w:tcPr>
          <w:p w14:paraId="432184C8" w14:textId="77777777" w:rsidR="00DA708F" w:rsidRPr="0033617F" w:rsidRDefault="008C2D86" w:rsidP="001B2A96">
            <w:pPr>
              <w:jc w:val="center"/>
              <w:rPr>
                <w:b/>
                <w:i/>
              </w:rPr>
            </w:pPr>
            <w:r>
              <w:rPr>
                <w:b/>
                <w:bCs/>
              </w:rPr>
              <w:t>2021</w:t>
            </w:r>
          </w:p>
        </w:tc>
        <w:tc>
          <w:tcPr>
            <w:tcW w:w="2423" w:type="dxa"/>
            <w:gridSpan w:val="2"/>
            <w:vAlign w:val="center"/>
          </w:tcPr>
          <w:p w14:paraId="77EFC272" w14:textId="77777777" w:rsidR="00DA708F" w:rsidRDefault="008C2D86" w:rsidP="001B2A96">
            <w:pPr>
              <w:jc w:val="center"/>
              <w:rPr>
                <w:b/>
                <w:bCs/>
              </w:rPr>
            </w:pPr>
            <w:r>
              <w:rPr>
                <w:b/>
                <w:bCs/>
              </w:rPr>
              <w:t>2022</w:t>
            </w:r>
          </w:p>
        </w:tc>
        <w:tc>
          <w:tcPr>
            <w:tcW w:w="1177" w:type="dxa"/>
            <w:vAlign w:val="center"/>
          </w:tcPr>
          <w:p w14:paraId="44038ECB" w14:textId="77777777" w:rsidR="00DA708F" w:rsidRDefault="008C2D86" w:rsidP="001B2A96">
            <w:pPr>
              <w:jc w:val="center"/>
              <w:rPr>
                <w:b/>
                <w:bCs/>
              </w:rPr>
            </w:pPr>
            <w:r>
              <w:rPr>
                <w:b/>
                <w:bCs/>
              </w:rPr>
              <w:t>2023</w:t>
            </w:r>
          </w:p>
        </w:tc>
      </w:tr>
      <w:tr w:rsidR="00256777" w:rsidRPr="0033617F" w14:paraId="0B1D67EC" w14:textId="77777777" w:rsidTr="00256777">
        <w:trPr>
          <w:jc w:val="center"/>
        </w:trPr>
        <w:tc>
          <w:tcPr>
            <w:tcW w:w="1696" w:type="dxa"/>
            <w:vMerge/>
            <w:vAlign w:val="center"/>
          </w:tcPr>
          <w:p w14:paraId="5D836921" w14:textId="77777777" w:rsidR="00265934" w:rsidRPr="0033617F" w:rsidRDefault="00265934" w:rsidP="00265934">
            <w:pPr>
              <w:jc w:val="center"/>
              <w:rPr>
                <w:b/>
                <w:i/>
              </w:rPr>
            </w:pPr>
          </w:p>
        </w:tc>
        <w:tc>
          <w:tcPr>
            <w:tcW w:w="1316" w:type="dxa"/>
            <w:vAlign w:val="center"/>
          </w:tcPr>
          <w:p w14:paraId="15650775" w14:textId="001F54E2" w:rsidR="00265934" w:rsidRPr="0033617F" w:rsidRDefault="00265934" w:rsidP="00265934">
            <w:pPr>
              <w:jc w:val="center"/>
              <w:rPr>
                <w:b/>
                <w:i/>
              </w:rPr>
            </w:pPr>
            <w:r w:rsidRPr="003350F2">
              <w:t>saskaņā ar valsts budžetu kārtējam gadam</w:t>
            </w:r>
          </w:p>
        </w:tc>
        <w:tc>
          <w:tcPr>
            <w:tcW w:w="1418" w:type="dxa"/>
            <w:vAlign w:val="center"/>
          </w:tcPr>
          <w:p w14:paraId="5FDBDFA1" w14:textId="4989E7F1" w:rsidR="00265934" w:rsidRPr="0033617F" w:rsidRDefault="00265934" w:rsidP="00265934">
            <w:pPr>
              <w:jc w:val="center"/>
              <w:rPr>
                <w:b/>
                <w:i/>
              </w:rPr>
            </w:pPr>
            <w:r w:rsidRPr="003350F2">
              <w:t xml:space="preserve">izmaiņas kārtējā gadā, salīdzinot ar budžetu </w:t>
            </w:r>
            <w:r w:rsidRPr="003350F2">
              <w:lastRenderedPageBreak/>
              <w:t>kārtējam gadam</w:t>
            </w:r>
          </w:p>
        </w:tc>
        <w:tc>
          <w:tcPr>
            <w:tcW w:w="1191" w:type="dxa"/>
            <w:vAlign w:val="center"/>
          </w:tcPr>
          <w:p w14:paraId="111F124F" w14:textId="240B02E7" w:rsidR="00265934" w:rsidRPr="00183338" w:rsidRDefault="00265934" w:rsidP="00265934">
            <w:pPr>
              <w:jc w:val="center"/>
            </w:pPr>
            <w:r w:rsidRPr="003350F2">
              <w:lastRenderedPageBreak/>
              <w:t>saskaņā ar vidēja termiņa budžeta ietvaru</w:t>
            </w:r>
          </w:p>
        </w:tc>
        <w:tc>
          <w:tcPr>
            <w:tcW w:w="1393" w:type="dxa"/>
            <w:vAlign w:val="center"/>
          </w:tcPr>
          <w:p w14:paraId="6E599D60" w14:textId="77777777" w:rsidR="00265934" w:rsidRPr="003350F2" w:rsidRDefault="00265934" w:rsidP="00265934">
            <w:pPr>
              <w:jc w:val="center"/>
            </w:pPr>
            <w:r w:rsidRPr="003350F2">
              <w:t xml:space="preserve">izmaiņas, salīdzinot ar vidēja termiņa budžeta </w:t>
            </w:r>
            <w:r w:rsidRPr="003350F2">
              <w:lastRenderedPageBreak/>
              <w:t>ietvaru 202</w:t>
            </w:r>
            <w:r>
              <w:t>1</w:t>
            </w:r>
            <w:r w:rsidRPr="003350F2">
              <w:t>.</w:t>
            </w:r>
          </w:p>
          <w:p w14:paraId="6AE04936" w14:textId="7EF76195" w:rsidR="00265934" w:rsidRPr="00183338" w:rsidRDefault="00265934" w:rsidP="00265934">
            <w:pPr>
              <w:jc w:val="center"/>
            </w:pPr>
            <w:r w:rsidRPr="003350F2">
              <w:t>gadam</w:t>
            </w:r>
          </w:p>
        </w:tc>
        <w:tc>
          <w:tcPr>
            <w:tcW w:w="1129" w:type="dxa"/>
            <w:vAlign w:val="center"/>
          </w:tcPr>
          <w:p w14:paraId="39658717" w14:textId="695023D4" w:rsidR="00265934" w:rsidRPr="00183338" w:rsidRDefault="00265934" w:rsidP="00265934">
            <w:pPr>
              <w:jc w:val="center"/>
            </w:pPr>
            <w:r w:rsidRPr="003350F2">
              <w:lastRenderedPageBreak/>
              <w:t>saskaņā ar vidēja termiņa budžeta ietvaru</w:t>
            </w:r>
          </w:p>
        </w:tc>
        <w:tc>
          <w:tcPr>
            <w:tcW w:w="1294" w:type="dxa"/>
            <w:vAlign w:val="center"/>
          </w:tcPr>
          <w:p w14:paraId="12EF6955" w14:textId="77777777" w:rsidR="00265934" w:rsidRPr="003350F2" w:rsidRDefault="00265934" w:rsidP="00265934">
            <w:pPr>
              <w:jc w:val="center"/>
            </w:pPr>
            <w:r w:rsidRPr="003350F2">
              <w:t xml:space="preserve">izmaiņas, salīdzinot ar vidēja termiņa budžeta </w:t>
            </w:r>
            <w:r w:rsidRPr="003350F2">
              <w:lastRenderedPageBreak/>
              <w:t xml:space="preserve">ietvaru </w:t>
            </w:r>
            <w:r>
              <w:t>2022</w:t>
            </w:r>
            <w:r w:rsidRPr="003350F2">
              <w:t>.</w:t>
            </w:r>
          </w:p>
          <w:p w14:paraId="1A50A356" w14:textId="05A8AE16" w:rsidR="00265934" w:rsidRPr="00183338" w:rsidRDefault="00265934" w:rsidP="00265934">
            <w:pPr>
              <w:jc w:val="center"/>
            </w:pPr>
            <w:r w:rsidRPr="003350F2">
              <w:t>gadam</w:t>
            </w:r>
          </w:p>
        </w:tc>
        <w:tc>
          <w:tcPr>
            <w:tcW w:w="1177" w:type="dxa"/>
            <w:vAlign w:val="center"/>
          </w:tcPr>
          <w:p w14:paraId="1A1F803F" w14:textId="77777777" w:rsidR="00265934" w:rsidRPr="003350F2" w:rsidRDefault="00265934" w:rsidP="00265934">
            <w:pPr>
              <w:jc w:val="center"/>
            </w:pPr>
            <w:r w:rsidRPr="003350F2">
              <w:lastRenderedPageBreak/>
              <w:t xml:space="preserve">izmaiņas, salīdzinot ar vidēja termiņa budžeta </w:t>
            </w:r>
            <w:r w:rsidRPr="003350F2">
              <w:lastRenderedPageBreak/>
              <w:t xml:space="preserve">ietvaru </w:t>
            </w:r>
            <w:r>
              <w:t>2022</w:t>
            </w:r>
            <w:r w:rsidRPr="003350F2">
              <w:t>.</w:t>
            </w:r>
          </w:p>
          <w:p w14:paraId="12BA2B57" w14:textId="4587A14A" w:rsidR="00265934" w:rsidRPr="00183338" w:rsidRDefault="00265934" w:rsidP="00265934">
            <w:pPr>
              <w:jc w:val="center"/>
            </w:pPr>
            <w:r w:rsidRPr="003350F2">
              <w:t>gadam</w:t>
            </w:r>
          </w:p>
        </w:tc>
      </w:tr>
      <w:tr w:rsidR="00256777" w:rsidRPr="0033617F" w14:paraId="30123253" w14:textId="77777777" w:rsidTr="00256777">
        <w:trPr>
          <w:jc w:val="center"/>
        </w:trPr>
        <w:tc>
          <w:tcPr>
            <w:tcW w:w="1696" w:type="dxa"/>
            <w:vAlign w:val="center"/>
          </w:tcPr>
          <w:p w14:paraId="02288EDF" w14:textId="77777777" w:rsidR="00DA708F" w:rsidRPr="0033617F" w:rsidRDefault="00DA708F" w:rsidP="001B2A96">
            <w:pPr>
              <w:jc w:val="center"/>
              <w:rPr>
                <w:bCs/>
              </w:rPr>
            </w:pPr>
            <w:r w:rsidRPr="0033617F">
              <w:rPr>
                <w:bCs/>
              </w:rPr>
              <w:lastRenderedPageBreak/>
              <w:t>1</w:t>
            </w:r>
          </w:p>
        </w:tc>
        <w:tc>
          <w:tcPr>
            <w:tcW w:w="1316" w:type="dxa"/>
            <w:vAlign w:val="center"/>
          </w:tcPr>
          <w:p w14:paraId="68FDB516" w14:textId="77777777" w:rsidR="00DA708F" w:rsidRPr="0033617F" w:rsidRDefault="00DA708F" w:rsidP="001B2A96">
            <w:pPr>
              <w:jc w:val="center"/>
              <w:rPr>
                <w:bCs/>
              </w:rPr>
            </w:pPr>
            <w:r w:rsidRPr="0033617F">
              <w:rPr>
                <w:bCs/>
              </w:rPr>
              <w:t>2</w:t>
            </w:r>
          </w:p>
        </w:tc>
        <w:tc>
          <w:tcPr>
            <w:tcW w:w="1418" w:type="dxa"/>
            <w:vAlign w:val="center"/>
          </w:tcPr>
          <w:p w14:paraId="6818F00C" w14:textId="77777777" w:rsidR="00DA708F" w:rsidRPr="0033617F" w:rsidRDefault="00DA708F" w:rsidP="001B2A96">
            <w:pPr>
              <w:jc w:val="center"/>
              <w:rPr>
                <w:bCs/>
              </w:rPr>
            </w:pPr>
            <w:r w:rsidRPr="0033617F">
              <w:rPr>
                <w:bCs/>
              </w:rPr>
              <w:t>3</w:t>
            </w:r>
          </w:p>
        </w:tc>
        <w:tc>
          <w:tcPr>
            <w:tcW w:w="1191" w:type="dxa"/>
            <w:vAlign w:val="center"/>
          </w:tcPr>
          <w:p w14:paraId="1FBDF226" w14:textId="77777777" w:rsidR="00DA708F" w:rsidRPr="0033617F" w:rsidRDefault="00DA708F" w:rsidP="001B2A96">
            <w:pPr>
              <w:jc w:val="center"/>
              <w:rPr>
                <w:bCs/>
              </w:rPr>
            </w:pPr>
            <w:r w:rsidRPr="0033617F">
              <w:rPr>
                <w:bCs/>
              </w:rPr>
              <w:t>4</w:t>
            </w:r>
          </w:p>
        </w:tc>
        <w:tc>
          <w:tcPr>
            <w:tcW w:w="1393" w:type="dxa"/>
            <w:vAlign w:val="center"/>
          </w:tcPr>
          <w:p w14:paraId="54FF63F6" w14:textId="77777777" w:rsidR="00DA708F" w:rsidRPr="0033617F" w:rsidRDefault="00DA708F" w:rsidP="001B2A96">
            <w:pPr>
              <w:jc w:val="center"/>
              <w:rPr>
                <w:bCs/>
              </w:rPr>
            </w:pPr>
            <w:r w:rsidRPr="0033617F">
              <w:rPr>
                <w:bCs/>
              </w:rPr>
              <w:t>5</w:t>
            </w:r>
          </w:p>
        </w:tc>
        <w:tc>
          <w:tcPr>
            <w:tcW w:w="1129" w:type="dxa"/>
            <w:vAlign w:val="center"/>
          </w:tcPr>
          <w:p w14:paraId="64AAAB22" w14:textId="77777777" w:rsidR="00DA708F" w:rsidRPr="0033617F" w:rsidRDefault="00DA708F" w:rsidP="001B2A96">
            <w:pPr>
              <w:jc w:val="center"/>
              <w:rPr>
                <w:bCs/>
              </w:rPr>
            </w:pPr>
            <w:r w:rsidRPr="0033617F">
              <w:rPr>
                <w:bCs/>
              </w:rPr>
              <w:t>6</w:t>
            </w:r>
          </w:p>
        </w:tc>
        <w:tc>
          <w:tcPr>
            <w:tcW w:w="1294" w:type="dxa"/>
          </w:tcPr>
          <w:p w14:paraId="02741E3B" w14:textId="77777777" w:rsidR="00DA708F" w:rsidRPr="0033617F" w:rsidRDefault="00DA708F" w:rsidP="001B2A96">
            <w:pPr>
              <w:jc w:val="center"/>
              <w:rPr>
                <w:bCs/>
              </w:rPr>
            </w:pPr>
            <w:r>
              <w:rPr>
                <w:bCs/>
              </w:rPr>
              <w:t>7</w:t>
            </w:r>
          </w:p>
        </w:tc>
        <w:tc>
          <w:tcPr>
            <w:tcW w:w="1177" w:type="dxa"/>
          </w:tcPr>
          <w:p w14:paraId="3BB87FF8" w14:textId="77777777" w:rsidR="00DA708F" w:rsidRPr="0033617F" w:rsidRDefault="00DA708F" w:rsidP="001B2A96">
            <w:pPr>
              <w:jc w:val="center"/>
              <w:rPr>
                <w:bCs/>
              </w:rPr>
            </w:pPr>
            <w:r>
              <w:rPr>
                <w:bCs/>
              </w:rPr>
              <w:t>8</w:t>
            </w:r>
          </w:p>
        </w:tc>
      </w:tr>
      <w:tr w:rsidR="00385C92" w:rsidRPr="0033617F" w14:paraId="13C8EA50" w14:textId="77777777" w:rsidTr="00256777">
        <w:trPr>
          <w:jc w:val="center"/>
        </w:trPr>
        <w:tc>
          <w:tcPr>
            <w:tcW w:w="1696" w:type="dxa"/>
          </w:tcPr>
          <w:p w14:paraId="452173D7" w14:textId="77777777" w:rsidR="00385C92" w:rsidRPr="0033617F" w:rsidRDefault="00385C92" w:rsidP="00385C92">
            <w:pPr>
              <w:rPr>
                <w:i/>
              </w:rPr>
            </w:pPr>
            <w:r w:rsidRPr="0033617F">
              <w:t>1. Budžeta ieņēmumi:</w:t>
            </w:r>
          </w:p>
        </w:tc>
        <w:tc>
          <w:tcPr>
            <w:tcW w:w="1316" w:type="dxa"/>
          </w:tcPr>
          <w:p w14:paraId="2F65E935" w14:textId="2FA6C8B2" w:rsidR="00385C92" w:rsidRPr="0033617F" w:rsidRDefault="00385C92" w:rsidP="00385C92">
            <w:pPr>
              <w:jc w:val="center"/>
              <w:rPr>
                <w:b/>
              </w:rPr>
            </w:pPr>
            <w:r w:rsidRPr="00385C92">
              <w:rPr>
                <w:b/>
              </w:rPr>
              <w:t>11 982 762</w:t>
            </w:r>
          </w:p>
        </w:tc>
        <w:tc>
          <w:tcPr>
            <w:tcW w:w="1418" w:type="dxa"/>
          </w:tcPr>
          <w:p w14:paraId="73B05185" w14:textId="77777777" w:rsidR="00385C92" w:rsidRPr="0033617F" w:rsidRDefault="00385C92" w:rsidP="00385C92">
            <w:pPr>
              <w:jc w:val="center"/>
              <w:rPr>
                <w:b/>
              </w:rPr>
            </w:pPr>
            <w:r w:rsidRPr="0033617F">
              <w:rPr>
                <w:b/>
              </w:rPr>
              <w:t>0</w:t>
            </w:r>
          </w:p>
        </w:tc>
        <w:tc>
          <w:tcPr>
            <w:tcW w:w="1191" w:type="dxa"/>
          </w:tcPr>
          <w:p w14:paraId="4E344F28" w14:textId="77777777" w:rsidR="00385C92" w:rsidRPr="0033617F" w:rsidRDefault="00385C92" w:rsidP="00385C92">
            <w:pPr>
              <w:jc w:val="center"/>
              <w:rPr>
                <w:b/>
              </w:rPr>
            </w:pPr>
            <w:r w:rsidRPr="0033617F">
              <w:rPr>
                <w:b/>
              </w:rPr>
              <w:t>0</w:t>
            </w:r>
          </w:p>
        </w:tc>
        <w:tc>
          <w:tcPr>
            <w:tcW w:w="1393" w:type="dxa"/>
          </w:tcPr>
          <w:p w14:paraId="47CD847A" w14:textId="77777777" w:rsidR="00385C92" w:rsidRPr="0033617F" w:rsidRDefault="00385C92" w:rsidP="00385C92">
            <w:pPr>
              <w:jc w:val="center"/>
              <w:rPr>
                <w:b/>
              </w:rPr>
            </w:pPr>
            <w:r w:rsidRPr="0033617F">
              <w:rPr>
                <w:b/>
              </w:rPr>
              <w:t>0</w:t>
            </w:r>
          </w:p>
        </w:tc>
        <w:tc>
          <w:tcPr>
            <w:tcW w:w="1129" w:type="dxa"/>
          </w:tcPr>
          <w:p w14:paraId="32601915" w14:textId="77777777" w:rsidR="00385C92" w:rsidRPr="0033617F" w:rsidRDefault="00385C92" w:rsidP="00385C92">
            <w:pPr>
              <w:jc w:val="center"/>
              <w:rPr>
                <w:b/>
              </w:rPr>
            </w:pPr>
            <w:r w:rsidRPr="0033617F">
              <w:rPr>
                <w:b/>
              </w:rPr>
              <w:t>0</w:t>
            </w:r>
          </w:p>
        </w:tc>
        <w:tc>
          <w:tcPr>
            <w:tcW w:w="1294" w:type="dxa"/>
          </w:tcPr>
          <w:p w14:paraId="2BAF0F86" w14:textId="77777777" w:rsidR="00385C92" w:rsidRPr="0033617F" w:rsidRDefault="00385C92" w:rsidP="00385C92">
            <w:pPr>
              <w:jc w:val="center"/>
              <w:rPr>
                <w:b/>
              </w:rPr>
            </w:pPr>
            <w:r>
              <w:rPr>
                <w:b/>
              </w:rPr>
              <w:t>0</w:t>
            </w:r>
          </w:p>
        </w:tc>
        <w:tc>
          <w:tcPr>
            <w:tcW w:w="1177" w:type="dxa"/>
          </w:tcPr>
          <w:p w14:paraId="75F359CC" w14:textId="77777777" w:rsidR="00385C92" w:rsidRPr="0033617F" w:rsidRDefault="00385C92" w:rsidP="00385C92">
            <w:pPr>
              <w:jc w:val="center"/>
              <w:rPr>
                <w:b/>
              </w:rPr>
            </w:pPr>
            <w:r>
              <w:rPr>
                <w:b/>
              </w:rPr>
              <w:t>0</w:t>
            </w:r>
          </w:p>
        </w:tc>
      </w:tr>
      <w:tr w:rsidR="00385C92" w:rsidRPr="0033617F" w14:paraId="0FB39F8E" w14:textId="77777777" w:rsidTr="00256777">
        <w:trPr>
          <w:jc w:val="center"/>
        </w:trPr>
        <w:tc>
          <w:tcPr>
            <w:tcW w:w="1696" w:type="dxa"/>
          </w:tcPr>
          <w:p w14:paraId="1DD1B4A3" w14:textId="77777777" w:rsidR="00385C92" w:rsidRPr="0033617F" w:rsidRDefault="00385C92" w:rsidP="00385C92">
            <w:pPr>
              <w:rPr>
                <w:i/>
              </w:rPr>
            </w:pPr>
            <w:r w:rsidRPr="0033617F">
              <w:t>1.1. valsts pamatbudžets, tai skaitā ieņēmumi no maksas pakalpojumiem un citi pašu ieņēmumi</w:t>
            </w:r>
          </w:p>
        </w:tc>
        <w:tc>
          <w:tcPr>
            <w:tcW w:w="1316" w:type="dxa"/>
          </w:tcPr>
          <w:p w14:paraId="110BA630" w14:textId="2C6E2969" w:rsidR="00385C92" w:rsidRPr="0033617F" w:rsidRDefault="00385C92" w:rsidP="00385C92">
            <w:pPr>
              <w:jc w:val="center"/>
              <w:rPr>
                <w:i/>
              </w:rPr>
            </w:pPr>
            <w:r w:rsidRPr="00385C92">
              <w:rPr>
                <w:i/>
              </w:rPr>
              <w:t>11 982 762</w:t>
            </w:r>
          </w:p>
        </w:tc>
        <w:tc>
          <w:tcPr>
            <w:tcW w:w="1418" w:type="dxa"/>
          </w:tcPr>
          <w:p w14:paraId="06F3322B" w14:textId="48B69E55" w:rsidR="00385C92" w:rsidRPr="0033617F" w:rsidRDefault="00385C92" w:rsidP="00385C92">
            <w:pPr>
              <w:jc w:val="center"/>
              <w:rPr>
                <w:i/>
              </w:rPr>
            </w:pPr>
            <w:r>
              <w:rPr>
                <w:i/>
              </w:rPr>
              <w:t>0</w:t>
            </w:r>
          </w:p>
        </w:tc>
        <w:tc>
          <w:tcPr>
            <w:tcW w:w="1191" w:type="dxa"/>
          </w:tcPr>
          <w:p w14:paraId="3AD84DF9" w14:textId="20E4F7ED" w:rsidR="00385C92" w:rsidRPr="0033617F" w:rsidRDefault="00385C92" w:rsidP="00385C92">
            <w:pPr>
              <w:jc w:val="center"/>
              <w:rPr>
                <w:i/>
              </w:rPr>
            </w:pPr>
            <w:r>
              <w:rPr>
                <w:i/>
              </w:rPr>
              <w:t>0</w:t>
            </w:r>
          </w:p>
        </w:tc>
        <w:tc>
          <w:tcPr>
            <w:tcW w:w="1393" w:type="dxa"/>
          </w:tcPr>
          <w:p w14:paraId="173425B2" w14:textId="0B07F8CC" w:rsidR="00385C92" w:rsidRPr="0033617F" w:rsidRDefault="00385C92" w:rsidP="00385C92">
            <w:pPr>
              <w:jc w:val="center"/>
              <w:rPr>
                <w:i/>
              </w:rPr>
            </w:pPr>
            <w:r>
              <w:rPr>
                <w:i/>
              </w:rPr>
              <w:t>0</w:t>
            </w:r>
          </w:p>
        </w:tc>
        <w:tc>
          <w:tcPr>
            <w:tcW w:w="1129" w:type="dxa"/>
          </w:tcPr>
          <w:p w14:paraId="4696E825" w14:textId="4BE05857" w:rsidR="00385C92" w:rsidRPr="0033617F" w:rsidRDefault="00385C92" w:rsidP="00385C92">
            <w:pPr>
              <w:jc w:val="center"/>
              <w:rPr>
                <w:i/>
              </w:rPr>
            </w:pPr>
            <w:r>
              <w:rPr>
                <w:i/>
              </w:rPr>
              <w:t>0</w:t>
            </w:r>
          </w:p>
        </w:tc>
        <w:tc>
          <w:tcPr>
            <w:tcW w:w="1294" w:type="dxa"/>
          </w:tcPr>
          <w:p w14:paraId="26549C0C" w14:textId="78A9DE37" w:rsidR="00385C92" w:rsidRPr="0033617F" w:rsidRDefault="00385C92" w:rsidP="00385C92">
            <w:pPr>
              <w:jc w:val="center"/>
              <w:rPr>
                <w:i/>
              </w:rPr>
            </w:pPr>
            <w:r>
              <w:rPr>
                <w:i/>
              </w:rPr>
              <w:t>0</w:t>
            </w:r>
          </w:p>
        </w:tc>
        <w:tc>
          <w:tcPr>
            <w:tcW w:w="1177" w:type="dxa"/>
          </w:tcPr>
          <w:p w14:paraId="16F35293" w14:textId="27BED14D" w:rsidR="00385C92" w:rsidRPr="0033617F" w:rsidRDefault="00385C92" w:rsidP="00385C92">
            <w:pPr>
              <w:jc w:val="center"/>
              <w:rPr>
                <w:i/>
              </w:rPr>
            </w:pPr>
            <w:r>
              <w:rPr>
                <w:i/>
              </w:rPr>
              <w:t>0</w:t>
            </w:r>
          </w:p>
        </w:tc>
      </w:tr>
      <w:tr w:rsidR="00385C92" w:rsidRPr="00A56A7A" w14:paraId="7428184F" w14:textId="77777777" w:rsidTr="00FD5745">
        <w:trPr>
          <w:jc w:val="center"/>
        </w:trPr>
        <w:tc>
          <w:tcPr>
            <w:tcW w:w="1696" w:type="dxa"/>
          </w:tcPr>
          <w:p w14:paraId="0E2CE1A9" w14:textId="77777777" w:rsidR="00385C92" w:rsidRPr="00A56A7A" w:rsidRDefault="00385C92" w:rsidP="00385C92">
            <w:r w:rsidRPr="00A56A7A">
              <w:rPr>
                <w:rFonts w:eastAsia="Times New Roman"/>
                <w:iCs/>
              </w:rPr>
              <w:t>15. Izglītības un zinātnes ministrija</w:t>
            </w:r>
          </w:p>
        </w:tc>
        <w:tc>
          <w:tcPr>
            <w:tcW w:w="1316" w:type="dxa"/>
          </w:tcPr>
          <w:p w14:paraId="6AD9D2B4" w14:textId="7D372C97" w:rsidR="00385C92" w:rsidRPr="00A56A7A" w:rsidRDefault="00385C92" w:rsidP="00385C92">
            <w:pPr>
              <w:jc w:val="center"/>
              <w:rPr>
                <w:i/>
              </w:rPr>
            </w:pPr>
            <w:r w:rsidRPr="00A56A7A">
              <w:t>11 982 762</w:t>
            </w:r>
          </w:p>
        </w:tc>
        <w:tc>
          <w:tcPr>
            <w:tcW w:w="1418" w:type="dxa"/>
          </w:tcPr>
          <w:p w14:paraId="41753A14" w14:textId="77777777" w:rsidR="00385C92" w:rsidRPr="00A56A7A" w:rsidRDefault="00385C92" w:rsidP="00385C92">
            <w:pPr>
              <w:jc w:val="center"/>
              <w:rPr>
                <w:i/>
              </w:rPr>
            </w:pPr>
            <w:r w:rsidRPr="00A56A7A">
              <w:t>0</w:t>
            </w:r>
          </w:p>
        </w:tc>
        <w:tc>
          <w:tcPr>
            <w:tcW w:w="1191" w:type="dxa"/>
          </w:tcPr>
          <w:p w14:paraId="4941E051" w14:textId="77777777" w:rsidR="00385C92" w:rsidRPr="00A56A7A" w:rsidRDefault="00385C92" w:rsidP="00385C92">
            <w:pPr>
              <w:jc w:val="center"/>
              <w:rPr>
                <w:i/>
              </w:rPr>
            </w:pPr>
            <w:r w:rsidRPr="00A56A7A">
              <w:t>0</w:t>
            </w:r>
          </w:p>
        </w:tc>
        <w:tc>
          <w:tcPr>
            <w:tcW w:w="1393" w:type="dxa"/>
          </w:tcPr>
          <w:p w14:paraId="7F474F1A" w14:textId="77777777" w:rsidR="00385C92" w:rsidRPr="00A56A7A" w:rsidRDefault="00385C92" w:rsidP="00385C92">
            <w:pPr>
              <w:jc w:val="center"/>
              <w:rPr>
                <w:i/>
              </w:rPr>
            </w:pPr>
            <w:r w:rsidRPr="00A56A7A">
              <w:t>0</w:t>
            </w:r>
          </w:p>
        </w:tc>
        <w:tc>
          <w:tcPr>
            <w:tcW w:w="1129" w:type="dxa"/>
          </w:tcPr>
          <w:p w14:paraId="6DB283D1" w14:textId="77777777" w:rsidR="00385C92" w:rsidRPr="00A56A7A" w:rsidRDefault="00385C92" w:rsidP="00385C92">
            <w:pPr>
              <w:jc w:val="center"/>
              <w:rPr>
                <w:i/>
              </w:rPr>
            </w:pPr>
            <w:r w:rsidRPr="00A56A7A">
              <w:t>0</w:t>
            </w:r>
          </w:p>
        </w:tc>
        <w:tc>
          <w:tcPr>
            <w:tcW w:w="1294" w:type="dxa"/>
          </w:tcPr>
          <w:p w14:paraId="7477CE00" w14:textId="77777777" w:rsidR="00385C92" w:rsidRPr="00A56A7A" w:rsidRDefault="00385C92" w:rsidP="00385C92">
            <w:pPr>
              <w:jc w:val="center"/>
              <w:rPr>
                <w:i/>
              </w:rPr>
            </w:pPr>
            <w:r w:rsidRPr="00A56A7A">
              <w:t>0</w:t>
            </w:r>
          </w:p>
        </w:tc>
        <w:tc>
          <w:tcPr>
            <w:tcW w:w="1177" w:type="dxa"/>
          </w:tcPr>
          <w:p w14:paraId="3326D78D" w14:textId="77777777" w:rsidR="00385C92" w:rsidRPr="00A56A7A" w:rsidRDefault="00385C92" w:rsidP="00385C92">
            <w:pPr>
              <w:jc w:val="center"/>
              <w:rPr>
                <w:i/>
              </w:rPr>
            </w:pPr>
            <w:r w:rsidRPr="00A56A7A">
              <w:t>0</w:t>
            </w:r>
          </w:p>
        </w:tc>
      </w:tr>
      <w:tr w:rsidR="00385C92" w:rsidRPr="0033617F" w14:paraId="753C90BF" w14:textId="77777777" w:rsidTr="00FD5745">
        <w:trPr>
          <w:jc w:val="center"/>
        </w:trPr>
        <w:tc>
          <w:tcPr>
            <w:tcW w:w="1696" w:type="dxa"/>
          </w:tcPr>
          <w:p w14:paraId="4139719B" w14:textId="77777777" w:rsidR="00385C92" w:rsidRPr="0033617F" w:rsidRDefault="00385C92" w:rsidP="00FD5745">
            <w:r w:rsidRPr="00B70060">
              <w:rPr>
                <w:rFonts w:eastAsia="Times New Roman"/>
                <w:iCs/>
              </w:rPr>
              <w:t>01.07.00 Dotācija brīvpusdienu nodrošināšanai 1.,</w:t>
            </w:r>
            <w:r>
              <w:rPr>
                <w:rFonts w:eastAsia="Times New Roman"/>
                <w:iCs/>
              </w:rPr>
              <w:t xml:space="preserve"> </w:t>
            </w:r>
            <w:r w:rsidRPr="00B70060">
              <w:rPr>
                <w:rFonts w:eastAsia="Times New Roman"/>
                <w:iCs/>
              </w:rPr>
              <w:t>2.,</w:t>
            </w:r>
            <w:r>
              <w:rPr>
                <w:rFonts w:eastAsia="Times New Roman"/>
                <w:iCs/>
              </w:rPr>
              <w:t xml:space="preserve"> </w:t>
            </w:r>
            <w:r w:rsidRPr="00B70060">
              <w:rPr>
                <w:rFonts w:eastAsia="Times New Roman"/>
                <w:iCs/>
              </w:rPr>
              <w:t>3. un 4. klases izglītojamiem</w:t>
            </w:r>
          </w:p>
        </w:tc>
        <w:tc>
          <w:tcPr>
            <w:tcW w:w="1316" w:type="dxa"/>
          </w:tcPr>
          <w:p w14:paraId="53C81828" w14:textId="77777777" w:rsidR="00385C92" w:rsidRPr="00256777" w:rsidRDefault="00385C92" w:rsidP="00FD5745">
            <w:pPr>
              <w:jc w:val="center"/>
              <w:rPr>
                <w:i/>
              </w:rPr>
            </w:pPr>
            <w:r>
              <w:rPr>
                <w:rFonts w:eastAsia="Times New Roman"/>
                <w:iCs/>
              </w:rPr>
              <w:t xml:space="preserve">9 </w:t>
            </w:r>
            <w:r w:rsidRPr="00256777">
              <w:rPr>
                <w:rFonts w:eastAsia="Times New Roman"/>
                <w:iCs/>
              </w:rPr>
              <w:t>840 708</w:t>
            </w:r>
          </w:p>
        </w:tc>
        <w:tc>
          <w:tcPr>
            <w:tcW w:w="1418" w:type="dxa"/>
          </w:tcPr>
          <w:p w14:paraId="3E538FFF" w14:textId="77777777" w:rsidR="00385C92" w:rsidRPr="00256777" w:rsidRDefault="00385C92" w:rsidP="00FD5745">
            <w:pPr>
              <w:jc w:val="center"/>
              <w:rPr>
                <w:i/>
              </w:rPr>
            </w:pPr>
            <w:r>
              <w:rPr>
                <w:rFonts w:eastAsia="Times New Roman"/>
                <w:iCs/>
              </w:rPr>
              <w:t xml:space="preserve">- </w:t>
            </w:r>
            <w:r w:rsidRPr="00256777">
              <w:rPr>
                <w:rFonts w:eastAsia="Times New Roman"/>
                <w:iCs/>
              </w:rPr>
              <w:t>638 000</w:t>
            </w:r>
          </w:p>
        </w:tc>
        <w:tc>
          <w:tcPr>
            <w:tcW w:w="1191" w:type="dxa"/>
          </w:tcPr>
          <w:p w14:paraId="26C7FED5" w14:textId="77777777" w:rsidR="00385C92" w:rsidRPr="00317B6A" w:rsidRDefault="00385C92" w:rsidP="00FD5745">
            <w:pPr>
              <w:jc w:val="center"/>
              <w:rPr>
                <w:i/>
              </w:rPr>
            </w:pPr>
            <w:r w:rsidRPr="00000B61">
              <w:t>0</w:t>
            </w:r>
          </w:p>
        </w:tc>
        <w:tc>
          <w:tcPr>
            <w:tcW w:w="1393" w:type="dxa"/>
          </w:tcPr>
          <w:p w14:paraId="6187F902" w14:textId="77777777" w:rsidR="00385C92" w:rsidRPr="00317B6A" w:rsidRDefault="00385C92" w:rsidP="00FD5745">
            <w:pPr>
              <w:jc w:val="center"/>
              <w:rPr>
                <w:i/>
              </w:rPr>
            </w:pPr>
            <w:r w:rsidRPr="00000B61">
              <w:t>0</w:t>
            </w:r>
          </w:p>
        </w:tc>
        <w:tc>
          <w:tcPr>
            <w:tcW w:w="1129" w:type="dxa"/>
          </w:tcPr>
          <w:p w14:paraId="3868B471" w14:textId="77777777" w:rsidR="00385C92" w:rsidRPr="00317B6A" w:rsidRDefault="00385C92" w:rsidP="00FD5745">
            <w:pPr>
              <w:jc w:val="center"/>
              <w:rPr>
                <w:i/>
              </w:rPr>
            </w:pPr>
            <w:r w:rsidRPr="00000B61">
              <w:t>0</w:t>
            </w:r>
          </w:p>
        </w:tc>
        <w:tc>
          <w:tcPr>
            <w:tcW w:w="1294" w:type="dxa"/>
          </w:tcPr>
          <w:p w14:paraId="23DF306A" w14:textId="77777777" w:rsidR="00385C92" w:rsidRDefault="00385C92" w:rsidP="00FD5745">
            <w:pPr>
              <w:jc w:val="center"/>
              <w:rPr>
                <w:i/>
              </w:rPr>
            </w:pPr>
            <w:r w:rsidRPr="00000B61">
              <w:t>0</w:t>
            </w:r>
          </w:p>
        </w:tc>
        <w:tc>
          <w:tcPr>
            <w:tcW w:w="1177" w:type="dxa"/>
          </w:tcPr>
          <w:p w14:paraId="4451126C" w14:textId="77777777" w:rsidR="00385C92" w:rsidRDefault="00385C92" w:rsidP="00FD5745">
            <w:pPr>
              <w:jc w:val="center"/>
              <w:rPr>
                <w:i/>
              </w:rPr>
            </w:pPr>
            <w:r w:rsidRPr="00000B61">
              <w:t>0</w:t>
            </w:r>
          </w:p>
        </w:tc>
      </w:tr>
      <w:tr w:rsidR="00385C92" w:rsidRPr="0033617F" w14:paraId="20CED81C" w14:textId="77777777" w:rsidTr="00FD5745">
        <w:trPr>
          <w:jc w:val="center"/>
        </w:trPr>
        <w:tc>
          <w:tcPr>
            <w:tcW w:w="1696" w:type="dxa"/>
          </w:tcPr>
          <w:p w14:paraId="2F89F596" w14:textId="77777777" w:rsidR="00385C92" w:rsidRPr="0033617F" w:rsidRDefault="00385C92" w:rsidP="00FD5745">
            <w:r w:rsidRPr="00256777">
              <w:rPr>
                <w:rFonts w:eastAsia="Times New Roman"/>
                <w:iCs/>
              </w:rPr>
              <w:t>09.16.00 Dotācija nacionālās nozīmes starptautisku sporta pasākumu organizēšanai Latvijā</w:t>
            </w:r>
          </w:p>
        </w:tc>
        <w:tc>
          <w:tcPr>
            <w:tcW w:w="1316" w:type="dxa"/>
          </w:tcPr>
          <w:p w14:paraId="5A9F3B41" w14:textId="77777777" w:rsidR="00385C92" w:rsidRPr="004B2478" w:rsidRDefault="00385C92" w:rsidP="00FD5745">
            <w:pPr>
              <w:jc w:val="center"/>
              <w:rPr>
                <w:i/>
              </w:rPr>
            </w:pPr>
            <w:r>
              <w:rPr>
                <w:rFonts w:eastAsia="Times New Roman"/>
                <w:iCs/>
              </w:rPr>
              <w:t>484 830</w:t>
            </w:r>
          </w:p>
        </w:tc>
        <w:tc>
          <w:tcPr>
            <w:tcW w:w="1418" w:type="dxa"/>
          </w:tcPr>
          <w:p w14:paraId="29B11C8F" w14:textId="77777777" w:rsidR="00385C92" w:rsidRDefault="00385C92" w:rsidP="00FD5745">
            <w:pPr>
              <w:jc w:val="center"/>
              <w:rPr>
                <w:i/>
              </w:rPr>
            </w:pPr>
            <w:r>
              <w:rPr>
                <w:rFonts w:eastAsia="Times New Roman"/>
                <w:iCs/>
              </w:rPr>
              <w:t>385 000</w:t>
            </w:r>
          </w:p>
        </w:tc>
        <w:tc>
          <w:tcPr>
            <w:tcW w:w="1191" w:type="dxa"/>
          </w:tcPr>
          <w:p w14:paraId="0AA15BAA" w14:textId="77777777" w:rsidR="00385C92" w:rsidRPr="00317B6A" w:rsidRDefault="00385C92" w:rsidP="00FD5745">
            <w:pPr>
              <w:jc w:val="center"/>
              <w:rPr>
                <w:i/>
              </w:rPr>
            </w:pPr>
            <w:r w:rsidRPr="00000B61">
              <w:t>0</w:t>
            </w:r>
          </w:p>
        </w:tc>
        <w:tc>
          <w:tcPr>
            <w:tcW w:w="1393" w:type="dxa"/>
          </w:tcPr>
          <w:p w14:paraId="6B4647B2" w14:textId="77777777" w:rsidR="00385C92" w:rsidRPr="00317B6A" w:rsidRDefault="00385C92" w:rsidP="00FD5745">
            <w:pPr>
              <w:jc w:val="center"/>
              <w:rPr>
                <w:i/>
              </w:rPr>
            </w:pPr>
            <w:r w:rsidRPr="00000B61">
              <w:t>0</w:t>
            </w:r>
          </w:p>
        </w:tc>
        <w:tc>
          <w:tcPr>
            <w:tcW w:w="1129" w:type="dxa"/>
          </w:tcPr>
          <w:p w14:paraId="023967B0" w14:textId="77777777" w:rsidR="00385C92" w:rsidRPr="00317B6A" w:rsidRDefault="00385C92" w:rsidP="00FD5745">
            <w:pPr>
              <w:jc w:val="center"/>
              <w:rPr>
                <w:i/>
              </w:rPr>
            </w:pPr>
            <w:r w:rsidRPr="00000B61">
              <w:t>0</w:t>
            </w:r>
          </w:p>
        </w:tc>
        <w:tc>
          <w:tcPr>
            <w:tcW w:w="1294" w:type="dxa"/>
          </w:tcPr>
          <w:p w14:paraId="6F4B6D54" w14:textId="77777777" w:rsidR="00385C92" w:rsidRDefault="00385C92" w:rsidP="00FD5745">
            <w:pPr>
              <w:jc w:val="center"/>
              <w:rPr>
                <w:i/>
              </w:rPr>
            </w:pPr>
            <w:r w:rsidRPr="00000B61">
              <w:t>0</w:t>
            </w:r>
          </w:p>
        </w:tc>
        <w:tc>
          <w:tcPr>
            <w:tcW w:w="1177" w:type="dxa"/>
          </w:tcPr>
          <w:p w14:paraId="3BAE17AB" w14:textId="77777777" w:rsidR="00385C92" w:rsidRDefault="00385C92" w:rsidP="00FD5745">
            <w:pPr>
              <w:jc w:val="center"/>
              <w:rPr>
                <w:i/>
              </w:rPr>
            </w:pPr>
            <w:r w:rsidRPr="00000B61">
              <w:t>0</w:t>
            </w:r>
          </w:p>
        </w:tc>
      </w:tr>
      <w:tr w:rsidR="00385C92" w:rsidRPr="0033617F" w14:paraId="08AFECC4" w14:textId="77777777" w:rsidTr="00FD5745">
        <w:trPr>
          <w:jc w:val="center"/>
        </w:trPr>
        <w:tc>
          <w:tcPr>
            <w:tcW w:w="1696" w:type="dxa"/>
          </w:tcPr>
          <w:p w14:paraId="3A456D9C" w14:textId="77777777" w:rsidR="00385C92" w:rsidRPr="00B70060" w:rsidRDefault="00385C92" w:rsidP="00FD5745">
            <w:pPr>
              <w:rPr>
                <w:rFonts w:eastAsia="Times New Roman"/>
                <w:iCs/>
              </w:rPr>
            </w:pPr>
            <w:r w:rsidRPr="00A87C09">
              <w:rPr>
                <w:rFonts w:eastAsia="Times New Roman"/>
                <w:iCs/>
              </w:rPr>
              <w:t xml:space="preserve">07.00.00 </w:t>
            </w:r>
            <w:r w:rsidRPr="00A87C09">
              <w:t>Informācijas un komunikāciju tehnoloģiju uzturēšana un attīstība</w:t>
            </w:r>
          </w:p>
        </w:tc>
        <w:tc>
          <w:tcPr>
            <w:tcW w:w="1316" w:type="dxa"/>
          </w:tcPr>
          <w:p w14:paraId="148ABF6F" w14:textId="77777777" w:rsidR="00385C92" w:rsidRPr="00B70060" w:rsidRDefault="00385C92" w:rsidP="00FD5745">
            <w:pPr>
              <w:jc w:val="center"/>
              <w:rPr>
                <w:rFonts w:eastAsia="Times New Roman"/>
                <w:iCs/>
              </w:rPr>
            </w:pPr>
            <w:r w:rsidRPr="0048436B">
              <w:rPr>
                <w:rFonts w:eastAsia="Times New Roman"/>
                <w:iCs/>
              </w:rPr>
              <w:t>1 657 224</w:t>
            </w:r>
          </w:p>
        </w:tc>
        <w:tc>
          <w:tcPr>
            <w:tcW w:w="1418" w:type="dxa"/>
          </w:tcPr>
          <w:p w14:paraId="29DEBCEC" w14:textId="77777777" w:rsidR="00385C92" w:rsidRPr="00B70060" w:rsidRDefault="00385C92" w:rsidP="00FD5745">
            <w:pPr>
              <w:jc w:val="center"/>
              <w:rPr>
                <w:rFonts w:eastAsia="Times New Roman"/>
                <w:iCs/>
              </w:rPr>
            </w:pPr>
            <w:r w:rsidRPr="00A87C09">
              <w:rPr>
                <w:rFonts w:eastAsia="Times New Roman"/>
                <w:iCs/>
              </w:rPr>
              <w:t>253 000</w:t>
            </w:r>
          </w:p>
        </w:tc>
        <w:tc>
          <w:tcPr>
            <w:tcW w:w="1191" w:type="dxa"/>
          </w:tcPr>
          <w:p w14:paraId="61027B08" w14:textId="77777777" w:rsidR="00385C92" w:rsidRPr="00000B61" w:rsidRDefault="00385C92" w:rsidP="00FD5745">
            <w:pPr>
              <w:jc w:val="center"/>
            </w:pPr>
            <w:r w:rsidRPr="00000B61">
              <w:t>0</w:t>
            </w:r>
          </w:p>
        </w:tc>
        <w:tc>
          <w:tcPr>
            <w:tcW w:w="1393" w:type="dxa"/>
          </w:tcPr>
          <w:p w14:paraId="3736BED1" w14:textId="77777777" w:rsidR="00385C92" w:rsidRPr="00000B61" w:rsidRDefault="00385C92" w:rsidP="00FD5745">
            <w:pPr>
              <w:jc w:val="center"/>
            </w:pPr>
            <w:r w:rsidRPr="00000B61">
              <w:t>0</w:t>
            </w:r>
          </w:p>
        </w:tc>
        <w:tc>
          <w:tcPr>
            <w:tcW w:w="1129" w:type="dxa"/>
          </w:tcPr>
          <w:p w14:paraId="4A433AC2" w14:textId="77777777" w:rsidR="00385C92" w:rsidRPr="00000B61" w:rsidRDefault="00385C92" w:rsidP="00FD5745">
            <w:pPr>
              <w:jc w:val="center"/>
            </w:pPr>
            <w:r w:rsidRPr="00000B61">
              <w:t>0</w:t>
            </w:r>
          </w:p>
        </w:tc>
        <w:tc>
          <w:tcPr>
            <w:tcW w:w="1294" w:type="dxa"/>
          </w:tcPr>
          <w:p w14:paraId="1031EE5C" w14:textId="77777777" w:rsidR="00385C92" w:rsidRPr="00000B61" w:rsidRDefault="00385C92" w:rsidP="00FD5745">
            <w:pPr>
              <w:jc w:val="center"/>
            </w:pPr>
            <w:r w:rsidRPr="00000B61">
              <w:t>0</w:t>
            </w:r>
          </w:p>
        </w:tc>
        <w:tc>
          <w:tcPr>
            <w:tcW w:w="1177" w:type="dxa"/>
          </w:tcPr>
          <w:p w14:paraId="6691F6A4" w14:textId="77777777" w:rsidR="00385C92" w:rsidRPr="00000B61" w:rsidRDefault="00385C92" w:rsidP="00FD5745">
            <w:pPr>
              <w:jc w:val="center"/>
            </w:pPr>
            <w:r w:rsidRPr="00000B61">
              <w:t>0</w:t>
            </w:r>
          </w:p>
        </w:tc>
      </w:tr>
      <w:tr w:rsidR="00256777" w:rsidRPr="0033617F" w14:paraId="3FD3E7F1" w14:textId="77777777" w:rsidTr="00256777">
        <w:trPr>
          <w:jc w:val="center"/>
        </w:trPr>
        <w:tc>
          <w:tcPr>
            <w:tcW w:w="1696" w:type="dxa"/>
          </w:tcPr>
          <w:p w14:paraId="78FCCF5E" w14:textId="77777777" w:rsidR="00DA708F" w:rsidRPr="0033617F" w:rsidRDefault="00DA708F" w:rsidP="001B2A96">
            <w:pPr>
              <w:rPr>
                <w:i/>
              </w:rPr>
            </w:pPr>
            <w:r w:rsidRPr="0033617F">
              <w:t>1.2. valsts speciālais budžets</w:t>
            </w:r>
          </w:p>
        </w:tc>
        <w:tc>
          <w:tcPr>
            <w:tcW w:w="1316" w:type="dxa"/>
          </w:tcPr>
          <w:p w14:paraId="15AC3F9D" w14:textId="77777777" w:rsidR="00DA708F" w:rsidRPr="0033617F" w:rsidRDefault="00DA708F" w:rsidP="001B2A96">
            <w:pPr>
              <w:jc w:val="center"/>
            </w:pPr>
          </w:p>
        </w:tc>
        <w:tc>
          <w:tcPr>
            <w:tcW w:w="1418" w:type="dxa"/>
          </w:tcPr>
          <w:p w14:paraId="0C112442" w14:textId="77777777" w:rsidR="00DA708F" w:rsidRPr="0033617F" w:rsidRDefault="00DA708F" w:rsidP="001B2A96">
            <w:pPr>
              <w:jc w:val="center"/>
            </w:pPr>
          </w:p>
        </w:tc>
        <w:tc>
          <w:tcPr>
            <w:tcW w:w="1191" w:type="dxa"/>
          </w:tcPr>
          <w:p w14:paraId="08A8B0A0" w14:textId="77777777" w:rsidR="00DA708F" w:rsidRPr="0033617F" w:rsidRDefault="00DA708F" w:rsidP="001B2A96">
            <w:pPr>
              <w:jc w:val="center"/>
            </w:pPr>
          </w:p>
        </w:tc>
        <w:tc>
          <w:tcPr>
            <w:tcW w:w="1393" w:type="dxa"/>
          </w:tcPr>
          <w:p w14:paraId="4A8CA9E3" w14:textId="77777777" w:rsidR="00DA708F" w:rsidRPr="0033617F" w:rsidRDefault="00DA708F" w:rsidP="001B2A96">
            <w:pPr>
              <w:jc w:val="center"/>
            </w:pPr>
          </w:p>
        </w:tc>
        <w:tc>
          <w:tcPr>
            <w:tcW w:w="1129" w:type="dxa"/>
          </w:tcPr>
          <w:p w14:paraId="115E5969" w14:textId="77777777" w:rsidR="00DA708F" w:rsidRPr="0033617F" w:rsidRDefault="00DA708F" w:rsidP="001B2A96">
            <w:pPr>
              <w:jc w:val="center"/>
            </w:pPr>
          </w:p>
        </w:tc>
        <w:tc>
          <w:tcPr>
            <w:tcW w:w="1294" w:type="dxa"/>
          </w:tcPr>
          <w:p w14:paraId="6B98D2DB" w14:textId="77777777" w:rsidR="00DA708F" w:rsidRPr="0033617F" w:rsidRDefault="00DA708F" w:rsidP="001B2A96">
            <w:pPr>
              <w:jc w:val="center"/>
            </w:pPr>
          </w:p>
        </w:tc>
        <w:tc>
          <w:tcPr>
            <w:tcW w:w="1177" w:type="dxa"/>
          </w:tcPr>
          <w:p w14:paraId="60DE00DC" w14:textId="77777777" w:rsidR="00DA708F" w:rsidRPr="0033617F" w:rsidRDefault="00DA708F" w:rsidP="001B2A96">
            <w:pPr>
              <w:jc w:val="center"/>
            </w:pPr>
          </w:p>
        </w:tc>
      </w:tr>
      <w:tr w:rsidR="00256777" w:rsidRPr="0033617F" w14:paraId="3BF23EE2" w14:textId="77777777" w:rsidTr="00256777">
        <w:trPr>
          <w:jc w:val="center"/>
        </w:trPr>
        <w:tc>
          <w:tcPr>
            <w:tcW w:w="1696" w:type="dxa"/>
          </w:tcPr>
          <w:p w14:paraId="3F75D13B" w14:textId="77777777" w:rsidR="00DA708F" w:rsidRPr="0033617F" w:rsidRDefault="00DA708F" w:rsidP="001B2A96">
            <w:pPr>
              <w:rPr>
                <w:i/>
              </w:rPr>
            </w:pPr>
            <w:r w:rsidRPr="0033617F">
              <w:t>1.3. pašvaldību budžets</w:t>
            </w:r>
          </w:p>
        </w:tc>
        <w:tc>
          <w:tcPr>
            <w:tcW w:w="1316" w:type="dxa"/>
          </w:tcPr>
          <w:p w14:paraId="25E8A59E" w14:textId="77777777" w:rsidR="00DA708F" w:rsidRPr="0033617F" w:rsidRDefault="00DA708F" w:rsidP="001B2A96">
            <w:pPr>
              <w:jc w:val="center"/>
            </w:pPr>
          </w:p>
        </w:tc>
        <w:tc>
          <w:tcPr>
            <w:tcW w:w="1418" w:type="dxa"/>
          </w:tcPr>
          <w:p w14:paraId="6926686D" w14:textId="77777777" w:rsidR="00DA708F" w:rsidRPr="0033617F" w:rsidRDefault="00DA708F" w:rsidP="001B2A96">
            <w:pPr>
              <w:jc w:val="center"/>
            </w:pPr>
          </w:p>
        </w:tc>
        <w:tc>
          <w:tcPr>
            <w:tcW w:w="1191" w:type="dxa"/>
          </w:tcPr>
          <w:p w14:paraId="01810920" w14:textId="77777777" w:rsidR="00DA708F" w:rsidRPr="0033617F" w:rsidRDefault="00DA708F" w:rsidP="001B2A96">
            <w:pPr>
              <w:jc w:val="center"/>
            </w:pPr>
          </w:p>
        </w:tc>
        <w:tc>
          <w:tcPr>
            <w:tcW w:w="1393" w:type="dxa"/>
          </w:tcPr>
          <w:p w14:paraId="4E47B6D6" w14:textId="77777777" w:rsidR="00DA708F" w:rsidRPr="0033617F" w:rsidRDefault="00DA708F" w:rsidP="001B2A96">
            <w:pPr>
              <w:jc w:val="center"/>
            </w:pPr>
          </w:p>
        </w:tc>
        <w:tc>
          <w:tcPr>
            <w:tcW w:w="1129" w:type="dxa"/>
          </w:tcPr>
          <w:p w14:paraId="303E2203" w14:textId="77777777" w:rsidR="00DA708F" w:rsidRPr="0033617F" w:rsidRDefault="00DA708F" w:rsidP="001B2A96">
            <w:pPr>
              <w:jc w:val="center"/>
            </w:pPr>
          </w:p>
        </w:tc>
        <w:tc>
          <w:tcPr>
            <w:tcW w:w="1294" w:type="dxa"/>
          </w:tcPr>
          <w:p w14:paraId="5AAB8C1A" w14:textId="77777777" w:rsidR="00DA708F" w:rsidRPr="0033617F" w:rsidRDefault="00DA708F" w:rsidP="001B2A96">
            <w:pPr>
              <w:jc w:val="center"/>
            </w:pPr>
          </w:p>
        </w:tc>
        <w:tc>
          <w:tcPr>
            <w:tcW w:w="1177" w:type="dxa"/>
          </w:tcPr>
          <w:p w14:paraId="022AB86F" w14:textId="77777777" w:rsidR="00DA708F" w:rsidRPr="0033617F" w:rsidRDefault="00DA708F" w:rsidP="001B2A96">
            <w:pPr>
              <w:jc w:val="center"/>
            </w:pPr>
          </w:p>
        </w:tc>
      </w:tr>
      <w:tr w:rsidR="00256777" w:rsidRPr="0033617F" w14:paraId="2BFA35C4" w14:textId="77777777" w:rsidTr="00256777">
        <w:trPr>
          <w:jc w:val="center"/>
        </w:trPr>
        <w:tc>
          <w:tcPr>
            <w:tcW w:w="1696" w:type="dxa"/>
          </w:tcPr>
          <w:p w14:paraId="576345A9" w14:textId="77777777" w:rsidR="00DA708F" w:rsidRPr="0033617F" w:rsidRDefault="00DA708F" w:rsidP="001B2A96">
            <w:r w:rsidRPr="0033617F">
              <w:t>2. Budžeta izdevumi:</w:t>
            </w:r>
          </w:p>
        </w:tc>
        <w:tc>
          <w:tcPr>
            <w:tcW w:w="1316" w:type="dxa"/>
          </w:tcPr>
          <w:p w14:paraId="167441E8" w14:textId="3349883C" w:rsidR="00DA708F" w:rsidRPr="004B2478" w:rsidRDefault="00385C92" w:rsidP="001B2A96">
            <w:pPr>
              <w:jc w:val="center"/>
              <w:rPr>
                <w:b/>
              </w:rPr>
            </w:pPr>
            <w:r w:rsidRPr="00385C92">
              <w:rPr>
                <w:b/>
              </w:rPr>
              <w:t>11 982 762</w:t>
            </w:r>
          </w:p>
        </w:tc>
        <w:tc>
          <w:tcPr>
            <w:tcW w:w="1418" w:type="dxa"/>
          </w:tcPr>
          <w:p w14:paraId="05112F23" w14:textId="59A7F398" w:rsidR="00DA708F" w:rsidRPr="004B2478" w:rsidRDefault="00257AD9" w:rsidP="000D0EED">
            <w:pPr>
              <w:jc w:val="center"/>
              <w:rPr>
                <w:b/>
              </w:rPr>
            </w:pPr>
            <w:r>
              <w:rPr>
                <w:b/>
              </w:rPr>
              <w:t>0</w:t>
            </w:r>
          </w:p>
        </w:tc>
        <w:tc>
          <w:tcPr>
            <w:tcW w:w="1191" w:type="dxa"/>
          </w:tcPr>
          <w:p w14:paraId="7F49FA9F" w14:textId="77777777" w:rsidR="00DA708F" w:rsidRPr="00317B6A" w:rsidRDefault="00DA708F" w:rsidP="001B2A96">
            <w:pPr>
              <w:jc w:val="center"/>
              <w:rPr>
                <w:b/>
              </w:rPr>
            </w:pPr>
            <w:r w:rsidRPr="00317B6A">
              <w:rPr>
                <w:b/>
              </w:rPr>
              <w:t>0</w:t>
            </w:r>
          </w:p>
        </w:tc>
        <w:tc>
          <w:tcPr>
            <w:tcW w:w="1393" w:type="dxa"/>
          </w:tcPr>
          <w:p w14:paraId="5420ACB5" w14:textId="77777777" w:rsidR="00DA708F" w:rsidRPr="00317B6A" w:rsidRDefault="00DA708F" w:rsidP="001B2A96">
            <w:pPr>
              <w:jc w:val="center"/>
              <w:rPr>
                <w:b/>
              </w:rPr>
            </w:pPr>
            <w:r w:rsidRPr="00317B6A">
              <w:rPr>
                <w:b/>
              </w:rPr>
              <w:t>0</w:t>
            </w:r>
          </w:p>
        </w:tc>
        <w:tc>
          <w:tcPr>
            <w:tcW w:w="1129" w:type="dxa"/>
          </w:tcPr>
          <w:p w14:paraId="048E7AD8" w14:textId="77777777" w:rsidR="00DA708F" w:rsidRPr="00317B6A" w:rsidRDefault="00DA708F" w:rsidP="001B2A96">
            <w:pPr>
              <w:jc w:val="center"/>
              <w:rPr>
                <w:b/>
              </w:rPr>
            </w:pPr>
            <w:r w:rsidRPr="00317B6A">
              <w:rPr>
                <w:b/>
              </w:rPr>
              <w:t>0</w:t>
            </w:r>
          </w:p>
        </w:tc>
        <w:tc>
          <w:tcPr>
            <w:tcW w:w="1294" w:type="dxa"/>
          </w:tcPr>
          <w:p w14:paraId="690B50D6" w14:textId="77777777" w:rsidR="00DA708F" w:rsidRPr="00317B6A" w:rsidRDefault="00DA708F" w:rsidP="001B2A96">
            <w:pPr>
              <w:jc w:val="center"/>
              <w:rPr>
                <w:b/>
              </w:rPr>
            </w:pPr>
            <w:r>
              <w:rPr>
                <w:b/>
              </w:rPr>
              <w:t>0</w:t>
            </w:r>
          </w:p>
        </w:tc>
        <w:tc>
          <w:tcPr>
            <w:tcW w:w="1177" w:type="dxa"/>
          </w:tcPr>
          <w:p w14:paraId="72290D90" w14:textId="77777777" w:rsidR="00DA708F" w:rsidRPr="00317B6A" w:rsidRDefault="00DA708F" w:rsidP="001B2A96">
            <w:pPr>
              <w:jc w:val="center"/>
              <w:rPr>
                <w:b/>
              </w:rPr>
            </w:pPr>
            <w:r>
              <w:rPr>
                <w:b/>
              </w:rPr>
              <w:t>0</w:t>
            </w:r>
          </w:p>
        </w:tc>
      </w:tr>
      <w:tr w:rsidR="00256777" w:rsidRPr="0033617F" w14:paraId="4725DAAC" w14:textId="77777777" w:rsidTr="00256777">
        <w:trPr>
          <w:jc w:val="center"/>
        </w:trPr>
        <w:tc>
          <w:tcPr>
            <w:tcW w:w="1696" w:type="dxa"/>
          </w:tcPr>
          <w:p w14:paraId="38ED5BC6" w14:textId="77777777" w:rsidR="00DA708F" w:rsidRPr="0033617F" w:rsidRDefault="00DA708F" w:rsidP="001B2A96">
            <w:r w:rsidRPr="0033617F">
              <w:t>2.1. valsts pamatbudžets</w:t>
            </w:r>
          </w:p>
        </w:tc>
        <w:tc>
          <w:tcPr>
            <w:tcW w:w="1316" w:type="dxa"/>
          </w:tcPr>
          <w:p w14:paraId="04E67DEB" w14:textId="1320770D" w:rsidR="00DA708F" w:rsidRPr="004B2478" w:rsidRDefault="00385C92" w:rsidP="001B2A96">
            <w:pPr>
              <w:jc w:val="center"/>
              <w:rPr>
                <w:i/>
              </w:rPr>
            </w:pPr>
            <w:r w:rsidRPr="00385C92">
              <w:rPr>
                <w:i/>
              </w:rPr>
              <w:t>11 982 762</w:t>
            </w:r>
          </w:p>
        </w:tc>
        <w:tc>
          <w:tcPr>
            <w:tcW w:w="1418" w:type="dxa"/>
          </w:tcPr>
          <w:p w14:paraId="197962AF" w14:textId="741F571B" w:rsidR="00DA708F" w:rsidRPr="004B2478" w:rsidRDefault="00257AD9" w:rsidP="001B2A96">
            <w:pPr>
              <w:jc w:val="center"/>
              <w:rPr>
                <w:i/>
              </w:rPr>
            </w:pPr>
            <w:r>
              <w:rPr>
                <w:i/>
              </w:rPr>
              <w:t>0</w:t>
            </w:r>
          </w:p>
        </w:tc>
        <w:tc>
          <w:tcPr>
            <w:tcW w:w="1191" w:type="dxa"/>
          </w:tcPr>
          <w:p w14:paraId="60CBA3E5" w14:textId="77777777" w:rsidR="00DA708F" w:rsidRPr="00317B6A" w:rsidRDefault="00DA708F" w:rsidP="001B2A96">
            <w:pPr>
              <w:jc w:val="center"/>
              <w:rPr>
                <w:i/>
              </w:rPr>
            </w:pPr>
            <w:r w:rsidRPr="00317B6A">
              <w:rPr>
                <w:i/>
              </w:rPr>
              <w:t>0</w:t>
            </w:r>
          </w:p>
        </w:tc>
        <w:tc>
          <w:tcPr>
            <w:tcW w:w="1393" w:type="dxa"/>
          </w:tcPr>
          <w:p w14:paraId="7F5B7D9A" w14:textId="77777777" w:rsidR="00DA708F" w:rsidRPr="00317B6A" w:rsidRDefault="00DA708F" w:rsidP="001B2A96">
            <w:pPr>
              <w:jc w:val="center"/>
              <w:rPr>
                <w:i/>
              </w:rPr>
            </w:pPr>
            <w:r w:rsidRPr="00317B6A">
              <w:rPr>
                <w:i/>
              </w:rPr>
              <w:t>0</w:t>
            </w:r>
          </w:p>
        </w:tc>
        <w:tc>
          <w:tcPr>
            <w:tcW w:w="1129" w:type="dxa"/>
          </w:tcPr>
          <w:p w14:paraId="73EE6EFC" w14:textId="77777777" w:rsidR="00DA708F" w:rsidRPr="00317B6A" w:rsidRDefault="00DA708F" w:rsidP="001B2A96">
            <w:pPr>
              <w:jc w:val="center"/>
              <w:rPr>
                <w:i/>
              </w:rPr>
            </w:pPr>
            <w:r w:rsidRPr="00317B6A">
              <w:rPr>
                <w:i/>
              </w:rPr>
              <w:t>0</w:t>
            </w:r>
          </w:p>
        </w:tc>
        <w:tc>
          <w:tcPr>
            <w:tcW w:w="1294" w:type="dxa"/>
          </w:tcPr>
          <w:p w14:paraId="1D24A512" w14:textId="77777777" w:rsidR="00DA708F" w:rsidRPr="00317B6A" w:rsidRDefault="00DA708F" w:rsidP="001B2A96">
            <w:pPr>
              <w:jc w:val="center"/>
              <w:rPr>
                <w:i/>
              </w:rPr>
            </w:pPr>
            <w:r>
              <w:rPr>
                <w:i/>
              </w:rPr>
              <w:t>0</w:t>
            </w:r>
          </w:p>
        </w:tc>
        <w:tc>
          <w:tcPr>
            <w:tcW w:w="1177" w:type="dxa"/>
          </w:tcPr>
          <w:p w14:paraId="21DD7031" w14:textId="77777777" w:rsidR="00DA708F" w:rsidRPr="00317B6A" w:rsidRDefault="00DA708F" w:rsidP="001B2A96">
            <w:pPr>
              <w:jc w:val="center"/>
              <w:rPr>
                <w:i/>
              </w:rPr>
            </w:pPr>
            <w:r>
              <w:rPr>
                <w:i/>
              </w:rPr>
              <w:t>0</w:t>
            </w:r>
          </w:p>
        </w:tc>
      </w:tr>
      <w:tr w:rsidR="00256777" w:rsidRPr="00A56A7A" w14:paraId="05734DFE" w14:textId="77777777" w:rsidTr="00256777">
        <w:trPr>
          <w:jc w:val="center"/>
        </w:trPr>
        <w:tc>
          <w:tcPr>
            <w:tcW w:w="1696" w:type="dxa"/>
          </w:tcPr>
          <w:p w14:paraId="1C3D157A" w14:textId="6B665A83" w:rsidR="00256777" w:rsidRPr="00A56A7A" w:rsidRDefault="00256777" w:rsidP="00256777">
            <w:r w:rsidRPr="00A56A7A">
              <w:rPr>
                <w:rFonts w:eastAsia="Times New Roman"/>
                <w:iCs/>
              </w:rPr>
              <w:t>15. Izglītības un zinātnes ministrija</w:t>
            </w:r>
          </w:p>
        </w:tc>
        <w:tc>
          <w:tcPr>
            <w:tcW w:w="1316" w:type="dxa"/>
          </w:tcPr>
          <w:p w14:paraId="6E6DA230" w14:textId="6FACAD64" w:rsidR="00256777" w:rsidRPr="00A56A7A" w:rsidRDefault="00385C92" w:rsidP="00256777">
            <w:pPr>
              <w:jc w:val="center"/>
              <w:rPr>
                <w:i/>
              </w:rPr>
            </w:pPr>
            <w:r w:rsidRPr="00A56A7A">
              <w:t>11 982 762</w:t>
            </w:r>
          </w:p>
        </w:tc>
        <w:tc>
          <w:tcPr>
            <w:tcW w:w="1418" w:type="dxa"/>
          </w:tcPr>
          <w:p w14:paraId="7EF40677" w14:textId="566FD34A" w:rsidR="00256777" w:rsidRPr="00A56A7A" w:rsidRDefault="00256777" w:rsidP="00256777">
            <w:pPr>
              <w:jc w:val="center"/>
              <w:rPr>
                <w:i/>
              </w:rPr>
            </w:pPr>
            <w:r w:rsidRPr="00A56A7A">
              <w:t>0</w:t>
            </w:r>
          </w:p>
        </w:tc>
        <w:tc>
          <w:tcPr>
            <w:tcW w:w="1191" w:type="dxa"/>
          </w:tcPr>
          <w:p w14:paraId="72A90D52" w14:textId="1B09A4D6" w:rsidR="00256777" w:rsidRPr="00A56A7A" w:rsidRDefault="00256777" w:rsidP="00256777">
            <w:pPr>
              <w:jc w:val="center"/>
              <w:rPr>
                <w:i/>
              </w:rPr>
            </w:pPr>
            <w:r w:rsidRPr="00A56A7A">
              <w:t>0</w:t>
            </w:r>
          </w:p>
        </w:tc>
        <w:tc>
          <w:tcPr>
            <w:tcW w:w="1393" w:type="dxa"/>
          </w:tcPr>
          <w:p w14:paraId="5A70FA00" w14:textId="5C056F3F" w:rsidR="00256777" w:rsidRPr="00A56A7A" w:rsidRDefault="00256777" w:rsidP="00256777">
            <w:pPr>
              <w:jc w:val="center"/>
              <w:rPr>
                <w:i/>
              </w:rPr>
            </w:pPr>
            <w:r w:rsidRPr="00A56A7A">
              <w:t>0</w:t>
            </w:r>
          </w:p>
        </w:tc>
        <w:tc>
          <w:tcPr>
            <w:tcW w:w="1129" w:type="dxa"/>
          </w:tcPr>
          <w:p w14:paraId="3B33AB8A" w14:textId="5789A4FE" w:rsidR="00256777" w:rsidRPr="00A56A7A" w:rsidRDefault="00256777" w:rsidP="00256777">
            <w:pPr>
              <w:jc w:val="center"/>
              <w:rPr>
                <w:i/>
              </w:rPr>
            </w:pPr>
            <w:r w:rsidRPr="00A56A7A">
              <w:t>0</w:t>
            </w:r>
          </w:p>
        </w:tc>
        <w:tc>
          <w:tcPr>
            <w:tcW w:w="1294" w:type="dxa"/>
          </w:tcPr>
          <w:p w14:paraId="4848A94B" w14:textId="568B8DB2" w:rsidR="00256777" w:rsidRPr="00A56A7A" w:rsidRDefault="00256777" w:rsidP="00256777">
            <w:pPr>
              <w:jc w:val="center"/>
              <w:rPr>
                <w:i/>
              </w:rPr>
            </w:pPr>
            <w:r w:rsidRPr="00A56A7A">
              <w:t>0</w:t>
            </w:r>
          </w:p>
        </w:tc>
        <w:tc>
          <w:tcPr>
            <w:tcW w:w="1177" w:type="dxa"/>
          </w:tcPr>
          <w:p w14:paraId="26938C1F" w14:textId="42C7D54F" w:rsidR="00256777" w:rsidRPr="00A56A7A" w:rsidRDefault="00256777" w:rsidP="00256777">
            <w:pPr>
              <w:jc w:val="center"/>
              <w:rPr>
                <w:i/>
              </w:rPr>
            </w:pPr>
            <w:r w:rsidRPr="00A56A7A">
              <w:t>0</w:t>
            </w:r>
          </w:p>
        </w:tc>
      </w:tr>
      <w:tr w:rsidR="00256777" w:rsidRPr="0033617F" w14:paraId="7C2133B8" w14:textId="77777777" w:rsidTr="00256777">
        <w:trPr>
          <w:jc w:val="center"/>
        </w:trPr>
        <w:tc>
          <w:tcPr>
            <w:tcW w:w="1696" w:type="dxa"/>
          </w:tcPr>
          <w:p w14:paraId="5CFFAAA0" w14:textId="074F03E8" w:rsidR="00256777" w:rsidRPr="0033617F" w:rsidRDefault="00256777" w:rsidP="00256777">
            <w:r w:rsidRPr="00B70060">
              <w:rPr>
                <w:rFonts w:eastAsia="Times New Roman"/>
                <w:iCs/>
              </w:rPr>
              <w:t xml:space="preserve">01.07.00 Dotācija </w:t>
            </w:r>
            <w:r w:rsidRPr="00B70060">
              <w:rPr>
                <w:rFonts w:eastAsia="Times New Roman"/>
                <w:iCs/>
              </w:rPr>
              <w:lastRenderedPageBreak/>
              <w:t>brīvpusdienu nodrošināšanai 1.,</w:t>
            </w:r>
            <w:r>
              <w:rPr>
                <w:rFonts w:eastAsia="Times New Roman"/>
                <w:iCs/>
              </w:rPr>
              <w:t xml:space="preserve"> </w:t>
            </w:r>
            <w:r w:rsidRPr="00B70060">
              <w:rPr>
                <w:rFonts w:eastAsia="Times New Roman"/>
                <w:iCs/>
              </w:rPr>
              <w:t>2.,</w:t>
            </w:r>
            <w:r>
              <w:rPr>
                <w:rFonts w:eastAsia="Times New Roman"/>
                <w:iCs/>
              </w:rPr>
              <w:t xml:space="preserve"> </w:t>
            </w:r>
            <w:r w:rsidRPr="00B70060">
              <w:rPr>
                <w:rFonts w:eastAsia="Times New Roman"/>
                <w:iCs/>
              </w:rPr>
              <w:t>3. un 4. klases izglītojamiem</w:t>
            </w:r>
          </w:p>
        </w:tc>
        <w:tc>
          <w:tcPr>
            <w:tcW w:w="1316" w:type="dxa"/>
          </w:tcPr>
          <w:p w14:paraId="5741B309" w14:textId="08A9B1E4" w:rsidR="00256777" w:rsidRPr="00256777" w:rsidRDefault="00256777" w:rsidP="00256777">
            <w:pPr>
              <w:jc w:val="center"/>
              <w:rPr>
                <w:i/>
              </w:rPr>
            </w:pPr>
            <w:r>
              <w:rPr>
                <w:rFonts w:eastAsia="Times New Roman"/>
                <w:iCs/>
              </w:rPr>
              <w:lastRenderedPageBreak/>
              <w:t xml:space="preserve">9 </w:t>
            </w:r>
            <w:r w:rsidRPr="00256777">
              <w:rPr>
                <w:rFonts w:eastAsia="Times New Roman"/>
                <w:iCs/>
              </w:rPr>
              <w:t>840 708</w:t>
            </w:r>
          </w:p>
        </w:tc>
        <w:tc>
          <w:tcPr>
            <w:tcW w:w="1418" w:type="dxa"/>
          </w:tcPr>
          <w:p w14:paraId="0E7E443A" w14:textId="11D2CFB6" w:rsidR="00256777" w:rsidRPr="00256777" w:rsidRDefault="00256777" w:rsidP="00256777">
            <w:pPr>
              <w:jc w:val="center"/>
              <w:rPr>
                <w:i/>
              </w:rPr>
            </w:pPr>
            <w:r>
              <w:rPr>
                <w:rFonts w:eastAsia="Times New Roman"/>
                <w:iCs/>
              </w:rPr>
              <w:t xml:space="preserve">- </w:t>
            </w:r>
            <w:r w:rsidRPr="00256777">
              <w:rPr>
                <w:rFonts w:eastAsia="Times New Roman"/>
                <w:iCs/>
              </w:rPr>
              <w:t>638 000</w:t>
            </w:r>
          </w:p>
        </w:tc>
        <w:tc>
          <w:tcPr>
            <w:tcW w:w="1191" w:type="dxa"/>
          </w:tcPr>
          <w:p w14:paraId="1D0C2463" w14:textId="54E95E77" w:rsidR="00256777" w:rsidRPr="00317B6A" w:rsidRDefault="00256777" w:rsidP="00256777">
            <w:pPr>
              <w:jc w:val="center"/>
              <w:rPr>
                <w:i/>
              </w:rPr>
            </w:pPr>
            <w:r w:rsidRPr="00000B61">
              <w:t>0</w:t>
            </w:r>
          </w:p>
        </w:tc>
        <w:tc>
          <w:tcPr>
            <w:tcW w:w="1393" w:type="dxa"/>
          </w:tcPr>
          <w:p w14:paraId="75DCB018" w14:textId="17D9E914" w:rsidR="00256777" w:rsidRPr="00317B6A" w:rsidRDefault="00256777" w:rsidP="00256777">
            <w:pPr>
              <w:jc w:val="center"/>
              <w:rPr>
                <w:i/>
              </w:rPr>
            </w:pPr>
            <w:r w:rsidRPr="00000B61">
              <w:t>0</w:t>
            </w:r>
          </w:p>
        </w:tc>
        <w:tc>
          <w:tcPr>
            <w:tcW w:w="1129" w:type="dxa"/>
          </w:tcPr>
          <w:p w14:paraId="2E5C8986" w14:textId="1DCF62AF" w:rsidR="00256777" w:rsidRPr="00317B6A" w:rsidRDefault="00256777" w:rsidP="00256777">
            <w:pPr>
              <w:jc w:val="center"/>
              <w:rPr>
                <w:i/>
              </w:rPr>
            </w:pPr>
            <w:r w:rsidRPr="00000B61">
              <w:t>0</w:t>
            </w:r>
          </w:p>
        </w:tc>
        <w:tc>
          <w:tcPr>
            <w:tcW w:w="1294" w:type="dxa"/>
          </w:tcPr>
          <w:p w14:paraId="2F149673" w14:textId="380992D1" w:rsidR="00256777" w:rsidRDefault="00256777" w:rsidP="00256777">
            <w:pPr>
              <w:jc w:val="center"/>
              <w:rPr>
                <w:i/>
              </w:rPr>
            </w:pPr>
            <w:r w:rsidRPr="00000B61">
              <w:t>0</w:t>
            </w:r>
          </w:p>
        </w:tc>
        <w:tc>
          <w:tcPr>
            <w:tcW w:w="1177" w:type="dxa"/>
          </w:tcPr>
          <w:p w14:paraId="43DC792B" w14:textId="62521B17" w:rsidR="00256777" w:rsidRDefault="00256777" w:rsidP="00256777">
            <w:pPr>
              <w:jc w:val="center"/>
              <w:rPr>
                <w:i/>
              </w:rPr>
            </w:pPr>
            <w:r w:rsidRPr="00000B61">
              <w:t>0</w:t>
            </w:r>
          </w:p>
        </w:tc>
      </w:tr>
      <w:tr w:rsidR="00256777" w:rsidRPr="0033617F" w14:paraId="31757120" w14:textId="77777777" w:rsidTr="00256777">
        <w:trPr>
          <w:jc w:val="center"/>
        </w:trPr>
        <w:tc>
          <w:tcPr>
            <w:tcW w:w="1696" w:type="dxa"/>
          </w:tcPr>
          <w:p w14:paraId="0906CA22" w14:textId="4C423E75" w:rsidR="00256777" w:rsidRPr="0033617F" w:rsidRDefault="00256777" w:rsidP="00256777">
            <w:r w:rsidRPr="00256777">
              <w:rPr>
                <w:rFonts w:eastAsia="Times New Roman"/>
                <w:iCs/>
              </w:rPr>
              <w:lastRenderedPageBreak/>
              <w:t>09.16.00 Dotācija nacionālās nozīmes starptautisku sporta pasākumu organizēšanai Latvijā</w:t>
            </w:r>
          </w:p>
        </w:tc>
        <w:tc>
          <w:tcPr>
            <w:tcW w:w="1316" w:type="dxa"/>
          </w:tcPr>
          <w:p w14:paraId="64852EE0" w14:textId="6F4D5077" w:rsidR="00256777" w:rsidRPr="004B2478" w:rsidRDefault="00256777" w:rsidP="00256777">
            <w:pPr>
              <w:jc w:val="center"/>
              <w:rPr>
                <w:i/>
              </w:rPr>
            </w:pPr>
            <w:r>
              <w:rPr>
                <w:rFonts w:eastAsia="Times New Roman"/>
                <w:iCs/>
              </w:rPr>
              <w:t>484 830</w:t>
            </w:r>
          </w:p>
        </w:tc>
        <w:tc>
          <w:tcPr>
            <w:tcW w:w="1418" w:type="dxa"/>
          </w:tcPr>
          <w:p w14:paraId="64642DE0" w14:textId="2D62AB26" w:rsidR="00256777" w:rsidRDefault="00256777" w:rsidP="00256777">
            <w:pPr>
              <w:jc w:val="center"/>
              <w:rPr>
                <w:i/>
              </w:rPr>
            </w:pPr>
            <w:r>
              <w:rPr>
                <w:rFonts w:eastAsia="Times New Roman"/>
                <w:iCs/>
              </w:rPr>
              <w:t>385 000</w:t>
            </w:r>
          </w:p>
        </w:tc>
        <w:tc>
          <w:tcPr>
            <w:tcW w:w="1191" w:type="dxa"/>
          </w:tcPr>
          <w:p w14:paraId="7240D6CB" w14:textId="3BE8A75B" w:rsidR="00256777" w:rsidRPr="00317B6A" w:rsidRDefault="00256777" w:rsidP="00256777">
            <w:pPr>
              <w:jc w:val="center"/>
              <w:rPr>
                <w:i/>
              </w:rPr>
            </w:pPr>
            <w:r w:rsidRPr="00000B61">
              <w:t>0</w:t>
            </w:r>
          </w:p>
        </w:tc>
        <w:tc>
          <w:tcPr>
            <w:tcW w:w="1393" w:type="dxa"/>
          </w:tcPr>
          <w:p w14:paraId="3C7D2394" w14:textId="6769190F" w:rsidR="00256777" w:rsidRPr="00317B6A" w:rsidRDefault="00256777" w:rsidP="00256777">
            <w:pPr>
              <w:jc w:val="center"/>
              <w:rPr>
                <w:i/>
              </w:rPr>
            </w:pPr>
            <w:r w:rsidRPr="00000B61">
              <w:t>0</w:t>
            </w:r>
          </w:p>
        </w:tc>
        <w:tc>
          <w:tcPr>
            <w:tcW w:w="1129" w:type="dxa"/>
          </w:tcPr>
          <w:p w14:paraId="27CACC18" w14:textId="45F34DD5" w:rsidR="00256777" w:rsidRPr="00317B6A" w:rsidRDefault="00256777" w:rsidP="00256777">
            <w:pPr>
              <w:jc w:val="center"/>
              <w:rPr>
                <w:i/>
              </w:rPr>
            </w:pPr>
            <w:r w:rsidRPr="00000B61">
              <w:t>0</w:t>
            </w:r>
          </w:p>
        </w:tc>
        <w:tc>
          <w:tcPr>
            <w:tcW w:w="1294" w:type="dxa"/>
          </w:tcPr>
          <w:p w14:paraId="2A047AB4" w14:textId="21FDC81C" w:rsidR="00256777" w:rsidRDefault="00256777" w:rsidP="00256777">
            <w:pPr>
              <w:jc w:val="center"/>
              <w:rPr>
                <w:i/>
              </w:rPr>
            </w:pPr>
            <w:r w:rsidRPr="00000B61">
              <w:t>0</w:t>
            </w:r>
          </w:p>
        </w:tc>
        <w:tc>
          <w:tcPr>
            <w:tcW w:w="1177" w:type="dxa"/>
          </w:tcPr>
          <w:p w14:paraId="08E417E5" w14:textId="1FF2AAF2" w:rsidR="00256777" w:rsidRDefault="00256777" w:rsidP="00256777">
            <w:pPr>
              <w:jc w:val="center"/>
              <w:rPr>
                <w:i/>
              </w:rPr>
            </w:pPr>
            <w:r w:rsidRPr="00000B61">
              <w:t>0</w:t>
            </w:r>
          </w:p>
        </w:tc>
      </w:tr>
      <w:tr w:rsidR="00256777" w:rsidRPr="0033617F" w14:paraId="18A0A344" w14:textId="77777777" w:rsidTr="00256777">
        <w:trPr>
          <w:jc w:val="center"/>
        </w:trPr>
        <w:tc>
          <w:tcPr>
            <w:tcW w:w="1696" w:type="dxa"/>
          </w:tcPr>
          <w:p w14:paraId="60FFC3C0" w14:textId="38346844" w:rsidR="00256777" w:rsidRPr="00B70060" w:rsidRDefault="00256777" w:rsidP="00256777">
            <w:pPr>
              <w:rPr>
                <w:rFonts w:eastAsia="Times New Roman"/>
                <w:iCs/>
              </w:rPr>
            </w:pPr>
            <w:r w:rsidRPr="00A87C09">
              <w:rPr>
                <w:rFonts w:eastAsia="Times New Roman"/>
                <w:iCs/>
              </w:rPr>
              <w:t xml:space="preserve">07.00.00 </w:t>
            </w:r>
            <w:r w:rsidRPr="00A87C09">
              <w:t>Informācijas un komunikāciju tehnoloģiju uzturēšana un attīstība</w:t>
            </w:r>
          </w:p>
        </w:tc>
        <w:tc>
          <w:tcPr>
            <w:tcW w:w="1316" w:type="dxa"/>
          </w:tcPr>
          <w:p w14:paraId="4F058B91" w14:textId="0D2B9FF7" w:rsidR="00256777" w:rsidRPr="00B70060" w:rsidRDefault="0048436B" w:rsidP="0048436B">
            <w:pPr>
              <w:jc w:val="center"/>
              <w:rPr>
                <w:rFonts w:eastAsia="Times New Roman"/>
                <w:iCs/>
              </w:rPr>
            </w:pPr>
            <w:r w:rsidRPr="0048436B">
              <w:rPr>
                <w:rFonts w:eastAsia="Times New Roman"/>
                <w:iCs/>
              </w:rPr>
              <w:t>1 657 224</w:t>
            </w:r>
          </w:p>
        </w:tc>
        <w:tc>
          <w:tcPr>
            <w:tcW w:w="1418" w:type="dxa"/>
          </w:tcPr>
          <w:p w14:paraId="22C82C51" w14:textId="44355AD8" w:rsidR="00256777" w:rsidRPr="00B70060" w:rsidRDefault="00256777" w:rsidP="00256777">
            <w:pPr>
              <w:jc w:val="center"/>
              <w:rPr>
                <w:rFonts w:eastAsia="Times New Roman"/>
                <w:iCs/>
              </w:rPr>
            </w:pPr>
            <w:r w:rsidRPr="00A87C09">
              <w:rPr>
                <w:rFonts w:eastAsia="Times New Roman"/>
                <w:iCs/>
              </w:rPr>
              <w:t>253 000</w:t>
            </w:r>
          </w:p>
        </w:tc>
        <w:tc>
          <w:tcPr>
            <w:tcW w:w="1191" w:type="dxa"/>
          </w:tcPr>
          <w:p w14:paraId="7458F5D1" w14:textId="4B7AC2D9" w:rsidR="00256777" w:rsidRPr="00000B61" w:rsidRDefault="00256777" w:rsidP="00256777">
            <w:pPr>
              <w:jc w:val="center"/>
            </w:pPr>
            <w:r w:rsidRPr="00000B61">
              <w:t>0</w:t>
            </w:r>
          </w:p>
        </w:tc>
        <w:tc>
          <w:tcPr>
            <w:tcW w:w="1393" w:type="dxa"/>
          </w:tcPr>
          <w:p w14:paraId="13DB3D54" w14:textId="3F91E662" w:rsidR="00256777" w:rsidRPr="00000B61" w:rsidRDefault="00256777" w:rsidP="00256777">
            <w:pPr>
              <w:jc w:val="center"/>
            </w:pPr>
            <w:r w:rsidRPr="00000B61">
              <w:t>0</w:t>
            </w:r>
          </w:p>
        </w:tc>
        <w:tc>
          <w:tcPr>
            <w:tcW w:w="1129" w:type="dxa"/>
          </w:tcPr>
          <w:p w14:paraId="5CCC704B" w14:textId="5B40187D" w:rsidR="00256777" w:rsidRPr="00000B61" w:rsidRDefault="00256777" w:rsidP="00256777">
            <w:pPr>
              <w:jc w:val="center"/>
            </w:pPr>
            <w:r w:rsidRPr="00000B61">
              <w:t>0</w:t>
            </w:r>
          </w:p>
        </w:tc>
        <w:tc>
          <w:tcPr>
            <w:tcW w:w="1294" w:type="dxa"/>
          </w:tcPr>
          <w:p w14:paraId="29FCD09A" w14:textId="44F859E9" w:rsidR="00256777" w:rsidRPr="00000B61" w:rsidRDefault="00256777" w:rsidP="00256777">
            <w:pPr>
              <w:jc w:val="center"/>
            </w:pPr>
            <w:r w:rsidRPr="00000B61">
              <w:t>0</w:t>
            </w:r>
          </w:p>
        </w:tc>
        <w:tc>
          <w:tcPr>
            <w:tcW w:w="1177" w:type="dxa"/>
          </w:tcPr>
          <w:p w14:paraId="62DB783D" w14:textId="069E2C12" w:rsidR="00256777" w:rsidRPr="00000B61" w:rsidRDefault="00256777" w:rsidP="00256777">
            <w:pPr>
              <w:jc w:val="center"/>
            </w:pPr>
            <w:r w:rsidRPr="00000B61">
              <w:t>0</w:t>
            </w:r>
          </w:p>
        </w:tc>
      </w:tr>
      <w:tr w:rsidR="00256777" w:rsidRPr="0033617F" w14:paraId="5715E9BE" w14:textId="77777777" w:rsidTr="00256777">
        <w:trPr>
          <w:jc w:val="center"/>
        </w:trPr>
        <w:tc>
          <w:tcPr>
            <w:tcW w:w="1696" w:type="dxa"/>
          </w:tcPr>
          <w:p w14:paraId="1242CE48" w14:textId="77777777" w:rsidR="00DA708F" w:rsidRPr="0033617F" w:rsidRDefault="00DA708F" w:rsidP="001B2A96">
            <w:r w:rsidRPr="0033617F">
              <w:t>2.2. valsts speciālais budžets</w:t>
            </w:r>
          </w:p>
        </w:tc>
        <w:tc>
          <w:tcPr>
            <w:tcW w:w="1316" w:type="dxa"/>
          </w:tcPr>
          <w:p w14:paraId="27F052CF" w14:textId="77777777" w:rsidR="00DA708F" w:rsidRPr="004B2478" w:rsidRDefault="00DA708F" w:rsidP="001B2A96">
            <w:pPr>
              <w:jc w:val="center"/>
            </w:pPr>
          </w:p>
        </w:tc>
        <w:tc>
          <w:tcPr>
            <w:tcW w:w="1418" w:type="dxa"/>
          </w:tcPr>
          <w:p w14:paraId="49A5A0F2" w14:textId="77777777" w:rsidR="00DA708F" w:rsidRPr="004B2478" w:rsidRDefault="00DA708F" w:rsidP="001B2A96">
            <w:pPr>
              <w:jc w:val="center"/>
            </w:pPr>
          </w:p>
        </w:tc>
        <w:tc>
          <w:tcPr>
            <w:tcW w:w="1191" w:type="dxa"/>
          </w:tcPr>
          <w:p w14:paraId="721C4445" w14:textId="77777777" w:rsidR="00DA708F" w:rsidRPr="00317B6A" w:rsidRDefault="00DA708F" w:rsidP="001B2A96">
            <w:pPr>
              <w:jc w:val="center"/>
            </w:pPr>
          </w:p>
        </w:tc>
        <w:tc>
          <w:tcPr>
            <w:tcW w:w="1393" w:type="dxa"/>
          </w:tcPr>
          <w:p w14:paraId="4173FB89" w14:textId="77777777" w:rsidR="00DA708F" w:rsidRPr="00317B6A" w:rsidRDefault="00DA708F" w:rsidP="001B2A96">
            <w:pPr>
              <w:jc w:val="center"/>
            </w:pPr>
          </w:p>
        </w:tc>
        <w:tc>
          <w:tcPr>
            <w:tcW w:w="1129" w:type="dxa"/>
          </w:tcPr>
          <w:p w14:paraId="198582F9" w14:textId="77777777" w:rsidR="00DA708F" w:rsidRPr="00317B6A" w:rsidRDefault="00DA708F" w:rsidP="001B2A96">
            <w:pPr>
              <w:jc w:val="center"/>
            </w:pPr>
          </w:p>
        </w:tc>
        <w:tc>
          <w:tcPr>
            <w:tcW w:w="1294" w:type="dxa"/>
          </w:tcPr>
          <w:p w14:paraId="31FE59E2" w14:textId="77777777" w:rsidR="00DA708F" w:rsidRPr="00317B6A" w:rsidRDefault="00DA708F" w:rsidP="001B2A96">
            <w:pPr>
              <w:jc w:val="center"/>
            </w:pPr>
          </w:p>
        </w:tc>
        <w:tc>
          <w:tcPr>
            <w:tcW w:w="1177" w:type="dxa"/>
          </w:tcPr>
          <w:p w14:paraId="05CAFB43" w14:textId="77777777" w:rsidR="00DA708F" w:rsidRPr="00317B6A" w:rsidRDefault="00DA708F" w:rsidP="001B2A96">
            <w:pPr>
              <w:jc w:val="center"/>
            </w:pPr>
          </w:p>
        </w:tc>
      </w:tr>
      <w:tr w:rsidR="00256777" w:rsidRPr="0033617F" w14:paraId="4668E250" w14:textId="77777777" w:rsidTr="00256777">
        <w:trPr>
          <w:jc w:val="center"/>
        </w:trPr>
        <w:tc>
          <w:tcPr>
            <w:tcW w:w="1696" w:type="dxa"/>
          </w:tcPr>
          <w:p w14:paraId="7EB504E5" w14:textId="77777777" w:rsidR="00DA708F" w:rsidRPr="0033617F" w:rsidRDefault="00DA708F" w:rsidP="001B2A96">
            <w:r w:rsidRPr="0033617F">
              <w:t xml:space="preserve">2.3. pašvaldību budžets </w:t>
            </w:r>
          </w:p>
        </w:tc>
        <w:tc>
          <w:tcPr>
            <w:tcW w:w="1316" w:type="dxa"/>
          </w:tcPr>
          <w:p w14:paraId="0189D475" w14:textId="77777777" w:rsidR="00DA708F" w:rsidRPr="004B2478" w:rsidRDefault="00DA708F" w:rsidP="001B2A96">
            <w:pPr>
              <w:jc w:val="center"/>
            </w:pPr>
          </w:p>
        </w:tc>
        <w:tc>
          <w:tcPr>
            <w:tcW w:w="1418" w:type="dxa"/>
          </w:tcPr>
          <w:p w14:paraId="1FA84B5F" w14:textId="77777777" w:rsidR="00DA708F" w:rsidRPr="004B2478" w:rsidRDefault="00DA708F" w:rsidP="001B2A96">
            <w:pPr>
              <w:jc w:val="center"/>
            </w:pPr>
          </w:p>
        </w:tc>
        <w:tc>
          <w:tcPr>
            <w:tcW w:w="1191" w:type="dxa"/>
          </w:tcPr>
          <w:p w14:paraId="16603E34" w14:textId="77777777" w:rsidR="00DA708F" w:rsidRPr="00317B6A" w:rsidRDefault="00DA708F" w:rsidP="001B2A96">
            <w:pPr>
              <w:jc w:val="center"/>
            </w:pPr>
          </w:p>
        </w:tc>
        <w:tc>
          <w:tcPr>
            <w:tcW w:w="1393" w:type="dxa"/>
          </w:tcPr>
          <w:p w14:paraId="053F02D6" w14:textId="77777777" w:rsidR="00DA708F" w:rsidRPr="00317B6A" w:rsidRDefault="00DA708F" w:rsidP="001B2A96">
            <w:pPr>
              <w:jc w:val="center"/>
            </w:pPr>
          </w:p>
        </w:tc>
        <w:tc>
          <w:tcPr>
            <w:tcW w:w="1129" w:type="dxa"/>
          </w:tcPr>
          <w:p w14:paraId="5D5C6E78" w14:textId="77777777" w:rsidR="00DA708F" w:rsidRPr="00317B6A" w:rsidRDefault="00DA708F" w:rsidP="001B2A96">
            <w:pPr>
              <w:jc w:val="center"/>
            </w:pPr>
          </w:p>
        </w:tc>
        <w:tc>
          <w:tcPr>
            <w:tcW w:w="1294" w:type="dxa"/>
          </w:tcPr>
          <w:p w14:paraId="3E06E5EC" w14:textId="77777777" w:rsidR="00DA708F" w:rsidRPr="00317B6A" w:rsidRDefault="00DA708F" w:rsidP="001B2A96">
            <w:pPr>
              <w:jc w:val="center"/>
            </w:pPr>
          </w:p>
        </w:tc>
        <w:tc>
          <w:tcPr>
            <w:tcW w:w="1177" w:type="dxa"/>
          </w:tcPr>
          <w:p w14:paraId="29AF5552" w14:textId="77777777" w:rsidR="00DA708F" w:rsidRPr="00317B6A" w:rsidRDefault="00DA708F" w:rsidP="001B2A96">
            <w:pPr>
              <w:jc w:val="center"/>
            </w:pPr>
          </w:p>
        </w:tc>
      </w:tr>
      <w:tr w:rsidR="00256777" w:rsidRPr="0033617F" w14:paraId="5EF983C5" w14:textId="77777777" w:rsidTr="00256777">
        <w:trPr>
          <w:jc w:val="center"/>
        </w:trPr>
        <w:tc>
          <w:tcPr>
            <w:tcW w:w="1696" w:type="dxa"/>
          </w:tcPr>
          <w:p w14:paraId="40BEE164" w14:textId="77777777" w:rsidR="00DA708F" w:rsidRPr="0033617F" w:rsidRDefault="00DA708F" w:rsidP="001B2A96">
            <w:r w:rsidRPr="0033617F">
              <w:t>3. Finansiālā ietekme:</w:t>
            </w:r>
          </w:p>
        </w:tc>
        <w:tc>
          <w:tcPr>
            <w:tcW w:w="1316" w:type="dxa"/>
            <w:shd w:val="clear" w:color="auto" w:fill="auto"/>
          </w:tcPr>
          <w:p w14:paraId="75D99A5B" w14:textId="77777777" w:rsidR="00DA708F" w:rsidRPr="004B2478" w:rsidRDefault="00DA708F" w:rsidP="001B2A96">
            <w:pPr>
              <w:jc w:val="center"/>
              <w:rPr>
                <w:b/>
              </w:rPr>
            </w:pPr>
            <w:r w:rsidRPr="004B2478">
              <w:rPr>
                <w:b/>
              </w:rPr>
              <w:t>0</w:t>
            </w:r>
          </w:p>
        </w:tc>
        <w:tc>
          <w:tcPr>
            <w:tcW w:w="1418" w:type="dxa"/>
          </w:tcPr>
          <w:p w14:paraId="38039DE1" w14:textId="2F58E139" w:rsidR="00DA708F" w:rsidRPr="004B2478" w:rsidRDefault="00257AD9" w:rsidP="000D0EED">
            <w:pPr>
              <w:jc w:val="center"/>
              <w:rPr>
                <w:b/>
              </w:rPr>
            </w:pPr>
            <w:r>
              <w:rPr>
                <w:b/>
              </w:rPr>
              <w:t>0</w:t>
            </w:r>
          </w:p>
        </w:tc>
        <w:tc>
          <w:tcPr>
            <w:tcW w:w="1191" w:type="dxa"/>
          </w:tcPr>
          <w:p w14:paraId="7DCC8E49" w14:textId="77777777" w:rsidR="00DA708F" w:rsidRPr="00317B6A" w:rsidRDefault="00DA708F" w:rsidP="001B2A96">
            <w:pPr>
              <w:jc w:val="center"/>
              <w:rPr>
                <w:b/>
              </w:rPr>
            </w:pPr>
            <w:r w:rsidRPr="00317B6A">
              <w:rPr>
                <w:b/>
              </w:rPr>
              <w:t>0</w:t>
            </w:r>
          </w:p>
        </w:tc>
        <w:tc>
          <w:tcPr>
            <w:tcW w:w="1393" w:type="dxa"/>
          </w:tcPr>
          <w:p w14:paraId="2B7B86A6" w14:textId="77777777" w:rsidR="00DA708F" w:rsidRPr="00317B6A" w:rsidRDefault="00DA708F" w:rsidP="001B2A96">
            <w:pPr>
              <w:jc w:val="center"/>
              <w:rPr>
                <w:b/>
              </w:rPr>
            </w:pPr>
            <w:r w:rsidRPr="00317B6A">
              <w:rPr>
                <w:b/>
              </w:rPr>
              <w:t>0</w:t>
            </w:r>
          </w:p>
        </w:tc>
        <w:tc>
          <w:tcPr>
            <w:tcW w:w="1129" w:type="dxa"/>
          </w:tcPr>
          <w:p w14:paraId="3CE95929" w14:textId="77777777" w:rsidR="00DA708F" w:rsidRPr="00317B6A" w:rsidRDefault="00DA708F" w:rsidP="001B2A96">
            <w:pPr>
              <w:jc w:val="center"/>
              <w:rPr>
                <w:b/>
              </w:rPr>
            </w:pPr>
            <w:r w:rsidRPr="00317B6A">
              <w:rPr>
                <w:b/>
              </w:rPr>
              <w:t>0</w:t>
            </w:r>
          </w:p>
        </w:tc>
        <w:tc>
          <w:tcPr>
            <w:tcW w:w="1294" w:type="dxa"/>
          </w:tcPr>
          <w:p w14:paraId="5F0E3EFA" w14:textId="77777777" w:rsidR="00DA708F" w:rsidRPr="00317B6A" w:rsidRDefault="00DA708F" w:rsidP="001B2A96">
            <w:pPr>
              <w:jc w:val="center"/>
              <w:rPr>
                <w:b/>
              </w:rPr>
            </w:pPr>
            <w:r>
              <w:rPr>
                <w:b/>
              </w:rPr>
              <w:t>0</w:t>
            </w:r>
          </w:p>
        </w:tc>
        <w:tc>
          <w:tcPr>
            <w:tcW w:w="1177" w:type="dxa"/>
          </w:tcPr>
          <w:p w14:paraId="4092E8CB" w14:textId="77777777" w:rsidR="00DA708F" w:rsidRPr="00317B6A" w:rsidRDefault="00DA708F" w:rsidP="001B2A96">
            <w:pPr>
              <w:jc w:val="center"/>
              <w:rPr>
                <w:b/>
              </w:rPr>
            </w:pPr>
            <w:r>
              <w:rPr>
                <w:b/>
              </w:rPr>
              <w:t>0</w:t>
            </w:r>
          </w:p>
        </w:tc>
      </w:tr>
      <w:tr w:rsidR="00256777" w:rsidRPr="0033617F" w14:paraId="0C81E4A5" w14:textId="77777777" w:rsidTr="00256777">
        <w:trPr>
          <w:jc w:val="center"/>
        </w:trPr>
        <w:tc>
          <w:tcPr>
            <w:tcW w:w="1696" w:type="dxa"/>
          </w:tcPr>
          <w:p w14:paraId="2540F61C" w14:textId="77777777" w:rsidR="00DA708F" w:rsidRPr="0033617F" w:rsidRDefault="00DA708F" w:rsidP="001B2A96">
            <w:r w:rsidRPr="0033617F">
              <w:t>3.1. valsts pamatbudžets</w:t>
            </w:r>
          </w:p>
        </w:tc>
        <w:tc>
          <w:tcPr>
            <w:tcW w:w="1316" w:type="dxa"/>
            <w:shd w:val="clear" w:color="auto" w:fill="auto"/>
          </w:tcPr>
          <w:p w14:paraId="482E45F8" w14:textId="77777777" w:rsidR="00DA708F" w:rsidRPr="004B2478" w:rsidRDefault="00DA708F" w:rsidP="001B2A96">
            <w:pPr>
              <w:jc w:val="center"/>
              <w:rPr>
                <w:i/>
              </w:rPr>
            </w:pPr>
            <w:r w:rsidRPr="004B2478">
              <w:rPr>
                <w:i/>
              </w:rPr>
              <w:t>0</w:t>
            </w:r>
          </w:p>
        </w:tc>
        <w:tc>
          <w:tcPr>
            <w:tcW w:w="1418" w:type="dxa"/>
          </w:tcPr>
          <w:p w14:paraId="323F24F8" w14:textId="45B96B28" w:rsidR="00DA708F" w:rsidRPr="004B2478" w:rsidRDefault="00257AD9" w:rsidP="000D0EED">
            <w:pPr>
              <w:jc w:val="center"/>
              <w:rPr>
                <w:i/>
              </w:rPr>
            </w:pPr>
            <w:r>
              <w:rPr>
                <w:i/>
              </w:rPr>
              <w:t>0</w:t>
            </w:r>
          </w:p>
        </w:tc>
        <w:tc>
          <w:tcPr>
            <w:tcW w:w="1191" w:type="dxa"/>
          </w:tcPr>
          <w:p w14:paraId="3B7A0AD2" w14:textId="77777777" w:rsidR="00DA708F" w:rsidRPr="00317B6A" w:rsidRDefault="00DA708F" w:rsidP="001B2A96">
            <w:pPr>
              <w:jc w:val="center"/>
              <w:rPr>
                <w:i/>
              </w:rPr>
            </w:pPr>
            <w:r w:rsidRPr="00317B6A">
              <w:rPr>
                <w:i/>
              </w:rPr>
              <w:t>0</w:t>
            </w:r>
          </w:p>
        </w:tc>
        <w:tc>
          <w:tcPr>
            <w:tcW w:w="1393" w:type="dxa"/>
          </w:tcPr>
          <w:p w14:paraId="53FDF421" w14:textId="77777777" w:rsidR="00DA708F" w:rsidRPr="00317B6A" w:rsidRDefault="00DA708F" w:rsidP="001B2A96">
            <w:pPr>
              <w:jc w:val="center"/>
              <w:rPr>
                <w:i/>
              </w:rPr>
            </w:pPr>
            <w:r w:rsidRPr="00317B6A">
              <w:rPr>
                <w:i/>
              </w:rPr>
              <w:t>0</w:t>
            </w:r>
          </w:p>
        </w:tc>
        <w:tc>
          <w:tcPr>
            <w:tcW w:w="1129" w:type="dxa"/>
          </w:tcPr>
          <w:p w14:paraId="508B67A9" w14:textId="77777777" w:rsidR="00DA708F" w:rsidRPr="00317B6A" w:rsidRDefault="00DA708F" w:rsidP="001B2A96">
            <w:pPr>
              <w:jc w:val="center"/>
              <w:rPr>
                <w:i/>
              </w:rPr>
            </w:pPr>
            <w:r w:rsidRPr="00317B6A">
              <w:rPr>
                <w:i/>
              </w:rPr>
              <w:t>0</w:t>
            </w:r>
          </w:p>
        </w:tc>
        <w:tc>
          <w:tcPr>
            <w:tcW w:w="1294" w:type="dxa"/>
          </w:tcPr>
          <w:p w14:paraId="0F1497CA" w14:textId="77777777" w:rsidR="00DA708F" w:rsidRPr="00317B6A" w:rsidRDefault="00DA708F" w:rsidP="001B2A96">
            <w:pPr>
              <w:jc w:val="center"/>
              <w:rPr>
                <w:i/>
              </w:rPr>
            </w:pPr>
            <w:r>
              <w:rPr>
                <w:i/>
              </w:rPr>
              <w:t>0</w:t>
            </w:r>
          </w:p>
        </w:tc>
        <w:tc>
          <w:tcPr>
            <w:tcW w:w="1177" w:type="dxa"/>
          </w:tcPr>
          <w:p w14:paraId="240FC83F" w14:textId="77777777" w:rsidR="00DA708F" w:rsidRPr="00317B6A" w:rsidRDefault="00DA708F" w:rsidP="001B2A96">
            <w:pPr>
              <w:jc w:val="center"/>
              <w:rPr>
                <w:i/>
              </w:rPr>
            </w:pPr>
            <w:r>
              <w:rPr>
                <w:i/>
              </w:rPr>
              <w:t>0</w:t>
            </w:r>
          </w:p>
        </w:tc>
      </w:tr>
      <w:tr w:rsidR="00256777" w:rsidRPr="0033617F" w14:paraId="7ADBC024" w14:textId="77777777" w:rsidTr="00256777">
        <w:trPr>
          <w:jc w:val="center"/>
        </w:trPr>
        <w:tc>
          <w:tcPr>
            <w:tcW w:w="1696" w:type="dxa"/>
          </w:tcPr>
          <w:p w14:paraId="6E2D338E" w14:textId="77777777" w:rsidR="00DA708F" w:rsidRPr="0033617F" w:rsidRDefault="00DA708F" w:rsidP="001B2A96">
            <w:r w:rsidRPr="0033617F">
              <w:t>3.2. speciālais budžets</w:t>
            </w:r>
          </w:p>
        </w:tc>
        <w:tc>
          <w:tcPr>
            <w:tcW w:w="1316" w:type="dxa"/>
            <w:shd w:val="clear" w:color="auto" w:fill="auto"/>
          </w:tcPr>
          <w:p w14:paraId="571FAF78" w14:textId="77777777" w:rsidR="00DA708F" w:rsidRPr="004B2478" w:rsidRDefault="00DA708F" w:rsidP="001B2A96">
            <w:pPr>
              <w:jc w:val="center"/>
            </w:pPr>
          </w:p>
        </w:tc>
        <w:tc>
          <w:tcPr>
            <w:tcW w:w="1418" w:type="dxa"/>
          </w:tcPr>
          <w:p w14:paraId="759B632F" w14:textId="77777777" w:rsidR="00DA708F" w:rsidRPr="004B2478" w:rsidRDefault="00DA708F" w:rsidP="001B2A96">
            <w:pPr>
              <w:jc w:val="center"/>
            </w:pPr>
          </w:p>
        </w:tc>
        <w:tc>
          <w:tcPr>
            <w:tcW w:w="1191" w:type="dxa"/>
          </w:tcPr>
          <w:p w14:paraId="6539050C" w14:textId="77777777" w:rsidR="00DA708F" w:rsidRPr="00317B6A" w:rsidRDefault="00DA708F" w:rsidP="001B2A96">
            <w:pPr>
              <w:jc w:val="center"/>
            </w:pPr>
          </w:p>
        </w:tc>
        <w:tc>
          <w:tcPr>
            <w:tcW w:w="1393" w:type="dxa"/>
          </w:tcPr>
          <w:p w14:paraId="57838AAE" w14:textId="77777777" w:rsidR="00DA708F" w:rsidRPr="00317B6A" w:rsidRDefault="00DA708F" w:rsidP="001B2A96">
            <w:pPr>
              <w:jc w:val="center"/>
            </w:pPr>
          </w:p>
        </w:tc>
        <w:tc>
          <w:tcPr>
            <w:tcW w:w="1129" w:type="dxa"/>
          </w:tcPr>
          <w:p w14:paraId="6C6C0F92" w14:textId="77777777" w:rsidR="00DA708F" w:rsidRPr="00317B6A" w:rsidRDefault="00DA708F" w:rsidP="001B2A96">
            <w:pPr>
              <w:jc w:val="center"/>
            </w:pPr>
          </w:p>
        </w:tc>
        <w:tc>
          <w:tcPr>
            <w:tcW w:w="1294" w:type="dxa"/>
          </w:tcPr>
          <w:p w14:paraId="089E567E" w14:textId="77777777" w:rsidR="00DA708F" w:rsidRPr="00317B6A" w:rsidRDefault="00DA708F" w:rsidP="001B2A96">
            <w:pPr>
              <w:jc w:val="center"/>
            </w:pPr>
          </w:p>
        </w:tc>
        <w:tc>
          <w:tcPr>
            <w:tcW w:w="1177" w:type="dxa"/>
          </w:tcPr>
          <w:p w14:paraId="3D68DC64" w14:textId="77777777" w:rsidR="00DA708F" w:rsidRPr="00317B6A" w:rsidRDefault="00DA708F" w:rsidP="001B2A96">
            <w:pPr>
              <w:jc w:val="center"/>
            </w:pPr>
          </w:p>
        </w:tc>
      </w:tr>
      <w:tr w:rsidR="00256777" w:rsidRPr="0033617F" w14:paraId="34AFC7C3" w14:textId="77777777" w:rsidTr="00256777">
        <w:trPr>
          <w:jc w:val="center"/>
        </w:trPr>
        <w:tc>
          <w:tcPr>
            <w:tcW w:w="1696" w:type="dxa"/>
          </w:tcPr>
          <w:p w14:paraId="5B6720C9" w14:textId="77777777" w:rsidR="00DA708F" w:rsidRPr="0033617F" w:rsidRDefault="00DA708F" w:rsidP="001B2A96">
            <w:r w:rsidRPr="0033617F">
              <w:t xml:space="preserve">3.3. pašvaldību budžets </w:t>
            </w:r>
          </w:p>
        </w:tc>
        <w:tc>
          <w:tcPr>
            <w:tcW w:w="1316" w:type="dxa"/>
            <w:shd w:val="clear" w:color="auto" w:fill="auto"/>
          </w:tcPr>
          <w:p w14:paraId="1E6194AA" w14:textId="77777777" w:rsidR="00DA708F" w:rsidRPr="004B2478" w:rsidRDefault="00DA708F" w:rsidP="001B2A96">
            <w:pPr>
              <w:jc w:val="center"/>
            </w:pPr>
          </w:p>
        </w:tc>
        <w:tc>
          <w:tcPr>
            <w:tcW w:w="1418" w:type="dxa"/>
          </w:tcPr>
          <w:p w14:paraId="209108D7" w14:textId="77777777" w:rsidR="00DA708F" w:rsidRPr="004B2478" w:rsidRDefault="00DA708F" w:rsidP="001B2A96">
            <w:pPr>
              <w:jc w:val="center"/>
            </w:pPr>
          </w:p>
        </w:tc>
        <w:tc>
          <w:tcPr>
            <w:tcW w:w="1191" w:type="dxa"/>
          </w:tcPr>
          <w:p w14:paraId="770CD3BA" w14:textId="77777777" w:rsidR="00DA708F" w:rsidRPr="00317B6A" w:rsidRDefault="00DA708F" w:rsidP="001B2A96">
            <w:pPr>
              <w:jc w:val="center"/>
            </w:pPr>
          </w:p>
        </w:tc>
        <w:tc>
          <w:tcPr>
            <w:tcW w:w="1393" w:type="dxa"/>
          </w:tcPr>
          <w:p w14:paraId="42238C8B" w14:textId="77777777" w:rsidR="00DA708F" w:rsidRPr="00317B6A" w:rsidRDefault="00DA708F" w:rsidP="001B2A96">
            <w:pPr>
              <w:jc w:val="center"/>
            </w:pPr>
          </w:p>
        </w:tc>
        <w:tc>
          <w:tcPr>
            <w:tcW w:w="1129" w:type="dxa"/>
          </w:tcPr>
          <w:p w14:paraId="68D381A4" w14:textId="77777777" w:rsidR="00DA708F" w:rsidRPr="00317B6A" w:rsidRDefault="00DA708F" w:rsidP="001B2A96">
            <w:pPr>
              <w:jc w:val="center"/>
            </w:pPr>
          </w:p>
        </w:tc>
        <w:tc>
          <w:tcPr>
            <w:tcW w:w="1294" w:type="dxa"/>
          </w:tcPr>
          <w:p w14:paraId="152165EB" w14:textId="77777777" w:rsidR="00DA708F" w:rsidRPr="00317B6A" w:rsidRDefault="00DA708F" w:rsidP="001B2A96">
            <w:pPr>
              <w:jc w:val="center"/>
            </w:pPr>
          </w:p>
        </w:tc>
        <w:tc>
          <w:tcPr>
            <w:tcW w:w="1177" w:type="dxa"/>
          </w:tcPr>
          <w:p w14:paraId="3D4FAD15" w14:textId="77777777" w:rsidR="00DA708F" w:rsidRPr="00317B6A" w:rsidRDefault="00DA708F" w:rsidP="001B2A96">
            <w:pPr>
              <w:jc w:val="center"/>
            </w:pPr>
          </w:p>
        </w:tc>
      </w:tr>
      <w:tr w:rsidR="00256777" w:rsidRPr="0033617F" w14:paraId="73332940" w14:textId="77777777" w:rsidTr="00256777">
        <w:trPr>
          <w:jc w:val="center"/>
        </w:trPr>
        <w:tc>
          <w:tcPr>
            <w:tcW w:w="1696" w:type="dxa"/>
            <w:vMerge w:val="restart"/>
          </w:tcPr>
          <w:p w14:paraId="568F421B" w14:textId="77777777" w:rsidR="00DA708F" w:rsidRPr="0033617F" w:rsidRDefault="00DA708F" w:rsidP="001B2A96">
            <w:r w:rsidRPr="0033617F">
              <w:t xml:space="preserve">4. Finanšu līdzekļi papildu izdevumu finansēšanai (kompensējošu izdevumu samazinājumu norāda ar </w:t>
            </w:r>
            <w:r>
              <w:t>„</w:t>
            </w:r>
            <w:r w:rsidRPr="0033617F">
              <w:t>+” zīmi)</w:t>
            </w:r>
          </w:p>
        </w:tc>
        <w:tc>
          <w:tcPr>
            <w:tcW w:w="1316" w:type="dxa"/>
            <w:vMerge w:val="restart"/>
          </w:tcPr>
          <w:p w14:paraId="50E7DD79" w14:textId="77777777" w:rsidR="00DA708F" w:rsidRPr="004B2478" w:rsidRDefault="00DA708F" w:rsidP="001B2A96">
            <w:pPr>
              <w:jc w:val="center"/>
              <w:rPr>
                <w:i/>
              </w:rPr>
            </w:pPr>
            <w:r w:rsidRPr="004B2478">
              <w:t>X</w:t>
            </w:r>
          </w:p>
        </w:tc>
        <w:tc>
          <w:tcPr>
            <w:tcW w:w="1418" w:type="dxa"/>
          </w:tcPr>
          <w:p w14:paraId="6A2858BA" w14:textId="34248E5C" w:rsidR="00DA708F" w:rsidRPr="004B2478" w:rsidRDefault="00257AD9" w:rsidP="00AE20AD">
            <w:pPr>
              <w:jc w:val="center"/>
            </w:pPr>
            <w:r>
              <w:t>0</w:t>
            </w:r>
          </w:p>
        </w:tc>
        <w:tc>
          <w:tcPr>
            <w:tcW w:w="1191" w:type="dxa"/>
          </w:tcPr>
          <w:p w14:paraId="28E0B562" w14:textId="77777777" w:rsidR="00DA708F" w:rsidRPr="00317B6A" w:rsidRDefault="00DA708F" w:rsidP="001B2A96">
            <w:pPr>
              <w:jc w:val="center"/>
            </w:pPr>
            <w:r w:rsidRPr="00317B6A">
              <w:t>0</w:t>
            </w:r>
          </w:p>
        </w:tc>
        <w:tc>
          <w:tcPr>
            <w:tcW w:w="1393" w:type="dxa"/>
          </w:tcPr>
          <w:p w14:paraId="4F9B33F6" w14:textId="77777777" w:rsidR="00DA708F" w:rsidRPr="00317B6A" w:rsidRDefault="00DA708F" w:rsidP="001B2A96">
            <w:pPr>
              <w:jc w:val="center"/>
            </w:pPr>
            <w:r w:rsidRPr="00317B6A">
              <w:t>0</w:t>
            </w:r>
          </w:p>
        </w:tc>
        <w:tc>
          <w:tcPr>
            <w:tcW w:w="1129" w:type="dxa"/>
          </w:tcPr>
          <w:p w14:paraId="10254986" w14:textId="77777777" w:rsidR="00DA708F" w:rsidRPr="00317B6A" w:rsidRDefault="00DA708F" w:rsidP="001B2A96">
            <w:pPr>
              <w:jc w:val="center"/>
            </w:pPr>
            <w:r w:rsidRPr="00317B6A">
              <w:t>0</w:t>
            </w:r>
          </w:p>
        </w:tc>
        <w:tc>
          <w:tcPr>
            <w:tcW w:w="1294" w:type="dxa"/>
          </w:tcPr>
          <w:p w14:paraId="01825567" w14:textId="77777777" w:rsidR="00DA708F" w:rsidRPr="00317B6A" w:rsidRDefault="00DA708F" w:rsidP="001B2A96">
            <w:pPr>
              <w:jc w:val="center"/>
            </w:pPr>
            <w:r>
              <w:t>0</w:t>
            </w:r>
          </w:p>
        </w:tc>
        <w:tc>
          <w:tcPr>
            <w:tcW w:w="1177" w:type="dxa"/>
          </w:tcPr>
          <w:p w14:paraId="0012FAFB" w14:textId="77777777" w:rsidR="00DA708F" w:rsidRPr="00317B6A" w:rsidRDefault="00DA708F" w:rsidP="001B2A96">
            <w:pPr>
              <w:jc w:val="center"/>
            </w:pPr>
            <w:r>
              <w:t>0</w:t>
            </w:r>
          </w:p>
        </w:tc>
      </w:tr>
      <w:tr w:rsidR="00256777" w:rsidRPr="0033617F" w14:paraId="3971BAD6" w14:textId="77777777" w:rsidTr="00256777">
        <w:trPr>
          <w:jc w:val="center"/>
        </w:trPr>
        <w:tc>
          <w:tcPr>
            <w:tcW w:w="1696" w:type="dxa"/>
            <w:vMerge/>
          </w:tcPr>
          <w:p w14:paraId="0CC27F30" w14:textId="77777777" w:rsidR="00DA708F" w:rsidRPr="0033617F" w:rsidRDefault="00DA708F" w:rsidP="001B2A96"/>
        </w:tc>
        <w:tc>
          <w:tcPr>
            <w:tcW w:w="1316" w:type="dxa"/>
            <w:vMerge/>
          </w:tcPr>
          <w:p w14:paraId="1C96164D" w14:textId="77777777" w:rsidR="00DA708F" w:rsidRPr="004B2478" w:rsidRDefault="00DA708F" w:rsidP="001B2A96">
            <w:pPr>
              <w:jc w:val="center"/>
              <w:rPr>
                <w:i/>
              </w:rPr>
            </w:pPr>
          </w:p>
        </w:tc>
        <w:tc>
          <w:tcPr>
            <w:tcW w:w="1418" w:type="dxa"/>
          </w:tcPr>
          <w:p w14:paraId="44E254D9" w14:textId="77777777" w:rsidR="00DA708F" w:rsidRPr="004B2478" w:rsidRDefault="00DA708F" w:rsidP="001B2A96">
            <w:pPr>
              <w:jc w:val="center"/>
            </w:pPr>
          </w:p>
        </w:tc>
        <w:tc>
          <w:tcPr>
            <w:tcW w:w="1191" w:type="dxa"/>
          </w:tcPr>
          <w:p w14:paraId="39DDF09C" w14:textId="77777777" w:rsidR="00DA708F" w:rsidRPr="0033617F" w:rsidRDefault="00DA708F" w:rsidP="001B2A96">
            <w:pPr>
              <w:jc w:val="center"/>
            </w:pPr>
          </w:p>
        </w:tc>
        <w:tc>
          <w:tcPr>
            <w:tcW w:w="1393" w:type="dxa"/>
          </w:tcPr>
          <w:p w14:paraId="12645A1B" w14:textId="77777777" w:rsidR="00DA708F" w:rsidRPr="0033617F" w:rsidRDefault="00DA708F" w:rsidP="001B2A96">
            <w:pPr>
              <w:jc w:val="center"/>
            </w:pPr>
          </w:p>
        </w:tc>
        <w:tc>
          <w:tcPr>
            <w:tcW w:w="1129" w:type="dxa"/>
          </w:tcPr>
          <w:p w14:paraId="2EE17196" w14:textId="77777777" w:rsidR="00DA708F" w:rsidRPr="0033617F" w:rsidRDefault="00DA708F" w:rsidP="001B2A96">
            <w:pPr>
              <w:jc w:val="center"/>
            </w:pPr>
          </w:p>
        </w:tc>
        <w:tc>
          <w:tcPr>
            <w:tcW w:w="1294" w:type="dxa"/>
          </w:tcPr>
          <w:p w14:paraId="19CF4EAD" w14:textId="77777777" w:rsidR="00DA708F" w:rsidRPr="0033617F" w:rsidRDefault="00DA708F" w:rsidP="001B2A96">
            <w:pPr>
              <w:jc w:val="center"/>
            </w:pPr>
          </w:p>
        </w:tc>
        <w:tc>
          <w:tcPr>
            <w:tcW w:w="1177" w:type="dxa"/>
          </w:tcPr>
          <w:p w14:paraId="410A0BC1" w14:textId="77777777" w:rsidR="00DA708F" w:rsidRPr="0033617F" w:rsidRDefault="00DA708F" w:rsidP="001B2A96">
            <w:pPr>
              <w:jc w:val="center"/>
            </w:pPr>
          </w:p>
        </w:tc>
      </w:tr>
      <w:tr w:rsidR="00256777" w:rsidRPr="0033617F" w14:paraId="17DABB5B" w14:textId="77777777" w:rsidTr="00256777">
        <w:trPr>
          <w:jc w:val="center"/>
        </w:trPr>
        <w:tc>
          <w:tcPr>
            <w:tcW w:w="1696" w:type="dxa"/>
            <w:vMerge/>
          </w:tcPr>
          <w:p w14:paraId="5B1987C5" w14:textId="77777777" w:rsidR="00DA708F" w:rsidRPr="0033617F" w:rsidRDefault="00DA708F" w:rsidP="001B2A96"/>
        </w:tc>
        <w:tc>
          <w:tcPr>
            <w:tcW w:w="1316" w:type="dxa"/>
            <w:vMerge/>
          </w:tcPr>
          <w:p w14:paraId="7D7A7D36" w14:textId="77777777" w:rsidR="00DA708F" w:rsidRPr="0033617F" w:rsidRDefault="00DA708F" w:rsidP="001B2A96">
            <w:pPr>
              <w:jc w:val="center"/>
              <w:rPr>
                <w:i/>
              </w:rPr>
            </w:pPr>
          </w:p>
        </w:tc>
        <w:tc>
          <w:tcPr>
            <w:tcW w:w="1418" w:type="dxa"/>
          </w:tcPr>
          <w:p w14:paraId="5F2268FE" w14:textId="77777777" w:rsidR="00DA708F" w:rsidRDefault="00DA708F" w:rsidP="001B2A96">
            <w:pPr>
              <w:jc w:val="center"/>
            </w:pPr>
          </w:p>
          <w:p w14:paraId="4622B329" w14:textId="77777777" w:rsidR="00DA708F" w:rsidRPr="002643AF" w:rsidRDefault="00DA708F" w:rsidP="001B2A96">
            <w:pPr>
              <w:jc w:val="center"/>
            </w:pPr>
          </w:p>
        </w:tc>
        <w:tc>
          <w:tcPr>
            <w:tcW w:w="1191" w:type="dxa"/>
          </w:tcPr>
          <w:p w14:paraId="3C401266" w14:textId="77777777" w:rsidR="00DA708F" w:rsidRPr="0033617F" w:rsidRDefault="00DA708F" w:rsidP="001B2A96">
            <w:pPr>
              <w:jc w:val="center"/>
            </w:pPr>
          </w:p>
        </w:tc>
        <w:tc>
          <w:tcPr>
            <w:tcW w:w="1393" w:type="dxa"/>
          </w:tcPr>
          <w:p w14:paraId="010E991E" w14:textId="77777777" w:rsidR="00DA708F" w:rsidRPr="0033617F" w:rsidRDefault="00DA708F" w:rsidP="001B2A96">
            <w:pPr>
              <w:jc w:val="center"/>
            </w:pPr>
          </w:p>
        </w:tc>
        <w:tc>
          <w:tcPr>
            <w:tcW w:w="1129" w:type="dxa"/>
          </w:tcPr>
          <w:p w14:paraId="2814C102" w14:textId="77777777" w:rsidR="00DA708F" w:rsidRPr="0033617F" w:rsidRDefault="00DA708F" w:rsidP="001B2A96">
            <w:pPr>
              <w:jc w:val="center"/>
            </w:pPr>
          </w:p>
        </w:tc>
        <w:tc>
          <w:tcPr>
            <w:tcW w:w="1294" w:type="dxa"/>
          </w:tcPr>
          <w:p w14:paraId="3F3D2A8B" w14:textId="77777777" w:rsidR="00DA708F" w:rsidRPr="0033617F" w:rsidRDefault="00DA708F" w:rsidP="001B2A96">
            <w:pPr>
              <w:jc w:val="center"/>
            </w:pPr>
          </w:p>
        </w:tc>
        <w:tc>
          <w:tcPr>
            <w:tcW w:w="1177" w:type="dxa"/>
          </w:tcPr>
          <w:p w14:paraId="2895DA0C" w14:textId="77777777" w:rsidR="00DA708F" w:rsidRPr="0033617F" w:rsidRDefault="00DA708F" w:rsidP="001B2A96">
            <w:pPr>
              <w:jc w:val="center"/>
            </w:pPr>
          </w:p>
        </w:tc>
      </w:tr>
      <w:tr w:rsidR="00256777" w:rsidRPr="0033617F" w14:paraId="3FAD8564" w14:textId="77777777" w:rsidTr="00256777">
        <w:trPr>
          <w:jc w:val="center"/>
        </w:trPr>
        <w:tc>
          <w:tcPr>
            <w:tcW w:w="1696" w:type="dxa"/>
          </w:tcPr>
          <w:p w14:paraId="3D523FFD" w14:textId="77777777" w:rsidR="00DA708F" w:rsidRPr="0033617F" w:rsidRDefault="00DA708F" w:rsidP="001B2A96">
            <w:r w:rsidRPr="0033617F">
              <w:t>5. Precizēta finansiālā ietekme:</w:t>
            </w:r>
          </w:p>
        </w:tc>
        <w:tc>
          <w:tcPr>
            <w:tcW w:w="1316" w:type="dxa"/>
            <w:vMerge w:val="restart"/>
          </w:tcPr>
          <w:p w14:paraId="669FAE87" w14:textId="79C73C4E" w:rsidR="00DA708F" w:rsidRPr="00317B6A" w:rsidRDefault="00DA708F" w:rsidP="003C19BF">
            <w:pPr>
              <w:jc w:val="center"/>
              <w:rPr>
                <w:i/>
              </w:rPr>
            </w:pPr>
            <w:r w:rsidRPr="00317B6A">
              <w:t>X</w:t>
            </w:r>
          </w:p>
        </w:tc>
        <w:tc>
          <w:tcPr>
            <w:tcW w:w="1418" w:type="dxa"/>
          </w:tcPr>
          <w:p w14:paraId="16F77046" w14:textId="77777777" w:rsidR="00DA708F" w:rsidRPr="00317B6A" w:rsidRDefault="00DA708F" w:rsidP="001B2A96">
            <w:pPr>
              <w:jc w:val="center"/>
            </w:pPr>
            <w:r w:rsidRPr="00317B6A">
              <w:t>0</w:t>
            </w:r>
          </w:p>
        </w:tc>
        <w:tc>
          <w:tcPr>
            <w:tcW w:w="1191" w:type="dxa"/>
          </w:tcPr>
          <w:p w14:paraId="2D9AF13E" w14:textId="77777777" w:rsidR="00DA708F" w:rsidRPr="00317B6A" w:rsidRDefault="00DA708F" w:rsidP="001B2A96">
            <w:pPr>
              <w:jc w:val="center"/>
            </w:pPr>
            <w:r w:rsidRPr="00317B6A">
              <w:t>0</w:t>
            </w:r>
          </w:p>
        </w:tc>
        <w:tc>
          <w:tcPr>
            <w:tcW w:w="1393" w:type="dxa"/>
          </w:tcPr>
          <w:p w14:paraId="2C2599C3" w14:textId="77777777" w:rsidR="00DA708F" w:rsidRPr="00317B6A" w:rsidRDefault="00DA708F" w:rsidP="001B2A96">
            <w:pPr>
              <w:jc w:val="center"/>
            </w:pPr>
            <w:r w:rsidRPr="00317B6A">
              <w:t>0</w:t>
            </w:r>
          </w:p>
        </w:tc>
        <w:tc>
          <w:tcPr>
            <w:tcW w:w="1129" w:type="dxa"/>
          </w:tcPr>
          <w:p w14:paraId="39889732" w14:textId="77777777" w:rsidR="00DA708F" w:rsidRPr="00317B6A" w:rsidRDefault="00DA708F" w:rsidP="001B2A96">
            <w:pPr>
              <w:jc w:val="center"/>
            </w:pPr>
            <w:r w:rsidRPr="00317B6A">
              <w:t>0</w:t>
            </w:r>
          </w:p>
        </w:tc>
        <w:tc>
          <w:tcPr>
            <w:tcW w:w="1294" w:type="dxa"/>
          </w:tcPr>
          <w:p w14:paraId="481D2C56" w14:textId="77777777" w:rsidR="00DA708F" w:rsidRPr="00317B6A" w:rsidRDefault="00DA708F" w:rsidP="001B2A96">
            <w:pPr>
              <w:jc w:val="center"/>
            </w:pPr>
            <w:r>
              <w:t>0</w:t>
            </w:r>
          </w:p>
        </w:tc>
        <w:tc>
          <w:tcPr>
            <w:tcW w:w="1177" w:type="dxa"/>
          </w:tcPr>
          <w:p w14:paraId="223AAA8C" w14:textId="77777777" w:rsidR="00DA708F" w:rsidRPr="00317B6A" w:rsidRDefault="00DA708F" w:rsidP="001B2A96">
            <w:pPr>
              <w:jc w:val="center"/>
            </w:pPr>
            <w:r>
              <w:t>0</w:t>
            </w:r>
          </w:p>
        </w:tc>
      </w:tr>
      <w:tr w:rsidR="00256777" w:rsidRPr="0033617F" w14:paraId="506C80D8" w14:textId="77777777" w:rsidTr="00256777">
        <w:trPr>
          <w:jc w:val="center"/>
        </w:trPr>
        <w:tc>
          <w:tcPr>
            <w:tcW w:w="1696" w:type="dxa"/>
          </w:tcPr>
          <w:p w14:paraId="7EE32092" w14:textId="77777777" w:rsidR="00DA708F" w:rsidRPr="0033617F" w:rsidRDefault="00DA708F" w:rsidP="001B2A96">
            <w:r w:rsidRPr="0033617F">
              <w:t>5.1. valsts pamatbudžets</w:t>
            </w:r>
          </w:p>
        </w:tc>
        <w:tc>
          <w:tcPr>
            <w:tcW w:w="1316" w:type="dxa"/>
            <w:vMerge/>
            <w:vAlign w:val="center"/>
          </w:tcPr>
          <w:p w14:paraId="6A6579AC" w14:textId="77777777" w:rsidR="00DA708F" w:rsidRPr="0033617F" w:rsidRDefault="00DA708F" w:rsidP="001B2A96">
            <w:pPr>
              <w:jc w:val="center"/>
              <w:rPr>
                <w:i/>
              </w:rPr>
            </w:pPr>
          </w:p>
        </w:tc>
        <w:tc>
          <w:tcPr>
            <w:tcW w:w="1418" w:type="dxa"/>
          </w:tcPr>
          <w:p w14:paraId="51F9A668" w14:textId="77777777" w:rsidR="00DA708F" w:rsidRPr="0033617F" w:rsidRDefault="00DA708F" w:rsidP="001B2A96">
            <w:pPr>
              <w:jc w:val="center"/>
            </w:pPr>
            <w:r w:rsidRPr="00317B6A">
              <w:t>0</w:t>
            </w:r>
          </w:p>
        </w:tc>
        <w:tc>
          <w:tcPr>
            <w:tcW w:w="1191" w:type="dxa"/>
          </w:tcPr>
          <w:p w14:paraId="7171C556" w14:textId="77777777" w:rsidR="00DA708F" w:rsidRPr="0033617F" w:rsidRDefault="00DA708F" w:rsidP="001B2A96">
            <w:pPr>
              <w:jc w:val="center"/>
            </w:pPr>
            <w:r w:rsidRPr="00317B6A">
              <w:t>0</w:t>
            </w:r>
          </w:p>
        </w:tc>
        <w:tc>
          <w:tcPr>
            <w:tcW w:w="1393" w:type="dxa"/>
          </w:tcPr>
          <w:p w14:paraId="34AC611D" w14:textId="77777777" w:rsidR="00DA708F" w:rsidRPr="0033617F" w:rsidRDefault="00DA708F" w:rsidP="001B2A96">
            <w:pPr>
              <w:jc w:val="center"/>
            </w:pPr>
            <w:r w:rsidRPr="00317B6A">
              <w:t>0</w:t>
            </w:r>
          </w:p>
        </w:tc>
        <w:tc>
          <w:tcPr>
            <w:tcW w:w="1129" w:type="dxa"/>
          </w:tcPr>
          <w:p w14:paraId="54166C87" w14:textId="77777777" w:rsidR="00DA708F" w:rsidRPr="0033617F" w:rsidRDefault="00DA708F" w:rsidP="001B2A96">
            <w:pPr>
              <w:jc w:val="center"/>
            </w:pPr>
            <w:r w:rsidRPr="00317B6A">
              <w:t>0</w:t>
            </w:r>
          </w:p>
        </w:tc>
        <w:tc>
          <w:tcPr>
            <w:tcW w:w="1294" w:type="dxa"/>
          </w:tcPr>
          <w:p w14:paraId="7B4E4C75" w14:textId="4A42652C" w:rsidR="00DA708F" w:rsidRPr="00317B6A" w:rsidRDefault="007E7D78" w:rsidP="001B2A96">
            <w:pPr>
              <w:jc w:val="center"/>
            </w:pPr>
            <w:r>
              <w:t>0</w:t>
            </w:r>
          </w:p>
        </w:tc>
        <w:tc>
          <w:tcPr>
            <w:tcW w:w="1177" w:type="dxa"/>
          </w:tcPr>
          <w:p w14:paraId="05D82768" w14:textId="703019D4" w:rsidR="00DA708F" w:rsidRPr="00317B6A" w:rsidRDefault="007E7D78" w:rsidP="001B2A96">
            <w:pPr>
              <w:jc w:val="center"/>
            </w:pPr>
            <w:r>
              <w:t>0</w:t>
            </w:r>
          </w:p>
        </w:tc>
      </w:tr>
      <w:tr w:rsidR="00256777" w:rsidRPr="0033617F" w14:paraId="06297BD6" w14:textId="77777777" w:rsidTr="00256777">
        <w:trPr>
          <w:jc w:val="center"/>
        </w:trPr>
        <w:tc>
          <w:tcPr>
            <w:tcW w:w="1696" w:type="dxa"/>
          </w:tcPr>
          <w:p w14:paraId="6D97C3EB" w14:textId="77777777" w:rsidR="00DA708F" w:rsidRPr="0033617F" w:rsidRDefault="00DA708F" w:rsidP="001B2A96">
            <w:r w:rsidRPr="0033617F">
              <w:t>5.2. speciālais budžets</w:t>
            </w:r>
          </w:p>
        </w:tc>
        <w:tc>
          <w:tcPr>
            <w:tcW w:w="1316" w:type="dxa"/>
            <w:vMerge/>
            <w:vAlign w:val="center"/>
          </w:tcPr>
          <w:p w14:paraId="72440C53" w14:textId="77777777" w:rsidR="00DA708F" w:rsidRPr="0033617F" w:rsidRDefault="00DA708F" w:rsidP="001B2A96">
            <w:pPr>
              <w:jc w:val="center"/>
              <w:rPr>
                <w:i/>
              </w:rPr>
            </w:pPr>
          </w:p>
        </w:tc>
        <w:tc>
          <w:tcPr>
            <w:tcW w:w="1418" w:type="dxa"/>
          </w:tcPr>
          <w:p w14:paraId="3799B308" w14:textId="77777777" w:rsidR="00DA708F" w:rsidRPr="0033617F" w:rsidRDefault="00DA708F" w:rsidP="001B2A96">
            <w:pPr>
              <w:jc w:val="center"/>
            </w:pPr>
          </w:p>
        </w:tc>
        <w:tc>
          <w:tcPr>
            <w:tcW w:w="1191" w:type="dxa"/>
          </w:tcPr>
          <w:p w14:paraId="1E75FC85" w14:textId="77777777" w:rsidR="00DA708F" w:rsidRPr="0033617F" w:rsidRDefault="00DA708F" w:rsidP="001B2A96">
            <w:pPr>
              <w:jc w:val="center"/>
            </w:pPr>
          </w:p>
        </w:tc>
        <w:tc>
          <w:tcPr>
            <w:tcW w:w="1393" w:type="dxa"/>
          </w:tcPr>
          <w:p w14:paraId="2F654027" w14:textId="77777777" w:rsidR="00DA708F" w:rsidRPr="0033617F" w:rsidRDefault="00DA708F" w:rsidP="001B2A96">
            <w:pPr>
              <w:jc w:val="center"/>
            </w:pPr>
          </w:p>
        </w:tc>
        <w:tc>
          <w:tcPr>
            <w:tcW w:w="1129" w:type="dxa"/>
          </w:tcPr>
          <w:p w14:paraId="5A5AD6BB" w14:textId="77777777" w:rsidR="00DA708F" w:rsidRPr="0033617F" w:rsidRDefault="00DA708F" w:rsidP="001B2A96">
            <w:pPr>
              <w:jc w:val="center"/>
            </w:pPr>
          </w:p>
        </w:tc>
        <w:tc>
          <w:tcPr>
            <w:tcW w:w="1294" w:type="dxa"/>
          </w:tcPr>
          <w:p w14:paraId="69ECB779" w14:textId="77777777" w:rsidR="00DA708F" w:rsidRPr="0033617F" w:rsidRDefault="00DA708F" w:rsidP="001B2A96">
            <w:pPr>
              <w:jc w:val="center"/>
            </w:pPr>
          </w:p>
        </w:tc>
        <w:tc>
          <w:tcPr>
            <w:tcW w:w="1177" w:type="dxa"/>
          </w:tcPr>
          <w:p w14:paraId="39477A3E" w14:textId="77777777" w:rsidR="00DA708F" w:rsidRPr="0033617F" w:rsidRDefault="00DA708F" w:rsidP="001B2A96">
            <w:pPr>
              <w:jc w:val="center"/>
            </w:pPr>
          </w:p>
        </w:tc>
      </w:tr>
      <w:tr w:rsidR="00256777" w:rsidRPr="0033617F" w14:paraId="5E2EA37A" w14:textId="77777777" w:rsidTr="00256777">
        <w:trPr>
          <w:jc w:val="center"/>
        </w:trPr>
        <w:tc>
          <w:tcPr>
            <w:tcW w:w="1696" w:type="dxa"/>
          </w:tcPr>
          <w:p w14:paraId="00807605" w14:textId="77777777" w:rsidR="00DA708F" w:rsidRPr="0033617F" w:rsidRDefault="00DA708F" w:rsidP="001B2A96">
            <w:r w:rsidRPr="0033617F">
              <w:t xml:space="preserve">5.3. pašvaldību budžets </w:t>
            </w:r>
          </w:p>
        </w:tc>
        <w:tc>
          <w:tcPr>
            <w:tcW w:w="1316" w:type="dxa"/>
            <w:vMerge/>
          </w:tcPr>
          <w:p w14:paraId="5B3C56E9" w14:textId="77777777" w:rsidR="00DA708F" w:rsidRPr="0033617F" w:rsidRDefault="00DA708F" w:rsidP="001B2A96">
            <w:pPr>
              <w:jc w:val="center"/>
              <w:rPr>
                <w:i/>
              </w:rPr>
            </w:pPr>
          </w:p>
        </w:tc>
        <w:tc>
          <w:tcPr>
            <w:tcW w:w="1418" w:type="dxa"/>
          </w:tcPr>
          <w:p w14:paraId="34DF1238" w14:textId="77777777" w:rsidR="00DA708F" w:rsidRPr="0033617F" w:rsidRDefault="00DA708F" w:rsidP="001B2A96">
            <w:pPr>
              <w:jc w:val="center"/>
            </w:pPr>
          </w:p>
        </w:tc>
        <w:tc>
          <w:tcPr>
            <w:tcW w:w="1191" w:type="dxa"/>
          </w:tcPr>
          <w:p w14:paraId="6CCAD106" w14:textId="77777777" w:rsidR="00DA708F" w:rsidRPr="0033617F" w:rsidRDefault="00DA708F" w:rsidP="001B2A96">
            <w:pPr>
              <w:jc w:val="center"/>
            </w:pPr>
          </w:p>
        </w:tc>
        <w:tc>
          <w:tcPr>
            <w:tcW w:w="1393" w:type="dxa"/>
          </w:tcPr>
          <w:p w14:paraId="3BC1B57C" w14:textId="77777777" w:rsidR="00DA708F" w:rsidRPr="0033617F" w:rsidRDefault="00DA708F" w:rsidP="001B2A96">
            <w:pPr>
              <w:jc w:val="center"/>
            </w:pPr>
          </w:p>
        </w:tc>
        <w:tc>
          <w:tcPr>
            <w:tcW w:w="1129" w:type="dxa"/>
          </w:tcPr>
          <w:p w14:paraId="115C3BE1" w14:textId="77777777" w:rsidR="00DA708F" w:rsidRPr="0033617F" w:rsidRDefault="00DA708F" w:rsidP="001B2A96">
            <w:pPr>
              <w:jc w:val="center"/>
            </w:pPr>
          </w:p>
        </w:tc>
        <w:tc>
          <w:tcPr>
            <w:tcW w:w="1294" w:type="dxa"/>
          </w:tcPr>
          <w:p w14:paraId="1A71D472" w14:textId="77777777" w:rsidR="00DA708F" w:rsidRPr="0033617F" w:rsidRDefault="00DA708F" w:rsidP="001B2A96">
            <w:pPr>
              <w:jc w:val="center"/>
            </w:pPr>
          </w:p>
        </w:tc>
        <w:tc>
          <w:tcPr>
            <w:tcW w:w="1177" w:type="dxa"/>
          </w:tcPr>
          <w:p w14:paraId="1BEFEB9D" w14:textId="77777777" w:rsidR="00DA708F" w:rsidRPr="0033617F" w:rsidRDefault="00DA708F" w:rsidP="001B2A96">
            <w:pPr>
              <w:jc w:val="center"/>
            </w:pPr>
          </w:p>
        </w:tc>
      </w:tr>
      <w:tr w:rsidR="00DA708F" w:rsidRPr="0033617F" w14:paraId="214D50F7" w14:textId="77777777" w:rsidTr="00256777">
        <w:trPr>
          <w:jc w:val="center"/>
        </w:trPr>
        <w:tc>
          <w:tcPr>
            <w:tcW w:w="1696" w:type="dxa"/>
          </w:tcPr>
          <w:p w14:paraId="3E425710" w14:textId="77777777" w:rsidR="00DA708F" w:rsidRPr="0033617F" w:rsidRDefault="00DA708F" w:rsidP="001B2A96">
            <w:r w:rsidRPr="0033617F">
              <w:lastRenderedPageBreak/>
              <w:t>6. Detalizēts ieņēmumu un izdevumu aprēķins (ja nepie</w:t>
            </w:r>
            <w:r w:rsidRPr="0033617F">
              <w:softHyphen/>
              <w:t>ciešams, detalizētu ieņēmumu un izdevumu aprēķinu var pievienot anotācijas pielikumā):</w:t>
            </w:r>
          </w:p>
        </w:tc>
        <w:tc>
          <w:tcPr>
            <w:tcW w:w="8918" w:type="dxa"/>
            <w:gridSpan w:val="7"/>
            <w:vMerge w:val="restart"/>
            <w:shd w:val="clear" w:color="auto" w:fill="auto"/>
          </w:tcPr>
          <w:p w14:paraId="4F5F9BA6" w14:textId="00C54AA2" w:rsidR="003C19BF" w:rsidRDefault="003C19BF" w:rsidP="00256777">
            <w:pPr>
              <w:ind w:right="34"/>
              <w:jc w:val="both"/>
            </w:pPr>
            <w:r>
              <w:tab/>
            </w:r>
            <w:r w:rsidRPr="00965429">
              <w:t>Ņemot vērā to, ka jautājums ir saistīts ar valsts budžeta līdzekļu iekšēju pārdali, valsts budžeta ieņēmumi un izdevumi nemainās.</w:t>
            </w:r>
            <w:r>
              <w:tab/>
            </w:r>
          </w:p>
          <w:p w14:paraId="0A09AD29" w14:textId="4983F4FE" w:rsidR="003C19BF" w:rsidRDefault="003C19BF" w:rsidP="003C19BF">
            <w:pPr>
              <w:ind w:right="34"/>
              <w:jc w:val="both"/>
            </w:pPr>
            <w:r>
              <w:tab/>
            </w:r>
            <w:r w:rsidRPr="00646878">
              <w:t xml:space="preserve">Izdevumi </w:t>
            </w:r>
            <w:r>
              <w:t>2020</w:t>
            </w:r>
            <w:r w:rsidRPr="00646878">
              <w:t>.</w:t>
            </w:r>
            <w:r>
              <w:t xml:space="preserve"> </w:t>
            </w:r>
            <w:r w:rsidRPr="00646878">
              <w:t xml:space="preserve">gada IZM budžeta apakšprogrammā 01.07.00 „Dotācija brīvpusdienu nodrošināšanai 1., 2., 3. un 4. klases izglītojamiem” par </w:t>
            </w:r>
            <w:r w:rsidRPr="003C19BF">
              <w:rPr>
                <w:b/>
              </w:rPr>
              <w:t>638 000</w:t>
            </w:r>
            <w:r>
              <w:t xml:space="preserve"> </w:t>
            </w:r>
            <w:r w:rsidRPr="00252AE7">
              <w:rPr>
                <w:i/>
              </w:rPr>
              <w:t>euro</w:t>
            </w:r>
            <w:r w:rsidRPr="00646878">
              <w:t xml:space="preserve"> apmērā </w:t>
            </w:r>
            <w:r w:rsidRPr="003C19BF">
              <w:rPr>
                <w:u w:val="single"/>
              </w:rPr>
              <w:t>samazināsies</w:t>
            </w:r>
            <w:r w:rsidRPr="00646878">
              <w:t>, bet attiecīgi par</w:t>
            </w:r>
            <w:r>
              <w:t xml:space="preserve"> </w:t>
            </w:r>
            <w:r w:rsidRPr="003C19BF">
              <w:rPr>
                <w:b/>
              </w:rPr>
              <w:t>385 000</w:t>
            </w:r>
            <w:r>
              <w:t xml:space="preserve"> </w:t>
            </w:r>
            <w:r w:rsidRPr="003C19BF">
              <w:rPr>
                <w:i/>
              </w:rPr>
              <w:t>euro</w:t>
            </w:r>
            <w:r>
              <w:t xml:space="preserve"> palielināsies 2020. gada IZM </w:t>
            </w:r>
            <w:r w:rsidRPr="00252AE7">
              <w:t>budžeta apa</w:t>
            </w:r>
            <w:r>
              <w:t xml:space="preserve">kšprogrammā 09.16.00 „Dotācija nacionālās nozīmes starptautisku sporta pasākumu organizēšanai Latvijā” paredzētie līdzekļi, kā arī par </w:t>
            </w:r>
            <w:r w:rsidRPr="003C19BF">
              <w:rPr>
                <w:b/>
              </w:rPr>
              <w:t>253 000</w:t>
            </w:r>
            <w:r>
              <w:t xml:space="preserve"> </w:t>
            </w:r>
            <w:r w:rsidRPr="003C19BF">
              <w:rPr>
                <w:i/>
              </w:rPr>
              <w:t>euro</w:t>
            </w:r>
            <w:r>
              <w:t xml:space="preserve"> palielināsies 2020. gada IZM </w:t>
            </w:r>
            <w:r w:rsidRPr="00252AE7">
              <w:t xml:space="preserve">budžeta </w:t>
            </w:r>
            <w:r>
              <w:t xml:space="preserve">programmā 07.00.00 „Informācijas un komunikāciju tehnoloģiju uzturēšana un attīstība” paredzētie līdzekļi </w:t>
            </w:r>
            <w:r w:rsidRPr="00646878">
              <w:t xml:space="preserve">[kopējais </w:t>
            </w:r>
            <w:r w:rsidRPr="003C19BF">
              <w:rPr>
                <w:u w:val="single"/>
              </w:rPr>
              <w:t>palielinājums</w:t>
            </w:r>
            <w:r w:rsidRPr="00646878">
              <w:t xml:space="preserve"> par </w:t>
            </w:r>
            <w:bdo w:val="ltr">
              <w:r w:rsidRPr="003C19BF">
                <w:rPr>
                  <w:b/>
                </w:rPr>
                <w:t>638 000</w:t>
              </w:r>
              <w:r>
                <w:t xml:space="preserve"> </w:t>
              </w:r>
              <w:r w:rsidRPr="007177B4">
                <w:rPr>
                  <w:i/>
                </w:rPr>
                <w:t>euro</w:t>
              </w:r>
              <w:r w:rsidRPr="00646878">
                <w:t>].</w:t>
              </w:r>
              <w:r>
                <w:t>‬</w:t>
              </w:r>
              <w:r>
                <w:t>‬</w:t>
              </w:r>
              <w:r>
                <w:t>‬</w:t>
              </w:r>
              <w:r>
                <w:t>‬</w:t>
              </w:r>
              <w:r w:rsidR="002B1446">
                <w:t>‬</w:t>
              </w:r>
              <w:r w:rsidR="00165A63">
                <w:t>‬</w:t>
              </w:r>
              <w:r w:rsidR="006019AB">
                <w:t>‬</w:t>
              </w:r>
              <w:r w:rsidR="0011078B">
                <w:t>‬</w:t>
              </w:r>
              <w:r w:rsidR="006C3460">
                <w:t>‬</w:t>
              </w:r>
              <w:r w:rsidR="00DE180F">
                <w:t>‬</w:t>
              </w:r>
              <w:r w:rsidR="006B2B76">
                <w:t>‬</w:t>
              </w:r>
              <w:r w:rsidR="00F67E9C">
                <w:t>‬</w:t>
              </w:r>
            </w:bdo>
          </w:p>
          <w:p w14:paraId="642782A7" w14:textId="77777777" w:rsidR="003C19BF" w:rsidRDefault="003C19BF" w:rsidP="003C19BF">
            <w:pPr>
              <w:ind w:right="34"/>
              <w:jc w:val="both"/>
            </w:pPr>
          </w:p>
          <w:p w14:paraId="460F1758" w14:textId="7E208BED" w:rsidR="003C19BF" w:rsidRPr="00646878" w:rsidRDefault="003C19BF" w:rsidP="003C19BF">
            <w:pPr>
              <w:ind w:right="34"/>
              <w:jc w:val="both"/>
            </w:pPr>
            <w:r>
              <w:tab/>
            </w:r>
            <w:r w:rsidRPr="00646878">
              <w:t xml:space="preserve">Pārdalītais finansējums IZM budžeta apakšprogrammā 09.16.00 „Dotācija nacionālās nozīmes starptautisku sporta pasākumu organizēšanai Latvijā” </w:t>
            </w:r>
            <w:r w:rsidRPr="003C19BF">
              <w:rPr>
                <w:b/>
              </w:rPr>
              <w:t>385 000</w:t>
            </w:r>
            <w:r>
              <w:t xml:space="preserve"> </w:t>
            </w:r>
            <w:r w:rsidRPr="003C19BF">
              <w:rPr>
                <w:i/>
              </w:rPr>
              <w:t>euro</w:t>
            </w:r>
            <w:r>
              <w:t xml:space="preserve"> apmērā </w:t>
            </w:r>
            <w:r w:rsidRPr="00646878">
              <w:t>tiks novirzīts šādiem mērķiem:</w:t>
            </w:r>
          </w:p>
          <w:p w14:paraId="086495BC" w14:textId="5600634D" w:rsidR="003C19BF" w:rsidRDefault="003C19BF" w:rsidP="00063555">
            <w:pPr>
              <w:pStyle w:val="ListParagraph"/>
              <w:numPr>
                <w:ilvl w:val="0"/>
                <w:numId w:val="4"/>
              </w:numPr>
              <w:tabs>
                <w:tab w:val="left" w:pos="567"/>
              </w:tabs>
              <w:ind w:right="142"/>
              <w:jc w:val="both"/>
              <w:rPr>
                <w:noProof/>
              </w:rPr>
            </w:pPr>
            <w:r w:rsidRPr="002B64F8">
              <w:rPr>
                <w:noProof/>
              </w:rPr>
              <w:t xml:space="preserve">divu </w:t>
            </w:r>
            <w:r w:rsidR="00063555" w:rsidRPr="00063555">
              <w:rPr>
                <w:noProof/>
              </w:rPr>
              <w:t xml:space="preserve">2020./2021. gada sezonas </w:t>
            </w:r>
            <w:r w:rsidRPr="002B64F8">
              <w:rPr>
                <w:noProof/>
              </w:rPr>
              <w:t xml:space="preserve">IBSF pasaules kausa posmu skeletonā un bobslejā divniekiem organizēšanai (LBSF) 2020. gadā – </w:t>
            </w:r>
            <w:r w:rsidRPr="003C19BF">
              <w:rPr>
                <w:b/>
                <w:noProof/>
              </w:rPr>
              <w:t>200 000</w:t>
            </w:r>
            <w:r w:rsidRPr="002B64F8">
              <w:rPr>
                <w:noProof/>
              </w:rPr>
              <w:t xml:space="preserve"> </w:t>
            </w:r>
            <w:r w:rsidRPr="002B64F8">
              <w:rPr>
                <w:i/>
                <w:noProof/>
              </w:rPr>
              <w:t>euro</w:t>
            </w:r>
            <w:r w:rsidRPr="002B64F8">
              <w:rPr>
                <w:noProof/>
              </w:rPr>
              <w:t>;</w:t>
            </w:r>
          </w:p>
          <w:p w14:paraId="15D0F3D0" w14:textId="0977305A" w:rsidR="003C19BF" w:rsidRDefault="00063555" w:rsidP="00063555">
            <w:pPr>
              <w:pStyle w:val="ListParagraph"/>
              <w:numPr>
                <w:ilvl w:val="0"/>
                <w:numId w:val="4"/>
              </w:numPr>
              <w:tabs>
                <w:tab w:val="left" w:pos="567"/>
              </w:tabs>
              <w:ind w:right="142"/>
              <w:jc w:val="both"/>
              <w:rPr>
                <w:noProof/>
              </w:rPr>
            </w:pPr>
            <w:r w:rsidRPr="00063555">
              <w:rPr>
                <w:noProof/>
              </w:rPr>
              <w:t xml:space="preserve">2020./2021. gada sezonas </w:t>
            </w:r>
            <w:r w:rsidR="003C19BF">
              <w:rPr>
                <w:noProof/>
              </w:rPr>
              <w:t xml:space="preserve">IBSF Eiropas kausa posma skeletonā un bobslejā divniekiem organizēšanai (LBSF) 2020. gadā – </w:t>
            </w:r>
            <w:r w:rsidR="003C19BF" w:rsidRPr="003C19BF">
              <w:rPr>
                <w:b/>
                <w:noProof/>
              </w:rPr>
              <w:t>75 000</w:t>
            </w:r>
            <w:r w:rsidR="003C19BF">
              <w:rPr>
                <w:noProof/>
              </w:rPr>
              <w:t xml:space="preserve"> </w:t>
            </w:r>
            <w:r w:rsidR="003C19BF" w:rsidRPr="002B64F8">
              <w:rPr>
                <w:i/>
                <w:noProof/>
              </w:rPr>
              <w:t>euro</w:t>
            </w:r>
            <w:r w:rsidR="003C19BF">
              <w:rPr>
                <w:noProof/>
              </w:rPr>
              <w:t>;</w:t>
            </w:r>
          </w:p>
          <w:p w14:paraId="0C2633FA" w14:textId="21BA27AA" w:rsidR="003C19BF" w:rsidRDefault="00063555" w:rsidP="00063555">
            <w:pPr>
              <w:pStyle w:val="ListParagraph"/>
              <w:numPr>
                <w:ilvl w:val="0"/>
                <w:numId w:val="4"/>
              </w:numPr>
              <w:tabs>
                <w:tab w:val="left" w:pos="567"/>
              </w:tabs>
              <w:ind w:right="142"/>
              <w:jc w:val="both"/>
              <w:rPr>
                <w:noProof/>
              </w:rPr>
            </w:pPr>
            <w:r w:rsidRPr="00063555">
              <w:rPr>
                <w:noProof/>
              </w:rPr>
              <w:t xml:space="preserve">2020./2021. gada sezonas </w:t>
            </w:r>
            <w:r w:rsidR="003C19BF">
              <w:rPr>
                <w:noProof/>
              </w:rPr>
              <w:t xml:space="preserve">FIL pasaules kausa posma (arī Eiropas čempionāta) kamaniņu sportā organizēšanai (LKSF) 2021. gadā – </w:t>
            </w:r>
            <w:r w:rsidR="003C19BF" w:rsidRPr="003C19BF">
              <w:rPr>
                <w:b/>
                <w:noProof/>
              </w:rPr>
              <w:t>110 000</w:t>
            </w:r>
            <w:r w:rsidR="003C19BF">
              <w:rPr>
                <w:noProof/>
              </w:rPr>
              <w:t xml:space="preserve"> </w:t>
            </w:r>
            <w:r w:rsidR="003C19BF" w:rsidRPr="002B64F8">
              <w:rPr>
                <w:i/>
                <w:noProof/>
              </w:rPr>
              <w:t>euro</w:t>
            </w:r>
            <w:r w:rsidR="003C19BF">
              <w:rPr>
                <w:noProof/>
              </w:rPr>
              <w:t xml:space="preserve">. </w:t>
            </w:r>
          </w:p>
          <w:p w14:paraId="1FB520DD" w14:textId="77777777" w:rsidR="003C19BF" w:rsidRDefault="003C19BF" w:rsidP="00256777">
            <w:pPr>
              <w:ind w:right="34"/>
              <w:jc w:val="both"/>
            </w:pPr>
          </w:p>
          <w:p w14:paraId="07250D62" w14:textId="48A4303B" w:rsidR="00256777" w:rsidRPr="004439AD" w:rsidRDefault="00256777" w:rsidP="003C19BF">
            <w:pPr>
              <w:ind w:right="34"/>
              <w:jc w:val="both"/>
            </w:pPr>
            <w:r>
              <w:tab/>
            </w:r>
            <w:r w:rsidRPr="003C19BF">
              <w:t xml:space="preserve">Pārdalītais finansējums </w:t>
            </w:r>
            <w:r w:rsidRPr="003C19BF">
              <w:rPr>
                <w:b/>
              </w:rPr>
              <w:t>253 000</w:t>
            </w:r>
            <w:r w:rsidRPr="003C19BF">
              <w:t xml:space="preserve"> </w:t>
            </w:r>
            <w:r w:rsidRPr="003C19BF">
              <w:rPr>
                <w:i/>
                <w:iCs/>
              </w:rPr>
              <w:t>euro</w:t>
            </w:r>
            <w:r w:rsidRPr="004439AD">
              <w:t xml:space="preserve"> apmērā budžeta programmā 07.00.00 „Informācijas un komunikāciju tehnoloģiju uzturēšana un attīstība” nepiecieš</w:t>
            </w:r>
            <w:r w:rsidR="003C19BF">
              <w:t xml:space="preserve">ams, lai nodrošinātu IZM </w:t>
            </w:r>
            <w:r w:rsidRPr="004439AD">
              <w:t>resorā esošo informācijas sistēmu un centralizēto infrastruktūras resursu uzturēšanu, tai skaitā:</w:t>
            </w:r>
          </w:p>
          <w:p w14:paraId="337F242C" w14:textId="56F050D4" w:rsidR="00256777" w:rsidRPr="004439AD" w:rsidRDefault="00256777" w:rsidP="00256777">
            <w:pPr>
              <w:ind w:firstLine="720"/>
              <w:jc w:val="both"/>
            </w:pPr>
            <w:r w:rsidRPr="004439AD">
              <w:t xml:space="preserve">1) </w:t>
            </w:r>
            <w:r w:rsidRPr="003C19BF">
              <w:rPr>
                <w:b/>
              </w:rPr>
              <w:t>103 000</w:t>
            </w:r>
            <w:r w:rsidRPr="003C19BF">
              <w:t xml:space="preserve"> </w:t>
            </w:r>
            <w:r w:rsidRPr="003C19BF">
              <w:rPr>
                <w:i/>
              </w:rPr>
              <w:t>euro</w:t>
            </w:r>
            <w:r w:rsidRPr="004439AD">
              <w:t xml:space="preserve"> </w:t>
            </w:r>
            <w:r w:rsidR="003C19BF">
              <w:t>VIIS</w:t>
            </w:r>
            <w:r w:rsidRPr="004439AD">
              <w:t xml:space="preserve"> (valsts statistikas pārskatu iesniegšanas un datu apstrādes mehānisma pārveide, būtiski uzlabojot sistēmas lietojamību un mazinot administratīvo slogu izglītības iestādēm, auditācija un m</w:t>
            </w:r>
            <w:r>
              <w:t xml:space="preserve">onitorings datu apmaiņai) </w:t>
            </w:r>
            <w:r w:rsidRPr="004439AD">
              <w:t>(EKK 2000).</w:t>
            </w:r>
          </w:p>
          <w:p w14:paraId="2F9B6EF9" w14:textId="77777777" w:rsidR="00256777" w:rsidRDefault="00256777" w:rsidP="00256777">
            <w:pPr>
              <w:ind w:right="34"/>
              <w:jc w:val="both"/>
              <w:rPr>
                <w:highlight w:val="yellow"/>
              </w:rPr>
            </w:pPr>
          </w:p>
          <w:p w14:paraId="6F511C51" w14:textId="77777777" w:rsidR="00513156" w:rsidRPr="00404654" w:rsidRDefault="00513156" w:rsidP="00256777">
            <w:pPr>
              <w:ind w:right="34"/>
              <w:jc w:val="both"/>
              <w:rPr>
                <w:highlight w:val="yellow"/>
              </w:rPr>
            </w:pPr>
          </w:p>
          <w:tbl>
            <w:tblPr>
              <w:tblStyle w:val="TableGrid"/>
              <w:tblW w:w="8675" w:type="dxa"/>
              <w:tblLayout w:type="fixed"/>
              <w:tblLook w:val="04A0" w:firstRow="1" w:lastRow="0" w:firstColumn="1" w:lastColumn="0" w:noHBand="0" w:noVBand="1"/>
            </w:tblPr>
            <w:tblGrid>
              <w:gridCol w:w="583"/>
              <w:gridCol w:w="5528"/>
              <w:gridCol w:w="1431"/>
              <w:gridCol w:w="1133"/>
            </w:tblGrid>
            <w:tr w:rsidR="00256777" w:rsidRPr="00404654" w14:paraId="07C122E2" w14:textId="77777777" w:rsidTr="003C19BF">
              <w:trPr>
                <w:trHeight w:val="300"/>
              </w:trPr>
              <w:tc>
                <w:tcPr>
                  <w:tcW w:w="583" w:type="dxa"/>
                  <w:noWrap/>
                  <w:hideMark/>
                </w:tcPr>
                <w:p w14:paraId="78FD08C4" w14:textId="77777777" w:rsidR="00256777" w:rsidRPr="004439AD" w:rsidRDefault="00256777" w:rsidP="00256777">
                  <w:pPr>
                    <w:jc w:val="center"/>
                    <w:rPr>
                      <w:b/>
                      <w:bCs/>
                      <w:sz w:val="22"/>
                      <w:szCs w:val="22"/>
                    </w:rPr>
                  </w:pPr>
                  <w:r w:rsidRPr="004439AD">
                    <w:rPr>
                      <w:b/>
                      <w:bCs/>
                      <w:sz w:val="22"/>
                      <w:szCs w:val="22"/>
                    </w:rPr>
                    <w:t>1.</w:t>
                  </w:r>
                </w:p>
              </w:tc>
              <w:tc>
                <w:tcPr>
                  <w:tcW w:w="8092" w:type="dxa"/>
                  <w:gridSpan w:val="3"/>
                  <w:noWrap/>
                  <w:hideMark/>
                </w:tcPr>
                <w:p w14:paraId="1E463DE4" w14:textId="77777777" w:rsidR="00256777" w:rsidRPr="004439AD" w:rsidRDefault="00256777" w:rsidP="00256777">
                  <w:pPr>
                    <w:rPr>
                      <w:b/>
                      <w:bCs/>
                      <w:sz w:val="22"/>
                      <w:szCs w:val="22"/>
                    </w:rPr>
                  </w:pPr>
                  <w:r w:rsidRPr="004439AD">
                    <w:rPr>
                      <w:b/>
                      <w:bCs/>
                      <w:sz w:val="22"/>
                      <w:szCs w:val="22"/>
                    </w:rPr>
                    <w:t>Statistikas pārskatu definēšanas, datu ievades un da</w:t>
                  </w:r>
                  <w:r w:rsidRPr="004439AD">
                    <w:rPr>
                      <w:b/>
                      <w:bCs/>
                    </w:rPr>
                    <w:t xml:space="preserve">tu apkopošanas realizācija VIIS </w:t>
                  </w:r>
                  <w:r w:rsidRPr="004439AD">
                    <w:rPr>
                      <w:b/>
                      <w:bCs/>
                      <w:sz w:val="22"/>
                      <w:szCs w:val="22"/>
                    </w:rPr>
                    <w:t>ekrānformās</w:t>
                  </w:r>
                </w:p>
              </w:tc>
            </w:tr>
            <w:tr w:rsidR="00256777" w:rsidRPr="00404654" w14:paraId="24712DCA" w14:textId="77777777" w:rsidTr="003C19BF">
              <w:trPr>
                <w:trHeight w:val="300"/>
              </w:trPr>
              <w:tc>
                <w:tcPr>
                  <w:tcW w:w="583" w:type="dxa"/>
                  <w:noWrap/>
                  <w:hideMark/>
                </w:tcPr>
                <w:p w14:paraId="1763DD6B" w14:textId="77777777" w:rsidR="00256777" w:rsidRPr="004439AD" w:rsidRDefault="00256777" w:rsidP="00256777">
                  <w:pPr>
                    <w:rPr>
                      <w:b/>
                      <w:bCs/>
                      <w:sz w:val="22"/>
                      <w:szCs w:val="22"/>
                      <w:u w:val="single"/>
                    </w:rPr>
                  </w:pPr>
                </w:p>
              </w:tc>
              <w:tc>
                <w:tcPr>
                  <w:tcW w:w="5528" w:type="dxa"/>
                  <w:noWrap/>
                  <w:vAlign w:val="center"/>
                  <w:hideMark/>
                </w:tcPr>
                <w:p w14:paraId="6D3216E1" w14:textId="77777777" w:rsidR="00256777" w:rsidRPr="004439AD" w:rsidRDefault="00256777" w:rsidP="003C19BF">
                  <w:pPr>
                    <w:jc w:val="center"/>
                    <w:rPr>
                      <w:b/>
                      <w:bCs/>
                      <w:sz w:val="22"/>
                      <w:szCs w:val="22"/>
                      <w:u w:val="single"/>
                    </w:rPr>
                  </w:pPr>
                  <w:r w:rsidRPr="004439AD">
                    <w:rPr>
                      <w:b/>
                      <w:bCs/>
                      <w:sz w:val="22"/>
                      <w:szCs w:val="22"/>
                      <w:u w:val="single"/>
                    </w:rPr>
                    <w:t>Likme:</w:t>
                  </w:r>
                </w:p>
              </w:tc>
              <w:tc>
                <w:tcPr>
                  <w:tcW w:w="1431" w:type="dxa"/>
                  <w:noWrap/>
                  <w:vAlign w:val="center"/>
                  <w:hideMark/>
                </w:tcPr>
                <w:p w14:paraId="35A49ABE" w14:textId="7402D20A" w:rsidR="00256777" w:rsidRPr="004439AD" w:rsidRDefault="00256777" w:rsidP="001A07F0">
                  <w:pPr>
                    <w:jc w:val="center"/>
                    <w:rPr>
                      <w:b/>
                      <w:bCs/>
                      <w:sz w:val="22"/>
                      <w:szCs w:val="22"/>
                      <w:u w:val="single"/>
                    </w:rPr>
                  </w:pPr>
                  <w:r w:rsidRPr="004439AD">
                    <w:rPr>
                      <w:b/>
                      <w:bCs/>
                      <w:sz w:val="22"/>
                      <w:szCs w:val="22"/>
                      <w:u w:val="single"/>
                    </w:rPr>
                    <w:t>(1</w:t>
                  </w:r>
                  <w:r w:rsidR="001A07F0">
                    <w:rPr>
                      <w:b/>
                      <w:bCs/>
                      <w:sz w:val="22"/>
                      <w:szCs w:val="22"/>
                      <w:u w:val="single"/>
                    </w:rPr>
                    <w:t xml:space="preserve"> stunda</w:t>
                  </w:r>
                  <w:r w:rsidRPr="004439AD">
                    <w:rPr>
                      <w:b/>
                      <w:bCs/>
                      <w:sz w:val="22"/>
                      <w:szCs w:val="22"/>
                      <w:u w:val="single"/>
                    </w:rPr>
                    <w:t xml:space="preserve"> bez PVN)</w:t>
                  </w:r>
                </w:p>
              </w:tc>
              <w:tc>
                <w:tcPr>
                  <w:tcW w:w="1133" w:type="dxa"/>
                  <w:noWrap/>
                  <w:vAlign w:val="center"/>
                  <w:hideMark/>
                </w:tcPr>
                <w:p w14:paraId="06D13F2C" w14:textId="5C6B5754" w:rsidR="00256777" w:rsidRPr="004439AD" w:rsidRDefault="00256777" w:rsidP="001A07F0">
                  <w:pPr>
                    <w:jc w:val="center"/>
                    <w:rPr>
                      <w:b/>
                      <w:bCs/>
                      <w:sz w:val="22"/>
                      <w:szCs w:val="22"/>
                      <w:u w:val="single"/>
                    </w:rPr>
                  </w:pPr>
                  <w:r w:rsidRPr="004439AD">
                    <w:rPr>
                      <w:b/>
                      <w:bCs/>
                      <w:sz w:val="22"/>
                      <w:szCs w:val="22"/>
                      <w:u w:val="single"/>
                    </w:rPr>
                    <w:t xml:space="preserve">34,45 </w:t>
                  </w:r>
                  <w:r w:rsidR="001A07F0" w:rsidRPr="001A07F0">
                    <w:rPr>
                      <w:b/>
                      <w:bCs/>
                      <w:i/>
                      <w:sz w:val="22"/>
                      <w:szCs w:val="22"/>
                      <w:u w:val="single"/>
                    </w:rPr>
                    <w:t>euro</w:t>
                  </w:r>
                </w:p>
              </w:tc>
            </w:tr>
            <w:tr w:rsidR="00256777" w:rsidRPr="00404654" w14:paraId="36DE4617" w14:textId="77777777" w:rsidTr="003C19BF">
              <w:trPr>
                <w:trHeight w:val="271"/>
              </w:trPr>
              <w:tc>
                <w:tcPr>
                  <w:tcW w:w="583" w:type="dxa"/>
                  <w:noWrap/>
                </w:tcPr>
                <w:p w14:paraId="24F657B4" w14:textId="77777777" w:rsidR="00256777" w:rsidRPr="004439AD" w:rsidRDefault="00256777" w:rsidP="00256777">
                  <w:pPr>
                    <w:rPr>
                      <w:b/>
                      <w:bCs/>
                      <w:i/>
                      <w:iCs/>
                      <w:color w:val="FF0000"/>
                      <w:sz w:val="22"/>
                      <w:szCs w:val="22"/>
                    </w:rPr>
                  </w:pPr>
                </w:p>
              </w:tc>
              <w:tc>
                <w:tcPr>
                  <w:tcW w:w="5528" w:type="dxa"/>
                  <w:noWrap/>
                  <w:hideMark/>
                </w:tcPr>
                <w:p w14:paraId="198F6C82" w14:textId="77777777" w:rsidR="00256777" w:rsidRPr="004439AD" w:rsidRDefault="00256777" w:rsidP="00256777">
                  <w:pPr>
                    <w:rPr>
                      <w:sz w:val="22"/>
                      <w:szCs w:val="22"/>
                    </w:rPr>
                  </w:pPr>
                  <w:r w:rsidRPr="004439AD">
                    <w:rPr>
                      <w:sz w:val="22"/>
                      <w:szCs w:val="22"/>
                    </w:rPr>
                    <w:t> </w:t>
                  </w:r>
                </w:p>
              </w:tc>
              <w:tc>
                <w:tcPr>
                  <w:tcW w:w="1431" w:type="dxa"/>
                  <w:vAlign w:val="center"/>
                  <w:hideMark/>
                </w:tcPr>
                <w:p w14:paraId="2E428215" w14:textId="10EDF757" w:rsidR="00256777" w:rsidRPr="004439AD" w:rsidRDefault="00256777" w:rsidP="001A07F0">
                  <w:pPr>
                    <w:jc w:val="center"/>
                    <w:rPr>
                      <w:sz w:val="22"/>
                      <w:szCs w:val="22"/>
                    </w:rPr>
                  </w:pPr>
                  <w:r w:rsidRPr="004439AD">
                    <w:t>Stundas</w:t>
                  </w:r>
                </w:p>
              </w:tc>
              <w:tc>
                <w:tcPr>
                  <w:tcW w:w="1133" w:type="dxa"/>
                  <w:noWrap/>
                  <w:vAlign w:val="center"/>
                  <w:hideMark/>
                </w:tcPr>
                <w:p w14:paraId="488524B6" w14:textId="015AE291" w:rsidR="00256777" w:rsidRPr="004439AD" w:rsidRDefault="00256777" w:rsidP="001A07F0">
                  <w:pPr>
                    <w:jc w:val="center"/>
                    <w:rPr>
                      <w:sz w:val="22"/>
                      <w:szCs w:val="22"/>
                    </w:rPr>
                  </w:pPr>
                  <w:r w:rsidRPr="004439AD">
                    <w:rPr>
                      <w:sz w:val="22"/>
                      <w:szCs w:val="22"/>
                    </w:rPr>
                    <w:t xml:space="preserve">Kopā, </w:t>
                  </w:r>
                  <w:r w:rsidR="001A07F0" w:rsidRPr="001A07F0">
                    <w:rPr>
                      <w:i/>
                      <w:sz w:val="22"/>
                      <w:szCs w:val="22"/>
                    </w:rPr>
                    <w:t>euro</w:t>
                  </w:r>
                </w:p>
              </w:tc>
            </w:tr>
            <w:tr w:rsidR="00256777" w:rsidRPr="00404654" w14:paraId="4D6B3A41" w14:textId="77777777" w:rsidTr="003C19BF">
              <w:trPr>
                <w:trHeight w:val="300"/>
              </w:trPr>
              <w:tc>
                <w:tcPr>
                  <w:tcW w:w="583" w:type="dxa"/>
                  <w:noWrap/>
                </w:tcPr>
                <w:p w14:paraId="0833B062" w14:textId="77777777" w:rsidR="00256777" w:rsidRPr="004439AD" w:rsidRDefault="00256777" w:rsidP="00256777">
                  <w:pPr>
                    <w:jc w:val="right"/>
                    <w:rPr>
                      <w:sz w:val="22"/>
                      <w:szCs w:val="22"/>
                    </w:rPr>
                  </w:pPr>
                  <w:r w:rsidRPr="004439AD">
                    <w:t>1.1</w:t>
                  </w:r>
                </w:p>
              </w:tc>
              <w:tc>
                <w:tcPr>
                  <w:tcW w:w="5528" w:type="dxa"/>
                  <w:noWrap/>
                  <w:hideMark/>
                </w:tcPr>
                <w:p w14:paraId="420252C7" w14:textId="657B6D8E" w:rsidR="00256777" w:rsidRPr="004439AD" w:rsidRDefault="00256777" w:rsidP="00256777">
                  <w:pPr>
                    <w:rPr>
                      <w:sz w:val="22"/>
                      <w:szCs w:val="22"/>
                    </w:rPr>
                  </w:pPr>
                  <w:r w:rsidRPr="004439AD">
                    <w:rPr>
                      <w:sz w:val="22"/>
                      <w:szCs w:val="22"/>
                    </w:rPr>
                    <w:t xml:space="preserve">Statistikas pārskati - VSP (vispārējā izglītība </w:t>
                  </w:r>
                  <w:r w:rsidR="003C19BF">
                    <w:rPr>
                      <w:sz w:val="22"/>
                      <w:szCs w:val="22"/>
                    </w:rPr>
                    <w:t>–</w:t>
                  </w:r>
                  <w:r w:rsidRPr="004439AD">
                    <w:rPr>
                      <w:sz w:val="22"/>
                      <w:szCs w:val="22"/>
                    </w:rPr>
                    <w:t xml:space="preserve"> pirmsskolas)</w:t>
                  </w:r>
                </w:p>
              </w:tc>
              <w:tc>
                <w:tcPr>
                  <w:tcW w:w="1431" w:type="dxa"/>
                  <w:noWrap/>
                  <w:hideMark/>
                </w:tcPr>
                <w:p w14:paraId="6E2E7874" w14:textId="77777777" w:rsidR="00256777" w:rsidRPr="004439AD" w:rsidRDefault="00256777" w:rsidP="003C19BF">
                  <w:pPr>
                    <w:jc w:val="center"/>
                    <w:rPr>
                      <w:color w:val="000000"/>
                      <w:sz w:val="22"/>
                      <w:szCs w:val="22"/>
                    </w:rPr>
                  </w:pPr>
                  <w:r w:rsidRPr="004439AD">
                    <w:rPr>
                      <w:color w:val="000000"/>
                      <w:sz w:val="22"/>
                      <w:szCs w:val="22"/>
                    </w:rPr>
                    <w:t>290</w:t>
                  </w:r>
                </w:p>
              </w:tc>
              <w:tc>
                <w:tcPr>
                  <w:tcW w:w="1133" w:type="dxa"/>
                  <w:noWrap/>
                  <w:hideMark/>
                </w:tcPr>
                <w:p w14:paraId="07CFE405" w14:textId="77777777" w:rsidR="00256777" w:rsidRPr="004439AD" w:rsidRDefault="00256777" w:rsidP="003C19BF">
                  <w:pPr>
                    <w:jc w:val="center"/>
                    <w:rPr>
                      <w:sz w:val="22"/>
                      <w:szCs w:val="22"/>
                    </w:rPr>
                  </w:pPr>
                  <w:r w:rsidRPr="004439AD">
                    <w:rPr>
                      <w:sz w:val="22"/>
                      <w:szCs w:val="22"/>
                    </w:rPr>
                    <w:t>9 9</w:t>
                  </w:r>
                  <w:r w:rsidRPr="004439AD">
                    <w:t>91</w:t>
                  </w:r>
                </w:p>
              </w:tc>
            </w:tr>
            <w:tr w:rsidR="00256777" w:rsidRPr="00404654" w14:paraId="1C808FB8" w14:textId="77777777" w:rsidTr="003C19BF">
              <w:trPr>
                <w:trHeight w:val="300"/>
              </w:trPr>
              <w:tc>
                <w:tcPr>
                  <w:tcW w:w="583" w:type="dxa"/>
                  <w:noWrap/>
                </w:tcPr>
                <w:p w14:paraId="25A6B06C" w14:textId="77777777" w:rsidR="00256777" w:rsidRPr="004439AD" w:rsidRDefault="00256777" w:rsidP="00256777">
                  <w:pPr>
                    <w:jc w:val="right"/>
                    <w:rPr>
                      <w:sz w:val="22"/>
                      <w:szCs w:val="22"/>
                    </w:rPr>
                  </w:pPr>
                  <w:r w:rsidRPr="004439AD">
                    <w:t>1.2</w:t>
                  </w:r>
                </w:p>
              </w:tc>
              <w:tc>
                <w:tcPr>
                  <w:tcW w:w="5528" w:type="dxa"/>
                  <w:noWrap/>
                  <w:hideMark/>
                </w:tcPr>
                <w:p w14:paraId="06CAECCA" w14:textId="77777777" w:rsidR="00256777" w:rsidRPr="004439AD" w:rsidRDefault="00256777" w:rsidP="00256777">
                  <w:pPr>
                    <w:rPr>
                      <w:sz w:val="22"/>
                      <w:szCs w:val="22"/>
                    </w:rPr>
                  </w:pPr>
                  <w:r w:rsidRPr="004439AD">
                    <w:rPr>
                      <w:sz w:val="22"/>
                      <w:szCs w:val="22"/>
                    </w:rPr>
                    <w:t>Statistikas pārskatu ievades mehānisms</w:t>
                  </w:r>
                </w:p>
              </w:tc>
              <w:tc>
                <w:tcPr>
                  <w:tcW w:w="1431" w:type="dxa"/>
                  <w:noWrap/>
                  <w:hideMark/>
                </w:tcPr>
                <w:p w14:paraId="31EAB4C9" w14:textId="77777777" w:rsidR="00256777" w:rsidRPr="004439AD" w:rsidRDefault="00256777" w:rsidP="003C19BF">
                  <w:pPr>
                    <w:jc w:val="center"/>
                    <w:rPr>
                      <w:color w:val="000000"/>
                      <w:sz w:val="22"/>
                      <w:szCs w:val="22"/>
                    </w:rPr>
                  </w:pPr>
                  <w:r w:rsidRPr="004439AD">
                    <w:rPr>
                      <w:color w:val="000000"/>
                      <w:sz w:val="22"/>
                      <w:szCs w:val="22"/>
                    </w:rPr>
                    <w:t>419</w:t>
                  </w:r>
                </w:p>
              </w:tc>
              <w:tc>
                <w:tcPr>
                  <w:tcW w:w="1133" w:type="dxa"/>
                  <w:noWrap/>
                  <w:hideMark/>
                </w:tcPr>
                <w:p w14:paraId="14264DBA" w14:textId="77777777" w:rsidR="00256777" w:rsidRPr="004439AD" w:rsidRDefault="00256777" w:rsidP="003C19BF">
                  <w:pPr>
                    <w:jc w:val="center"/>
                    <w:rPr>
                      <w:sz w:val="22"/>
                      <w:szCs w:val="22"/>
                    </w:rPr>
                  </w:pPr>
                  <w:r w:rsidRPr="004439AD">
                    <w:rPr>
                      <w:sz w:val="22"/>
                      <w:szCs w:val="22"/>
                    </w:rPr>
                    <w:t xml:space="preserve">14 </w:t>
                  </w:r>
                  <w:r w:rsidRPr="004439AD">
                    <w:t>435</w:t>
                  </w:r>
                </w:p>
              </w:tc>
            </w:tr>
            <w:tr w:rsidR="00256777" w:rsidRPr="00404654" w14:paraId="3EF41A7A" w14:textId="77777777" w:rsidTr="003C19BF">
              <w:trPr>
                <w:trHeight w:val="300"/>
              </w:trPr>
              <w:tc>
                <w:tcPr>
                  <w:tcW w:w="583" w:type="dxa"/>
                  <w:noWrap/>
                </w:tcPr>
                <w:p w14:paraId="0B1653B3" w14:textId="77777777" w:rsidR="00256777" w:rsidRPr="004439AD" w:rsidRDefault="00256777" w:rsidP="00256777">
                  <w:pPr>
                    <w:jc w:val="right"/>
                    <w:rPr>
                      <w:sz w:val="22"/>
                      <w:szCs w:val="22"/>
                    </w:rPr>
                  </w:pPr>
                  <w:r w:rsidRPr="004439AD">
                    <w:t>1.3</w:t>
                  </w:r>
                </w:p>
              </w:tc>
              <w:tc>
                <w:tcPr>
                  <w:tcW w:w="5528" w:type="dxa"/>
                  <w:noWrap/>
                  <w:hideMark/>
                </w:tcPr>
                <w:p w14:paraId="7295A2EF" w14:textId="77777777" w:rsidR="00256777" w:rsidRPr="004439AD" w:rsidRDefault="00256777" w:rsidP="00256777">
                  <w:pPr>
                    <w:rPr>
                      <w:sz w:val="22"/>
                      <w:szCs w:val="22"/>
                    </w:rPr>
                  </w:pPr>
                  <w:r w:rsidRPr="004439AD">
                    <w:rPr>
                      <w:sz w:val="22"/>
                      <w:szCs w:val="22"/>
                    </w:rPr>
                    <w:t>Pārskatu atvēršana mācību gadam</w:t>
                  </w:r>
                </w:p>
              </w:tc>
              <w:tc>
                <w:tcPr>
                  <w:tcW w:w="1431" w:type="dxa"/>
                  <w:noWrap/>
                  <w:hideMark/>
                </w:tcPr>
                <w:p w14:paraId="7198B1C4" w14:textId="77777777" w:rsidR="00256777" w:rsidRPr="004439AD" w:rsidRDefault="00256777" w:rsidP="003C19BF">
                  <w:pPr>
                    <w:jc w:val="center"/>
                    <w:rPr>
                      <w:color w:val="000000"/>
                      <w:sz w:val="22"/>
                      <w:szCs w:val="22"/>
                    </w:rPr>
                  </w:pPr>
                  <w:r w:rsidRPr="004439AD">
                    <w:rPr>
                      <w:color w:val="000000"/>
                      <w:sz w:val="22"/>
                      <w:szCs w:val="22"/>
                    </w:rPr>
                    <w:t>80</w:t>
                  </w:r>
                </w:p>
              </w:tc>
              <w:tc>
                <w:tcPr>
                  <w:tcW w:w="1133" w:type="dxa"/>
                  <w:noWrap/>
                  <w:hideMark/>
                </w:tcPr>
                <w:p w14:paraId="09E8B1A7" w14:textId="77777777" w:rsidR="00256777" w:rsidRPr="004439AD" w:rsidRDefault="00256777" w:rsidP="003C19BF">
                  <w:pPr>
                    <w:jc w:val="center"/>
                    <w:rPr>
                      <w:sz w:val="22"/>
                      <w:szCs w:val="22"/>
                    </w:rPr>
                  </w:pPr>
                  <w:r w:rsidRPr="004439AD">
                    <w:rPr>
                      <w:sz w:val="22"/>
                      <w:szCs w:val="22"/>
                    </w:rPr>
                    <w:t>2 756</w:t>
                  </w:r>
                </w:p>
              </w:tc>
            </w:tr>
            <w:tr w:rsidR="00256777" w:rsidRPr="00404654" w14:paraId="11BB2C20" w14:textId="77777777" w:rsidTr="003C19BF">
              <w:trPr>
                <w:trHeight w:val="300"/>
              </w:trPr>
              <w:tc>
                <w:tcPr>
                  <w:tcW w:w="583" w:type="dxa"/>
                  <w:noWrap/>
                </w:tcPr>
                <w:p w14:paraId="35A886C0" w14:textId="77777777" w:rsidR="00256777" w:rsidRPr="004439AD" w:rsidRDefault="00256777" w:rsidP="00256777">
                  <w:pPr>
                    <w:jc w:val="right"/>
                    <w:rPr>
                      <w:sz w:val="22"/>
                      <w:szCs w:val="22"/>
                    </w:rPr>
                  </w:pPr>
                  <w:r w:rsidRPr="004439AD">
                    <w:t>1.4</w:t>
                  </w:r>
                </w:p>
              </w:tc>
              <w:tc>
                <w:tcPr>
                  <w:tcW w:w="5528" w:type="dxa"/>
                  <w:hideMark/>
                </w:tcPr>
                <w:p w14:paraId="1D4631B8" w14:textId="77777777" w:rsidR="00256777" w:rsidRPr="004439AD" w:rsidRDefault="00256777" w:rsidP="00256777">
                  <w:pPr>
                    <w:rPr>
                      <w:sz w:val="22"/>
                      <w:szCs w:val="22"/>
                    </w:rPr>
                  </w:pPr>
                  <w:r w:rsidRPr="004439AD">
                    <w:rPr>
                      <w:sz w:val="22"/>
                      <w:szCs w:val="22"/>
                    </w:rPr>
                    <w:t>Statistikas pārskati - VS (vispārējā izglītība - skolas)</w:t>
                  </w:r>
                </w:p>
              </w:tc>
              <w:tc>
                <w:tcPr>
                  <w:tcW w:w="1431" w:type="dxa"/>
                  <w:noWrap/>
                  <w:hideMark/>
                </w:tcPr>
                <w:p w14:paraId="28EE1BA3" w14:textId="77777777" w:rsidR="00256777" w:rsidRPr="004439AD" w:rsidRDefault="00256777" w:rsidP="003C19BF">
                  <w:pPr>
                    <w:jc w:val="center"/>
                    <w:rPr>
                      <w:color w:val="000000"/>
                      <w:sz w:val="22"/>
                      <w:szCs w:val="22"/>
                    </w:rPr>
                  </w:pPr>
                  <w:r w:rsidRPr="004439AD">
                    <w:rPr>
                      <w:color w:val="000000"/>
                      <w:sz w:val="22"/>
                      <w:szCs w:val="22"/>
                    </w:rPr>
                    <w:t>289,9</w:t>
                  </w:r>
                </w:p>
              </w:tc>
              <w:tc>
                <w:tcPr>
                  <w:tcW w:w="1133" w:type="dxa"/>
                  <w:noWrap/>
                  <w:hideMark/>
                </w:tcPr>
                <w:p w14:paraId="51A7141B" w14:textId="77777777" w:rsidR="00256777" w:rsidRPr="004439AD" w:rsidRDefault="00256777" w:rsidP="003C19BF">
                  <w:pPr>
                    <w:jc w:val="center"/>
                    <w:rPr>
                      <w:sz w:val="22"/>
                      <w:szCs w:val="22"/>
                    </w:rPr>
                  </w:pPr>
                  <w:r w:rsidRPr="004439AD">
                    <w:rPr>
                      <w:sz w:val="22"/>
                      <w:szCs w:val="22"/>
                    </w:rPr>
                    <w:t>9 9</w:t>
                  </w:r>
                  <w:r w:rsidRPr="004439AD">
                    <w:t>87</w:t>
                  </w:r>
                </w:p>
              </w:tc>
            </w:tr>
            <w:tr w:rsidR="00256777" w:rsidRPr="00404654" w14:paraId="043CEB8C" w14:textId="77777777" w:rsidTr="003C19BF">
              <w:trPr>
                <w:trHeight w:val="300"/>
              </w:trPr>
              <w:tc>
                <w:tcPr>
                  <w:tcW w:w="583" w:type="dxa"/>
                  <w:noWrap/>
                </w:tcPr>
                <w:p w14:paraId="549872B5" w14:textId="77777777" w:rsidR="00256777" w:rsidRPr="004439AD" w:rsidRDefault="00256777" w:rsidP="00256777">
                  <w:pPr>
                    <w:jc w:val="right"/>
                    <w:rPr>
                      <w:sz w:val="22"/>
                      <w:szCs w:val="22"/>
                    </w:rPr>
                  </w:pPr>
                  <w:r w:rsidRPr="004439AD">
                    <w:t>1.5</w:t>
                  </w:r>
                </w:p>
              </w:tc>
              <w:tc>
                <w:tcPr>
                  <w:tcW w:w="5528" w:type="dxa"/>
                  <w:noWrap/>
                  <w:hideMark/>
                </w:tcPr>
                <w:p w14:paraId="77757499" w14:textId="77777777" w:rsidR="00256777" w:rsidRPr="004439AD" w:rsidRDefault="00256777" w:rsidP="00256777">
                  <w:pPr>
                    <w:rPr>
                      <w:sz w:val="22"/>
                      <w:szCs w:val="22"/>
                    </w:rPr>
                  </w:pPr>
                  <w:r w:rsidRPr="004439AD">
                    <w:rPr>
                      <w:sz w:val="22"/>
                      <w:szCs w:val="22"/>
                    </w:rPr>
                    <w:t>Statistikas pārskatu sesijas</w:t>
                  </w:r>
                </w:p>
              </w:tc>
              <w:tc>
                <w:tcPr>
                  <w:tcW w:w="1431" w:type="dxa"/>
                  <w:noWrap/>
                  <w:hideMark/>
                </w:tcPr>
                <w:p w14:paraId="70071288" w14:textId="77777777" w:rsidR="00256777" w:rsidRPr="004439AD" w:rsidRDefault="00256777" w:rsidP="003C19BF">
                  <w:pPr>
                    <w:jc w:val="center"/>
                    <w:rPr>
                      <w:color w:val="000000"/>
                      <w:sz w:val="22"/>
                      <w:szCs w:val="22"/>
                    </w:rPr>
                  </w:pPr>
                  <w:r w:rsidRPr="004439AD">
                    <w:rPr>
                      <w:color w:val="000000"/>
                      <w:sz w:val="22"/>
                      <w:szCs w:val="22"/>
                    </w:rPr>
                    <w:t>80</w:t>
                  </w:r>
                </w:p>
              </w:tc>
              <w:tc>
                <w:tcPr>
                  <w:tcW w:w="1133" w:type="dxa"/>
                  <w:noWrap/>
                  <w:hideMark/>
                </w:tcPr>
                <w:p w14:paraId="5A5EDC79" w14:textId="77777777" w:rsidR="00256777" w:rsidRPr="004439AD" w:rsidRDefault="00256777" w:rsidP="003C19BF">
                  <w:pPr>
                    <w:jc w:val="center"/>
                    <w:rPr>
                      <w:sz w:val="22"/>
                      <w:szCs w:val="22"/>
                    </w:rPr>
                  </w:pPr>
                  <w:r w:rsidRPr="004439AD">
                    <w:rPr>
                      <w:sz w:val="22"/>
                      <w:szCs w:val="22"/>
                    </w:rPr>
                    <w:t>2 756</w:t>
                  </w:r>
                </w:p>
              </w:tc>
            </w:tr>
            <w:tr w:rsidR="00256777" w:rsidRPr="00404654" w14:paraId="00996E31" w14:textId="77777777" w:rsidTr="003C19BF">
              <w:trPr>
                <w:trHeight w:val="300"/>
              </w:trPr>
              <w:tc>
                <w:tcPr>
                  <w:tcW w:w="583" w:type="dxa"/>
                  <w:noWrap/>
                </w:tcPr>
                <w:p w14:paraId="30250851" w14:textId="77777777" w:rsidR="00256777" w:rsidRPr="004439AD" w:rsidRDefault="00256777" w:rsidP="00256777">
                  <w:pPr>
                    <w:jc w:val="right"/>
                    <w:rPr>
                      <w:sz w:val="22"/>
                      <w:szCs w:val="22"/>
                    </w:rPr>
                  </w:pPr>
                  <w:r w:rsidRPr="004439AD">
                    <w:t>1.6</w:t>
                  </w:r>
                </w:p>
              </w:tc>
              <w:tc>
                <w:tcPr>
                  <w:tcW w:w="5528" w:type="dxa"/>
                  <w:noWrap/>
                  <w:hideMark/>
                </w:tcPr>
                <w:p w14:paraId="17BCD695" w14:textId="77777777" w:rsidR="00256777" w:rsidRPr="004439AD" w:rsidRDefault="00256777" w:rsidP="00256777">
                  <w:pPr>
                    <w:rPr>
                      <w:sz w:val="22"/>
                      <w:szCs w:val="22"/>
                    </w:rPr>
                  </w:pPr>
                  <w:r w:rsidRPr="004439AD">
                    <w:rPr>
                      <w:sz w:val="22"/>
                      <w:szCs w:val="22"/>
                    </w:rPr>
                    <w:t>Validāciju aktualizēšana VSP</w:t>
                  </w:r>
                </w:p>
              </w:tc>
              <w:tc>
                <w:tcPr>
                  <w:tcW w:w="1431" w:type="dxa"/>
                  <w:noWrap/>
                  <w:hideMark/>
                </w:tcPr>
                <w:p w14:paraId="4280CCB9" w14:textId="77777777" w:rsidR="00256777" w:rsidRPr="004439AD" w:rsidRDefault="00256777" w:rsidP="003C19BF">
                  <w:pPr>
                    <w:jc w:val="center"/>
                    <w:rPr>
                      <w:color w:val="000000"/>
                      <w:sz w:val="22"/>
                      <w:szCs w:val="22"/>
                    </w:rPr>
                  </w:pPr>
                  <w:r w:rsidRPr="004439AD">
                    <w:rPr>
                      <w:color w:val="000000"/>
                      <w:sz w:val="22"/>
                      <w:szCs w:val="22"/>
                    </w:rPr>
                    <w:t>160</w:t>
                  </w:r>
                </w:p>
              </w:tc>
              <w:tc>
                <w:tcPr>
                  <w:tcW w:w="1133" w:type="dxa"/>
                  <w:noWrap/>
                  <w:hideMark/>
                </w:tcPr>
                <w:p w14:paraId="623AB0B1" w14:textId="77777777" w:rsidR="00256777" w:rsidRPr="004439AD" w:rsidRDefault="00256777" w:rsidP="003C19BF">
                  <w:pPr>
                    <w:jc w:val="center"/>
                    <w:rPr>
                      <w:sz w:val="22"/>
                      <w:szCs w:val="22"/>
                    </w:rPr>
                  </w:pPr>
                  <w:r w:rsidRPr="004439AD">
                    <w:rPr>
                      <w:sz w:val="22"/>
                      <w:szCs w:val="22"/>
                    </w:rPr>
                    <w:t>5 512</w:t>
                  </w:r>
                </w:p>
              </w:tc>
            </w:tr>
            <w:tr w:rsidR="00256777" w:rsidRPr="00404654" w14:paraId="260651F8" w14:textId="77777777" w:rsidTr="003C19BF">
              <w:trPr>
                <w:trHeight w:val="300"/>
              </w:trPr>
              <w:tc>
                <w:tcPr>
                  <w:tcW w:w="583" w:type="dxa"/>
                  <w:noWrap/>
                </w:tcPr>
                <w:p w14:paraId="1924F2E5" w14:textId="77777777" w:rsidR="00256777" w:rsidRPr="004439AD" w:rsidRDefault="00256777" w:rsidP="00256777">
                  <w:pPr>
                    <w:jc w:val="right"/>
                    <w:rPr>
                      <w:sz w:val="22"/>
                      <w:szCs w:val="22"/>
                    </w:rPr>
                  </w:pPr>
                  <w:r w:rsidRPr="004439AD">
                    <w:t>1.7</w:t>
                  </w:r>
                </w:p>
              </w:tc>
              <w:tc>
                <w:tcPr>
                  <w:tcW w:w="5528" w:type="dxa"/>
                  <w:noWrap/>
                  <w:hideMark/>
                </w:tcPr>
                <w:p w14:paraId="3986EB4C" w14:textId="77777777" w:rsidR="00256777" w:rsidRPr="004439AD" w:rsidRDefault="00256777" w:rsidP="00256777">
                  <w:pPr>
                    <w:rPr>
                      <w:sz w:val="22"/>
                      <w:szCs w:val="22"/>
                    </w:rPr>
                  </w:pPr>
                  <w:r w:rsidRPr="004439AD">
                    <w:rPr>
                      <w:sz w:val="22"/>
                      <w:szCs w:val="22"/>
                    </w:rPr>
                    <w:t>Kontroles skata veidošana statistikas pārskatiem</w:t>
                  </w:r>
                </w:p>
              </w:tc>
              <w:tc>
                <w:tcPr>
                  <w:tcW w:w="1431" w:type="dxa"/>
                  <w:noWrap/>
                  <w:hideMark/>
                </w:tcPr>
                <w:p w14:paraId="07FD991E" w14:textId="77777777" w:rsidR="00256777" w:rsidRPr="004439AD" w:rsidRDefault="00256777" w:rsidP="003C19BF">
                  <w:pPr>
                    <w:jc w:val="center"/>
                    <w:rPr>
                      <w:color w:val="000000"/>
                      <w:sz w:val="22"/>
                      <w:szCs w:val="22"/>
                    </w:rPr>
                  </w:pPr>
                  <w:r w:rsidRPr="004439AD">
                    <w:rPr>
                      <w:color w:val="000000"/>
                      <w:sz w:val="22"/>
                      <w:szCs w:val="22"/>
                    </w:rPr>
                    <w:t>272,05</w:t>
                  </w:r>
                </w:p>
              </w:tc>
              <w:tc>
                <w:tcPr>
                  <w:tcW w:w="1133" w:type="dxa"/>
                  <w:noWrap/>
                  <w:hideMark/>
                </w:tcPr>
                <w:p w14:paraId="26E7CF3E" w14:textId="77777777" w:rsidR="00256777" w:rsidRPr="004439AD" w:rsidRDefault="00256777" w:rsidP="003C19BF">
                  <w:pPr>
                    <w:jc w:val="center"/>
                    <w:rPr>
                      <w:sz w:val="22"/>
                      <w:szCs w:val="22"/>
                    </w:rPr>
                  </w:pPr>
                  <w:r w:rsidRPr="004439AD">
                    <w:rPr>
                      <w:sz w:val="22"/>
                      <w:szCs w:val="22"/>
                    </w:rPr>
                    <w:t>9 372</w:t>
                  </w:r>
                </w:p>
              </w:tc>
            </w:tr>
            <w:tr w:rsidR="00256777" w:rsidRPr="00404654" w14:paraId="5AD650EA" w14:textId="77777777" w:rsidTr="003C19BF">
              <w:trPr>
                <w:trHeight w:val="300"/>
              </w:trPr>
              <w:tc>
                <w:tcPr>
                  <w:tcW w:w="583" w:type="dxa"/>
                  <w:noWrap/>
                </w:tcPr>
                <w:p w14:paraId="5B8365C4" w14:textId="77777777" w:rsidR="00256777" w:rsidRPr="004439AD" w:rsidRDefault="00256777" w:rsidP="00256777">
                  <w:pPr>
                    <w:jc w:val="right"/>
                    <w:rPr>
                      <w:sz w:val="22"/>
                      <w:szCs w:val="22"/>
                    </w:rPr>
                  </w:pPr>
                  <w:r w:rsidRPr="004439AD">
                    <w:t>1.8</w:t>
                  </w:r>
                </w:p>
              </w:tc>
              <w:tc>
                <w:tcPr>
                  <w:tcW w:w="5528" w:type="dxa"/>
                  <w:noWrap/>
                  <w:hideMark/>
                </w:tcPr>
                <w:p w14:paraId="5AE405C4" w14:textId="77777777" w:rsidR="00256777" w:rsidRPr="004439AD" w:rsidRDefault="00256777" w:rsidP="00256777">
                  <w:pPr>
                    <w:rPr>
                      <w:sz w:val="22"/>
                      <w:szCs w:val="22"/>
                    </w:rPr>
                  </w:pPr>
                  <w:r w:rsidRPr="004439AD">
                    <w:rPr>
                      <w:sz w:val="22"/>
                      <w:szCs w:val="22"/>
                    </w:rPr>
                    <w:t>Validāciju aktualizēšana VS</w:t>
                  </w:r>
                </w:p>
              </w:tc>
              <w:tc>
                <w:tcPr>
                  <w:tcW w:w="1431" w:type="dxa"/>
                  <w:noWrap/>
                  <w:hideMark/>
                </w:tcPr>
                <w:p w14:paraId="78BE09D0" w14:textId="77777777" w:rsidR="00256777" w:rsidRPr="004439AD" w:rsidRDefault="00256777" w:rsidP="003C19BF">
                  <w:pPr>
                    <w:jc w:val="center"/>
                    <w:rPr>
                      <w:color w:val="000000"/>
                      <w:sz w:val="22"/>
                      <w:szCs w:val="22"/>
                    </w:rPr>
                  </w:pPr>
                  <w:r w:rsidRPr="004439AD">
                    <w:rPr>
                      <w:color w:val="000000"/>
                      <w:sz w:val="22"/>
                      <w:szCs w:val="22"/>
                    </w:rPr>
                    <w:t>160</w:t>
                  </w:r>
                </w:p>
              </w:tc>
              <w:tc>
                <w:tcPr>
                  <w:tcW w:w="1133" w:type="dxa"/>
                  <w:noWrap/>
                  <w:hideMark/>
                </w:tcPr>
                <w:p w14:paraId="2D8B7A0F" w14:textId="77777777" w:rsidR="00256777" w:rsidRPr="004439AD" w:rsidRDefault="00256777" w:rsidP="003C19BF">
                  <w:pPr>
                    <w:jc w:val="center"/>
                    <w:rPr>
                      <w:sz w:val="22"/>
                      <w:szCs w:val="22"/>
                    </w:rPr>
                  </w:pPr>
                  <w:r w:rsidRPr="004439AD">
                    <w:t>5 512</w:t>
                  </w:r>
                </w:p>
              </w:tc>
            </w:tr>
            <w:tr w:rsidR="00256777" w:rsidRPr="00404654" w14:paraId="049E0B57" w14:textId="77777777" w:rsidTr="003C19BF">
              <w:trPr>
                <w:trHeight w:val="300"/>
              </w:trPr>
              <w:tc>
                <w:tcPr>
                  <w:tcW w:w="583" w:type="dxa"/>
                  <w:noWrap/>
                  <w:hideMark/>
                </w:tcPr>
                <w:p w14:paraId="6AEAF513" w14:textId="77777777" w:rsidR="00256777" w:rsidRPr="004439AD" w:rsidRDefault="00256777" w:rsidP="00256777">
                  <w:pPr>
                    <w:rPr>
                      <w:sz w:val="22"/>
                      <w:szCs w:val="22"/>
                    </w:rPr>
                  </w:pPr>
                  <w:r w:rsidRPr="004439AD">
                    <w:rPr>
                      <w:sz w:val="22"/>
                      <w:szCs w:val="22"/>
                    </w:rPr>
                    <w:t> </w:t>
                  </w:r>
                </w:p>
              </w:tc>
              <w:tc>
                <w:tcPr>
                  <w:tcW w:w="5528" w:type="dxa"/>
                  <w:noWrap/>
                  <w:vAlign w:val="center"/>
                  <w:hideMark/>
                </w:tcPr>
                <w:p w14:paraId="52C8D276" w14:textId="69C95C5E" w:rsidR="00256777" w:rsidRPr="004439AD" w:rsidRDefault="00256777" w:rsidP="003C19BF">
                  <w:pPr>
                    <w:jc w:val="right"/>
                    <w:rPr>
                      <w:b/>
                      <w:sz w:val="22"/>
                      <w:szCs w:val="22"/>
                    </w:rPr>
                  </w:pPr>
                  <w:r w:rsidRPr="004439AD">
                    <w:rPr>
                      <w:b/>
                      <w:sz w:val="22"/>
                      <w:szCs w:val="22"/>
                    </w:rPr>
                    <w:t>KOPĀ</w:t>
                  </w:r>
                </w:p>
              </w:tc>
              <w:tc>
                <w:tcPr>
                  <w:tcW w:w="1431" w:type="dxa"/>
                  <w:noWrap/>
                  <w:vAlign w:val="center"/>
                  <w:hideMark/>
                </w:tcPr>
                <w:p w14:paraId="7D3EDCBE" w14:textId="77777777" w:rsidR="00256777" w:rsidRPr="004439AD" w:rsidRDefault="00256777" w:rsidP="003C19BF">
                  <w:pPr>
                    <w:jc w:val="center"/>
                    <w:rPr>
                      <w:b/>
                      <w:bCs/>
                      <w:color w:val="000000"/>
                      <w:sz w:val="22"/>
                      <w:szCs w:val="22"/>
                    </w:rPr>
                  </w:pPr>
                  <w:r w:rsidRPr="004439AD">
                    <w:rPr>
                      <w:b/>
                      <w:bCs/>
                      <w:color w:val="000000"/>
                      <w:sz w:val="22"/>
                      <w:szCs w:val="22"/>
                    </w:rPr>
                    <w:t>1</w:t>
                  </w:r>
                  <w:r w:rsidRPr="004439AD">
                    <w:rPr>
                      <w:b/>
                      <w:bCs/>
                      <w:color w:val="000000"/>
                    </w:rPr>
                    <w:t xml:space="preserve"> </w:t>
                  </w:r>
                  <w:r w:rsidRPr="004439AD">
                    <w:rPr>
                      <w:b/>
                      <w:bCs/>
                      <w:color w:val="000000"/>
                      <w:sz w:val="22"/>
                      <w:szCs w:val="22"/>
                    </w:rPr>
                    <w:t>750,95</w:t>
                  </w:r>
                </w:p>
              </w:tc>
              <w:tc>
                <w:tcPr>
                  <w:tcW w:w="1133" w:type="dxa"/>
                  <w:noWrap/>
                  <w:vAlign w:val="center"/>
                  <w:hideMark/>
                </w:tcPr>
                <w:p w14:paraId="6FA76A18" w14:textId="77777777" w:rsidR="00256777" w:rsidRPr="004439AD" w:rsidRDefault="00256777" w:rsidP="003C19BF">
                  <w:pPr>
                    <w:jc w:val="center"/>
                    <w:rPr>
                      <w:b/>
                      <w:bCs/>
                      <w:sz w:val="22"/>
                      <w:szCs w:val="22"/>
                    </w:rPr>
                  </w:pPr>
                  <w:r w:rsidRPr="004439AD">
                    <w:rPr>
                      <w:b/>
                      <w:bCs/>
                      <w:sz w:val="22"/>
                      <w:szCs w:val="22"/>
                    </w:rPr>
                    <w:t xml:space="preserve">60 </w:t>
                  </w:r>
                  <w:r w:rsidRPr="004439AD">
                    <w:rPr>
                      <w:b/>
                      <w:bCs/>
                    </w:rPr>
                    <w:t>320</w:t>
                  </w:r>
                </w:p>
              </w:tc>
            </w:tr>
          </w:tbl>
          <w:p w14:paraId="3E25BC62" w14:textId="77777777" w:rsidR="00256777" w:rsidRDefault="00256777" w:rsidP="00256777">
            <w:pPr>
              <w:ind w:right="34"/>
              <w:jc w:val="both"/>
              <w:rPr>
                <w:highlight w:val="yellow"/>
              </w:rPr>
            </w:pPr>
          </w:p>
          <w:p w14:paraId="5DDB179B" w14:textId="77777777" w:rsidR="00513156" w:rsidRDefault="00513156" w:rsidP="00256777">
            <w:pPr>
              <w:ind w:right="34"/>
              <w:jc w:val="both"/>
              <w:rPr>
                <w:highlight w:val="yellow"/>
              </w:rPr>
            </w:pPr>
          </w:p>
          <w:p w14:paraId="39257CC9" w14:textId="77777777" w:rsidR="00513156" w:rsidRDefault="00513156" w:rsidP="00256777">
            <w:pPr>
              <w:ind w:right="34"/>
              <w:jc w:val="both"/>
              <w:rPr>
                <w:highlight w:val="yellow"/>
              </w:rPr>
            </w:pPr>
          </w:p>
          <w:p w14:paraId="6E30FEF0" w14:textId="77777777" w:rsidR="00513156" w:rsidRDefault="00513156" w:rsidP="00256777">
            <w:pPr>
              <w:ind w:right="34"/>
              <w:jc w:val="both"/>
              <w:rPr>
                <w:highlight w:val="yellow"/>
              </w:rPr>
            </w:pPr>
          </w:p>
          <w:tbl>
            <w:tblPr>
              <w:tblStyle w:val="TableGrid"/>
              <w:tblW w:w="8676" w:type="dxa"/>
              <w:tblLayout w:type="fixed"/>
              <w:tblLook w:val="04A0" w:firstRow="1" w:lastRow="0" w:firstColumn="1" w:lastColumn="0" w:noHBand="0" w:noVBand="1"/>
            </w:tblPr>
            <w:tblGrid>
              <w:gridCol w:w="583"/>
              <w:gridCol w:w="5528"/>
              <w:gridCol w:w="1418"/>
              <w:gridCol w:w="1147"/>
            </w:tblGrid>
            <w:tr w:rsidR="00256777" w:rsidRPr="00404654" w14:paraId="165A90D3" w14:textId="77777777" w:rsidTr="003C19BF">
              <w:trPr>
                <w:trHeight w:val="300"/>
              </w:trPr>
              <w:tc>
                <w:tcPr>
                  <w:tcW w:w="583" w:type="dxa"/>
                  <w:noWrap/>
                  <w:hideMark/>
                </w:tcPr>
                <w:p w14:paraId="48B8C2C9" w14:textId="77777777" w:rsidR="00256777" w:rsidRPr="004439AD" w:rsidRDefault="00256777" w:rsidP="00256777">
                  <w:pPr>
                    <w:jc w:val="center"/>
                    <w:rPr>
                      <w:b/>
                      <w:bCs/>
                      <w:sz w:val="22"/>
                      <w:szCs w:val="22"/>
                    </w:rPr>
                  </w:pPr>
                  <w:r w:rsidRPr="004439AD">
                    <w:rPr>
                      <w:b/>
                      <w:bCs/>
                      <w:sz w:val="22"/>
                      <w:szCs w:val="22"/>
                    </w:rPr>
                    <w:t>2.</w:t>
                  </w:r>
                </w:p>
              </w:tc>
              <w:tc>
                <w:tcPr>
                  <w:tcW w:w="8093" w:type="dxa"/>
                  <w:gridSpan w:val="3"/>
                  <w:noWrap/>
                  <w:hideMark/>
                </w:tcPr>
                <w:p w14:paraId="731561EC" w14:textId="77777777" w:rsidR="00256777" w:rsidRPr="004439AD" w:rsidRDefault="00256777" w:rsidP="00256777">
                  <w:pPr>
                    <w:rPr>
                      <w:b/>
                      <w:bCs/>
                      <w:sz w:val="22"/>
                      <w:szCs w:val="22"/>
                    </w:rPr>
                  </w:pPr>
                  <w:r w:rsidRPr="004439AD">
                    <w:rPr>
                      <w:b/>
                      <w:bCs/>
                      <w:sz w:val="22"/>
                      <w:szCs w:val="22"/>
                    </w:rPr>
                    <w:t>Fi</w:t>
                  </w:r>
                  <w:r>
                    <w:rPr>
                      <w:b/>
                      <w:bCs/>
                      <w:sz w:val="22"/>
                      <w:szCs w:val="22"/>
                    </w:rPr>
                    <w:t>z</w:t>
                  </w:r>
                  <w:r w:rsidRPr="004439AD">
                    <w:rPr>
                      <w:b/>
                      <w:bCs/>
                      <w:sz w:val="22"/>
                      <w:szCs w:val="22"/>
                    </w:rPr>
                    <w:t>isko personu (FP) datu auditācija un auditācijas rezultātu parādīšanas procesa VIIS tīmekļa pakalpēm pilnveide</w:t>
                  </w:r>
                </w:p>
              </w:tc>
            </w:tr>
            <w:tr w:rsidR="00256777" w:rsidRPr="00404654" w14:paraId="2A385CD3" w14:textId="77777777" w:rsidTr="003C19BF">
              <w:trPr>
                <w:trHeight w:val="300"/>
              </w:trPr>
              <w:tc>
                <w:tcPr>
                  <w:tcW w:w="583" w:type="dxa"/>
                  <w:noWrap/>
                </w:tcPr>
                <w:p w14:paraId="2B72AC52" w14:textId="77777777" w:rsidR="00256777" w:rsidRPr="004439AD" w:rsidRDefault="00256777" w:rsidP="00256777">
                  <w:pPr>
                    <w:jc w:val="right"/>
                    <w:rPr>
                      <w:sz w:val="22"/>
                      <w:szCs w:val="22"/>
                    </w:rPr>
                  </w:pPr>
                </w:p>
              </w:tc>
              <w:tc>
                <w:tcPr>
                  <w:tcW w:w="5528" w:type="dxa"/>
                  <w:noWrap/>
                </w:tcPr>
                <w:p w14:paraId="69498C12" w14:textId="77777777" w:rsidR="00256777" w:rsidRPr="004439AD" w:rsidRDefault="00256777" w:rsidP="00256777">
                  <w:pPr>
                    <w:rPr>
                      <w:sz w:val="22"/>
                      <w:szCs w:val="22"/>
                    </w:rPr>
                  </w:pPr>
                </w:p>
              </w:tc>
              <w:tc>
                <w:tcPr>
                  <w:tcW w:w="1418" w:type="dxa"/>
                  <w:noWrap/>
                  <w:hideMark/>
                </w:tcPr>
                <w:p w14:paraId="458F76EA" w14:textId="2DDF6AFF" w:rsidR="00256777" w:rsidRPr="004439AD" w:rsidRDefault="00256777" w:rsidP="001A07F0">
                  <w:pPr>
                    <w:jc w:val="center"/>
                    <w:rPr>
                      <w:sz w:val="22"/>
                      <w:szCs w:val="22"/>
                    </w:rPr>
                  </w:pPr>
                  <w:r w:rsidRPr="004439AD">
                    <w:t>Stundas</w:t>
                  </w:r>
                </w:p>
              </w:tc>
              <w:tc>
                <w:tcPr>
                  <w:tcW w:w="1147" w:type="dxa"/>
                  <w:noWrap/>
                  <w:hideMark/>
                </w:tcPr>
                <w:p w14:paraId="2BD1C9D3" w14:textId="395BAE75" w:rsidR="00256777" w:rsidRPr="004439AD" w:rsidRDefault="00256777" w:rsidP="001A07F0">
                  <w:pPr>
                    <w:jc w:val="center"/>
                    <w:rPr>
                      <w:sz w:val="22"/>
                      <w:szCs w:val="22"/>
                    </w:rPr>
                  </w:pPr>
                  <w:r w:rsidRPr="004439AD">
                    <w:rPr>
                      <w:sz w:val="22"/>
                      <w:szCs w:val="22"/>
                    </w:rPr>
                    <w:t xml:space="preserve">Kopā, </w:t>
                  </w:r>
                  <w:r w:rsidR="001A07F0" w:rsidRPr="001A07F0">
                    <w:rPr>
                      <w:i/>
                      <w:sz w:val="22"/>
                      <w:szCs w:val="22"/>
                    </w:rPr>
                    <w:t>euro</w:t>
                  </w:r>
                </w:p>
              </w:tc>
            </w:tr>
            <w:tr w:rsidR="00256777" w:rsidRPr="00404654" w14:paraId="6B4AB771" w14:textId="77777777" w:rsidTr="003C19BF">
              <w:trPr>
                <w:trHeight w:val="300"/>
              </w:trPr>
              <w:tc>
                <w:tcPr>
                  <w:tcW w:w="583" w:type="dxa"/>
                  <w:noWrap/>
                </w:tcPr>
                <w:p w14:paraId="4F4DD4D5" w14:textId="77777777" w:rsidR="00256777" w:rsidRPr="004439AD" w:rsidRDefault="00256777" w:rsidP="003C19BF">
                  <w:pPr>
                    <w:jc w:val="center"/>
                    <w:rPr>
                      <w:sz w:val="22"/>
                      <w:szCs w:val="22"/>
                    </w:rPr>
                  </w:pPr>
                  <w:r w:rsidRPr="004439AD">
                    <w:lastRenderedPageBreak/>
                    <w:t>2.1</w:t>
                  </w:r>
                </w:p>
              </w:tc>
              <w:tc>
                <w:tcPr>
                  <w:tcW w:w="5528" w:type="dxa"/>
                  <w:noWrap/>
                  <w:vAlign w:val="center"/>
                  <w:hideMark/>
                </w:tcPr>
                <w:p w14:paraId="77EAC279" w14:textId="77777777" w:rsidR="00256777" w:rsidRPr="004439AD" w:rsidRDefault="00256777" w:rsidP="003C19BF">
                  <w:pPr>
                    <w:rPr>
                      <w:sz w:val="22"/>
                      <w:szCs w:val="22"/>
                    </w:rPr>
                  </w:pPr>
                  <w:r w:rsidRPr="004439AD">
                    <w:t>Auditācijas mehānisms universālajām tīmekļa pakalpei jeb vebservisam (WS)</w:t>
                  </w:r>
                </w:p>
              </w:tc>
              <w:tc>
                <w:tcPr>
                  <w:tcW w:w="1418" w:type="dxa"/>
                  <w:noWrap/>
                  <w:hideMark/>
                </w:tcPr>
                <w:p w14:paraId="043386A9" w14:textId="77777777" w:rsidR="00256777" w:rsidRPr="004439AD" w:rsidRDefault="00256777" w:rsidP="003C19BF">
                  <w:pPr>
                    <w:jc w:val="center"/>
                    <w:rPr>
                      <w:color w:val="000000"/>
                      <w:sz w:val="22"/>
                      <w:szCs w:val="22"/>
                    </w:rPr>
                  </w:pPr>
                  <w:r w:rsidRPr="004439AD">
                    <w:rPr>
                      <w:color w:val="000000"/>
                      <w:sz w:val="22"/>
                      <w:szCs w:val="22"/>
                    </w:rPr>
                    <w:t>240</w:t>
                  </w:r>
                </w:p>
              </w:tc>
              <w:tc>
                <w:tcPr>
                  <w:tcW w:w="1147" w:type="dxa"/>
                  <w:noWrap/>
                  <w:hideMark/>
                </w:tcPr>
                <w:p w14:paraId="47C1A7AF" w14:textId="77777777" w:rsidR="00256777" w:rsidRPr="004439AD" w:rsidRDefault="00256777" w:rsidP="003C19BF">
                  <w:pPr>
                    <w:jc w:val="center"/>
                    <w:rPr>
                      <w:sz w:val="22"/>
                      <w:szCs w:val="22"/>
                    </w:rPr>
                  </w:pPr>
                  <w:r w:rsidRPr="004439AD">
                    <w:t>8 268</w:t>
                  </w:r>
                </w:p>
              </w:tc>
            </w:tr>
            <w:tr w:rsidR="00256777" w:rsidRPr="00404654" w14:paraId="2196170B" w14:textId="77777777" w:rsidTr="003C19BF">
              <w:trPr>
                <w:trHeight w:val="546"/>
              </w:trPr>
              <w:tc>
                <w:tcPr>
                  <w:tcW w:w="583" w:type="dxa"/>
                  <w:noWrap/>
                </w:tcPr>
                <w:p w14:paraId="2C6C6635" w14:textId="77777777" w:rsidR="00256777" w:rsidRPr="004439AD" w:rsidRDefault="00256777" w:rsidP="003C19BF">
                  <w:pPr>
                    <w:jc w:val="center"/>
                    <w:rPr>
                      <w:sz w:val="22"/>
                      <w:szCs w:val="22"/>
                    </w:rPr>
                  </w:pPr>
                  <w:r w:rsidRPr="004439AD">
                    <w:t>2.2</w:t>
                  </w:r>
                </w:p>
              </w:tc>
              <w:tc>
                <w:tcPr>
                  <w:tcW w:w="5528" w:type="dxa"/>
                  <w:vAlign w:val="center"/>
                  <w:hideMark/>
                </w:tcPr>
                <w:p w14:paraId="5599D858" w14:textId="77777777" w:rsidR="00256777" w:rsidRPr="004439AD" w:rsidRDefault="00256777" w:rsidP="003C19BF">
                  <w:pPr>
                    <w:rPr>
                      <w:sz w:val="22"/>
                      <w:szCs w:val="22"/>
                    </w:rPr>
                  </w:pPr>
                  <w:r w:rsidRPr="004439AD">
                    <w:t>Auditācijas izsaukumu papildināšana ne-universālajām tīmekļa pakalpēm</w:t>
                  </w:r>
                </w:p>
              </w:tc>
              <w:tc>
                <w:tcPr>
                  <w:tcW w:w="1418" w:type="dxa"/>
                  <w:noWrap/>
                  <w:hideMark/>
                </w:tcPr>
                <w:p w14:paraId="0A0D80B0" w14:textId="77777777" w:rsidR="00256777" w:rsidRPr="004439AD" w:rsidRDefault="00256777" w:rsidP="003C19BF">
                  <w:pPr>
                    <w:jc w:val="center"/>
                    <w:rPr>
                      <w:color w:val="000000"/>
                      <w:sz w:val="22"/>
                      <w:szCs w:val="22"/>
                    </w:rPr>
                  </w:pPr>
                  <w:r w:rsidRPr="004439AD">
                    <w:rPr>
                      <w:color w:val="000000"/>
                      <w:sz w:val="22"/>
                      <w:szCs w:val="22"/>
                    </w:rPr>
                    <w:t>160</w:t>
                  </w:r>
                </w:p>
              </w:tc>
              <w:tc>
                <w:tcPr>
                  <w:tcW w:w="1147" w:type="dxa"/>
                  <w:noWrap/>
                  <w:hideMark/>
                </w:tcPr>
                <w:p w14:paraId="430E95D0" w14:textId="77777777" w:rsidR="00256777" w:rsidRPr="004439AD" w:rsidRDefault="00256777" w:rsidP="003C19BF">
                  <w:pPr>
                    <w:jc w:val="center"/>
                    <w:rPr>
                      <w:sz w:val="22"/>
                      <w:szCs w:val="22"/>
                    </w:rPr>
                  </w:pPr>
                  <w:r w:rsidRPr="004439AD">
                    <w:t>5 512</w:t>
                  </w:r>
                </w:p>
              </w:tc>
            </w:tr>
            <w:tr w:rsidR="00256777" w:rsidRPr="00404654" w14:paraId="00AF928B" w14:textId="77777777" w:rsidTr="003C19BF">
              <w:trPr>
                <w:trHeight w:val="300"/>
              </w:trPr>
              <w:tc>
                <w:tcPr>
                  <w:tcW w:w="583" w:type="dxa"/>
                  <w:noWrap/>
                </w:tcPr>
                <w:p w14:paraId="15FEC99B" w14:textId="77777777" w:rsidR="00256777" w:rsidRPr="004439AD" w:rsidRDefault="00256777" w:rsidP="003C19BF">
                  <w:pPr>
                    <w:jc w:val="center"/>
                    <w:rPr>
                      <w:sz w:val="22"/>
                      <w:szCs w:val="22"/>
                    </w:rPr>
                  </w:pPr>
                  <w:r w:rsidRPr="004439AD">
                    <w:t>2.3</w:t>
                  </w:r>
                </w:p>
              </w:tc>
              <w:tc>
                <w:tcPr>
                  <w:tcW w:w="5528" w:type="dxa"/>
                  <w:vAlign w:val="center"/>
                  <w:hideMark/>
                </w:tcPr>
                <w:p w14:paraId="6A88F328" w14:textId="77777777" w:rsidR="00256777" w:rsidRPr="004439AD" w:rsidRDefault="00256777" w:rsidP="003C19BF">
                  <w:pPr>
                    <w:rPr>
                      <w:sz w:val="22"/>
                      <w:szCs w:val="22"/>
                    </w:rPr>
                  </w:pPr>
                  <w:r w:rsidRPr="004439AD">
                    <w:t>Auditācijas informācijas saglabāšana uz auditācijas servera</w:t>
                  </w:r>
                </w:p>
              </w:tc>
              <w:tc>
                <w:tcPr>
                  <w:tcW w:w="1418" w:type="dxa"/>
                  <w:noWrap/>
                  <w:hideMark/>
                </w:tcPr>
                <w:p w14:paraId="22E53A0C" w14:textId="77777777" w:rsidR="00256777" w:rsidRPr="004439AD" w:rsidRDefault="00256777" w:rsidP="003C19BF">
                  <w:pPr>
                    <w:jc w:val="center"/>
                    <w:rPr>
                      <w:color w:val="000000"/>
                      <w:sz w:val="22"/>
                      <w:szCs w:val="22"/>
                    </w:rPr>
                  </w:pPr>
                  <w:r w:rsidRPr="004439AD">
                    <w:rPr>
                      <w:color w:val="000000"/>
                      <w:sz w:val="22"/>
                      <w:szCs w:val="22"/>
                    </w:rPr>
                    <w:t>160</w:t>
                  </w:r>
                </w:p>
              </w:tc>
              <w:tc>
                <w:tcPr>
                  <w:tcW w:w="1147" w:type="dxa"/>
                  <w:noWrap/>
                  <w:hideMark/>
                </w:tcPr>
                <w:p w14:paraId="4EF0A325" w14:textId="77777777" w:rsidR="00256777" w:rsidRPr="004439AD" w:rsidRDefault="00256777" w:rsidP="003C19BF">
                  <w:pPr>
                    <w:jc w:val="center"/>
                    <w:rPr>
                      <w:sz w:val="22"/>
                      <w:szCs w:val="22"/>
                    </w:rPr>
                  </w:pPr>
                  <w:r w:rsidRPr="004439AD">
                    <w:t>5 512</w:t>
                  </w:r>
                </w:p>
              </w:tc>
            </w:tr>
            <w:tr w:rsidR="00256777" w:rsidRPr="00404654" w14:paraId="1BCBD319" w14:textId="77777777" w:rsidTr="003C19BF">
              <w:trPr>
                <w:trHeight w:val="600"/>
              </w:trPr>
              <w:tc>
                <w:tcPr>
                  <w:tcW w:w="583" w:type="dxa"/>
                  <w:noWrap/>
                </w:tcPr>
                <w:p w14:paraId="6A9598A3" w14:textId="77777777" w:rsidR="00256777" w:rsidRPr="004439AD" w:rsidRDefault="00256777" w:rsidP="003C19BF">
                  <w:pPr>
                    <w:jc w:val="center"/>
                    <w:rPr>
                      <w:sz w:val="22"/>
                      <w:szCs w:val="22"/>
                    </w:rPr>
                  </w:pPr>
                  <w:r w:rsidRPr="004439AD">
                    <w:t>2.4</w:t>
                  </w:r>
                </w:p>
              </w:tc>
              <w:tc>
                <w:tcPr>
                  <w:tcW w:w="5528" w:type="dxa"/>
                  <w:vAlign w:val="center"/>
                  <w:hideMark/>
                </w:tcPr>
                <w:p w14:paraId="080DA3A0" w14:textId="77777777" w:rsidR="00256777" w:rsidRPr="004439AD" w:rsidRDefault="00256777" w:rsidP="003C19BF">
                  <w:pPr>
                    <w:rPr>
                      <w:sz w:val="22"/>
                      <w:szCs w:val="22"/>
                    </w:rPr>
                  </w:pPr>
                  <w:r w:rsidRPr="004439AD">
                    <w:t>Auditācijas informācijas pieprasīšana par FP un atspoguļošana pārskatā un uz ekrāna</w:t>
                  </w:r>
                </w:p>
              </w:tc>
              <w:tc>
                <w:tcPr>
                  <w:tcW w:w="1418" w:type="dxa"/>
                  <w:noWrap/>
                  <w:hideMark/>
                </w:tcPr>
                <w:p w14:paraId="0E4ADA1D" w14:textId="77777777" w:rsidR="00256777" w:rsidRPr="004439AD" w:rsidRDefault="00256777" w:rsidP="003C19BF">
                  <w:pPr>
                    <w:jc w:val="center"/>
                    <w:rPr>
                      <w:color w:val="000000"/>
                      <w:sz w:val="22"/>
                      <w:szCs w:val="22"/>
                    </w:rPr>
                  </w:pPr>
                  <w:r w:rsidRPr="004439AD">
                    <w:rPr>
                      <w:color w:val="000000"/>
                      <w:sz w:val="22"/>
                      <w:szCs w:val="22"/>
                    </w:rPr>
                    <w:t>160</w:t>
                  </w:r>
                </w:p>
              </w:tc>
              <w:tc>
                <w:tcPr>
                  <w:tcW w:w="1147" w:type="dxa"/>
                  <w:noWrap/>
                  <w:hideMark/>
                </w:tcPr>
                <w:p w14:paraId="689E4BB8" w14:textId="77777777" w:rsidR="00256777" w:rsidRPr="004439AD" w:rsidRDefault="00256777" w:rsidP="003C19BF">
                  <w:pPr>
                    <w:jc w:val="center"/>
                    <w:rPr>
                      <w:sz w:val="22"/>
                      <w:szCs w:val="22"/>
                    </w:rPr>
                  </w:pPr>
                  <w:r w:rsidRPr="004439AD">
                    <w:t>5 512</w:t>
                  </w:r>
                </w:p>
              </w:tc>
            </w:tr>
            <w:tr w:rsidR="00256777" w:rsidRPr="00404654" w14:paraId="7B544CD7" w14:textId="77777777" w:rsidTr="003C19BF">
              <w:trPr>
                <w:trHeight w:val="300"/>
              </w:trPr>
              <w:tc>
                <w:tcPr>
                  <w:tcW w:w="583" w:type="dxa"/>
                  <w:noWrap/>
                  <w:hideMark/>
                </w:tcPr>
                <w:p w14:paraId="756E2638" w14:textId="77777777" w:rsidR="00256777" w:rsidRPr="004439AD" w:rsidRDefault="00256777" w:rsidP="00256777">
                  <w:pPr>
                    <w:rPr>
                      <w:sz w:val="22"/>
                      <w:szCs w:val="22"/>
                    </w:rPr>
                  </w:pPr>
                  <w:r w:rsidRPr="004439AD">
                    <w:rPr>
                      <w:sz w:val="22"/>
                      <w:szCs w:val="22"/>
                    </w:rPr>
                    <w:t> </w:t>
                  </w:r>
                </w:p>
              </w:tc>
              <w:tc>
                <w:tcPr>
                  <w:tcW w:w="5528" w:type="dxa"/>
                  <w:noWrap/>
                  <w:vAlign w:val="center"/>
                  <w:hideMark/>
                </w:tcPr>
                <w:p w14:paraId="1DBD1EC4" w14:textId="6CE978E8" w:rsidR="00256777" w:rsidRPr="004439AD" w:rsidRDefault="00256777" w:rsidP="003C19BF">
                  <w:pPr>
                    <w:jc w:val="right"/>
                    <w:rPr>
                      <w:b/>
                      <w:sz w:val="22"/>
                      <w:szCs w:val="22"/>
                    </w:rPr>
                  </w:pPr>
                  <w:r w:rsidRPr="004439AD">
                    <w:rPr>
                      <w:b/>
                      <w:sz w:val="22"/>
                      <w:szCs w:val="22"/>
                    </w:rPr>
                    <w:t>KOPĀ</w:t>
                  </w:r>
                </w:p>
              </w:tc>
              <w:tc>
                <w:tcPr>
                  <w:tcW w:w="1418" w:type="dxa"/>
                  <w:noWrap/>
                  <w:vAlign w:val="center"/>
                  <w:hideMark/>
                </w:tcPr>
                <w:p w14:paraId="7B5218BF" w14:textId="77777777" w:rsidR="00256777" w:rsidRPr="004439AD" w:rsidRDefault="00256777" w:rsidP="003C19BF">
                  <w:pPr>
                    <w:jc w:val="center"/>
                    <w:rPr>
                      <w:b/>
                      <w:bCs/>
                      <w:color w:val="000000"/>
                      <w:sz w:val="22"/>
                      <w:szCs w:val="22"/>
                    </w:rPr>
                  </w:pPr>
                  <w:r w:rsidRPr="004439AD">
                    <w:rPr>
                      <w:b/>
                      <w:bCs/>
                      <w:color w:val="000000"/>
                      <w:sz w:val="22"/>
                      <w:szCs w:val="22"/>
                    </w:rPr>
                    <w:t>720</w:t>
                  </w:r>
                </w:p>
              </w:tc>
              <w:tc>
                <w:tcPr>
                  <w:tcW w:w="1147" w:type="dxa"/>
                  <w:noWrap/>
                  <w:vAlign w:val="center"/>
                  <w:hideMark/>
                </w:tcPr>
                <w:p w14:paraId="178C4589" w14:textId="77777777" w:rsidR="00256777" w:rsidRPr="004439AD" w:rsidRDefault="00256777" w:rsidP="003C19BF">
                  <w:pPr>
                    <w:jc w:val="center"/>
                    <w:rPr>
                      <w:b/>
                      <w:bCs/>
                      <w:sz w:val="22"/>
                      <w:szCs w:val="22"/>
                    </w:rPr>
                  </w:pPr>
                  <w:r w:rsidRPr="004439AD">
                    <w:rPr>
                      <w:b/>
                      <w:bCs/>
                    </w:rPr>
                    <w:t>24 804</w:t>
                  </w:r>
                </w:p>
              </w:tc>
            </w:tr>
            <w:tr w:rsidR="00256777" w:rsidRPr="00404654" w14:paraId="7C4AD0BF" w14:textId="77777777" w:rsidTr="003C19BF">
              <w:trPr>
                <w:trHeight w:val="300"/>
              </w:trPr>
              <w:tc>
                <w:tcPr>
                  <w:tcW w:w="583" w:type="dxa"/>
                  <w:noWrap/>
                  <w:hideMark/>
                </w:tcPr>
                <w:p w14:paraId="6C14DD86" w14:textId="77777777" w:rsidR="00256777" w:rsidRPr="004439AD" w:rsidRDefault="00256777" w:rsidP="00256777">
                  <w:pPr>
                    <w:rPr>
                      <w:b/>
                      <w:bCs/>
                      <w:sz w:val="22"/>
                      <w:szCs w:val="22"/>
                    </w:rPr>
                  </w:pPr>
                </w:p>
              </w:tc>
              <w:tc>
                <w:tcPr>
                  <w:tcW w:w="5528" w:type="dxa"/>
                  <w:noWrap/>
                  <w:hideMark/>
                </w:tcPr>
                <w:p w14:paraId="77833C9C" w14:textId="77777777" w:rsidR="00256777" w:rsidRPr="004439AD" w:rsidRDefault="00256777" w:rsidP="00256777">
                  <w:pPr>
                    <w:jc w:val="right"/>
                    <w:rPr>
                      <w:b/>
                      <w:bCs/>
                      <w:sz w:val="22"/>
                      <w:szCs w:val="22"/>
                    </w:rPr>
                  </w:pPr>
                  <w:r w:rsidRPr="004439AD">
                    <w:rPr>
                      <w:b/>
                      <w:bCs/>
                      <w:sz w:val="22"/>
                      <w:szCs w:val="22"/>
                    </w:rPr>
                    <w:t xml:space="preserve">PAVISAM KOPĀ </w:t>
                  </w:r>
                  <w:r w:rsidRPr="004439AD">
                    <w:rPr>
                      <w:b/>
                      <w:bCs/>
                    </w:rPr>
                    <w:t xml:space="preserve">1. un 2. </w:t>
                  </w:r>
                  <w:r w:rsidRPr="004439AD">
                    <w:rPr>
                      <w:b/>
                      <w:bCs/>
                      <w:sz w:val="22"/>
                      <w:szCs w:val="22"/>
                    </w:rPr>
                    <w:t>(t.sk. PVN)</w:t>
                  </w:r>
                </w:p>
              </w:tc>
              <w:tc>
                <w:tcPr>
                  <w:tcW w:w="1418" w:type="dxa"/>
                  <w:noWrap/>
                  <w:hideMark/>
                </w:tcPr>
                <w:p w14:paraId="00B93246" w14:textId="77777777" w:rsidR="00256777" w:rsidRPr="004439AD" w:rsidRDefault="00256777" w:rsidP="00256777">
                  <w:pPr>
                    <w:jc w:val="center"/>
                    <w:rPr>
                      <w:b/>
                      <w:sz w:val="22"/>
                      <w:szCs w:val="22"/>
                    </w:rPr>
                  </w:pPr>
                  <w:r w:rsidRPr="004439AD">
                    <w:rPr>
                      <w:b/>
                    </w:rPr>
                    <w:t>2 470,95</w:t>
                  </w:r>
                </w:p>
              </w:tc>
              <w:tc>
                <w:tcPr>
                  <w:tcW w:w="1147" w:type="dxa"/>
                  <w:noWrap/>
                  <w:hideMark/>
                </w:tcPr>
                <w:p w14:paraId="5BCA55CF" w14:textId="77777777" w:rsidR="00256777" w:rsidRPr="004439AD" w:rsidRDefault="00256777" w:rsidP="00256777">
                  <w:pPr>
                    <w:jc w:val="center"/>
                    <w:rPr>
                      <w:b/>
                      <w:bCs/>
                      <w:sz w:val="22"/>
                      <w:szCs w:val="22"/>
                    </w:rPr>
                  </w:pPr>
                  <w:r w:rsidRPr="004439AD">
                    <w:rPr>
                      <w:b/>
                      <w:bCs/>
                    </w:rPr>
                    <w:t>103 000</w:t>
                  </w:r>
                </w:p>
              </w:tc>
            </w:tr>
          </w:tbl>
          <w:p w14:paraId="5D371FED" w14:textId="77777777" w:rsidR="00256777" w:rsidRDefault="00256777" w:rsidP="00256777">
            <w:pPr>
              <w:ind w:firstLine="588"/>
              <w:jc w:val="both"/>
              <w:rPr>
                <w:highlight w:val="yellow"/>
              </w:rPr>
            </w:pPr>
          </w:p>
          <w:p w14:paraId="26D0C0B5" w14:textId="22CF5649" w:rsidR="00256777" w:rsidRPr="00A87C09" w:rsidRDefault="00256777" w:rsidP="00256777">
            <w:pPr>
              <w:ind w:firstLine="588"/>
              <w:jc w:val="both"/>
            </w:pPr>
            <w:r w:rsidRPr="00A87C09">
              <w:t>2)</w:t>
            </w:r>
            <w:r w:rsidRPr="00A87C09">
              <w:rPr>
                <w:b/>
              </w:rPr>
              <w:t xml:space="preserve"> 110 000</w:t>
            </w:r>
            <w:r w:rsidRPr="00A87C09">
              <w:t xml:space="preserve"> </w:t>
            </w:r>
            <w:r w:rsidRPr="00A87C09">
              <w:rPr>
                <w:i/>
              </w:rPr>
              <w:t>euro</w:t>
            </w:r>
            <w:r w:rsidRPr="00A87C09">
              <w:t xml:space="preserve"> pamatlīdzekļu iegādei (EKK 5000). Plānots iegādāties tīkla komutatorus, lai nodrošinātu </w:t>
            </w:r>
            <w:r w:rsidR="003C19BF">
              <w:t>IZM</w:t>
            </w:r>
            <w:r w:rsidRPr="00A87C09">
              <w:t xml:space="preserve"> datortīkla korektu darbību un samazinātu datortīkla darbības pārtraukumu iespējamību. </w:t>
            </w:r>
            <w:r w:rsidR="003C19BF">
              <w:t>IZM</w:t>
            </w:r>
            <w:r w:rsidRPr="00A87C09">
              <w:t xml:space="preserve"> esošo tīkla komutatoru nomaiņa nepieciešama, jo esošie ir fiziski un morāli novecojuši (vecums pārsniedz 10 gadus) un uz doto brīdi ir bijuši vairāki incidenti, kad tīkla komutatoru nekorektas darbības vai bojājumu dēļ ir traucēta tīkla darbība, kā rezultātā darbinieki nevar pilnvērtīgi pildīt savus pienākumus.</w:t>
            </w:r>
          </w:p>
          <w:p w14:paraId="317DB207" w14:textId="647D8456" w:rsidR="00256777" w:rsidRPr="00A87C09" w:rsidRDefault="00256777" w:rsidP="00256777">
            <w:pPr>
              <w:ind w:firstLine="720"/>
              <w:jc w:val="both"/>
            </w:pPr>
            <w:r w:rsidRPr="00A87C09">
              <w:t>3)</w:t>
            </w:r>
            <w:r w:rsidRPr="00A87C09">
              <w:rPr>
                <w:b/>
              </w:rPr>
              <w:t xml:space="preserve"> 28 000</w:t>
            </w:r>
            <w:r w:rsidRPr="00A87C09">
              <w:t xml:space="preserve"> </w:t>
            </w:r>
            <w:r w:rsidRPr="00A87C09">
              <w:rPr>
                <w:i/>
              </w:rPr>
              <w:t>euro</w:t>
            </w:r>
            <w:r w:rsidRPr="00A87C09">
              <w:t xml:space="preserve"> pamatlīdzekļu iegādei (EKK 5000). Plānots iegādāties datu rezerves kopiju veidošanas un glabāšanas iekārtu, kas nodrošinātu regulāru </w:t>
            </w:r>
            <w:r w:rsidR="003C19BF">
              <w:t>IZM</w:t>
            </w:r>
            <w:r w:rsidRPr="00A87C09">
              <w:t xml:space="preserve"> informācijas sistēmu rezerves kopiju uzkrāšanu un glabāšanu drošā veidā (šifrētā) uz magnētiskajām lentēm, lai nodrošinātu rezerves kopiju drošu glabāšanu ārpus datu centriem.</w:t>
            </w:r>
          </w:p>
          <w:p w14:paraId="12AD66CC" w14:textId="0EA854C9" w:rsidR="0004742F" w:rsidRPr="004B2478" w:rsidRDefault="00256777" w:rsidP="005C3A39">
            <w:pPr>
              <w:ind w:firstLine="720"/>
              <w:jc w:val="both"/>
            </w:pPr>
            <w:r w:rsidRPr="00A87C09">
              <w:t>4)</w:t>
            </w:r>
            <w:r w:rsidRPr="00A87C09">
              <w:rPr>
                <w:b/>
              </w:rPr>
              <w:t xml:space="preserve"> 12 000</w:t>
            </w:r>
            <w:r w:rsidRPr="00A87C09">
              <w:t xml:space="preserve"> </w:t>
            </w:r>
            <w:r w:rsidRPr="00A87C09">
              <w:rPr>
                <w:i/>
              </w:rPr>
              <w:t>euro</w:t>
            </w:r>
            <w:r w:rsidRPr="00A87C09">
              <w:t xml:space="preserve"> informācijas sistēmu drošības pasākumu nodrošināšanai (EKK 2000). Tiks veikta resursu vadības sistēmas drošības skenēšana, </w:t>
            </w:r>
            <w:r w:rsidR="003C19BF">
              <w:t>IZM</w:t>
            </w:r>
            <w:r w:rsidRPr="00A87C09">
              <w:t xml:space="preserve"> iekštīkla skenēšana, sagatavoti informatīvi materiāli lietotājiem par drošības jautājumiem, tai skaitā attālinātā darba gadījumā (ielaušanās testiem </w:t>
            </w:r>
            <w:r w:rsidR="005C3A39">
              <w:t>–</w:t>
            </w:r>
            <w:r w:rsidRPr="00A87C09">
              <w:t xml:space="preserve"> 10 000 </w:t>
            </w:r>
            <w:r w:rsidRPr="00A87C09">
              <w:rPr>
                <w:i/>
              </w:rPr>
              <w:t>euro</w:t>
            </w:r>
            <w:r w:rsidRPr="00A87C09">
              <w:t xml:space="preserve"> un iekštīkla skenēšanai, darbinieku informēšanai par drošības jautājumiem </w:t>
            </w:r>
            <w:r w:rsidR="005C3A39">
              <w:t>–</w:t>
            </w:r>
            <w:r w:rsidRPr="00A87C09">
              <w:t xml:space="preserve"> 2 000 </w:t>
            </w:r>
            <w:r w:rsidRPr="00A87C09">
              <w:rPr>
                <w:i/>
              </w:rPr>
              <w:t>euro</w:t>
            </w:r>
            <w:r w:rsidRPr="00A87C09">
              <w:t>).</w:t>
            </w:r>
          </w:p>
        </w:tc>
      </w:tr>
      <w:tr w:rsidR="00DA708F" w:rsidRPr="0033617F" w14:paraId="5F30166E" w14:textId="77777777" w:rsidTr="00256777">
        <w:trPr>
          <w:jc w:val="center"/>
        </w:trPr>
        <w:tc>
          <w:tcPr>
            <w:tcW w:w="1696" w:type="dxa"/>
          </w:tcPr>
          <w:p w14:paraId="2E27D7B1" w14:textId="29387657" w:rsidR="00DA708F" w:rsidRPr="0033617F" w:rsidRDefault="00DA708F" w:rsidP="001B2A96">
            <w:r w:rsidRPr="0033617F">
              <w:t>6.1. detalizēts ieņēmumu aprēķins</w:t>
            </w:r>
          </w:p>
        </w:tc>
        <w:tc>
          <w:tcPr>
            <w:tcW w:w="8918" w:type="dxa"/>
            <w:gridSpan w:val="7"/>
            <w:vMerge/>
            <w:shd w:val="clear" w:color="auto" w:fill="auto"/>
          </w:tcPr>
          <w:p w14:paraId="498A7179" w14:textId="77777777" w:rsidR="00DA708F" w:rsidRPr="0033617F" w:rsidRDefault="00DA708F" w:rsidP="001B2A96">
            <w:pPr>
              <w:rPr>
                <w:b/>
                <w:i/>
              </w:rPr>
            </w:pPr>
          </w:p>
        </w:tc>
      </w:tr>
      <w:tr w:rsidR="00DA708F" w:rsidRPr="0033617F" w14:paraId="6161CC7C" w14:textId="77777777" w:rsidTr="00256777">
        <w:trPr>
          <w:jc w:val="center"/>
        </w:trPr>
        <w:tc>
          <w:tcPr>
            <w:tcW w:w="1696" w:type="dxa"/>
          </w:tcPr>
          <w:p w14:paraId="52D9743E" w14:textId="77777777" w:rsidR="00DA708F" w:rsidRPr="0033617F" w:rsidRDefault="00DA708F" w:rsidP="001B2A96">
            <w:r w:rsidRPr="0033617F">
              <w:t>6.2. detalizēts izdevumu aprēķins</w:t>
            </w:r>
          </w:p>
        </w:tc>
        <w:tc>
          <w:tcPr>
            <w:tcW w:w="8918" w:type="dxa"/>
            <w:gridSpan w:val="7"/>
            <w:vMerge/>
            <w:shd w:val="clear" w:color="auto" w:fill="auto"/>
          </w:tcPr>
          <w:p w14:paraId="7B4D5925" w14:textId="77777777" w:rsidR="00DA708F" w:rsidRPr="0033617F" w:rsidRDefault="00DA708F" w:rsidP="001B2A96">
            <w:pPr>
              <w:rPr>
                <w:b/>
                <w:i/>
              </w:rPr>
            </w:pPr>
          </w:p>
        </w:tc>
      </w:tr>
      <w:tr w:rsidR="00DA708F" w:rsidRPr="0033617F" w14:paraId="7DF31435" w14:textId="77777777" w:rsidTr="00256777">
        <w:trPr>
          <w:trHeight w:val="399"/>
          <w:jc w:val="center"/>
        </w:trPr>
        <w:tc>
          <w:tcPr>
            <w:tcW w:w="1696" w:type="dxa"/>
          </w:tcPr>
          <w:p w14:paraId="7FEEAE8C" w14:textId="77777777" w:rsidR="00DA708F" w:rsidRPr="0033617F" w:rsidRDefault="00DA708F" w:rsidP="001B2A96">
            <w:r>
              <w:lastRenderedPageBreak/>
              <w:t>7. Amata vietu skaita izmaiņas</w:t>
            </w:r>
          </w:p>
        </w:tc>
        <w:tc>
          <w:tcPr>
            <w:tcW w:w="8918" w:type="dxa"/>
            <w:gridSpan w:val="7"/>
            <w:shd w:val="clear" w:color="auto" w:fill="auto"/>
          </w:tcPr>
          <w:p w14:paraId="02AB3A95" w14:textId="4AAD0987" w:rsidR="00DA708F" w:rsidRDefault="005C3A39" w:rsidP="005C3A39">
            <w:pPr>
              <w:ind w:right="34"/>
              <w:jc w:val="both"/>
            </w:pPr>
            <w:r>
              <w:t xml:space="preserve">Rīkojuma projektam </w:t>
            </w:r>
            <w:r w:rsidR="00DA708F">
              <w:t>nav ietekme uz amata vietu skaita izmaiņām.</w:t>
            </w:r>
          </w:p>
        </w:tc>
      </w:tr>
      <w:tr w:rsidR="00DA708F" w:rsidRPr="0033617F" w14:paraId="2CAD9D46" w14:textId="77777777" w:rsidTr="00256777">
        <w:trPr>
          <w:trHeight w:val="399"/>
          <w:jc w:val="center"/>
        </w:trPr>
        <w:tc>
          <w:tcPr>
            <w:tcW w:w="1696" w:type="dxa"/>
          </w:tcPr>
          <w:p w14:paraId="715B2A4B" w14:textId="77777777" w:rsidR="00DA708F" w:rsidRPr="0033617F" w:rsidRDefault="00DA708F" w:rsidP="001B2A96">
            <w:r>
              <w:t>8</w:t>
            </w:r>
            <w:r w:rsidRPr="0033617F">
              <w:t>. Cita informācija</w:t>
            </w:r>
          </w:p>
        </w:tc>
        <w:tc>
          <w:tcPr>
            <w:tcW w:w="8918" w:type="dxa"/>
            <w:gridSpan w:val="7"/>
            <w:shd w:val="clear" w:color="auto" w:fill="auto"/>
          </w:tcPr>
          <w:p w14:paraId="5EF2457B" w14:textId="77777777" w:rsidR="005C3A39" w:rsidRDefault="00131E29" w:rsidP="00B11AF2">
            <w:pPr>
              <w:ind w:right="34"/>
              <w:jc w:val="both"/>
            </w:pPr>
            <w:r>
              <w:tab/>
            </w:r>
            <w:r w:rsidR="005C3A39" w:rsidRPr="005C3A39">
              <w:t>Pēc Rīkojuma projekta pieņemšanas IZM normatīvajos aktos noteiktā kārtībā sagatavos un iesniegs Finanšu ministrijā pieprasījumu valsts budžeta apropriācijas pārdalei.</w:t>
            </w:r>
          </w:p>
          <w:p w14:paraId="51726586" w14:textId="27072CEB" w:rsidR="00E27F93" w:rsidRDefault="00131E29" w:rsidP="005C3A39">
            <w:pPr>
              <w:ind w:right="34"/>
              <w:jc w:val="both"/>
            </w:pPr>
            <w:r>
              <w:tab/>
            </w:r>
            <w:r w:rsidR="005C3A39" w:rsidRPr="005C3A39">
              <w:t xml:space="preserve">Ar Rīkojuma projektu pārdalītais finansējums tiks izlietots līdz </w:t>
            </w:r>
            <w:r w:rsidR="005C3A39">
              <w:t>2020</w:t>
            </w:r>
            <w:r w:rsidR="005C3A39" w:rsidRPr="005C3A39">
              <w:t>. gada 31. decembrim.</w:t>
            </w:r>
          </w:p>
        </w:tc>
      </w:tr>
    </w:tbl>
    <w:p w14:paraId="03154F8A" w14:textId="02EC92A4" w:rsidR="00EE6938" w:rsidRDefault="00EE6938"/>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2DDEDB1E" w14:textId="77777777" w:rsidTr="00D228F9">
        <w:tc>
          <w:tcPr>
            <w:tcW w:w="10060" w:type="dxa"/>
            <w:tcBorders>
              <w:bottom w:val="single" w:sz="4" w:space="0" w:color="auto"/>
            </w:tcBorders>
            <w:vAlign w:val="center"/>
          </w:tcPr>
          <w:p w14:paraId="49E69494" w14:textId="77777777" w:rsidR="00C3572A" w:rsidRPr="00317B6A" w:rsidRDefault="00C3572A" w:rsidP="001B2A96">
            <w:pPr>
              <w:pStyle w:val="naisnod"/>
              <w:spacing w:before="0" w:after="0"/>
            </w:pPr>
            <w:r w:rsidRPr="00C3572A">
              <w:t>IV. Tiesību akta projekta ietekme uz spēkā esošo tiesību normu sistēmu</w:t>
            </w:r>
          </w:p>
        </w:tc>
      </w:tr>
      <w:tr w:rsidR="00C3572A" w:rsidRPr="00B24229" w14:paraId="70A877F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5988D035" w14:textId="4E8A6244" w:rsidR="00C3572A" w:rsidRPr="00B24229" w:rsidRDefault="00C3572A" w:rsidP="005C3A39">
            <w:pPr>
              <w:ind w:right="127"/>
              <w:jc w:val="center"/>
            </w:pPr>
            <w:r w:rsidRPr="00C3572A">
              <w:t>Projekt</w:t>
            </w:r>
            <w:r w:rsidR="005C3A39">
              <w:t>s</w:t>
            </w:r>
            <w:r w:rsidRPr="00C3572A">
              <w:t xml:space="preserve"> šo jomu neskar</w:t>
            </w:r>
          </w:p>
        </w:tc>
      </w:tr>
    </w:tbl>
    <w:p w14:paraId="104CF13E" w14:textId="72CF8168" w:rsidR="00C130F5" w:rsidRDefault="00C130F5">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3B314101" w14:textId="77777777" w:rsidTr="001B2A96">
        <w:tc>
          <w:tcPr>
            <w:tcW w:w="10060" w:type="dxa"/>
            <w:vAlign w:val="center"/>
          </w:tcPr>
          <w:p w14:paraId="5C120AB2" w14:textId="111290E2" w:rsidR="00C3572A" w:rsidRPr="00317B6A" w:rsidRDefault="00C3572A" w:rsidP="001B2A96">
            <w:pPr>
              <w:pStyle w:val="naisnod"/>
              <w:spacing w:before="0" w:after="0"/>
            </w:pPr>
            <w:r w:rsidRPr="00C3572A">
              <w:t>V. Tiesību akta projekta atbilstība Latvijas Republikas starptautiskajām saistībām</w:t>
            </w:r>
          </w:p>
        </w:tc>
      </w:tr>
      <w:tr w:rsidR="00C3572A" w:rsidRPr="00B24229" w14:paraId="3384D968" w14:textId="77777777" w:rsidTr="001B2A96">
        <w:trPr>
          <w:trHeight w:val="273"/>
        </w:trPr>
        <w:tc>
          <w:tcPr>
            <w:tcW w:w="10060" w:type="dxa"/>
          </w:tcPr>
          <w:p w14:paraId="6B97A43E" w14:textId="1F89F425" w:rsidR="00C3572A" w:rsidRPr="00B24229" w:rsidRDefault="00C3572A" w:rsidP="005C3A39">
            <w:pPr>
              <w:ind w:right="127"/>
              <w:jc w:val="center"/>
            </w:pPr>
            <w:r w:rsidRPr="00C3572A">
              <w:t>Projekt</w:t>
            </w:r>
            <w:r w:rsidR="005C3A39">
              <w:t>s</w:t>
            </w:r>
            <w:r w:rsidRPr="00C3572A">
              <w:t xml:space="preserve"> šo jomu neskar</w:t>
            </w:r>
          </w:p>
        </w:tc>
      </w:tr>
    </w:tbl>
    <w:p w14:paraId="44946324" w14:textId="0BAC248A" w:rsidR="00C573BE" w:rsidRDefault="00C573BE">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22F23" w:rsidRPr="00317B6A" w14:paraId="06EAA6D7" w14:textId="77777777" w:rsidTr="000566D5">
        <w:tc>
          <w:tcPr>
            <w:tcW w:w="10060" w:type="dxa"/>
            <w:vAlign w:val="center"/>
          </w:tcPr>
          <w:p w14:paraId="1AD560AE" w14:textId="6D2F2467" w:rsidR="00C22F23" w:rsidRPr="00317B6A" w:rsidRDefault="00C22F23" w:rsidP="000566D5">
            <w:pPr>
              <w:pStyle w:val="naisnod"/>
              <w:spacing w:before="0" w:after="0"/>
            </w:pPr>
            <w:r w:rsidRPr="00C3572A">
              <w:t>VI. Sabiedrības līdzdalība un komunikācijas aktivitātes</w:t>
            </w:r>
          </w:p>
        </w:tc>
      </w:tr>
      <w:tr w:rsidR="004149A5" w:rsidRPr="00317B6A" w14:paraId="436CC9A3" w14:textId="77777777" w:rsidTr="000566D5">
        <w:tc>
          <w:tcPr>
            <w:tcW w:w="10060" w:type="dxa"/>
            <w:vAlign w:val="center"/>
          </w:tcPr>
          <w:p w14:paraId="64704DFD" w14:textId="41747680" w:rsidR="004149A5" w:rsidRPr="004149A5" w:rsidRDefault="004149A5" w:rsidP="00654BB6">
            <w:pPr>
              <w:pStyle w:val="naisnod"/>
              <w:spacing w:before="0" w:after="0"/>
              <w:rPr>
                <w:b w:val="0"/>
              </w:rPr>
            </w:pPr>
            <w:r w:rsidRPr="004149A5">
              <w:rPr>
                <w:b w:val="0"/>
              </w:rPr>
              <w:t>Projekt</w:t>
            </w:r>
            <w:r w:rsidR="005C3A39">
              <w:rPr>
                <w:b w:val="0"/>
              </w:rPr>
              <w:t>s</w:t>
            </w:r>
            <w:r w:rsidRPr="004149A5">
              <w:rPr>
                <w:b w:val="0"/>
              </w:rPr>
              <w:t xml:space="preserve"> šo jomu neskar</w:t>
            </w:r>
          </w:p>
        </w:tc>
      </w:tr>
    </w:tbl>
    <w:p w14:paraId="1B666679" w14:textId="77777777" w:rsidR="006C697C" w:rsidRDefault="006C697C"/>
    <w:p w14:paraId="084F4E31" w14:textId="65775403" w:rsidR="00195795" w:rsidRDefault="00195795"/>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317B6A" w14:paraId="58260084" w14:textId="77777777" w:rsidTr="000566D5">
        <w:tc>
          <w:tcPr>
            <w:tcW w:w="10060" w:type="dxa"/>
            <w:gridSpan w:val="3"/>
            <w:vAlign w:val="center"/>
          </w:tcPr>
          <w:p w14:paraId="45DD5C2D" w14:textId="351F2EB3" w:rsidR="00C22F23" w:rsidRPr="00317B6A" w:rsidRDefault="00C22F23" w:rsidP="000566D5">
            <w:pPr>
              <w:pStyle w:val="naisnod"/>
              <w:spacing w:before="0" w:after="0"/>
            </w:pPr>
            <w:r w:rsidRPr="00C3572A">
              <w:t>VII. Tiesību akta projekta izpildes nodrošināšana un tās ietekme uz institūcijām</w:t>
            </w:r>
          </w:p>
        </w:tc>
      </w:tr>
      <w:tr w:rsidR="00C22F23" w:rsidRPr="00B24229" w14:paraId="3C43D0CE" w14:textId="77777777" w:rsidTr="00C22F23">
        <w:trPr>
          <w:trHeight w:val="265"/>
        </w:trPr>
        <w:tc>
          <w:tcPr>
            <w:tcW w:w="684" w:type="dxa"/>
          </w:tcPr>
          <w:p w14:paraId="44EE9D72" w14:textId="77777777" w:rsidR="00C22F23" w:rsidRPr="00B24229" w:rsidRDefault="00C22F23" w:rsidP="00C22F23">
            <w:pPr>
              <w:pStyle w:val="naiskr"/>
              <w:spacing w:before="0" w:after="0"/>
              <w:jc w:val="center"/>
            </w:pPr>
            <w:r w:rsidRPr="00B24229">
              <w:t>1.</w:t>
            </w:r>
          </w:p>
        </w:tc>
        <w:tc>
          <w:tcPr>
            <w:tcW w:w="2515" w:type="dxa"/>
          </w:tcPr>
          <w:p w14:paraId="111B01EC" w14:textId="77777777" w:rsidR="00C22F23" w:rsidRPr="00C22F23" w:rsidRDefault="00C22F23" w:rsidP="00B806E1">
            <w:pPr>
              <w:ind w:left="109"/>
            </w:pPr>
            <w:r w:rsidRPr="00C22F23">
              <w:t>Projekta izpildē iesaistītās institūcijas</w:t>
            </w:r>
          </w:p>
        </w:tc>
        <w:tc>
          <w:tcPr>
            <w:tcW w:w="6861" w:type="dxa"/>
          </w:tcPr>
          <w:p w14:paraId="5425769A" w14:textId="572F9D76" w:rsidR="00C22F23" w:rsidRPr="00B24229" w:rsidRDefault="003C19BF" w:rsidP="005C3A39">
            <w:pPr>
              <w:ind w:left="128" w:right="142"/>
              <w:jc w:val="both"/>
            </w:pPr>
            <w:r>
              <w:t>Rīkojuma projekta</w:t>
            </w:r>
            <w:r w:rsidR="00DD6F2C">
              <w:t xml:space="preserve"> </w:t>
            </w:r>
            <w:r w:rsidR="00E82C1D" w:rsidRPr="00776AC7">
              <w:t xml:space="preserve">izpildi nodrošinās </w:t>
            </w:r>
            <w:r w:rsidR="0013778A">
              <w:t>IZM</w:t>
            </w:r>
            <w:r w:rsidR="00654BB6">
              <w:t xml:space="preserve"> sadarbībā ar Finanšu ministriju</w:t>
            </w:r>
            <w:r w:rsidR="00E4473B" w:rsidRPr="00776AC7">
              <w:t xml:space="preserve">. Par finansējuma piešķiršanu </w:t>
            </w:r>
            <w:r w:rsidR="0039003D">
              <w:t xml:space="preserve">Rīkojuma projektā minēto </w:t>
            </w:r>
            <w:r w:rsidR="005C3A39">
              <w:t xml:space="preserve">sporta sacensību organizatorisko izdevumu segšanai </w:t>
            </w:r>
            <w:r w:rsidR="00E4473B" w:rsidRPr="00776AC7">
              <w:t>tiks</w:t>
            </w:r>
            <w:r w:rsidR="005C3A39">
              <w:t xml:space="preserve"> slēgti līgumi ar LBSF un LKSF</w:t>
            </w:r>
            <w:r w:rsidR="00776AC7" w:rsidRPr="00776AC7">
              <w:t>.</w:t>
            </w:r>
          </w:p>
        </w:tc>
      </w:tr>
      <w:tr w:rsidR="00C22F23" w:rsidRPr="00B24229" w14:paraId="0C63EA86" w14:textId="77777777" w:rsidTr="00C22F23">
        <w:trPr>
          <w:trHeight w:val="265"/>
        </w:trPr>
        <w:tc>
          <w:tcPr>
            <w:tcW w:w="684" w:type="dxa"/>
          </w:tcPr>
          <w:p w14:paraId="10AE4708" w14:textId="77777777" w:rsidR="00C22F23" w:rsidRPr="00B24229" w:rsidRDefault="00C22F23" w:rsidP="00C22F23">
            <w:pPr>
              <w:pStyle w:val="naiskr"/>
              <w:spacing w:before="0" w:after="0"/>
              <w:jc w:val="center"/>
            </w:pPr>
            <w:r>
              <w:t>2.</w:t>
            </w:r>
          </w:p>
        </w:tc>
        <w:tc>
          <w:tcPr>
            <w:tcW w:w="2515" w:type="dxa"/>
          </w:tcPr>
          <w:p w14:paraId="08E7A95E" w14:textId="77777777" w:rsidR="00C22F23" w:rsidRPr="00C22F23" w:rsidRDefault="00C22F23" w:rsidP="00B806E1">
            <w:pPr>
              <w:ind w:left="109"/>
            </w:pPr>
            <w:r w:rsidRPr="00C22F23">
              <w:t xml:space="preserve">Projekta izpildes ietekme uz pārvaldes funkcijām un </w:t>
            </w:r>
            <w:r w:rsidRPr="00C22F23">
              <w:lastRenderedPageBreak/>
              <w:t>institucionālo struktūru.</w:t>
            </w:r>
            <w:r w:rsidRPr="00C22F23">
              <w:br/>
              <w:t>Jaunu institūciju izveide, esošu institūciju likvidācija vai reorganizācija, to ietekme uz institūcijas cilvēkresursiem</w:t>
            </w:r>
          </w:p>
        </w:tc>
        <w:tc>
          <w:tcPr>
            <w:tcW w:w="6861" w:type="dxa"/>
          </w:tcPr>
          <w:p w14:paraId="3A593C1D" w14:textId="40401C9E" w:rsidR="00990624" w:rsidRDefault="00D47F6F" w:rsidP="00990624">
            <w:pPr>
              <w:ind w:left="128" w:right="142"/>
              <w:jc w:val="both"/>
            </w:pPr>
            <w:r>
              <w:lastRenderedPageBreak/>
              <w:t>Rīkojuma projekt</w:t>
            </w:r>
            <w:r w:rsidR="005C3A39">
              <w:t xml:space="preserve">s </w:t>
            </w:r>
            <w:r w:rsidR="00990624">
              <w:t>šo jomu neskar</w:t>
            </w:r>
          </w:p>
        </w:tc>
      </w:tr>
      <w:tr w:rsidR="00C22F23" w:rsidRPr="00B24229" w14:paraId="18D0AA4B" w14:textId="77777777" w:rsidTr="00C22F23">
        <w:trPr>
          <w:trHeight w:val="265"/>
        </w:trPr>
        <w:tc>
          <w:tcPr>
            <w:tcW w:w="684" w:type="dxa"/>
          </w:tcPr>
          <w:p w14:paraId="7028BCD1" w14:textId="77777777" w:rsidR="00C22F23" w:rsidRPr="00B24229" w:rsidRDefault="00C22F23" w:rsidP="00C22F23">
            <w:pPr>
              <w:pStyle w:val="naiskr"/>
              <w:spacing w:before="0" w:after="0"/>
              <w:jc w:val="center"/>
            </w:pPr>
            <w:r>
              <w:lastRenderedPageBreak/>
              <w:t>3.</w:t>
            </w:r>
          </w:p>
        </w:tc>
        <w:tc>
          <w:tcPr>
            <w:tcW w:w="2515" w:type="dxa"/>
          </w:tcPr>
          <w:p w14:paraId="65E08939" w14:textId="77777777" w:rsidR="00C22F23" w:rsidRPr="00C22F23" w:rsidRDefault="00C22F23" w:rsidP="00B806E1">
            <w:pPr>
              <w:ind w:left="109"/>
            </w:pPr>
            <w:r w:rsidRPr="00C22F23">
              <w:t>Cita informācija</w:t>
            </w:r>
          </w:p>
        </w:tc>
        <w:tc>
          <w:tcPr>
            <w:tcW w:w="6861" w:type="dxa"/>
          </w:tcPr>
          <w:p w14:paraId="71FD2DBD" w14:textId="77777777" w:rsidR="00C22F23" w:rsidRDefault="00E4473B" w:rsidP="00B806E1">
            <w:pPr>
              <w:ind w:left="128" w:right="142"/>
              <w:jc w:val="both"/>
            </w:pPr>
            <w:r>
              <w:t>Nav</w:t>
            </w:r>
          </w:p>
        </w:tc>
      </w:tr>
    </w:tbl>
    <w:p w14:paraId="72F67E70" w14:textId="77777777" w:rsidR="00E4473B" w:rsidRDefault="00E4473B"/>
    <w:p w14:paraId="14420283" w14:textId="77777777" w:rsidR="00DD6F2C" w:rsidRDefault="00DD6F2C"/>
    <w:p w14:paraId="247164D5" w14:textId="77777777" w:rsidR="001A07F0" w:rsidRPr="005705F9" w:rsidRDefault="001A07F0"/>
    <w:p w14:paraId="755D7EC7" w14:textId="5FD88931" w:rsidR="00617D7A" w:rsidRPr="005705F9" w:rsidRDefault="00481F9B" w:rsidP="00C7220E">
      <w:pPr>
        <w:pStyle w:val="BodyText2"/>
        <w:spacing w:after="0" w:line="240" w:lineRule="auto"/>
        <w:ind w:firstLine="720"/>
        <w:jc w:val="both"/>
      </w:pPr>
      <w:r w:rsidRPr="005705F9">
        <w:t>I</w:t>
      </w:r>
      <w:r w:rsidR="008F245F" w:rsidRPr="005705F9">
        <w:t xml:space="preserve">zglītības un zinātnes </w:t>
      </w:r>
      <w:r w:rsidR="009A6BFC">
        <w:t>ministre</w:t>
      </w:r>
      <w:r w:rsidRPr="005705F9">
        <w:tab/>
      </w:r>
      <w:r w:rsidRPr="005705F9">
        <w:tab/>
      </w:r>
      <w:r w:rsidRPr="005705F9">
        <w:tab/>
      </w:r>
      <w:r w:rsidRPr="005705F9">
        <w:tab/>
      </w:r>
      <w:r w:rsidR="008C2D86">
        <w:t>Ilga Šuplinska</w:t>
      </w:r>
    </w:p>
    <w:p w14:paraId="1ED58E4F" w14:textId="77777777" w:rsidR="00585B7B" w:rsidRDefault="00585B7B" w:rsidP="00D96FCD"/>
    <w:p w14:paraId="52515C2B" w14:textId="77777777" w:rsidR="006E7A0E" w:rsidRDefault="006E7A0E" w:rsidP="00D96FCD"/>
    <w:p w14:paraId="1649B956" w14:textId="77777777" w:rsidR="006E7A0E" w:rsidRDefault="006E7A0E" w:rsidP="00D96FCD"/>
    <w:p w14:paraId="5746643A" w14:textId="77777777" w:rsidR="00730551" w:rsidRDefault="00730551" w:rsidP="00D96FCD"/>
    <w:p w14:paraId="427FE4E7" w14:textId="77777777" w:rsidR="00730551" w:rsidRDefault="00730551" w:rsidP="00D96FCD"/>
    <w:p w14:paraId="3F7D57F8" w14:textId="77777777" w:rsidR="00730551" w:rsidRDefault="00730551" w:rsidP="00D96FCD">
      <w:bookmarkStart w:id="3" w:name="_GoBack"/>
      <w:bookmarkEnd w:id="3"/>
    </w:p>
    <w:p w14:paraId="2557D84F" w14:textId="77777777" w:rsidR="006E7A0E" w:rsidRDefault="006E7A0E" w:rsidP="00D96FCD"/>
    <w:p w14:paraId="36120DCA" w14:textId="77777777" w:rsidR="006E7A0E" w:rsidRDefault="006E7A0E" w:rsidP="00D96FCD"/>
    <w:p w14:paraId="58B8899D" w14:textId="77777777" w:rsidR="0039003D" w:rsidRDefault="0039003D" w:rsidP="00D96FCD"/>
    <w:p w14:paraId="15B853C1" w14:textId="77777777" w:rsidR="00513156" w:rsidRDefault="00513156" w:rsidP="00D96FCD"/>
    <w:p w14:paraId="5B71BE32" w14:textId="77777777" w:rsidR="00513156" w:rsidRDefault="00513156" w:rsidP="00D96FCD"/>
    <w:p w14:paraId="3A842C65" w14:textId="77777777" w:rsidR="0039003D" w:rsidRPr="005705F9" w:rsidRDefault="0039003D" w:rsidP="00D96FCD"/>
    <w:p w14:paraId="708FB085" w14:textId="77777777" w:rsidR="00776AC7" w:rsidRDefault="00776AC7" w:rsidP="009A6BFC">
      <w:pPr>
        <w:tabs>
          <w:tab w:val="left" w:pos="2450"/>
        </w:tabs>
        <w:ind w:left="720"/>
        <w:rPr>
          <w:sz w:val="20"/>
          <w:szCs w:val="20"/>
        </w:rPr>
      </w:pPr>
    </w:p>
    <w:p w14:paraId="24A98FAB" w14:textId="77777777" w:rsidR="009A6BFC" w:rsidRPr="009A6BFC" w:rsidRDefault="009A6BFC" w:rsidP="009A6BFC">
      <w:pPr>
        <w:tabs>
          <w:tab w:val="left" w:pos="2450"/>
        </w:tabs>
        <w:ind w:left="720"/>
        <w:rPr>
          <w:sz w:val="20"/>
          <w:szCs w:val="20"/>
        </w:rPr>
      </w:pPr>
      <w:r w:rsidRPr="009A6BFC">
        <w:rPr>
          <w:sz w:val="20"/>
          <w:szCs w:val="20"/>
        </w:rPr>
        <w:t>Severs 67047935</w:t>
      </w:r>
    </w:p>
    <w:p w14:paraId="5CFEBF6B" w14:textId="136B3DE6" w:rsidR="009A6BFC" w:rsidRPr="00573E78" w:rsidRDefault="009A6BFC" w:rsidP="00E62EFF">
      <w:pPr>
        <w:tabs>
          <w:tab w:val="left" w:pos="2450"/>
        </w:tabs>
        <w:ind w:left="720"/>
        <w:rPr>
          <w:sz w:val="20"/>
          <w:szCs w:val="20"/>
        </w:rPr>
      </w:pPr>
      <w:r w:rsidRPr="009A6BFC">
        <w:rPr>
          <w:sz w:val="20"/>
          <w:szCs w:val="20"/>
        </w:rPr>
        <w:t>edgars.severs@izm.gov.lv</w:t>
      </w:r>
    </w:p>
    <w:sectPr w:rsidR="009A6BFC" w:rsidRPr="00573E78" w:rsidSect="001A07F0">
      <w:headerReference w:type="default" r:id="rId8"/>
      <w:footerReference w:type="default" r:id="rId9"/>
      <w:footerReference w:type="first" r:id="rId10"/>
      <w:pgSz w:w="11906" w:h="16838" w:code="9"/>
      <w:pgMar w:top="851" w:right="1134" w:bottom="851" w:left="1701" w:header="284"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F6C4C" w14:textId="77777777" w:rsidR="00F67E9C" w:rsidRDefault="00F67E9C" w:rsidP="00123E9B">
      <w:r>
        <w:separator/>
      </w:r>
    </w:p>
  </w:endnote>
  <w:endnote w:type="continuationSeparator" w:id="0">
    <w:p w14:paraId="5E5F28BA" w14:textId="77777777" w:rsidR="00F67E9C" w:rsidRDefault="00F67E9C"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416C" w14:textId="3D76CD77" w:rsidR="006E0936" w:rsidRPr="00796526" w:rsidRDefault="006E0936" w:rsidP="00796526">
    <w:pPr>
      <w:ind w:left="-567" w:right="-568"/>
      <w:jc w:val="both"/>
      <w:rPr>
        <w:sz w:val="22"/>
        <w:szCs w:val="22"/>
      </w:rPr>
    </w:pPr>
    <w:r>
      <w:rPr>
        <w:sz w:val="22"/>
        <w:szCs w:val="22"/>
      </w:rPr>
      <w:t>IZMAnot_</w:t>
    </w:r>
    <w:r w:rsidR="00AF3B4A">
      <w:rPr>
        <w:sz w:val="22"/>
        <w:szCs w:val="22"/>
      </w:rPr>
      <w:t>121120</w:t>
    </w:r>
    <w:r>
      <w:rPr>
        <w:sz w:val="22"/>
        <w:szCs w:val="22"/>
      </w:rPr>
      <w:t>_</w:t>
    </w:r>
    <w:r w:rsidR="00AF3B4A">
      <w:rPr>
        <w:sz w:val="22"/>
        <w:szCs w:val="22"/>
      </w:rPr>
      <w:t>apro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2C7A" w14:textId="668FFA5B" w:rsidR="006E0936" w:rsidRPr="00AF3B4A" w:rsidRDefault="00AF3B4A" w:rsidP="00AF3B4A">
    <w:pPr>
      <w:ind w:left="-567" w:right="-568"/>
      <w:jc w:val="both"/>
      <w:rPr>
        <w:sz w:val="22"/>
        <w:szCs w:val="22"/>
      </w:rPr>
    </w:pPr>
    <w:r>
      <w:rPr>
        <w:sz w:val="22"/>
        <w:szCs w:val="22"/>
      </w:rPr>
      <w:t>IZMAnot_121120_apro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35CC9" w14:textId="77777777" w:rsidR="00F67E9C" w:rsidRDefault="00F67E9C" w:rsidP="00123E9B">
      <w:r>
        <w:separator/>
      </w:r>
    </w:p>
  </w:footnote>
  <w:footnote w:type="continuationSeparator" w:id="0">
    <w:p w14:paraId="2ECE3FED" w14:textId="77777777" w:rsidR="00F67E9C" w:rsidRDefault="00F67E9C" w:rsidP="00123E9B">
      <w:r>
        <w:continuationSeparator/>
      </w:r>
    </w:p>
  </w:footnote>
  <w:footnote w:id="1">
    <w:p w14:paraId="6F9C8D5D" w14:textId="654369F2" w:rsidR="006E0936" w:rsidRDefault="006E0936">
      <w:pPr>
        <w:pStyle w:val="FootnoteText"/>
      </w:pPr>
      <w:r>
        <w:rPr>
          <w:rStyle w:val="FootnoteReference"/>
        </w:rPr>
        <w:footnoteRef/>
      </w:r>
      <w:r>
        <w:t xml:space="preserve"> </w:t>
      </w:r>
      <w:hyperlink r:id="rId1" w:history="1">
        <w:r w:rsidRPr="00A3622E">
          <w:rPr>
            <w:rStyle w:val="Hyperlink"/>
            <w:i/>
          </w:rPr>
          <w:t>https://lrvk.gov.lv/lv/getrevisionfile/29506-rh3BDKMzK9pzgBWE4JybRWZ6Fd8WRbe4.pdf</w:t>
        </w:r>
      </w:hyperlink>
      <w:r>
        <w:t xml:space="preserve"> </w:t>
      </w:r>
    </w:p>
  </w:footnote>
  <w:footnote w:id="2">
    <w:p w14:paraId="32D8F2CB" w14:textId="77777777" w:rsidR="006E0936" w:rsidRDefault="006E0936" w:rsidP="00052437">
      <w:pPr>
        <w:pStyle w:val="FootnoteText"/>
      </w:pPr>
      <w:r>
        <w:rPr>
          <w:rStyle w:val="FootnoteReference"/>
        </w:rPr>
        <w:footnoteRef/>
      </w:r>
      <w:r>
        <w:t xml:space="preserve"> Skatīt </w:t>
      </w:r>
      <w:r w:rsidRPr="009007D9">
        <w:t xml:space="preserve">Līguma par </w:t>
      </w:r>
      <w:r>
        <w:t>Eiropas Savienības darbību 107.</w:t>
      </w:r>
      <w:r w:rsidRPr="009007D9">
        <w:t>pant</w:t>
      </w:r>
      <w:r>
        <w:t>u</w:t>
      </w:r>
      <w:r w:rsidRPr="009007D9">
        <w:t xml:space="preserve"> un Komercdarbīb</w:t>
      </w:r>
      <w:r>
        <w:t>as atbalsta kontroles likuma 5.</w:t>
      </w:r>
      <w:r w:rsidRPr="009007D9">
        <w:t>pant</w:t>
      </w:r>
      <w:r>
        <w: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D678" w14:textId="77777777" w:rsidR="006E0936" w:rsidRDefault="006E0936">
    <w:pPr>
      <w:pStyle w:val="Header"/>
      <w:jc w:val="center"/>
    </w:pPr>
    <w:r>
      <w:fldChar w:fldCharType="begin"/>
    </w:r>
    <w:r>
      <w:instrText xml:space="preserve"> PAGE   \* MERGEFORMAT </w:instrText>
    </w:r>
    <w:r>
      <w:fldChar w:fldCharType="separate"/>
    </w:r>
    <w:r w:rsidR="00730551">
      <w:rPr>
        <w:noProof/>
      </w:rPr>
      <w:t>11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E77C3"/>
    <w:multiLevelType w:val="hybridMultilevel"/>
    <w:tmpl w:val="67CC7F4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
    <w:nsid w:val="43071940"/>
    <w:multiLevelType w:val="hybridMultilevel"/>
    <w:tmpl w:val="1FC88700"/>
    <w:lvl w:ilvl="0" w:tplc="ABE4CABC">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96A1D40"/>
    <w:multiLevelType w:val="hybridMultilevel"/>
    <w:tmpl w:val="67CC7F4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07972"/>
    <w:rsid w:val="00010140"/>
    <w:rsid w:val="00010298"/>
    <w:rsid w:val="000103AD"/>
    <w:rsid w:val="00010590"/>
    <w:rsid w:val="000120DA"/>
    <w:rsid w:val="00012EAE"/>
    <w:rsid w:val="00013BAA"/>
    <w:rsid w:val="00014BD0"/>
    <w:rsid w:val="00015B6F"/>
    <w:rsid w:val="00017AF5"/>
    <w:rsid w:val="00020664"/>
    <w:rsid w:val="000206DA"/>
    <w:rsid w:val="00020785"/>
    <w:rsid w:val="00020FCE"/>
    <w:rsid w:val="000216EC"/>
    <w:rsid w:val="0002179F"/>
    <w:rsid w:val="000219F0"/>
    <w:rsid w:val="00024A0F"/>
    <w:rsid w:val="000251DA"/>
    <w:rsid w:val="00027332"/>
    <w:rsid w:val="00027346"/>
    <w:rsid w:val="0003044F"/>
    <w:rsid w:val="00032A0F"/>
    <w:rsid w:val="00032E1D"/>
    <w:rsid w:val="00033013"/>
    <w:rsid w:val="0003466E"/>
    <w:rsid w:val="000347B3"/>
    <w:rsid w:val="00034AA4"/>
    <w:rsid w:val="000355FE"/>
    <w:rsid w:val="0003571A"/>
    <w:rsid w:val="000357AB"/>
    <w:rsid w:val="0003640B"/>
    <w:rsid w:val="00036977"/>
    <w:rsid w:val="000372DF"/>
    <w:rsid w:val="00037421"/>
    <w:rsid w:val="000374BE"/>
    <w:rsid w:val="00037B73"/>
    <w:rsid w:val="000401D9"/>
    <w:rsid w:val="00040D4E"/>
    <w:rsid w:val="00041D14"/>
    <w:rsid w:val="00041F61"/>
    <w:rsid w:val="000423AB"/>
    <w:rsid w:val="0004297E"/>
    <w:rsid w:val="000440A0"/>
    <w:rsid w:val="00044C6E"/>
    <w:rsid w:val="000454C3"/>
    <w:rsid w:val="000463EE"/>
    <w:rsid w:val="000468F9"/>
    <w:rsid w:val="00046CDE"/>
    <w:rsid w:val="0004742F"/>
    <w:rsid w:val="00047FE8"/>
    <w:rsid w:val="000505C1"/>
    <w:rsid w:val="000514AC"/>
    <w:rsid w:val="0005209B"/>
    <w:rsid w:val="00052437"/>
    <w:rsid w:val="000541F8"/>
    <w:rsid w:val="00054553"/>
    <w:rsid w:val="00054B65"/>
    <w:rsid w:val="00054FEE"/>
    <w:rsid w:val="00055224"/>
    <w:rsid w:val="00055608"/>
    <w:rsid w:val="00055F70"/>
    <w:rsid w:val="000566D5"/>
    <w:rsid w:val="00056E02"/>
    <w:rsid w:val="000577FD"/>
    <w:rsid w:val="00060F57"/>
    <w:rsid w:val="000622F7"/>
    <w:rsid w:val="00063019"/>
    <w:rsid w:val="00063555"/>
    <w:rsid w:val="00064F20"/>
    <w:rsid w:val="0006651A"/>
    <w:rsid w:val="00066658"/>
    <w:rsid w:val="00066BCF"/>
    <w:rsid w:val="000673CA"/>
    <w:rsid w:val="00070F02"/>
    <w:rsid w:val="00071C49"/>
    <w:rsid w:val="000727CB"/>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C1"/>
    <w:rsid w:val="00081407"/>
    <w:rsid w:val="00081477"/>
    <w:rsid w:val="00081CEB"/>
    <w:rsid w:val="00082C6B"/>
    <w:rsid w:val="00082FC2"/>
    <w:rsid w:val="00083F19"/>
    <w:rsid w:val="00084909"/>
    <w:rsid w:val="000849C2"/>
    <w:rsid w:val="00084C38"/>
    <w:rsid w:val="00084F86"/>
    <w:rsid w:val="00085333"/>
    <w:rsid w:val="0008599C"/>
    <w:rsid w:val="00085B5E"/>
    <w:rsid w:val="0008616C"/>
    <w:rsid w:val="0009012B"/>
    <w:rsid w:val="00090BFF"/>
    <w:rsid w:val="000912B2"/>
    <w:rsid w:val="0009162F"/>
    <w:rsid w:val="00091E26"/>
    <w:rsid w:val="000934D5"/>
    <w:rsid w:val="00093AA7"/>
    <w:rsid w:val="00094F13"/>
    <w:rsid w:val="00095B14"/>
    <w:rsid w:val="00095EBB"/>
    <w:rsid w:val="000962FC"/>
    <w:rsid w:val="00097B46"/>
    <w:rsid w:val="000A0C0F"/>
    <w:rsid w:val="000A152C"/>
    <w:rsid w:val="000A1E9A"/>
    <w:rsid w:val="000A208E"/>
    <w:rsid w:val="000A2237"/>
    <w:rsid w:val="000A4403"/>
    <w:rsid w:val="000A671B"/>
    <w:rsid w:val="000B0834"/>
    <w:rsid w:val="000B0DC4"/>
    <w:rsid w:val="000B1367"/>
    <w:rsid w:val="000B3147"/>
    <w:rsid w:val="000B32F7"/>
    <w:rsid w:val="000B373E"/>
    <w:rsid w:val="000B3B3C"/>
    <w:rsid w:val="000B3EC8"/>
    <w:rsid w:val="000B3FF6"/>
    <w:rsid w:val="000B51C9"/>
    <w:rsid w:val="000B62CA"/>
    <w:rsid w:val="000B755F"/>
    <w:rsid w:val="000B7C76"/>
    <w:rsid w:val="000C0ABC"/>
    <w:rsid w:val="000C0BAF"/>
    <w:rsid w:val="000C136C"/>
    <w:rsid w:val="000C147C"/>
    <w:rsid w:val="000C1819"/>
    <w:rsid w:val="000C1B3D"/>
    <w:rsid w:val="000C1D23"/>
    <w:rsid w:val="000C36BE"/>
    <w:rsid w:val="000C42BB"/>
    <w:rsid w:val="000C612B"/>
    <w:rsid w:val="000C63F4"/>
    <w:rsid w:val="000D003C"/>
    <w:rsid w:val="000D00F8"/>
    <w:rsid w:val="000D0D39"/>
    <w:rsid w:val="000D0EED"/>
    <w:rsid w:val="000D1A0B"/>
    <w:rsid w:val="000D3619"/>
    <w:rsid w:val="000D6486"/>
    <w:rsid w:val="000D6878"/>
    <w:rsid w:val="000D7431"/>
    <w:rsid w:val="000D76D6"/>
    <w:rsid w:val="000E058D"/>
    <w:rsid w:val="000E0815"/>
    <w:rsid w:val="000E0E1B"/>
    <w:rsid w:val="000E2489"/>
    <w:rsid w:val="000E3B94"/>
    <w:rsid w:val="000E4A2A"/>
    <w:rsid w:val="000E4A57"/>
    <w:rsid w:val="000E5748"/>
    <w:rsid w:val="000E5FDF"/>
    <w:rsid w:val="000E6027"/>
    <w:rsid w:val="000E6552"/>
    <w:rsid w:val="000E6F6D"/>
    <w:rsid w:val="000F0FBE"/>
    <w:rsid w:val="000F1AC0"/>
    <w:rsid w:val="000F1EEC"/>
    <w:rsid w:val="000F3777"/>
    <w:rsid w:val="000F3868"/>
    <w:rsid w:val="000F3894"/>
    <w:rsid w:val="0010198A"/>
    <w:rsid w:val="00101C45"/>
    <w:rsid w:val="00102CE1"/>
    <w:rsid w:val="00103760"/>
    <w:rsid w:val="00103A3D"/>
    <w:rsid w:val="00104643"/>
    <w:rsid w:val="00104AAB"/>
    <w:rsid w:val="00105B4C"/>
    <w:rsid w:val="00106424"/>
    <w:rsid w:val="00110388"/>
    <w:rsid w:val="001106D1"/>
    <w:rsid w:val="0011078B"/>
    <w:rsid w:val="00110ED8"/>
    <w:rsid w:val="00111433"/>
    <w:rsid w:val="00111709"/>
    <w:rsid w:val="00111B15"/>
    <w:rsid w:val="00112A2E"/>
    <w:rsid w:val="00112C20"/>
    <w:rsid w:val="00112F2A"/>
    <w:rsid w:val="00113514"/>
    <w:rsid w:val="00113533"/>
    <w:rsid w:val="00113784"/>
    <w:rsid w:val="00114C20"/>
    <w:rsid w:val="00115633"/>
    <w:rsid w:val="00115792"/>
    <w:rsid w:val="00115EB8"/>
    <w:rsid w:val="00116669"/>
    <w:rsid w:val="0011724B"/>
    <w:rsid w:val="00117C7E"/>
    <w:rsid w:val="00120303"/>
    <w:rsid w:val="0012123A"/>
    <w:rsid w:val="0012127B"/>
    <w:rsid w:val="00121DF2"/>
    <w:rsid w:val="0012249E"/>
    <w:rsid w:val="00122521"/>
    <w:rsid w:val="00123E9B"/>
    <w:rsid w:val="0012448A"/>
    <w:rsid w:val="0012704D"/>
    <w:rsid w:val="0012791B"/>
    <w:rsid w:val="00131850"/>
    <w:rsid w:val="00131A15"/>
    <w:rsid w:val="00131E29"/>
    <w:rsid w:val="00132473"/>
    <w:rsid w:val="001326B5"/>
    <w:rsid w:val="00132C2C"/>
    <w:rsid w:val="00132D10"/>
    <w:rsid w:val="001344F5"/>
    <w:rsid w:val="00134A31"/>
    <w:rsid w:val="00134CEC"/>
    <w:rsid w:val="001350A6"/>
    <w:rsid w:val="00135577"/>
    <w:rsid w:val="00136D87"/>
    <w:rsid w:val="001376F8"/>
    <w:rsid w:val="0013778A"/>
    <w:rsid w:val="00137B8C"/>
    <w:rsid w:val="00137E1B"/>
    <w:rsid w:val="00137FAC"/>
    <w:rsid w:val="0014095C"/>
    <w:rsid w:val="001413A9"/>
    <w:rsid w:val="00143747"/>
    <w:rsid w:val="00144EA3"/>
    <w:rsid w:val="001453A8"/>
    <w:rsid w:val="00147CBF"/>
    <w:rsid w:val="00147D9A"/>
    <w:rsid w:val="00150ACB"/>
    <w:rsid w:val="00150D62"/>
    <w:rsid w:val="0015243B"/>
    <w:rsid w:val="00152C87"/>
    <w:rsid w:val="00154E6C"/>
    <w:rsid w:val="00156760"/>
    <w:rsid w:val="00156E36"/>
    <w:rsid w:val="00157236"/>
    <w:rsid w:val="00157E69"/>
    <w:rsid w:val="00157F12"/>
    <w:rsid w:val="0016104B"/>
    <w:rsid w:val="00161261"/>
    <w:rsid w:val="0016142A"/>
    <w:rsid w:val="00162670"/>
    <w:rsid w:val="00162EB5"/>
    <w:rsid w:val="00163AAA"/>
    <w:rsid w:val="00165A63"/>
    <w:rsid w:val="0016692F"/>
    <w:rsid w:val="00166975"/>
    <w:rsid w:val="00166CBA"/>
    <w:rsid w:val="001673FC"/>
    <w:rsid w:val="00171458"/>
    <w:rsid w:val="001718C9"/>
    <w:rsid w:val="00171B42"/>
    <w:rsid w:val="00172A25"/>
    <w:rsid w:val="0017384A"/>
    <w:rsid w:val="001740F1"/>
    <w:rsid w:val="001742B2"/>
    <w:rsid w:val="00174AEB"/>
    <w:rsid w:val="00175071"/>
    <w:rsid w:val="00177EB6"/>
    <w:rsid w:val="00180E6B"/>
    <w:rsid w:val="00181D00"/>
    <w:rsid w:val="001824F8"/>
    <w:rsid w:val="001828B2"/>
    <w:rsid w:val="001830AB"/>
    <w:rsid w:val="0018329D"/>
    <w:rsid w:val="001838EC"/>
    <w:rsid w:val="00183B44"/>
    <w:rsid w:val="00184814"/>
    <w:rsid w:val="00185946"/>
    <w:rsid w:val="00185DB8"/>
    <w:rsid w:val="00186DF5"/>
    <w:rsid w:val="0018701C"/>
    <w:rsid w:val="0018757E"/>
    <w:rsid w:val="001904B3"/>
    <w:rsid w:val="00191B0F"/>
    <w:rsid w:val="0019241B"/>
    <w:rsid w:val="00193178"/>
    <w:rsid w:val="00194724"/>
    <w:rsid w:val="00194A0F"/>
    <w:rsid w:val="00195795"/>
    <w:rsid w:val="00196ED7"/>
    <w:rsid w:val="001977BE"/>
    <w:rsid w:val="00197B19"/>
    <w:rsid w:val="001A0506"/>
    <w:rsid w:val="001A07F0"/>
    <w:rsid w:val="001A142F"/>
    <w:rsid w:val="001A1874"/>
    <w:rsid w:val="001A290D"/>
    <w:rsid w:val="001A2EC1"/>
    <w:rsid w:val="001A31E1"/>
    <w:rsid w:val="001A3434"/>
    <w:rsid w:val="001A34F0"/>
    <w:rsid w:val="001A351A"/>
    <w:rsid w:val="001A3FE6"/>
    <w:rsid w:val="001A4D52"/>
    <w:rsid w:val="001A51C5"/>
    <w:rsid w:val="001A599A"/>
    <w:rsid w:val="001A6D57"/>
    <w:rsid w:val="001A6E9C"/>
    <w:rsid w:val="001B01E7"/>
    <w:rsid w:val="001B05D5"/>
    <w:rsid w:val="001B1189"/>
    <w:rsid w:val="001B15B5"/>
    <w:rsid w:val="001B2A96"/>
    <w:rsid w:val="001B32BB"/>
    <w:rsid w:val="001B34BA"/>
    <w:rsid w:val="001B3AF3"/>
    <w:rsid w:val="001B3D38"/>
    <w:rsid w:val="001B548E"/>
    <w:rsid w:val="001B5E6D"/>
    <w:rsid w:val="001B6323"/>
    <w:rsid w:val="001B657F"/>
    <w:rsid w:val="001C00EB"/>
    <w:rsid w:val="001C070F"/>
    <w:rsid w:val="001C0C19"/>
    <w:rsid w:val="001C15CD"/>
    <w:rsid w:val="001C20B9"/>
    <w:rsid w:val="001C2FDE"/>
    <w:rsid w:val="001C403D"/>
    <w:rsid w:val="001C49BD"/>
    <w:rsid w:val="001C4BA3"/>
    <w:rsid w:val="001C4FEF"/>
    <w:rsid w:val="001C5009"/>
    <w:rsid w:val="001C5FC4"/>
    <w:rsid w:val="001C606E"/>
    <w:rsid w:val="001C60B1"/>
    <w:rsid w:val="001C62B1"/>
    <w:rsid w:val="001C74A8"/>
    <w:rsid w:val="001C77E5"/>
    <w:rsid w:val="001D03EA"/>
    <w:rsid w:val="001D057C"/>
    <w:rsid w:val="001D0688"/>
    <w:rsid w:val="001D0913"/>
    <w:rsid w:val="001D0B33"/>
    <w:rsid w:val="001D0F7F"/>
    <w:rsid w:val="001D0FA6"/>
    <w:rsid w:val="001D17EA"/>
    <w:rsid w:val="001D1F6A"/>
    <w:rsid w:val="001D2466"/>
    <w:rsid w:val="001D2E9F"/>
    <w:rsid w:val="001D3147"/>
    <w:rsid w:val="001D4A15"/>
    <w:rsid w:val="001D789D"/>
    <w:rsid w:val="001D7C74"/>
    <w:rsid w:val="001E0BD2"/>
    <w:rsid w:val="001E2A2D"/>
    <w:rsid w:val="001E3201"/>
    <w:rsid w:val="001E35C4"/>
    <w:rsid w:val="001E5518"/>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184A"/>
    <w:rsid w:val="002031BF"/>
    <w:rsid w:val="002040BB"/>
    <w:rsid w:val="002054CB"/>
    <w:rsid w:val="00210459"/>
    <w:rsid w:val="00211337"/>
    <w:rsid w:val="0021163A"/>
    <w:rsid w:val="0021202B"/>
    <w:rsid w:val="00213C24"/>
    <w:rsid w:val="0021426A"/>
    <w:rsid w:val="00214413"/>
    <w:rsid w:val="0021458D"/>
    <w:rsid w:val="00214AE5"/>
    <w:rsid w:val="00214C22"/>
    <w:rsid w:val="002160A8"/>
    <w:rsid w:val="002162A3"/>
    <w:rsid w:val="00217F61"/>
    <w:rsid w:val="002223B6"/>
    <w:rsid w:val="00222917"/>
    <w:rsid w:val="002239AB"/>
    <w:rsid w:val="00224E27"/>
    <w:rsid w:val="00224F0F"/>
    <w:rsid w:val="0022519E"/>
    <w:rsid w:val="00225615"/>
    <w:rsid w:val="00225773"/>
    <w:rsid w:val="00225D5E"/>
    <w:rsid w:val="0022719E"/>
    <w:rsid w:val="00227D34"/>
    <w:rsid w:val="00227FE8"/>
    <w:rsid w:val="00231984"/>
    <w:rsid w:val="0023199C"/>
    <w:rsid w:val="00232B87"/>
    <w:rsid w:val="002339F0"/>
    <w:rsid w:val="00233D27"/>
    <w:rsid w:val="00233FDE"/>
    <w:rsid w:val="00235CA0"/>
    <w:rsid w:val="00237289"/>
    <w:rsid w:val="00237D13"/>
    <w:rsid w:val="00241061"/>
    <w:rsid w:val="00241396"/>
    <w:rsid w:val="00243B16"/>
    <w:rsid w:val="00244807"/>
    <w:rsid w:val="00245D2D"/>
    <w:rsid w:val="00246B67"/>
    <w:rsid w:val="00246FEA"/>
    <w:rsid w:val="0024757F"/>
    <w:rsid w:val="002478E6"/>
    <w:rsid w:val="0025085A"/>
    <w:rsid w:val="00250A27"/>
    <w:rsid w:val="00250F03"/>
    <w:rsid w:val="002512F8"/>
    <w:rsid w:val="00253AC2"/>
    <w:rsid w:val="00254447"/>
    <w:rsid w:val="0025457B"/>
    <w:rsid w:val="0025458A"/>
    <w:rsid w:val="0025483E"/>
    <w:rsid w:val="0025500E"/>
    <w:rsid w:val="002553DA"/>
    <w:rsid w:val="00255BAD"/>
    <w:rsid w:val="00256019"/>
    <w:rsid w:val="00256777"/>
    <w:rsid w:val="0025764F"/>
    <w:rsid w:val="00257AD9"/>
    <w:rsid w:val="00257B3B"/>
    <w:rsid w:val="00260175"/>
    <w:rsid w:val="00263071"/>
    <w:rsid w:val="002637C0"/>
    <w:rsid w:val="002643AF"/>
    <w:rsid w:val="00265934"/>
    <w:rsid w:val="00265F33"/>
    <w:rsid w:val="00266356"/>
    <w:rsid w:val="00267302"/>
    <w:rsid w:val="00270408"/>
    <w:rsid w:val="00270E39"/>
    <w:rsid w:val="00271D0A"/>
    <w:rsid w:val="00272248"/>
    <w:rsid w:val="00272F12"/>
    <w:rsid w:val="00273D63"/>
    <w:rsid w:val="002744DD"/>
    <w:rsid w:val="00274B5E"/>
    <w:rsid w:val="00274E8A"/>
    <w:rsid w:val="002761F4"/>
    <w:rsid w:val="002819CC"/>
    <w:rsid w:val="00282171"/>
    <w:rsid w:val="00283DB6"/>
    <w:rsid w:val="00287551"/>
    <w:rsid w:val="00287880"/>
    <w:rsid w:val="0028791A"/>
    <w:rsid w:val="00290115"/>
    <w:rsid w:val="002903DB"/>
    <w:rsid w:val="00290940"/>
    <w:rsid w:val="0029164A"/>
    <w:rsid w:val="00291693"/>
    <w:rsid w:val="002918AC"/>
    <w:rsid w:val="00291A48"/>
    <w:rsid w:val="00291AF4"/>
    <w:rsid w:val="002920B7"/>
    <w:rsid w:val="002931C5"/>
    <w:rsid w:val="00294045"/>
    <w:rsid w:val="00295345"/>
    <w:rsid w:val="00295551"/>
    <w:rsid w:val="002975AC"/>
    <w:rsid w:val="002A1E5B"/>
    <w:rsid w:val="002A1FDD"/>
    <w:rsid w:val="002A41DA"/>
    <w:rsid w:val="002A4D85"/>
    <w:rsid w:val="002A5CBD"/>
    <w:rsid w:val="002A6F37"/>
    <w:rsid w:val="002B03B2"/>
    <w:rsid w:val="002B1446"/>
    <w:rsid w:val="002B18D5"/>
    <w:rsid w:val="002B2EB9"/>
    <w:rsid w:val="002B3051"/>
    <w:rsid w:val="002B4AB5"/>
    <w:rsid w:val="002B4D56"/>
    <w:rsid w:val="002B531E"/>
    <w:rsid w:val="002B5787"/>
    <w:rsid w:val="002B5C0B"/>
    <w:rsid w:val="002B6351"/>
    <w:rsid w:val="002B64F8"/>
    <w:rsid w:val="002B673A"/>
    <w:rsid w:val="002B6933"/>
    <w:rsid w:val="002B7753"/>
    <w:rsid w:val="002B784B"/>
    <w:rsid w:val="002B7BCB"/>
    <w:rsid w:val="002C06E5"/>
    <w:rsid w:val="002C0946"/>
    <w:rsid w:val="002C117A"/>
    <w:rsid w:val="002C2590"/>
    <w:rsid w:val="002C2C3F"/>
    <w:rsid w:val="002C50CA"/>
    <w:rsid w:val="002C5A1E"/>
    <w:rsid w:val="002C602F"/>
    <w:rsid w:val="002C76A3"/>
    <w:rsid w:val="002C7BBA"/>
    <w:rsid w:val="002C7C2B"/>
    <w:rsid w:val="002D0A53"/>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40BB"/>
    <w:rsid w:val="002E604A"/>
    <w:rsid w:val="002E630E"/>
    <w:rsid w:val="002E6A3D"/>
    <w:rsid w:val="002E742C"/>
    <w:rsid w:val="002F08CE"/>
    <w:rsid w:val="002F0B51"/>
    <w:rsid w:val="002F120E"/>
    <w:rsid w:val="002F23E6"/>
    <w:rsid w:val="002F25B0"/>
    <w:rsid w:val="002F2B60"/>
    <w:rsid w:val="002F2FCD"/>
    <w:rsid w:val="002F3C73"/>
    <w:rsid w:val="002F4062"/>
    <w:rsid w:val="002F422B"/>
    <w:rsid w:val="002F4472"/>
    <w:rsid w:val="002F46E7"/>
    <w:rsid w:val="002F4B90"/>
    <w:rsid w:val="002F5953"/>
    <w:rsid w:val="002F5EAC"/>
    <w:rsid w:val="002F6B6D"/>
    <w:rsid w:val="002F6BEC"/>
    <w:rsid w:val="002F6EEF"/>
    <w:rsid w:val="002F72C0"/>
    <w:rsid w:val="003014C2"/>
    <w:rsid w:val="003027D0"/>
    <w:rsid w:val="003028DB"/>
    <w:rsid w:val="00304D05"/>
    <w:rsid w:val="00304D49"/>
    <w:rsid w:val="00304F79"/>
    <w:rsid w:val="00306E09"/>
    <w:rsid w:val="00307A0E"/>
    <w:rsid w:val="00312022"/>
    <w:rsid w:val="003127FA"/>
    <w:rsid w:val="0031385F"/>
    <w:rsid w:val="0031483B"/>
    <w:rsid w:val="00314876"/>
    <w:rsid w:val="00316143"/>
    <w:rsid w:val="003168C2"/>
    <w:rsid w:val="00317B29"/>
    <w:rsid w:val="00317B6A"/>
    <w:rsid w:val="003202C1"/>
    <w:rsid w:val="00320A59"/>
    <w:rsid w:val="00325826"/>
    <w:rsid w:val="00325DD9"/>
    <w:rsid w:val="00326649"/>
    <w:rsid w:val="003268E2"/>
    <w:rsid w:val="00326D04"/>
    <w:rsid w:val="00326FFD"/>
    <w:rsid w:val="0032713F"/>
    <w:rsid w:val="00331B78"/>
    <w:rsid w:val="00332199"/>
    <w:rsid w:val="00332AD8"/>
    <w:rsid w:val="00334502"/>
    <w:rsid w:val="00335F59"/>
    <w:rsid w:val="00337562"/>
    <w:rsid w:val="00337C76"/>
    <w:rsid w:val="00341757"/>
    <w:rsid w:val="003418C3"/>
    <w:rsid w:val="003435FA"/>
    <w:rsid w:val="003445A2"/>
    <w:rsid w:val="003445AC"/>
    <w:rsid w:val="00346467"/>
    <w:rsid w:val="00346BE0"/>
    <w:rsid w:val="00346C05"/>
    <w:rsid w:val="003478B4"/>
    <w:rsid w:val="00350454"/>
    <w:rsid w:val="00350D8D"/>
    <w:rsid w:val="00351AA0"/>
    <w:rsid w:val="00352288"/>
    <w:rsid w:val="00352F47"/>
    <w:rsid w:val="00353516"/>
    <w:rsid w:val="00353B89"/>
    <w:rsid w:val="0035445A"/>
    <w:rsid w:val="0035463A"/>
    <w:rsid w:val="00356383"/>
    <w:rsid w:val="00357A2C"/>
    <w:rsid w:val="003608F0"/>
    <w:rsid w:val="00360B68"/>
    <w:rsid w:val="003617CA"/>
    <w:rsid w:val="003620CD"/>
    <w:rsid w:val="00363F09"/>
    <w:rsid w:val="00364714"/>
    <w:rsid w:val="00364A83"/>
    <w:rsid w:val="00367957"/>
    <w:rsid w:val="00367D44"/>
    <w:rsid w:val="003705EF"/>
    <w:rsid w:val="003710C1"/>
    <w:rsid w:val="00371927"/>
    <w:rsid w:val="003719EC"/>
    <w:rsid w:val="0037399A"/>
    <w:rsid w:val="00373F4F"/>
    <w:rsid w:val="00374636"/>
    <w:rsid w:val="00374775"/>
    <w:rsid w:val="00376CEF"/>
    <w:rsid w:val="003770AC"/>
    <w:rsid w:val="003770FA"/>
    <w:rsid w:val="003773F8"/>
    <w:rsid w:val="00377A66"/>
    <w:rsid w:val="00377A82"/>
    <w:rsid w:val="00381A75"/>
    <w:rsid w:val="003839A0"/>
    <w:rsid w:val="00383F46"/>
    <w:rsid w:val="00385BC8"/>
    <w:rsid w:val="00385C92"/>
    <w:rsid w:val="00386F10"/>
    <w:rsid w:val="00387612"/>
    <w:rsid w:val="0039003D"/>
    <w:rsid w:val="003900A2"/>
    <w:rsid w:val="003905CA"/>
    <w:rsid w:val="003906FF"/>
    <w:rsid w:val="00393529"/>
    <w:rsid w:val="003950EC"/>
    <w:rsid w:val="0039519F"/>
    <w:rsid w:val="003972C7"/>
    <w:rsid w:val="0039730B"/>
    <w:rsid w:val="00397A13"/>
    <w:rsid w:val="00397AA4"/>
    <w:rsid w:val="00397ECE"/>
    <w:rsid w:val="003A0426"/>
    <w:rsid w:val="003A0504"/>
    <w:rsid w:val="003A0974"/>
    <w:rsid w:val="003A0BA4"/>
    <w:rsid w:val="003A193D"/>
    <w:rsid w:val="003A1A94"/>
    <w:rsid w:val="003A30EC"/>
    <w:rsid w:val="003A3EAD"/>
    <w:rsid w:val="003A657F"/>
    <w:rsid w:val="003A6F5B"/>
    <w:rsid w:val="003A72D9"/>
    <w:rsid w:val="003B05AB"/>
    <w:rsid w:val="003B0922"/>
    <w:rsid w:val="003B0E4C"/>
    <w:rsid w:val="003B1A4F"/>
    <w:rsid w:val="003B2B5A"/>
    <w:rsid w:val="003B38AA"/>
    <w:rsid w:val="003B4005"/>
    <w:rsid w:val="003B465C"/>
    <w:rsid w:val="003B5F90"/>
    <w:rsid w:val="003B6D50"/>
    <w:rsid w:val="003C0796"/>
    <w:rsid w:val="003C1075"/>
    <w:rsid w:val="003C19BF"/>
    <w:rsid w:val="003C2496"/>
    <w:rsid w:val="003C5CDD"/>
    <w:rsid w:val="003C691E"/>
    <w:rsid w:val="003D01AF"/>
    <w:rsid w:val="003D089C"/>
    <w:rsid w:val="003D4908"/>
    <w:rsid w:val="003D5DA9"/>
    <w:rsid w:val="003D5EAB"/>
    <w:rsid w:val="003D7335"/>
    <w:rsid w:val="003E012F"/>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6B"/>
    <w:rsid w:val="004012BD"/>
    <w:rsid w:val="004020E4"/>
    <w:rsid w:val="00402695"/>
    <w:rsid w:val="00402A48"/>
    <w:rsid w:val="00403794"/>
    <w:rsid w:val="0040398B"/>
    <w:rsid w:val="0040414A"/>
    <w:rsid w:val="00404167"/>
    <w:rsid w:val="00404CB9"/>
    <w:rsid w:val="00404DD8"/>
    <w:rsid w:val="00405E52"/>
    <w:rsid w:val="00406BFE"/>
    <w:rsid w:val="00407603"/>
    <w:rsid w:val="004076BF"/>
    <w:rsid w:val="0041016A"/>
    <w:rsid w:val="00410F38"/>
    <w:rsid w:val="00411191"/>
    <w:rsid w:val="00411B86"/>
    <w:rsid w:val="00411CF0"/>
    <w:rsid w:val="00411F72"/>
    <w:rsid w:val="00412E8E"/>
    <w:rsid w:val="004149A5"/>
    <w:rsid w:val="00415D76"/>
    <w:rsid w:val="00415F7B"/>
    <w:rsid w:val="00416FC9"/>
    <w:rsid w:val="00417538"/>
    <w:rsid w:val="004177B4"/>
    <w:rsid w:val="0041793F"/>
    <w:rsid w:val="00420504"/>
    <w:rsid w:val="00421356"/>
    <w:rsid w:val="00423736"/>
    <w:rsid w:val="00424E6F"/>
    <w:rsid w:val="0042540D"/>
    <w:rsid w:val="00425AD7"/>
    <w:rsid w:val="004260DF"/>
    <w:rsid w:val="004309AD"/>
    <w:rsid w:val="004310C7"/>
    <w:rsid w:val="004331E9"/>
    <w:rsid w:val="004342B7"/>
    <w:rsid w:val="00435609"/>
    <w:rsid w:val="00435C24"/>
    <w:rsid w:val="004418F9"/>
    <w:rsid w:val="00443C32"/>
    <w:rsid w:val="00443CF3"/>
    <w:rsid w:val="00443FE3"/>
    <w:rsid w:val="00444226"/>
    <w:rsid w:val="00444438"/>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07EA"/>
    <w:rsid w:val="00460F7A"/>
    <w:rsid w:val="0046135E"/>
    <w:rsid w:val="0046200B"/>
    <w:rsid w:val="00463D0E"/>
    <w:rsid w:val="00463D46"/>
    <w:rsid w:val="00463FD8"/>
    <w:rsid w:val="00464CD0"/>
    <w:rsid w:val="00466E6C"/>
    <w:rsid w:val="004677E0"/>
    <w:rsid w:val="00467FEB"/>
    <w:rsid w:val="00470647"/>
    <w:rsid w:val="0047214D"/>
    <w:rsid w:val="00472637"/>
    <w:rsid w:val="0047336E"/>
    <w:rsid w:val="00474099"/>
    <w:rsid w:val="004751CD"/>
    <w:rsid w:val="0047568D"/>
    <w:rsid w:val="00475B54"/>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36B"/>
    <w:rsid w:val="00484F6A"/>
    <w:rsid w:val="00485165"/>
    <w:rsid w:val="00486A8A"/>
    <w:rsid w:val="00486C27"/>
    <w:rsid w:val="00486D29"/>
    <w:rsid w:val="0049070E"/>
    <w:rsid w:val="004925F7"/>
    <w:rsid w:val="004940B7"/>
    <w:rsid w:val="0049673D"/>
    <w:rsid w:val="00496E04"/>
    <w:rsid w:val="004A0D2E"/>
    <w:rsid w:val="004A1976"/>
    <w:rsid w:val="004A1DA4"/>
    <w:rsid w:val="004A1F56"/>
    <w:rsid w:val="004A2074"/>
    <w:rsid w:val="004A2665"/>
    <w:rsid w:val="004A544E"/>
    <w:rsid w:val="004A56AF"/>
    <w:rsid w:val="004A5933"/>
    <w:rsid w:val="004A6755"/>
    <w:rsid w:val="004A69F3"/>
    <w:rsid w:val="004A6A93"/>
    <w:rsid w:val="004A6E2E"/>
    <w:rsid w:val="004B0198"/>
    <w:rsid w:val="004B0B66"/>
    <w:rsid w:val="004B0E92"/>
    <w:rsid w:val="004B2389"/>
    <w:rsid w:val="004B2478"/>
    <w:rsid w:val="004B2DAB"/>
    <w:rsid w:val="004B3DE6"/>
    <w:rsid w:val="004B42F5"/>
    <w:rsid w:val="004B550F"/>
    <w:rsid w:val="004B617C"/>
    <w:rsid w:val="004B7C13"/>
    <w:rsid w:val="004C164B"/>
    <w:rsid w:val="004C3E95"/>
    <w:rsid w:val="004C6150"/>
    <w:rsid w:val="004C66AB"/>
    <w:rsid w:val="004C673C"/>
    <w:rsid w:val="004C67F9"/>
    <w:rsid w:val="004C6E14"/>
    <w:rsid w:val="004C7662"/>
    <w:rsid w:val="004D202D"/>
    <w:rsid w:val="004D35B2"/>
    <w:rsid w:val="004D3922"/>
    <w:rsid w:val="004D40E3"/>
    <w:rsid w:val="004D5BFB"/>
    <w:rsid w:val="004D6A71"/>
    <w:rsid w:val="004D70A2"/>
    <w:rsid w:val="004E0128"/>
    <w:rsid w:val="004E0F6A"/>
    <w:rsid w:val="004E12FF"/>
    <w:rsid w:val="004E2747"/>
    <w:rsid w:val="004E3617"/>
    <w:rsid w:val="004E3B99"/>
    <w:rsid w:val="004E3F2E"/>
    <w:rsid w:val="004E4B60"/>
    <w:rsid w:val="004E4E6A"/>
    <w:rsid w:val="004E607D"/>
    <w:rsid w:val="004E7195"/>
    <w:rsid w:val="004E7E30"/>
    <w:rsid w:val="004F04A1"/>
    <w:rsid w:val="004F1194"/>
    <w:rsid w:val="004F14C5"/>
    <w:rsid w:val="004F1F61"/>
    <w:rsid w:val="004F2099"/>
    <w:rsid w:val="004F21AE"/>
    <w:rsid w:val="004F2C8A"/>
    <w:rsid w:val="004F3806"/>
    <w:rsid w:val="004F380A"/>
    <w:rsid w:val="004F3D0D"/>
    <w:rsid w:val="004F5638"/>
    <w:rsid w:val="004F5EB9"/>
    <w:rsid w:val="004F788C"/>
    <w:rsid w:val="00500FE2"/>
    <w:rsid w:val="005018A2"/>
    <w:rsid w:val="00502659"/>
    <w:rsid w:val="00502D8A"/>
    <w:rsid w:val="00503618"/>
    <w:rsid w:val="00503DC4"/>
    <w:rsid w:val="0050407E"/>
    <w:rsid w:val="00504531"/>
    <w:rsid w:val="00504DBC"/>
    <w:rsid w:val="00504DBF"/>
    <w:rsid w:val="005057B7"/>
    <w:rsid w:val="00505965"/>
    <w:rsid w:val="00506A1E"/>
    <w:rsid w:val="00506F79"/>
    <w:rsid w:val="00507383"/>
    <w:rsid w:val="00513156"/>
    <w:rsid w:val="0051334F"/>
    <w:rsid w:val="005134ED"/>
    <w:rsid w:val="00513D43"/>
    <w:rsid w:val="005141DF"/>
    <w:rsid w:val="005144BD"/>
    <w:rsid w:val="00514A59"/>
    <w:rsid w:val="00514C25"/>
    <w:rsid w:val="00515DED"/>
    <w:rsid w:val="005161C9"/>
    <w:rsid w:val="00516733"/>
    <w:rsid w:val="00517349"/>
    <w:rsid w:val="0052057F"/>
    <w:rsid w:val="00520B00"/>
    <w:rsid w:val="00520FB5"/>
    <w:rsid w:val="0052372C"/>
    <w:rsid w:val="00524879"/>
    <w:rsid w:val="0052503E"/>
    <w:rsid w:val="0052685D"/>
    <w:rsid w:val="00526A4E"/>
    <w:rsid w:val="00526BBC"/>
    <w:rsid w:val="005303DD"/>
    <w:rsid w:val="005306CD"/>
    <w:rsid w:val="005307BB"/>
    <w:rsid w:val="00530EBE"/>
    <w:rsid w:val="00530ED3"/>
    <w:rsid w:val="0053293C"/>
    <w:rsid w:val="005333E2"/>
    <w:rsid w:val="00533959"/>
    <w:rsid w:val="00533BE9"/>
    <w:rsid w:val="005344F2"/>
    <w:rsid w:val="00534712"/>
    <w:rsid w:val="00535B15"/>
    <w:rsid w:val="005362A9"/>
    <w:rsid w:val="0053721C"/>
    <w:rsid w:val="0053795C"/>
    <w:rsid w:val="00537DF6"/>
    <w:rsid w:val="00540235"/>
    <w:rsid w:val="005418EE"/>
    <w:rsid w:val="005421F4"/>
    <w:rsid w:val="0054241F"/>
    <w:rsid w:val="005428CB"/>
    <w:rsid w:val="005431CC"/>
    <w:rsid w:val="0054456F"/>
    <w:rsid w:val="005446EE"/>
    <w:rsid w:val="00545639"/>
    <w:rsid w:val="005462AF"/>
    <w:rsid w:val="005469FE"/>
    <w:rsid w:val="005511F9"/>
    <w:rsid w:val="00551AA8"/>
    <w:rsid w:val="00552059"/>
    <w:rsid w:val="005523A9"/>
    <w:rsid w:val="00553137"/>
    <w:rsid w:val="00554CAC"/>
    <w:rsid w:val="00554CE1"/>
    <w:rsid w:val="00554F7F"/>
    <w:rsid w:val="00555D35"/>
    <w:rsid w:val="005562DC"/>
    <w:rsid w:val="00556301"/>
    <w:rsid w:val="005575EF"/>
    <w:rsid w:val="005575F5"/>
    <w:rsid w:val="00557E2F"/>
    <w:rsid w:val="00560101"/>
    <w:rsid w:val="005602D9"/>
    <w:rsid w:val="00562344"/>
    <w:rsid w:val="0056276D"/>
    <w:rsid w:val="005637B7"/>
    <w:rsid w:val="00564A7F"/>
    <w:rsid w:val="005654DC"/>
    <w:rsid w:val="00565777"/>
    <w:rsid w:val="005672C2"/>
    <w:rsid w:val="005676D6"/>
    <w:rsid w:val="005676E0"/>
    <w:rsid w:val="005705F9"/>
    <w:rsid w:val="00570755"/>
    <w:rsid w:val="005714B2"/>
    <w:rsid w:val="0057274A"/>
    <w:rsid w:val="00572892"/>
    <w:rsid w:val="00573C60"/>
    <w:rsid w:val="00573E78"/>
    <w:rsid w:val="0057494E"/>
    <w:rsid w:val="0057592D"/>
    <w:rsid w:val="005764B1"/>
    <w:rsid w:val="00576BE5"/>
    <w:rsid w:val="00576D34"/>
    <w:rsid w:val="00577F4A"/>
    <w:rsid w:val="0058052A"/>
    <w:rsid w:val="00580BC6"/>
    <w:rsid w:val="00581213"/>
    <w:rsid w:val="00581302"/>
    <w:rsid w:val="00581805"/>
    <w:rsid w:val="00582BD7"/>
    <w:rsid w:val="00583630"/>
    <w:rsid w:val="00583A0A"/>
    <w:rsid w:val="005858CD"/>
    <w:rsid w:val="00585B7B"/>
    <w:rsid w:val="00587C74"/>
    <w:rsid w:val="00590DD0"/>
    <w:rsid w:val="00591268"/>
    <w:rsid w:val="0059138D"/>
    <w:rsid w:val="0059354C"/>
    <w:rsid w:val="00593973"/>
    <w:rsid w:val="00593FD5"/>
    <w:rsid w:val="00594C27"/>
    <w:rsid w:val="00594DEF"/>
    <w:rsid w:val="005A02DC"/>
    <w:rsid w:val="005A03DE"/>
    <w:rsid w:val="005A077D"/>
    <w:rsid w:val="005A0EAC"/>
    <w:rsid w:val="005A19BE"/>
    <w:rsid w:val="005A1EC5"/>
    <w:rsid w:val="005A2C74"/>
    <w:rsid w:val="005A2FED"/>
    <w:rsid w:val="005A518B"/>
    <w:rsid w:val="005A627E"/>
    <w:rsid w:val="005A6DC2"/>
    <w:rsid w:val="005A7010"/>
    <w:rsid w:val="005A7083"/>
    <w:rsid w:val="005A72C2"/>
    <w:rsid w:val="005A7608"/>
    <w:rsid w:val="005A7644"/>
    <w:rsid w:val="005A7707"/>
    <w:rsid w:val="005B1318"/>
    <w:rsid w:val="005B1E9C"/>
    <w:rsid w:val="005B2307"/>
    <w:rsid w:val="005B2312"/>
    <w:rsid w:val="005B31E6"/>
    <w:rsid w:val="005B4A3E"/>
    <w:rsid w:val="005B4B22"/>
    <w:rsid w:val="005B57F2"/>
    <w:rsid w:val="005B5ABD"/>
    <w:rsid w:val="005B5C5C"/>
    <w:rsid w:val="005B61D3"/>
    <w:rsid w:val="005B7920"/>
    <w:rsid w:val="005B7F49"/>
    <w:rsid w:val="005C1558"/>
    <w:rsid w:val="005C1641"/>
    <w:rsid w:val="005C1BC7"/>
    <w:rsid w:val="005C278A"/>
    <w:rsid w:val="005C32C9"/>
    <w:rsid w:val="005C3345"/>
    <w:rsid w:val="005C3A39"/>
    <w:rsid w:val="005C3A56"/>
    <w:rsid w:val="005C3A67"/>
    <w:rsid w:val="005C51AD"/>
    <w:rsid w:val="005C5513"/>
    <w:rsid w:val="005C5DB9"/>
    <w:rsid w:val="005C5E85"/>
    <w:rsid w:val="005C628A"/>
    <w:rsid w:val="005C6B8A"/>
    <w:rsid w:val="005C7471"/>
    <w:rsid w:val="005D05F2"/>
    <w:rsid w:val="005D2257"/>
    <w:rsid w:val="005D28BC"/>
    <w:rsid w:val="005D2C19"/>
    <w:rsid w:val="005D31FF"/>
    <w:rsid w:val="005D4235"/>
    <w:rsid w:val="005D4315"/>
    <w:rsid w:val="005D4A0C"/>
    <w:rsid w:val="005D564D"/>
    <w:rsid w:val="005D61EA"/>
    <w:rsid w:val="005D64B0"/>
    <w:rsid w:val="005D66E2"/>
    <w:rsid w:val="005D6B61"/>
    <w:rsid w:val="005D6B8A"/>
    <w:rsid w:val="005E05BC"/>
    <w:rsid w:val="005E145B"/>
    <w:rsid w:val="005E389B"/>
    <w:rsid w:val="005E3ACC"/>
    <w:rsid w:val="005E40D9"/>
    <w:rsid w:val="005E4159"/>
    <w:rsid w:val="005E4DF4"/>
    <w:rsid w:val="005E7880"/>
    <w:rsid w:val="005E7B85"/>
    <w:rsid w:val="005F22A7"/>
    <w:rsid w:val="005F24D7"/>
    <w:rsid w:val="005F2BCF"/>
    <w:rsid w:val="005F2C6F"/>
    <w:rsid w:val="005F3204"/>
    <w:rsid w:val="005F3AA1"/>
    <w:rsid w:val="005F58A9"/>
    <w:rsid w:val="005F6A42"/>
    <w:rsid w:val="00600DCE"/>
    <w:rsid w:val="00600E72"/>
    <w:rsid w:val="006019AB"/>
    <w:rsid w:val="0060231D"/>
    <w:rsid w:val="00602697"/>
    <w:rsid w:val="00603AB8"/>
    <w:rsid w:val="00604944"/>
    <w:rsid w:val="00605A33"/>
    <w:rsid w:val="00606918"/>
    <w:rsid w:val="006107D6"/>
    <w:rsid w:val="0061090E"/>
    <w:rsid w:val="00611A33"/>
    <w:rsid w:val="0061490B"/>
    <w:rsid w:val="0061546C"/>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5E60"/>
    <w:rsid w:val="00637744"/>
    <w:rsid w:val="0063777A"/>
    <w:rsid w:val="00637BC3"/>
    <w:rsid w:val="00640C60"/>
    <w:rsid w:val="006411CB"/>
    <w:rsid w:val="0064216E"/>
    <w:rsid w:val="00642ABF"/>
    <w:rsid w:val="00643E05"/>
    <w:rsid w:val="00643E6C"/>
    <w:rsid w:val="0064591A"/>
    <w:rsid w:val="00646682"/>
    <w:rsid w:val="0065105A"/>
    <w:rsid w:val="00653952"/>
    <w:rsid w:val="00653B95"/>
    <w:rsid w:val="00654274"/>
    <w:rsid w:val="00654BB6"/>
    <w:rsid w:val="006555D2"/>
    <w:rsid w:val="00655D23"/>
    <w:rsid w:val="0065692E"/>
    <w:rsid w:val="006606C8"/>
    <w:rsid w:val="006617A4"/>
    <w:rsid w:val="00662C4D"/>
    <w:rsid w:val="00662F76"/>
    <w:rsid w:val="0066443C"/>
    <w:rsid w:val="00664540"/>
    <w:rsid w:val="0066504D"/>
    <w:rsid w:val="00665538"/>
    <w:rsid w:val="00666844"/>
    <w:rsid w:val="00666B4E"/>
    <w:rsid w:val="00666BEA"/>
    <w:rsid w:val="00667079"/>
    <w:rsid w:val="00667437"/>
    <w:rsid w:val="00667918"/>
    <w:rsid w:val="00667B86"/>
    <w:rsid w:val="00670B6E"/>
    <w:rsid w:val="00670BAC"/>
    <w:rsid w:val="00671666"/>
    <w:rsid w:val="006720CC"/>
    <w:rsid w:val="0067238F"/>
    <w:rsid w:val="006724E0"/>
    <w:rsid w:val="00672827"/>
    <w:rsid w:val="00672C64"/>
    <w:rsid w:val="00672CAB"/>
    <w:rsid w:val="006738C7"/>
    <w:rsid w:val="00674F03"/>
    <w:rsid w:val="00676453"/>
    <w:rsid w:val="00676573"/>
    <w:rsid w:val="006769A6"/>
    <w:rsid w:val="00680B3F"/>
    <w:rsid w:val="00681E25"/>
    <w:rsid w:val="00682170"/>
    <w:rsid w:val="006838F3"/>
    <w:rsid w:val="00685380"/>
    <w:rsid w:val="00685E09"/>
    <w:rsid w:val="0068655F"/>
    <w:rsid w:val="006866FD"/>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32E"/>
    <w:rsid w:val="006A04CE"/>
    <w:rsid w:val="006A0732"/>
    <w:rsid w:val="006A0AF7"/>
    <w:rsid w:val="006A20B2"/>
    <w:rsid w:val="006A26FB"/>
    <w:rsid w:val="006A2E73"/>
    <w:rsid w:val="006A3DA7"/>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2B76"/>
    <w:rsid w:val="006B561A"/>
    <w:rsid w:val="006B5FDC"/>
    <w:rsid w:val="006B76EE"/>
    <w:rsid w:val="006B7D9B"/>
    <w:rsid w:val="006C069B"/>
    <w:rsid w:val="006C1D18"/>
    <w:rsid w:val="006C3460"/>
    <w:rsid w:val="006C3F17"/>
    <w:rsid w:val="006C5D57"/>
    <w:rsid w:val="006C697C"/>
    <w:rsid w:val="006D03B1"/>
    <w:rsid w:val="006D0962"/>
    <w:rsid w:val="006D3F80"/>
    <w:rsid w:val="006D43D1"/>
    <w:rsid w:val="006D531B"/>
    <w:rsid w:val="006D5A81"/>
    <w:rsid w:val="006D6BB4"/>
    <w:rsid w:val="006D759A"/>
    <w:rsid w:val="006D781E"/>
    <w:rsid w:val="006D7BDE"/>
    <w:rsid w:val="006E0936"/>
    <w:rsid w:val="006E0FB6"/>
    <w:rsid w:val="006E2009"/>
    <w:rsid w:val="006E4CBA"/>
    <w:rsid w:val="006E520B"/>
    <w:rsid w:val="006E522D"/>
    <w:rsid w:val="006E6160"/>
    <w:rsid w:val="006E6252"/>
    <w:rsid w:val="006E768C"/>
    <w:rsid w:val="006E78C3"/>
    <w:rsid w:val="006E7A0E"/>
    <w:rsid w:val="006F28DA"/>
    <w:rsid w:val="006F3DD2"/>
    <w:rsid w:val="006F5778"/>
    <w:rsid w:val="006F755B"/>
    <w:rsid w:val="00700411"/>
    <w:rsid w:val="007045EF"/>
    <w:rsid w:val="007052C3"/>
    <w:rsid w:val="00705BB4"/>
    <w:rsid w:val="00705BC7"/>
    <w:rsid w:val="007065C6"/>
    <w:rsid w:val="00706CAC"/>
    <w:rsid w:val="00707D91"/>
    <w:rsid w:val="00710206"/>
    <w:rsid w:val="007103A6"/>
    <w:rsid w:val="00710893"/>
    <w:rsid w:val="00712406"/>
    <w:rsid w:val="00712C28"/>
    <w:rsid w:val="00713888"/>
    <w:rsid w:val="00713EF1"/>
    <w:rsid w:val="00714715"/>
    <w:rsid w:val="00715ACD"/>
    <w:rsid w:val="0071684D"/>
    <w:rsid w:val="007175EB"/>
    <w:rsid w:val="00717621"/>
    <w:rsid w:val="00717D4B"/>
    <w:rsid w:val="007207FC"/>
    <w:rsid w:val="007213F1"/>
    <w:rsid w:val="00721827"/>
    <w:rsid w:val="00722668"/>
    <w:rsid w:val="00723E8D"/>
    <w:rsid w:val="007247C1"/>
    <w:rsid w:val="00724AF2"/>
    <w:rsid w:val="00724F55"/>
    <w:rsid w:val="007263F1"/>
    <w:rsid w:val="00726C59"/>
    <w:rsid w:val="007275E1"/>
    <w:rsid w:val="00727B7C"/>
    <w:rsid w:val="0073052C"/>
    <w:rsid w:val="00730551"/>
    <w:rsid w:val="0073235F"/>
    <w:rsid w:val="00732686"/>
    <w:rsid w:val="007327D1"/>
    <w:rsid w:val="00732A32"/>
    <w:rsid w:val="00732ADE"/>
    <w:rsid w:val="00733436"/>
    <w:rsid w:val="00733818"/>
    <w:rsid w:val="00733E34"/>
    <w:rsid w:val="00734D65"/>
    <w:rsid w:val="007351BE"/>
    <w:rsid w:val="00737AC1"/>
    <w:rsid w:val="0074024D"/>
    <w:rsid w:val="00741B85"/>
    <w:rsid w:val="007442E2"/>
    <w:rsid w:val="00746067"/>
    <w:rsid w:val="0075045D"/>
    <w:rsid w:val="007504F1"/>
    <w:rsid w:val="007509C9"/>
    <w:rsid w:val="00752F55"/>
    <w:rsid w:val="00754101"/>
    <w:rsid w:val="0075490B"/>
    <w:rsid w:val="007558B7"/>
    <w:rsid w:val="00757A53"/>
    <w:rsid w:val="00760A85"/>
    <w:rsid w:val="00760EF9"/>
    <w:rsid w:val="00761B03"/>
    <w:rsid w:val="00761F25"/>
    <w:rsid w:val="007621F5"/>
    <w:rsid w:val="00762F8F"/>
    <w:rsid w:val="00763103"/>
    <w:rsid w:val="00763461"/>
    <w:rsid w:val="00763974"/>
    <w:rsid w:val="00764199"/>
    <w:rsid w:val="0076557F"/>
    <w:rsid w:val="00765AA8"/>
    <w:rsid w:val="007667AC"/>
    <w:rsid w:val="00767815"/>
    <w:rsid w:val="00770316"/>
    <w:rsid w:val="0077133D"/>
    <w:rsid w:val="00773B13"/>
    <w:rsid w:val="00773C28"/>
    <w:rsid w:val="00774453"/>
    <w:rsid w:val="00775647"/>
    <w:rsid w:val="00776830"/>
    <w:rsid w:val="00776AC7"/>
    <w:rsid w:val="00776B8D"/>
    <w:rsid w:val="00776EE1"/>
    <w:rsid w:val="007777AA"/>
    <w:rsid w:val="007809F2"/>
    <w:rsid w:val="00780BAD"/>
    <w:rsid w:val="007814E7"/>
    <w:rsid w:val="00781BCE"/>
    <w:rsid w:val="00783B51"/>
    <w:rsid w:val="00783BFA"/>
    <w:rsid w:val="00783C80"/>
    <w:rsid w:val="00785F44"/>
    <w:rsid w:val="00787371"/>
    <w:rsid w:val="00790CFC"/>
    <w:rsid w:val="00791B31"/>
    <w:rsid w:val="00791E64"/>
    <w:rsid w:val="0079247C"/>
    <w:rsid w:val="0079257F"/>
    <w:rsid w:val="007930DA"/>
    <w:rsid w:val="0079317A"/>
    <w:rsid w:val="00793C74"/>
    <w:rsid w:val="00795000"/>
    <w:rsid w:val="007951D8"/>
    <w:rsid w:val="00795A9E"/>
    <w:rsid w:val="0079616C"/>
    <w:rsid w:val="00796526"/>
    <w:rsid w:val="00797264"/>
    <w:rsid w:val="007A0D97"/>
    <w:rsid w:val="007A1337"/>
    <w:rsid w:val="007A21A4"/>
    <w:rsid w:val="007A2311"/>
    <w:rsid w:val="007A4A08"/>
    <w:rsid w:val="007A4B92"/>
    <w:rsid w:val="007A51FA"/>
    <w:rsid w:val="007A584F"/>
    <w:rsid w:val="007A5A59"/>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E0148"/>
    <w:rsid w:val="007E0D5F"/>
    <w:rsid w:val="007E1E49"/>
    <w:rsid w:val="007E2464"/>
    <w:rsid w:val="007E36FC"/>
    <w:rsid w:val="007E5095"/>
    <w:rsid w:val="007E529F"/>
    <w:rsid w:val="007E5767"/>
    <w:rsid w:val="007E6314"/>
    <w:rsid w:val="007E71C1"/>
    <w:rsid w:val="007E7D78"/>
    <w:rsid w:val="007E7F9D"/>
    <w:rsid w:val="007E7FC2"/>
    <w:rsid w:val="007F0A35"/>
    <w:rsid w:val="007F0DF6"/>
    <w:rsid w:val="007F12ED"/>
    <w:rsid w:val="007F1F1C"/>
    <w:rsid w:val="007F323B"/>
    <w:rsid w:val="007F3911"/>
    <w:rsid w:val="007F3F77"/>
    <w:rsid w:val="007F4741"/>
    <w:rsid w:val="007F512C"/>
    <w:rsid w:val="007F54AB"/>
    <w:rsid w:val="007F55D7"/>
    <w:rsid w:val="007F671D"/>
    <w:rsid w:val="007F6D6B"/>
    <w:rsid w:val="0080017B"/>
    <w:rsid w:val="00801B0F"/>
    <w:rsid w:val="00802031"/>
    <w:rsid w:val="00802B1E"/>
    <w:rsid w:val="00803311"/>
    <w:rsid w:val="00803457"/>
    <w:rsid w:val="008034B4"/>
    <w:rsid w:val="00803528"/>
    <w:rsid w:val="00803645"/>
    <w:rsid w:val="00804094"/>
    <w:rsid w:val="008044AB"/>
    <w:rsid w:val="00804959"/>
    <w:rsid w:val="00804B8C"/>
    <w:rsid w:val="00804EAC"/>
    <w:rsid w:val="00805BB2"/>
    <w:rsid w:val="008070CF"/>
    <w:rsid w:val="0080783F"/>
    <w:rsid w:val="008134F6"/>
    <w:rsid w:val="0081654C"/>
    <w:rsid w:val="00816572"/>
    <w:rsid w:val="0081704B"/>
    <w:rsid w:val="008202CC"/>
    <w:rsid w:val="008212A7"/>
    <w:rsid w:val="008221C8"/>
    <w:rsid w:val="0082231A"/>
    <w:rsid w:val="00823CD9"/>
    <w:rsid w:val="008243FF"/>
    <w:rsid w:val="00826116"/>
    <w:rsid w:val="00830DCA"/>
    <w:rsid w:val="00831A72"/>
    <w:rsid w:val="00831F6E"/>
    <w:rsid w:val="00832B1D"/>
    <w:rsid w:val="00833325"/>
    <w:rsid w:val="00833D7A"/>
    <w:rsid w:val="0083459D"/>
    <w:rsid w:val="00834B1C"/>
    <w:rsid w:val="0083519C"/>
    <w:rsid w:val="008367F4"/>
    <w:rsid w:val="00836D7C"/>
    <w:rsid w:val="008373D3"/>
    <w:rsid w:val="0084066D"/>
    <w:rsid w:val="00840C79"/>
    <w:rsid w:val="008423FC"/>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3066"/>
    <w:rsid w:val="0085329C"/>
    <w:rsid w:val="00853B4B"/>
    <w:rsid w:val="00854BBF"/>
    <w:rsid w:val="00854DCF"/>
    <w:rsid w:val="0086173C"/>
    <w:rsid w:val="008629E0"/>
    <w:rsid w:val="008634F5"/>
    <w:rsid w:val="00863C67"/>
    <w:rsid w:val="0086571F"/>
    <w:rsid w:val="00865F4A"/>
    <w:rsid w:val="0086655F"/>
    <w:rsid w:val="0086671A"/>
    <w:rsid w:val="00870F25"/>
    <w:rsid w:val="00870F9F"/>
    <w:rsid w:val="0087128F"/>
    <w:rsid w:val="00871CB3"/>
    <w:rsid w:val="008723BF"/>
    <w:rsid w:val="008736C0"/>
    <w:rsid w:val="00873AFB"/>
    <w:rsid w:val="00873DC6"/>
    <w:rsid w:val="00873ED2"/>
    <w:rsid w:val="00874652"/>
    <w:rsid w:val="00874CD6"/>
    <w:rsid w:val="008750A8"/>
    <w:rsid w:val="00877B2E"/>
    <w:rsid w:val="00877FBC"/>
    <w:rsid w:val="00880012"/>
    <w:rsid w:val="00882419"/>
    <w:rsid w:val="0088273C"/>
    <w:rsid w:val="00884A65"/>
    <w:rsid w:val="008860FC"/>
    <w:rsid w:val="00886427"/>
    <w:rsid w:val="00887353"/>
    <w:rsid w:val="0089266F"/>
    <w:rsid w:val="008928E8"/>
    <w:rsid w:val="00892CEB"/>
    <w:rsid w:val="00892DC2"/>
    <w:rsid w:val="0089323C"/>
    <w:rsid w:val="00893CD2"/>
    <w:rsid w:val="00897A25"/>
    <w:rsid w:val="008A17E9"/>
    <w:rsid w:val="008A2EF7"/>
    <w:rsid w:val="008A53C4"/>
    <w:rsid w:val="008A60A4"/>
    <w:rsid w:val="008A6943"/>
    <w:rsid w:val="008A7790"/>
    <w:rsid w:val="008A7D51"/>
    <w:rsid w:val="008B1D70"/>
    <w:rsid w:val="008B2279"/>
    <w:rsid w:val="008B27BF"/>
    <w:rsid w:val="008B3C16"/>
    <w:rsid w:val="008B50AE"/>
    <w:rsid w:val="008B53EA"/>
    <w:rsid w:val="008B55F4"/>
    <w:rsid w:val="008B6B8F"/>
    <w:rsid w:val="008B78B1"/>
    <w:rsid w:val="008C06F7"/>
    <w:rsid w:val="008C2295"/>
    <w:rsid w:val="008C28CD"/>
    <w:rsid w:val="008C2D86"/>
    <w:rsid w:val="008C5599"/>
    <w:rsid w:val="008C68D2"/>
    <w:rsid w:val="008C716F"/>
    <w:rsid w:val="008D192C"/>
    <w:rsid w:val="008D1C7C"/>
    <w:rsid w:val="008D28DE"/>
    <w:rsid w:val="008D2C97"/>
    <w:rsid w:val="008D4A23"/>
    <w:rsid w:val="008D563E"/>
    <w:rsid w:val="008D63FB"/>
    <w:rsid w:val="008D645D"/>
    <w:rsid w:val="008D647F"/>
    <w:rsid w:val="008D72E6"/>
    <w:rsid w:val="008D7B3A"/>
    <w:rsid w:val="008D7D52"/>
    <w:rsid w:val="008E0672"/>
    <w:rsid w:val="008E08B5"/>
    <w:rsid w:val="008E09D1"/>
    <w:rsid w:val="008E0A34"/>
    <w:rsid w:val="008E120E"/>
    <w:rsid w:val="008E1AFF"/>
    <w:rsid w:val="008E2F46"/>
    <w:rsid w:val="008E2F5F"/>
    <w:rsid w:val="008E32DE"/>
    <w:rsid w:val="008E36C3"/>
    <w:rsid w:val="008E3775"/>
    <w:rsid w:val="008E403C"/>
    <w:rsid w:val="008E4101"/>
    <w:rsid w:val="008E4715"/>
    <w:rsid w:val="008E6979"/>
    <w:rsid w:val="008F001D"/>
    <w:rsid w:val="008F0F03"/>
    <w:rsid w:val="008F1034"/>
    <w:rsid w:val="008F11A3"/>
    <w:rsid w:val="008F1895"/>
    <w:rsid w:val="008F240C"/>
    <w:rsid w:val="008F245F"/>
    <w:rsid w:val="008F2F1E"/>
    <w:rsid w:val="008F5CF2"/>
    <w:rsid w:val="008F62DB"/>
    <w:rsid w:val="008F643F"/>
    <w:rsid w:val="00900682"/>
    <w:rsid w:val="00901B63"/>
    <w:rsid w:val="00902500"/>
    <w:rsid w:val="00902EBE"/>
    <w:rsid w:val="00903206"/>
    <w:rsid w:val="009032DE"/>
    <w:rsid w:val="00905B70"/>
    <w:rsid w:val="009063BF"/>
    <w:rsid w:val="00906540"/>
    <w:rsid w:val="00907E6F"/>
    <w:rsid w:val="0091030B"/>
    <w:rsid w:val="00910FB5"/>
    <w:rsid w:val="0091172F"/>
    <w:rsid w:val="00911C61"/>
    <w:rsid w:val="00911EE7"/>
    <w:rsid w:val="009122A7"/>
    <w:rsid w:val="00912D0E"/>
    <w:rsid w:val="00913388"/>
    <w:rsid w:val="00913AF7"/>
    <w:rsid w:val="009146B5"/>
    <w:rsid w:val="00916055"/>
    <w:rsid w:val="0091656C"/>
    <w:rsid w:val="00916F7D"/>
    <w:rsid w:val="009179FA"/>
    <w:rsid w:val="0092093A"/>
    <w:rsid w:val="00920A52"/>
    <w:rsid w:val="00920AFE"/>
    <w:rsid w:val="009212E2"/>
    <w:rsid w:val="00921C92"/>
    <w:rsid w:val="00921F54"/>
    <w:rsid w:val="00923147"/>
    <w:rsid w:val="00923486"/>
    <w:rsid w:val="009254BE"/>
    <w:rsid w:val="00930905"/>
    <w:rsid w:val="00931200"/>
    <w:rsid w:val="00931DBE"/>
    <w:rsid w:val="009321E2"/>
    <w:rsid w:val="00932A30"/>
    <w:rsid w:val="00933A79"/>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5C6F"/>
    <w:rsid w:val="00946203"/>
    <w:rsid w:val="00947832"/>
    <w:rsid w:val="00947F9D"/>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2944"/>
    <w:rsid w:val="009733F4"/>
    <w:rsid w:val="009736EB"/>
    <w:rsid w:val="009754A7"/>
    <w:rsid w:val="0097689E"/>
    <w:rsid w:val="00976CDB"/>
    <w:rsid w:val="00977F8A"/>
    <w:rsid w:val="00980006"/>
    <w:rsid w:val="009848C9"/>
    <w:rsid w:val="009849CF"/>
    <w:rsid w:val="00987331"/>
    <w:rsid w:val="009879C2"/>
    <w:rsid w:val="00987CF4"/>
    <w:rsid w:val="00990076"/>
    <w:rsid w:val="00990624"/>
    <w:rsid w:val="00991790"/>
    <w:rsid w:val="00991845"/>
    <w:rsid w:val="00992558"/>
    <w:rsid w:val="0099370A"/>
    <w:rsid w:val="009950B3"/>
    <w:rsid w:val="00995D97"/>
    <w:rsid w:val="009966C4"/>
    <w:rsid w:val="00996AEB"/>
    <w:rsid w:val="009A1301"/>
    <w:rsid w:val="009A41A2"/>
    <w:rsid w:val="009A5550"/>
    <w:rsid w:val="009A6BFC"/>
    <w:rsid w:val="009A7960"/>
    <w:rsid w:val="009B09FE"/>
    <w:rsid w:val="009B1E13"/>
    <w:rsid w:val="009B2854"/>
    <w:rsid w:val="009B2F21"/>
    <w:rsid w:val="009B49A0"/>
    <w:rsid w:val="009B701E"/>
    <w:rsid w:val="009B774A"/>
    <w:rsid w:val="009C0BE4"/>
    <w:rsid w:val="009C17F0"/>
    <w:rsid w:val="009C451C"/>
    <w:rsid w:val="009C4A7C"/>
    <w:rsid w:val="009C55AA"/>
    <w:rsid w:val="009C5922"/>
    <w:rsid w:val="009C5DAF"/>
    <w:rsid w:val="009C6731"/>
    <w:rsid w:val="009C680C"/>
    <w:rsid w:val="009C69D5"/>
    <w:rsid w:val="009C6E17"/>
    <w:rsid w:val="009C72DF"/>
    <w:rsid w:val="009D008F"/>
    <w:rsid w:val="009D0A1F"/>
    <w:rsid w:val="009D0AD7"/>
    <w:rsid w:val="009D207C"/>
    <w:rsid w:val="009D25BD"/>
    <w:rsid w:val="009D2B33"/>
    <w:rsid w:val="009D45E8"/>
    <w:rsid w:val="009D482E"/>
    <w:rsid w:val="009D4EC8"/>
    <w:rsid w:val="009D53EB"/>
    <w:rsid w:val="009D54A8"/>
    <w:rsid w:val="009D593E"/>
    <w:rsid w:val="009D5B37"/>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713"/>
    <w:rsid w:val="009F6AC7"/>
    <w:rsid w:val="00A007D0"/>
    <w:rsid w:val="00A01AD1"/>
    <w:rsid w:val="00A02593"/>
    <w:rsid w:val="00A03798"/>
    <w:rsid w:val="00A0606B"/>
    <w:rsid w:val="00A07D34"/>
    <w:rsid w:val="00A10B31"/>
    <w:rsid w:val="00A10BB0"/>
    <w:rsid w:val="00A1231E"/>
    <w:rsid w:val="00A13034"/>
    <w:rsid w:val="00A13132"/>
    <w:rsid w:val="00A1339D"/>
    <w:rsid w:val="00A13445"/>
    <w:rsid w:val="00A13C5F"/>
    <w:rsid w:val="00A13CB9"/>
    <w:rsid w:val="00A15252"/>
    <w:rsid w:val="00A15B3C"/>
    <w:rsid w:val="00A15E16"/>
    <w:rsid w:val="00A16C78"/>
    <w:rsid w:val="00A16F67"/>
    <w:rsid w:val="00A17BA6"/>
    <w:rsid w:val="00A17D77"/>
    <w:rsid w:val="00A2036F"/>
    <w:rsid w:val="00A208FB"/>
    <w:rsid w:val="00A21DDA"/>
    <w:rsid w:val="00A222BD"/>
    <w:rsid w:val="00A22550"/>
    <w:rsid w:val="00A22F12"/>
    <w:rsid w:val="00A23073"/>
    <w:rsid w:val="00A231FE"/>
    <w:rsid w:val="00A2356A"/>
    <w:rsid w:val="00A24920"/>
    <w:rsid w:val="00A24DB1"/>
    <w:rsid w:val="00A25A59"/>
    <w:rsid w:val="00A26E8E"/>
    <w:rsid w:val="00A273A5"/>
    <w:rsid w:val="00A27D7E"/>
    <w:rsid w:val="00A310E9"/>
    <w:rsid w:val="00A312B6"/>
    <w:rsid w:val="00A3143D"/>
    <w:rsid w:val="00A31762"/>
    <w:rsid w:val="00A33031"/>
    <w:rsid w:val="00A354B5"/>
    <w:rsid w:val="00A36173"/>
    <w:rsid w:val="00A3622E"/>
    <w:rsid w:val="00A37386"/>
    <w:rsid w:val="00A373E1"/>
    <w:rsid w:val="00A37643"/>
    <w:rsid w:val="00A400FE"/>
    <w:rsid w:val="00A428B3"/>
    <w:rsid w:val="00A43A10"/>
    <w:rsid w:val="00A43A41"/>
    <w:rsid w:val="00A43F04"/>
    <w:rsid w:val="00A44297"/>
    <w:rsid w:val="00A444EC"/>
    <w:rsid w:val="00A45BBB"/>
    <w:rsid w:val="00A46C40"/>
    <w:rsid w:val="00A47C5F"/>
    <w:rsid w:val="00A511FF"/>
    <w:rsid w:val="00A51E4D"/>
    <w:rsid w:val="00A51F07"/>
    <w:rsid w:val="00A524B8"/>
    <w:rsid w:val="00A52CB3"/>
    <w:rsid w:val="00A5402D"/>
    <w:rsid w:val="00A55DFD"/>
    <w:rsid w:val="00A562C5"/>
    <w:rsid w:val="00A56A7A"/>
    <w:rsid w:val="00A5709C"/>
    <w:rsid w:val="00A57753"/>
    <w:rsid w:val="00A62569"/>
    <w:rsid w:val="00A62C57"/>
    <w:rsid w:val="00A631A3"/>
    <w:rsid w:val="00A63CA5"/>
    <w:rsid w:val="00A64217"/>
    <w:rsid w:val="00A65993"/>
    <w:rsid w:val="00A660A8"/>
    <w:rsid w:val="00A6630D"/>
    <w:rsid w:val="00A67C41"/>
    <w:rsid w:val="00A70C6E"/>
    <w:rsid w:val="00A714F0"/>
    <w:rsid w:val="00A7205F"/>
    <w:rsid w:val="00A720FA"/>
    <w:rsid w:val="00A721D8"/>
    <w:rsid w:val="00A7341A"/>
    <w:rsid w:val="00A739AB"/>
    <w:rsid w:val="00A73A9C"/>
    <w:rsid w:val="00A73C69"/>
    <w:rsid w:val="00A75CB7"/>
    <w:rsid w:val="00A75FB6"/>
    <w:rsid w:val="00A77EE0"/>
    <w:rsid w:val="00A81A75"/>
    <w:rsid w:val="00A820BD"/>
    <w:rsid w:val="00A826C2"/>
    <w:rsid w:val="00A83695"/>
    <w:rsid w:val="00A83E63"/>
    <w:rsid w:val="00A84E50"/>
    <w:rsid w:val="00A8540A"/>
    <w:rsid w:val="00A856C2"/>
    <w:rsid w:val="00A861B7"/>
    <w:rsid w:val="00A8706A"/>
    <w:rsid w:val="00A87442"/>
    <w:rsid w:val="00A877FE"/>
    <w:rsid w:val="00A9391C"/>
    <w:rsid w:val="00A9410E"/>
    <w:rsid w:val="00A94CC5"/>
    <w:rsid w:val="00A95345"/>
    <w:rsid w:val="00A9542E"/>
    <w:rsid w:val="00A960A0"/>
    <w:rsid w:val="00AA0527"/>
    <w:rsid w:val="00AA170E"/>
    <w:rsid w:val="00AA1754"/>
    <w:rsid w:val="00AA2CC8"/>
    <w:rsid w:val="00AA3148"/>
    <w:rsid w:val="00AA33DE"/>
    <w:rsid w:val="00AA3C68"/>
    <w:rsid w:val="00AA4269"/>
    <w:rsid w:val="00AA4363"/>
    <w:rsid w:val="00AA46F4"/>
    <w:rsid w:val="00AA5CA7"/>
    <w:rsid w:val="00AA7921"/>
    <w:rsid w:val="00AB15C3"/>
    <w:rsid w:val="00AB1DBC"/>
    <w:rsid w:val="00AB1ED1"/>
    <w:rsid w:val="00AB1FD4"/>
    <w:rsid w:val="00AB251D"/>
    <w:rsid w:val="00AB3339"/>
    <w:rsid w:val="00AB3A31"/>
    <w:rsid w:val="00AB5059"/>
    <w:rsid w:val="00AB656C"/>
    <w:rsid w:val="00AB74FC"/>
    <w:rsid w:val="00AB7722"/>
    <w:rsid w:val="00AC2A7F"/>
    <w:rsid w:val="00AC4230"/>
    <w:rsid w:val="00AC557B"/>
    <w:rsid w:val="00AC5F81"/>
    <w:rsid w:val="00AC60AC"/>
    <w:rsid w:val="00AC624B"/>
    <w:rsid w:val="00AC7A31"/>
    <w:rsid w:val="00AC7DB2"/>
    <w:rsid w:val="00AD0200"/>
    <w:rsid w:val="00AD02C1"/>
    <w:rsid w:val="00AD1E01"/>
    <w:rsid w:val="00AD32CE"/>
    <w:rsid w:val="00AD4674"/>
    <w:rsid w:val="00AD4F07"/>
    <w:rsid w:val="00AD584F"/>
    <w:rsid w:val="00AD5BEC"/>
    <w:rsid w:val="00AE20AD"/>
    <w:rsid w:val="00AE3049"/>
    <w:rsid w:val="00AE38F5"/>
    <w:rsid w:val="00AE4B54"/>
    <w:rsid w:val="00AE4D61"/>
    <w:rsid w:val="00AE5461"/>
    <w:rsid w:val="00AE58E4"/>
    <w:rsid w:val="00AE69B5"/>
    <w:rsid w:val="00AF0996"/>
    <w:rsid w:val="00AF1362"/>
    <w:rsid w:val="00AF31BD"/>
    <w:rsid w:val="00AF3580"/>
    <w:rsid w:val="00AF3B4A"/>
    <w:rsid w:val="00AF3FB7"/>
    <w:rsid w:val="00AF54E9"/>
    <w:rsid w:val="00AF55F2"/>
    <w:rsid w:val="00AF657A"/>
    <w:rsid w:val="00AF76C1"/>
    <w:rsid w:val="00B002F8"/>
    <w:rsid w:val="00B0087D"/>
    <w:rsid w:val="00B010A9"/>
    <w:rsid w:val="00B039A9"/>
    <w:rsid w:val="00B0417C"/>
    <w:rsid w:val="00B0437E"/>
    <w:rsid w:val="00B0535C"/>
    <w:rsid w:val="00B05D37"/>
    <w:rsid w:val="00B06326"/>
    <w:rsid w:val="00B072F4"/>
    <w:rsid w:val="00B106F1"/>
    <w:rsid w:val="00B109B1"/>
    <w:rsid w:val="00B10B0B"/>
    <w:rsid w:val="00B1152C"/>
    <w:rsid w:val="00B1173B"/>
    <w:rsid w:val="00B11AF2"/>
    <w:rsid w:val="00B125EF"/>
    <w:rsid w:val="00B12FF4"/>
    <w:rsid w:val="00B13442"/>
    <w:rsid w:val="00B1425E"/>
    <w:rsid w:val="00B164F7"/>
    <w:rsid w:val="00B167F8"/>
    <w:rsid w:val="00B17109"/>
    <w:rsid w:val="00B231BE"/>
    <w:rsid w:val="00B23E1C"/>
    <w:rsid w:val="00B24229"/>
    <w:rsid w:val="00B244D4"/>
    <w:rsid w:val="00B24994"/>
    <w:rsid w:val="00B251F9"/>
    <w:rsid w:val="00B25F1D"/>
    <w:rsid w:val="00B2664B"/>
    <w:rsid w:val="00B2782A"/>
    <w:rsid w:val="00B30487"/>
    <w:rsid w:val="00B30B51"/>
    <w:rsid w:val="00B324F4"/>
    <w:rsid w:val="00B33243"/>
    <w:rsid w:val="00B336D8"/>
    <w:rsid w:val="00B34BFA"/>
    <w:rsid w:val="00B356A4"/>
    <w:rsid w:val="00B3582A"/>
    <w:rsid w:val="00B35B39"/>
    <w:rsid w:val="00B35DC6"/>
    <w:rsid w:val="00B40C78"/>
    <w:rsid w:val="00B411EC"/>
    <w:rsid w:val="00B41C0A"/>
    <w:rsid w:val="00B429CA"/>
    <w:rsid w:val="00B42C06"/>
    <w:rsid w:val="00B44596"/>
    <w:rsid w:val="00B44F22"/>
    <w:rsid w:val="00B45B05"/>
    <w:rsid w:val="00B45EDD"/>
    <w:rsid w:val="00B45F3D"/>
    <w:rsid w:val="00B471E0"/>
    <w:rsid w:val="00B47AA8"/>
    <w:rsid w:val="00B50B55"/>
    <w:rsid w:val="00B50F81"/>
    <w:rsid w:val="00B52C37"/>
    <w:rsid w:val="00B531BC"/>
    <w:rsid w:val="00B5360F"/>
    <w:rsid w:val="00B537A2"/>
    <w:rsid w:val="00B53979"/>
    <w:rsid w:val="00B5403D"/>
    <w:rsid w:val="00B54EA7"/>
    <w:rsid w:val="00B57455"/>
    <w:rsid w:val="00B614A5"/>
    <w:rsid w:val="00B61944"/>
    <w:rsid w:val="00B61F69"/>
    <w:rsid w:val="00B6216C"/>
    <w:rsid w:val="00B65B75"/>
    <w:rsid w:val="00B6639D"/>
    <w:rsid w:val="00B70B33"/>
    <w:rsid w:val="00B724CA"/>
    <w:rsid w:val="00B73689"/>
    <w:rsid w:val="00B73BB9"/>
    <w:rsid w:val="00B74628"/>
    <w:rsid w:val="00B74BBA"/>
    <w:rsid w:val="00B7598A"/>
    <w:rsid w:val="00B760A2"/>
    <w:rsid w:val="00B77651"/>
    <w:rsid w:val="00B806E1"/>
    <w:rsid w:val="00B80C47"/>
    <w:rsid w:val="00B812B9"/>
    <w:rsid w:val="00B81322"/>
    <w:rsid w:val="00B835B7"/>
    <w:rsid w:val="00B857B3"/>
    <w:rsid w:val="00B862CD"/>
    <w:rsid w:val="00B86487"/>
    <w:rsid w:val="00B87192"/>
    <w:rsid w:val="00B879B5"/>
    <w:rsid w:val="00B911D8"/>
    <w:rsid w:val="00B91715"/>
    <w:rsid w:val="00B92C2B"/>
    <w:rsid w:val="00B92E1A"/>
    <w:rsid w:val="00B93328"/>
    <w:rsid w:val="00B93654"/>
    <w:rsid w:val="00B93D23"/>
    <w:rsid w:val="00B948E8"/>
    <w:rsid w:val="00B94951"/>
    <w:rsid w:val="00B95D33"/>
    <w:rsid w:val="00B96B6E"/>
    <w:rsid w:val="00B96CA3"/>
    <w:rsid w:val="00B97591"/>
    <w:rsid w:val="00B97B6E"/>
    <w:rsid w:val="00BA006C"/>
    <w:rsid w:val="00BA20B0"/>
    <w:rsid w:val="00BA3159"/>
    <w:rsid w:val="00BA372F"/>
    <w:rsid w:val="00BA4E67"/>
    <w:rsid w:val="00BA5CA2"/>
    <w:rsid w:val="00BA6156"/>
    <w:rsid w:val="00BA6305"/>
    <w:rsid w:val="00BA647C"/>
    <w:rsid w:val="00BA66FC"/>
    <w:rsid w:val="00BA7180"/>
    <w:rsid w:val="00BA7940"/>
    <w:rsid w:val="00BB302C"/>
    <w:rsid w:val="00BB3C51"/>
    <w:rsid w:val="00BB447B"/>
    <w:rsid w:val="00BC0B52"/>
    <w:rsid w:val="00BC0D9F"/>
    <w:rsid w:val="00BC10F5"/>
    <w:rsid w:val="00BC3039"/>
    <w:rsid w:val="00BC45A7"/>
    <w:rsid w:val="00BC4D7B"/>
    <w:rsid w:val="00BC605E"/>
    <w:rsid w:val="00BC6786"/>
    <w:rsid w:val="00BC6C44"/>
    <w:rsid w:val="00BC7009"/>
    <w:rsid w:val="00BC7743"/>
    <w:rsid w:val="00BD04C0"/>
    <w:rsid w:val="00BD0B17"/>
    <w:rsid w:val="00BD1AD6"/>
    <w:rsid w:val="00BD1DB2"/>
    <w:rsid w:val="00BD3E66"/>
    <w:rsid w:val="00BD41A8"/>
    <w:rsid w:val="00BD696A"/>
    <w:rsid w:val="00BD6CDF"/>
    <w:rsid w:val="00BD78BA"/>
    <w:rsid w:val="00BE01B3"/>
    <w:rsid w:val="00BE0248"/>
    <w:rsid w:val="00BE072E"/>
    <w:rsid w:val="00BE13F2"/>
    <w:rsid w:val="00BE157D"/>
    <w:rsid w:val="00BE1B08"/>
    <w:rsid w:val="00BE2B40"/>
    <w:rsid w:val="00BE31BF"/>
    <w:rsid w:val="00BE38FA"/>
    <w:rsid w:val="00BE3D54"/>
    <w:rsid w:val="00BE466B"/>
    <w:rsid w:val="00BE61A4"/>
    <w:rsid w:val="00BE6356"/>
    <w:rsid w:val="00BE70E1"/>
    <w:rsid w:val="00BE7F64"/>
    <w:rsid w:val="00BF0939"/>
    <w:rsid w:val="00BF0A25"/>
    <w:rsid w:val="00BF0C10"/>
    <w:rsid w:val="00BF1054"/>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1956"/>
    <w:rsid w:val="00C11F07"/>
    <w:rsid w:val="00C1291F"/>
    <w:rsid w:val="00C130F5"/>
    <w:rsid w:val="00C13B05"/>
    <w:rsid w:val="00C1447B"/>
    <w:rsid w:val="00C17CB6"/>
    <w:rsid w:val="00C217A1"/>
    <w:rsid w:val="00C21D70"/>
    <w:rsid w:val="00C221FB"/>
    <w:rsid w:val="00C22F23"/>
    <w:rsid w:val="00C23CCC"/>
    <w:rsid w:val="00C24859"/>
    <w:rsid w:val="00C25CDA"/>
    <w:rsid w:val="00C25FFD"/>
    <w:rsid w:val="00C27E98"/>
    <w:rsid w:val="00C301CF"/>
    <w:rsid w:val="00C303A5"/>
    <w:rsid w:val="00C309F0"/>
    <w:rsid w:val="00C30CED"/>
    <w:rsid w:val="00C31183"/>
    <w:rsid w:val="00C31C0D"/>
    <w:rsid w:val="00C3234A"/>
    <w:rsid w:val="00C33847"/>
    <w:rsid w:val="00C3405A"/>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2324"/>
    <w:rsid w:val="00C451CB"/>
    <w:rsid w:val="00C45FB0"/>
    <w:rsid w:val="00C46E8D"/>
    <w:rsid w:val="00C46F8F"/>
    <w:rsid w:val="00C4737F"/>
    <w:rsid w:val="00C505D2"/>
    <w:rsid w:val="00C5264C"/>
    <w:rsid w:val="00C533B5"/>
    <w:rsid w:val="00C53695"/>
    <w:rsid w:val="00C54FEB"/>
    <w:rsid w:val="00C55762"/>
    <w:rsid w:val="00C562FD"/>
    <w:rsid w:val="00C56D71"/>
    <w:rsid w:val="00C57261"/>
    <w:rsid w:val="00C573BE"/>
    <w:rsid w:val="00C57732"/>
    <w:rsid w:val="00C60214"/>
    <w:rsid w:val="00C602CC"/>
    <w:rsid w:val="00C62163"/>
    <w:rsid w:val="00C63403"/>
    <w:rsid w:val="00C6402C"/>
    <w:rsid w:val="00C64EA4"/>
    <w:rsid w:val="00C65610"/>
    <w:rsid w:val="00C66A35"/>
    <w:rsid w:val="00C67AF4"/>
    <w:rsid w:val="00C70A6E"/>
    <w:rsid w:val="00C7220E"/>
    <w:rsid w:val="00C72B99"/>
    <w:rsid w:val="00C73A00"/>
    <w:rsid w:val="00C73C69"/>
    <w:rsid w:val="00C74CBA"/>
    <w:rsid w:val="00C758FD"/>
    <w:rsid w:val="00C75E08"/>
    <w:rsid w:val="00C762E2"/>
    <w:rsid w:val="00C76C64"/>
    <w:rsid w:val="00C77DF4"/>
    <w:rsid w:val="00C81EC7"/>
    <w:rsid w:val="00C820C7"/>
    <w:rsid w:val="00C82AF3"/>
    <w:rsid w:val="00C8314D"/>
    <w:rsid w:val="00C84C2B"/>
    <w:rsid w:val="00C85CD7"/>
    <w:rsid w:val="00C85EE2"/>
    <w:rsid w:val="00C86150"/>
    <w:rsid w:val="00C870F2"/>
    <w:rsid w:val="00C879A4"/>
    <w:rsid w:val="00C87AEC"/>
    <w:rsid w:val="00C92FD7"/>
    <w:rsid w:val="00C93F04"/>
    <w:rsid w:val="00C94CAC"/>
    <w:rsid w:val="00C9721C"/>
    <w:rsid w:val="00C979E0"/>
    <w:rsid w:val="00CA06C1"/>
    <w:rsid w:val="00CA1EB4"/>
    <w:rsid w:val="00CA22C4"/>
    <w:rsid w:val="00CA2964"/>
    <w:rsid w:val="00CA2CEA"/>
    <w:rsid w:val="00CA2F32"/>
    <w:rsid w:val="00CA3413"/>
    <w:rsid w:val="00CA41C9"/>
    <w:rsid w:val="00CA5716"/>
    <w:rsid w:val="00CA5F3F"/>
    <w:rsid w:val="00CA636D"/>
    <w:rsid w:val="00CA693C"/>
    <w:rsid w:val="00CA6985"/>
    <w:rsid w:val="00CA7F67"/>
    <w:rsid w:val="00CB07AB"/>
    <w:rsid w:val="00CB15EC"/>
    <w:rsid w:val="00CB483C"/>
    <w:rsid w:val="00CB5545"/>
    <w:rsid w:val="00CB5A93"/>
    <w:rsid w:val="00CB5F57"/>
    <w:rsid w:val="00CB6605"/>
    <w:rsid w:val="00CB7A72"/>
    <w:rsid w:val="00CB7DFB"/>
    <w:rsid w:val="00CC06AB"/>
    <w:rsid w:val="00CC0D14"/>
    <w:rsid w:val="00CC1D18"/>
    <w:rsid w:val="00CC39F0"/>
    <w:rsid w:val="00CC3E80"/>
    <w:rsid w:val="00CC49D6"/>
    <w:rsid w:val="00CC5FD9"/>
    <w:rsid w:val="00CC68B2"/>
    <w:rsid w:val="00CC7F63"/>
    <w:rsid w:val="00CD1A8F"/>
    <w:rsid w:val="00CD224A"/>
    <w:rsid w:val="00CD2D84"/>
    <w:rsid w:val="00CD39F8"/>
    <w:rsid w:val="00CD5672"/>
    <w:rsid w:val="00CD6134"/>
    <w:rsid w:val="00CD6622"/>
    <w:rsid w:val="00CD6B68"/>
    <w:rsid w:val="00CD7C93"/>
    <w:rsid w:val="00CE01D7"/>
    <w:rsid w:val="00CE0B01"/>
    <w:rsid w:val="00CE0CD5"/>
    <w:rsid w:val="00CE133F"/>
    <w:rsid w:val="00CE2B81"/>
    <w:rsid w:val="00CE4DD4"/>
    <w:rsid w:val="00CE5941"/>
    <w:rsid w:val="00CE7BB7"/>
    <w:rsid w:val="00CF04D1"/>
    <w:rsid w:val="00CF16AE"/>
    <w:rsid w:val="00CF1A1B"/>
    <w:rsid w:val="00CF3ED9"/>
    <w:rsid w:val="00CF4589"/>
    <w:rsid w:val="00CF465D"/>
    <w:rsid w:val="00CF5DF2"/>
    <w:rsid w:val="00CF60BA"/>
    <w:rsid w:val="00CF694A"/>
    <w:rsid w:val="00CF6E4E"/>
    <w:rsid w:val="00CF7601"/>
    <w:rsid w:val="00CF7C34"/>
    <w:rsid w:val="00D00473"/>
    <w:rsid w:val="00D013B9"/>
    <w:rsid w:val="00D01A8E"/>
    <w:rsid w:val="00D01D22"/>
    <w:rsid w:val="00D03946"/>
    <w:rsid w:val="00D03E58"/>
    <w:rsid w:val="00D048D2"/>
    <w:rsid w:val="00D0513F"/>
    <w:rsid w:val="00D06790"/>
    <w:rsid w:val="00D070E0"/>
    <w:rsid w:val="00D10407"/>
    <w:rsid w:val="00D142B6"/>
    <w:rsid w:val="00D152FB"/>
    <w:rsid w:val="00D15E58"/>
    <w:rsid w:val="00D20F65"/>
    <w:rsid w:val="00D215ED"/>
    <w:rsid w:val="00D219E7"/>
    <w:rsid w:val="00D228F9"/>
    <w:rsid w:val="00D22BC3"/>
    <w:rsid w:val="00D23429"/>
    <w:rsid w:val="00D23FFC"/>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0423"/>
    <w:rsid w:val="00D4125D"/>
    <w:rsid w:val="00D423AF"/>
    <w:rsid w:val="00D43C39"/>
    <w:rsid w:val="00D442BA"/>
    <w:rsid w:val="00D45ADA"/>
    <w:rsid w:val="00D47F6F"/>
    <w:rsid w:val="00D506B1"/>
    <w:rsid w:val="00D50C0B"/>
    <w:rsid w:val="00D51380"/>
    <w:rsid w:val="00D51DE2"/>
    <w:rsid w:val="00D52919"/>
    <w:rsid w:val="00D547BA"/>
    <w:rsid w:val="00D551F2"/>
    <w:rsid w:val="00D6051A"/>
    <w:rsid w:val="00D60813"/>
    <w:rsid w:val="00D61865"/>
    <w:rsid w:val="00D61A7B"/>
    <w:rsid w:val="00D632B6"/>
    <w:rsid w:val="00D6367F"/>
    <w:rsid w:val="00D64A7A"/>
    <w:rsid w:val="00D657C7"/>
    <w:rsid w:val="00D66BC1"/>
    <w:rsid w:val="00D67A62"/>
    <w:rsid w:val="00D7067D"/>
    <w:rsid w:val="00D711A6"/>
    <w:rsid w:val="00D714BA"/>
    <w:rsid w:val="00D715DB"/>
    <w:rsid w:val="00D73916"/>
    <w:rsid w:val="00D7505B"/>
    <w:rsid w:val="00D75260"/>
    <w:rsid w:val="00D75B70"/>
    <w:rsid w:val="00D76CC9"/>
    <w:rsid w:val="00D804C5"/>
    <w:rsid w:val="00D81681"/>
    <w:rsid w:val="00D820D1"/>
    <w:rsid w:val="00D82229"/>
    <w:rsid w:val="00D82401"/>
    <w:rsid w:val="00D82AE2"/>
    <w:rsid w:val="00D82C4E"/>
    <w:rsid w:val="00D84911"/>
    <w:rsid w:val="00D84BB1"/>
    <w:rsid w:val="00D84EAF"/>
    <w:rsid w:val="00D850A4"/>
    <w:rsid w:val="00D856AD"/>
    <w:rsid w:val="00D85715"/>
    <w:rsid w:val="00D8583F"/>
    <w:rsid w:val="00D8727E"/>
    <w:rsid w:val="00D90152"/>
    <w:rsid w:val="00D91223"/>
    <w:rsid w:val="00D934BA"/>
    <w:rsid w:val="00D93950"/>
    <w:rsid w:val="00D96230"/>
    <w:rsid w:val="00D96452"/>
    <w:rsid w:val="00D966F3"/>
    <w:rsid w:val="00D96853"/>
    <w:rsid w:val="00D96FCD"/>
    <w:rsid w:val="00D978F5"/>
    <w:rsid w:val="00D978FE"/>
    <w:rsid w:val="00DA1547"/>
    <w:rsid w:val="00DA1832"/>
    <w:rsid w:val="00DA20D6"/>
    <w:rsid w:val="00DA2A6C"/>
    <w:rsid w:val="00DA2B2B"/>
    <w:rsid w:val="00DA30DA"/>
    <w:rsid w:val="00DA3734"/>
    <w:rsid w:val="00DA3AED"/>
    <w:rsid w:val="00DA4123"/>
    <w:rsid w:val="00DA68E7"/>
    <w:rsid w:val="00DA708F"/>
    <w:rsid w:val="00DA77B4"/>
    <w:rsid w:val="00DA7BE4"/>
    <w:rsid w:val="00DA7C20"/>
    <w:rsid w:val="00DB003F"/>
    <w:rsid w:val="00DB0F9C"/>
    <w:rsid w:val="00DB16B2"/>
    <w:rsid w:val="00DB1773"/>
    <w:rsid w:val="00DB1F95"/>
    <w:rsid w:val="00DB21C4"/>
    <w:rsid w:val="00DB2BB1"/>
    <w:rsid w:val="00DB5A7A"/>
    <w:rsid w:val="00DB6BB3"/>
    <w:rsid w:val="00DB6D8A"/>
    <w:rsid w:val="00DB7AA7"/>
    <w:rsid w:val="00DC03E0"/>
    <w:rsid w:val="00DC11F3"/>
    <w:rsid w:val="00DC1C3E"/>
    <w:rsid w:val="00DC332F"/>
    <w:rsid w:val="00DC384C"/>
    <w:rsid w:val="00DC4DFE"/>
    <w:rsid w:val="00DC5E40"/>
    <w:rsid w:val="00DC5E5F"/>
    <w:rsid w:val="00DC69F0"/>
    <w:rsid w:val="00DC7BFF"/>
    <w:rsid w:val="00DD07FE"/>
    <w:rsid w:val="00DD162F"/>
    <w:rsid w:val="00DD327E"/>
    <w:rsid w:val="00DD3F5F"/>
    <w:rsid w:val="00DD45C0"/>
    <w:rsid w:val="00DD4D1D"/>
    <w:rsid w:val="00DD54C6"/>
    <w:rsid w:val="00DD5A49"/>
    <w:rsid w:val="00DD6F2C"/>
    <w:rsid w:val="00DD75B2"/>
    <w:rsid w:val="00DE135C"/>
    <w:rsid w:val="00DE180F"/>
    <w:rsid w:val="00DE1B77"/>
    <w:rsid w:val="00DE3025"/>
    <w:rsid w:val="00DE3B74"/>
    <w:rsid w:val="00DE463E"/>
    <w:rsid w:val="00DE4646"/>
    <w:rsid w:val="00DE5411"/>
    <w:rsid w:val="00DE568D"/>
    <w:rsid w:val="00DE56CB"/>
    <w:rsid w:val="00DE5896"/>
    <w:rsid w:val="00DE7C0F"/>
    <w:rsid w:val="00DF03FB"/>
    <w:rsid w:val="00DF158A"/>
    <w:rsid w:val="00DF44D5"/>
    <w:rsid w:val="00DF4AB3"/>
    <w:rsid w:val="00DF5003"/>
    <w:rsid w:val="00DF5249"/>
    <w:rsid w:val="00DF5932"/>
    <w:rsid w:val="00DF5C70"/>
    <w:rsid w:val="00DF7A77"/>
    <w:rsid w:val="00E000FD"/>
    <w:rsid w:val="00E01B2C"/>
    <w:rsid w:val="00E02B9E"/>
    <w:rsid w:val="00E03E05"/>
    <w:rsid w:val="00E0777F"/>
    <w:rsid w:val="00E10EA9"/>
    <w:rsid w:val="00E110EE"/>
    <w:rsid w:val="00E1136E"/>
    <w:rsid w:val="00E1182B"/>
    <w:rsid w:val="00E14286"/>
    <w:rsid w:val="00E167E0"/>
    <w:rsid w:val="00E16A35"/>
    <w:rsid w:val="00E16D38"/>
    <w:rsid w:val="00E20CCE"/>
    <w:rsid w:val="00E216EA"/>
    <w:rsid w:val="00E21B4B"/>
    <w:rsid w:val="00E22365"/>
    <w:rsid w:val="00E229E6"/>
    <w:rsid w:val="00E2376D"/>
    <w:rsid w:val="00E244D0"/>
    <w:rsid w:val="00E251D1"/>
    <w:rsid w:val="00E25793"/>
    <w:rsid w:val="00E26BAB"/>
    <w:rsid w:val="00E27C4D"/>
    <w:rsid w:val="00E27F1F"/>
    <w:rsid w:val="00E27F93"/>
    <w:rsid w:val="00E30761"/>
    <w:rsid w:val="00E316B0"/>
    <w:rsid w:val="00E31785"/>
    <w:rsid w:val="00E33A6E"/>
    <w:rsid w:val="00E33CDF"/>
    <w:rsid w:val="00E33F44"/>
    <w:rsid w:val="00E344AF"/>
    <w:rsid w:val="00E34D42"/>
    <w:rsid w:val="00E35E8A"/>
    <w:rsid w:val="00E3681A"/>
    <w:rsid w:val="00E36E44"/>
    <w:rsid w:val="00E379F0"/>
    <w:rsid w:val="00E37D81"/>
    <w:rsid w:val="00E401A6"/>
    <w:rsid w:val="00E433DC"/>
    <w:rsid w:val="00E43562"/>
    <w:rsid w:val="00E439BB"/>
    <w:rsid w:val="00E4473B"/>
    <w:rsid w:val="00E457D2"/>
    <w:rsid w:val="00E4679A"/>
    <w:rsid w:val="00E469D4"/>
    <w:rsid w:val="00E46AC5"/>
    <w:rsid w:val="00E50E02"/>
    <w:rsid w:val="00E51029"/>
    <w:rsid w:val="00E512C7"/>
    <w:rsid w:val="00E52399"/>
    <w:rsid w:val="00E53F19"/>
    <w:rsid w:val="00E5461A"/>
    <w:rsid w:val="00E54676"/>
    <w:rsid w:val="00E55027"/>
    <w:rsid w:val="00E55A62"/>
    <w:rsid w:val="00E55E8A"/>
    <w:rsid w:val="00E5667A"/>
    <w:rsid w:val="00E56B89"/>
    <w:rsid w:val="00E56F6B"/>
    <w:rsid w:val="00E573D7"/>
    <w:rsid w:val="00E578D1"/>
    <w:rsid w:val="00E60466"/>
    <w:rsid w:val="00E60668"/>
    <w:rsid w:val="00E608C5"/>
    <w:rsid w:val="00E60FC3"/>
    <w:rsid w:val="00E625CE"/>
    <w:rsid w:val="00E62EFF"/>
    <w:rsid w:val="00E63ADF"/>
    <w:rsid w:val="00E64579"/>
    <w:rsid w:val="00E64BB6"/>
    <w:rsid w:val="00E65245"/>
    <w:rsid w:val="00E65992"/>
    <w:rsid w:val="00E66017"/>
    <w:rsid w:val="00E71979"/>
    <w:rsid w:val="00E72113"/>
    <w:rsid w:val="00E724B9"/>
    <w:rsid w:val="00E73140"/>
    <w:rsid w:val="00E73AE3"/>
    <w:rsid w:val="00E754E7"/>
    <w:rsid w:val="00E75C2F"/>
    <w:rsid w:val="00E80F7A"/>
    <w:rsid w:val="00E81CA7"/>
    <w:rsid w:val="00E82C1D"/>
    <w:rsid w:val="00E82EFE"/>
    <w:rsid w:val="00E83297"/>
    <w:rsid w:val="00E83DCC"/>
    <w:rsid w:val="00E8432F"/>
    <w:rsid w:val="00E86232"/>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6168"/>
    <w:rsid w:val="00EA709C"/>
    <w:rsid w:val="00EA71F5"/>
    <w:rsid w:val="00EB0611"/>
    <w:rsid w:val="00EB0F52"/>
    <w:rsid w:val="00EB16CB"/>
    <w:rsid w:val="00EB1899"/>
    <w:rsid w:val="00EB1EA1"/>
    <w:rsid w:val="00EB2135"/>
    <w:rsid w:val="00EB3208"/>
    <w:rsid w:val="00EB39FA"/>
    <w:rsid w:val="00EB5702"/>
    <w:rsid w:val="00EB5CEE"/>
    <w:rsid w:val="00EB5E4B"/>
    <w:rsid w:val="00EB67EB"/>
    <w:rsid w:val="00EB687E"/>
    <w:rsid w:val="00EB7D72"/>
    <w:rsid w:val="00EC0598"/>
    <w:rsid w:val="00EC0869"/>
    <w:rsid w:val="00EC091D"/>
    <w:rsid w:val="00EC0D24"/>
    <w:rsid w:val="00EC14EF"/>
    <w:rsid w:val="00EC37B3"/>
    <w:rsid w:val="00EC44B4"/>
    <w:rsid w:val="00EC5826"/>
    <w:rsid w:val="00EC5AE4"/>
    <w:rsid w:val="00EC6941"/>
    <w:rsid w:val="00EC7BBC"/>
    <w:rsid w:val="00ED01CB"/>
    <w:rsid w:val="00ED1710"/>
    <w:rsid w:val="00ED196E"/>
    <w:rsid w:val="00ED29EB"/>
    <w:rsid w:val="00ED6681"/>
    <w:rsid w:val="00ED6E3A"/>
    <w:rsid w:val="00EE0826"/>
    <w:rsid w:val="00EE0F72"/>
    <w:rsid w:val="00EE21E4"/>
    <w:rsid w:val="00EE3881"/>
    <w:rsid w:val="00EE3C77"/>
    <w:rsid w:val="00EE4748"/>
    <w:rsid w:val="00EE47BE"/>
    <w:rsid w:val="00EE4FC1"/>
    <w:rsid w:val="00EE550E"/>
    <w:rsid w:val="00EE676B"/>
    <w:rsid w:val="00EE681B"/>
    <w:rsid w:val="00EE6938"/>
    <w:rsid w:val="00EE7D3E"/>
    <w:rsid w:val="00EF06CD"/>
    <w:rsid w:val="00EF4498"/>
    <w:rsid w:val="00EF48F6"/>
    <w:rsid w:val="00EF4AC7"/>
    <w:rsid w:val="00EF5381"/>
    <w:rsid w:val="00EF58DD"/>
    <w:rsid w:val="00F00F9F"/>
    <w:rsid w:val="00F01660"/>
    <w:rsid w:val="00F03A50"/>
    <w:rsid w:val="00F04465"/>
    <w:rsid w:val="00F046D2"/>
    <w:rsid w:val="00F05C65"/>
    <w:rsid w:val="00F06077"/>
    <w:rsid w:val="00F06483"/>
    <w:rsid w:val="00F06528"/>
    <w:rsid w:val="00F0730F"/>
    <w:rsid w:val="00F0738E"/>
    <w:rsid w:val="00F079EA"/>
    <w:rsid w:val="00F07AC1"/>
    <w:rsid w:val="00F106E0"/>
    <w:rsid w:val="00F1205C"/>
    <w:rsid w:val="00F13091"/>
    <w:rsid w:val="00F13592"/>
    <w:rsid w:val="00F157DF"/>
    <w:rsid w:val="00F15CBA"/>
    <w:rsid w:val="00F1637D"/>
    <w:rsid w:val="00F20565"/>
    <w:rsid w:val="00F20699"/>
    <w:rsid w:val="00F20971"/>
    <w:rsid w:val="00F20B34"/>
    <w:rsid w:val="00F215C8"/>
    <w:rsid w:val="00F21A92"/>
    <w:rsid w:val="00F2211C"/>
    <w:rsid w:val="00F22FDF"/>
    <w:rsid w:val="00F23484"/>
    <w:rsid w:val="00F2355B"/>
    <w:rsid w:val="00F24AFB"/>
    <w:rsid w:val="00F26FCB"/>
    <w:rsid w:val="00F30399"/>
    <w:rsid w:val="00F30EAB"/>
    <w:rsid w:val="00F326C8"/>
    <w:rsid w:val="00F328BF"/>
    <w:rsid w:val="00F345D3"/>
    <w:rsid w:val="00F350CF"/>
    <w:rsid w:val="00F350F6"/>
    <w:rsid w:val="00F35C96"/>
    <w:rsid w:val="00F4110D"/>
    <w:rsid w:val="00F42718"/>
    <w:rsid w:val="00F4276E"/>
    <w:rsid w:val="00F432AB"/>
    <w:rsid w:val="00F4344D"/>
    <w:rsid w:val="00F43A06"/>
    <w:rsid w:val="00F44355"/>
    <w:rsid w:val="00F4465A"/>
    <w:rsid w:val="00F44DFE"/>
    <w:rsid w:val="00F458C8"/>
    <w:rsid w:val="00F45C61"/>
    <w:rsid w:val="00F463E3"/>
    <w:rsid w:val="00F464E2"/>
    <w:rsid w:val="00F4684A"/>
    <w:rsid w:val="00F46EE8"/>
    <w:rsid w:val="00F47AD8"/>
    <w:rsid w:val="00F50203"/>
    <w:rsid w:val="00F5027B"/>
    <w:rsid w:val="00F50808"/>
    <w:rsid w:val="00F5122F"/>
    <w:rsid w:val="00F51AFC"/>
    <w:rsid w:val="00F52A24"/>
    <w:rsid w:val="00F53178"/>
    <w:rsid w:val="00F535A5"/>
    <w:rsid w:val="00F541AE"/>
    <w:rsid w:val="00F54E81"/>
    <w:rsid w:val="00F560C1"/>
    <w:rsid w:val="00F5649E"/>
    <w:rsid w:val="00F57B67"/>
    <w:rsid w:val="00F57F4B"/>
    <w:rsid w:val="00F6047E"/>
    <w:rsid w:val="00F61A34"/>
    <w:rsid w:val="00F61FEB"/>
    <w:rsid w:val="00F62C42"/>
    <w:rsid w:val="00F63024"/>
    <w:rsid w:val="00F63529"/>
    <w:rsid w:val="00F65399"/>
    <w:rsid w:val="00F66937"/>
    <w:rsid w:val="00F67E9C"/>
    <w:rsid w:val="00F70903"/>
    <w:rsid w:val="00F70A6B"/>
    <w:rsid w:val="00F71637"/>
    <w:rsid w:val="00F71E34"/>
    <w:rsid w:val="00F72CE7"/>
    <w:rsid w:val="00F73E58"/>
    <w:rsid w:val="00F755C7"/>
    <w:rsid w:val="00F75B4C"/>
    <w:rsid w:val="00F805D4"/>
    <w:rsid w:val="00F80CBA"/>
    <w:rsid w:val="00F81A9F"/>
    <w:rsid w:val="00F81BFB"/>
    <w:rsid w:val="00F82221"/>
    <w:rsid w:val="00F8247E"/>
    <w:rsid w:val="00F83581"/>
    <w:rsid w:val="00F83D9D"/>
    <w:rsid w:val="00F8549E"/>
    <w:rsid w:val="00F85AF0"/>
    <w:rsid w:val="00F85BE4"/>
    <w:rsid w:val="00F86291"/>
    <w:rsid w:val="00F862B1"/>
    <w:rsid w:val="00F8643F"/>
    <w:rsid w:val="00F86C99"/>
    <w:rsid w:val="00F86D7B"/>
    <w:rsid w:val="00F8736F"/>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3BE9"/>
    <w:rsid w:val="00FB4613"/>
    <w:rsid w:val="00FB4C81"/>
    <w:rsid w:val="00FB6428"/>
    <w:rsid w:val="00FB6841"/>
    <w:rsid w:val="00FB73B5"/>
    <w:rsid w:val="00FC0AAD"/>
    <w:rsid w:val="00FC1724"/>
    <w:rsid w:val="00FC27DB"/>
    <w:rsid w:val="00FC380B"/>
    <w:rsid w:val="00FC6855"/>
    <w:rsid w:val="00FC6911"/>
    <w:rsid w:val="00FC6950"/>
    <w:rsid w:val="00FC6E40"/>
    <w:rsid w:val="00FC73D9"/>
    <w:rsid w:val="00FC7A5E"/>
    <w:rsid w:val="00FD1F87"/>
    <w:rsid w:val="00FD35D0"/>
    <w:rsid w:val="00FD681B"/>
    <w:rsid w:val="00FD7331"/>
    <w:rsid w:val="00FD7FF0"/>
    <w:rsid w:val="00FE0E03"/>
    <w:rsid w:val="00FE26BD"/>
    <w:rsid w:val="00FE32C3"/>
    <w:rsid w:val="00FE3414"/>
    <w:rsid w:val="00FE3673"/>
    <w:rsid w:val="00FE4CA7"/>
    <w:rsid w:val="00FE5919"/>
    <w:rsid w:val="00FF049C"/>
    <w:rsid w:val="00FF166D"/>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71D12"/>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B4A"/>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154E6C"/>
    <w:rPr>
      <w:sz w:val="16"/>
      <w:szCs w:val="16"/>
    </w:rPr>
  </w:style>
  <w:style w:type="paragraph" w:styleId="CommentText">
    <w:name w:val="annotation text"/>
    <w:basedOn w:val="Normal"/>
    <w:link w:val="CommentTextChar"/>
    <w:semiHidden/>
    <w:unhideWhenUsed/>
    <w:rsid w:val="00154E6C"/>
    <w:rPr>
      <w:sz w:val="20"/>
      <w:szCs w:val="20"/>
    </w:rPr>
  </w:style>
  <w:style w:type="character" w:customStyle="1" w:styleId="CommentTextChar">
    <w:name w:val="Comment Text Char"/>
    <w:basedOn w:val="DefaultParagraphFont"/>
    <w:link w:val="CommentText"/>
    <w:semiHidden/>
    <w:rsid w:val="00154E6C"/>
    <w:rPr>
      <w:rFonts w:ascii="Times New Roman" w:hAnsi="Times New Roman"/>
    </w:rPr>
  </w:style>
  <w:style w:type="paragraph" w:styleId="CommentSubject">
    <w:name w:val="annotation subject"/>
    <w:basedOn w:val="CommentText"/>
    <w:next w:val="CommentText"/>
    <w:link w:val="CommentSubjectChar"/>
    <w:semiHidden/>
    <w:unhideWhenUsed/>
    <w:rsid w:val="00154E6C"/>
    <w:rPr>
      <w:b/>
      <w:bCs/>
    </w:rPr>
  </w:style>
  <w:style w:type="character" w:customStyle="1" w:styleId="CommentSubjectChar">
    <w:name w:val="Comment Subject Char"/>
    <w:basedOn w:val="CommentTextChar"/>
    <w:link w:val="CommentSubject"/>
    <w:semiHidden/>
    <w:rsid w:val="00154E6C"/>
    <w:rPr>
      <w:rFonts w:ascii="Times New Roman" w:hAnsi="Times New Roman"/>
      <w:b/>
      <w:bCs/>
    </w:rPr>
  </w:style>
  <w:style w:type="character" w:styleId="Strong">
    <w:name w:val="Strong"/>
    <w:basedOn w:val="DefaultParagraphFont"/>
    <w:qFormat/>
    <w:locked/>
    <w:rsid w:val="00DA68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rvk.gov.lv/lv/getrevisionfile/29506-rh3BDKMzK9pzgBWE4JybRWZ6Fd8WRbe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8698D-AB9F-438A-BA7F-45E409C2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11</Pages>
  <Words>18013</Words>
  <Characters>10268</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Ministru kabineta rīkojuma projekts "Par apropriācijas pārdali no Izglītības un zinātnes ministrijas budžeta uz valsts budžeta programmu 02.00.00 "Līdzekļi neparedzētiem gadījumiem”"; Ministru kabineta rīkojuma projekts "Par apropriācijas pārdali starp Iz</vt:lpstr>
    </vt:vector>
  </TitlesOfParts>
  <Company>Izglītības un zinātnes ministrija, Sporta departaments</Company>
  <LinksUpToDate>false</LinksUpToDate>
  <CharactersWithSpaces>28225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pārdali no Izglītības un zinātnes ministrijas budžeta uz valsts budžeta programmu 02.00.00 "Līdzekļi neparedzētiem gadījumiem”"; Ministru kabineta rīkojuma projekts "Par apropriācijas pārdali starp Izglītības un zinātnes ministrijas budžeta apakšprogrammām"</dc:title>
  <dc:subject>Sākotnējās ietekmes novērtējuma ziņojums (anotācija)</dc:subject>
  <dc:creator>Edgars Severs</dc:creator>
  <cp:keywords/>
  <dc:description>Izglītības un zinātnes ministrijas valsts sekretāra vietnieks – Sporta departamenta direktors_x000d_
e-pasts: edgars.severs@izm.gov.lv_x000d_
tālr.:   67047935</dc:description>
  <cp:lastModifiedBy>Edgars Severs</cp:lastModifiedBy>
  <cp:revision>38</cp:revision>
  <cp:lastPrinted>2018-03-22T14:28:00Z</cp:lastPrinted>
  <dcterms:created xsi:type="dcterms:W3CDTF">2020-11-12T00:46:00Z</dcterms:created>
  <dcterms:modified xsi:type="dcterms:W3CDTF">2020-11-12T13:11:00Z</dcterms:modified>
</cp:coreProperties>
</file>