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Default="00920A52" w:rsidP="00DA68E7">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00DA68E7" w:rsidRPr="00DA68E7">
        <w:rPr>
          <w:b/>
          <w:sz w:val="26"/>
          <w:szCs w:val="26"/>
        </w:rPr>
        <w:t xml:space="preserve">Par finanšu līdzekļu piešķiršanu no valsts budžeta programmas </w:t>
      </w:r>
      <w:r w:rsidR="00DA68E7">
        <w:rPr>
          <w:b/>
          <w:sz w:val="26"/>
          <w:szCs w:val="26"/>
        </w:rPr>
        <w:t>„</w:t>
      </w:r>
      <w:r w:rsidR="00DA68E7" w:rsidRPr="00DA68E7">
        <w:rPr>
          <w:b/>
          <w:sz w:val="26"/>
          <w:szCs w:val="26"/>
        </w:rPr>
        <w:t>Lī</w:t>
      </w:r>
      <w:r w:rsidR="00DA68E7">
        <w:rPr>
          <w:b/>
          <w:sz w:val="26"/>
          <w:szCs w:val="26"/>
        </w:rPr>
        <w:t>dzekļi neparedzētiem gadījumiem””</w:t>
      </w:r>
      <w:r w:rsidRPr="00920A52">
        <w:rPr>
          <w:b/>
          <w:sz w:val="26"/>
          <w:szCs w:val="26"/>
        </w:rPr>
        <w:t xml:space="preserve"> sākotnējās ietekmes 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6311D965" w:rsidR="00032A0F" w:rsidRPr="00317B6A" w:rsidRDefault="00032A0F" w:rsidP="00BD3F90">
            <w:pPr>
              <w:ind w:left="82" w:right="141"/>
              <w:jc w:val="both"/>
            </w:pPr>
            <w:r>
              <w:t xml:space="preserve">Projekts paredz </w:t>
            </w:r>
            <w:r w:rsidR="000D0D39" w:rsidRPr="000D0D39">
              <w:t xml:space="preserve">no valsts budžeta programmas 02.00.00 „Līdzekļi neparedzētiem gadījumiem” piešķirt Izglītības un zinātnes ministrijai </w:t>
            </w:r>
            <w:r w:rsidR="00BD3F90">
              <w:br/>
            </w:r>
            <w:r w:rsidR="00BD3F90" w:rsidRPr="00BD3F90">
              <w:t xml:space="preserve">953 942 </w:t>
            </w:r>
            <w:r w:rsidR="00BD3F90" w:rsidRPr="00BD3F90">
              <w:rPr>
                <w:i/>
              </w:rPr>
              <w:t>euro</w:t>
            </w:r>
            <w:r w:rsidR="00BD3F90" w:rsidRPr="00BD3F90">
              <w:t xml:space="preserve"> pārskaitīšanai Rēzeknes pilsētas pašvaldībai, lai segtu izdevumus, kas saistīti ar Olimpiskā centra „Rēzekne” būvniecību.</w:t>
            </w:r>
          </w:p>
        </w:tc>
      </w:tr>
    </w:tbl>
    <w:p w14:paraId="1F80B51E" w14:textId="77777777"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317B6A" w14:paraId="49F7013D" w14:textId="77777777" w:rsidTr="00DA1547">
        <w:tc>
          <w:tcPr>
            <w:tcW w:w="10201"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DA1547">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ED01CB"/>
          <w:p w14:paraId="01F64302" w14:textId="77777777" w:rsidR="00585B7B" w:rsidRPr="00ED01CB" w:rsidRDefault="00585B7B" w:rsidP="00ED01CB">
            <w:pPr>
              <w:jc w:val="center"/>
            </w:pPr>
          </w:p>
        </w:tc>
        <w:tc>
          <w:tcPr>
            <w:tcW w:w="7755" w:type="dxa"/>
          </w:tcPr>
          <w:p w14:paraId="3C2D94FE" w14:textId="77777777" w:rsidR="008A7D16" w:rsidRDefault="0018757E" w:rsidP="008A7D16">
            <w:pPr>
              <w:pStyle w:val="ListParagraph"/>
              <w:numPr>
                <w:ilvl w:val="0"/>
                <w:numId w:val="26"/>
              </w:numPr>
              <w:ind w:left="461" w:right="142"/>
              <w:jc w:val="both"/>
            </w:pPr>
            <w:r>
              <w:t xml:space="preserve">Nepieciešamība piešķirt valsts budžeta līdzekļus </w:t>
            </w:r>
            <w:r w:rsidR="00BD3F90">
              <w:t>Rēzeknes pilsētas pašvald</w:t>
            </w:r>
            <w:r w:rsidR="000B143C">
              <w:t>ībai</w:t>
            </w:r>
            <w:r w:rsidRPr="0018757E">
              <w:t>, lai segtu izdevumus, kas saist</w:t>
            </w:r>
            <w:r w:rsidR="00BD3F90">
              <w:t xml:space="preserve">īti ar </w:t>
            </w:r>
            <w:r w:rsidR="00BD3F90" w:rsidRPr="00BD3F90">
              <w:t>Olimpiskā centra „Rēzekne” būvniecību</w:t>
            </w:r>
            <w:r w:rsidR="00D5015E">
              <w:t>.</w:t>
            </w:r>
          </w:p>
          <w:p w14:paraId="3253826E" w14:textId="77777777" w:rsidR="00987B0B" w:rsidRDefault="00D5015E" w:rsidP="00987B0B">
            <w:pPr>
              <w:pStyle w:val="ListParagraph"/>
              <w:numPr>
                <w:ilvl w:val="0"/>
                <w:numId w:val="26"/>
              </w:numPr>
              <w:ind w:left="461" w:right="142"/>
              <w:jc w:val="both"/>
            </w:pPr>
            <w:r>
              <w:t xml:space="preserve">Ministru prezidenta </w:t>
            </w:r>
            <w:proofErr w:type="spellStart"/>
            <w:r>
              <w:t>A.K.Kariņa</w:t>
            </w:r>
            <w:proofErr w:type="spellEnd"/>
            <w:r>
              <w:t xml:space="preserve"> 2020. gada 11. septembra rezolūcija </w:t>
            </w:r>
            <w:r w:rsidR="007C4713">
              <w:br/>
            </w:r>
            <w:r>
              <w:t>Nr. 7.8.5./2020-DOC-2163-1694</w:t>
            </w:r>
            <w:r w:rsidR="008A7D16">
              <w:t xml:space="preserve"> un ar to saistīt</w:t>
            </w:r>
            <w:r w:rsidR="007C4713">
              <w:t>ā</w:t>
            </w:r>
            <w:r w:rsidR="008A7D16">
              <w:t xml:space="preserve"> Saeimas </w:t>
            </w:r>
            <w:r w:rsidR="008A7D16" w:rsidRPr="008A7D16">
              <w:t xml:space="preserve">Cilvēktiesību un sabiedrisko lietu komisijas Latgales apakškomisijas 2020. gada 10. septembra </w:t>
            </w:r>
            <w:r w:rsidR="008A7D16">
              <w:t>vēstule</w:t>
            </w:r>
            <w:r w:rsidR="008A7D16" w:rsidRPr="008A7D16">
              <w:t xml:space="preserve"> Nr. 142.9/4/2-15-13/20</w:t>
            </w:r>
            <w:r w:rsidR="008A7D16">
              <w:t>.</w:t>
            </w:r>
            <w:bookmarkStart w:id="3" w:name="_GoBack"/>
            <w:bookmarkEnd w:id="3"/>
          </w:p>
          <w:p w14:paraId="1B04493D" w14:textId="77777777" w:rsidR="00987B0B" w:rsidRDefault="00987B0B" w:rsidP="00987B0B">
            <w:pPr>
              <w:pStyle w:val="ListParagraph"/>
              <w:numPr>
                <w:ilvl w:val="0"/>
                <w:numId w:val="26"/>
              </w:numPr>
              <w:ind w:left="461" w:right="142"/>
              <w:jc w:val="both"/>
            </w:pPr>
            <w:r w:rsidRPr="00987B0B">
              <w:t>Likuma par budžetu un finanšu vadību 12. panta pirmā daļa.</w:t>
            </w:r>
          </w:p>
          <w:p w14:paraId="689444FE" w14:textId="0E7A7238" w:rsidR="002C76A3" w:rsidRPr="00B24229" w:rsidRDefault="00E251D1" w:rsidP="00987B0B">
            <w:pPr>
              <w:pStyle w:val="ListParagraph"/>
              <w:numPr>
                <w:ilvl w:val="0"/>
                <w:numId w:val="26"/>
              </w:numPr>
              <w:ind w:left="461" w:right="142"/>
              <w:jc w:val="both"/>
            </w:pPr>
            <w:r w:rsidRPr="008E6979">
              <w:t>Ministru kabineta 2018.</w:t>
            </w:r>
            <w:r>
              <w:t xml:space="preserve"> </w:t>
            </w:r>
            <w:r w:rsidRPr="008E6979">
              <w:t>gada 17.</w:t>
            </w:r>
            <w:r>
              <w:t xml:space="preserve"> </w:t>
            </w:r>
            <w:r w:rsidRPr="008E6979">
              <w:t>jūlija noteikumu Nr.</w:t>
            </w:r>
            <w:r>
              <w:t xml:space="preserve"> </w:t>
            </w:r>
            <w:r w:rsidRPr="008E6979">
              <w:t xml:space="preserve">421 „Kārtība, kādā veic gadskārtējā valsts budžeta likumā noteiktās apropriācijas izmaiņas” </w:t>
            </w:r>
            <w:r w:rsidR="0018757E">
              <w:t xml:space="preserve">41. un </w:t>
            </w:r>
            <w:r w:rsidRPr="008E6979">
              <w:t>43.</w:t>
            </w:r>
            <w:r>
              <w:t xml:space="preserve"> </w:t>
            </w:r>
            <w:r w:rsidRPr="008E6979">
              <w:t>p</w:t>
            </w:r>
            <w:r>
              <w:t>unkts</w:t>
            </w:r>
            <w:r w:rsidR="0018757E">
              <w:t>.</w:t>
            </w:r>
          </w:p>
        </w:tc>
      </w:tr>
      <w:tr w:rsidR="00585B7B" w:rsidRPr="00317B6A" w14:paraId="4917C93B" w14:textId="77777777" w:rsidTr="00DA1547">
        <w:trPr>
          <w:trHeight w:val="562"/>
        </w:trPr>
        <w:tc>
          <w:tcPr>
            <w:tcW w:w="562" w:type="dxa"/>
          </w:tcPr>
          <w:p w14:paraId="5FDD0BAA" w14:textId="6A9AB84C"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755" w:type="dxa"/>
          </w:tcPr>
          <w:p w14:paraId="52D6DACD" w14:textId="3DA2A499" w:rsidR="004B7B5D" w:rsidRDefault="00E11A22" w:rsidP="0051006A">
            <w:pPr>
              <w:ind w:left="141" w:right="142" w:firstLine="567"/>
              <w:jc w:val="both"/>
            </w:pPr>
            <w:r w:rsidRPr="00E11A22">
              <w:t xml:space="preserve">Olimpiskā centra „Rēzekne” projekta īstenotājs ir Rēzeknes pilsētas </w:t>
            </w:r>
            <w:r w:rsidR="00B11C81">
              <w:t>pašvaldība</w:t>
            </w:r>
            <w:r w:rsidRPr="00E11A22">
              <w:t xml:space="preserve"> un tās izveidotā SIA „Olimpiskais centrs Rēzekne”. Olimpiskā centra „Rēzekne” attīstība </w:t>
            </w:r>
            <w:r w:rsidR="00603CD4">
              <w:t>notikusi</w:t>
            </w:r>
            <w:r w:rsidRPr="00E11A22">
              <w:t xml:space="preserve"> trīs kārtās: 1.kārt</w:t>
            </w:r>
            <w:r w:rsidR="007C4713">
              <w:t>a</w:t>
            </w:r>
            <w:r w:rsidRPr="00E11A22">
              <w:t xml:space="preserve"> – mākslīgā seguma futbola laukuma un tribīņu </w:t>
            </w:r>
            <w:r w:rsidR="000B143C">
              <w:t xml:space="preserve">960 skatītājiem </w:t>
            </w:r>
            <w:r w:rsidRPr="00E11A22">
              <w:t>būvniecība; 2.kārt</w:t>
            </w:r>
            <w:r w:rsidR="007C4713">
              <w:t>a</w:t>
            </w:r>
            <w:r w:rsidRPr="00E11A22">
              <w:t xml:space="preserve"> – daudzfunkcionālās sporta ēkas</w:t>
            </w:r>
            <w:r w:rsidR="000B143C">
              <w:t xml:space="preserve"> </w:t>
            </w:r>
            <w:r w:rsidRPr="00E11A22">
              <w:t>un atklāta peldbaseina būvniecība; 3.kārt</w:t>
            </w:r>
            <w:r w:rsidR="007C4713">
              <w:t>a</w:t>
            </w:r>
            <w:r w:rsidRPr="00E11A22">
              <w:t xml:space="preserve"> – daudzfunkcionālās sporta </w:t>
            </w:r>
            <w:r w:rsidR="0051006A">
              <w:t>arēnas</w:t>
            </w:r>
            <w:r w:rsidR="00A532EE">
              <w:t xml:space="preserve">, ko veido zāle ar tribīnēm 680 skatītājiem un ledus arēna ar tribīnēm 529 skatītājiem, </w:t>
            </w:r>
            <w:r w:rsidRPr="00E11A22">
              <w:t>būvniecība</w:t>
            </w:r>
            <w:r w:rsidR="00A532EE">
              <w:t xml:space="preserve">, par ko 2017. gada 31. maijā tika noslēgts līgums ar SIA „Arčers”. </w:t>
            </w:r>
            <w:r w:rsidR="001C64A4">
              <w:t xml:space="preserve">Lai gan </w:t>
            </w:r>
            <w:r w:rsidR="0051006A">
              <w:t>2020.gada 11.septembrī pēdējā kārta tika nodota ekspluatācijā, kā rezultātā projekta īstenošana ir noslēgusies</w:t>
            </w:r>
            <w:r w:rsidR="001C64A4">
              <w:t xml:space="preserve">, </w:t>
            </w:r>
            <w:r w:rsidR="0051006A">
              <w:t xml:space="preserve">Rēzeknes pilsētas dome 2020. gada 1. oktobra vēstulē </w:t>
            </w:r>
            <w:r w:rsidR="00283EF3">
              <w:br/>
            </w:r>
            <w:r w:rsidR="0051006A">
              <w:t xml:space="preserve">Nr. 3.1.1.11/1348 ir informējusi </w:t>
            </w:r>
            <w:r w:rsidR="00EF135A">
              <w:t>Izglītības un zinātnes ministriju (turpmāk – IZM)</w:t>
            </w:r>
            <w:r w:rsidR="0051006A">
              <w:t xml:space="preserve">, ka </w:t>
            </w:r>
            <w:r w:rsidR="00283EF3">
              <w:t>tai</w:t>
            </w:r>
            <w:r w:rsidR="0051006A">
              <w:t xml:space="preserve"> ir palikušas finansiālas saistības pret </w:t>
            </w:r>
            <w:r w:rsidR="0051006A" w:rsidRPr="00E11A22">
              <w:t xml:space="preserve">daudzfunkcionālās sporta </w:t>
            </w:r>
            <w:r w:rsidR="0051006A">
              <w:t>arēnas</w:t>
            </w:r>
            <w:r w:rsidR="0051006A" w:rsidRPr="0051006A">
              <w:t xml:space="preserve"> </w:t>
            </w:r>
            <w:r w:rsidR="0051006A">
              <w:t xml:space="preserve">būvdarbu veicēju SIA „Arčers” par izpildītajiem darbiem minētajā būvobjektā 2020. gada jūlijā. Rēķina (953 942,72 </w:t>
            </w:r>
            <w:r w:rsidR="0051006A" w:rsidRPr="0051006A">
              <w:rPr>
                <w:i/>
              </w:rPr>
              <w:t>euro</w:t>
            </w:r>
            <w:r w:rsidR="0051006A">
              <w:t xml:space="preserve"> apmērā) apmaksas termiņš bija 2020. gada 16. septembris. Vēstulē </w:t>
            </w:r>
            <w:r w:rsidR="00583CF6">
              <w:t>dome</w:t>
            </w:r>
            <w:r w:rsidR="0051006A">
              <w:t xml:space="preserve"> lūdz pi</w:t>
            </w:r>
            <w:r w:rsidR="004B7B5D">
              <w:t>ešķirt valsts atbalstu rēķinā minētās summas apmērā, lai pašvaldība varētu norēķināties ar darbu veicēju, jo saskaņā ar būvdarbu līgumu domei jau tiek piemērotas soda sank</w:t>
            </w:r>
            <w:r w:rsidR="0051006A">
              <w:t xml:space="preserve">cijas par katru kavējuma dienu. </w:t>
            </w:r>
            <w:r w:rsidR="00583CF6">
              <w:t>Dome</w:t>
            </w:r>
            <w:r w:rsidR="0051006A">
              <w:t xml:space="preserve"> arī norāda, ka gadījumā, ja </w:t>
            </w:r>
            <w:r w:rsidR="004B7B5D">
              <w:t>atbalsts netiks sniegts, tas radīs būtisku papildu slodzi pašvaldībai budžetam jau tā sarežģītajos Covid-19 apstākļos.</w:t>
            </w:r>
          </w:p>
          <w:p w14:paraId="615647DE" w14:textId="4FBA6E55" w:rsidR="001C64A4" w:rsidRDefault="001C64A4" w:rsidP="001C64A4">
            <w:pPr>
              <w:ind w:left="141" w:right="142" w:firstLine="567"/>
              <w:jc w:val="both"/>
            </w:pPr>
            <w:r>
              <w:t xml:space="preserve">Lūgumu piešķirt papildus valsts atbalstu Rēzeknes pilsētas pašvaldībai Olimpiskā centra „Rēzekne” būvniecības pabeigšanai </w:t>
            </w:r>
            <w:r w:rsidR="00EF135A" w:rsidRPr="008A7D16">
              <w:t xml:space="preserve">2020. gada 10. septembra </w:t>
            </w:r>
            <w:r w:rsidR="00EF135A">
              <w:t>vēstulē</w:t>
            </w:r>
            <w:r w:rsidR="00EF135A" w:rsidRPr="008A7D16">
              <w:t xml:space="preserve"> Nr. 142.9/4/2-15-13/20</w:t>
            </w:r>
            <w:r w:rsidR="00EF135A">
              <w:t xml:space="preserve"> </w:t>
            </w:r>
            <w:r>
              <w:t xml:space="preserve">ir izteikusi arī Saeimas </w:t>
            </w:r>
            <w:r w:rsidRPr="008A7D16">
              <w:t>Cilvēktiesību un sabiedrisko lietu k</w:t>
            </w:r>
            <w:r>
              <w:t xml:space="preserve">omisijas Latgales apakškomisija. Ar </w:t>
            </w:r>
            <w:r w:rsidR="007C4713">
              <w:t xml:space="preserve">Ministru prezidenta </w:t>
            </w:r>
            <w:proofErr w:type="spellStart"/>
            <w:r w:rsidR="007C4713">
              <w:t>A.K.Kariņa</w:t>
            </w:r>
            <w:proofErr w:type="spellEnd"/>
            <w:r w:rsidR="007C4713">
              <w:t xml:space="preserve"> 2020. gada 11. septembra rezol</w:t>
            </w:r>
            <w:r>
              <w:t xml:space="preserve">ūciju </w:t>
            </w:r>
            <w:r w:rsidR="00EF135A">
              <w:br/>
            </w:r>
            <w:r w:rsidR="007C4713">
              <w:t xml:space="preserve">Nr. 7.8.5./2020-DOC-2163-1694 </w:t>
            </w:r>
            <w:r w:rsidR="00EF135A">
              <w:t>IZM</w:t>
            </w:r>
            <w:r>
              <w:t xml:space="preserve"> uzdots izskatīt minēto vēstuli un sniegt atbildi komisijai.</w:t>
            </w:r>
          </w:p>
          <w:p w14:paraId="27AF4D55" w14:textId="43C3B19E" w:rsidR="001C64A4" w:rsidRDefault="001C64A4" w:rsidP="001C64A4">
            <w:pPr>
              <w:ind w:left="141" w:right="142" w:firstLine="567"/>
              <w:jc w:val="both"/>
            </w:pPr>
            <w:r>
              <w:t xml:space="preserve">Kopējās ar Olimpiskā centra „Rēzekne” būvniecību saistītās izmaksas ir 17 172 527,21 </w:t>
            </w:r>
            <w:r w:rsidRPr="00A532EE">
              <w:rPr>
                <w:i/>
              </w:rPr>
              <w:t>euro</w:t>
            </w:r>
            <w:r>
              <w:t xml:space="preserve">. </w:t>
            </w:r>
            <w:r w:rsidRPr="00DB272C">
              <w:t>Olimpiskā centra</w:t>
            </w:r>
            <w:r>
              <w:t xml:space="preserve"> „</w:t>
            </w:r>
            <w:r w:rsidRPr="00DB272C">
              <w:t xml:space="preserve">Rēzekne” projekta izstrādei un būvniecībai </w:t>
            </w:r>
            <w:r w:rsidR="00241B4D" w:rsidRPr="00DB272C">
              <w:t xml:space="preserve">Rēzeknes pilsētas pašvaldībai </w:t>
            </w:r>
            <w:r w:rsidRPr="00DB272C">
              <w:t>no valsts (</w:t>
            </w:r>
            <w:r>
              <w:t>IZM) budžeta kopumā 2018.-</w:t>
            </w:r>
            <w:r w:rsidRPr="00DB272C">
              <w:t xml:space="preserve">2020. gadā ir tikuši piešķirti 3 484 500 </w:t>
            </w:r>
            <w:r w:rsidRPr="00DB272C">
              <w:rPr>
                <w:i/>
              </w:rPr>
              <w:t xml:space="preserve"> euro</w:t>
            </w:r>
            <w:r w:rsidRPr="00DB272C">
              <w:t xml:space="preserve">, tai skaitā 2018. gadā </w:t>
            </w:r>
            <w:r w:rsidR="00241B4D">
              <w:br/>
            </w:r>
            <w:r w:rsidRPr="00DB272C">
              <w:lastRenderedPageBreak/>
              <w:t xml:space="preserve">1 150 000 </w:t>
            </w:r>
            <w:r w:rsidRPr="00DB272C">
              <w:rPr>
                <w:i/>
              </w:rPr>
              <w:t xml:space="preserve"> euro</w:t>
            </w:r>
            <w:r w:rsidRPr="00DB272C">
              <w:t xml:space="preserve">, 2019. gadā 1 336 500 </w:t>
            </w:r>
            <w:r w:rsidRPr="00DB272C">
              <w:rPr>
                <w:i/>
              </w:rPr>
              <w:t xml:space="preserve"> euro</w:t>
            </w:r>
            <w:r w:rsidRPr="00DB272C">
              <w:t xml:space="preserve"> un 2020. gadā 998 000 </w:t>
            </w:r>
            <w:r w:rsidRPr="00DB272C">
              <w:rPr>
                <w:i/>
              </w:rPr>
              <w:t xml:space="preserve"> euro</w:t>
            </w:r>
            <w:r w:rsidRPr="00DB272C">
              <w:t>. Papildus norādītajam 2017. gadā va</w:t>
            </w:r>
            <w:r>
              <w:t>lsts atbalsts Olimpiskā centra „</w:t>
            </w:r>
            <w:r w:rsidRPr="00DB272C">
              <w:t xml:space="preserve">Rēzekne” projekta īstenošanai 800 000 </w:t>
            </w:r>
            <w:r w:rsidRPr="00DB272C">
              <w:rPr>
                <w:i/>
              </w:rPr>
              <w:t xml:space="preserve"> euro</w:t>
            </w:r>
            <w:r w:rsidRPr="00DB272C">
              <w:t xml:space="preserve"> apmērā tika piešķirts Vides aizsardzības un reģionālās attīstības ministrijas budžetā (62.resors) „Mērķdotācijas pašvaldībām”. </w:t>
            </w:r>
            <w:r w:rsidR="00EF135A">
              <w:t>K</w:t>
            </w:r>
            <w:r w:rsidRPr="00DB272C">
              <w:t>opējais valsts atbals</w:t>
            </w:r>
            <w:r w:rsidR="00241B4D">
              <w:t>ts 2017.-</w:t>
            </w:r>
            <w:r>
              <w:t xml:space="preserve">2020. gadā ir bijis </w:t>
            </w:r>
            <w:r>
              <w:br/>
              <w:t xml:space="preserve">4 </w:t>
            </w:r>
            <w:r w:rsidRPr="00DB272C">
              <w:t>284</w:t>
            </w:r>
            <w:r>
              <w:t xml:space="preserve"> </w:t>
            </w:r>
            <w:r w:rsidRPr="00DB272C">
              <w:t xml:space="preserve">500 </w:t>
            </w:r>
            <w:r w:rsidRPr="00DB272C">
              <w:rPr>
                <w:i/>
              </w:rPr>
              <w:t>euro</w:t>
            </w:r>
            <w:r>
              <w:t xml:space="preserve">, kas ir 25 procenti no kopējām projekta īstenošanas izmaksām. Salīdzinot ar valsts atbalstu līdzīga apjoma sporta infrastruktūras attīstības projektu īstenošanai citos plānošanas reģionos (Kurzemē </w:t>
            </w:r>
            <w:r w:rsidR="0003036E">
              <w:t xml:space="preserve">– </w:t>
            </w:r>
            <w:r>
              <w:t>Olimpiskā centra „Ventspils” un Liepājas Olimpiskā centra attīst</w:t>
            </w:r>
            <w:r w:rsidR="0003036E">
              <w:t>ībai</w:t>
            </w:r>
            <w:r>
              <w:t xml:space="preserve">, kā arī Vidzemē </w:t>
            </w:r>
            <w:r w:rsidR="0003036E">
              <w:t xml:space="preserve">– </w:t>
            </w:r>
            <w:r>
              <w:t xml:space="preserve">Vidzemes Olimpiskā centra attīstībai), atbalsts Rēzeknes Olimpiskā centra attīstībai un </w:t>
            </w:r>
            <w:r w:rsidR="0003036E">
              <w:t xml:space="preserve">sporta infrastruktūras attīstībai </w:t>
            </w:r>
            <w:r>
              <w:t>Latgales reģionā kopumā ir bijis būtiski mazāks.</w:t>
            </w:r>
          </w:p>
          <w:p w14:paraId="2F3B5506" w14:textId="4C6EA371" w:rsidR="00241B4D" w:rsidRDefault="00241B4D" w:rsidP="00241B4D">
            <w:pPr>
              <w:ind w:left="141" w:right="142" w:firstLine="567"/>
              <w:jc w:val="both"/>
            </w:pPr>
            <w:r>
              <w:t xml:space="preserve">Viens no </w:t>
            </w:r>
            <w:r w:rsidRPr="00874652">
              <w:t>Sporta</w:t>
            </w:r>
            <w:r>
              <w:t xml:space="preserve"> politikas pamatnostādnēs 2014.</w:t>
            </w:r>
            <w:r w:rsidR="0003036E">
              <w:t>-</w:t>
            </w:r>
            <w:r w:rsidRPr="00874652">
              <w:t>2020.gadam</w:t>
            </w:r>
            <w:r>
              <w:t xml:space="preserve"> (apstiprinātas ar Ministru kabineta 2013. gada 18. decembra rīkojumu Nr.666) definētajiem sporta politikas apakšmērķiem ir s</w:t>
            </w:r>
            <w:r w:rsidRPr="005B7F49">
              <w:t>ekmēt sporta infrastruktūras pieejamību un attīstību.</w:t>
            </w:r>
            <w:r>
              <w:t xml:space="preserve"> Piemērotas sporta infrastruktūra esamība ir viens no būtiskākajiem priekšnoteikumiem visu četru </w:t>
            </w:r>
            <w:r w:rsidRPr="00874652">
              <w:t>Sporta</w:t>
            </w:r>
            <w:r>
              <w:t xml:space="preserve"> politikas pamatnostādnēs 2014.-</w:t>
            </w:r>
            <w:r w:rsidRPr="00874652">
              <w:t>2020.gadam</w:t>
            </w:r>
            <w:r>
              <w:t xml:space="preserve"> definēto sporta politikas virzienu – Bērnu un jauniešu sporta,  Sporta visiem (Tautas sporta),  Augstu sasniegumu sporta un Pielāgotā sporta – attīstībai. Sporta infrastruktūras attīstība ir</w:t>
            </w:r>
            <w:r w:rsidR="0003036E">
              <w:t xml:space="preserve"> arī</w:t>
            </w:r>
            <w:r>
              <w:t xml:space="preserve"> viens no Sporta politikas pamatnostādņu 2021.-2027.gadam projekta rīcības virzieniem. Pēdējos gados valsts mērķtiecīgi atbalsta valsts nozīmes sporta infrastruktūras projektu īstenošanu pašvaldībās, kā arī</w:t>
            </w:r>
            <w:r w:rsidR="00D761BC">
              <w:t xml:space="preserve"> </w:t>
            </w:r>
            <w:r>
              <w:t>atbalstot atsevišķu valsts sporta bāzu attīstību.</w:t>
            </w:r>
          </w:p>
          <w:p w14:paraId="264491F6" w14:textId="26B902CC" w:rsidR="00083F1F" w:rsidRDefault="00190FB4" w:rsidP="00736911">
            <w:pPr>
              <w:ind w:left="141" w:right="142" w:firstLine="567"/>
              <w:jc w:val="both"/>
            </w:pPr>
            <w:r>
              <w:t>IZM</w:t>
            </w:r>
            <w:r w:rsidR="00B030C7">
              <w:t xml:space="preserve"> atbalsta papildus finansējuma piešķiršanu </w:t>
            </w:r>
            <w:r w:rsidR="00B030C7" w:rsidRPr="00BD3F90">
              <w:t xml:space="preserve">953 942 </w:t>
            </w:r>
            <w:r w:rsidR="00B030C7" w:rsidRPr="00BD3F90">
              <w:rPr>
                <w:i/>
              </w:rPr>
              <w:t>euro</w:t>
            </w:r>
            <w:r w:rsidR="00B030C7" w:rsidRPr="00BD3F90">
              <w:t xml:space="preserve"> </w:t>
            </w:r>
            <w:r w:rsidR="00B030C7">
              <w:t>apmērā</w:t>
            </w:r>
            <w:r w:rsidR="00B030C7" w:rsidRPr="00BD3F90">
              <w:t xml:space="preserve"> Rēzeknes pilsētas pašvaldībai, lai segtu izdevumus, kas saistīti ar Olimpiskā centra „Rēze</w:t>
            </w:r>
            <w:r w:rsidR="00B030C7">
              <w:t xml:space="preserve">kne” būvniecību un tādejādi pašvaldība varētu apmaksāt  SIA „Arčers” 2020. gada 27. augusta rēķinu-faktūru Nr. ARC17953 par </w:t>
            </w:r>
            <w:r w:rsidR="00736911">
              <w:t xml:space="preserve">daudzfunkcionālajā sporta arēnā </w:t>
            </w:r>
            <w:r w:rsidR="00B030C7">
              <w:t>paveiktajiem būvniec</w:t>
            </w:r>
            <w:r w:rsidR="00736911">
              <w:t xml:space="preserve">ības darbiem </w:t>
            </w:r>
            <w:r w:rsidR="00B030C7">
              <w:t>2020. gada jūlij</w:t>
            </w:r>
            <w:r w:rsidR="00736911">
              <w:t>ā.</w:t>
            </w:r>
          </w:p>
          <w:p w14:paraId="6AA4307E" w14:textId="6DD43EE4" w:rsidR="00736911" w:rsidRDefault="00B92C2B" w:rsidP="00A63CA5">
            <w:pPr>
              <w:ind w:left="141" w:right="142"/>
              <w:jc w:val="both"/>
            </w:pPr>
            <w:r>
              <w:tab/>
            </w:r>
            <w:r w:rsidR="00190FB4">
              <w:t>IZM</w:t>
            </w:r>
            <w:r w:rsidR="00374636">
              <w:t xml:space="preserve"> rīcībā nav nepieciešamie līdzekļi </w:t>
            </w:r>
            <w:r w:rsidR="00736911" w:rsidRPr="00BD3F90">
              <w:t>953</w:t>
            </w:r>
            <w:r w:rsidR="00736911">
              <w:t> </w:t>
            </w:r>
            <w:r w:rsidR="00736911" w:rsidRPr="00BD3F90">
              <w:t xml:space="preserve">942 </w:t>
            </w:r>
            <w:r w:rsidR="00374636" w:rsidRPr="00B92C2B">
              <w:rPr>
                <w:i/>
              </w:rPr>
              <w:t>euro</w:t>
            </w:r>
            <w:r w:rsidR="00374636">
              <w:t xml:space="preserve"> apmērā, kas būtu novirzāmi </w:t>
            </w:r>
            <w:r w:rsidR="00736911" w:rsidRPr="00BD3F90">
              <w:t>ar Olimpiskā centra „Rēzekne” būvniecību</w:t>
            </w:r>
            <w:r w:rsidR="00736911">
              <w:t xml:space="preserve"> saistīto izmaksu segšanai</w:t>
            </w:r>
            <w:r w:rsidR="008D0D98">
              <w:rPr>
                <w:rStyle w:val="FootnoteReference"/>
              </w:rPr>
              <w:footnoteReference w:id="1"/>
            </w:r>
            <w:r w:rsidR="00374636">
              <w:t>. Saskaņā ar  Ministru kabineta 2018.</w:t>
            </w:r>
            <w:r w:rsidR="00190FB4">
              <w:t xml:space="preserve"> </w:t>
            </w:r>
            <w:r w:rsidR="00374636">
              <w:t>gada 17.</w:t>
            </w:r>
            <w:r w:rsidR="00190FB4">
              <w:t xml:space="preserve"> </w:t>
            </w:r>
            <w:r w:rsidR="00374636">
              <w:t xml:space="preserve">jūlija noteikumu </w:t>
            </w:r>
            <w:r w:rsidR="00190FB4">
              <w:br/>
            </w:r>
            <w:r w:rsidR="00374636">
              <w:t>Nr.</w:t>
            </w:r>
            <w:r w:rsidR="00190FB4">
              <w:t xml:space="preserve"> </w:t>
            </w:r>
            <w:r w:rsidR="00374636">
              <w:t>421 „Kārtība, kādā veic gadskārtējā valsts budžeta likumā noteiktās apropriācijas izmaiņas” 41.</w:t>
            </w:r>
            <w:r w:rsidR="00190FB4">
              <w:t xml:space="preserve"> </w:t>
            </w:r>
            <w:r w:rsidR="00374636">
              <w:t>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w:t>
            </w:r>
            <w:r>
              <w:t xml:space="preserve"> </w:t>
            </w:r>
            <w:r w:rsidR="00374636">
              <w:t>panta pirmā daļa.</w:t>
            </w:r>
            <w:r w:rsidR="00736911">
              <w:t xml:space="preserve"> </w:t>
            </w:r>
            <w:r w:rsidR="00374636">
              <w:t xml:space="preserve">Izvērtējot </w:t>
            </w:r>
            <w:r w:rsidR="00736911">
              <w:t xml:space="preserve">Rēzeknes pilsētas pašvaldības </w:t>
            </w:r>
            <w:r w:rsidR="00374636">
              <w:t xml:space="preserve">finanšu pieprasījumu, </w:t>
            </w:r>
            <w:r w:rsidR="00190FB4">
              <w:t>IZM</w:t>
            </w:r>
            <w:r w:rsidR="00374636">
              <w:t xml:space="preserve"> ieskatā to var klasificēt kā valstiski īpaši nozīmīgu pasākumu</w:t>
            </w:r>
            <w:r w:rsidR="00A63CA5">
              <w:t xml:space="preserve">, jo </w:t>
            </w:r>
            <w:r w:rsidR="00736911">
              <w:t>Olimpiskais centrs „Rēzekne” ir valsts nozīmes sporta infrastruktūras attīstības projekts.</w:t>
            </w:r>
          </w:p>
          <w:p w14:paraId="5C0966F2" w14:textId="1689C149" w:rsidR="00BD78BA" w:rsidRDefault="00374636" w:rsidP="00374636">
            <w:pPr>
              <w:ind w:left="141" w:right="142"/>
              <w:jc w:val="both"/>
            </w:pPr>
            <w:r>
              <w:tab/>
              <w:t xml:space="preserve">Saskaņā ar  Ministru kabineta 2018. gada 17. jūlija noteikumu Nr.421 „Kārtība, kādā veic gadskārtējā valsts budžeta likumā noteiktās apropriācijas izmaiņas” 43. punktu ministrija pieprasījumu apropriācijas pārdalei no programmas „Līdzekļi neparedzētiem gadījumiem” sagatavo kā tiesību akta </w:t>
            </w:r>
            <w:r>
              <w:lastRenderedPageBreak/>
              <w:t>projektu, ko normatīvajos aktos noteiktajā kārtībā iesniedz izskatīšanai Ministru kabinetā.</w:t>
            </w:r>
          </w:p>
          <w:p w14:paraId="7E1F4025" w14:textId="01DC1AC9" w:rsidR="00E11A22" w:rsidRDefault="00E11A22" w:rsidP="00E11A22">
            <w:pPr>
              <w:ind w:left="141" w:right="142" w:firstLine="567"/>
              <w:jc w:val="both"/>
            </w:pPr>
            <w:r>
              <w:t xml:space="preserve">IZM ir veikusi sākotnējo izvērtējumu par finansējuma piešķiršanas  </w:t>
            </w:r>
            <w:r w:rsidRPr="00BD3F90">
              <w:t xml:space="preserve"> Olimpiskā centra „Rēze</w:t>
            </w:r>
            <w:r>
              <w:t>kne” būvniecībai atbilstību komercdarbības atbalsta kontroles regulējumam.</w:t>
            </w:r>
          </w:p>
          <w:p w14:paraId="0FECC8F3" w14:textId="77777777" w:rsidR="00E11A22" w:rsidRDefault="00E11A22" w:rsidP="00E11A22">
            <w:pPr>
              <w:ind w:left="141" w:right="142" w:firstLine="567"/>
              <w:jc w:val="both"/>
            </w:pPr>
            <w:r>
              <w:tab/>
              <w:t xml:space="preserve">Lai kādu pasākumu varētu klasificēt kā komercdarbības atbalstu, tam vienlaikus jāatbilst visām četrām kumulatīvām pazīmēm : </w:t>
            </w:r>
          </w:p>
          <w:p w14:paraId="09E5CF59" w14:textId="77777777" w:rsidR="00E11A22" w:rsidRDefault="00E11A22" w:rsidP="00E11A22">
            <w:pPr>
              <w:ind w:left="141" w:right="142" w:firstLine="567"/>
              <w:jc w:val="both"/>
            </w:pPr>
            <w:r w:rsidRPr="00E11A22">
              <w:rPr>
                <w:i/>
              </w:rPr>
              <w:tab/>
              <w:t>1. pazīme:</w:t>
            </w:r>
            <w:r>
              <w:t xml:space="preserve"> Atbalsts tiek sniegts no publiskiem resursiem;</w:t>
            </w:r>
          </w:p>
          <w:p w14:paraId="50503E3B" w14:textId="77777777" w:rsidR="00E11A22" w:rsidRDefault="00E11A22" w:rsidP="00E11A22">
            <w:pPr>
              <w:ind w:left="141" w:right="142" w:firstLine="567"/>
              <w:jc w:val="both"/>
            </w:pPr>
            <w:r w:rsidRPr="00E11A22">
              <w:rPr>
                <w:i/>
              </w:rPr>
              <w:tab/>
              <w:t>2. pazīme:</w:t>
            </w:r>
            <w:r>
              <w:t xml:space="preserve"> Atbalsta saņēmējs veic saimniecisku darbību un attiecībā uz to gūst ekonomiskas priekšrocības, kādas tas nevarētu gūt normālos komercdarbības veikšanas apstākļos;</w:t>
            </w:r>
          </w:p>
          <w:p w14:paraId="3170406A" w14:textId="77777777" w:rsidR="00E11A22" w:rsidRDefault="00E11A22" w:rsidP="00E11A22">
            <w:pPr>
              <w:ind w:left="141" w:right="142" w:firstLine="567"/>
              <w:jc w:val="both"/>
            </w:pPr>
            <w:r w:rsidRPr="00E11A22">
              <w:rPr>
                <w:i/>
              </w:rPr>
              <w:tab/>
              <w:t>3. pazīme:</w:t>
            </w:r>
            <w:r>
              <w:t xml:space="preserve"> Pasākums ir selektīvs pēc sava rakstura;</w:t>
            </w:r>
          </w:p>
          <w:p w14:paraId="3A63FA53" w14:textId="77777777" w:rsidR="00E11A22" w:rsidRDefault="00E11A22" w:rsidP="00E11A22">
            <w:pPr>
              <w:ind w:left="141" w:right="142" w:firstLine="567"/>
              <w:jc w:val="both"/>
            </w:pPr>
            <w:r w:rsidRPr="00E11A22">
              <w:rPr>
                <w:i/>
              </w:rPr>
              <w:tab/>
              <w:t>4. pazīme:</w:t>
            </w:r>
            <w:r>
              <w:t xml:space="preserve"> Atbalsts ietekmē konkurenci un tirdzniecību Eiropas Savienības iekšējā tirgū.</w:t>
            </w:r>
          </w:p>
          <w:p w14:paraId="4A36A494" w14:textId="547D104B" w:rsidR="00E11A22" w:rsidRDefault="00E11A22" w:rsidP="00907855">
            <w:pPr>
              <w:ind w:left="141" w:right="142" w:firstLine="567"/>
              <w:jc w:val="both"/>
            </w:pPr>
            <w:r>
              <w:t xml:space="preserve">IZM vērtējumā minētā atbalsta sniegšana nerada konkurences kropļojumu Eiropas Savienības līmenī, ņemot vērā </w:t>
            </w:r>
            <w:r w:rsidR="00907855">
              <w:t xml:space="preserve">sporta centra </w:t>
            </w:r>
            <w:r>
              <w:t xml:space="preserve">darbības izteikti lokālo raksturu, t.i., darbība nav vērsta uz ārvalstu apmeklētāju piesaistīšanu. Tāpat uzsverams, ka </w:t>
            </w:r>
            <w:r w:rsidR="00907855">
              <w:t>Olimpiskā centra „Rēzekne”</w:t>
            </w:r>
            <w:r>
              <w:t xml:space="preserve"> īpašniece ir </w:t>
            </w:r>
            <w:r w:rsidR="00B05BC4">
              <w:t>Rēzeknes pilsētas pašvaldība</w:t>
            </w:r>
            <w:r>
              <w:t xml:space="preserve">, </w:t>
            </w:r>
            <w:r w:rsidR="00907855">
              <w:t>savukārt saskaņā ar likuma „Par pašvaldībām” 15.</w:t>
            </w:r>
            <w:r w:rsidR="00703E8F">
              <w:t xml:space="preserve"> </w:t>
            </w:r>
            <w:r w:rsidR="00907855">
              <w:t xml:space="preserve">panta 6. punktu viena no pašvaldību autonomajām funkcijām ir veicināt </w:t>
            </w:r>
            <w:r w:rsidR="00907855" w:rsidRPr="00907855">
              <w:t>iedzīvotāju</w:t>
            </w:r>
            <w:r w:rsidR="00907855">
              <w:t xml:space="preserve"> veselīgu dzīvesveidu un sportu. Saskaņā ar Sporta likuma 12. panta pirmo daļu </w:t>
            </w:r>
            <w:r w:rsidR="00907855" w:rsidRPr="00907855">
              <w:t xml:space="preserve"> </w:t>
            </w:r>
            <w:r w:rsidR="00907855">
              <w:t>v</w:t>
            </w:r>
            <w:r w:rsidR="00907855" w:rsidRPr="00907855">
              <w:t>alsts vai pašvaldību īpašumā esošās sporta bāzes izmantojamas iedzīvotājiem nepieciešamo pakalpojumu sniegšanai sportā</w:t>
            </w:r>
            <w:r w:rsidR="00907855">
              <w:t xml:space="preserve">. Olimpiskais centrs „Rēzekne” </w:t>
            </w:r>
            <w:r>
              <w:t xml:space="preserve">pamatā </w:t>
            </w:r>
            <w:r w:rsidR="00907855">
              <w:t>tiks</w:t>
            </w:r>
            <w:r>
              <w:t xml:space="preserve"> izmantot</w:t>
            </w:r>
            <w:r w:rsidR="00907855">
              <w:t>s</w:t>
            </w:r>
            <w:r>
              <w:t xml:space="preserve"> mācību-treniņu procesam un vietēju (nacionāla līmeņa) sporta sacensību organizēšanai, kā arī dažādu ar sportu saistītu atbalsta procesu nodrošināšanai. Šajā sporta bāzē var norisināties arī starptautiska līmeņa sacensības, to skaits ir </w:t>
            </w:r>
            <w:r w:rsidR="00907855">
              <w:t xml:space="preserve">prognozējams </w:t>
            </w:r>
            <w:r>
              <w:t>salīdzinoši neliels. Minētās sporta bāzes darb</w:t>
            </w:r>
            <w:r w:rsidR="00083F1F">
              <w:t xml:space="preserve">ība un attīstība ir saistīta arī ar </w:t>
            </w:r>
            <w:r>
              <w:t xml:space="preserve">valsts funkciju izpildi sporta nozarē, t.i. valsts nozīmes sporta infrastruktūras </w:t>
            </w:r>
            <w:r w:rsidR="00083F1F">
              <w:t xml:space="preserve">uzturēšanu un attīstību </w:t>
            </w:r>
            <w:r>
              <w:t xml:space="preserve">Latvijas iedzīvotāju (it īpaši bērnu un jauniešu) fizisko aktivitāšu līmeņa paaugstināšanai, tostarp arī izglītības iestāžu un sporta klubu audzēkņu, fizisko aktivitāšu nodrošināšanai, kā arī Latvijas sportistu (tai skaitā Latvijas izlases sportistu) treniņu procesa nodrošināšanai. Jāņem vērā arī fakts, ka sporta bāzes plānotā tvēruma zona ir lokāla, tā atrodas </w:t>
            </w:r>
            <w:r w:rsidR="00907855">
              <w:t xml:space="preserve">salīdzinoši </w:t>
            </w:r>
            <w:r>
              <w:t>tālu no tuvākās robežas, netiek plānots popularizēt bāzes mērķauditorijām ārvalstīs, kā arī nav plānots būtisks tvēruma zonas paplašinājums. Papildus uzsverams, ka SIA „</w:t>
            </w:r>
            <w:r w:rsidR="00083F1F">
              <w:t>Olimpiskais centrs Rēzekne</w:t>
            </w:r>
            <w:r>
              <w:t>”</w:t>
            </w:r>
            <w:r w:rsidR="00083F1F">
              <w:t xml:space="preserve"> kā olimpiskā centra pārvaldnieks</w:t>
            </w:r>
            <w:r>
              <w:t xml:space="preserve">, veicot saimniecisko darbību (nodrošinot centra darbību), ieņēmumus </w:t>
            </w:r>
            <w:r w:rsidR="00083F1F">
              <w:t>ieguldīs</w:t>
            </w:r>
            <w:r>
              <w:t xml:space="preserve"> centra uzturēšanai (</w:t>
            </w:r>
            <w:r w:rsidR="00083F1F">
              <w:t>nav plānota peļņas gūšana</w:t>
            </w:r>
            <w:r>
              <w:t xml:space="preserve">). Iepriekšminētā rezultātā secināms, ka papildus finansējuma  piešķiršana  </w:t>
            </w:r>
            <w:r w:rsidR="00CC4CFE">
              <w:t>Rēzeknes pilsētas pašvaldībai</w:t>
            </w:r>
            <w:r w:rsidR="00083F1F">
              <w:t xml:space="preserve"> </w:t>
            </w:r>
            <w:r w:rsidR="00CC4CFE">
              <w:t>Olimpiskā centra „Būvniecībai”</w:t>
            </w:r>
            <w:r>
              <w:t xml:space="preserve"> vienlaikus neatbilst visām Komercdarbības atbalsta kontroles likuma 5.</w:t>
            </w:r>
            <w:r w:rsidR="00703E8F">
              <w:t xml:space="preserve"> </w:t>
            </w:r>
            <w:r>
              <w:t>pantā noteiktajām pazīmēm un attiecīgi minētais atbalsts nav uzskatāms par komercdarbības atbalstu.</w:t>
            </w:r>
          </w:p>
          <w:p w14:paraId="4A2A053D" w14:textId="67876499" w:rsidR="003127FA" w:rsidRPr="00945164" w:rsidRDefault="0065105A" w:rsidP="00190FB4">
            <w:pPr>
              <w:ind w:left="141" w:right="142" w:firstLine="567"/>
              <w:jc w:val="both"/>
            </w:pPr>
            <w:r>
              <w:t>Ievērojot minēto</w:t>
            </w:r>
            <w:r w:rsidR="003B38AA">
              <w:t xml:space="preserve">, </w:t>
            </w:r>
            <w:r w:rsidR="00190FB4">
              <w:t>IZM</w:t>
            </w:r>
            <w:r w:rsidR="00B33243" w:rsidRPr="00115792">
              <w:t xml:space="preserve"> ir izstrādājusi Ministru kabineta rīkojuma projektu</w:t>
            </w:r>
            <w:r w:rsidR="00B33243">
              <w:t xml:space="preserve"> </w:t>
            </w:r>
            <w:r w:rsidR="00113533">
              <w:t>„</w:t>
            </w:r>
            <w:r w:rsidR="00B911D8">
              <w:t>Par finanšu līdzekļu piešķiršanu no valsts budžeta programmas „Līdzekļi neparedzētiem gadījumiem””</w:t>
            </w:r>
            <w:r w:rsidR="000A1E9A">
              <w:t xml:space="preserve"> (turpmāk – Rīkojuma projekts)</w:t>
            </w:r>
            <w:r w:rsidR="00260175">
              <w:t xml:space="preserve">, </w:t>
            </w:r>
            <w:r w:rsidR="00B911D8">
              <w:t>kas</w:t>
            </w:r>
            <w:r w:rsidR="00260175">
              <w:t xml:space="preserve"> paredz</w:t>
            </w:r>
            <w:r w:rsidR="00374775">
              <w:t xml:space="preserve"> </w:t>
            </w:r>
            <w:r w:rsidR="00B911D8">
              <w:t xml:space="preserve">uzdevumu Finanšu ministrijai no valsts budžeta programmas 02.00.00 „Līdzekļi neparedzētiem gadījumiem” </w:t>
            </w:r>
            <w:r w:rsidR="00374775">
              <w:t xml:space="preserve">piešķirt </w:t>
            </w:r>
            <w:r w:rsidR="00BC0368">
              <w:t>IZM</w:t>
            </w:r>
            <w:r w:rsidR="00083F1F">
              <w:t xml:space="preserve"> </w:t>
            </w:r>
            <w:r w:rsidR="00083F1F" w:rsidRPr="00BD3F90">
              <w:t xml:space="preserve">953 942 </w:t>
            </w:r>
            <w:r w:rsidR="00083F1F" w:rsidRPr="00BD3F90">
              <w:rPr>
                <w:i/>
              </w:rPr>
              <w:t>euro</w:t>
            </w:r>
            <w:r w:rsidR="00083F1F" w:rsidRPr="00BD3F90">
              <w:t xml:space="preserve"> pārskaitīšanai </w:t>
            </w:r>
            <w:r w:rsidR="000B143C">
              <w:t xml:space="preserve"> Rēzeknes pilsētas pašvaldībai</w:t>
            </w:r>
            <w:r w:rsidR="00083F1F" w:rsidRPr="00BD3F90">
              <w:t>, lai segtu izdevumus, kas saistīti ar Olimpiskā centra „Rēzekne” būvniecību.</w:t>
            </w:r>
          </w:p>
        </w:tc>
      </w:tr>
      <w:tr w:rsidR="00585B7B" w:rsidRPr="00317B6A" w14:paraId="42AC8649" w14:textId="77777777" w:rsidTr="00DA1547">
        <w:trPr>
          <w:trHeight w:val="476"/>
        </w:trPr>
        <w:tc>
          <w:tcPr>
            <w:tcW w:w="562" w:type="dxa"/>
            <w:tcBorders>
              <w:bottom w:val="single" w:sz="4" w:space="0" w:color="auto"/>
            </w:tcBorders>
          </w:tcPr>
          <w:p w14:paraId="308FAEA2" w14:textId="37E5338E"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 xml:space="preserve">Projekta izstrādē iesaistītās institūcijas un publiskas </w:t>
            </w:r>
            <w:r w:rsidRPr="00943E1D">
              <w:lastRenderedPageBreak/>
              <w:t>personas kapitālsabiedrības</w:t>
            </w:r>
          </w:p>
        </w:tc>
        <w:tc>
          <w:tcPr>
            <w:tcW w:w="7755" w:type="dxa"/>
            <w:tcBorders>
              <w:bottom w:val="single" w:sz="4" w:space="0" w:color="auto"/>
            </w:tcBorders>
          </w:tcPr>
          <w:p w14:paraId="7C6826FC" w14:textId="15F30D49" w:rsidR="00643E6C" w:rsidRPr="00317B6A" w:rsidRDefault="00BB3C51" w:rsidP="00764C35">
            <w:pPr>
              <w:ind w:left="101" w:right="142"/>
              <w:jc w:val="both"/>
            </w:pPr>
            <w:r>
              <w:lastRenderedPageBreak/>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0B143C">
              <w:t xml:space="preserve"> Rēzeknes pilsētas pašvaldību</w:t>
            </w:r>
            <w:r w:rsidR="00F50808">
              <w:t>.</w:t>
            </w:r>
          </w:p>
        </w:tc>
      </w:tr>
      <w:tr w:rsidR="00585B7B" w:rsidRPr="00317B6A"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317B6A" w:rsidRDefault="00005A9D" w:rsidP="00BD696A">
            <w:pPr>
              <w:pStyle w:val="naiskr"/>
              <w:spacing w:before="0" w:after="0"/>
              <w:jc w:val="center"/>
            </w:pPr>
            <w:r w:rsidRPr="00317B6A">
              <w:lastRenderedPageBreak/>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732D22A" w:rsidR="002D5B95" w:rsidRPr="00317B6A" w:rsidRDefault="00EB687E" w:rsidP="00EB687E">
            <w:pPr>
              <w:ind w:left="114" w:right="127"/>
              <w:jc w:val="both"/>
            </w:pPr>
            <w:r w:rsidRPr="00EB687E">
              <w:t>Rīkojuma projekts tiešā veidā attiecas uz  budžeta un finanšu politiku. Pastarpināti Rīkojuma projekts attiecas uz  tūrisma, sporta un brīvā laika politiku (sporta politiku).</w:t>
            </w:r>
          </w:p>
        </w:tc>
      </w:tr>
    </w:tbl>
    <w:p w14:paraId="0D78B04E" w14:textId="6A104C51" w:rsidR="007C4713" w:rsidRDefault="007C4713">
      <w:pPr>
        <w:rPr>
          <w:b/>
          <w:bCs/>
        </w:rPr>
      </w:pPr>
    </w:p>
    <w:p w14:paraId="24F7D576" w14:textId="77777777" w:rsidR="00736911" w:rsidRDefault="00736911"/>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2A589423"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77777777" w:rsidR="00C66A35" w:rsidRPr="00B24229" w:rsidRDefault="00C66A35" w:rsidP="001B2A96">
            <w:pPr>
              <w:ind w:right="127"/>
              <w:jc w:val="center"/>
            </w:pPr>
            <w:r w:rsidRPr="00C3572A">
              <w:t>Projekts šo jomu neskar</w:t>
            </w:r>
          </w:p>
        </w:tc>
      </w:tr>
    </w:tbl>
    <w:p w14:paraId="747F53F0" w14:textId="77777777" w:rsidR="00C66A35" w:rsidRDefault="00C66A35"/>
    <w:p w14:paraId="427602C1" w14:textId="77777777" w:rsidR="006C697C" w:rsidRDefault="006C697C"/>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2"/>
        <w:gridCol w:w="1448"/>
        <w:gridCol w:w="1130"/>
        <w:gridCol w:w="1216"/>
        <w:gridCol w:w="1130"/>
        <w:gridCol w:w="1197"/>
        <w:gridCol w:w="1197"/>
      </w:tblGrid>
      <w:tr w:rsidR="00DA708F" w:rsidRPr="0033617F" w14:paraId="23001469" w14:textId="77777777" w:rsidTr="00D442BA">
        <w:trPr>
          <w:trHeight w:val="361"/>
          <w:jc w:val="center"/>
        </w:trPr>
        <w:tc>
          <w:tcPr>
            <w:tcW w:w="10685"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D442BA">
        <w:trPr>
          <w:jc w:val="center"/>
        </w:trPr>
        <w:tc>
          <w:tcPr>
            <w:tcW w:w="223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80" w:type="dxa"/>
            <w:gridSpan w:val="2"/>
            <w:vMerge w:val="restart"/>
            <w:vAlign w:val="center"/>
          </w:tcPr>
          <w:p w14:paraId="22EC0AC1" w14:textId="77777777" w:rsidR="00DA708F" w:rsidRPr="0033617F" w:rsidRDefault="008C2D86" w:rsidP="001B2A96">
            <w:pPr>
              <w:jc w:val="center"/>
              <w:rPr>
                <w:b/>
              </w:rPr>
            </w:pPr>
            <w:r>
              <w:rPr>
                <w:b/>
              </w:rPr>
              <w:t>2020</w:t>
            </w:r>
          </w:p>
        </w:tc>
        <w:tc>
          <w:tcPr>
            <w:tcW w:w="5870"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D442BA">
        <w:trPr>
          <w:jc w:val="center"/>
        </w:trPr>
        <w:tc>
          <w:tcPr>
            <w:tcW w:w="2235" w:type="dxa"/>
            <w:vMerge/>
            <w:vAlign w:val="center"/>
          </w:tcPr>
          <w:p w14:paraId="42C1DC4E" w14:textId="77777777" w:rsidR="00DA708F" w:rsidRPr="0033617F" w:rsidRDefault="00DA708F" w:rsidP="001B2A96">
            <w:pPr>
              <w:jc w:val="center"/>
              <w:rPr>
                <w:b/>
                <w:i/>
              </w:rPr>
            </w:pPr>
          </w:p>
        </w:tc>
        <w:tc>
          <w:tcPr>
            <w:tcW w:w="2580" w:type="dxa"/>
            <w:gridSpan w:val="2"/>
            <w:vMerge/>
            <w:vAlign w:val="center"/>
          </w:tcPr>
          <w:p w14:paraId="222D68FD" w14:textId="77777777" w:rsidR="00DA708F" w:rsidRPr="0033617F" w:rsidRDefault="00DA708F" w:rsidP="001B2A96">
            <w:pPr>
              <w:jc w:val="center"/>
              <w:rPr>
                <w:b/>
                <w:i/>
              </w:rPr>
            </w:pPr>
          </w:p>
        </w:tc>
        <w:tc>
          <w:tcPr>
            <w:tcW w:w="2346" w:type="dxa"/>
            <w:gridSpan w:val="2"/>
            <w:vAlign w:val="center"/>
          </w:tcPr>
          <w:p w14:paraId="432184C8" w14:textId="77777777" w:rsidR="00DA708F" w:rsidRPr="0033617F" w:rsidRDefault="008C2D86" w:rsidP="001B2A96">
            <w:pPr>
              <w:jc w:val="center"/>
              <w:rPr>
                <w:b/>
                <w:i/>
              </w:rPr>
            </w:pPr>
            <w:r>
              <w:rPr>
                <w:b/>
                <w:bCs/>
              </w:rPr>
              <w:t>2021</w:t>
            </w:r>
          </w:p>
        </w:tc>
        <w:tc>
          <w:tcPr>
            <w:tcW w:w="2327" w:type="dxa"/>
            <w:gridSpan w:val="2"/>
            <w:vAlign w:val="center"/>
          </w:tcPr>
          <w:p w14:paraId="77EFC272" w14:textId="77777777" w:rsidR="00DA708F" w:rsidRDefault="008C2D86" w:rsidP="001B2A96">
            <w:pPr>
              <w:jc w:val="center"/>
              <w:rPr>
                <w:b/>
                <w:bCs/>
              </w:rPr>
            </w:pPr>
            <w:r>
              <w:rPr>
                <w:b/>
                <w:bCs/>
              </w:rPr>
              <w:t>2022</w:t>
            </w:r>
          </w:p>
        </w:tc>
        <w:tc>
          <w:tcPr>
            <w:tcW w:w="1197"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D442BA">
        <w:trPr>
          <w:jc w:val="center"/>
        </w:trPr>
        <w:tc>
          <w:tcPr>
            <w:tcW w:w="2235" w:type="dxa"/>
            <w:vMerge/>
            <w:vAlign w:val="center"/>
          </w:tcPr>
          <w:p w14:paraId="5D836921" w14:textId="77777777" w:rsidR="00265934" w:rsidRPr="0033617F" w:rsidRDefault="00265934" w:rsidP="00265934">
            <w:pPr>
              <w:jc w:val="center"/>
              <w:rPr>
                <w:b/>
                <w:i/>
              </w:rPr>
            </w:pPr>
          </w:p>
        </w:tc>
        <w:tc>
          <w:tcPr>
            <w:tcW w:w="1132"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448" w:type="dxa"/>
            <w:vAlign w:val="center"/>
          </w:tcPr>
          <w:p w14:paraId="5FDBDFA1" w14:textId="4989E7F1" w:rsidR="00265934" w:rsidRPr="0033617F" w:rsidRDefault="00265934" w:rsidP="00265934">
            <w:pPr>
              <w:jc w:val="center"/>
              <w:rPr>
                <w:b/>
                <w:i/>
              </w:rPr>
            </w:pPr>
            <w:r w:rsidRPr="003350F2">
              <w:t>izmaiņas kārtējā gadā, salīdzinot ar budžetu kārtējam gadam</w:t>
            </w:r>
          </w:p>
        </w:tc>
        <w:tc>
          <w:tcPr>
            <w:tcW w:w="1130" w:type="dxa"/>
            <w:vAlign w:val="center"/>
          </w:tcPr>
          <w:p w14:paraId="111F124F" w14:textId="240B02E7" w:rsidR="00265934" w:rsidRPr="00183338" w:rsidRDefault="00265934" w:rsidP="00265934">
            <w:pPr>
              <w:jc w:val="center"/>
            </w:pPr>
            <w:r w:rsidRPr="003350F2">
              <w:t>saskaņā ar vidēja termiņa budžeta ietvaru</w:t>
            </w:r>
          </w:p>
        </w:tc>
        <w:tc>
          <w:tcPr>
            <w:tcW w:w="1216" w:type="dxa"/>
            <w:vAlign w:val="center"/>
          </w:tcPr>
          <w:p w14:paraId="6E599D60" w14:textId="77777777" w:rsidR="00265934" w:rsidRPr="003350F2" w:rsidRDefault="00265934" w:rsidP="00265934">
            <w:pPr>
              <w:jc w:val="center"/>
            </w:pPr>
            <w:r w:rsidRPr="003350F2">
              <w:t>izmaiņas, salīdzinot 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30" w:type="dxa"/>
            <w:vAlign w:val="center"/>
          </w:tcPr>
          <w:p w14:paraId="39658717" w14:textId="695023D4" w:rsidR="00265934" w:rsidRPr="00183338" w:rsidRDefault="00265934" w:rsidP="00265934">
            <w:pPr>
              <w:jc w:val="center"/>
            </w:pPr>
            <w:r w:rsidRPr="003350F2">
              <w:t>saskaņā ar vidēja termiņa budžeta ietvaru</w:t>
            </w:r>
          </w:p>
        </w:tc>
        <w:tc>
          <w:tcPr>
            <w:tcW w:w="1197" w:type="dxa"/>
            <w:vAlign w:val="center"/>
          </w:tcPr>
          <w:p w14:paraId="12EF6955" w14:textId="77777777" w:rsidR="00265934" w:rsidRPr="003350F2" w:rsidRDefault="00265934" w:rsidP="00265934">
            <w:pPr>
              <w:jc w:val="center"/>
            </w:pPr>
            <w:r w:rsidRPr="003350F2">
              <w:t xml:space="preserve">izmaiņas, salīdzinot 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197" w:type="dxa"/>
            <w:vAlign w:val="center"/>
          </w:tcPr>
          <w:p w14:paraId="1A1F803F" w14:textId="77777777" w:rsidR="00265934" w:rsidRPr="003350F2" w:rsidRDefault="00265934" w:rsidP="00265934">
            <w:pPr>
              <w:jc w:val="center"/>
            </w:pPr>
            <w:r w:rsidRPr="003350F2">
              <w:t xml:space="preserve">izmaiņas, salīdzinot 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D442BA">
        <w:trPr>
          <w:jc w:val="center"/>
        </w:trPr>
        <w:tc>
          <w:tcPr>
            <w:tcW w:w="2235" w:type="dxa"/>
            <w:vAlign w:val="center"/>
          </w:tcPr>
          <w:p w14:paraId="02288EDF" w14:textId="77777777" w:rsidR="00DA708F" w:rsidRPr="0033617F" w:rsidRDefault="00DA708F" w:rsidP="001B2A96">
            <w:pPr>
              <w:jc w:val="center"/>
              <w:rPr>
                <w:bCs/>
              </w:rPr>
            </w:pPr>
            <w:r w:rsidRPr="0033617F">
              <w:rPr>
                <w:bCs/>
              </w:rPr>
              <w:t>1</w:t>
            </w:r>
          </w:p>
        </w:tc>
        <w:tc>
          <w:tcPr>
            <w:tcW w:w="1132" w:type="dxa"/>
            <w:vAlign w:val="center"/>
          </w:tcPr>
          <w:p w14:paraId="68FDB516" w14:textId="77777777" w:rsidR="00DA708F" w:rsidRPr="0033617F" w:rsidRDefault="00DA708F" w:rsidP="001B2A96">
            <w:pPr>
              <w:jc w:val="center"/>
              <w:rPr>
                <w:bCs/>
              </w:rPr>
            </w:pPr>
            <w:r w:rsidRPr="0033617F">
              <w:rPr>
                <w:bCs/>
              </w:rPr>
              <w:t>2</w:t>
            </w:r>
          </w:p>
        </w:tc>
        <w:tc>
          <w:tcPr>
            <w:tcW w:w="1448" w:type="dxa"/>
            <w:vAlign w:val="center"/>
          </w:tcPr>
          <w:p w14:paraId="6818F00C" w14:textId="77777777" w:rsidR="00DA708F" w:rsidRPr="0033617F" w:rsidRDefault="00DA708F" w:rsidP="001B2A96">
            <w:pPr>
              <w:jc w:val="center"/>
              <w:rPr>
                <w:bCs/>
              </w:rPr>
            </w:pPr>
            <w:r w:rsidRPr="0033617F">
              <w:rPr>
                <w:bCs/>
              </w:rPr>
              <w:t>3</w:t>
            </w:r>
          </w:p>
        </w:tc>
        <w:tc>
          <w:tcPr>
            <w:tcW w:w="1130" w:type="dxa"/>
            <w:vAlign w:val="center"/>
          </w:tcPr>
          <w:p w14:paraId="1FBDF226" w14:textId="77777777" w:rsidR="00DA708F" w:rsidRPr="0033617F" w:rsidRDefault="00DA708F" w:rsidP="001B2A96">
            <w:pPr>
              <w:jc w:val="center"/>
              <w:rPr>
                <w:bCs/>
              </w:rPr>
            </w:pPr>
            <w:r w:rsidRPr="0033617F">
              <w:rPr>
                <w:bCs/>
              </w:rPr>
              <w:t>4</w:t>
            </w:r>
          </w:p>
        </w:tc>
        <w:tc>
          <w:tcPr>
            <w:tcW w:w="1216" w:type="dxa"/>
            <w:vAlign w:val="center"/>
          </w:tcPr>
          <w:p w14:paraId="54FF63F6" w14:textId="77777777" w:rsidR="00DA708F" w:rsidRPr="0033617F" w:rsidRDefault="00DA708F" w:rsidP="001B2A96">
            <w:pPr>
              <w:jc w:val="center"/>
              <w:rPr>
                <w:bCs/>
              </w:rPr>
            </w:pPr>
            <w:r w:rsidRPr="0033617F">
              <w:rPr>
                <w:bCs/>
              </w:rPr>
              <w:t>5</w:t>
            </w:r>
          </w:p>
        </w:tc>
        <w:tc>
          <w:tcPr>
            <w:tcW w:w="1130" w:type="dxa"/>
            <w:vAlign w:val="center"/>
          </w:tcPr>
          <w:p w14:paraId="64AAAB22" w14:textId="77777777" w:rsidR="00DA708F" w:rsidRPr="0033617F" w:rsidRDefault="00DA708F" w:rsidP="001B2A96">
            <w:pPr>
              <w:jc w:val="center"/>
              <w:rPr>
                <w:bCs/>
              </w:rPr>
            </w:pPr>
            <w:r w:rsidRPr="0033617F">
              <w:rPr>
                <w:bCs/>
              </w:rPr>
              <w:t>6</w:t>
            </w:r>
          </w:p>
        </w:tc>
        <w:tc>
          <w:tcPr>
            <w:tcW w:w="1197" w:type="dxa"/>
          </w:tcPr>
          <w:p w14:paraId="02741E3B" w14:textId="77777777" w:rsidR="00DA708F" w:rsidRPr="0033617F" w:rsidRDefault="00DA708F" w:rsidP="001B2A96">
            <w:pPr>
              <w:jc w:val="center"/>
              <w:rPr>
                <w:bCs/>
              </w:rPr>
            </w:pPr>
            <w:r>
              <w:rPr>
                <w:bCs/>
              </w:rPr>
              <w:t>7</w:t>
            </w:r>
          </w:p>
        </w:tc>
        <w:tc>
          <w:tcPr>
            <w:tcW w:w="1197"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D442BA">
        <w:trPr>
          <w:jc w:val="center"/>
        </w:trPr>
        <w:tc>
          <w:tcPr>
            <w:tcW w:w="2235" w:type="dxa"/>
          </w:tcPr>
          <w:p w14:paraId="452173D7" w14:textId="77777777" w:rsidR="00DA708F" w:rsidRPr="0033617F" w:rsidRDefault="00DA708F" w:rsidP="001B2A96">
            <w:pPr>
              <w:rPr>
                <w:i/>
              </w:rPr>
            </w:pPr>
            <w:r w:rsidRPr="0033617F">
              <w:t>1. Budžeta ieņēmumi:</w:t>
            </w:r>
          </w:p>
        </w:tc>
        <w:tc>
          <w:tcPr>
            <w:tcW w:w="1132" w:type="dxa"/>
          </w:tcPr>
          <w:p w14:paraId="2F65E935" w14:textId="77777777" w:rsidR="00DA708F" w:rsidRPr="0033617F" w:rsidRDefault="00DA708F" w:rsidP="001B2A96">
            <w:pPr>
              <w:jc w:val="center"/>
              <w:rPr>
                <w:b/>
              </w:rPr>
            </w:pPr>
            <w:r w:rsidRPr="0033617F">
              <w:rPr>
                <w:b/>
              </w:rPr>
              <w:t>0</w:t>
            </w:r>
          </w:p>
        </w:tc>
        <w:tc>
          <w:tcPr>
            <w:tcW w:w="1448" w:type="dxa"/>
          </w:tcPr>
          <w:p w14:paraId="73B05185" w14:textId="77777777" w:rsidR="00DA708F" w:rsidRPr="0033617F" w:rsidRDefault="00DA708F" w:rsidP="001B2A96">
            <w:pPr>
              <w:jc w:val="center"/>
              <w:rPr>
                <w:b/>
              </w:rPr>
            </w:pPr>
            <w:r w:rsidRPr="0033617F">
              <w:rPr>
                <w:b/>
              </w:rPr>
              <w:t>0</w:t>
            </w:r>
          </w:p>
        </w:tc>
        <w:tc>
          <w:tcPr>
            <w:tcW w:w="1130" w:type="dxa"/>
          </w:tcPr>
          <w:p w14:paraId="4E344F28" w14:textId="77777777" w:rsidR="00DA708F" w:rsidRPr="0033617F" w:rsidRDefault="00DA708F" w:rsidP="001B2A96">
            <w:pPr>
              <w:jc w:val="center"/>
              <w:rPr>
                <w:b/>
              </w:rPr>
            </w:pPr>
            <w:r w:rsidRPr="0033617F">
              <w:rPr>
                <w:b/>
              </w:rPr>
              <w:t>0</w:t>
            </w:r>
          </w:p>
        </w:tc>
        <w:tc>
          <w:tcPr>
            <w:tcW w:w="1216" w:type="dxa"/>
          </w:tcPr>
          <w:p w14:paraId="47CD847A" w14:textId="77777777" w:rsidR="00DA708F" w:rsidRPr="0033617F" w:rsidRDefault="00DA708F" w:rsidP="001B2A96">
            <w:pPr>
              <w:jc w:val="center"/>
              <w:rPr>
                <w:b/>
              </w:rPr>
            </w:pPr>
            <w:r w:rsidRPr="0033617F">
              <w:rPr>
                <w:b/>
              </w:rPr>
              <w:t>0</w:t>
            </w:r>
          </w:p>
        </w:tc>
        <w:tc>
          <w:tcPr>
            <w:tcW w:w="1130" w:type="dxa"/>
          </w:tcPr>
          <w:p w14:paraId="32601915" w14:textId="77777777" w:rsidR="00DA708F" w:rsidRPr="0033617F" w:rsidRDefault="00DA708F" w:rsidP="001B2A96">
            <w:pPr>
              <w:jc w:val="center"/>
              <w:rPr>
                <w:b/>
              </w:rPr>
            </w:pPr>
            <w:r w:rsidRPr="0033617F">
              <w:rPr>
                <w:b/>
              </w:rPr>
              <w:t>0</w:t>
            </w:r>
          </w:p>
        </w:tc>
        <w:tc>
          <w:tcPr>
            <w:tcW w:w="1197" w:type="dxa"/>
          </w:tcPr>
          <w:p w14:paraId="2BAF0F86" w14:textId="77777777" w:rsidR="00DA708F" w:rsidRPr="0033617F" w:rsidRDefault="00DA708F" w:rsidP="001B2A96">
            <w:pPr>
              <w:jc w:val="center"/>
              <w:rPr>
                <w:b/>
              </w:rPr>
            </w:pPr>
            <w:r>
              <w:rPr>
                <w:b/>
              </w:rPr>
              <w:t>0</w:t>
            </w:r>
          </w:p>
        </w:tc>
        <w:tc>
          <w:tcPr>
            <w:tcW w:w="1197" w:type="dxa"/>
          </w:tcPr>
          <w:p w14:paraId="75F359CC" w14:textId="77777777" w:rsidR="00DA708F" w:rsidRPr="0033617F" w:rsidRDefault="00DA708F" w:rsidP="001B2A96">
            <w:pPr>
              <w:jc w:val="center"/>
              <w:rPr>
                <w:b/>
              </w:rPr>
            </w:pPr>
            <w:r>
              <w:rPr>
                <w:b/>
              </w:rPr>
              <w:t>0</w:t>
            </w:r>
          </w:p>
        </w:tc>
      </w:tr>
      <w:tr w:rsidR="00DA708F" w:rsidRPr="0033617F" w14:paraId="0FB39F8E" w14:textId="77777777" w:rsidTr="00D442BA">
        <w:trPr>
          <w:jc w:val="center"/>
        </w:trPr>
        <w:tc>
          <w:tcPr>
            <w:tcW w:w="223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32" w:type="dxa"/>
          </w:tcPr>
          <w:p w14:paraId="110BA630" w14:textId="77777777" w:rsidR="00DA708F" w:rsidRPr="0033617F" w:rsidRDefault="00DA708F" w:rsidP="001B2A96">
            <w:pPr>
              <w:jc w:val="center"/>
              <w:rPr>
                <w:i/>
              </w:rPr>
            </w:pPr>
          </w:p>
        </w:tc>
        <w:tc>
          <w:tcPr>
            <w:tcW w:w="1448" w:type="dxa"/>
          </w:tcPr>
          <w:p w14:paraId="06F3322B" w14:textId="77777777" w:rsidR="00DA708F" w:rsidRPr="0033617F" w:rsidRDefault="00DA708F" w:rsidP="001B2A96">
            <w:pPr>
              <w:jc w:val="center"/>
              <w:rPr>
                <w:i/>
              </w:rPr>
            </w:pPr>
          </w:p>
        </w:tc>
        <w:tc>
          <w:tcPr>
            <w:tcW w:w="1130" w:type="dxa"/>
          </w:tcPr>
          <w:p w14:paraId="3AD84DF9" w14:textId="77777777" w:rsidR="00DA708F" w:rsidRPr="0033617F" w:rsidRDefault="00DA708F" w:rsidP="001B2A96">
            <w:pPr>
              <w:jc w:val="center"/>
              <w:rPr>
                <w:i/>
              </w:rPr>
            </w:pPr>
          </w:p>
        </w:tc>
        <w:tc>
          <w:tcPr>
            <w:tcW w:w="1216" w:type="dxa"/>
          </w:tcPr>
          <w:p w14:paraId="173425B2" w14:textId="77777777" w:rsidR="00DA708F" w:rsidRPr="0033617F" w:rsidRDefault="00DA708F" w:rsidP="001B2A96">
            <w:pPr>
              <w:jc w:val="center"/>
              <w:rPr>
                <w:i/>
              </w:rPr>
            </w:pPr>
          </w:p>
        </w:tc>
        <w:tc>
          <w:tcPr>
            <w:tcW w:w="1130" w:type="dxa"/>
          </w:tcPr>
          <w:p w14:paraId="4696E825" w14:textId="77777777" w:rsidR="00DA708F" w:rsidRPr="0033617F" w:rsidRDefault="00DA708F" w:rsidP="001B2A96">
            <w:pPr>
              <w:jc w:val="center"/>
              <w:rPr>
                <w:i/>
              </w:rPr>
            </w:pPr>
          </w:p>
        </w:tc>
        <w:tc>
          <w:tcPr>
            <w:tcW w:w="1197" w:type="dxa"/>
          </w:tcPr>
          <w:p w14:paraId="26549C0C" w14:textId="77777777" w:rsidR="00DA708F" w:rsidRPr="0033617F" w:rsidRDefault="00DA708F" w:rsidP="001B2A96">
            <w:pPr>
              <w:jc w:val="center"/>
              <w:rPr>
                <w:i/>
              </w:rPr>
            </w:pPr>
          </w:p>
        </w:tc>
        <w:tc>
          <w:tcPr>
            <w:tcW w:w="1197" w:type="dxa"/>
          </w:tcPr>
          <w:p w14:paraId="16F35293" w14:textId="77777777" w:rsidR="00DA708F" w:rsidRPr="0033617F" w:rsidRDefault="00DA708F" w:rsidP="001B2A96">
            <w:pPr>
              <w:jc w:val="center"/>
              <w:rPr>
                <w:i/>
              </w:rPr>
            </w:pPr>
          </w:p>
        </w:tc>
      </w:tr>
      <w:tr w:rsidR="00DA708F" w:rsidRPr="0033617F" w14:paraId="3FD3E7F1" w14:textId="77777777" w:rsidTr="00D442BA">
        <w:trPr>
          <w:jc w:val="center"/>
        </w:trPr>
        <w:tc>
          <w:tcPr>
            <w:tcW w:w="2235" w:type="dxa"/>
          </w:tcPr>
          <w:p w14:paraId="78FCCF5E" w14:textId="77777777" w:rsidR="00DA708F" w:rsidRPr="0033617F" w:rsidRDefault="00DA708F" w:rsidP="001B2A96">
            <w:pPr>
              <w:rPr>
                <w:i/>
              </w:rPr>
            </w:pPr>
            <w:r w:rsidRPr="0033617F">
              <w:t>1.2. valsts speciālais budžets</w:t>
            </w:r>
          </w:p>
        </w:tc>
        <w:tc>
          <w:tcPr>
            <w:tcW w:w="1132" w:type="dxa"/>
          </w:tcPr>
          <w:p w14:paraId="15AC3F9D" w14:textId="77777777" w:rsidR="00DA708F" w:rsidRPr="0033617F" w:rsidRDefault="00DA708F" w:rsidP="001B2A96">
            <w:pPr>
              <w:jc w:val="center"/>
            </w:pPr>
          </w:p>
        </w:tc>
        <w:tc>
          <w:tcPr>
            <w:tcW w:w="1448" w:type="dxa"/>
          </w:tcPr>
          <w:p w14:paraId="0C112442" w14:textId="77777777" w:rsidR="00DA708F" w:rsidRPr="0033617F" w:rsidRDefault="00DA708F" w:rsidP="001B2A96">
            <w:pPr>
              <w:jc w:val="center"/>
            </w:pPr>
          </w:p>
        </w:tc>
        <w:tc>
          <w:tcPr>
            <w:tcW w:w="1130" w:type="dxa"/>
          </w:tcPr>
          <w:p w14:paraId="08A8B0A0" w14:textId="77777777" w:rsidR="00DA708F" w:rsidRPr="0033617F" w:rsidRDefault="00DA708F" w:rsidP="001B2A96">
            <w:pPr>
              <w:jc w:val="center"/>
            </w:pPr>
          </w:p>
        </w:tc>
        <w:tc>
          <w:tcPr>
            <w:tcW w:w="1216" w:type="dxa"/>
          </w:tcPr>
          <w:p w14:paraId="4A8CA9E3" w14:textId="77777777" w:rsidR="00DA708F" w:rsidRPr="0033617F" w:rsidRDefault="00DA708F" w:rsidP="001B2A96">
            <w:pPr>
              <w:jc w:val="center"/>
            </w:pPr>
          </w:p>
        </w:tc>
        <w:tc>
          <w:tcPr>
            <w:tcW w:w="1130" w:type="dxa"/>
          </w:tcPr>
          <w:p w14:paraId="115E5969" w14:textId="77777777" w:rsidR="00DA708F" w:rsidRPr="0033617F" w:rsidRDefault="00DA708F" w:rsidP="001B2A96">
            <w:pPr>
              <w:jc w:val="center"/>
            </w:pPr>
          </w:p>
        </w:tc>
        <w:tc>
          <w:tcPr>
            <w:tcW w:w="1197" w:type="dxa"/>
          </w:tcPr>
          <w:p w14:paraId="6B98D2DB" w14:textId="77777777" w:rsidR="00DA708F" w:rsidRPr="0033617F" w:rsidRDefault="00DA708F" w:rsidP="001B2A96">
            <w:pPr>
              <w:jc w:val="center"/>
            </w:pPr>
          </w:p>
        </w:tc>
        <w:tc>
          <w:tcPr>
            <w:tcW w:w="1197" w:type="dxa"/>
          </w:tcPr>
          <w:p w14:paraId="60DE00DC" w14:textId="77777777" w:rsidR="00DA708F" w:rsidRPr="0033617F" w:rsidRDefault="00DA708F" w:rsidP="001B2A96">
            <w:pPr>
              <w:jc w:val="center"/>
            </w:pPr>
          </w:p>
        </w:tc>
      </w:tr>
      <w:tr w:rsidR="00DA708F" w:rsidRPr="0033617F" w14:paraId="3BF23EE2" w14:textId="77777777" w:rsidTr="00D442BA">
        <w:trPr>
          <w:jc w:val="center"/>
        </w:trPr>
        <w:tc>
          <w:tcPr>
            <w:tcW w:w="2235" w:type="dxa"/>
          </w:tcPr>
          <w:p w14:paraId="3F75D13B" w14:textId="77777777" w:rsidR="00DA708F" w:rsidRPr="0033617F" w:rsidRDefault="00DA708F" w:rsidP="001B2A96">
            <w:pPr>
              <w:rPr>
                <w:i/>
              </w:rPr>
            </w:pPr>
            <w:r w:rsidRPr="0033617F">
              <w:t>1.3. pašvaldību budžets</w:t>
            </w:r>
          </w:p>
        </w:tc>
        <w:tc>
          <w:tcPr>
            <w:tcW w:w="1132" w:type="dxa"/>
          </w:tcPr>
          <w:p w14:paraId="25E8A59E" w14:textId="77777777" w:rsidR="00DA708F" w:rsidRPr="0033617F" w:rsidRDefault="00DA708F" w:rsidP="001B2A96">
            <w:pPr>
              <w:jc w:val="center"/>
            </w:pPr>
          </w:p>
        </w:tc>
        <w:tc>
          <w:tcPr>
            <w:tcW w:w="1448" w:type="dxa"/>
          </w:tcPr>
          <w:p w14:paraId="6926686D" w14:textId="77777777" w:rsidR="00DA708F" w:rsidRPr="0033617F" w:rsidRDefault="00DA708F" w:rsidP="001B2A96">
            <w:pPr>
              <w:jc w:val="center"/>
            </w:pPr>
          </w:p>
        </w:tc>
        <w:tc>
          <w:tcPr>
            <w:tcW w:w="1130" w:type="dxa"/>
          </w:tcPr>
          <w:p w14:paraId="01810920" w14:textId="77777777" w:rsidR="00DA708F" w:rsidRPr="0033617F" w:rsidRDefault="00DA708F" w:rsidP="001B2A96">
            <w:pPr>
              <w:jc w:val="center"/>
            </w:pPr>
          </w:p>
        </w:tc>
        <w:tc>
          <w:tcPr>
            <w:tcW w:w="1216" w:type="dxa"/>
          </w:tcPr>
          <w:p w14:paraId="4E47B6D6" w14:textId="77777777" w:rsidR="00DA708F" w:rsidRPr="0033617F" w:rsidRDefault="00DA708F" w:rsidP="001B2A96">
            <w:pPr>
              <w:jc w:val="center"/>
            </w:pPr>
          </w:p>
        </w:tc>
        <w:tc>
          <w:tcPr>
            <w:tcW w:w="1130" w:type="dxa"/>
          </w:tcPr>
          <w:p w14:paraId="303E2203" w14:textId="77777777" w:rsidR="00DA708F" w:rsidRPr="0033617F" w:rsidRDefault="00DA708F" w:rsidP="001B2A96">
            <w:pPr>
              <w:jc w:val="center"/>
            </w:pPr>
          </w:p>
        </w:tc>
        <w:tc>
          <w:tcPr>
            <w:tcW w:w="1197" w:type="dxa"/>
          </w:tcPr>
          <w:p w14:paraId="5AAB8C1A" w14:textId="77777777" w:rsidR="00DA708F" w:rsidRPr="0033617F" w:rsidRDefault="00DA708F" w:rsidP="001B2A96">
            <w:pPr>
              <w:jc w:val="center"/>
            </w:pPr>
          </w:p>
        </w:tc>
        <w:tc>
          <w:tcPr>
            <w:tcW w:w="1197" w:type="dxa"/>
          </w:tcPr>
          <w:p w14:paraId="022AB86F" w14:textId="77777777" w:rsidR="00DA708F" w:rsidRPr="0033617F" w:rsidRDefault="00DA708F" w:rsidP="001B2A96">
            <w:pPr>
              <w:jc w:val="center"/>
            </w:pPr>
          </w:p>
        </w:tc>
      </w:tr>
      <w:tr w:rsidR="00DA708F" w:rsidRPr="0033617F" w14:paraId="2BFA35C4" w14:textId="77777777" w:rsidTr="00D442BA">
        <w:trPr>
          <w:jc w:val="center"/>
        </w:trPr>
        <w:tc>
          <w:tcPr>
            <w:tcW w:w="2235" w:type="dxa"/>
          </w:tcPr>
          <w:p w14:paraId="576345A9" w14:textId="77777777" w:rsidR="00DA708F" w:rsidRPr="0033617F" w:rsidRDefault="00DA708F" w:rsidP="001B2A96">
            <w:r w:rsidRPr="0033617F">
              <w:t>2. Budžeta izdevumi:</w:t>
            </w:r>
          </w:p>
        </w:tc>
        <w:tc>
          <w:tcPr>
            <w:tcW w:w="1132" w:type="dxa"/>
          </w:tcPr>
          <w:p w14:paraId="167441E8" w14:textId="77777777" w:rsidR="00DA708F" w:rsidRPr="004B2478" w:rsidRDefault="00DA708F" w:rsidP="001B2A96">
            <w:pPr>
              <w:jc w:val="center"/>
              <w:rPr>
                <w:b/>
              </w:rPr>
            </w:pPr>
            <w:r w:rsidRPr="004B2478">
              <w:rPr>
                <w:b/>
              </w:rPr>
              <w:t>0</w:t>
            </w:r>
          </w:p>
        </w:tc>
        <w:tc>
          <w:tcPr>
            <w:tcW w:w="1448" w:type="dxa"/>
          </w:tcPr>
          <w:p w14:paraId="05112F23" w14:textId="38D66EDA" w:rsidR="00DA708F" w:rsidRPr="004B2478" w:rsidRDefault="00BD3F90" w:rsidP="00BD3F90">
            <w:pPr>
              <w:jc w:val="center"/>
              <w:rPr>
                <w:b/>
              </w:rPr>
            </w:pPr>
            <w:r>
              <w:rPr>
                <w:b/>
              </w:rPr>
              <w:t>953 942</w:t>
            </w:r>
          </w:p>
        </w:tc>
        <w:tc>
          <w:tcPr>
            <w:tcW w:w="1130" w:type="dxa"/>
          </w:tcPr>
          <w:p w14:paraId="7F49FA9F" w14:textId="77777777" w:rsidR="00DA708F" w:rsidRPr="00317B6A" w:rsidRDefault="00DA708F" w:rsidP="001B2A96">
            <w:pPr>
              <w:jc w:val="center"/>
              <w:rPr>
                <w:b/>
              </w:rPr>
            </w:pPr>
            <w:r w:rsidRPr="00317B6A">
              <w:rPr>
                <w:b/>
              </w:rPr>
              <w:t>0</w:t>
            </w:r>
          </w:p>
        </w:tc>
        <w:tc>
          <w:tcPr>
            <w:tcW w:w="1216" w:type="dxa"/>
          </w:tcPr>
          <w:p w14:paraId="5420ACB5" w14:textId="77777777" w:rsidR="00DA708F" w:rsidRPr="00317B6A" w:rsidRDefault="00DA708F" w:rsidP="001B2A96">
            <w:pPr>
              <w:jc w:val="center"/>
              <w:rPr>
                <w:b/>
              </w:rPr>
            </w:pPr>
            <w:r w:rsidRPr="00317B6A">
              <w:rPr>
                <w:b/>
              </w:rPr>
              <w:t>0</w:t>
            </w:r>
          </w:p>
        </w:tc>
        <w:tc>
          <w:tcPr>
            <w:tcW w:w="1130" w:type="dxa"/>
          </w:tcPr>
          <w:p w14:paraId="048E7AD8" w14:textId="77777777" w:rsidR="00DA708F" w:rsidRPr="00317B6A" w:rsidRDefault="00DA708F" w:rsidP="001B2A96">
            <w:pPr>
              <w:jc w:val="center"/>
              <w:rPr>
                <w:b/>
              </w:rPr>
            </w:pPr>
            <w:r w:rsidRPr="00317B6A">
              <w:rPr>
                <w:b/>
              </w:rPr>
              <w:t>0</w:t>
            </w:r>
          </w:p>
        </w:tc>
        <w:tc>
          <w:tcPr>
            <w:tcW w:w="1197" w:type="dxa"/>
          </w:tcPr>
          <w:p w14:paraId="690B50D6" w14:textId="77777777" w:rsidR="00DA708F" w:rsidRPr="00317B6A" w:rsidRDefault="00DA708F" w:rsidP="001B2A96">
            <w:pPr>
              <w:jc w:val="center"/>
              <w:rPr>
                <w:b/>
              </w:rPr>
            </w:pPr>
            <w:r>
              <w:rPr>
                <w:b/>
              </w:rPr>
              <w:t>0</w:t>
            </w:r>
          </w:p>
        </w:tc>
        <w:tc>
          <w:tcPr>
            <w:tcW w:w="1197" w:type="dxa"/>
          </w:tcPr>
          <w:p w14:paraId="72290D90" w14:textId="77777777" w:rsidR="00DA708F" w:rsidRPr="00317B6A" w:rsidRDefault="00DA708F" w:rsidP="001B2A96">
            <w:pPr>
              <w:jc w:val="center"/>
              <w:rPr>
                <w:b/>
              </w:rPr>
            </w:pPr>
            <w:r>
              <w:rPr>
                <w:b/>
              </w:rPr>
              <w:t>0</w:t>
            </w:r>
          </w:p>
        </w:tc>
      </w:tr>
      <w:tr w:rsidR="00DA708F" w:rsidRPr="0033617F" w14:paraId="4725DAAC" w14:textId="77777777" w:rsidTr="00D442BA">
        <w:trPr>
          <w:jc w:val="center"/>
        </w:trPr>
        <w:tc>
          <w:tcPr>
            <w:tcW w:w="2235" w:type="dxa"/>
          </w:tcPr>
          <w:p w14:paraId="38ED5BC6" w14:textId="77777777" w:rsidR="00DA708F" w:rsidRPr="0033617F" w:rsidRDefault="00DA708F" w:rsidP="001B2A96">
            <w:r w:rsidRPr="0033617F">
              <w:t>2.1. valsts pamatbudžets</w:t>
            </w:r>
          </w:p>
        </w:tc>
        <w:tc>
          <w:tcPr>
            <w:tcW w:w="1132" w:type="dxa"/>
          </w:tcPr>
          <w:p w14:paraId="04E67DEB" w14:textId="77777777" w:rsidR="00DA708F" w:rsidRPr="004B2478" w:rsidRDefault="00DA708F" w:rsidP="001B2A96">
            <w:pPr>
              <w:jc w:val="center"/>
              <w:rPr>
                <w:i/>
              </w:rPr>
            </w:pPr>
            <w:r w:rsidRPr="004B2478">
              <w:rPr>
                <w:i/>
              </w:rPr>
              <w:t>0</w:t>
            </w:r>
          </w:p>
        </w:tc>
        <w:tc>
          <w:tcPr>
            <w:tcW w:w="1448" w:type="dxa"/>
          </w:tcPr>
          <w:p w14:paraId="197962AF" w14:textId="1ED9CCF3" w:rsidR="00DA708F" w:rsidRPr="004B2478" w:rsidRDefault="00BD3F90" w:rsidP="00BD3F90">
            <w:pPr>
              <w:jc w:val="center"/>
              <w:rPr>
                <w:i/>
              </w:rPr>
            </w:pPr>
            <w:r>
              <w:rPr>
                <w:i/>
              </w:rPr>
              <w:t>953 942</w:t>
            </w:r>
          </w:p>
        </w:tc>
        <w:tc>
          <w:tcPr>
            <w:tcW w:w="1130" w:type="dxa"/>
          </w:tcPr>
          <w:p w14:paraId="60CBA3E5" w14:textId="77777777" w:rsidR="00DA708F" w:rsidRPr="00317B6A" w:rsidRDefault="00DA708F" w:rsidP="001B2A96">
            <w:pPr>
              <w:jc w:val="center"/>
              <w:rPr>
                <w:i/>
              </w:rPr>
            </w:pPr>
            <w:r w:rsidRPr="00317B6A">
              <w:rPr>
                <w:i/>
              </w:rPr>
              <w:t>0</w:t>
            </w:r>
          </w:p>
        </w:tc>
        <w:tc>
          <w:tcPr>
            <w:tcW w:w="1216" w:type="dxa"/>
          </w:tcPr>
          <w:p w14:paraId="7F5B7D9A" w14:textId="77777777" w:rsidR="00DA708F" w:rsidRPr="00317B6A" w:rsidRDefault="00DA708F" w:rsidP="001B2A96">
            <w:pPr>
              <w:jc w:val="center"/>
              <w:rPr>
                <w:i/>
              </w:rPr>
            </w:pPr>
            <w:r w:rsidRPr="00317B6A">
              <w:rPr>
                <w:i/>
              </w:rPr>
              <w:t>0</w:t>
            </w:r>
          </w:p>
        </w:tc>
        <w:tc>
          <w:tcPr>
            <w:tcW w:w="1130" w:type="dxa"/>
          </w:tcPr>
          <w:p w14:paraId="73EE6EFC" w14:textId="77777777" w:rsidR="00DA708F" w:rsidRPr="00317B6A" w:rsidRDefault="00DA708F" w:rsidP="001B2A96">
            <w:pPr>
              <w:jc w:val="center"/>
              <w:rPr>
                <w:i/>
              </w:rPr>
            </w:pPr>
            <w:r w:rsidRPr="00317B6A">
              <w:rPr>
                <w:i/>
              </w:rPr>
              <w:t>0</w:t>
            </w:r>
          </w:p>
        </w:tc>
        <w:tc>
          <w:tcPr>
            <w:tcW w:w="1197" w:type="dxa"/>
          </w:tcPr>
          <w:p w14:paraId="1D24A512" w14:textId="77777777" w:rsidR="00DA708F" w:rsidRPr="00317B6A" w:rsidRDefault="00DA708F" w:rsidP="001B2A96">
            <w:pPr>
              <w:jc w:val="center"/>
              <w:rPr>
                <w:i/>
              </w:rPr>
            </w:pPr>
            <w:r>
              <w:rPr>
                <w:i/>
              </w:rPr>
              <w:t>0</w:t>
            </w:r>
          </w:p>
        </w:tc>
        <w:tc>
          <w:tcPr>
            <w:tcW w:w="1197" w:type="dxa"/>
          </w:tcPr>
          <w:p w14:paraId="21DD7031" w14:textId="77777777" w:rsidR="00DA708F" w:rsidRPr="00317B6A" w:rsidRDefault="00DA708F" w:rsidP="001B2A96">
            <w:pPr>
              <w:jc w:val="center"/>
              <w:rPr>
                <w:i/>
              </w:rPr>
            </w:pPr>
            <w:r>
              <w:rPr>
                <w:i/>
              </w:rPr>
              <w:t>0</w:t>
            </w:r>
          </w:p>
        </w:tc>
      </w:tr>
      <w:tr w:rsidR="00DA708F" w:rsidRPr="0033617F" w14:paraId="5715E9BE" w14:textId="77777777" w:rsidTr="00D442BA">
        <w:trPr>
          <w:jc w:val="center"/>
        </w:trPr>
        <w:tc>
          <w:tcPr>
            <w:tcW w:w="2235" w:type="dxa"/>
          </w:tcPr>
          <w:p w14:paraId="1242CE48" w14:textId="77777777" w:rsidR="00DA708F" w:rsidRPr="0033617F" w:rsidRDefault="00DA708F" w:rsidP="001B2A96">
            <w:r w:rsidRPr="0033617F">
              <w:t>2.2. valsts speciālais budžets</w:t>
            </w:r>
          </w:p>
        </w:tc>
        <w:tc>
          <w:tcPr>
            <w:tcW w:w="1132" w:type="dxa"/>
          </w:tcPr>
          <w:p w14:paraId="27F052CF" w14:textId="77777777" w:rsidR="00DA708F" w:rsidRPr="004B2478" w:rsidRDefault="00DA708F" w:rsidP="001B2A96">
            <w:pPr>
              <w:jc w:val="center"/>
            </w:pPr>
          </w:p>
        </w:tc>
        <w:tc>
          <w:tcPr>
            <w:tcW w:w="1448" w:type="dxa"/>
          </w:tcPr>
          <w:p w14:paraId="49A5A0F2" w14:textId="77777777" w:rsidR="00DA708F" w:rsidRPr="004B2478" w:rsidRDefault="00DA708F" w:rsidP="001B2A96">
            <w:pPr>
              <w:jc w:val="center"/>
            </w:pPr>
          </w:p>
        </w:tc>
        <w:tc>
          <w:tcPr>
            <w:tcW w:w="1130" w:type="dxa"/>
          </w:tcPr>
          <w:p w14:paraId="721C4445" w14:textId="77777777" w:rsidR="00DA708F" w:rsidRPr="00317B6A" w:rsidRDefault="00DA708F" w:rsidP="001B2A96">
            <w:pPr>
              <w:jc w:val="center"/>
            </w:pPr>
          </w:p>
        </w:tc>
        <w:tc>
          <w:tcPr>
            <w:tcW w:w="1216" w:type="dxa"/>
          </w:tcPr>
          <w:p w14:paraId="4173FB89" w14:textId="77777777" w:rsidR="00DA708F" w:rsidRPr="00317B6A" w:rsidRDefault="00DA708F" w:rsidP="001B2A96">
            <w:pPr>
              <w:jc w:val="center"/>
            </w:pPr>
          </w:p>
        </w:tc>
        <w:tc>
          <w:tcPr>
            <w:tcW w:w="1130" w:type="dxa"/>
          </w:tcPr>
          <w:p w14:paraId="198582F9" w14:textId="77777777" w:rsidR="00DA708F" w:rsidRPr="00317B6A" w:rsidRDefault="00DA708F" w:rsidP="001B2A96">
            <w:pPr>
              <w:jc w:val="center"/>
            </w:pPr>
          </w:p>
        </w:tc>
        <w:tc>
          <w:tcPr>
            <w:tcW w:w="1197" w:type="dxa"/>
          </w:tcPr>
          <w:p w14:paraId="31FE59E2" w14:textId="77777777" w:rsidR="00DA708F" w:rsidRPr="00317B6A" w:rsidRDefault="00DA708F" w:rsidP="001B2A96">
            <w:pPr>
              <w:jc w:val="center"/>
            </w:pPr>
          </w:p>
        </w:tc>
        <w:tc>
          <w:tcPr>
            <w:tcW w:w="1197" w:type="dxa"/>
          </w:tcPr>
          <w:p w14:paraId="05CAFB43" w14:textId="77777777" w:rsidR="00DA708F" w:rsidRPr="00317B6A" w:rsidRDefault="00DA708F" w:rsidP="001B2A96">
            <w:pPr>
              <w:jc w:val="center"/>
            </w:pPr>
          </w:p>
        </w:tc>
      </w:tr>
      <w:tr w:rsidR="00DA708F" w:rsidRPr="0033617F" w14:paraId="4668E250" w14:textId="77777777" w:rsidTr="00D442BA">
        <w:trPr>
          <w:jc w:val="center"/>
        </w:trPr>
        <w:tc>
          <w:tcPr>
            <w:tcW w:w="2235" w:type="dxa"/>
          </w:tcPr>
          <w:p w14:paraId="7EB504E5" w14:textId="77777777" w:rsidR="00DA708F" w:rsidRPr="0033617F" w:rsidRDefault="00DA708F" w:rsidP="001B2A96">
            <w:r w:rsidRPr="0033617F">
              <w:t xml:space="preserve">2.3. pašvaldību budžets </w:t>
            </w:r>
          </w:p>
        </w:tc>
        <w:tc>
          <w:tcPr>
            <w:tcW w:w="1132" w:type="dxa"/>
          </w:tcPr>
          <w:p w14:paraId="0189D475" w14:textId="77777777" w:rsidR="00DA708F" w:rsidRPr="004B2478" w:rsidRDefault="00DA708F" w:rsidP="001B2A96">
            <w:pPr>
              <w:jc w:val="center"/>
            </w:pPr>
          </w:p>
        </w:tc>
        <w:tc>
          <w:tcPr>
            <w:tcW w:w="1448" w:type="dxa"/>
          </w:tcPr>
          <w:p w14:paraId="1FA84B5F" w14:textId="77777777" w:rsidR="00DA708F" w:rsidRPr="004B2478" w:rsidRDefault="00DA708F" w:rsidP="001B2A96">
            <w:pPr>
              <w:jc w:val="center"/>
            </w:pPr>
          </w:p>
        </w:tc>
        <w:tc>
          <w:tcPr>
            <w:tcW w:w="1130" w:type="dxa"/>
          </w:tcPr>
          <w:p w14:paraId="16603E34" w14:textId="77777777" w:rsidR="00DA708F" w:rsidRPr="00317B6A" w:rsidRDefault="00DA708F" w:rsidP="001B2A96">
            <w:pPr>
              <w:jc w:val="center"/>
            </w:pPr>
          </w:p>
        </w:tc>
        <w:tc>
          <w:tcPr>
            <w:tcW w:w="1216" w:type="dxa"/>
          </w:tcPr>
          <w:p w14:paraId="053F02D6" w14:textId="77777777" w:rsidR="00DA708F" w:rsidRPr="00317B6A" w:rsidRDefault="00DA708F" w:rsidP="001B2A96">
            <w:pPr>
              <w:jc w:val="center"/>
            </w:pPr>
          </w:p>
        </w:tc>
        <w:tc>
          <w:tcPr>
            <w:tcW w:w="1130" w:type="dxa"/>
          </w:tcPr>
          <w:p w14:paraId="5D5C6E78" w14:textId="77777777" w:rsidR="00DA708F" w:rsidRPr="00317B6A" w:rsidRDefault="00DA708F" w:rsidP="001B2A96">
            <w:pPr>
              <w:jc w:val="center"/>
            </w:pPr>
          </w:p>
        </w:tc>
        <w:tc>
          <w:tcPr>
            <w:tcW w:w="1197" w:type="dxa"/>
          </w:tcPr>
          <w:p w14:paraId="3E06E5EC" w14:textId="77777777" w:rsidR="00DA708F" w:rsidRPr="00317B6A" w:rsidRDefault="00DA708F" w:rsidP="001B2A96">
            <w:pPr>
              <w:jc w:val="center"/>
            </w:pPr>
          </w:p>
        </w:tc>
        <w:tc>
          <w:tcPr>
            <w:tcW w:w="1197" w:type="dxa"/>
          </w:tcPr>
          <w:p w14:paraId="29AF5552" w14:textId="77777777" w:rsidR="00DA708F" w:rsidRPr="00317B6A" w:rsidRDefault="00DA708F" w:rsidP="001B2A96">
            <w:pPr>
              <w:jc w:val="center"/>
            </w:pPr>
          </w:p>
        </w:tc>
      </w:tr>
      <w:tr w:rsidR="00DA708F" w:rsidRPr="0033617F" w14:paraId="5EF983C5" w14:textId="77777777" w:rsidTr="00D442BA">
        <w:trPr>
          <w:jc w:val="center"/>
        </w:trPr>
        <w:tc>
          <w:tcPr>
            <w:tcW w:w="2235" w:type="dxa"/>
          </w:tcPr>
          <w:p w14:paraId="40BEE164" w14:textId="77777777" w:rsidR="00DA708F" w:rsidRPr="0033617F" w:rsidRDefault="00DA708F" w:rsidP="001B2A96">
            <w:r w:rsidRPr="0033617F">
              <w:t>3. Finansiālā ietekme:</w:t>
            </w:r>
          </w:p>
        </w:tc>
        <w:tc>
          <w:tcPr>
            <w:tcW w:w="1132" w:type="dxa"/>
            <w:shd w:val="clear" w:color="auto" w:fill="auto"/>
          </w:tcPr>
          <w:p w14:paraId="75D99A5B" w14:textId="77777777" w:rsidR="00DA708F" w:rsidRPr="004B2478" w:rsidRDefault="00DA708F" w:rsidP="001B2A96">
            <w:pPr>
              <w:jc w:val="center"/>
              <w:rPr>
                <w:b/>
              </w:rPr>
            </w:pPr>
            <w:r w:rsidRPr="004B2478">
              <w:rPr>
                <w:b/>
              </w:rPr>
              <w:t>0</w:t>
            </w:r>
          </w:p>
        </w:tc>
        <w:tc>
          <w:tcPr>
            <w:tcW w:w="1448" w:type="dxa"/>
          </w:tcPr>
          <w:p w14:paraId="38039DE1" w14:textId="310C0A12" w:rsidR="00DA708F" w:rsidRPr="004B2478" w:rsidRDefault="00D442BA" w:rsidP="00BD3F90">
            <w:pPr>
              <w:jc w:val="center"/>
              <w:rPr>
                <w:b/>
              </w:rPr>
            </w:pPr>
            <w:r>
              <w:rPr>
                <w:b/>
              </w:rPr>
              <w:t xml:space="preserve">- </w:t>
            </w:r>
            <w:r w:rsidR="00BD3F90">
              <w:rPr>
                <w:b/>
              </w:rPr>
              <w:t>953 942</w:t>
            </w:r>
          </w:p>
        </w:tc>
        <w:tc>
          <w:tcPr>
            <w:tcW w:w="1130" w:type="dxa"/>
          </w:tcPr>
          <w:p w14:paraId="7DCC8E49" w14:textId="77777777" w:rsidR="00DA708F" w:rsidRPr="00317B6A" w:rsidRDefault="00DA708F" w:rsidP="001B2A96">
            <w:pPr>
              <w:jc w:val="center"/>
              <w:rPr>
                <w:b/>
              </w:rPr>
            </w:pPr>
            <w:r w:rsidRPr="00317B6A">
              <w:rPr>
                <w:b/>
              </w:rPr>
              <w:t>0</w:t>
            </w:r>
          </w:p>
        </w:tc>
        <w:tc>
          <w:tcPr>
            <w:tcW w:w="1216" w:type="dxa"/>
          </w:tcPr>
          <w:p w14:paraId="2B7B86A6" w14:textId="77777777" w:rsidR="00DA708F" w:rsidRPr="00317B6A" w:rsidRDefault="00DA708F" w:rsidP="001B2A96">
            <w:pPr>
              <w:jc w:val="center"/>
              <w:rPr>
                <w:b/>
              </w:rPr>
            </w:pPr>
            <w:r w:rsidRPr="00317B6A">
              <w:rPr>
                <w:b/>
              </w:rPr>
              <w:t>0</w:t>
            </w:r>
          </w:p>
        </w:tc>
        <w:tc>
          <w:tcPr>
            <w:tcW w:w="1130" w:type="dxa"/>
          </w:tcPr>
          <w:p w14:paraId="3CE95929" w14:textId="77777777" w:rsidR="00DA708F" w:rsidRPr="00317B6A" w:rsidRDefault="00DA708F" w:rsidP="001B2A96">
            <w:pPr>
              <w:jc w:val="center"/>
              <w:rPr>
                <w:b/>
              </w:rPr>
            </w:pPr>
            <w:r w:rsidRPr="00317B6A">
              <w:rPr>
                <w:b/>
              </w:rPr>
              <w:t>0</w:t>
            </w:r>
          </w:p>
        </w:tc>
        <w:tc>
          <w:tcPr>
            <w:tcW w:w="1197" w:type="dxa"/>
          </w:tcPr>
          <w:p w14:paraId="5F0E3EFA" w14:textId="77777777" w:rsidR="00DA708F" w:rsidRPr="00317B6A" w:rsidRDefault="00DA708F" w:rsidP="001B2A96">
            <w:pPr>
              <w:jc w:val="center"/>
              <w:rPr>
                <w:b/>
              </w:rPr>
            </w:pPr>
            <w:r>
              <w:rPr>
                <w:b/>
              </w:rPr>
              <w:t>0</w:t>
            </w:r>
          </w:p>
        </w:tc>
        <w:tc>
          <w:tcPr>
            <w:tcW w:w="1197" w:type="dxa"/>
          </w:tcPr>
          <w:p w14:paraId="4092E8CB" w14:textId="77777777" w:rsidR="00DA708F" w:rsidRPr="00317B6A" w:rsidRDefault="00DA708F" w:rsidP="001B2A96">
            <w:pPr>
              <w:jc w:val="center"/>
              <w:rPr>
                <w:b/>
              </w:rPr>
            </w:pPr>
            <w:r>
              <w:rPr>
                <w:b/>
              </w:rPr>
              <w:t>0</w:t>
            </w:r>
          </w:p>
        </w:tc>
      </w:tr>
      <w:tr w:rsidR="00DA708F" w:rsidRPr="0033617F" w14:paraId="0C81E4A5" w14:textId="77777777" w:rsidTr="00D442BA">
        <w:trPr>
          <w:jc w:val="center"/>
        </w:trPr>
        <w:tc>
          <w:tcPr>
            <w:tcW w:w="2235" w:type="dxa"/>
          </w:tcPr>
          <w:p w14:paraId="2540F61C" w14:textId="77777777" w:rsidR="00DA708F" w:rsidRPr="0033617F" w:rsidRDefault="00DA708F" w:rsidP="001B2A96">
            <w:r w:rsidRPr="0033617F">
              <w:t>3.1. valsts pamatbudžets</w:t>
            </w:r>
          </w:p>
        </w:tc>
        <w:tc>
          <w:tcPr>
            <w:tcW w:w="1132" w:type="dxa"/>
            <w:shd w:val="clear" w:color="auto" w:fill="auto"/>
          </w:tcPr>
          <w:p w14:paraId="482E45F8" w14:textId="77777777" w:rsidR="00DA708F" w:rsidRPr="004B2478" w:rsidRDefault="00DA708F" w:rsidP="001B2A96">
            <w:pPr>
              <w:jc w:val="center"/>
              <w:rPr>
                <w:i/>
              </w:rPr>
            </w:pPr>
            <w:r w:rsidRPr="004B2478">
              <w:rPr>
                <w:i/>
              </w:rPr>
              <w:t>0</w:t>
            </w:r>
          </w:p>
        </w:tc>
        <w:tc>
          <w:tcPr>
            <w:tcW w:w="1448" w:type="dxa"/>
          </w:tcPr>
          <w:p w14:paraId="323F24F8" w14:textId="21F73887" w:rsidR="00DA708F" w:rsidRPr="004B2478" w:rsidRDefault="00D442BA" w:rsidP="00BD3F90">
            <w:pPr>
              <w:jc w:val="center"/>
              <w:rPr>
                <w:i/>
              </w:rPr>
            </w:pPr>
            <w:r>
              <w:rPr>
                <w:i/>
              </w:rPr>
              <w:t xml:space="preserve">- </w:t>
            </w:r>
            <w:r w:rsidR="00BD3F90">
              <w:rPr>
                <w:i/>
              </w:rPr>
              <w:t>953 942</w:t>
            </w:r>
          </w:p>
        </w:tc>
        <w:tc>
          <w:tcPr>
            <w:tcW w:w="1130" w:type="dxa"/>
          </w:tcPr>
          <w:p w14:paraId="3B7A0AD2" w14:textId="77777777" w:rsidR="00DA708F" w:rsidRPr="00317B6A" w:rsidRDefault="00DA708F" w:rsidP="001B2A96">
            <w:pPr>
              <w:jc w:val="center"/>
              <w:rPr>
                <w:i/>
              </w:rPr>
            </w:pPr>
            <w:r w:rsidRPr="00317B6A">
              <w:rPr>
                <w:i/>
              </w:rPr>
              <w:t>0</w:t>
            </w:r>
          </w:p>
        </w:tc>
        <w:tc>
          <w:tcPr>
            <w:tcW w:w="1216" w:type="dxa"/>
          </w:tcPr>
          <w:p w14:paraId="53FDF421" w14:textId="77777777" w:rsidR="00DA708F" w:rsidRPr="00317B6A" w:rsidRDefault="00DA708F" w:rsidP="001B2A96">
            <w:pPr>
              <w:jc w:val="center"/>
              <w:rPr>
                <w:i/>
              </w:rPr>
            </w:pPr>
            <w:r w:rsidRPr="00317B6A">
              <w:rPr>
                <w:i/>
              </w:rPr>
              <w:t>0</w:t>
            </w:r>
          </w:p>
        </w:tc>
        <w:tc>
          <w:tcPr>
            <w:tcW w:w="1130" w:type="dxa"/>
          </w:tcPr>
          <w:p w14:paraId="508B67A9" w14:textId="77777777" w:rsidR="00DA708F" w:rsidRPr="00317B6A" w:rsidRDefault="00DA708F" w:rsidP="001B2A96">
            <w:pPr>
              <w:jc w:val="center"/>
              <w:rPr>
                <w:i/>
              </w:rPr>
            </w:pPr>
            <w:r w:rsidRPr="00317B6A">
              <w:rPr>
                <w:i/>
              </w:rPr>
              <w:t>0</w:t>
            </w:r>
          </w:p>
        </w:tc>
        <w:tc>
          <w:tcPr>
            <w:tcW w:w="1197" w:type="dxa"/>
          </w:tcPr>
          <w:p w14:paraId="0F1497CA" w14:textId="77777777" w:rsidR="00DA708F" w:rsidRPr="00317B6A" w:rsidRDefault="00DA708F" w:rsidP="001B2A96">
            <w:pPr>
              <w:jc w:val="center"/>
              <w:rPr>
                <w:i/>
              </w:rPr>
            </w:pPr>
            <w:r>
              <w:rPr>
                <w:i/>
              </w:rPr>
              <w:t>0</w:t>
            </w:r>
          </w:p>
        </w:tc>
        <w:tc>
          <w:tcPr>
            <w:tcW w:w="1197" w:type="dxa"/>
          </w:tcPr>
          <w:p w14:paraId="240FC83F" w14:textId="77777777" w:rsidR="00DA708F" w:rsidRPr="00317B6A" w:rsidRDefault="00DA708F" w:rsidP="001B2A96">
            <w:pPr>
              <w:jc w:val="center"/>
              <w:rPr>
                <w:i/>
              </w:rPr>
            </w:pPr>
            <w:r>
              <w:rPr>
                <w:i/>
              </w:rPr>
              <w:t>0</w:t>
            </w:r>
          </w:p>
        </w:tc>
      </w:tr>
      <w:tr w:rsidR="00DA708F" w:rsidRPr="0033617F" w14:paraId="7ADBC024" w14:textId="77777777" w:rsidTr="00D442BA">
        <w:trPr>
          <w:jc w:val="center"/>
        </w:trPr>
        <w:tc>
          <w:tcPr>
            <w:tcW w:w="2235" w:type="dxa"/>
          </w:tcPr>
          <w:p w14:paraId="6E2D338E" w14:textId="77777777" w:rsidR="00DA708F" w:rsidRPr="0033617F" w:rsidRDefault="00DA708F" w:rsidP="001B2A96">
            <w:r w:rsidRPr="0033617F">
              <w:t>3.2. speciālais budžets</w:t>
            </w:r>
          </w:p>
        </w:tc>
        <w:tc>
          <w:tcPr>
            <w:tcW w:w="1132" w:type="dxa"/>
            <w:shd w:val="clear" w:color="auto" w:fill="auto"/>
          </w:tcPr>
          <w:p w14:paraId="571FAF78" w14:textId="77777777" w:rsidR="00DA708F" w:rsidRPr="004B2478" w:rsidRDefault="00DA708F" w:rsidP="001B2A96">
            <w:pPr>
              <w:jc w:val="center"/>
            </w:pPr>
          </w:p>
        </w:tc>
        <w:tc>
          <w:tcPr>
            <w:tcW w:w="1448" w:type="dxa"/>
          </w:tcPr>
          <w:p w14:paraId="759B632F" w14:textId="77777777" w:rsidR="00DA708F" w:rsidRPr="004B2478" w:rsidRDefault="00DA708F" w:rsidP="001B2A96">
            <w:pPr>
              <w:jc w:val="center"/>
            </w:pPr>
          </w:p>
        </w:tc>
        <w:tc>
          <w:tcPr>
            <w:tcW w:w="1130" w:type="dxa"/>
          </w:tcPr>
          <w:p w14:paraId="6539050C" w14:textId="77777777" w:rsidR="00DA708F" w:rsidRPr="00317B6A" w:rsidRDefault="00DA708F" w:rsidP="001B2A96">
            <w:pPr>
              <w:jc w:val="center"/>
            </w:pPr>
          </w:p>
        </w:tc>
        <w:tc>
          <w:tcPr>
            <w:tcW w:w="1216" w:type="dxa"/>
          </w:tcPr>
          <w:p w14:paraId="57838AAE" w14:textId="77777777" w:rsidR="00DA708F" w:rsidRPr="00317B6A" w:rsidRDefault="00DA708F" w:rsidP="001B2A96">
            <w:pPr>
              <w:jc w:val="center"/>
            </w:pPr>
          </w:p>
        </w:tc>
        <w:tc>
          <w:tcPr>
            <w:tcW w:w="1130" w:type="dxa"/>
          </w:tcPr>
          <w:p w14:paraId="6C6C0F92" w14:textId="77777777" w:rsidR="00DA708F" w:rsidRPr="00317B6A" w:rsidRDefault="00DA708F" w:rsidP="001B2A96">
            <w:pPr>
              <w:jc w:val="center"/>
            </w:pPr>
          </w:p>
        </w:tc>
        <w:tc>
          <w:tcPr>
            <w:tcW w:w="1197" w:type="dxa"/>
          </w:tcPr>
          <w:p w14:paraId="089E567E" w14:textId="77777777" w:rsidR="00DA708F" w:rsidRPr="00317B6A" w:rsidRDefault="00DA708F" w:rsidP="001B2A96">
            <w:pPr>
              <w:jc w:val="center"/>
            </w:pPr>
          </w:p>
        </w:tc>
        <w:tc>
          <w:tcPr>
            <w:tcW w:w="1197" w:type="dxa"/>
          </w:tcPr>
          <w:p w14:paraId="3D68DC64" w14:textId="77777777" w:rsidR="00DA708F" w:rsidRPr="00317B6A" w:rsidRDefault="00DA708F" w:rsidP="001B2A96">
            <w:pPr>
              <w:jc w:val="center"/>
            </w:pPr>
          </w:p>
        </w:tc>
      </w:tr>
      <w:tr w:rsidR="00DA708F" w:rsidRPr="0033617F" w14:paraId="34AFC7C3" w14:textId="77777777" w:rsidTr="00D442BA">
        <w:trPr>
          <w:jc w:val="center"/>
        </w:trPr>
        <w:tc>
          <w:tcPr>
            <w:tcW w:w="2235" w:type="dxa"/>
          </w:tcPr>
          <w:p w14:paraId="5B6720C9" w14:textId="77777777" w:rsidR="00DA708F" w:rsidRPr="0033617F" w:rsidRDefault="00DA708F" w:rsidP="001B2A96">
            <w:r w:rsidRPr="0033617F">
              <w:t xml:space="preserve">3.3. pašvaldību budžets </w:t>
            </w:r>
          </w:p>
        </w:tc>
        <w:tc>
          <w:tcPr>
            <w:tcW w:w="1132" w:type="dxa"/>
            <w:shd w:val="clear" w:color="auto" w:fill="auto"/>
          </w:tcPr>
          <w:p w14:paraId="1E6194AA" w14:textId="77777777" w:rsidR="00DA708F" w:rsidRPr="004B2478" w:rsidRDefault="00DA708F" w:rsidP="001B2A96">
            <w:pPr>
              <w:jc w:val="center"/>
            </w:pPr>
          </w:p>
        </w:tc>
        <w:tc>
          <w:tcPr>
            <w:tcW w:w="1448" w:type="dxa"/>
          </w:tcPr>
          <w:p w14:paraId="209108D7" w14:textId="77777777" w:rsidR="00DA708F" w:rsidRPr="004B2478" w:rsidRDefault="00DA708F" w:rsidP="001B2A96">
            <w:pPr>
              <w:jc w:val="center"/>
            </w:pPr>
          </w:p>
        </w:tc>
        <w:tc>
          <w:tcPr>
            <w:tcW w:w="1130" w:type="dxa"/>
          </w:tcPr>
          <w:p w14:paraId="770CD3BA" w14:textId="77777777" w:rsidR="00DA708F" w:rsidRPr="00317B6A" w:rsidRDefault="00DA708F" w:rsidP="001B2A96">
            <w:pPr>
              <w:jc w:val="center"/>
            </w:pPr>
          </w:p>
        </w:tc>
        <w:tc>
          <w:tcPr>
            <w:tcW w:w="1216" w:type="dxa"/>
          </w:tcPr>
          <w:p w14:paraId="42238C8B" w14:textId="77777777" w:rsidR="00DA708F" w:rsidRPr="00317B6A" w:rsidRDefault="00DA708F" w:rsidP="001B2A96">
            <w:pPr>
              <w:jc w:val="center"/>
            </w:pPr>
          </w:p>
        </w:tc>
        <w:tc>
          <w:tcPr>
            <w:tcW w:w="1130" w:type="dxa"/>
          </w:tcPr>
          <w:p w14:paraId="68D381A4" w14:textId="77777777" w:rsidR="00DA708F" w:rsidRPr="00317B6A" w:rsidRDefault="00DA708F" w:rsidP="001B2A96">
            <w:pPr>
              <w:jc w:val="center"/>
            </w:pPr>
          </w:p>
        </w:tc>
        <w:tc>
          <w:tcPr>
            <w:tcW w:w="1197" w:type="dxa"/>
          </w:tcPr>
          <w:p w14:paraId="152165EB" w14:textId="77777777" w:rsidR="00DA708F" w:rsidRPr="00317B6A" w:rsidRDefault="00DA708F" w:rsidP="001B2A96">
            <w:pPr>
              <w:jc w:val="center"/>
            </w:pPr>
          </w:p>
        </w:tc>
        <w:tc>
          <w:tcPr>
            <w:tcW w:w="1197" w:type="dxa"/>
          </w:tcPr>
          <w:p w14:paraId="3D4FAD15" w14:textId="77777777" w:rsidR="00DA708F" w:rsidRPr="00317B6A" w:rsidRDefault="00DA708F" w:rsidP="001B2A96">
            <w:pPr>
              <w:jc w:val="center"/>
            </w:pPr>
          </w:p>
        </w:tc>
      </w:tr>
      <w:tr w:rsidR="00DA708F" w:rsidRPr="0033617F" w14:paraId="73332940" w14:textId="77777777" w:rsidTr="00D442BA">
        <w:trPr>
          <w:jc w:val="center"/>
        </w:trPr>
        <w:tc>
          <w:tcPr>
            <w:tcW w:w="2235" w:type="dxa"/>
            <w:vMerge w:val="restart"/>
          </w:tcPr>
          <w:p w14:paraId="568F421B" w14:textId="77777777" w:rsidR="00DA708F" w:rsidRPr="0033617F" w:rsidRDefault="00DA708F" w:rsidP="001B2A96">
            <w:r w:rsidRPr="0033617F">
              <w:t xml:space="preserve">4. Finanšu līdzekļi papildu izdevumu </w:t>
            </w:r>
            <w:r w:rsidRPr="0033617F">
              <w:lastRenderedPageBreak/>
              <w:t xml:space="preserve">finansēšanai (kompensējošu izdevumu samazinājumu norāda ar </w:t>
            </w:r>
            <w:r>
              <w:t>„</w:t>
            </w:r>
            <w:r w:rsidRPr="0033617F">
              <w:t>+” zīmi)</w:t>
            </w:r>
          </w:p>
        </w:tc>
        <w:tc>
          <w:tcPr>
            <w:tcW w:w="1132" w:type="dxa"/>
            <w:vMerge w:val="restart"/>
          </w:tcPr>
          <w:p w14:paraId="50E7DD79" w14:textId="77777777" w:rsidR="00DA708F" w:rsidRPr="004B2478" w:rsidRDefault="00DA708F" w:rsidP="001B2A96">
            <w:pPr>
              <w:jc w:val="center"/>
              <w:rPr>
                <w:i/>
              </w:rPr>
            </w:pPr>
            <w:r w:rsidRPr="004B2478">
              <w:lastRenderedPageBreak/>
              <w:t>X</w:t>
            </w:r>
          </w:p>
        </w:tc>
        <w:tc>
          <w:tcPr>
            <w:tcW w:w="1448" w:type="dxa"/>
          </w:tcPr>
          <w:p w14:paraId="6A2858BA" w14:textId="36676A3A" w:rsidR="00DA708F" w:rsidRPr="004B2478" w:rsidRDefault="00BD3F90" w:rsidP="00BD3F90">
            <w:pPr>
              <w:jc w:val="center"/>
            </w:pPr>
            <w:r>
              <w:t>953 942</w:t>
            </w:r>
          </w:p>
        </w:tc>
        <w:tc>
          <w:tcPr>
            <w:tcW w:w="1130" w:type="dxa"/>
          </w:tcPr>
          <w:p w14:paraId="28E0B562" w14:textId="77777777" w:rsidR="00DA708F" w:rsidRPr="00317B6A" w:rsidRDefault="00DA708F" w:rsidP="001B2A96">
            <w:pPr>
              <w:jc w:val="center"/>
            </w:pPr>
            <w:r w:rsidRPr="00317B6A">
              <w:t>0</w:t>
            </w:r>
          </w:p>
        </w:tc>
        <w:tc>
          <w:tcPr>
            <w:tcW w:w="1216" w:type="dxa"/>
          </w:tcPr>
          <w:p w14:paraId="4F9B33F6" w14:textId="77777777" w:rsidR="00DA708F" w:rsidRPr="00317B6A" w:rsidRDefault="00DA708F" w:rsidP="001B2A96">
            <w:pPr>
              <w:jc w:val="center"/>
            </w:pPr>
            <w:r w:rsidRPr="00317B6A">
              <w:t>0</w:t>
            </w:r>
          </w:p>
        </w:tc>
        <w:tc>
          <w:tcPr>
            <w:tcW w:w="1130" w:type="dxa"/>
          </w:tcPr>
          <w:p w14:paraId="10254986" w14:textId="77777777" w:rsidR="00DA708F" w:rsidRPr="00317B6A" w:rsidRDefault="00DA708F" w:rsidP="001B2A96">
            <w:pPr>
              <w:jc w:val="center"/>
            </w:pPr>
            <w:r w:rsidRPr="00317B6A">
              <w:t>0</w:t>
            </w:r>
          </w:p>
        </w:tc>
        <w:tc>
          <w:tcPr>
            <w:tcW w:w="1197" w:type="dxa"/>
          </w:tcPr>
          <w:p w14:paraId="01825567" w14:textId="77777777" w:rsidR="00DA708F" w:rsidRPr="00317B6A" w:rsidRDefault="00DA708F" w:rsidP="001B2A96">
            <w:pPr>
              <w:jc w:val="center"/>
            </w:pPr>
            <w:r>
              <w:t>0</w:t>
            </w:r>
          </w:p>
        </w:tc>
        <w:tc>
          <w:tcPr>
            <w:tcW w:w="1197" w:type="dxa"/>
          </w:tcPr>
          <w:p w14:paraId="0012FAFB" w14:textId="77777777" w:rsidR="00DA708F" w:rsidRPr="00317B6A" w:rsidRDefault="00DA708F" w:rsidP="001B2A96">
            <w:pPr>
              <w:jc w:val="center"/>
            </w:pPr>
            <w:r>
              <w:t>0</w:t>
            </w:r>
          </w:p>
        </w:tc>
      </w:tr>
      <w:tr w:rsidR="00DA708F" w:rsidRPr="0033617F" w14:paraId="3971BAD6" w14:textId="77777777" w:rsidTr="00D442BA">
        <w:trPr>
          <w:jc w:val="center"/>
        </w:trPr>
        <w:tc>
          <w:tcPr>
            <w:tcW w:w="2235" w:type="dxa"/>
            <w:vMerge/>
          </w:tcPr>
          <w:p w14:paraId="0CC27F30" w14:textId="77777777" w:rsidR="00DA708F" w:rsidRPr="0033617F" w:rsidRDefault="00DA708F" w:rsidP="001B2A96"/>
        </w:tc>
        <w:tc>
          <w:tcPr>
            <w:tcW w:w="1132" w:type="dxa"/>
            <w:vMerge/>
          </w:tcPr>
          <w:p w14:paraId="1C96164D" w14:textId="77777777" w:rsidR="00DA708F" w:rsidRPr="004B2478" w:rsidRDefault="00DA708F" w:rsidP="001B2A96">
            <w:pPr>
              <w:jc w:val="center"/>
              <w:rPr>
                <w:i/>
              </w:rPr>
            </w:pPr>
          </w:p>
        </w:tc>
        <w:tc>
          <w:tcPr>
            <w:tcW w:w="1448" w:type="dxa"/>
          </w:tcPr>
          <w:p w14:paraId="44E254D9" w14:textId="77777777" w:rsidR="00DA708F" w:rsidRPr="004B2478" w:rsidRDefault="00DA708F" w:rsidP="001B2A96">
            <w:pPr>
              <w:jc w:val="center"/>
            </w:pPr>
          </w:p>
        </w:tc>
        <w:tc>
          <w:tcPr>
            <w:tcW w:w="1130" w:type="dxa"/>
          </w:tcPr>
          <w:p w14:paraId="39DDF09C" w14:textId="77777777" w:rsidR="00DA708F" w:rsidRPr="0033617F" w:rsidRDefault="00DA708F" w:rsidP="001B2A96">
            <w:pPr>
              <w:jc w:val="center"/>
            </w:pPr>
          </w:p>
        </w:tc>
        <w:tc>
          <w:tcPr>
            <w:tcW w:w="1216" w:type="dxa"/>
          </w:tcPr>
          <w:p w14:paraId="12645A1B" w14:textId="77777777" w:rsidR="00DA708F" w:rsidRPr="0033617F" w:rsidRDefault="00DA708F" w:rsidP="001B2A96">
            <w:pPr>
              <w:jc w:val="center"/>
            </w:pPr>
          </w:p>
        </w:tc>
        <w:tc>
          <w:tcPr>
            <w:tcW w:w="1130" w:type="dxa"/>
          </w:tcPr>
          <w:p w14:paraId="2EE17196" w14:textId="77777777" w:rsidR="00DA708F" w:rsidRPr="0033617F" w:rsidRDefault="00DA708F" w:rsidP="001B2A96">
            <w:pPr>
              <w:jc w:val="center"/>
            </w:pPr>
          </w:p>
        </w:tc>
        <w:tc>
          <w:tcPr>
            <w:tcW w:w="1197" w:type="dxa"/>
          </w:tcPr>
          <w:p w14:paraId="19CF4EAD" w14:textId="77777777" w:rsidR="00DA708F" w:rsidRPr="0033617F" w:rsidRDefault="00DA708F" w:rsidP="001B2A96">
            <w:pPr>
              <w:jc w:val="center"/>
            </w:pPr>
          </w:p>
        </w:tc>
        <w:tc>
          <w:tcPr>
            <w:tcW w:w="1197" w:type="dxa"/>
          </w:tcPr>
          <w:p w14:paraId="410A0BC1" w14:textId="77777777" w:rsidR="00DA708F" w:rsidRPr="0033617F" w:rsidRDefault="00DA708F" w:rsidP="001B2A96">
            <w:pPr>
              <w:jc w:val="center"/>
            </w:pPr>
          </w:p>
        </w:tc>
      </w:tr>
      <w:tr w:rsidR="00DA708F" w:rsidRPr="0033617F" w14:paraId="17DABB5B" w14:textId="77777777" w:rsidTr="00D442BA">
        <w:trPr>
          <w:jc w:val="center"/>
        </w:trPr>
        <w:tc>
          <w:tcPr>
            <w:tcW w:w="2235" w:type="dxa"/>
            <w:vMerge/>
          </w:tcPr>
          <w:p w14:paraId="5B1987C5" w14:textId="77777777" w:rsidR="00DA708F" w:rsidRPr="0033617F" w:rsidRDefault="00DA708F" w:rsidP="001B2A96"/>
        </w:tc>
        <w:tc>
          <w:tcPr>
            <w:tcW w:w="1132" w:type="dxa"/>
            <w:vMerge/>
          </w:tcPr>
          <w:p w14:paraId="7D7A7D36" w14:textId="77777777" w:rsidR="00DA708F" w:rsidRPr="0033617F" w:rsidRDefault="00DA708F" w:rsidP="001B2A96">
            <w:pPr>
              <w:jc w:val="center"/>
              <w:rPr>
                <w:i/>
              </w:rPr>
            </w:pPr>
          </w:p>
        </w:tc>
        <w:tc>
          <w:tcPr>
            <w:tcW w:w="1448"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30" w:type="dxa"/>
          </w:tcPr>
          <w:p w14:paraId="3C401266" w14:textId="77777777" w:rsidR="00DA708F" w:rsidRPr="0033617F" w:rsidRDefault="00DA708F" w:rsidP="001B2A96">
            <w:pPr>
              <w:jc w:val="center"/>
            </w:pPr>
          </w:p>
        </w:tc>
        <w:tc>
          <w:tcPr>
            <w:tcW w:w="1216" w:type="dxa"/>
          </w:tcPr>
          <w:p w14:paraId="010E991E" w14:textId="77777777" w:rsidR="00DA708F" w:rsidRPr="0033617F" w:rsidRDefault="00DA708F" w:rsidP="001B2A96">
            <w:pPr>
              <w:jc w:val="center"/>
            </w:pPr>
          </w:p>
        </w:tc>
        <w:tc>
          <w:tcPr>
            <w:tcW w:w="1130" w:type="dxa"/>
          </w:tcPr>
          <w:p w14:paraId="2814C102" w14:textId="77777777" w:rsidR="00DA708F" w:rsidRPr="0033617F" w:rsidRDefault="00DA708F" w:rsidP="001B2A96">
            <w:pPr>
              <w:jc w:val="center"/>
            </w:pPr>
          </w:p>
        </w:tc>
        <w:tc>
          <w:tcPr>
            <w:tcW w:w="1197" w:type="dxa"/>
          </w:tcPr>
          <w:p w14:paraId="3F3D2A8B" w14:textId="77777777" w:rsidR="00DA708F" w:rsidRPr="0033617F" w:rsidRDefault="00DA708F" w:rsidP="001B2A96">
            <w:pPr>
              <w:jc w:val="center"/>
            </w:pPr>
          </w:p>
        </w:tc>
        <w:tc>
          <w:tcPr>
            <w:tcW w:w="1197" w:type="dxa"/>
          </w:tcPr>
          <w:p w14:paraId="2895DA0C" w14:textId="77777777" w:rsidR="00DA708F" w:rsidRPr="0033617F" w:rsidRDefault="00DA708F" w:rsidP="001B2A96">
            <w:pPr>
              <w:jc w:val="center"/>
            </w:pPr>
          </w:p>
        </w:tc>
      </w:tr>
      <w:tr w:rsidR="00DA708F" w:rsidRPr="0033617F" w14:paraId="3FAD8564" w14:textId="77777777" w:rsidTr="00D442BA">
        <w:trPr>
          <w:jc w:val="center"/>
        </w:trPr>
        <w:tc>
          <w:tcPr>
            <w:tcW w:w="2235" w:type="dxa"/>
          </w:tcPr>
          <w:p w14:paraId="3D523FFD" w14:textId="77777777" w:rsidR="00DA708F" w:rsidRPr="0033617F" w:rsidRDefault="00DA708F" w:rsidP="001B2A96">
            <w:r w:rsidRPr="0033617F">
              <w:lastRenderedPageBreak/>
              <w:t>5. Precizēta finansiālā ietekme:</w:t>
            </w:r>
          </w:p>
        </w:tc>
        <w:tc>
          <w:tcPr>
            <w:tcW w:w="1132"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448" w:type="dxa"/>
          </w:tcPr>
          <w:p w14:paraId="16F77046" w14:textId="77777777" w:rsidR="00DA708F" w:rsidRPr="00317B6A" w:rsidRDefault="00DA708F" w:rsidP="001B2A96">
            <w:pPr>
              <w:jc w:val="center"/>
            </w:pPr>
            <w:r w:rsidRPr="00317B6A">
              <w:t>0</w:t>
            </w:r>
          </w:p>
        </w:tc>
        <w:tc>
          <w:tcPr>
            <w:tcW w:w="1130" w:type="dxa"/>
          </w:tcPr>
          <w:p w14:paraId="2D9AF13E" w14:textId="77777777" w:rsidR="00DA708F" w:rsidRPr="00317B6A" w:rsidRDefault="00DA708F" w:rsidP="001B2A96">
            <w:pPr>
              <w:jc w:val="center"/>
            </w:pPr>
            <w:r w:rsidRPr="00317B6A">
              <w:t>0</w:t>
            </w:r>
          </w:p>
        </w:tc>
        <w:tc>
          <w:tcPr>
            <w:tcW w:w="1216" w:type="dxa"/>
          </w:tcPr>
          <w:p w14:paraId="2C2599C3" w14:textId="77777777" w:rsidR="00DA708F" w:rsidRPr="00317B6A" w:rsidRDefault="00DA708F" w:rsidP="001B2A96">
            <w:pPr>
              <w:jc w:val="center"/>
            </w:pPr>
            <w:r w:rsidRPr="00317B6A">
              <w:t>0</w:t>
            </w:r>
          </w:p>
        </w:tc>
        <w:tc>
          <w:tcPr>
            <w:tcW w:w="1130" w:type="dxa"/>
          </w:tcPr>
          <w:p w14:paraId="39889732" w14:textId="77777777" w:rsidR="00DA708F" w:rsidRPr="00317B6A" w:rsidRDefault="00DA708F" w:rsidP="001B2A96">
            <w:pPr>
              <w:jc w:val="center"/>
            </w:pPr>
            <w:r w:rsidRPr="00317B6A">
              <w:t>0</w:t>
            </w:r>
          </w:p>
        </w:tc>
        <w:tc>
          <w:tcPr>
            <w:tcW w:w="1197" w:type="dxa"/>
          </w:tcPr>
          <w:p w14:paraId="481D2C56" w14:textId="77777777" w:rsidR="00DA708F" w:rsidRPr="00317B6A" w:rsidRDefault="00DA708F" w:rsidP="001B2A96">
            <w:pPr>
              <w:jc w:val="center"/>
            </w:pPr>
            <w:r>
              <w:t>0</w:t>
            </w:r>
          </w:p>
        </w:tc>
        <w:tc>
          <w:tcPr>
            <w:tcW w:w="1197" w:type="dxa"/>
          </w:tcPr>
          <w:p w14:paraId="223AAA8C" w14:textId="77777777" w:rsidR="00DA708F" w:rsidRPr="00317B6A" w:rsidRDefault="00DA708F" w:rsidP="001B2A96">
            <w:pPr>
              <w:jc w:val="center"/>
            </w:pPr>
            <w:r>
              <w:t>0</w:t>
            </w:r>
          </w:p>
        </w:tc>
      </w:tr>
      <w:tr w:rsidR="00DA708F" w:rsidRPr="0033617F" w14:paraId="506C80D8" w14:textId="77777777" w:rsidTr="00D442BA">
        <w:trPr>
          <w:jc w:val="center"/>
        </w:trPr>
        <w:tc>
          <w:tcPr>
            <w:tcW w:w="2235" w:type="dxa"/>
          </w:tcPr>
          <w:p w14:paraId="7EE32092" w14:textId="77777777" w:rsidR="00DA708F" w:rsidRPr="0033617F" w:rsidRDefault="00DA708F" w:rsidP="001B2A96">
            <w:r w:rsidRPr="0033617F">
              <w:t>5.1. valsts pamatbudžets</w:t>
            </w:r>
          </w:p>
        </w:tc>
        <w:tc>
          <w:tcPr>
            <w:tcW w:w="1132" w:type="dxa"/>
            <w:vMerge/>
            <w:vAlign w:val="center"/>
          </w:tcPr>
          <w:p w14:paraId="6A6579AC" w14:textId="77777777" w:rsidR="00DA708F" w:rsidRPr="0033617F" w:rsidRDefault="00DA708F" w:rsidP="001B2A96">
            <w:pPr>
              <w:jc w:val="center"/>
              <w:rPr>
                <w:i/>
              </w:rPr>
            </w:pPr>
          </w:p>
        </w:tc>
        <w:tc>
          <w:tcPr>
            <w:tcW w:w="1448" w:type="dxa"/>
          </w:tcPr>
          <w:p w14:paraId="51F9A668" w14:textId="77777777" w:rsidR="00DA708F" w:rsidRPr="0033617F" w:rsidRDefault="00DA708F" w:rsidP="001B2A96">
            <w:pPr>
              <w:jc w:val="center"/>
            </w:pPr>
            <w:r w:rsidRPr="00317B6A">
              <w:t>0</w:t>
            </w:r>
          </w:p>
        </w:tc>
        <w:tc>
          <w:tcPr>
            <w:tcW w:w="1130" w:type="dxa"/>
          </w:tcPr>
          <w:p w14:paraId="7171C556" w14:textId="77777777" w:rsidR="00DA708F" w:rsidRPr="0033617F" w:rsidRDefault="00DA708F" w:rsidP="001B2A96">
            <w:pPr>
              <w:jc w:val="center"/>
            </w:pPr>
            <w:r w:rsidRPr="00317B6A">
              <w:t>0</w:t>
            </w:r>
          </w:p>
        </w:tc>
        <w:tc>
          <w:tcPr>
            <w:tcW w:w="1216" w:type="dxa"/>
          </w:tcPr>
          <w:p w14:paraId="34AC611D" w14:textId="77777777" w:rsidR="00DA708F" w:rsidRPr="0033617F" w:rsidRDefault="00DA708F" w:rsidP="001B2A96">
            <w:pPr>
              <w:jc w:val="center"/>
            </w:pPr>
            <w:r w:rsidRPr="00317B6A">
              <w:t>0</w:t>
            </w:r>
          </w:p>
        </w:tc>
        <w:tc>
          <w:tcPr>
            <w:tcW w:w="1130" w:type="dxa"/>
          </w:tcPr>
          <w:p w14:paraId="54166C87" w14:textId="77777777" w:rsidR="00DA708F" w:rsidRPr="0033617F" w:rsidRDefault="00DA708F" w:rsidP="001B2A96">
            <w:pPr>
              <w:jc w:val="center"/>
            </w:pPr>
            <w:r w:rsidRPr="00317B6A">
              <w:t>0</w:t>
            </w:r>
          </w:p>
        </w:tc>
        <w:tc>
          <w:tcPr>
            <w:tcW w:w="1197" w:type="dxa"/>
          </w:tcPr>
          <w:p w14:paraId="7B4E4C75" w14:textId="77777777" w:rsidR="00DA708F" w:rsidRPr="00317B6A" w:rsidRDefault="00DA708F" w:rsidP="001B2A96">
            <w:pPr>
              <w:jc w:val="center"/>
            </w:pPr>
          </w:p>
        </w:tc>
        <w:tc>
          <w:tcPr>
            <w:tcW w:w="1197" w:type="dxa"/>
          </w:tcPr>
          <w:p w14:paraId="05D82768" w14:textId="77777777" w:rsidR="00DA708F" w:rsidRPr="00317B6A" w:rsidRDefault="00DA708F" w:rsidP="001B2A96">
            <w:pPr>
              <w:jc w:val="center"/>
            </w:pPr>
          </w:p>
        </w:tc>
      </w:tr>
      <w:tr w:rsidR="00DA708F" w:rsidRPr="0033617F" w14:paraId="06297BD6" w14:textId="77777777" w:rsidTr="00D442BA">
        <w:trPr>
          <w:jc w:val="center"/>
        </w:trPr>
        <w:tc>
          <w:tcPr>
            <w:tcW w:w="2235" w:type="dxa"/>
          </w:tcPr>
          <w:p w14:paraId="6D97C3EB" w14:textId="77777777" w:rsidR="00DA708F" w:rsidRPr="0033617F" w:rsidRDefault="00DA708F" w:rsidP="001B2A96">
            <w:r w:rsidRPr="0033617F">
              <w:t>5.2. speciālais budžets</w:t>
            </w:r>
          </w:p>
        </w:tc>
        <w:tc>
          <w:tcPr>
            <w:tcW w:w="1132" w:type="dxa"/>
            <w:vMerge/>
            <w:vAlign w:val="center"/>
          </w:tcPr>
          <w:p w14:paraId="72440C53" w14:textId="77777777" w:rsidR="00DA708F" w:rsidRPr="0033617F" w:rsidRDefault="00DA708F" w:rsidP="001B2A96">
            <w:pPr>
              <w:jc w:val="center"/>
              <w:rPr>
                <w:i/>
              </w:rPr>
            </w:pPr>
          </w:p>
        </w:tc>
        <w:tc>
          <w:tcPr>
            <w:tcW w:w="1448" w:type="dxa"/>
          </w:tcPr>
          <w:p w14:paraId="3799B308" w14:textId="77777777" w:rsidR="00DA708F" w:rsidRPr="0033617F" w:rsidRDefault="00DA708F" w:rsidP="001B2A96">
            <w:pPr>
              <w:jc w:val="center"/>
            </w:pPr>
          </w:p>
        </w:tc>
        <w:tc>
          <w:tcPr>
            <w:tcW w:w="1130" w:type="dxa"/>
          </w:tcPr>
          <w:p w14:paraId="1E75FC85" w14:textId="77777777" w:rsidR="00DA708F" w:rsidRPr="0033617F" w:rsidRDefault="00DA708F" w:rsidP="001B2A96">
            <w:pPr>
              <w:jc w:val="center"/>
            </w:pPr>
          </w:p>
        </w:tc>
        <w:tc>
          <w:tcPr>
            <w:tcW w:w="1216" w:type="dxa"/>
          </w:tcPr>
          <w:p w14:paraId="2F654027" w14:textId="77777777" w:rsidR="00DA708F" w:rsidRPr="0033617F" w:rsidRDefault="00DA708F" w:rsidP="001B2A96">
            <w:pPr>
              <w:jc w:val="center"/>
            </w:pPr>
          </w:p>
        </w:tc>
        <w:tc>
          <w:tcPr>
            <w:tcW w:w="1130" w:type="dxa"/>
          </w:tcPr>
          <w:p w14:paraId="5A5AD6BB" w14:textId="77777777" w:rsidR="00DA708F" w:rsidRPr="0033617F" w:rsidRDefault="00DA708F" w:rsidP="001B2A96">
            <w:pPr>
              <w:jc w:val="center"/>
            </w:pPr>
          </w:p>
        </w:tc>
        <w:tc>
          <w:tcPr>
            <w:tcW w:w="1197" w:type="dxa"/>
          </w:tcPr>
          <w:p w14:paraId="69ECB779" w14:textId="77777777" w:rsidR="00DA708F" w:rsidRPr="0033617F" w:rsidRDefault="00DA708F" w:rsidP="001B2A96">
            <w:pPr>
              <w:jc w:val="center"/>
            </w:pPr>
          </w:p>
        </w:tc>
        <w:tc>
          <w:tcPr>
            <w:tcW w:w="1197" w:type="dxa"/>
          </w:tcPr>
          <w:p w14:paraId="39477A3E" w14:textId="77777777" w:rsidR="00DA708F" w:rsidRPr="0033617F" w:rsidRDefault="00DA708F" w:rsidP="001B2A96">
            <w:pPr>
              <w:jc w:val="center"/>
            </w:pPr>
          </w:p>
        </w:tc>
      </w:tr>
      <w:tr w:rsidR="00DA708F" w:rsidRPr="0033617F" w14:paraId="5E2EA37A" w14:textId="77777777" w:rsidTr="00D442BA">
        <w:trPr>
          <w:jc w:val="center"/>
        </w:trPr>
        <w:tc>
          <w:tcPr>
            <w:tcW w:w="2235" w:type="dxa"/>
          </w:tcPr>
          <w:p w14:paraId="00807605" w14:textId="77777777" w:rsidR="00DA708F" w:rsidRPr="0033617F" w:rsidRDefault="00DA708F" w:rsidP="001B2A96">
            <w:r w:rsidRPr="0033617F">
              <w:t xml:space="preserve">5.3. pašvaldību budžets </w:t>
            </w:r>
          </w:p>
        </w:tc>
        <w:tc>
          <w:tcPr>
            <w:tcW w:w="1132" w:type="dxa"/>
            <w:vMerge/>
          </w:tcPr>
          <w:p w14:paraId="5B3C56E9" w14:textId="77777777" w:rsidR="00DA708F" w:rsidRPr="0033617F" w:rsidRDefault="00DA708F" w:rsidP="001B2A96">
            <w:pPr>
              <w:jc w:val="center"/>
              <w:rPr>
                <w:i/>
              </w:rPr>
            </w:pPr>
          </w:p>
        </w:tc>
        <w:tc>
          <w:tcPr>
            <w:tcW w:w="1448" w:type="dxa"/>
          </w:tcPr>
          <w:p w14:paraId="34DF1238" w14:textId="77777777" w:rsidR="00DA708F" w:rsidRPr="0033617F" w:rsidRDefault="00DA708F" w:rsidP="001B2A96">
            <w:pPr>
              <w:jc w:val="center"/>
            </w:pPr>
          </w:p>
        </w:tc>
        <w:tc>
          <w:tcPr>
            <w:tcW w:w="1130" w:type="dxa"/>
          </w:tcPr>
          <w:p w14:paraId="6CCAD106" w14:textId="77777777" w:rsidR="00DA708F" w:rsidRPr="0033617F" w:rsidRDefault="00DA708F" w:rsidP="001B2A96">
            <w:pPr>
              <w:jc w:val="center"/>
            </w:pPr>
          </w:p>
        </w:tc>
        <w:tc>
          <w:tcPr>
            <w:tcW w:w="1216" w:type="dxa"/>
          </w:tcPr>
          <w:p w14:paraId="3BC1B57C" w14:textId="77777777" w:rsidR="00DA708F" w:rsidRPr="0033617F" w:rsidRDefault="00DA708F" w:rsidP="001B2A96">
            <w:pPr>
              <w:jc w:val="center"/>
            </w:pPr>
          </w:p>
        </w:tc>
        <w:tc>
          <w:tcPr>
            <w:tcW w:w="1130" w:type="dxa"/>
          </w:tcPr>
          <w:p w14:paraId="115C3BE1" w14:textId="77777777" w:rsidR="00DA708F" w:rsidRPr="0033617F" w:rsidRDefault="00DA708F" w:rsidP="001B2A96">
            <w:pPr>
              <w:jc w:val="center"/>
            </w:pPr>
          </w:p>
        </w:tc>
        <w:tc>
          <w:tcPr>
            <w:tcW w:w="1197" w:type="dxa"/>
          </w:tcPr>
          <w:p w14:paraId="1A71D472" w14:textId="77777777" w:rsidR="00DA708F" w:rsidRPr="0033617F" w:rsidRDefault="00DA708F" w:rsidP="001B2A96">
            <w:pPr>
              <w:jc w:val="center"/>
            </w:pPr>
          </w:p>
        </w:tc>
        <w:tc>
          <w:tcPr>
            <w:tcW w:w="1197" w:type="dxa"/>
          </w:tcPr>
          <w:p w14:paraId="1BEFEB9D" w14:textId="77777777" w:rsidR="00DA708F" w:rsidRPr="0033617F" w:rsidRDefault="00DA708F" w:rsidP="001B2A96">
            <w:pPr>
              <w:jc w:val="center"/>
            </w:pPr>
          </w:p>
        </w:tc>
      </w:tr>
      <w:tr w:rsidR="00DA708F" w:rsidRPr="0033617F" w14:paraId="214D50F7" w14:textId="77777777" w:rsidTr="00D442BA">
        <w:trPr>
          <w:jc w:val="center"/>
        </w:trPr>
        <w:tc>
          <w:tcPr>
            <w:tcW w:w="2235" w:type="dxa"/>
          </w:tcPr>
          <w:p w14:paraId="3E425710" w14:textId="77777777"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450" w:type="dxa"/>
            <w:gridSpan w:val="7"/>
            <w:vMerge w:val="restart"/>
            <w:shd w:val="clear" w:color="auto" w:fill="auto"/>
          </w:tcPr>
          <w:p w14:paraId="072C6BEA" w14:textId="2940158C" w:rsidR="00B92C2B" w:rsidRDefault="00B92C2B" w:rsidP="00947F9D">
            <w:pPr>
              <w:ind w:right="34"/>
              <w:jc w:val="both"/>
            </w:pPr>
            <w:r>
              <w:t xml:space="preserve">Finansējums tiks novirzīts </w:t>
            </w:r>
            <w:r w:rsidR="00BD3F90">
              <w:t>SIA „Arčers” 2020. gada 27. augusta rēķina-faktūra Nr. ARC17953 apmaksai par paveiktajiem būvniecības darbiem 2020. gada jūlijā Olimpiskajā centrā „Rēzekne”</w:t>
            </w:r>
            <w:r w:rsidR="00583CF6">
              <w:t xml:space="preserve"> (</w:t>
            </w:r>
            <w:r w:rsidR="006D4278">
              <w:t xml:space="preserve">daudzfunkcionālās sporta arēnas </w:t>
            </w:r>
            <w:r w:rsidR="00B030C7">
              <w:t>būvniecībā</w:t>
            </w:r>
            <w:r w:rsidR="00583CF6">
              <w:t>)</w:t>
            </w:r>
            <w:r w:rsidR="00BD3F90">
              <w:t xml:space="preserve">. </w:t>
            </w:r>
            <w:r>
              <w:t xml:space="preserve"> </w:t>
            </w:r>
          </w:p>
          <w:p w14:paraId="4E34B338" w14:textId="77777777" w:rsidR="00B92C2B" w:rsidRDefault="00B92C2B" w:rsidP="00B92C2B">
            <w:pPr>
              <w:ind w:right="34"/>
              <w:jc w:val="both"/>
            </w:pPr>
          </w:p>
          <w:p w14:paraId="12AD66CC" w14:textId="6149E624" w:rsidR="004B2478" w:rsidRPr="004B2478" w:rsidRDefault="00B92C2B" w:rsidP="00402A48">
            <w:pPr>
              <w:ind w:right="34"/>
              <w:jc w:val="both"/>
            </w:pPr>
            <w:r>
              <w:t>Papildus informāciju un dokumentus skatīt pievienotajos paskaidrojošajos materiālos.</w:t>
            </w:r>
          </w:p>
        </w:tc>
      </w:tr>
      <w:tr w:rsidR="00DA708F" w:rsidRPr="0033617F" w14:paraId="5F30166E" w14:textId="77777777" w:rsidTr="00D442BA">
        <w:trPr>
          <w:jc w:val="center"/>
        </w:trPr>
        <w:tc>
          <w:tcPr>
            <w:tcW w:w="2235" w:type="dxa"/>
          </w:tcPr>
          <w:p w14:paraId="2E27D7B1" w14:textId="71A189A6" w:rsidR="00DA708F" w:rsidRPr="0033617F" w:rsidRDefault="00DA708F" w:rsidP="001B2A96">
            <w:r w:rsidRPr="0033617F">
              <w:t>6.1. detalizēts ieņēmumu aprēķins</w:t>
            </w:r>
          </w:p>
        </w:tc>
        <w:tc>
          <w:tcPr>
            <w:tcW w:w="8450"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D442BA">
        <w:trPr>
          <w:jc w:val="center"/>
        </w:trPr>
        <w:tc>
          <w:tcPr>
            <w:tcW w:w="2235" w:type="dxa"/>
          </w:tcPr>
          <w:p w14:paraId="52D9743E" w14:textId="77777777" w:rsidR="00DA708F" w:rsidRPr="0033617F" w:rsidRDefault="00DA708F" w:rsidP="001B2A96">
            <w:r w:rsidRPr="0033617F">
              <w:t>6.2. detalizēts izdevumu aprēķins</w:t>
            </w:r>
          </w:p>
        </w:tc>
        <w:tc>
          <w:tcPr>
            <w:tcW w:w="8450"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D442BA">
        <w:trPr>
          <w:trHeight w:val="399"/>
          <w:jc w:val="center"/>
        </w:trPr>
        <w:tc>
          <w:tcPr>
            <w:tcW w:w="2235" w:type="dxa"/>
          </w:tcPr>
          <w:p w14:paraId="7FEEAE8C" w14:textId="77777777" w:rsidR="00DA708F" w:rsidRPr="0033617F" w:rsidRDefault="00DA708F" w:rsidP="001B2A96">
            <w:r>
              <w:t>7. Amata vietu skaita izmaiņas</w:t>
            </w:r>
          </w:p>
        </w:tc>
        <w:tc>
          <w:tcPr>
            <w:tcW w:w="8450" w:type="dxa"/>
            <w:gridSpan w:val="7"/>
            <w:shd w:val="clear" w:color="auto" w:fill="auto"/>
          </w:tcPr>
          <w:p w14:paraId="02AB3A95" w14:textId="3BD74C74" w:rsidR="00DA708F" w:rsidRDefault="00C870F2" w:rsidP="001B2A96">
            <w:pPr>
              <w:ind w:right="34"/>
              <w:jc w:val="both"/>
            </w:pPr>
            <w:r>
              <w:t>Rīkojuma projektam</w:t>
            </w:r>
            <w:r w:rsidR="00DA708F">
              <w:t xml:space="preserve"> nav ietekme uz amata vietu skaita izmaiņām.</w:t>
            </w:r>
          </w:p>
        </w:tc>
      </w:tr>
      <w:tr w:rsidR="00DA708F" w:rsidRPr="0033617F" w14:paraId="2CAD9D46" w14:textId="77777777" w:rsidTr="00D442BA">
        <w:trPr>
          <w:trHeight w:val="399"/>
          <w:jc w:val="center"/>
        </w:trPr>
        <w:tc>
          <w:tcPr>
            <w:tcW w:w="2235" w:type="dxa"/>
          </w:tcPr>
          <w:p w14:paraId="715B2A4B" w14:textId="77777777" w:rsidR="00DA708F" w:rsidRPr="0033617F" w:rsidRDefault="00DA708F" w:rsidP="001B2A96">
            <w:r>
              <w:t>8</w:t>
            </w:r>
            <w:r w:rsidRPr="0033617F">
              <w:t>. Cita informācija</w:t>
            </w:r>
          </w:p>
        </w:tc>
        <w:tc>
          <w:tcPr>
            <w:tcW w:w="8450" w:type="dxa"/>
            <w:gridSpan w:val="7"/>
            <w:shd w:val="clear" w:color="auto" w:fill="auto"/>
          </w:tcPr>
          <w:p w14:paraId="19E65E3B" w14:textId="2E5F176E" w:rsidR="00B92C2B" w:rsidRDefault="00C130F5" w:rsidP="00CB5A93">
            <w:pPr>
              <w:ind w:right="34"/>
              <w:jc w:val="both"/>
            </w:pPr>
            <w:r>
              <w:tab/>
            </w:r>
            <w:r w:rsidR="00F86D7B" w:rsidRPr="00F86D7B">
              <w:t>Izdevumus sedz no valsts budžeta programmas 02.00.00 „Līdzekļi neparedzētiem gadījumiem” atbilstoši Ministru kabineta 2018.</w:t>
            </w:r>
            <w:r w:rsidR="004677E0">
              <w:t xml:space="preserve"> </w:t>
            </w:r>
            <w:r w:rsidR="00F86D7B" w:rsidRPr="00F86D7B">
              <w:t>gada 17.</w:t>
            </w:r>
            <w:r w:rsidR="004677E0">
              <w:t xml:space="preserve"> </w:t>
            </w:r>
            <w:r w:rsidR="00F86D7B" w:rsidRPr="00F86D7B">
              <w:t>jūlija noteikumiem Nr.</w:t>
            </w:r>
            <w:r w:rsidR="004677E0">
              <w:t xml:space="preserve"> </w:t>
            </w:r>
            <w:r w:rsidR="00F86D7B" w:rsidRPr="00F86D7B">
              <w:t>421 „Kārtība, kādā veic gadskārtējā valsts budžeta likumā noteiktās apropriācijas izmaiņas”.</w:t>
            </w:r>
          </w:p>
          <w:p w14:paraId="51726586" w14:textId="3910A941" w:rsidR="00736911" w:rsidRDefault="00C130F5" w:rsidP="00736911">
            <w:pPr>
              <w:ind w:right="34"/>
              <w:jc w:val="both"/>
            </w:pPr>
            <w:r>
              <w:tab/>
            </w:r>
            <w:r w:rsidR="00736911" w:rsidRPr="00736911">
              <w:t xml:space="preserve">Piešķirot finansējumu </w:t>
            </w:r>
            <w:r w:rsidR="00736911">
              <w:t xml:space="preserve">Rēzeknes pilsētas pašvaldībai, līdzekļi tiks izlietoti </w:t>
            </w:r>
            <w:r w:rsidR="00736911" w:rsidRPr="00736911">
              <w:t>2020. gadā, tiks sasniegts plānotais mērķis, kā arī netiks radītas saistības papildu valsts budžeta izdevumiem turpmākajiem gadiem.</w:t>
            </w:r>
          </w:p>
        </w:tc>
      </w:tr>
    </w:tbl>
    <w:p w14:paraId="6E6C241D" w14:textId="77777777" w:rsidR="004149A5" w:rsidRDefault="004149A5"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77777777" w:rsidR="00C3572A" w:rsidRPr="00B24229" w:rsidRDefault="00C3572A" w:rsidP="001B2A96">
            <w:pPr>
              <w:ind w:right="127"/>
              <w:jc w:val="center"/>
            </w:pPr>
            <w:r w:rsidRPr="00C3572A">
              <w:t>Projekts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77777777" w:rsidR="00C3572A" w:rsidRPr="00B24229" w:rsidRDefault="00C3572A" w:rsidP="001B2A96">
            <w:pPr>
              <w:ind w:right="127"/>
              <w:jc w:val="center"/>
            </w:pPr>
            <w:r w:rsidRPr="00C3572A">
              <w:t>Projekts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381DA4D2" w:rsidR="004149A5" w:rsidRPr="004149A5" w:rsidRDefault="004149A5" w:rsidP="000566D5">
            <w:pPr>
              <w:pStyle w:val="naisnod"/>
              <w:spacing w:before="0" w:after="0"/>
              <w:rPr>
                <w:b w:val="0"/>
              </w:rPr>
            </w:pPr>
            <w:r w:rsidRPr="004149A5">
              <w:rPr>
                <w:b w:val="0"/>
              </w:rPr>
              <w:t>Projekts šo jomu neskar</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08B6971A" w:rsidR="00C22F23" w:rsidRPr="00B24229" w:rsidRDefault="00E82C1D" w:rsidP="003D100D">
            <w:pPr>
              <w:ind w:left="128" w:right="142"/>
              <w:jc w:val="both"/>
            </w:pPr>
            <w:r w:rsidRPr="00776AC7">
              <w:t xml:space="preserve">Rīkojuma projekta izpildi nodrošinās </w:t>
            </w:r>
            <w:r w:rsidR="003D100D">
              <w:t>IZM</w:t>
            </w:r>
            <w:r w:rsidR="00E4473B" w:rsidRPr="00776AC7">
              <w:t>. Par finansējuma piešķiršanu tiks slēgts līgums ar</w:t>
            </w:r>
            <w:r w:rsidR="00F4684A" w:rsidRPr="00776AC7">
              <w:t xml:space="preserve"> </w:t>
            </w:r>
            <w:r w:rsidR="00703E8F">
              <w:t>Rēzeknes pilsētas pašvaldību</w:t>
            </w:r>
            <w:r w:rsidR="00776AC7" w:rsidRPr="00776AC7">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 xml:space="preserve">Projekta izpildes ietekme uz pārvaldes funkcijām un </w:t>
            </w:r>
            <w:r w:rsidRPr="00C22F23">
              <w:lastRenderedPageBreak/>
              <w:t>institucionālo struktūru.</w:t>
            </w:r>
            <w:r w:rsidRPr="00C22F23">
              <w:br/>
              <w:t>Jaunu institūciju izveide, esošu institūciju likvidācija vai reorganizācija, to ietekme uz institūcijas cilvēkresursiem</w:t>
            </w:r>
          </w:p>
        </w:tc>
        <w:tc>
          <w:tcPr>
            <w:tcW w:w="6861" w:type="dxa"/>
          </w:tcPr>
          <w:p w14:paraId="3A593C1D" w14:textId="16FF923C" w:rsidR="00C22F23" w:rsidRDefault="00D47F6F" w:rsidP="00D47F6F">
            <w:pPr>
              <w:ind w:left="128" w:right="142"/>
              <w:jc w:val="both"/>
            </w:pPr>
            <w:r>
              <w:lastRenderedPageBreak/>
              <w:t xml:space="preserve">Rīkojuma projekts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lastRenderedPageBreak/>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32AB0E84" w14:textId="77777777" w:rsidR="00776AC7" w:rsidRPr="005705F9" w:rsidRDefault="00776AC7"/>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073030F4" w14:textId="77777777" w:rsidR="00776AC7" w:rsidRDefault="00776AC7" w:rsidP="009A6BFC">
      <w:pPr>
        <w:tabs>
          <w:tab w:val="left" w:pos="2450"/>
        </w:tabs>
        <w:ind w:left="720"/>
        <w:rPr>
          <w:sz w:val="20"/>
          <w:szCs w:val="20"/>
        </w:rPr>
      </w:pPr>
    </w:p>
    <w:p w14:paraId="5ED2BA42" w14:textId="77777777" w:rsidR="00776AC7" w:rsidRDefault="00776AC7" w:rsidP="009A6BFC">
      <w:pPr>
        <w:tabs>
          <w:tab w:val="left" w:pos="2450"/>
        </w:tabs>
        <w:ind w:left="720"/>
        <w:rPr>
          <w:sz w:val="20"/>
          <w:szCs w:val="20"/>
        </w:rPr>
      </w:pPr>
    </w:p>
    <w:p w14:paraId="554069F7" w14:textId="77777777" w:rsidR="00776AC7" w:rsidRDefault="00776AC7" w:rsidP="009A6BFC">
      <w:pPr>
        <w:tabs>
          <w:tab w:val="left" w:pos="2450"/>
        </w:tabs>
        <w:ind w:left="720"/>
        <w:rPr>
          <w:sz w:val="20"/>
          <w:szCs w:val="20"/>
        </w:rPr>
      </w:pPr>
    </w:p>
    <w:p w14:paraId="232E0977"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09FD" w14:textId="77777777" w:rsidR="001318F8" w:rsidRDefault="001318F8" w:rsidP="00123E9B">
      <w:r>
        <w:separator/>
      </w:r>
    </w:p>
  </w:endnote>
  <w:endnote w:type="continuationSeparator" w:id="0">
    <w:p w14:paraId="3A6FA5C2" w14:textId="77777777" w:rsidR="001318F8" w:rsidRDefault="001318F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1E8DE49C" w:rsidR="003A72D9" w:rsidRPr="000B143C" w:rsidRDefault="000B143C" w:rsidP="000B143C">
    <w:pPr>
      <w:ind w:left="-567" w:right="-568"/>
      <w:jc w:val="both"/>
      <w:rPr>
        <w:sz w:val="22"/>
        <w:szCs w:val="22"/>
      </w:rPr>
    </w:pPr>
    <w:r>
      <w:rPr>
        <w:sz w:val="22"/>
        <w:szCs w:val="22"/>
      </w:rPr>
      <w:t>IZMAnot_201020_LNG_Rezekne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29048A5E" w:rsidR="003A72D9" w:rsidRPr="00692F8F" w:rsidRDefault="003A72D9" w:rsidP="00692F8F">
    <w:pPr>
      <w:ind w:left="-567" w:right="-568"/>
      <w:jc w:val="both"/>
      <w:rPr>
        <w:sz w:val="22"/>
        <w:szCs w:val="22"/>
      </w:rPr>
    </w:pPr>
    <w:r>
      <w:rPr>
        <w:sz w:val="22"/>
        <w:szCs w:val="22"/>
      </w:rPr>
      <w:t>IZMAnot_</w:t>
    </w:r>
    <w:r w:rsidR="000B143C">
      <w:rPr>
        <w:sz w:val="22"/>
        <w:szCs w:val="22"/>
      </w:rPr>
      <w:t>201020_</w:t>
    </w:r>
    <w:r w:rsidR="00F1637D">
      <w:rPr>
        <w:sz w:val="22"/>
        <w:szCs w:val="22"/>
      </w:rPr>
      <w:t>LNG_</w:t>
    </w:r>
    <w:r w:rsidR="000B143C">
      <w:rPr>
        <w:sz w:val="22"/>
        <w:szCs w:val="22"/>
      </w:rPr>
      <w:t>Rezekne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824BB" w14:textId="77777777" w:rsidR="001318F8" w:rsidRDefault="001318F8" w:rsidP="00123E9B">
      <w:r>
        <w:separator/>
      </w:r>
    </w:p>
  </w:footnote>
  <w:footnote w:type="continuationSeparator" w:id="0">
    <w:p w14:paraId="4F9371AA" w14:textId="77777777" w:rsidR="001318F8" w:rsidRDefault="001318F8" w:rsidP="00123E9B">
      <w:r>
        <w:continuationSeparator/>
      </w:r>
    </w:p>
  </w:footnote>
  <w:footnote w:id="1">
    <w:p w14:paraId="4EF67D3F" w14:textId="77777777" w:rsidR="008D0D98" w:rsidRDefault="008D0D98" w:rsidP="008D0D98">
      <w:pPr>
        <w:pStyle w:val="FootnoteText"/>
        <w:ind w:left="-567" w:right="-568"/>
        <w:jc w:val="both"/>
      </w:pPr>
      <w:r>
        <w:rPr>
          <w:rStyle w:val="FootnoteReference"/>
        </w:rPr>
        <w:footnoteRef/>
      </w:r>
      <w:r>
        <w:t xml:space="preserve"> Lai gan IZM ir identificējusi 2020. gadā </w:t>
      </w:r>
      <w:r w:rsidRPr="007D00AA">
        <w:t>potenciāli iespējamo līdzekļu ekonomiju izdevumiem no dotācijas no vispārējiem ieņēmu</w:t>
      </w:r>
      <w:r>
        <w:t>miem atsevišķās valsts budžeta programmās/</w:t>
      </w:r>
      <w:r w:rsidRPr="007D00AA">
        <w:t>apakšprogrammās (pamatfunkcijām)</w:t>
      </w:r>
      <w:r>
        <w:t xml:space="preserve">, par ko 2020. gada 13. oktobrī informācija ir iesniegta Finanšu ministrijā, šos ietaupītos līdzekļus paredzēts novirzīt citām IZM budžeta prioritātēm. Turklāt, ievērojot Ministru prezidenta </w:t>
      </w:r>
      <w:proofErr w:type="spellStart"/>
      <w:r>
        <w:t>A.K.Kariņa</w:t>
      </w:r>
      <w:proofErr w:type="spellEnd"/>
      <w:r>
        <w:t xml:space="preserve"> 2020. gada 9. jūnija rezolūcijā  </w:t>
      </w:r>
      <w:r w:rsidRPr="007D00AA">
        <w:t>2020-1.1.1./38-38</w:t>
      </w:r>
      <w:r>
        <w:t xml:space="preserve"> noteikto, minētos līdzekļus jebkurā gadījumā sākotnēji apropriācijas kārtībā plānots pārdalīt uz </w:t>
      </w:r>
      <w:r w:rsidRPr="007D00AA">
        <w:t>valsts budžeta programmas 02.00.00 „Līdzekļi neparedzētiem gadījumiem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3A72D9" w:rsidRDefault="003A72D9">
    <w:pPr>
      <w:pStyle w:val="Header"/>
      <w:jc w:val="center"/>
    </w:pPr>
    <w:r>
      <w:fldChar w:fldCharType="begin"/>
    </w:r>
    <w:r>
      <w:instrText xml:space="preserve"> PAGE   \* MERGEFORMAT </w:instrText>
    </w:r>
    <w:r>
      <w:fldChar w:fldCharType="separate"/>
    </w:r>
    <w:r w:rsidR="00987B0B">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404C65F8"/>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9">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73AE262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4">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2"/>
  </w:num>
  <w:num w:numId="3">
    <w:abstractNumId w:val="31"/>
  </w:num>
  <w:num w:numId="4">
    <w:abstractNumId w:val="37"/>
  </w:num>
  <w:num w:numId="5">
    <w:abstractNumId w:val="28"/>
  </w:num>
  <w:num w:numId="6">
    <w:abstractNumId w:val="30"/>
  </w:num>
  <w:num w:numId="7">
    <w:abstractNumId w:val="5"/>
  </w:num>
  <w:num w:numId="8">
    <w:abstractNumId w:val="2"/>
  </w:num>
  <w:num w:numId="9">
    <w:abstractNumId w:val="17"/>
  </w:num>
  <w:num w:numId="10">
    <w:abstractNumId w:val="43"/>
  </w:num>
  <w:num w:numId="11">
    <w:abstractNumId w:val="35"/>
  </w:num>
  <w:num w:numId="12">
    <w:abstractNumId w:val="10"/>
  </w:num>
  <w:num w:numId="13">
    <w:abstractNumId w:val="3"/>
  </w:num>
  <w:num w:numId="14">
    <w:abstractNumId w:val="4"/>
  </w:num>
  <w:num w:numId="15">
    <w:abstractNumId w:val="34"/>
  </w:num>
  <w:num w:numId="16">
    <w:abstractNumId w:val="44"/>
  </w:num>
  <w:num w:numId="17">
    <w:abstractNumId w:val="20"/>
  </w:num>
  <w:num w:numId="18">
    <w:abstractNumId w:val="21"/>
  </w:num>
  <w:num w:numId="19">
    <w:abstractNumId w:val="19"/>
  </w:num>
  <w:num w:numId="20">
    <w:abstractNumId w:val="11"/>
  </w:num>
  <w:num w:numId="21">
    <w:abstractNumId w:val="25"/>
  </w:num>
  <w:num w:numId="22">
    <w:abstractNumId w:val="38"/>
  </w:num>
  <w:num w:numId="23">
    <w:abstractNumId w:val="24"/>
  </w:num>
  <w:num w:numId="24">
    <w:abstractNumId w:val="0"/>
  </w:num>
  <w:num w:numId="25">
    <w:abstractNumId w:val="27"/>
  </w:num>
  <w:num w:numId="26">
    <w:abstractNumId w:val="15"/>
  </w:num>
  <w:num w:numId="27">
    <w:abstractNumId w:val="33"/>
  </w:num>
  <w:num w:numId="28">
    <w:abstractNumId w:val="23"/>
  </w:num>
  <w:num w:numId="29">
    <w:abstractNumId w:val="9"/>
  </w:num>
  <w:num w:numId="30">
    <w:abstractNumId w:val="36"/>
  </w:num>
  <w:num w:numId="31">
    <w:abstractNumId w:val="8"/>
  </w:num>
  <w:num w:numId="32">
    <w:abstractNumId w:val="13"/>
  </w:num>
  <w:num w:numId="33">
    <w:abstractNumId w:val="29"/>
  </w:num>
  <w:num w:numId="34">
    <w:abstractNumId w:val="6"/>
  </w:num>
  <w:num w:numId="35">
    <w:abstractNumId w:val="39"/>
  </w:num>
  <w:num w:numId="36">
    <w:abstractNumId w:val="12"/>
  </w:num>
  <w:num w:numId="37">
    <w:abstractNumId w:val="42"/>
  </w:num>
  <w:num w:numId="38">
    <w:abstractNumId w:val="26"/>
  </w:num>
  <w:num w:numId="39">
    <w:abstractNumId w:val="1"/>
  </w:num>
  <w:num w:numId="40">
    <w:abstractNumId w:val="41"/>
  </w:num>
  <w:num w:numId="41">
    <w:abstractNumId w:val="14"/>
  </w:num>
  <w:num w:numId="42">
    <w:abstractNumId w:val="7"/>
  </w:num>
  <w:num w:numId="43">
    <w:abstractNumId w:val="16"/>
  </w:num>
  <w:num w:numId="44">
    <w:abstractNumId w:val="4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143C"/>
    <w:rsid w:val="000B3147"/>
    <w:rsid w:val="000B32F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9EC"/>
    <w:rsid w:val="0037399A"/>
    <w:rsid w:val="00374636"/>
    <w:rsid w:val="00374775"/>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276E"/>
    <w:rsid w:val="00423736"/>
    <w:rsid w:val="00424E6F"/>
    <w:rsid w:val="0042540D"/>
    <w:rsid w:val="00425AD7"/>
    <w:rsid w:val="004260DF"/>
    <w:rsid w:val="004309AD"/>
    <w:rsid w:val="004310C7"/>
    <w:rsid w:val="004331E9"/>
    <w:rsid w:val="004342B7"/>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F04A1"/>
    <w:rsid w:val="004F1194"/>
    <w:rsid w:val="004F14C5"/>
    <w:rsid w:val="004F1F61"/>
    <w:rsid w:val="004F2099"/>
    <w:rsid w:val="004F21AE"/>
    <w:rsid w:val="004F2C8A"/>
    <w:rsid w:val="004F3806"/>
    <w:rsid w:val="004F3D0D"/>
    <w:rsid w:val="004F5EB9"/>
    <w:rsid w:val="004F788C"/>
    <w:rsid w:val="00500FE2"/>
    <w:rsid w:val="005018A2"/>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3E78"/>
    <w:rsid w:val="0057494E"/>
    <w:rsid w:val="0057592D"/>
    <w:rsid w:val="005764B1"/>
    <w:rsid w:val="00576BE5"/>
    <w:rsid w:val="00576D34"/>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A42"/>
    <w:rsid w:val="00600DCE"/>
    <w:rsid w:val="00600E72"/>
    <w:rsid w:val="0060231D"/>
    <w:rsid w:val="00602697"/>
    <w:rsid w:val="00603AB8"/>
    <w:rsid w:val="00603CD4"/>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6911"/>
    <w:rsid w:val="00737AC1"/>
    <w:rsid w:val="0074024D"/>
    <w:rsid w:val="00741B85"/>
    <w:rsid w:val="007442E2"/>
    <w:rsid w:val="00746067"/>
    <w:rsid w:val="0075045D"/>
    <w:rsid w:val="007509C9"/>
    <w:rsid w:val="00752F55"/>
    <w:rsid w:val="00754101"/>
    <w:rsid w:val="0075490B"/>
    <w:rsid w:val="007558B7"/>
    <w:rsid w:val="00757A53"/>
    <w:rsid w:val="00760A85"/>
    <w:rsid w:val="00760EF9"/>
    <w:rsid w:val="00761B03"/>
    <w:rsid w:val="00761F25"/>
    <w:rsid w:val="00762F8F"/>
    <w:rsid w:val="00763103"/>
    <w:rsid w:val="00763461"/>
    <w:rsid w:val="00764C35"/>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855"/>
    <w:rsid w:val="00907E6F"/>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558"/>
    <w:rsid w:val="0099370A"/>
    <w:rsid w:val="009950B3"/>
    <w:rsid w:val="00995D97"/>
    <w:rsid w:val="00996AEB"/>
    <w:rsid w:val="009A41A2"/>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3F90"/>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0F5"/>
    <w:rsid w:val="00C13B05"/>
    <w:rsid w:val="00C1447B"/>
    <w:rsid w:val="00C16166"/>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4CFE"/>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2A34"/>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42BA"/>
    <w:rsid w:val="00D45AD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A9"/>
    <w:rsid w:val="00E110EE"/>
    <w:rsid w:val="00E1136E"/>
    <w:rsid w:val="00E1182B"/>
    <w:rsid w:val="00E11A22"/>
    <w:rsid w:val="00E14286"/>
    <w:rsid w:val="00E167E0"/>
    <w:rsid w:val="00E16A35"/>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D01CB"/>
    <w:rsid w:val="00ED1710"/>
    <w:rsid w:val="00ED196E"/>
    <w:rsid w:val="00ED29EB"/>
    <w:rsid w:val="00ED6681"/>
    <w:rsid w:val="00ED6E3A"/>
    <w:rsid w:val="00EE0F72"/>
    <w:rsid w:val="00EE21E4"/>
    <w:rsid w:val="00EE3881"/>
    <w:rsid w:val="00EE3C77"/>
    <w:rsid w:val="00EE4748"/>
    <w:rsid w:val="00EE47BE"/>
    <w:rsid w:val="00EE4FC1"/>
    <w:rsid w:val="00EE550E"/>
    <w:rsid w:val="00EE676B"/>
    <w:rsid w:val="00EE681B"/>
    <w:rsid w:val="00EE7D3E"/>
    <w:rsid w:val="00EF135A"/>
    <w:rsid w:val="00EF4498"/>
    <w:rsid w:val="00EF48F6"/>
    <w:rsid w:val="00EF5381"/>
    <w:rsid w:val="00EF58DD"/>
    <w:rsid w:val="00F00F9F"/>
    <w:rsid w:val="00F01660"/>
    <w:rsid w:val="00F03A50"/>
    <w:rsid w:val="00F04465"/>
    <w:rsid w:val="00F05C65"/>
    <w:rsid w:val="00F06077"/>
    <w:rsid w:val="00F06483"/>
    <w:rsid w:val="00F06528"/>
    <w:rsid w:val="00F0730F"/>
    <w:rsid w:val="00F07AC1"/>
    <w:rsid w:val="00F106E0"/>
    <w:rsid w:val="00F1205C"/>
    <w:rsid w:val="00F13091"/>
    <w:rsid w:val="00F13592"/>
    <w:rsid w:val="00F157DF"/>
    <w:rsid w:val="00F15CBA"/>
    <w:rsid w:val="00F1637D"/>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272A-D737-4A67-A30E-9B29BCB1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9038</Words>
  <Characters>5152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Edgars Severs</cp:lastModifiedBy>
  <cp:revision>34</cp:revision>
  <cp:lastPrinted>2018-03-22T14:28:00Z</cp:lastPrinted>
  <dcterms:created xsi:type="dcterms:W3CDTF">2020-10-18T03:45:00Z</dcterms:created>
  <dcterms:modified xsi:type="dcterms:W3CDTF">2020-10-19T16:01:00Z</dcterms:modified>
</cp:coreProperties>
</file>