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9378A0" w14:textId="786156EC" w:rsidR="00864F5E" w:rsidRPr="00C240F4" w:rsidRDefault="00A94CD5" w:rsidP="005F3325">
      <w:pPr>
        <w:spacing w:after="0" w:line="240" w:lineRule="auto"/>
        <w:rPr>
          <w:rFonts w:ascii="Arial Narrow" w:hAnsi="Arial Narrow"/>
          <w:lang w:val="lv-LV"/>
        </w:rPr>
      </w:pPr>
      <w:r>
        <w:rPr>
          <w:rFonts w:ascii="Arial Narrow" w:hAnsi="Arial Narrow"/>
          <w:noProof/>
          <w:lang w:val="lv-LV" w:eastAsia="lv-LV"/>
        </w:rPr>
        <mc:AlternateContent>
          <mc:Choice Requires="wpg">
            <w:drawing>
              <wp:anchor distT="0" distB="0" distL="114300" distR="114300" simplePos="0" relativeHeight="251658240" behindDoc="0" locked="0" layoutInCell="1" allowOverlap="1" wp14:anchorId="4950A72D" wp14:editId="7DA41CC1">
                <wp:simplePos x="0" y="0"/>
                <wp:positionH relativeFrom="column">
                  <wp:posOffset>-899160</wp:posOffset>
                </wp:positionH>
                <wp:positionV relativeFrom="paragraph">
                  <wp:posOffset>-914400</wp:posOffset>
                </wp:positionV>
                <wp:extent cx="7909560" cy="1036320"/>
                <wp:effectExtent l="0" t="0" r="0" b="0"/>
                <wp:wrapNone/>
                <wp:docPr id="7" name="Group 7"/>
                <wp:cNvGraphicFramePr/>
                <a:graphic xmlns:a="http://schemas.openxmlformats.org/drawingml/2006/main">
                  <a:graphicData uri="http://schemas.microsoft.com/office/word/2010/wordprocessingGroup">
                    <wpg:wgp>
                      <wpg:cNvGrpSpPr/>
                      <wpg:grpSpPr>
                        <a:xfrm>
                          <a:off x="0" y="0"/>
                          <a:ext cx="7909560" cy="1036320"/>
                          <a:chOff x="0" y="0"/>
                          <a:chExt cx="7909560" cy="1036320"/>
                        </a:xfrm>
                      </wpg:grpSpPr>
                      <wps:wsp>
                        <wps:cNvPr id="6"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A3FD723" id="Group 7" o:spid="_x0000_s1026" style="position:absolute;margin-left:-70.8pt;margin-top:-1in;width:622.8pt;height:81.6pt;z-index:251658240"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C8MA&#10;AADaAAAADwAAAGRycy9kb3ducmV2LnhtbESPT4vCMBTE74LfITzBm6YVkaVrLMuCKIKHdT3o7dG8&#10;/mGbl7ZJtX57syB4HGbmN8w6HUwtbtS5yrKCeB6BIM6srrhQcP7dzj5AOI+ssbZMCh7kIN2MR2tM&#10;tL3zD91OvhABwi5BBaX3TSKly0oy6Oa2IQ5ebjuDPsiukLrDe4CbWi6iaCUNVhwWSmzou6Ts79Qb&#10;Ba44HPMr9/GyN9e23eWXRRMvlZpOhq9PEJ4G/w6/2nutYAX/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C8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jv8MA&#10;AADaAAAADwAAAGRycy9kb3ducmV2LnhtbESPT2sCMRTE7wW/Q3iCt5q1UpXVKCIUhVLorl68PTZv&#10;/+DmZUmiu377plDocZiZ3zCb3WBa8SDnG8sKZtMEBHFhdcOVgsv543UFwgdkja1lUvAkD7vt6GWD&#10;qbY9Z/TIQyUihH2KCuoQulRKX9Rk0E9tRxy90jqDIUpXSe2wj3DTyrckWUiDDceFGjs61FTc8rtR&#10;sPjMZJhd52WZnatDX3y572O+VGoyHvZrEIGG8B/+a5+0gn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jv8MAAADaAAAADwAAAAAAAAAAAAAAAACYAgAAZHJzL2Rv&#10;d25yZXYueG1sUEsFBgAAAAAEAAQA9QAAAIgDAAAAAA==&#10;" path="m,6368l10010,r,10000l10,10000c7,8789,3,7579,,6368xe" fillcolor="#64157d" stroked="f" strokeweight="1pt">
                  <v:stroke joinstyle="miter"/>
                  <v:path arrowok="t" o:connecttype="custom" o:connectlocs="0,422160;7757290,0;7757290,662940;7750,662940;0,422160" o:connectangles="0,0,0,0,0"/>
                </v:shape>
              </v:group>
            </w:pict>
          </mc:Fallback>
        </mc:AlternateContent>
      </w:r>
    </w:p>
    <w:p w14:paraId="0630AEBB" w14:textId="77777777" w:rsidR="003B11A6" w:rsidRDefault="005F3325" w:rsidP="00C240F4">
      <w:pPr>
        <w:spacing w:after="0" w:line="240" w:lineRule="auto"/>
        <w:jc w:val="center"/>
        <w:rPr>
          <w:rFonts w:ascii="Arial Narrow" w:hAnsi="Arial Narrow" w:cs="Times New Roman"/>
          <w:b/>
          <w:color w:val="7030A0"/>
          <w:sz w:val="48"/>
          <w:szCs w:val="48"/>
          <w:lang w:val="lv-LV"/>
        </w:rPr>
      </w:pPr>
      <w:r w:rsidRPr="00A44046">
        <w:rPr>
          <w:rFonts w:ascii="Arial Narrow" w:hAnsi="Arial Narrow" w:cs="Times New Roman"/>
          <w:b/>
          <w:color w:val="7030A0"/>
          <w:sz w:val="48"/>
          <w:szCs w:val="48"/>
          <w:lang w:val="lv-LV"/>
        </w:rPr>
        <w:t>Informatīvais z</w:t>
      </w:r>
      <w:r w:rsidR="00864F5E" w:rsidRPr="00A44046">
        <w:rPr>
          <w:rFonts w:ascii="Arial Narrow" w:hAnsi="Arial Narrow" w:cs="Times New Roman"/>
          <w:b/>
          <w:color w:val="7030A0"/>
          <w:sz w:val="48"/>
          <w:szCs w:val="48"/>
          <w:lang w:val="lv-LV"/>
        </w:rPr>
        <w:t>iņojums</w:t>
      </w:r>
      <w:r w:rsidR="00C240F4" w:rsidRPr="00A44046">
        <w:rPr>
          <w:rFonts w:ascii="Arial Narrow" w:hAnsi="Arial Narrow" w:cs="Times New Roman"/>
          <w:b/>
          <w:color w:val="7030A0"/>
          <w:sz w:val="48"/>
          <w:szCs w:val="48"/>
          <w:lang w:val="lv-LV"/>
        </w:rPr>
        <w:t xml:space="preserve"> </w:t>
      </w:r>
      <w:r w:rsidRPr="00A44046">
        <w:rPr>
          <w:rFonts w:ascii="Arial Narrow" w:hAnsi="Arial Narrow" w:cs="Times New Roman"/>
          <w:b/>
          <w:color w:val="7030A0"/>
          <w:sz w:val="48"/>
          <w:szCs w:val="48"/>
          <w:lang w:val="lv-LV"/>
        </w:rPr>
        <w:t xml:space="preserve">par aktuālo </w:t>
      </w:r>
    </w:p>
    <w:p w14:paraId="4E35F4E8" w14:textId="14ABEBAA" w:rsidR="00864F5E" w:rsidRPr="00A44046" w:rsidRDefault="005F3325" w:rsidP="00C240F4">
      <w:pPr>
        <w:spacing w:after="0" w:line="240" w:lineRule="auto"/>
        <w:jc w:val="center"/>
        <w:rPr>
          <w:rFonts w:ascii="Arial Narrow" w:hAnsi="Arial Narrow" w:cs="Times New Roman"/>
          <w:b/>
          <w:color w:val="7030A0"/>
          <w:sz w:val="48"/>
          <w:szCs w:val="48"/>
          <w:lang w:val="lv-LV"/>
        </w:rPr>
      </w:pPr>
      <w:r w:rsidRPr="00A44046">
        <w:rPr>
          <w:rFonts w:ascii="Arial Narrow" w:hAnsi="Arial Narrow" w:cs="Times New Roman"/>
          <w:b/>
          <w:color w:val="7030A0"/>
          <w:sz w:val="48"/>
          <w:szCs w:val="48"/>
          <w:lang w:val="lv-LV"/>
        </w:rPr>
        <w:t xml:space="preserve">situāciju ar studiju un studējošo </w:t>
      </w:r>
      <w:r w:rsidR="00727E6E" w:rsidRPr="00A44046">
        <w:rPr>
          <w:rFonts w:ascii="Arial Narrow" w:hAnsi="Arial Narrow" w:cs="Times New Roman"/>
          <w:b/>
          <w:color w:val="7030A0"/>
          <w:sz w:val="48"/>
          <w:szCs w:val="48"/>
          <w:lang w:val="lv-LV"/>
        </w:rPr>
        <w:t>kredītiem,</w:t>
      </w:r>
      <w:r w:rsidR="00C240F4" w:rsidRPr="00A44046">
        <w:rPr>
          <w:rFonts w:ascii="Arial Narrow" w:hAnsi="Arial Narrow" w:cs="Times New Roman"/>
          <w:b/>
          <w:color w:val="7030A0"/>
          <w:sz w:val="48"/>
          <w:szCs w:val="48"/>
          <w:lang w:val="lv-LV"/>
        </w:rPr>
        <w:t xml:space="preserve"> </w:t>
      </w:r>
      <w:r w:rsidRPr="00A44046">
        <w:rPr>
          <w:rFonts w:ascii="Arial Narrow" w:hAnsi="Arial Narrow" w:cs="Times New Roman"/>
          <w:b/>
          <w:color w:val="7030A0"/>
          <w:sz w:val="48"/>
          <w:szCs w:val="48"/>
          <w:lang w:val="lv-LV"/>
        </w:rPr>
        <w:t xml:space="preserve">kas ir </w:t>
      </w:r>
      <w:r w:rsidR="00727E6E" w:rsidRPr="00A44046">
        <w:rPr>
          <w:rFonts w:ascii="Arial Narrow" w:hAnsi="Arial Narrow" w:cs="Times New Roman"/>
          <w:b/>
          <w:color w:val="7030A0"/>
          <w:sz w:val="48"/>
          <w:szCs w:val="48"/>
          <w:lang w:val="lv-LV"/>
        </w:rPr>
        <w:t xml:space="preserve">garantēti </w:t>
      </w:r>
      <w:r w:rsidRPr="00A44046">
        <w:rPr>
          <w:rFonts w:ascii="Arial Narrow" w:hAnsi="Arial Narrow" w:cs="Times New Roman"/>
          <w:b/>
          <w:color w:val="7030A0"/>
          <w:sz w:val="48"/>
          <w:szCs w:val="48"/>
          <w:lang w:val="lv-LV"/>
        </w:rPr>
        <w:t>no valsts budžeta līdzekļiem</w:t>
      </w:r>
    </w:p>
    <w:p w14:paraId="72B650F8" w14:textId="09EF7B6F" w:rsidR="00AC228E" w:rsidRPr="00C240F4" w:rsidRDefault="00AC228E" w:rsidP="003B11A6">
      <w:pPr>
        <w:tabs>
          <w:tab w:val="left" w:pos="4188"/>
        </w:tabs>
        <w:rPr>
          <w:rFonts w:ascii="Arial Narrow" w:eastAsia="Times New Roman" w:hAnsi="Arial Narrow" w:cs="Times New Roman"/>
          <w:b/>
          <w:sz w:val="24"/>
          <w:szCs w:val="24"/>
          <w:lang w:val="lv-LV"/>
        </w:rPr>
      </w:pPr>
    </w:p>
    <w:p w14:paraId="316EF791" w14:textId="77777777" w:rsidR="00E26EAF" w:rsidRDefault="00E26EAF" w:rsidP="00B1123F">
      <w:pPr>
        <w:jc w:val="center"/>
        <w:rPr>
          <w:rFonts w:ascii="Arial Narrow" w:eastAsia="Times New Roman" w:hAnsi="Arial Narrow" w:cs="Times New Roman"/>
          <w:b/>
          <w:color w:val="7030A0"/>
          <w:sz w:val="32"/>
          <w:szCs w:val="32"/>
          <w:lang w:val="lv-LV"/>
        </w:rPr>
      </w:pPr>
    </w:p>
    <w:p w14:paraId="6099DDA5" w14:textId="20E9E714" w:rsidR="005F3325" w:rsidRPr="00A44046" w:rsidRDefault="005F3325" w:rsidP="00B1123F">
      <w:pPr>
        <w:jc w:val="center"/>
        <w:rPr>
          <w:rFonts w:ascii="Arial Narrow" w:eastAsia="Times New Roman" w:hAnsi="Arial Narrow" w:cs="Times New Roman"/>
          <w:b/>
          <w:color w:val="7030A0"/>
          <w:sz w:val="32"/>
          <w:szCs w:val="32"/>
          <w:lang w:val="lv-LV"/>
        </w:rPr>
      </w:pPr>
      <w:r w:rsidRPr="00A44046">
        <w:rPr>
          <w:rFonts w:ascii="Arial Narrow" w:eastAsia="Times New Roman" w:hAnsi="Arial Narrow" w:cs="Times New Roman"/>
          <w:b/>
          <w:color w:val="7030A0"/>
          <w:sz w:val="32"/>
          <w:szCs w:val="32"/>
          <w:lang w:val="lv-LV"/>
        </w:rPr>
        <w:t xml:space="preserve">Ievads </w:t>
      </w:r>
    </w:p>
    <w:p w14:paraId="44DCD428" w14:textId="77777777" w:rsidR="00AC228E" w:rsidRPr="003B11A6" w:rsidRDefault="00AC228E" w:rsidP="00B1123F">
      <w:pPr>
        <w:jc w:val="center"/>
        <w:rPr>
          <w:rFonts w:ascii="Arial Narrow" w:eastAsia="Times New Roman" w:hAnsi="Arial Narrow" w:cs="Times New Roman"/>
          <w:sz w:val="12"/>
          <w:szCs w:val="12"/>
          <w:lang w:val="lv-LV"/>
        </w:rPr>
      </w:pPr>
    </w:p>
    <w:p w14:paraId="371A3F6C" w14:textId="77777777" w:rsidR="003B11A6" w:rsidRDefault="005F3325" w:rsidP="003B11A6">
      <w:pPr>
        <w:ind w:firstLine="720"/>
        <w:jc w:val="both"/>
        <w:rPr>
          <w:rFonts w:ascii="Arial Narrow" w:eastAsia="Times New Roman" w:hAnsi="Arial Narrow" w:cs="Times New Roman"/>
          <w:b/>
          <w:color w:val="7030A0"/>
          <w:sz w:val="28"/>
          <w:szCs w:val="28"/>
          <w:lang w:val="lv-LV"/>
        </w:rPr>
      </w:pPr>
      <w:r w:rsidRPr="003B11A6">
        <w:rPr>
          <w:rFonts w:ascii="Arial Narrow" w:hAnsi="Arial Narrow" w:cs="Times New Roman"/>
          <w:b/>
          <w:color w:val="7030A0"/>
          <w:sz w:val="28"/>
          <w:szCs w:val="28"/>
          <w:lang w:val="lv-LV"/>
        </w:rPr>
        <w:t>Informatīvā</w:t>
      </w:r>
      <w:r w:rsidRPr="003B11A6">
        <w:rPr>
          <w:rFonts w:ascii="Arial Narrow" w:eastAsia="Times New Roman" w:hAnsi="Arial Narrow" w:cs="Times New Roman"/>
          <w:b/>
          <w:color w:val="7030A0"/>
          <w:sz w:val="28"/>
          <w:szCs w:val="28"/>
          <w:lang w:val="lv-LV"/>
        </w:rPr>
        <w:t xml:space="preserve"> ziņojuma mērķis ir sniegt informāciju Ministru kabinetam lēmuma pieņemšanai par līdzekļu pārdali 2020.gadā Izglītības un zinātnes ministrijas</w:t>
      </w:r>
      <w:r w:rsidR="00CE6010" w:rsidRPr="003B11A6">
        <w:rPr>
          <w:rFonts w:ascii="Arial Narrow" w:eastAsia="Times New Roman" w:hAnsi="Arial Narrow" w:cs="Times New Roman"/>
          <w:b/>
          <w:color w:val="7030A0"/>
          <w:sz w:val="28"/>
          <w:szCs w:val="28"/>
          <w:lang w:val="lv-LV"/>
        </w:rPr>
        <w:t xml:space="preserve"> (turpmāk</w:t>
      </w:r>
      <w:r w:rsidR="00AE2510" w:rsidRPr="003B11A6">
        <w:rPr>
          <w:rFonts w:ascii="Arial Narrow" w:eastAsia="Times New Roman" w:hAnsi="Arial Narrow" w:cs="Times New Roman"/>
          <w:b/>
          <w:color w:val="7030A0"/>
          <w:sz w:val="28"/>
          <w:szCs w:val="28"/>
          <w:lang w:val="lv-LV"/>
        </w:rPr>
        <w:t xml:space="preserve"> –</w:t>
      </w:r>
      <w:r w:rsidR="00CE6010" w:rsidRPr="003B11A6">
        <w:rPr>
          <w:rFonts w:ascii="Arial Narrow" w:eastAsia="Times New Roman" w:hAnsi="Arial Narrow" w:cs="Times New Roman"/>
          <w:b/>
          <w:color w:val="7030A0"/>
          <w:sz w:val="28"/>
          <w:szCs w:val="28"/>
          <w:lang w:val="lv-LV"/>
        </w:rPr>
        <w:t xml:space="preserve"> ministrija)</w:t>
      </w:r>
      <w:r w:rsidRPr="003B11A6">
        <w:rPr>
          <w:rFonts w:ascii="Arial Narrow" w:eastAsia="Times New Roman" w:hAnsi="Arial Narrow" w:cs="Times New Roman"/>
          <w:b/>
          <w:color w:val="7030A0"/>
          <w:sz w:val="28"/>
          <w:szCs w:val="28"/>
          <w:lang w:val="lv-LV"/>
        </w:rPr>
        <w:t xml:space="preserve"> budžeta ietvaros</w:t>
      </w:r>
      <w:r w:rsidR="00442E40" w:rsidRPr="003B11A6">
        <w:rPr>
          <w:rFonts w:ascii="Arial Narrow" w:eastAsia="Times New Roman" w:hAnsi="Arial Narrow" w:cs="Times New Roman"/>
          <w:b/>
          <w:color w:val="7030A0"/>
          <w:sz w:val="28"/>
          <w:szCs w:val="28"/>
          <w:lang w:val="lv-LV"/>
        </w:rPr>
        <w:t xml:space="preserve">, lai palielinātu finansējumu </w:t>
      </w:r>
      <w:r w:rsidR="00E7746B" w:rsidRPr="003B11A6">
        <w:rPr>
          <w:rFonts w:ascii="Arial Narrow" w:eastAsia="Times New Roman" w:hAnsi="Arial Narrow" w:cs="Times New Roman"/>
          <w:b/>
          <w:color w:val="7030A0"/>
          <w:sz w:val="28"/>
          <w:szCs w:val="28"/>
          <w:lang w:val="lv-LV"/>
        </w:rPr>
        <w:t>s</w:t>
      </w:r>
      <w:r w:rsidR="00BE287E" w:rsidRPr="003B11A6">
        <w:rPr>
          <w:rFonts w:ascii="Arial Narrow" w:eastAsia="Times New Roman" w:hAnsi="Arial Narrow" w:cs="Times New Roman"/>
          <w:b/>
          <w:color w:val="7030A0"/>
          <w:sz w:val="28"/>
          <w:szCs w:val="28"/>
          <w:lang w:val="lv-LV"/>
        </w:rPr>
        <w:t>tudiju un studējošo kredītu</w:t>
      </w:r>
      <w:r w:rsidR="00E7746B" w:rsidRPr="003B11A6">
        <w:rPr>
          <w:rFonts w:ascii="Arial Narrow" w:eastAsia="Times New Roman" w:hAnsi="Arial Narrow" w:cs="Times New Roman"/>
          <w:b/>
          <w:color w:val="7030A0"/>
          <w:sz w:val="28"/>
          <w:szCs w:val="28"/>
          <w:lang w:val="lv-LV"/>
        </w:rPr>
        <w:t xml:space="preserve"> garantēšanai</w:t>
      </w:r>
      <w:r w:rsidR="003B2C62" w:rsidRPr="003B11A6">
        <w:rPr>
          <w:rFonts w:ascii="Arial Narrow" w:eastAsia="Times New Roman" w:hAnsi="Arial Narrow" w:cs="Times New Roman"/>
          <w:b/>
          <w:color w:val="7030A0"/>
          <w:sz w:val="28"/>
          <w:szCs w:val="28"/>
          <w:lang w:val="lv-LV"/>
        </w:rPr>
        <w:t>, k</w:t>
      </w:r>
      <w:r w:rsidR="00727E6E" w:rsidRPr="003B11A6">
        <w:rPr>
          <w:rFonts w:ascii="Arial Narrow" w:eastAsia="Times New Roman" w:hAnsi="Arial Narrow" w:cs="Times New Roman"/>
          <w:b/>
          <w:color w:val="7030A0"/>
          <w:sz w:val="28"/>
          <w:szCs w:val="28"/>
          <w:lang w:val="lv-LV"/>
        </w:rPr>
        <w:t>ā arī informēt par iespējamo rīcību</w:t>
      </w:r>
      <w:r w:rsidR="007507F0" w:rsidRPr="003B11A6">
        <w:rPr>
          <w:rFonts w:ascii="Arial Narrow" w:eastAsia="Times New Roman" w:hAnsi="Arial Narrow" w:cs="Times New Roman"/>
          <w:b/>
          <w:color w:val="7030A0"/>
          <w:sz w:val="28"/>
          <w:szCs w:val="28"/>
          <w:lang w:val="lv-LV"/>
        </w:rPr>
        <w:t xml:space="preserve"> studējošo kreditēšan</w:t>
      </w:r>
      <w:r w:rsidR="00727E6E" w:rsidRPr="003B11A6">
        <w:rPr>
          <w:rFonts w:ascii="Arial Narrow" w:eastAsia="Times New Roman" w:hAnsi="Arial Narrow" w:cs="Times New Roman"/>
          <w:b/>
          <w:color w:val="7030A0"/>
          <w:sz w:val="28"/>
          <w:szCs w:val="28"/>
          <w:lang w:val="lv-LV"/>
        </w:rPr>
        <w:t>ā</w:t>
      </w:r>
      <w:r w:rsidR="00BE287E" w:rsidRPr="003B11A6">
        <w:rPr>
          <w:rFonts w:ascii="Arial Narrow" w:eastAsia="Times New Roman" w:hAnsi="Arial Narrow" w:cs="Times New Roman"/>
          <w:b/>
          <w:color w:val="7030A0"/>
          <w:sz w:val="28"/>
          <w:szCs w:val="28"/>
          <w:lang w:val="lv-LV"/>
        </w:rPr>
        <w:t xml:space="preserve"> </w:t>
      </w:r>
      <w:r w:rsidR="003B2C62" w:rsidRPr="003B11A6">
        <w:rPr>
          <w:rFonts w:ascii="Arial Narrow" w:eastAsia="Times New Roman" w:hAnsi="Arial Narrow" w:cs="Times New Roman"/>
          <w:b/>
          <w:color w:val="7030A0"/>
          <w:sz w:val="28"/>
          <w:szCs w:val="28"/>
          <w:lang w:val="lv-LV"/>
        </w:rPr>
        <w:t>turpmākajos gados</w:t>
      </w:r>
      <w:r w:rsidR="003B11A6">
        <w:rPr>
          <w:rFonts w:ascii="Arial Narrow" w:eastAsia="Times New Roman" w:hAnsi="Arial Narrow" w:cs="Times New Roman"/>
          <w:b/>
          <w:color w:val="7030A0"/>
          <w:sz w:val="28"/>
          <w:szCs w:val="28"/>
          <w:lang w:val="lv-LV"/>
        </w:rPr>
        <w:t xml:space="preserve">. </w:t>
      </w:r>
    </w:p>
    <w:p w14:paraId="4F3871F8" w14:textId="0F3D7047" w:rsidR="00BE287E" w:rsidRPr="003B11A6" w:rsidRDefault="007507F0" w:rsidP="003B11A6">
      <w:pPr>
        <w:ind w:firstLine="720"/>
        <w:jc w:val="both"/>
        <w:rPr>
          <w:rFonts w:ascii="Arial Narrow" w:eastAsia="Times New Roman" w:hAnsi="Arial Narrow" w:cs="Times New Roman"/>
          <w:b/>
          <w:color w:val="7030A0"/>
          <w:sz w:val="28"/>
          <w:szCs w:val="28"/>
          <w:lang w:val="lv-LV"/>
        </w:rPr>
      </w:pPr>
      <w:r w:rsidRPr="003B11A6">
        <w:rPr>
          <w:rFonts w:ascii="Arial Narrow" w:eastAsia="Times New Roman" w:hAnsi="Arial Narrow" w:cs="Times New Roman"/>
          <w:b/>
          <w:color w:val="7030A0"/>
          <w:sz w:val="28"/>
          <w:szCs w:val="28"/>
          <w:lang w:val="lv-LV"/>
        </w:rPr>
        <w:t xml:space="preserve">Nepieciešamība ir radusies, jo saņemtais pieteikumu skaits uz </w:t>
      </w:r>
      <w:r w:rsidR="00BE287E" w:rsidRPr="003B11A6">
        <w:rPr>
          <w:rFonts w:ascii="Arial Narrow" w:eastAsia="Times New Roman" w:hAnsi="Arial Narrow" w:cs="Times New Roman"/>
          <w:b/>
          <w:color w:val="7030A0"/>
          <w:sz w:val="28"/>
          <w:szCs w:val="28"/>
          <w:lang w:val="lv-LV"/>
        </w:rPr>
        <w:t>valsts garantēt</w:t>
      </w:r>
      <w:r w:rsidR="003B2C62" w:rsidRPr="003B11A6">
        <w:rPr>
          <w:rFonts w:ascii="Arial Narrow" w:eastAsia="Times New Roman" w:hAnsi="Arial Narrow" w:cs="Times New Roman"/>
          <w:b/>
          <w:color w:val="7030A0"/>
          <w:sz w:val="28"/>
          <w:szCs w:val="28"/>
          <w:lang w:val="lv-LV"/>
        </w:rPr>
        <w:t>aj</w:t>
      </w:r>
      <w:r w:rsidR="00BE287E" w:rsidRPr="003B11A6">
        <w:rPr>
          <w:rFonts w:ascii="Arial Narrow" w:eastAsia="Times New Roman" w:hAnsi="Arial Narrow" w:cs="Times New Roman"/>
          <w:b/>
          <w:color w:val="7030A0"/>
          <w:sz w:val="28"/>
          <w:szCs w:val="28"/>
          <w:lang w:val="lv-LV"/>
        </w:rPr>
        <w:t xml:space="preserve">iem </w:t>
      </w:r>
      <w:r w:rsidRPr="003B11A6">
        <w:rPr>
          <w:rFonts w:ascii="Arial Narrow" w:eastAsia="Times New Roman" w:hAnsi="Arial Narrow" w:cs="Times New Roman"/>
          <w:b/>
          <w:color w:val="7030A0"/>
          <w:sz w:val="28"/>
          <w:szCs w:val="28"/>
          <w:lang w:val="lv-LV"/>
        </w:rPr>
        <w:t>studiju un studējoš</w:t>
      </w:r>
      <w:r w:rsidR="00727E6E" w:rsidRPr="003B11A6">
        <w:rPr>
          <w:rFonts w:ascii="Arial Narrow" w:eastAsia="Times New Roman" w:hAnsi="Arial Narrow" w:cs="Times New Roman"/>
          <w:b/>
          <w:color w:val="7030A0"/>
          <w:sz w:val="28"/>
          <w:szCs w:val="28"/>
          <w:lang w:val="lv-LV"/>
        </w:rPr>
        <w:t>o</w:t>
      </w:r>
      <w:r w:rsidRPr="003B11A6">
        <w:rPr>
          <w:rFonts w:ascii="Arial Narrow" w:eastAsia="Times New Roman" w:hAnsi="Arial Narrow" w:cs="Times New Roman"/>
          <w:b/>
          <w:color w:val="7030A0"/>
          <w:sz w:val="28"/>
          <w:szCs w:val="28"/>
          <w:lang w:val="lv-LV"/>
        </w:rPr>
        <w:t xml:space="preserve"> kredītiem </w:t>
      </w:r>
      <w:r w:rsidR="00171882">
        <w:rPr>
          <w:rFonts w:ascii="Arial Narrow" w:eastAsia="Times New Roman" w:hAnsi="Arial Narrow" w:cs="Times New Roman"/>
          <w:b/>
          <w:color w:val="7030A0"/>
          <w:sz w:val="28"/>
          <w:szCs w:val="28"/>
          <w:lang w:val="lv-LV"/>
        </w:rPr>
        <w:t xml:space="preserve">ir lielāks, nekā tika prognozēts pirms Covid-19 izraisītās ārkārtas situācijas pieņemot </w:t>
      </w:r>
      <w:r w:rsidR="00AE2510" w:rsidRPr="003B11A6">
        <w:rPr>
          <w:rFonts w:ascii="Arial Narrow" w:hAnsi="Arial Narrow" w:cs="Times New Roman"/>
          <w:b/>
          <w:color w:val="7030A0"/>
          <w:sz w:val="28"/>
          <w:szCs w:val="28"/>
          <w:lang w:val="lv-LV"/>
        </w:rPr>
        <w:t>likum</w:t>
      </w:r>
      <w:r w:rsidR="00171882">
        <w:rPr>
          <w:rFonts w:ascii="Arial Narrow" w:hAnsi="Arial Narrow" w:cs="Times New Roman"/>
          <w:b/>
          <w:color w:val="7030A0"/>
          <w:sz w:val="28"/>
          <w:szCs w:val="28"/>
          <w:lang w:val="lv-LV"/>
        </w:rPr>
        <w:t>u</w:t>
      </w:r>
      <w:r w:rsidR="00AE2510" w:rsidRPr="003B11A6">
        <w:rPr>
          <w:rFonts w:ascii="Arial Narrow" w:hAnsi="Arial Narrow" w:cs="Times New Roman"/>
          <w:b/>
          <w:color w:val="7030A0"/>
          <w:sz w:val="28"/>
          <w:szCs w:val="28"/>
          <w:lang w:val="lv-LV"/>
        </w:rPr>
        <w:t xml:space="preserve"> “Par valsts budžetu 2020. gadam”</w:t>
      </w:r>
      <w:r w:rsidRPr="003B11A6">
        <w:rPr>
          <w:rFonts w:ascii="Arial Narrow" w:eastAsia="Times New Roman" w:hAnsi="Arial Narrow" w:cs="Times New Roman"/>
          <w:b/>
          <w:color w:val="7030A0"/>
          <w:sz w:val="28"/>
          <w:szCs w:val="28"/>
          <w:lang w:val="lv-LV"/>
        </w:rPr>
        <w:t xml:space="preserve">. </w:t>
      </w:r>
    </w:p>
    <w:p w14:paraId="574D204B" w14:textId="77777777" w:rsidR="00AC228E" w:rsidRPr="00A44046" w:rsidRDefault="00AC228E" w:rsidP="00A44046">
      <w:pPr>
        <w:jc w:val="center"/>
        <w:rPr>
          <w:rFonts w:ascii="Arial Narrow" w:eastAsia="Times New Roman" w:hAnsi="Arial Narrow" w:cs="Times New Roman"/>
          <w:sz w:val="32"/>
          <w:szCs w:val="32"/>
          <w:lang w:val="lv-LV"/>
        </w:rPr>
      </w:pPr>
    </w:p>
    <w:p w14:paraId="16D34F44" w14:textId="2C84153A" w:rsidR="00BE287E" w:rsidRPr="00A44046" w:rsidRDefault="00E656FB" w:rsidP="00A44046">
      <w:pPr>
        <w:jc w:val="center"/>
        <w:rPr>
          <w:rFonts w:ascii="Arial Narrow" w:eastAsia="Times New Roman" w:hAnsi="Arial Narrow" w:cs="Times New Roman"/>
          <w:color w:val="7030A0"/>
          <w:sz w:val="32"/>
          <w:szCs w:val="32"/>
          <w:lang w:val="lv-LV"/>
        </w:rPr>
      </w:pPr>
      <w:r>
        <w:rPr>
          <w:rFonts w:ascii="Arial Narrow" w:eastAsia="Times New Roman" w:hAnsi="Arial Narrow" w:cs="Times New Roman"/>
          <w:b/>
          <w:color w:val="7030A0"/>
          <w:sz w:val="32"/>
          <w:szCs w:val="32"/>
          <w:lang w:val="lv-LV"/>
        </w:rPr>
        <w:t xml:space="preserve">1. </w:t>
      </w:r>
      <w:r w:rsidR="00BE287E" w:rsidRPr="00A44046">
        <w:rPr>
          <w:rFonts w:ascii="Arial Narrow" w:eastAsia="Times New Roman" w:hAnsi="Arial Narrow" w:cs="Times New Roman"/>
          <w:b/>
          <w:color w:val="7030A0"/>
          <w:sz w:val="32"/>
          <w:szCs w:val="32"/>
          <w:lang w:val="lv-LV"/>
        </w:rPr>
        <w:t>Situācijas raksturojums</w:t>
      </w:r>
    </w:p>
    <w:p w14:paraId="004EAEEE" w14:textId="7EE7698A" w:rsidR="00B850DB" w:rsidRPr="00C240F4" w:rsidRDefault="00BE287E" w:rsidP="00727E6E">
      <w:pPr>
        <w:ind w:firstLine="720"/>
        <w:jc w:val="both"/>
        <w:rPr>
          <w:rFonts w:ascii="Arial Narrow" w:hAnsi="Arial Narrow" w:cs="Times New Roman"/>
          <w:sz w:val="28"/>
          <w:szCs w:val="28"/>
          <w:lang w:val="lv-LV"/>
        </w:rPr>
      </w:pPr>
      <w:r w:rsidRPr="00C240F4">
        <w:rPr>
          <w:rFonts w:ascii="Arial Narrow" w:eastAsia="Times New Roman" w:hAnsi="Arial Narrow" w:cs="Times New Roman"/>
          <w:sz w:val="28"/>
          <w:szCs w:val="28"/>
          <w:lang w:val="lv-LV"/>
        </w:rPr>
        <w:t>Kopš 2020.gada 12.august</w:t>
      </w:r>
      <w:r w:rsidR="00FC415E">
        <w:rPr>
          <w:rFonts w:ascii="Arial Narrow" w:eastAsia="Times New Roman" w:hAnsi="Arial Narrow" w:cs="Times New Roman"/>
          <w:sz w:val="28"/>
          <w:szCs w:val="28"/>
          <w:lang w:val="lv-LV"/>
        </w:rPr>
        <w:t>ā</w:t>
      </w:r>
      <w:r w:rsidRPr="00C240F4">
        <w:rPr>
          <w:rFonts w:ascii="Arial Narrow" w:eastAsia="Times New Roman" w:hAnsi="Arial Narrow" w:cs="Times New Roman"/>
          <w:sz w:val="28"/>
          <w:szCs w:val="28"/>
          <w:lang w:val="lv-LV"/>
        </w:rPr>
        <w:t xml:space="preserve"> uzsāk</w:t>
      </w:r>
      <w:r w:rsidR="00FC415E">
        <w:rPr>
          <w:rFonts w:ascii="Arial Narrow" w:eastAsia="Times New Roman" w:hAnsi="Arial Narrow" w:cs="Times New Roman"/>
          <w:sz w:val="28"/>
          <w:szCs w:val="28"/>
          <w:lang w:val="lv-LV"/>
        </w:rPr>
        <w:t>t</w:t>
      </w:r>
      <w:r w:rsidRPr="00C240F4">
        <w:rPr>
          <w:rFonts w:ascii="Arial Narrow" w:eastAsia="Times New Roman" w:hAnsi="Arial Narrow" w:cs="Times New Roman"/>
          <w:sz w:val="28"/>
          <w:szCs w:val="28"/>
          <w:lang w:val="lv-LV"/>
        </w:rPr>
        <w:t>a studiju un studējošo kredītu izsniegšan</w:t>
      </w:r>
      <w:r w:rsidR="00FC415E">
        <w:rPr>
          <w:rFonts w:ascii="Arial Narrow" w:eastAsia="Times New Roman" w:hAnsi="Arial Narrow" w:cs="Times New Roman"/>
          <w:sz w:val="28"/>
          <w:szCs w:val="28"/>
          <w:lang w:val="lv-LV"/>
        </w:rPr>
        <w:t>a</w:t>
      </w:r>
      <w:r w:rsidRPr="00C240F4">
        <w:rPr>
          <w:rFonts w:ascii="Arial Narrow" w:eastAsia="Times New Roman" w:hAnsi="Arial Narrow" w:cs="Times New Roman"/>
          <w:sz w:val="28"/>
          <w:szCs w:val="28"/>
          <w:lang w:val="lv-LV"/>
        </w:rPr>
        <w:t xml:space="preserve">, kas ir garantēti </w:t>
      </w:r>
      <w:r w:rsidRPr="00C240F4">
        <w:rPr>
          <w:rFonts w:ascii="Arial Narrow" w:hAnsi="Arial Narrow" w:cs="Times New Roman"/>
          <w:sz w:val="28"/>
          <w:szCs w:val="28"/>
          <w:lang w:val="lv-LV"/>
        </w:rPr>
        <w:t xml:space="preserve">no valsts budžeta līdzekļiem ar portfeļgarantiju, kuru administrē </w:t>
      </w:r>
      <w:r w:rsidRPr="00C240F4">
        <w:rPr>
          <w:rFonts w:ascii="Arial Narrow" w:eastAsia="Times New Roman" w:hAnsi="Arial Narrow" w:cs="Times New Roman"/>
          <w:sz w:val="28"/>
          <w:szCs w:val="28"/>
          <w:lang w:val="lv-LV"/>
        </w:rPr>
        <w:t>A</w:t>
      </w:r>
      <w:r w:rsidR="007507F0" w:rsidRPr="00C240F4">
        <w:rPr>
          <w:rFonts w:ascii="Arial Narrow" w:eastAsia="Times New Roman" w:hAnsi="Arial Narrow" w:cs="Times New Roman"/>
          <w:sz w:val="28"/>
          <w:szCs w:val="28"/>
          <w:lang w:val="lv-LV"/>
        </w:rPr>
        <w:t>S "Attīstības finanšu institūcija Altum" (turpmāk – "Altum").</w:t>
      </w:r>
      <w:r w:rsidRPr="00C240F4">
        <w:rPr>
          <w:rFonts w:ascii="Arial Narrow" w:eastAsia="Times New Roman" w:hAnsi="Arial Narrow" w:cs="Times New Roman"/>
          <w:sz w:val="28"/>
          <w:szCs w:val="28"/>
          <w:lang w:val="lv-LV"/>
        </w:rPr>
        <w:t xml:space="preserve"> Jauns studējošo kreditēšanas modelis ir ieviests saskaņā ar Ministru kabineta atbalstīto konceptuālo ziņojumu</w:t>
      </w:r>
      <w:r w:rsidR="00BC75D2" w:rsidRPr="00C240F4">
        <w:rPr>
          <w:rStyle w:val="FootnoteReference"/>
          <w:rFonts w:ascii="Arial Narrow" w:eastAsia="Times New Roman" w:hAnsi="Arial Narrow" w:cs="Times New Roman"/>
          <w:sz w:val="28"/>
          <w:szCs w:val="28"/>
          <w:lang w:val="lv-LV"/>
        </w:rPr>
        <w:footnoteReference w:id="2"/>
      </w:r>
      <w:r w:rsidRPr="00C240F4">
        <w:rPr>
          <w:rFonts w:ascii="Arial Narrow" w:eastAsia="Times New Roman" w:hAnsi="Arial Narrow" w:cs="Times New Roman"/>
          <w:sz w:val="28"/>
          <w:szCs w:val="28"/>
          <w:lang w:val="lv-LV"/>
        </w:rPr>
        <w:t xml:space="preserve"> </w:t>
      </w:r>
      <w:r w:rsidR="004410D4">
        <w:rPr>
          <w:rFonts w:ascii="Arial Narrow" w:eastAsia="Times New Roman" w:hAnsi="Arial Narrow" w:cs="Times New Roman"/>
          <w:sz w:val="28"/>
          <w:szCs w:val="28"/>
          <w:lang w:val="lv-LV"/>
        </w:rPr>
        <w:t xml:space="preserve">(turpmāk- konceptuālais ziņojums) </w:t>
      </w:r>
      <w:r w:rsidRPr="00C240F4">
        <w:rPr>
          <w:rFonts w:ascii="Arial Narrow" w:eastAsia="Times New Roman" w:hAnsi="Arial Narrow" w:cs="Times New Roman"/>
          <w:sz w:val="28"/>
          <w:szCs w:val="28"/>
          <w:lang w:val="lv-LV"/>
        </w:rPr>
        <w:t>un Ministru kabineta 2020.gada 21.aprīļa noteikumiem Nr. 231 “Noteikumi par studiju un studējošo kreditēšanu studijām Latvijā no kredītiestāžu līdzekļiem, kas ir garantēti no valsts budžeta līdzekļiem”</w:t>
      </w:r>
      <w:r w:rsidR="00ED4554" w:rsidRPr="00C240F4">
        <w:rPr>
          <w:rFonts w:ascii="Arial Narrow" w:eastAsia="Times New Roman" w:hAnsi="Arial Narrow" w:cs="Times New Roman"/>
          <w:sz w:val="28"/>
          <w:szCs w:val="28"/>
          <w:lang w:val="lv-LV"/>
        </w:rPr>
        <w:t xml:space="preserve"> (turpmāk</w:t>
      </w:r>
      <w:r w:rsidR="003B2C62" w:rsidRPr="00C240F4">
        <w:rPr>
          <w:rFonts w:ascii="Arial Narrow" w:eastAsia="Times New Roman" w:hAnsi="Arial Narrow" w:cs="Times New Roman"/>
          <w:sz w:val="28"/>
          <w:szCs w:val="28"/>
          <w:lang w:val="lv-LV"/>
        </w:rPr>
        <w:t xml:space="preserve"> –</w:t>
      </w:r>
      <w:r w:rsidR="00ED4554" w:rsidRPr="00C240F4">
        <w:rPr>
          <w:rFonts w:ascii="Arial Narrow" w:eastAsia="Times New Roman" w:hAnsi="Arial Narrow" w:cs="Times New Roman"/>
          <w:sz w:val="28"/>
          <w:szCs w:val="28"/>
          <w:lang w:val="lv-LV"/>
        </w:rPr>
        <w:t xml:space="preserve"> kreditēšanas noteikumi)</w:t>
      </w:r>
      <w:r w:rsidRPr="00C240F4">
        <w:rPr>
          <w:rFonts w:ascii="Arial Narrow" w:eastAsia="Times New Roman" w:hAnsi="Arial Narrow" w:cs="Times New Roman"/>
          <w:sz w:val="28"/>
          <w:szCs w:val="28"/>
          <w:lang w:val="lv-LV"/>
        </w:rPr>
        <w:t>.</w:t>
      </w:r>
    </w:p>
    <w:p w14:paraId="6599A372" w14:textId="66178CCD" w:rsidR="00B850DB" w:rsidRPr="00C240F4" w:rsidRDefault="00AE2510" w:rsidP="00727E6E">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I</w:t>
      </w:r>
      <w:r w:rsidR="00B850DB" w:rsidRPr="00C240F4">
        <w:rPr>
          <w:rFonts w:ascii="Arial Narrow" w:hAnsi="Arial Narrow" w:cs="Times New Roman"/>
          <w:sz w:val="28"/>
          <w:szCs w:val="28"/>
          <w:lang w:val="lv-LV"/>
        </w:rPr>
        <w:t>epriekš</w:t>
      </w:r>
      <w:r w:rsidR="00AE5CB1" w:rsidRPr="00C240F4">
        <w:rPr>
          <w:rFonts w:ascii="Arial Narrow" w:hAnsi="Arial Narrow" w:cs="Times New Roman"/>
          <w:sz w:val="28"/>
          <w:szCs w:val="28"/>
          <w:lang w:val="lv-LV"/>
        </w:rPr>
        <w:t xml:space="preserve">ējos </w:t>
      </w:r>
      <w:r w:rsidR="003B2C62" w:rsidRPr="00C240F4">
        <w:rPr>
          <w:rFonts w:ascii="Arial Narrow" w:hAnsi="Arial Narrow" w:cs="Times New Roman"/>
          <w:sz w:val="28"/>
          <w:szCs w:val="28"/>
          <w:lang w:val="lv-LV"/>
        </w:rPr>
        <w:t>trīs</w:t>
      </w:r>
      <w:r w:rsidR="00AE5CB1" w:rsidRPr="00C240F4">
        <w:rPr>
          <w:rFonts w:ascii="Arial Narrow" w:hAnsi="Arial Narrow" w:cs="Times New Roman"/>
          <w:sz w:val="28"/>
          <w:szCs w:val="28"/>
          <w:lang w:val="lv-LV"/>
        </w:rPr>
        <w:t xml:space="preserve"> gados pirms jaunā modeļa ieviešanas</w:t>
      </w:r>
      <w:r w:rsidR="003B2C62" w:rsidRPr="00C240F4">
        <w:rPr>
          <w:rFonts w:ascii="Arial Narrow" w:hAnsi="Arial Narrow" w:cs="Times New Roman"/>
          <w:sz w:val="28"/>
          <w:szCs w:val="28"/>
          <w:lang w:val="lv-LV"/>
        </w:rPr>
        <w:t xml:space="preserve"> (</w:t>
      </w:r>
      <w:r w:rsidR="00B850DB" w:rsidRPr="00C240F4">
        <w:rPr>
          <w:rFonts w:ascii="Arial Narrow" w:hAnsi="Arial Narrow" w:cs="Times New Roman"/>
          <w:sz w:val="28"/>
          <w:szCs w:val="28"/>
          <w:lang w:val="lv-LV"/>
        </w:rPr>
        <w:t>2017.- 2019.gads</w:t>
      </w:r>
      <w:r w:rsidR="003B2C62" w:rsidRPr="00C240F4">
        <w:rPr>
          <w:rFonts w:ascii="Arial Narrow" w:hAnsi="Arial Narrow" w:cs="Times New Roman"/>
          <w:sz w:val="28"/>
          <w:szCs w:val="28"/>
          <w:lang w:val="lv-LV"/>
        </w:rPr>
        <w:t>)</w:t>
      </w:r>
      <w:r w:rsidR="00B850DB" w:rsidRPr="00C240F4">
        <w:rPr>
          <w:rFonts w:ascii="Arial Narrow" w:hAnsi="Arial Narrow" w:cs="Times New Roman"/>
          <w:sz w:val="28"/>
          <w:szCs w:val="28"/>
          <w:lang w:val="lv-LV"/>
        </w:rPr>
        <w:t xml:space="preserve"> kopējais </w:t>
      </w:r>
      <w:r w:rsidR="003B2C62" w:rsidRPr="00C240F4">
        <w:rPr>
          <w:rFonts w:ascii="Arial Narrow" w:hAnsi="Arial Narrow" w:cs="Times New Roman"/>
          <w:sz w:val="28"/>
          <w:szCs w:val="28"/>
          <w:lang w:val="lv-LV"/>
        </w:rPr>
        <w:t xml:space="preserve">izsniegto </w:t>
      </w:r>
      <w:r w:rsidR="00B850DB" w:rsidRPr="00C240F4">
        <w:rPr>
          <w:rFonts w:ascii="Arial Narrow" w:hAnsi="Arial Narrow" w:cs="Times New Roman"/>
          <w:sz w:val="28"/>
          <w:szCs w:val="28"/>
          <w:lang w:val="lv-LV"/>
        </w:rPr>
        <w:t>kredītu skaits bija orientējoši 1 500 kredītu gadā</w:t>
      </w:r>
      <w:r w:rsidR="00E924B7" w:rsidRPr="00C240F4">
        <w:rPr>
          <w:rFonts w:ascii="Arial Narrow" w:hAnsi="Arial Narrow" w:cs="Times New Roman"/>
          <w:sz w:val="28"/>
          <w:szCs w:val="28"/>
          <w:lang w:val="lv-LV"/>
        </w:rPr>
        <w:t>.</w:t>
      </w:r>
      <w:r w:rsidR="00B850DB" w:rsidRPr="00C240F4">
        <w:rPr>
          <w:rFonts w:ascii="Arial Narrow" w:hAnsi="Arial Narrow" w:cs="Times New Roman"/>
          <w:sz w:val="28"/>
          <w:szCs w:val="28"/>
          <w:lang w:val="lv-LV"/>
        </w:rPr>
        <w:t xml:space="preserve"> </w:t>
      </w:r>
      <w:r w:rsidR="00E924B7" w:rsidRPr="00C240F4">
        <w:rPr>
          <w:rFonts w:ascii="Arial Narrow" w:hAnsi="Arial Narrow" w:cs="Times New Roman"/>
          <w:sz w:val="28"/>
          <w:szCs w:val="28"/>
          <w:lang w:val="lv-LV"/>
        </w:rPr>
        <w:t>P</w:t>
      </w:r>
      <w:r w:rsidR="00B850DB" w:rsidRPr="00C240F4">
        <w:rPr>
          <w:rFonts w:ascii="Arial Narrow" w:hAnsi="Arial Narrow" w:cs="Times New Roman"/>
          <w:sz w:val="28"/>
          <w:szCs w:val="28"/>
          <w:lang w:val="lv-LV"/>
        </w:rPr>
        <w:t>ieņemot likumu</w:t>
      </w:r>
      <w:r w:rsidR="003B2C62" w:rsidRPr="00C240F4">
        <w:rPr>
          <w:rFonts w:ascii="Arial Narrow" w:hAnsi="Arial Narrow" w:cs="Times New Roman"/>
          <w:sz w:val="28"/>
          <w:szCs w:val="28"/>
          <w:lang w:val="lv-LV"/>
        </w:rPr>
        <w:t xml:space="preserve"> “Par valsts </w:t>
      </w:r>
      <w:r w:rsidR="003B2C62" w:rsidRPr="00C240F4">
        <w:rPr>
          <w:rFonts w:ascii="Arial Narrow" w:hAnsi="Arial Narrow" w:cs="Times New Roman"/>
          <w:sz w:val="28"/>
          <w:szCs w:val="28"/>
          <w:lang w:val="lv-LV"/>
        </w:rPr>
        <w:lastRenderedPageBreak/>
        <w:t>budžetu 2020. gadam”,</w:t>
      </w:r>
      <w:r w:rsidR="00B850DB" w:rsidRPr="00C240F4">
        <w:rPr>
          <w:rFonts w:ascii="Arial Narrow" w:hAnsi="Arial Narrow" w:cs="Times New Roman"/>
          <w:sz w:val="28"/>
          <w:szCs w:val="28"/>
          <w:lang w:val="lv-LV"/>
        </w:rPr>
        <w:t xml:space="preserve"> </w:t>
      </w:r>
      <w:r w:rsidR="00631B5A" w:rsidRPr="00C240F4">
        <w:rPr>
          <w:rFonts w:ascii="Arial Narrow" w:hAnsi="Arial Narrow" w:cs="Times New Roman"/>
          <w:sz w:val="28"/>
          <w:szCs w:val="28"/>
          <w:lang w:val="lv-LV"/>
        </w:rPr>
        <w:t xml:space="preserve">konceptuālo ziņojumu un kreditēšanas noteikumus, </w:t>
      </w:r>
      <w:r w:rsidR="00B850DB" w:rsidRPr="00C240F4">
        <w:rPr>
          <w:rFonts w:ascii="Arial Narrow" w:hAnsi="Arial Narrow" w:cs="Times New Roman"/>
          <w:sz w:val="28"/>
          <w:szCs w:val="28"/>
          <w:lang w:val="lv-LV"/>
        </w:rPr>
        <w:t>tika plānot</w:t>
      </w:r>
      <w:r w:rsidR="00631B5A" w:rsidRPr="00C240F4">
        <w:rPr>
          <w:rFonts w:ascii="Arial Narrow" w:hAnsi="Arial Narrow" w:cs="Times New Roman"/>
          <w:sz w:val="28"/>
          <w:szCs w:val="28"/>
          <w:lang w:val="lv-LV"/>
        </w:rPr>
        <w:t>s pieaugums</w:t>
      </w:r>
      <w:r w:rsidR="00B850DB" w:rsidRPr="00C240F4">
        <w:rPr>
          <w:rFonts w:ascii="Arial Narrow" w:hAnsi="Arial Narrow" w:cs="Times New Roman"/>
          <w:sz w:val="28"/>
          <w:szCs w:val="28"/>
          <w:lang w:val="lv-LV"/>
        </w:rPr>
        <w:t xml:space="preserve"> orientējoši 2 000 jauno kredītu gadā</w:t>
      </w:r>
      <w:r w:rsidR="00631B5A" w:rsidRPr="00C240F4">
        <w:rPr>
          <w:rFonts w:ascii="Arial Narrow" w:hAnsi="Arial Narrow" w:cs="Times New Roman"/>
          <w:sz w:val="28"/>
          <w:szCs w:val="28"/>
          <w:lang w:val="lv-LV"/>
        </w:rPr>
        <w:t xml:space="preserve">, taču faktiskais pieteikumu skaits pārsniedza plānoto pieaugumu. </w:t>
      </w:r>
      <w:r w:rsidR="00E924B7" w:rsidRPr="00C240F4">
        <w:rPr>
          <w:rFonts w:ascii="Arial Narrow" w:hAnsi="Arial Narrow" w:cs="Times New Roman"/>
          <w:sz w:val="28"/>
          <w:szCs w:val="28"/>
          <w:lang w:val="lv-LV"/>
        </w:rPr>
        <w:t>Proti, l</w:t>
      </w:r>
      <w:r w:rsidRPr="00C240F4">
        <w:rPr>
          <w:rFonts w:ascii="Arial Narrow" w:hAnsi="Arial Narrow" w:cs="Times New Roman"/>
          <w:sz w:val="28"/>
          <w:szCs w:val="28"/>
          <w:lang w:val="lv-LV"/>
        </w:rPr>
        <w:t>īdz š.g.2</w:t>
      </w:r>
      <w:r w:rsidR="00B1123F" w:rsidRPr="00C240F4">
        <w:rPr>
          <w:rFonts w:ascii="Arial Narrow" w:hAnsi="Arial Narrow" w:cs="Times New Roman"/>
          <w:sz w:val="28"/>
          <w:szCs w:val="28"/>
          <w:lang w:val="lv-LV"/>
        </w:rPr>
        <w:t>5</w:t>
      </w:r>
      <w:r w:rsidRPr="00C240F4">
        <w:rPr>
          <w:rFonts w:ascii="Arial Narrow" w:hAnsi="Arial Narrow" w:cs="Times New Roman"/>
          <w:sz w:val="28"/>
          <w:szCs w:val="28"/>
          <w:lang w:val="lv-LV"/>
        </w:rPr>
        <w:t xml:space="preserve">.oktobrim </w:t>
      </w:r>
      <w:r w:rsidR="00B850DB" w:rsidRPr="00C240F4">
        <w:rPr>
          <w:rFonts w:ascii="Arial Narrow" w:hAnsi="Arial Narrow" w:cs="Times New Roman"/>
          <w:sz w:val="28"/>
          <w:szCs w:val="28"/>
          <w:lang w:val="lv-LV"/>
        </w:rPr>
        <w:t xml:space="preserve">noslēgto kredītlīgumu skaits jau </w:t>
      </w:r>
      <w:r w:rsidR="00AE5CB1" w:rsidRPr="00C240F4">
        <w:rPr>
          <w:rFonts w:ascii="Arial Narrow" w:hAnsi="Arial Narrow" w:cs="Times New Roman"/>
          <w:sz w:val="28"/>
          <w:szCs w:val="28"/>
          <w:lang w:val="lv-LV"/>
        </w:rPr>
        <w:t>ir</w:t>
      </w:r>
      <w:r w:rsidR="00B850DB" w:rsidRPr="00C240F4">
        <w:rPr>
          <w:rFonts w:ascii="Arial Narrow" w:hAnsi="Arial Narrow" w:cs="Times New Roman"/>
          <w:sz w:val="28"/>
          <w:szCs w:val="28"/>
          <w:lang w:val="lv-LV"/>
        </w:rPr>
        <w:t xml:space="preserve"> 2 328. </w:t>
      </w:r>
      <w:r w:rsidRPr="00C240F4">
        <w:rPr>
          <w:rFonts w:ascii="Arial Narrow" w:hAnsi="Arial Narrow" w:cs="Times New Roman"/>
          <w:sz w:val="28"/>
          <w:szCs w:val="28"/>
          <w:lang w:val="lv-LV"/>
        </w:rPr>
        <w:t xml:space="preserve">Tabulā Nr.1 ir arī redzams, ka šogad </w:t>
      </w:r>
      <w:r w:rsidR="0026587B">
        <w:rPr>
          <w:rFonts w:ascii="Arial Narrow" w:hAnsi="Arial Narrow" w:cs="Times New Roman"/>
          <w:sz w:val="28"/>
          <w:szCs w:val="28"/>
          <w:lang w:val="lv-LV"/>
        </w:rPr>
        <w:t>orientējoši divas</w:t>
      </w:r>
      <w:r w:rsidR="0026587B" w:rsidRPr="00C240F4">
        <w:rPr>
          <w:rFonts w:ascii="Arial Narrow" w:hAnsi="Arial Narrow" w:cs="Times New Roman"/>
          <w:sz w:val="28"/>
          <w:szCs w:val="28"/>
          <w:lang w:val="lv-LV"/>
        </w:rPr>
        <w:t xml:space="preserve"> </w:t>
      </w:r>
      <w:r w:rsidRPr="00C240F4">
        <w:rPr>
          <w:rFonts w:ascii="Arial Narrow" w:hAnsi="Arial Narrow" w:cs="Times New Roman"/>
          <w:sz w:val="28"/>
          <w:szCs w:val="28"/>
          <w:lang w:val="lv-LV"/>
        </w:rPr>
        <w:t xml:space="preserve">reizes ir palielinājies </w:t>
      </w:r>
      <w:r w:rsidR="0026587B">
        <w:rPr>
          <w:rFonts w:ascii="Arial Narrow" w:hAnsi="Arial Narrow" w:cs="Times New Roman"/>
          <w:sz w:val="28"/>
          <w:szCs w:val="28"/>
          <w:lang w:val="lv-LV"/>
        </w:rPr>
        <w:t xml:space="preserve">to </w:t>
      </w:r>
      <w:r w:rsidRPr="00C240F4">
        <w:rPr>
          <w:rFonts w:ascii="Arial Narrow" w:hAnsi="Arial Narrow" w:cs="Times New Roman"/>
          <w:sz w:val="28"/>
          <w:szCs w:val="28"/>
          <w:lang w:val="lv-LV"/>
        </w:rPr>
        <w:t xml:space="preserve">studentu </w:t>
      </w:r>
      <w:r w:rsidR="0026587B">
        <w:rPr>
          <w:rFonts w:ascii="Arial Narrow" w:hAnsi="Arial Narrow" w:cs="Times New Roman"/>
          <w:sz w:val="28"/>
          <w:szCs w:val="28"/>
          <w:lang w:val="lv-LV"/>
        </w:rPr>
        <w:t>īpatsvars starp maksas stud</w:t>
      </w:r>
      <w:r w:rsidR="00171882">
        <w:rPr>
          <w:rFonts w:ascii="Arial Narrow" w:hAnsi="Arial Narrow" w:cs="Times New Roman"/>
          <w:sz w:val="28"/>
          <w:szCs w:val="28"/>
          <w:lang w:val="lv-LV"/>
        </w:rPr>
        <w:t>e</w:t>
      </w:r>
      <w:r w:rsidR="0026587B">
        <w:rPr>
          <w:rFonts w:ascii="Arial Narrow" w:hAnsi="Arial Narrow" w:cs="Times New Roman"/>
          <w:sz w:val="28"/>
          <w:szCs w:val="28"/>
          <w:lang w:val="lv-LV"/>
        </w:rPr>
        <w:t>ntiem</w:t>
      </w:r>
      <w:r w:rsidRPr="00C240F4">
        <w:rPr>
          <w:rFonts w:ascii="Arial Narrow" w:hAnsi="Arial Narrow" w:cs="Times New Roman"/>
          <w:sz w:val="28"/>
          <w:szCs w:val="28"/>
          <w:lang w:val="lv-LV"/>
        </w:rPr>
        <w:t xml:space="preserve">, kas studiju maksas segšanai izmanto studiju </w:t>
      </w:r>
      <w:r w:rsidR="00C94D8A">
        <w:rPr>
          <w:rFonts w:ascii="Arial Narrow" w:hAnsi="Arial Narrow" w:cs="Times New Roman"/>
          <w:sz w:val="28"/>
          <w:szCs w:val="28"/>
          <w:lang w:val="lv-LV"/>
        </w:rPr>
        <w:t xml:space="preserve">un studējošā </w:t>
      </w:r>
      <w:r w:rsidRPr="00C240F4">
        <w:rPr>
          <w:rFonts w:ascii="Arial Narrow" w:hAnsi="Arial Narrow" w:cs="Times New Roman"/>
          <w:sz w:val="28"/>
          <w:szCs w:val="28"/>
          <w:lang w:val="lv-LV"/>
        </w:rPr>
        <w:t>kredītu – ja pēdējos piecos gados tas svārstījās 8-11% robežās, tad šogad tas pārsniedz 20%.</w:t>
      </w:r>
    </w:p>
    <w:p w14:paraId="75007054" w14:textId="77777777" w:rsidR="00464CC6" w:rsidRDefault="00B850DB" w:rsidP="00464CC6">
      <w:pPr>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 xml:space="preserve">Tabula Nr. 1 </w:t>
      </w:r>
    </w:p>
    <w:p w14:paraId="52203517" w14:textId="2CE24DB0" w:rsidR="00B850DB" w:rsidRPr="00C240F4" w:rsidRDefault="00B850DB" w:rsidP="00464CC6">
      <w:pPr>
        <w:jc w:val="center"/>
        <w:rPr>
          <w:rFonts w:ascii="Arial Narrow" w:hAnsi="Arial Narrow" w:cs="Times New Roman"/>
          <w:b/>
          <w:bCs/>
          <w:sz w:val="28"/>
          <w:szCs w:val="28"/>
          <w:lang w:val="lv-LV"/>
        </w:rPr>
      </w:pPr>
      <w:r w:rsidRPr="00C240F4">
        <w:rPr>
          <w:rFonts w:ascii="Arial Narrow" w:hAnsi="Arial Narrow" w:cs="Times New Roman"/>
          <w:b/>
          <w:bCs/>
          <w:sz w:val="28"/>
          <w:szCs w:val="28"/>
          <w:lang w:val="lv-LV"/>
        </w:rPr>
        <w:t>Studiju kredītu skaits no imatrikulēto studentu skaita</w:t>
      </w:r>
    </w:p>
    <w:tbl>
      <w:tblPr>
        <w:tblW w:w="9771" w:type="dxa"/>
        <w:jc w:val="center"/>
        <w:tblLayout w:type="fixed"/>
        <w:tblCellMar>
          <w:left w:w="0" w:type="dxa"/>
          <w:right w:w="0" w:type="dxa"/>
        </w:tblCellMar>
        <w:tblLook w:val="04A0" w:firstRow="1" w:lastRow="0" w:firstColumn="1" w:lastColumn="0" w:noHBand="0" w:noVBand="1"/>
      </w:tblPr>
      <w:tblGrid>
        <w:gridCol w:w="983"/>
        <w:gridCol w:w="1054"/>
        <w:gridCol w:w="1355"/>
        <w:gridCol w:w="1134"/>
        <w:gridCol w:w="1560"/>
        <w:gridCol w:w="1701"/>
        <w:gridCol w:w="1984"/>
      </w:tblGrid>
      <w:tr w:rsidR="003B11A6" w:rsidRPr="00C240F4" w14:paraId="03C0F875" w14:textId="77777777" w:rsidTr="003B11A6">
        <w:trPr>
          <w:trHeight w:val="1755"/>
          <w:jc w:val="center"/>
        </w:trPr>
        <w:tc>
          <w:tcPr>
            <w:tcW w:w="983"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8A19211" w14:textId="77777777" w:rsidR="00B850DB" w:rsidRPr="00A44046" w:rsidRDefault="00B850DB" w:rsidP="00A44046">
            <w:pPr>
              <w:jc w:val="center"/>
              <w:rPr>
                <w:rFonts w:ascii="Arial Narrow" w:hAnsi="Arial Narrow" w:cs="Times New Roman"/>
                <w:b/>
                <w:bCs/>
                <w:color w:val="FFFFFF" w:themeColor="background1"/>
                <w:sz w:val="28"/>
                <w:szCs w:val="28"/>
                <w:lang w:val="lv-LV" w:eastAsia="lv-LV"/>
              </w:rPr>
            </w:pPr>
            <w:r w:rsidRPr="00A44046">
              <w:rPr>
                <w:rFonts w:ascii="Arial Narrow" w:hAnsi="Arial Narrow" w:cs="Times New Roman"/>
                <w:b/>
                <w:bCs/>
                <w:color w:val="FFFFFF" w:themeColor="background1"/>
                <w:sz w:val="28"/>
                <w:szCs w:val="28"/>
                <w:lang w:val="lv-LV" w:eastAsia="lv-LV"/>
              </w:rPr>
              <w:t>Gads</w:t>
            </w:r>
          </w:p>
        </w:tc>
        <w:tc>
          <w:tcPr>
            <w:tcW w:w="105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296D606E" w14:textId="77777777" w:rsidR="00B850DB" w:rsidRPr="00A44046" w:rsidRDefault="00B850DB" w:rsidP="00A44046">
            <w:pPr>
              <w:jc w:val="center"/>
              <w:rPr>
                <w:rFonts w:ascii="Arial Narrow" w:hAnsi="Arial Narrow" w:cs="Times New Roman"/>
                <w:b/>
                <w:bCs/>
                <w:color w:val="FFFFFF" w:themeColor="background1"/>
                <w:sz w:val="28"/>
                <w:szCs w:val="28"/>
                <w:lang w:val="lv-LV" w:eastAsia="lv-LV"/>
              </w:rPr>
            </w:pPr>
            <w:r w:rsidRPr="00A44046">
              <w:rPr>
                <w:rFonts w:ascii="Arial Narrow" w:hAnsi="Arial Narrow" w:cs="Times New Roman"/>
                <w:b/>
                <w:bCs/>
                <w:color w:val="FFFFFF" w:themeColor="background1"/>
                <w:sz w:val="28"/>
                <w:szCs w:val="28"/>
                <w:lang w:val="lv-LV" w:eastAsia="lv-LV"/>
              </w:rPr>
              <w:t>Studiju kredīti</w:t>
            </w:r>
          </w:p>
        </w:tc>
        <w:tc>
          <w:tcPr>
            <w:tcW w:w="1355"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64193606" w14:textId="77777777" w:rsidR="00B850DB" w:rsidRPr="00A44046" w:rsidRDefault="00B850DB" w:rsidP="00A44046">
            <w:pPr>
              <w:jc w:val="center"/>
              <w:rPr>
                <w:rFonts w:ascii="Arial Narrow" w:hAnsi="Arial Narrow" w:cs="Times New Roman"/>
                <w:b/>
                <w:bCs/>
                <w:color w:val="FFFFFF" w:themeColor="background1"/>
                <w:sz w:val="28"/>
                <w:szCs w:val="28"/>
                <w:lang w:val="lv-LV" w:eastAsia="lv-LV"/>
              </w:rPr>
            </w:pPr>
            <w:r w:rsidRPr="00A44046">
              <w:rPr>
                <w:rFonts w:ascii="Arial Narrow" w:hAnsi="Arial Narrow" w:cs="Times New Roman"/>
                <w:b/>
                <w:bCs/>
                <w:color w:val="FFFFFF" w:themeColor="background1"/>
                <w:sz w:val="28"/>
                <w:szCs w:val="28"/>
                <w:lang w:val="lv-LV" w:eastAsia="lv-LV"/>
              </w:rPr>
              <w:t>Studējošā kredīti</w:t>
            </w:r>
          </w:p>
        </w:tc>
        <w:tc>
          <w:tcPr>
            <w:tcW w:w="113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363A6AC2" w14:textId="77777777" w:rsidR="00B850DB" w:rsidRPr="00A44046" w:rsidRDefault="00B850DB" w:rsidP="00A44046">
            <w:pPr>
              <w:jc w:val="center"/>
              <w:rPr>
                <w:rFonts w:ascii="Arial Narrow" w:hAnsi="Arial Narrow" w:cs="Times New Roman"/>
                <w:b/>
                <w:bCs/>
                <w:color w:val="FFFFFF" w:themeColor="background1"/>
                <w:sz w:val="28"/>
                <w:szCs w:val="28"/>
                <w:lang w:val="lv-LV" w:eastAsia="lv-LV"/>
              </w:rPr>
            </w:pPr>
            <w:r w:rsidRPr="00A44046">
              <w:rPr>
                <w:rFonts w:ascii="Arial Narrow" w:hAnsi="Arial Narrow" w:cs="Times New Roman"/>
                <w:b/>
                <w:bCs/>
                <w:color w:val="FFFFFF" w:themeColor="background1"/>
                <w:sz w:val="28"/>
                <w:szCs w:val="28"/>
                <w:lang w:val="lv-LV" w:eastAsia="lv-LV"/>
              </w:rPr>
              <w:t>Kredīti kopā</w:t>
            </w:r>
          </w:p>
        </w:tc>
        <w:tc>
          <w:tcPr>
            <w:tcW w:w="156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7A1E6180"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val="lv-LV" w:eastAsia="lv-LV"/>
              </w:rPr>
              <w:t>Imatri</w:t>
            </w:r>
            <w:r w:rsidRPr="00A44046">
              <w:rPr>
                <w:rFonts w:ascii="Arial Narrow" w:hAnsi="Arial Narrow" w:cs="Times New Roman"/>
                <w:b/>
                <w:bCs/>
                <w:color w:val="FFFFFF" w:themeColor="background1"/>
                <w:sz w:val="28"/>
                <w:szCs w:val="28"/>
                <w:lang w:eastAsia="lv-LV"/>
              </w:rPr>
              <w:t>kulēto kopskaits</w:t>
            </w:r>
            <w:r w:rsidR="00F91F90" w:rsidRPr="00A44046">
              <w:rPr>
                <w:rFonts w:ascii="Arial Narrow" w:hAnsi="Arial Narrow" w:cs="Times New Roman"/>
                <w:b/>
                <w:bCs/>
                <w:color w:val="FFFFFF" w:themeColor="background1"/>
                <w:sz w:val="28"/>
                <w:szCs w:val="28"/>
                <w:lang w:eastAsia="lv-LV"/>
              </w:rPr>
              <w:t xml:space="preserve"> (akad.gads)</w:t>
            </w:r>
          </w:p>
        </w:tc>
        <w:tc>
          <w:tcPr>
            <w:tcW w:w="170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7A8F6136"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T.sk. imatrikulēto skaits, kuri maksā studiju maksu</w:t>
            </w:r>
          </w:p>
        </w:tc>
        <w:tc>
          <w:tcPr>
            <w:tcW w:w="1984"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69913C3E"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Noslēgto kredītlīgumu skaits pret imatrikulēto skaitu par maksu (%)</w:t>
            </w:r>
          </w:p>
        </w:tc>
      </w:tr>
      <w:tr w:rsidR="00B850DB" w:rsidRPr="00C240F4" w14:paraId="4EEED742"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1D08637E"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2014</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D9B15"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1 904</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36B52"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392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8D17A"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2 296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D90101"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29 112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82D83"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16 293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6C7E0"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14,10%</w:t>
            </w:r>
          </w:p>
        </w:tc>
      </w:tr>
      <w:tr w:rsidR="00B850DB" w:rsidRPr="00C240F4" w14:paraId="7610A1DB"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BC4D49F"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2015</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1DA2D8"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1 495</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FCEC18"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323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FA3455"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1 818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64BAA"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29 083</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8187BB"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15 879</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40FC02"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11,40%</w:t>
            </w:r>
          </w:p>
        </w:tc>
      </w:tr>
      <w:tr w:rsidR="00B850DB" w:rsidRPr="00C240F4" w14:paraId="732D3FC2"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771E332F"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2016</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9E902D"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1 509</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0E0329"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308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9C1C8E"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1 817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003332"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28 588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B90D88"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15 662</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90ABA"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11,60%</w:t>
            </w:r>
          </w:p>
        </w:tc>
      </w:tr>
      <w:tr w:rsidR="00B850DB" w:rsidRPr="00C240F4" w14:paraId="7E605E36"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29F3EC8A"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2017</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635BD"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1 247</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0851B4"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32927" w14:textId="7EF1E089"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1 477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BE90F0"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27 128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B23E1"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15 055</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2C164C"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9,80%</w:t>
            </w:r>
          </w:p>
        </w:tc>
      </w:tr>
      <w:tr w:rsidR="00B850DB" w:rsidRPr="00C240F4" w14:paraId="513E3240"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520B4071"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2018</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40E96"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1 283</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A05AAB"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230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34B94"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1 513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75776"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27 472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233CE1"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15 024</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37CF9"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10,10%</w:t>
            </w:r>
          </w:p>
        </w:tc>
      </w:tr>
      <w:tr w:rsidR="00B850DB" w:rsidRPr="00C240F4" w14:paraId="74CE9149" w14:textId="77777777" w:rsidTr="003B11A6">
        <w:trPr>
          <w:trHeight w:val="347"/>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5A1A9A43" w14:textId="77777777" w:rsidR="00B850DB" w:rsidRPr="00A44046" w:rsidRDefault="00B850DB" w:rsidP="00A44046">
            <w:pPr>
              <w:jc w:val="center"/>
              <w:rPr>
                <w:rFonts w:ascii="Arial Narrow" w:hAnsi="Arial Narrow" w:cs="Times New Roman"/>
                <w:b/>
                <w:bCs/>
                <w:color w:val="FFFFFF" w:themeColor="background1"/>
                <w:sz w:val="28"/>
                <w:szCs w:val="28"/>
                <w:lang w:eastAsia="lv-LV"/>
              </w:rPr>
            </w:pPr>
            <w:r w:rsidRPr="00A44046">
              <w:rPr>
                <w:rFonts w:ascii="Arial Narrow" w:hAnsi="Arial Narrow" w:cs="Times New Roman"/>
                <w:b/>
                <w:bCs/>
                <w:color w:val="FFFFFF" w:themeColor="background1"/>
                <w:sz w:val="28"/>
                <w:szCs w:val="28"/>
                <w:lang w:eastAsia="lv-LV"/>
              </w:rPr>
              <w:t>2019</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CF473"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1 213</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AC023"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257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9C8D2"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1 470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E9EC6B"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29 376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F8D53" w14:textId="77777777" w:rsidR="00B850DB" w:rsidRPr="00C240F4" w:rsidRDefault="00B850DB"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16 753</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7D9BCB" w14:textId="77777777" w:rsidR="00B850DB" w:rsidRPr="00C240F4" w:rsidRDefault="00B850DB"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8,77%</w:t>
            </w:r>
          </w:p>
        </w:tc>
      </w:tr>
      <w:tr w:rsidR="00B850DB" w:rsidRPr="00C240F4" w14:paraId="4CF9182B" w14:textId="77777777" w:rsidTr="003B11A6">
        <w:trPr>
          <w:trHeight w:val="315"/>
          <w:jc w:val="center"/>
        </w:trPr>
        <w:tc>
          <w:tcPr>
            <w:tcW w:w="983"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3A895DB" w14:textId="3CDFE928" w:rsidR="00B850DB" w:rsidRPr="00A44046" w:rsidRDefault="00464CC6" w:rsidP="00A44046">
            <w:pPr>
              <w:jc w:val="center"/>
              <w:rPr>
                <w:rFonts w:ascii="Arial Narrow" w:hAnsi="Arial Narrow" w:cs="Times New Roman"/>
                <w:color w:val="FFFFFF" w:themeColor="background1"/>
                <w:sz w:val="28"/>
                <w:szCs w:val="28"/>
                <w:lang w:eastAsia="lv-LV"/>
              </w:rPr>
            </w:pPr>
            <w:r>
              <w:rPr>
                <w:rFonts w:ascii="Arial Narrow" w:hAnsi="Arial Narrow" w:cs="Times New Roman"/>
                <w:b/>
                <w:bCs/>
                <w:color w:val="FFFFFF" w:themeColor="background1"/>
                <w:sz w:val="28"/>
                <w:szCs w:val="28"/>
                <w:lang w:eastAsia="lv-LV"/>
              </w:rPr>
              <w:t>2020</w:t>
            </w:r>
            <w:r w:rsidR="00B850DB" w:rsidRPr="00A44046">
              <w:rPr>
                <w:rFonts w:ascii="Arial Narrow" w:hAnsi="Arial Narrow" w:cs="Times New Roman"/>
                <w:color w:val="FFFFFF" w:themeColor="background1"/>
                <w:sz w:val="28"/>
                <w:szCs w:val="28"/>
                <w:lang w:eastAsia="lv-LV"/>
              </w:rPr>
              <w:t xml:space="preserve"> </w:t>
            </w:r>
            <w:r w:rsidR="00B850DB" w:rsidRPr="00A44046">
              <w:rPr>
                <w:rFonts w:ascii="Arial Narrow" w:hAnsi="Arial Narrow" w:cs="Times New Roman"/>
                <w:color w:val="FFFFFF" w:themeColor="background1"/>
                <w:sz w:val="24"/>
                <w:szCs w:val="24"/>
                <w:lang w:eastAsia="lv-LV"/>
              </w:rPr>
              <w:t>līdz 2</w:t>
            </w:r>
            <w:r w:rsidR="00F91F90" w:rsidRPr="00A44046">
              <w:rPr>
                <w:rFonts w:ascii="Arial Narrow" w:hAnsi="Arial Narrow" w:cs="Times New Roman"/>
                <w:color w:val="FFFFFF" w:themeColor="background1"/>
                <w:sz w:val="24"/>
                <w:szCs w:val="24"/>
                <w:lang w:eastAsia="lv-LV"/>
              </w:rPr>
              <w:t>8</w:t>
            </w:r>
            <w:r w:rsidR="00B850DB" w:rsidRPr="00A44046">
              <w:rPr>
                <w:rFonts w:ascii="Arial Narrow" w:hAnsi="Arial Narrow" w:cs="Times New Roman"/>
                <w:color w:val="FFFFFF" w:themeColor="background1"/>
                <w:sz w:val="24"/>
                <w:szCs w:val="24"/>
                <w:lang w:eastAsia="lv-LV"/>
              </w:rPr>
              <w:t>.10.20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89C19B" w14:textId="77777777" w:rsidR="00B850DB" w:rsidRPr="00C240F4" w:rsidRDefault="00B03658"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1 977</w:t>
            </w:r>
          </w:p>
        </w:tc>
        <w:tc>
          <w:tcPr>
            <w:tcW w:w="13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D54959" w14:textId="77777777" w:rsidR="00B850DB" w:rsidRPr="00C240F4" w:rsidRDefault="00B03658"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351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BC6B4" w14:textId="77777777" w:rsidR="00B850DB" w:rsidRPr="00C240F4" w:rsidRDefault="00B03658"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2 328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B2CC78" w14:textId="77777777" w:rsidR="00B850DB" w:rsidRPr="00C240F4" w:rsidRDefault="00B03658"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 xml:space="preserve">21,584 </w:t>
            </w:r>
            <w:r w:rsidR="00B850DB" w:rsidRPr="00C240F4">
              <w:rPr>
                <w:rFonts w:ascii="Arial Narrow" w:hAnsi="Arial Narrow" w:cs="Times New Roman"/>
                <w:color w:val="000000"/>
                <w:sz w:val="28"/>
                <w:szCs w:val="28"/>
                <w:lang w:eastAsia="lv-LV"/>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5AF2B6" w14:textId="77777777" w:rsidR="00B850DB" w:rsidRPr="00C240F4" w:rsidRDefault="00B03658" w:rsidP="00464CC6">
            <w:pPr>
              <w:jc w:val="center"/>
              <w:rPr>
                <w:rFonts w:ascii="Arial Narrow" w:hAnsi="Arial Narrow" w:cs="Times New Roman"/>
                <w:color w:val="000000"/>
                <w:sz w:val="28"/>
                <w:szCs w:val="28"/>
                <w:lang w:eastAsia="lv-LV"/>
              </w:rPr>
            </w:pPr>
            <w:r w:rsidRPr="00C240F4">
              <w:rPr>
                <w:rFonts w:ascii="Arial Narrow" w:hAnsi="Arial Narrow" w:cs="Times New Roman"/>
                <w:color w:val="000000"/>
                <w:sz w:val="28"/>
                <w:szCs w:val="28"/>
                <w:lang w:eastAsia="lv-LV"/>
              </w:rPr>
              <w:t xml:space="preserve">11,384 </w:t>
            </w:r>
            <w:r w:rsidR="00B850DB" w:rsidRPr="00C240F4">
              <w:rPr>
                <w:rFonts w:ascii="Arial Narrow" w:hAnsi="Arial Narrow" w:cs="Times New Roman"/>
                <w:sz w:val="28"/>
                <w:szCs w:val="28"/>
                <w:lang w:eastAsia="lv-LV"/>
              </w:rPr>
              <w: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DDECD" w14:textId="77777777" w:rsidR="00B850DB" w:rsidRPr="00C240F4" w:rsidRDefault="00B03658" w:rsidP="00464CC6">
            <w:pPr>
              <w:jc w:val="center"/>
              <w:rPr>
                <w:rFonts w:ascii="Arial Narrow" w:hAnsi="Arial Narrow" w:cs="Times New Roman"/>
                <w:b/>
                <w:bCs/>
                <w:color w:val="000000"/>
                <w:sz w:val="28"/>
                <w:szCs w:val="28"/>
                <w:lang w:eastAsia="lv-LV"/>
              </w:rPr>
            </w:pPr>
            <w:r w:rsidRPr="00C240F4">
              <w:rPr>
                <w:rFonts w:ascii="Arial Narrow" w:hAnsi="Arial Narrow" w:cs="Times New Roman"/>
                <w:b/>
                <w:bCs/>
                <w:color w:val="000000"/>
                <w:sz w:val="28"/>
                <w:szCs w:val="28"/>
                <w:lang w:eastAsia="lv-LV"/>
              </w:rPr>
              <w:t>20</w:t>
            </w:r>
            <w:r w:rsidR="00B850DB" w:rsidRPr="00C240F4">
              <w:rPr>
                <w:rFonts w:ascii="Arial Narrow" w:hAnsi="Arial Narrow" w:cs="Times New Roman"/>
                <w:b/>
                <w:bCs/>
                <w:color w:val="000000"/>
                <w:sz w:val="28"/>
                <w:szCs w:val="28"/>
                <w:lang w:eastAsia="lv-LV"/>
              </w:rPr>
              <w:t>,</w:t>
            </w:r>
            <w:r w:rsidRPr="00C240F4">
              <w:rPr>
                <w:rFonts w:ascii="Arial Narrow" w:hAnsi="Arial Narrow" w:cs="Times New Roman"/>
                <w:b/>
                <w:bCs/>
                <w:color w:val="000000"/>
                <w:sz w:val="28"/>
                <w:szCs w:val="28"/>
                <w:lang w:eastAsia="lv-LV"/>
              </w:rPr>
              <w:t>45</w:t>
            </w:r>
            <w:r w:rsidR="00B850DB" w:rsidRPr="00C240F4">
              <w:rPr>
                <w:rFonts w:ascii="Arial Narrow" w:hAnsi="Arial Narrow" w:cs="Times New Roman"/>
                <w:b/>
                <w:bCs/>
                <w:color w:val="000000"/>
                <w:sz w:val="28"/>
                <w:szCs w:val="28"/>
                <w:lang w:eastAsia="lv-LV"/>
              </w:rPr>
              <w:t>%</w:t>
            </w:r>
          </w:p>
        </w:tc>
      </w:tr>
    </w:tbl>
    <w:p w14:paraId="0B20FE38" w14:textId="77777777" w:rsidR="00B850DB" w:rsidRPr="00C240F4" w:rsidRDefault="00B03658" w:rsidP="00B850DB">
      <w:pPr>
        <w:jc w:val="both"/>
        <w:rPr>
          <w:rFonts w:ascii="Arial Narrow" w:hAnsi="Arial Narrow" w:cs="Times New Roman"/>
          <w:sz w:val="28"/>
          <w:szCs w:val="28"/>
          <w:lang w:val="lv-LV"/>
        </w:rPr>
      </w:pPr>
      <w:r w:rsidRPr="00C240F4">
        <w:rPr>
          <w:rFonts w:ascii="Arial Narrow" w:hAnsi="Arial Narrow" w:cs="Times New Roman"/>
          <w:sz w:val="28"/>
          <w:szCs w:val="28"/>
          <w:lang w:val="lv-LV"/>
        </w:rPr>
        <w:t xml:space="preserve">* </w:t>
      </w:r>
      <w:r w:rsidR="001D2D00" w:rsidRPr="00C240F4">
        <w:rPr>
          <w:rFonts w:ascii="Arial Narrow" w:hAnsi="Arial Narrow" w:cs="Times New Roman"/>
          <w:i/>
          <w:sz w:val="28"/>
          <w:szCs w:val="28"/>
          <w:lang w:val="lv-LV"/>
        </w:rPr>
        <w:t>augstskolas vēl turpina ievadīt datus</w:t>
      </w:r>
      <w:r w:rsidRPr="00C240F4">
        <w:rPr>
          <w:rFonts w:ascii="Arial Narrow" w:hAnsi="Arial Narrow" w:cs="Times New Roman"/>
          <w:i/>
          <w:sz w:val="28"/>
          <w:szCs w:val="28"/>
          <w:lang w:val="lv-LV"/>
        </w:rPr>
        <w:t xml:space="preserve"> Valsts izglītības informācijas sistēmā par imatrikulētiem</w:t>
      </w:r>
      <w:r w:rsidRPr="00C240F4">
        <w:rPr>
          <w:rFonts w:ascii="Arial Narrow" w:hAnsi="Arial Narrow" w:cs="Times New Roman"/>
          <w:sz w:val="28"/>
          <w:szCs w:val="28"/>
          <w:lang w:val="lv-LV"/>
        </w:rPr>
        <w:t xml:space="preserve"> </w:t>
      </w:r>
    </w:p>
    <w:p w14:paraId="0BC56098" w14:textId="30817B33" w:rsidR="00AE5CB1" w:rsidRPr="00C240F4" w:rsidRDefault="00AE5CB1" w:rsidP="00031DEB">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 xml:space="preserve">Jauno pieteikumu plūsma pašlaik ir samazinājusies no 80 pieteikumiem dienā līdz </w:t>
      </w:r>
      <w:r w:rsidR="007065E0" w:rsidRPr="00C240F4">
        <w:rPr>
          <w:rFonts w:ascii="Arial Narrow" w:hAnsi="Arial Narrow" w:cs="Times New Roman"/>
          <w:sz w:val="28"/>
          <w:szCs w:val="28"/>
          <w:lang w:val="lv-LV"/>
        </w:rPr>
        <w:t xml:space="preserve">orientējoši </w:t>
      </w:r>
      <w:r w:rsidRPr="00C240F4">
        <w:rPr>
          <w:rFonts w:ascii="Arial Narrow" w:hAnsi="Arial Narrow" w:cs="Times New Roman"/>
          <w:sz w:val="28"/>
          <w:szCs w:val="28"/>
          <w:lang w:val="lv-LV"/>
        </w:rPr>
        <w:t xml:space="preserve">10 pieteikumiem dienā. Ņemot vērā jau apstrādē esošos pieteikumus un </w:t>
      </w:r>
      <w:r w:rsidR="007B4048" w:rsidRPr="00C240F4">
        <w:rPr>
          <w:rFonts w:ascii="Arial Narrow" w:hAnsi="Arial Narrow" w:cs="Times New Roman"/>
          <w:sz w:val="28"/>
          <w:szCs w:val="28"/>
          <w:lang w:val="lv-LV"/>
        </w:rPr>
        <w:t xml:space="preserve">pieprasījuma </w:t>
      </w:r>
      <w:r w:rsidRPr="00C240F4">
        <w:rPr>
          <w:rFonts w:ascii="Arial Narrow" w:hAnsi="Arial Narrow" w:cs="Times New Roman"/>
          <w:sz w:val="28"/>
          <w:szCs w:val="28"/>
          <w:lang w:val="lv-LV"/>
        </w:rPr>
        <w:t xml:space="preserve">dinamiku, šogad noslēgto līgumu skaits varētu būt līdz </w:t>
      </w:r>
      <w:r w:rsidR="001D2D00" w:rsidRPr="00C240F4">
        <w:rPr>
          <w:rFonts w:ascii="Arial Narrow" w:hAnsi="Arial Narrow" w:cs="Times New Roman"/>
          <w:sz w:val="28"/>
          <w:szCs w:val="28"/>
          <w:lang w:val="lv-LV"/>
        </w:rPr>
        <w:t>2</w:t>
      </w:r>
      <w:r w:rsidR="00AE2510" w:rsidRPr="00C240F4">
        <w:rPr>
          <w:rFonts w:ascii="Arial Narrow" w:hAnsi="Arial Narrow" w:cs="Times New Roman"/>
          <w:sz w:val="28"/>
          <w:szCs w:val="28"/>
          <w:lang w:val="lv-LV"/>
        </w:rPr>
        <w:t> </w:t>
      </w:r>
      <w:r w:rsidR="00C27C75" w:rsidRPr="00C240F4">
        <w:rPr>
          <w:rFonts w:ascii="Arial Narrow" w:hAnsi="Arial Narrow" w:cs="Times New Roman"/>
          <w:sz w:val="28"/>
          <w:szCs w:val="28"/>
          <w:lang w:val="lv-LV"/>
        </w:rPr>
        <w:t>5</w:t>
      </w:r>
      <w:r w:rsidR="001D2D00" w:rsidRPr="00C240F4">
        <w:rPr>
          <w:rFonts w:ascii="Arial Narrow" w:hAnsi="Arial Narrow" w:cs="Times New Roman"/>
          <w:sz w:val="28"/>
          <w:szCs w:val="28"/>
          <w:lang w:val="lv-LV"/>
        </w:rPr>
        <w:t>00</w:t>
      </w:r>
      <w:r w:rsidR="00AE2510" w:rsidRPr="00C240F4">
        <w:rPr>
          <w:rFonts w:ascii="Arial Narrow" w:hAnsi="Arial Narrow" w:cs="Times New Roman"/>
          <w:sz w:val="28"/>
          <w:szCs w:val="28"/>
          <w:lang w:val="lv-LV"/>
        </w:rPr>
        <w:t xml:space="preserve"> </w:t>
      </w:r>
      <w:r w:rsidR="001D2D00" w:rsidRPr="00C240F4">
        <w:rPr>
          <w:rFonts w:ascii="Arial Narrow" w:hAnsi="Arial Narrow" w:cs="Times New Roman"/>
          <w:sz w:val="28"/>
          <w:szCs w:val="28"/>
          <w:lang w:val="lv-LV"/>
        </w:rPr>
        <w:t xml:space="preserve">- </w:t>
      </w:r>
      <w:r w:rsidRPr="00C240F4">
        <w:rPr>
          <w:rFonts w:ascii="Arial Narrow" w:hAnsi="Arial Narrow" w:cs="Times New Roman"/>
          <w:sz w:val="28"/>
          <w:szCs w:val="28"/>
          <w:lang w:val="lv-LV"/>
        </w:rPr>
        <w:t xml:space="preserve">2 </w:t>
      </w:r>
      <w:r w:rsidR="00C27C75" w:rsidRPr="00C240F4">
        <w:rPr>
          <w:rFonts w:ascii="Arial Narrow" w:hAnsi="Arial Narrow" w:cs="Times New Roman"/>
          <w:sz w:val="28"/>
          <w:szCs w:val="28"/>
          <w:lang w:val="lv-LV"/>
        </w:rPr>
        <w:t>6</w:t>
      </w:r>
      <w:r w:rsidRPr="00C240F4">
        <w:rPr>
          <w:rFonts w:ascii="Arial Narrow" w:hAnsi="Arial Narrow" w:cs="Times New Roman"/>
          <w:sz w:val="28"/>
          <w:szCs w:val="28"/>
          <w:lang w:val="lv-LV"/>
        </w:rPr>
        <w:t xml:space="preserve">00. </w:t>
      </w:r>
    </w:p>
    <w:p w14:paraId="7C229C5E" w14:textId="6AA726C8" w:rsidR="00031DEB" w:rsidRPr="00C240F4" w:rsidRDefault="00031DEB" w:rsidP="00727E6E">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 xml:space="preserve">No vienas puses šī situācija liecina, ka jaunais modelis ir attaisnojis uz sevi liktās cerības un studiju </w:t>
      </w:r>
      <w:r w:rsidR="00C94D8A">
        <w:rPr>
          <w:rFonts w:ascii="Arial Narrow" w:hAnsi="Arial Narrow" w:cs="Times New Roman"/>
          <w:sz w:val="28"/>
          <w:szCs w:val="28"/>
          <w:lang w:val="lv-LV"/>
        </w:rPr>
        <w:t xml:space="preserve">un studējošo </w:t>
      </w:r>
      <w:r w:rsidRPr="00C240F4">
        <w:rPr>
          <w:rFonts w:ascii="Arial Narrow" w:hAnsi="Arial Narrow" w:cs="Times New Roman"/>
          <w:sz w:val="28"/>
          <w:szCs w:val="28"/>
          <w:lang w:val="lv-LV"/>
        </w:rPr>
        <w:t xml:space="preserve">kredīti ir kļuvuši pieejamāki. Vienlaikus intereses pieaugums varētu būt skaidrojams ar COVID-19 ietekmi, kas ir samazinājusi studentu iespējas papildu </w:t>
      </w:r>
      <w:r w:rsidRPr="00C240F4">
        <w:rPr>
          <w:rFonts w:ascii="Arial Narrow" w:hAnsi="Arial Narrow" w:cs="Times New Roman"/>
          <w:sz w:val="28"/>
          <w:szCs w:val="28"/>
          <w:lang w:val="lv-LV"/>
        </w:rPr>
        <w:lastRenderedPageBreak/>
        <w:t xml:space="preserve">studijām arī strādāt, lai segtu studijas maksu, kā arī studentu vecāku ienākumus. Tāpat </w:t>
      </w:r>
      <w:r w:rsidR="00B1123F" w:rsidRPr="00C240F4">
        <w:rPr>
          <w:rFonts w:ascii="Arial Narrow" w:hAnsi="Arial Narrow" w:cs="Times New Roman"/>
          <w:sz w:val="28"/>
          <w:szCs w:val="28"/>
          <w:lang w:val="lv-LV"/>
        </w:rPr>
        <w:t xml:space="preserve">iespējams </w:t>
      </w:r>
      <w:r w:rsidRPr="00C240F4">
        <w:rPr>
          <w:rFonts w:ascii="Arial Narrow" w:hAnsi="Arial Narrow" w:cs="Times New Roman"/>
          <w:sz w:val="28"/>
          <w:szCs w:val="28"/>
          <w:lang w:val="lv-LV"/>
        </w:rPr>
        <w:t>daļa studentu ir atteikušies no ieceres studēt ārzemēs, COVID-19 dēļ paliekot Latvijā.</w:t>
      </w:r>
    </w:p>
    <w:p w14:paraId="2E176E2D" w14:textId="3D33DD5B" w:rsidR="00AE5CB1" w:rsidRPr="00C240F4" w:rsidRDefault="00CE6010" w:rsidP="00727E6E">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L</w:t>
      </w:r>
      <w:r w:rsidR="002661EA" w:rsidRPr="00C240F4">
        <w:rPr>
          <w:rFonts w:ascii="Arial Narrow" w:hAnsi="Arial Narrow" w:cs="Times New Roman"/>
          <w:sz w:val="28"/>
          <w:szCs w:val="28"/>
          <w:lang w:val="lv-LV"/>
        </w:rPr>
        <w:t>ai nodrošinātu studiju</w:t>
      </w:r>
      <w:r w:rsidR="00C94D8A">
        <w:rPr>
          <w:rFonts w:ascii="Arial Narrow" w:hAnsi="Arial Narrow" w:cs="Times New Roman"/>
          <w:sz w:val="28"/>
          <w:szCs w:val="28"/>
          <w:lang w:val="lv-LV"/>
        </w:rPr>
        <w:t xml:space="preserve"> un studējošo</w:t>
      </w:r>
      <w:r w:rsidR="002661EA" w:rsidRPr="00C240F4">
        <w:rPr>
          <w:rFonts w:ascii="Arial Narrow" w:hAnsi="Arial Narrow" w:cs="Times New Roman"/>
          <w:sz w:val="28"/>
          <w:szCs w:val="28"/>
          <w:lang w:val="lv-LV"/>
        </w:rPr>
        <w:t xml:space="preserve"> kreditēšanai nepieciešamo finansējumu, l</w:t>
      </w:r>
      <w:r w:rsidRPr="00C240F4">
        <w:rPr>
          <w:rFonts w:ascii="Arial Narrow" w:hAnsi="Arial Narrow" w:cs="Times New Roman"/>
          <w:sz w:val="28"/>
          <w:szCs w:val="28"/>
          <w:lang w:val="lv-LV"/>
        </w:rPr>
        <w:t>īgum</w:t>
      </w:r>
      <w:r w:rsidR="002661EA" w:rsidRPr="00C240F4">
        <w:rPr>
          <w:rFonts w:ascii="Arial Narrow" w:hAnsi="Arial Narrow" w:cs="Times New Roman"/>
          <w:sz w:val="28"/>
          <w:szCs w:val="28"/>
          <w:lang w:val="lv-LV"/>
        </w:rPr>
        <w:t>ā</w:t>
      </w:r>
      <w:r w:rsidRPr="00C240F4">
        <w:rPr>
          <w:rFonts w:ascii="Arial Narrow" w:hAnsi="Arial Narrow" w:cs="Times New Roman"/>
          <w:sz w:val="28"/>
          <w:szCs w:val="28"/>
          <w:lang w:val="lv-LV"/>
        </w:rPr>
        <w:t xml:space="preserve"> starp ministriju un Altum par vidējā termiņa</w:t>
      </w:r>
      <w:r w:rsidR="00023668" w:rsidRPr="00C240F4">
        <w:rPr>
          <w:rFonts w:ascii="Arial Narrow" w:hAnsi="Arial Narrow" w:cs="Times New Roman"/>
          <w:sz w:val="28"/>
          <w:szCs w:val="28"/>
          <w:lang w:val="lv-LV"/>
        </w:rPr>
        <w:t xml:space="preserve"> budžetā paredzēto riska segumu</w:t>
      </w:r>
      <w:r w:rsidR="00DC0415" w:rsidRPr="00C240F4">
        <w:rPr>
          <w:rFonts w:ascii="Arial Narrow" w:hAnsi="Arial Narrow" w:cs="Times New Roman"/>
          <w:sz w:val="28"/>
          <w:szCs w:val="28"/>
          <w:lang w:val="lv-LV"/>
        </w:rPr>
        <w:t xml:space="preserve"> (atbilstoši</w:t>
      </w:r>
      <w:r w:rsidR="00C653CD" w:rsidRPr="00C240F4">
        <w:rPr>
          <w:rFonts w:ascii="Arial Narrow" w:hAnsi="Arial Narrow" w:cs="Times New Roman"/>
          <w:sz w:val="28"/>
          <w:szCs w:val="28"/>
          <w:lang w:val="lv-LV"/>
        </w:rPr>
        <w:t xml:space="preserve"> likum</w:t>
      </w:r>
      <w:r w:rsidR="00DC0415" w:rsidRPr="00C240F4">
        <w:rPr>
          <w:rFonts w:ascii="Arial Narrow" w:hAnsi="Arial Narrow" w:cs="Times New Roman"/>
          <w:sz w:val="28"/>
          <w:szCs w:val="28"/>
          <w:lang w:val="lv-LV"/>
        </w:rPr>
        <w:t>am</w:t>
      </w:r>
      <w:r w:rsidR="00C653CD" w:rsidRPr="00C240F4">
        <w:rPr>
          <w:rFonts w:ascii="Arial Narrow" w:hAnsi="Arial Narrow" w:cs="Times New Roman"/>
          <w:sz w:val="28"/>
          <w:szCs w:val="28"/>
          <w:lang w:val="lv-LV"/>
        </w:rPr>
        <w:t xml:space="preserve"> “Par valsts budžetu 2020.gadam” un likum</w:t>
      </w:r>
      <w:r w:rsidR="00DC0415" w:rsidRPr="00C240F4">
        <w:rPr>
          <w:rFonts w:ascii="Arial Narrow" w:hAnsi="Arial Narrow" w:cs="Times New Roman"/>
          <w:sz w:val="28"/>
          <w:szCs w:val="28"/>
          <w:lang w:val="lv-LV"/>
        </w:rPr>
        <w:t>am</w:t>
      </w:r>
      <w:r w:rsidR="00C653CD" w:rsidRPr="00C240F4">
        <w:rPr>
          <w:rFonts w:ascii="Arial Narrow" w:hAnsi="Arial Narrow" w:cs="Times New Roman"/>
          <w:sz w:val="28"/>
          <w:szCs w:val="28"/>
          <w:lang w:val="lv-LV"/>
        </w:rPr>
        <w:t xml:space="preserve"> “Par vidēja termiņa budžeta ietvaru 2020., 2021. un 2022. gadam”</w:t>
      </w:r>
      <w:r w:rsidR="00DC0415" w:rsidRPr="00C240F4">
        <w:rPr>
          <w:rFonts w:ascii="Arial Narrow" w:hAnsi="Arial Narrow" w:cs="Times New Roman"/>
          <w:sz w:val="28"/>
          <w:szCs w:val="28"/>
          <w:lang w:val="lv-LV"/>
        </w:rPr>
        <w:t>)</w:t>
      </w:r>
      <w:r w:rsidR="00C653CD" w:rsidRPr="00C240F4">
        <w:rPr>
          <w:rFonts w:ascii="Arial Narrow" w:hAnsi="Arial Narrow" w:cs="Times New Roman"/>
          <w:sz w:val="28"/>
          <w:szCs w:val="28"/>
          <w:lang w:val="lv-LV"/>
        </w:rPr>
        <w:t xml:space="preserve"> </w:t>
      </w:r>
      <w:r w:rsidR="002661EA" w:rsidRPr="00C240F4">
        <w:rPr>
          <w:rFonts w:ascii="Arial Narrow" w:hAnsi="Arial Narrow" w:cs="Times New Roman"/>
          <w:sz w:val="28"/>
          <w:szCs w:val="28"/>
          <w:lang w:val="lv-LV"/>
        </w:rPr>
        <w:t xml:space="preserve">ir paredzēti </w:t>
      </w:r>
      <w:r w:rsidR="00C653CD" w:rsidRPr="00C240F4">
        <w:rPr>
          <w:rFonts w:ascii="Arial Narrow" w:hAnsi="Arial Narrow" w:cs="Times New Roman"/>
          <w:sz w:val="28"/>
          <w:szCs w:val="28"/>
          <w:lang w:val="lv-LV"/>
        </w:rPr>
        <w:t>kopā 4 387 500 euro</w:t>
      </w:r>
      <w:r w:rsidR="00B92C57" w:rsidRPr="00C240F4">
        <w:rPr>
          <w:rFonts w:ascii="Arial Narrow" w:hAnsi="Arial Narrow" w:cs="Times New Roman"/>
          <w:sz w:val="28"/>
          <w:szCs w:val="28"/>
          <w:lang w:val="lv-LV"/>
        </w:rPr>
        <w:t xml:space="preserve"> (tabulā Nr.2 ir redzams šī finansējuma sadalījums</w:t>
      </w:r>
      <w:r w:rsidR="00A03691" w:rsidRPr="00C240F4">
        <w:rPr>
          <w:rFonts w:ascii="Arial Narrow" w:hAnsi="Arial Narrow" w:cs="Times New Roman"/>
          <w:sz w:val="28"/>
          <w:szCs w:val="28"/>
          <w:lang w:val="lv-LV"/>
        </w:rPr>
        <w:t xml:space="preserve"> </w:t>
      </w:r>
      <w:r w:rsidR="00B26506" w:rsidRPr="00C240F4">
        <w:rPr>
          <w:rFonts w:ascii="Arial Narrow" w:hAnsi="Arial Narrow" w:cs="Times New Roman"/>
          <w:sz w:val="28"/>
          <w:szCs w:val="28"/>
          <w:lang w:val="lv-LV"/>
        </w:rPr>
        <w:t>pa 2020.-2022.gadu</w:t>
      </w:r>
      <w:r w:rsidR="00B92C57" w:rsidRPr="00C240F4">
        <w:rPr>
          <w:rFonts w:ascii="Arial Narrow" w:hAnsi="Arial Narrow" w:cs="Times New Roman"/>
          <w:sz w:val="28"/>
          <w:szCs w:val="28"/>
          <w:lang w:val="lv-LV"/>
        </w:rPr>
        <w:t>)</w:t>
      </w:r>
      <w:r w:rsidR="00C653CD" w:rsidRPr="00C240F4">
        <w:rPr>
          <w:rFonts w:ascii="Arial Narrow" w:hAnsi="Arial Narrow" w:cs="Times New Roman"/>
          <w:sz w:val="28"/>
          <w:szCs w:val="28"/>
          <w:lang w:val="lv-LV"/>
        </w:rPr>
        <w:t>.</w:t>
      </w:r>
    </w:p>
    <w:p w14:paraId="00CB267E" w14:textId="77777777" w:rsidR="00464CC6" w:rsidRDefault="00D602F3" w:rsidP="00564872">
      <w:pPr>
        <w:spacing w:after="0"/>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Tabula Nr.2</w:t>
      </w:r>
    </w:p>
    <w:p w14:paraId="1AF9FEA5" w14:textId="07CF880C" w:rsidR="003B11A6" w:rsidRDefault="002E7BAB" w:rsidP="00564872">
      <w:pPr>
        <w:spacing w:before="240" w:after="0"/>
        <w:jc w:val="center"/>
        <w:rPr>
          <w:rFonts w:ascii="Arial Narrow" w:hAnsi="Arial Narrow" w:cs="Times New Roman"/>
          <w:b/>
          <w:bCs/>
          <w:sz w:val="28"/>
          <w:szCs w:val="28"/>
          <w:lang w:val="lv-LV"/>
        </w:rPr>
      </w:pPr>
      <w:r w:rsidRPr="00C240F4">
        <w:rPr>
          <w:rFonts w:ascii="Arial Narrow" w:hAnsi="Arial Narrow" w:cs="Times New Roman"/>
          <w:b/>
          <w:bCs/>
          <w:sz w:val="28"/>
          <w:szCs w:val="28"/>
          <w:lang w:val="lv-LV"/>
        </w:rPr>
        <w:t>Konceptuālajā ziņojumā norādītie indikatīvie a</w:t>
      </w:r>
      <w:r w:rsidR="00023668" w:rsidRPr="00C240F4">
        <w:rPr>
          <w:rFonts w:ascii="Arial Narrow" w:hAnsi="Arial Narrow" w:cs="Times New Roman"/>
          <w:b/>
          <w:bCs/>
          <w:sz w:val="28"/>
          <w:szCs w:val="28"/>
          <w:lang w:val="lv-LV"/>
        </w:rPr>
        <w:t>prēķini par riska segumu portfeļgarantijas ieviešanai, lai izsniegtu 2 000 jaun</w:t>
      </w:r>
      <w:r w:rsidR="00C94D8A">
        <w:rPr>
          <w:rFonts w:ascii="Arial Narrow" w:hAnsi="Arial Narrow" w:cs="Times New Roman"/>
          <w:b/>
          <w:bCs/>
          <w:sz w:val="28"/>
          <w:szCs w:val="28"/>
          <w:lang w:val="lv-LV"/>
        </w:rPr>
        <w:t>us</w:t>
      </w:r>
      <w:r w:rsidR="00023668" w:rsidRPr="00C240F4">
        <w:rPr>
          <w:rFonts w:ascii="Arial Narrow" w:hAnsi="Arial Narrow" w:cs="Times New Roman"/>
          <w:b/>
          <w:bCs/>
          <w:sz w:val="28"/>
          <w:szCs w:val="28"/>
          <w:lang w:val="lv-LV"/>
        </w:rPr>
        <w:t xml:space="preserve"> kredītu</w:t>
      </w:r>
      <w:r w:rsidR="00C94D8A">
        <w:rPr>
          <w:rFonts w:ascii="Arial Narrow" w:hAnsi="Arial Narrow" w:cs="Times New Roman"/>
          <w:b/>
          <w:bCs/>
          <w:sz w:val="28"/>
          <w:szCs w:val="28"/>
          <w:lang w:val="lv-LV"/>
        </w:rPr>
        <w:t>s</w:t>
      </w:r>
      <w:r w:rsidR="00023668" w:rsidRPr="00C240F4">
        <w:rPr>
          <w:rFonts w:ascii="Arial Narrow" w:hAnsi="Arial Narrow" w:cs="Times New Roman"/>
          <w:b/>
          <w:bCs/>
          <w:sz w:val="28"/>
          <w:szCs w:val="28"/>
          <w:lang w:val="lv-LV"/>
        </w:rPr>
        <w:t xml:space="preserve"> gadā</w:t>
      </w:r>
      <w:r w:rsidR="00207138" w:rsidRPr="00C240F4">
        <w:rPr>
          <w:rFonts w:ascii="Arial Narrow" w:hAnsi="Arial Narrow" w:cs="Times New Roman"/>
          <w:b/>
          <w:bCs/>
          <w:sz w:val="28"/>
          <w:szCs w:val="28"/>
          <w:lang w:val="lv-LV"/>
        </w:rPr>
        <w:t xml:space="preserve"> par vidējo summu</w:t>
      </w:r>
    </w:p>
    <w:p w14:paraId="53EA8EB6" w14:textId="387729A6" w:rsidR="00023668" w:rsidRPr="00C240F4" w:rsidRDefault="00A94CD5" w:rsidP="00464CC6">
      <w:pPr>
        <w:jc w:val="center"/>
        <w:rPr>
          <w:rFonts w:ascii="Arial Narrow" w:hAnsi="Arial Narrow" w:cs="Times New Roman"/>
          <w:b/>
          <w:bCs/>
          <w:sz w:val="28"/>
          <w:szCs w:val="28"/>
          <w:lang w:val="lv-LV"/>
        </w:rPr>
      </w:pPr>
      <w:r w:rsidRPr="00C240F4">
        <w:rPr>
          <w:rFonts w:ascii="Arial Narrow" w:hAnsi="Arial Narrow"/>
          <w:noProof/>
          <w:sz w:val="28"/>
          <w:szCs w:val="28"/>
          <w:lang w:val="lv-LV" w:eastAsia="lv-LV"/>
        </w:rPr>
        <w:drawing>
          <wp:anchor distT="0" distB="0" distL="114300" distR="114300" simplePos="0" relativeHeight="251658242" behindDoc="1" locked="0" layoutInCell="1" allowOverlap="1" wp14:anchorId="22433EBB" wp14:editId="791BF847">
            <wp:simplePos x="0" y="0"/>
            <wp:positionH relativeFrom="margin">
              <wp:align>left</wp:align>
            </wp:positionH>
            <wp:positionV relativeFrom="paragraph">
              <wp:posOffset>353695</wp:posOffset>
            </wp:positionV>
            <wp:extent cx="6019165" cy="246126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165" cy="2461260"/>
                    </a:xfrm>
                    <a:prstGeom prst="rect">
                      <a:avLst/>
                    </a:prstGeom>
                    <a:noFill/>
                    <a:ln>
                      <a:noFill/>
                    </a:ln>
                  </pic:spPr>
                </pic:pic>
              </a:graphicData>
            </a:graphic>
            <wp14:sizeRelV relativeFrom="margin">
              <wp14:pctHeight>0</wp14:pctHeight>
            </wp14:sizeRelV>
          </wp:anchor>
        </w:drawing>
      </w:r>
      <w:r w:rsidR="00207138" w:rsidRPr="00C240F4">
        <w:rPr>
          <w:rFonts w:ascii="Arial Narrow" w:hAnsi="Arial Narrow" w:cs="Times New Roman"/>
          <w:b/>
          <w:bCs/>
          <w:sz w:val="28"/>
          <w:szCs w:val="28"/>
          <w:lang w:val="lv-LV"/>
        </w:rPr>
        <w:t>6 500 euro</w:t>
      </w:r>
    </w:p>
    <w:p w14:paraId="531A8001" w14:textId="77777777" w:rsidR="00A94CD5" w:rsidRDefault="00A94CD5" w:rsidP="003A173B">
      <w:pPr>
        <w:jc w:val="both"/>
        <w:rPr>
          <w:rFonts w:ascii="Arial Narrow" w:hAnsi="Arial Narrow" w:cs="Times New Roman"/>
          <w:sz w:val="28"/>
          <w:szCs w:val="28"/>
          <w:lang w:val="lv-LV"/>
        </w:rPr>
      </w:pPr>
    </w:p>
    <w:p w14:paraId="7EDAF827" w14:textId="77777777" w:rsidR="00E26EAF" w:rsidRDefault="00E26EAF" w:rsidP="000837D6">
      <w:pPr>
        <w:ind w:firstLine="720"/>
        <w:jc w:val="both"/>
        <w:rPr>
          <w:rFonts w:ascii="Arial Narrow" w:hAnsi="Arial Narrow" w:cs="Times New Roman"/>
          <w:sz w:val="28"/>
          <w:szCs w:val="28"/>
          <w:lang w:val="lv-LV"/>
        </w:rPr>
      </w:pPr>
    </w:p>
    <w:p w14:paraId="0E6D978C" w14:textId="68665EBC" w:rsidR="00207138" w:rsidRDefault="00207138" w:rsidP="000837D6">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Taču</w:t>
      </w:r>
      <w:r w:rsidR="00D602F3" w:rsidRPr="00C240F4">
        <w:rPr>
          <w:rFonts w:ascii="Arial Narrow" w:hAnsi="Arial Narrow" w:cs="Times New Roman"/>
          <w:sz w:val="28"/>
          <w:szCs w:val="28"/>
          <w:lang w:val="lv-LV"/>
        </w:rPr>
        <w:t>,</w:t>
      </w:r>
      <w:r w:rsidRPr="00C240F4">
        <w:rPr>
          <w:rFonts w:ascii="Arial Narrow" w:hAnsi="Arial Narrow" w:cs="Times New Roman"/>
          <w:sz w:val="28"/>
          <w:szCs w:val="28"/>
          <w:lang w:val="lv-LV"/>
        </w:rPr>
        <w:t xml:space="preserve"> </w:t>
      </w:r>
      <w:r w:rsidR="00B26506" w:rsidRPr="00C240F4">
        <w:rPr>
          <w:rFonts w:ascii="Arial Narrow" w:hAnsi="Arial Narrow" w:cs="Times New Roman"/>
          <w:sz w:val="28"/>
          <w:szCs w:val="28"/>
          <w:lang w:val="lv-LV"/>
        </w:rPr>
        <w:t>kā jau tika uzsvērts iepriekš,</w:t>
      </w:r>
      <w:r w:rsidR="00CA7CEB" w:rsidRPr="00C240F4">
        <w:rPr>
          <w:rFonts w:ascii="Arial Narrow" w:hAnsi="Arial Narrow" w:cs="Times New Roman"/>
          <w:sz w:val="28"/>
          <w:szCs w:val="28"/>
          <w:lang w:val="lv-LV"/>
        </w:rPr>
        <w:t xml:space="preserve"> COVID-19 dēļ</w:t>
      </w:r>
      <w:r w:rsidRPr="00C240F4">
        <w:rPr>
          <w:rFonts w:ascii="Arial Narrow" w:hAnsi="Arial Narrow" w:cs="Times New Roman"/>
          <w:sz w:val="28"/>
          <w:szCs w:val="28"/>
          <w:lang w:val="lv-LV"/>
        </w:rPr>
        <w:t xml:space="preserve"> ir būtiski mainījušies darba tirgus apstākļi, pieteikumu proporcija no studējošiem, kas ir imatrikulēti studijām par maksu, ir pieaugusi </w:t>
      </w:r>
      <w:r w:rsidR="00B03658" w:rsidRPr="00C240F4">
        <w:rPr>
          <w:rFonts w:ascii="Arial Narrow" w:hAnsi="Arial Narrow" w:cs="Times New Roman"/>
          <w:sz w:val="28"/>
          <w:szCs w:val="28"/>
          <w:lang w:val="lv-LV"/>
        </w:rPr>
        <w:t>aptuveni divreiz</w:t>
      </w:r>
      <w:r w:rsidR="00D602F3" w:rsidRPr="00C240F4">
        <w:rPr>
          <w:rFonts w:ascii="Arial Narrow" w:hAnsi="Arial Narrow" w:cs="Times New Roman"/>
          <w:sz w:val="28"/>
          <w:szCs w:val="28"/>
          <w:lang w:val="lv-LV"/>
        </w:rPr>
        <w:t>,</w:t>
      </w:r>
      <w:r w:rsidR="00B03658" w:rsidRPr="00C240F4">
        <w:rPr>
          <w:rFonts w:ascii="Arial Narrow" w:hAnsi="Arial Narrow" w:cs="Times New Roman"/>
          <w:sz w:val="28"/>
          <w:szCs w:val="28"/>
          <w:lang w:val="lv-LV"/>
        </w:rPr>
        <w:t xml:space="preserve"> salīdzinot ar iepriekšējiem gadiem</w:t>
      </w:r>
      <w:r w:rsidR="00D602F3" w:rsidRPr="00C240F4">
        <w:rPr>
          <w:rFonts w:ascii="Arial Narrow" w:hAnsi="Arial Narrow" w:cs="Times New Roman"/>
          <w:sz w:val="28"/>
          <w:szCs w:val="28"/>
          <w:lang w:val="lv-LV"/>
        </w:rPr>
        <w:t>,</w:t>
      </w:r>
      <w:r w:rsidR="00B03658" w:rsidRPr="00C240F4">
        <w:rPr>
          <w:rFonts w:ascii="Arial Narrow" w:hAnsi="Arial Narrow" w:cs="Times New Roman"/>
          <w:sz w:val="28"/>
          <w:szCs w:val="28"/>
          <w:lang w:val="lv-LV"/>
        </w:rPr>
        <w:t xml:space="preserve"> un</w:t>
      </w:r>
      <w:r w:rsidR="007065E0" w:rsidRPr="00C240F4">
        <w:rPr>
          <w:rFonts w:ascii="Arial Narrow" w:hAnsi="Arial Narrow" w:cs="Times New Roman"/>
          <w:sz w:val="28"/>
          <w:szCs w:val="28"/>
          <w:lang w:val="lv-LV"/>
        </w:rPr>
        <w:t xml:space="preserve"> pieteikumu un noslēgto līgumus skaits ir lielāks, nekā tika prognozēts. </w:t>
      </w:r>
      <w:r w:rsidR="00D602F3" w:rsidRPr="00C240F4">
        <w:rPr>
          <w:rFonts w:ascii="Arial Narrow" w:hAnsi="Arial Narrow" w:cs="Times New Roman"/>
          <w:sz w:val="28"/>
          <w:szCs w:val="28"/>
          <w:lang w:val="lv-LV"/>
        </w:rPr>
        <w:t>D</w:t>
      </w:r>
      <w:r w:rsidRPr="00C240F4">
        <w:rPr>
          <w:rFonts w:ascii="Arial Narrow" w:hAnsi="Arial Narrow" w:cs="Times New Roman"/>
          <w:sz w:val="28"/>
          <w:szCs w:val="28"/>
          <w:lang w:val="lv-LV"/>
        </w:rPr>
        <w:t>ati par studiju un studējoša kredītu izsniegšanas apjomiem</w:t>
      </w:r>
      <w:r w:rsidR="00D602F3" w:rsidRPr="00C240F4">
        <w:rPr>
          <w:rFonts w:ascii="Arial Narrow" w:hAnsi="Arial Narrow" w:cs="Times New Roman"/>
          <w:sz w:val="28"/>
          <w:szCs w:val="28"/>
          <w:lang w:val="lv-LV"/>
        </w:rPr>
        <w:t xml:space="preserve"> līdz š.g. 25.oktobrim ir redzami tabulā Nr.3 un tabulā Nr.4.</w:t>
      </w:r>
      <w:r w:rsidRPr="00C240F4">
        <w:rPr>
          <w:rFonts w:ascii="Arial Narrow" w:hAnsi="Arial Narrow" w:cs="Times New Roman"/>
          <w:sz w:val="28"/>
          <w:szCs w:val="28"/>
          <w:lang w:val="lv-LV"/>
        </w:rPr>
        <w:t xml:space="preserve"> </w:t>
      </w:r>
      <w:r w:rsidR="003502E8" w:rsidRPr="00C240F4">
        <w:rPr>
          <w:rFonts w:ascii="Arial Narrow" w:hAnsi="Arial Narrow" w:cs="Times New Roman"/>
          <w:sz w:val="28"/>
          <w:szCs w:val="28"/>
          <w:lang w:val="lv-LV"/>
        </w:rPr>
        <w:t xml:space="preserve"> </w:t>
      </w:r>
    </w:p>
    <w:p w14:paraId="354F41D1" w14:textId="77777777" w:rsidR="00464CC6" w:rsidRDefault="00464CC6" w:rsidP="000837D6">
      <w:pPr>
        <w:ind w:firstLine="720"/>
        <w:jc w:val="both"/>
        <w:rPr>
          <w:rFonts w:ascii="Arial Narrow" w:hAnsi="Arial Narrow" w:cs="Times New Roman"/>
          <w:sz w:val="28"/>
          <w:szCs w:val="28"/>
          <w:lang w:val="lv-LV"/>
        </w:rPr>
      </w:pPr>
    </w:p>
    <w:p w14:paraId="65F1D590" w14:textId="2F71A18C" w:rsidR="00464CC6" w:rsidRDefault="00464CC6" w:rsidP="00564872">
      <w:pPr>
        <w:tabs>
          <w:tab w:val="left" w:pos="600"/>
          <w:tab w:val="right" w:pos="9360"/>
        </w:tabs>
        <w:spacing w:after="0"/>
        <w:rPr>
          <w:rFonts w:ascii="Arial Narrow" w:hAnsi="Arial Narrow" w:cs="Times New Roman"/>
          <w:b/>
          <w:bCs/>
          <w:color w:val="000000"/>
          <w:sz w:val="28"/>
          <w:szCs w:val="28"/>
          <w:lang w:val="lv-LV"/>
        </w:rPr>
      </w:pPr>
      <w:r>
        <w:rPr>
          <w:rFonts w:ascii="Arial Narrow" w:hAnsi="Arial Narrow" w:cs="Times New Roman"/>
          <w:b/>
          <w:bCs/>
          <w:color w:val="000000"/>
          <w:sz w:val="28"/>
          <w:szCs w:val="28"/>
          <w:lang w:val="lv-LV"/>
        </w:rPr>
        <w:tab/>
      </w:r>
      <w:r>
        <w:rPr>
          <w:rFonts w:ascii="Arial Narrow" w:hAnsi="Arial Narrow" w:cs="Times New Roman"/>
          <w:b/>
          <w:bCs/>
          <w:color w:val="000000"/>
          <w:sz w:val="28"/>
          <w:szCs w:val="28"/>
          <w:lang w:val="lv-LV"/>
        </w:rPr>
        <w:tab/>
      </w:r>
      <w:r w:rsidR="00D602F3" w:rsidRPr="00C240F4">
        <w:rPr>
          <w:rFonts w:ascii="Arial Narrow" w:hAnsi="Arial Narrow" w:cs="Times New Roman"/>
          <w:b/>
          <w:bCs/>
          <w:color w:val="000000"/>
          <w:sz w:val="28"/>
          <w:szCs w:val="28"/>
          <w:lang w:val="lv-LV"/>
        </w:rPr>
        <w:t xml:space="preserve">Tabula Nr.3 </w:t>
      </w:r>
    </w:p>
    <w:p w14:paraId="1D5B8BA9" w14:textId="099AD5F9" w:rsidR="002E7BAB" w:rsidRPr="00C240F4" w:rsidRDefault="00D602F3" w:rsidP="00564872">
      <w:pPr>
        <w:spacing w:after="0"/>
        <w:jc w:val="center"/>
        <w:rPr>
          <w:rFonts w:ascii="Arial Narrow" w:hAnsi="Arial Narrow" w:cs="Times New Roman"/>
          <w:sz w:val="28"/>
          <w:szCs w:val="28"/>
          <w:lang w:val="lv-LV"/>
        </w:rPr>
      </w:pPr>
      <w:r w:rsidRPr="00C240F4">
        <w:rPr>
          <w:rFonts w:ascii="Arial Narrow" w:hAnsi="Arial Narrow" w:cs="Times New Roman"/>
          <w:b/>
          <w:bCs/>
          <w:color w:val="000000"/>
          <w:sz w:val="28"/>
          <w:szCs w:val="28"/>
          <w:lang w:val="lv-LV"/>
        </w:rPr>
        <w:lastRenderedPageBreak/>
        <w:t>Noslēgto līgumu skaits sadalījumā pa mēnešiem</w:t>
      </w:r>
    </w:p>
    <w:tbl>
      <w:tblPr>
        <w:tblW w:w="10198" w:type="dxa"/>
        <w:tblInd w:w="-3" w:type="dxa"/>
        <w:tblCellMar>
          <w:left w:w="0" w:type="dxa"/>
          <w:right w:w="0" w:type="dxa"/>
        </w:tblCellMar>
        <w:tblLook w:val="04A0" w:firstRow="1" w:lastRow="0" w:firstColumn="1" w:lastColumn="0" w:noHBand="0" w:noVBand="1"/>
      </w:tblPr>
      <w:tblGrid>
        <w:gridCol w:w="1696"/>
        <w:gridCol w:w="3036"/>
        <w:gridCol w:w="3483"/>
        <w:gridCol w:w="1983"/>
      </w:tblGrid>
      <w:tr w:rsidR="002E7BAB" w:rsidRPr="00C240F4" w14:paraId="36CE3B98" w14:textId="77777777" w:rsidTr="003B11A6">
        <w:trPr>
          <w:trHeight w:val="318"/>
        </w:trPr>
        <w:tc>
          <w:tcPr>
            <w:tcW w:w="1696"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5C0995E7" w14:textId="26C600E2" w:rsidR="002E7BAB" w:rsidRPr="00D30684" w:rsidRDefault="00EB0946" w:rsidP="00D30684">
            <w:pPr>
              <w:jc w:val="center"/>
              <w:rPr>
                <w:rFonts w:ascii="Arial Narrow" w:hAnsi="Arial Narrow" w:cs="Times New Roman"/>
                <w:b/>
                <w:bCs/>
                <w:color w:val="FFFFFF" w:themeColor="background1"/>
                <w:sz w:val="28"/>
                <w:szCs w:val="28"/>
              </w:rPr>
            </w:pPr>
            <w:r w:rsidRPr="00D30684">
              <w:rPr>
                <w:rFonts w:ascii="Arial Narrow" w:hAnsi="Arial Narrow" w:cs="Times New Roman"/>
                <w:b/>
                <w:bCs/>
                <w:color w:val="FFFFFF" w:themeColor="background1"/>
                <w:sz w:val="28"/>
                <w:szCs w:val="28"/>
              </w:rPr>
              <w:t>Mēnesis</w:t>
            </w:r>
          </w:p>
        </w:tc>
        <w:tc>
          <w:tcPr>
            <w:tcW w:w="3036"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76C8B201" w14:textId="0606758D" w:rsidR="002E7BAB" w:rsidRPr="00D30684" w:rsidRDefault="00EB0946" w:rsidP="00D30684">
            <w:pPr>
              <w:jc w:val="center"/>
              <w:rPr>
                <w:rFonts w:ascii="Arial Narrow" w:hAnsi="Arial Narrow" w:cs="Times New Roman"/>
                <w:b/>
                <w:bCs/>
                <w:color w:val="FFFFFF" w:themeColor="background1"/>
                <w:sz w:val="28"/>
                <w:szCs w:val="28"/>
              </w:rPr>
            </w:pPr>
            <w:r w:rsidRPr="00D30684">
              <w:rPr>
                <w:rFonts w:ascii="Arial Narrow" w:hAnsi="Arial Narrow" w:cs="Times New Roman"/>
                <w:b/>
                <w:bCs/>
                <w:color w:val="FFFFFF" w:themeColor="background1"/>
                <w:sz w:val="28"/>
                <w:szCs w:val="28"/>
              </w:rPr>
              <w:t>Studējoša kredīts</w:t>
            </w:r>
          </w:p>
        </w:tc>
        <w:tc>
          <w:tcPr>
            <w:tcW w:w="3483"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0C61D092" w14:textId="46372761" w:rsidR="002E7BAB" w:rsidRPr="00D30684" w:rsidRDefault="00EB0946" w:rsidP="00D30684">
            <w:pPr>
              <w:jc w:val="center"/>
              <w:rPr>
                <w:rFonts w:ascii="Arial Narrow" w:hAnsi="Arial Narrow" w:cs="Times New Roman"/>
                <w:b/>
                <w:bCs/>
                <w:color w:val="FFFFFF" w:themeColor="background1"/>
                <w:sz w:val="28"/>
                <w:szCs w:val="28"/>
              </w:rPr>
            </w:pPr>
            <w:r w:rsidRPr="00D30684">
              <w:rPr>
                <w:rFonts w:ascii="Arial Narrow" w:hAnsi="Arial Narrow" w:cs="Times New Roman"/>
                <w:b/>
                <w:bCs/>
                <w:color w:val="FFFFFF" w:themeColor="background1"/>
                <w:sz w:val="28"/>
                <w:szCs w:val="28"/>
              </w:rPr>
              <w:t>Studiju kredīts</w:t>
            </w:r>
          </w:p>
        </w:tc>
        <w:tc>
          <w:tcPr>
            <w:tcW w:w="1983"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1F8B1C6D" w14:textId="7903AD75" w:rsidR="002E7BAB" w:rsidRPr="00D30684" w:rsidRDefault="00EB0946" w:rsidP="00D30684">
            <w:pPr>
              <w:jc w:val="center"/>
              <w:rPr>
                <w:rFonts w:ascii="Arial Narrow" w:hAnsi="Arial Narrow" w:cs="Times New Roman"/>
                <w:b/>
                <w:bCs/>
                <w:color w:val="FFFFFF" w:themeColor="background1"/>
                <w:sz w:val="28"/>
                <w:szCs w:val="28"/>
              </w:rPr>
            </w:pPr>
            <w:r w:rsidRPr="00D30684">
              <w:rPr>
                <w:rFonts w:ascii="Arial Narrow" w:hAnsi="Arial Narrow" w:cs="Times New Roman"/>
                <w:b/>
                <w:bCs/>
                <w:color w:val="FFFFFF" w:themeColor="background1"/>
                <w:sz w:val="28"/>
                <w:szCs w:val="28"/>
              </w:rPr>
              <w:t>Kopā:</w:t>
            </w:r>
          </w:p>
        </w:tc>
      </w:tr>
      <w:tr w:rsidR="002E7BAB" w:rsidRPr="00C240F4" w14:paraId="09E7C875" w14:textId="77777777" w:rsidTr="003B11A6">
        <w:trPr>
          <w:trHeight w:val="300"/>
        </w:trPr>
        <w:tc>
          <w:tcPr>
            <w:tcW w:w="16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10053" w14:textId="4A0B5A16" w:rsidR="002E7BAB" w:rsidRPr="00C240F4" w:rsidRDefault="00EB0946"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Augusts</w:t>
            </w:r>
          </w:p>
        </w:tc>
        <w:tc>
          <w:tcPr>
            <w:tcW w:w="30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063C48" w14:textId="60B14BE6"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81</w:t>
            </w:r>
          </w:p>
        </w:tc>
        <w:tc>
          <w:tcPr>
            <w:tcW w:w="34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35E9D" w14:textId="4996F9D1"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718</w:t>
            </w:r>
          </w:p>
        </w:tc>
        <w:tc>
          <w:tcPr>
            <w:tcW w:w="198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0A917951" w14:textId="77777777" w:rsidR="002E7BAB" w:rsidRPr="00D30684" w:rsidRDefault="002E7BAB" w:rsidP="00D30684">
            <w:pPr>
              <w:jc w:val="center"/>
              <w:rPr>
                <w:rFonts w:ascii="Arial Narrow" w:hAnsi="Arial Narrow" w:cs="Times New Roman"/>
                <w:b/>
                <w:bCs/>
                <w:sz w:val="28"/>
                <w:szCs w:val="28"/>
              </w:rPr>
            </w:pPr>
            <w:r w:rsidRPr="00D30684">
              <w:rPr>
                <w:rFonts w:ascii="Arial Narrow" w:hAnsi="Arial Narrow" w:cs="Times New Roman"/>
                <w:b/>
                <w:bCs/>
                <w:sz w:val="28"/>
                <w:szCs w:val="28"/>
              </w:rPr>
              <w:t>799</w:t>
            </w:r>
          </w:p>
        </w:tc>
      </w:tr>
      <w:tr w:rsidR="002E7BAB" w:rsidRPr="00C240F4" w14:paraId="7E535829" w14:textId="77777777" w:rsidTr="003B11A6">
        <w:trPr>
          <w:trHeight w:val="300"/>
        </w:trPr>
        <w:tc>
          <w:tcPr>
            <w:tcW w:w="16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1F48B" w14:textId="7F627DDE" w:rsidR="002E7BAB" w:rsidRPr="00C240F4" w:rsidRDefault="00EB0946"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Septembris</w:t>
            </w:r>
          </w:p>
        </w:tc>
        <w:tc>
          <w:tcPr>
            <w:tcW w:w="30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0F2947" w14:textId="0AEE0849"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211</w:t>
            </w:r>
          </w:p>
        </w:tc>
        <w:tc>
          <w:tcPr>
            <w:tcW w:w="34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F45C8" w14:textId="4042CABA"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1 061</w:t>
            </w:r>
          </w:p>
        </w:tc>
        <w:tc>
          <w:tcPr>
            <w:tcW w:w="198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61150450" w14:textId="77777777" w:rsidR="002E7BAB" w:rsidRPr="00D30684" w:rsidRDefault="002E7BAB" w:rsidP="00D30684">
            <w:pPr>
              <w:jc w:val="center"/>
              <w:rPr>
                <w:rFonts w:ascii="Arial Narrow" w:hAnsi="Arial Narrow" w:cs="Times New Roman"/>
                <w:b/>
                <w:bCs/>
                <w:sz w:val="28"/>
                <w:szCs w:val="28"/>
              </w:rPr>
            </w:pPr>
            <w:r w:rsidRPr="00D30684">
              <w:rPr>
                <w:rFonts w:ascii="Arial Narrow" w:hAnsi="Arial Narrow" w:cs="Times New Roman"/>
                <w:b/>
                <w:bCs/>
                <w:sz w:val="28"/>
                <w:szCs w:val="28"/>
              </w:rPr>
              <w:t>1 272</w:t>
            </w:r>
          </w:p>
        </w:tc>
      </w:tr>
      <w:tr w:rsidR="002E7BAB" w:rsidRPr="00C240F4" w14:paraId="1D7C8381" w14:textId="77777777" w:rsidTr="003B11A6">
        <w:trPr>
          <w:trHeight w:val="300"/>
        </w:trPr>
        <w:tc>
          <w:tcPr>
            <w:tcW w:w="16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6A1AB3" w14:textId="55ABC1A3" w:rsidR="002E7BAB" w:rsidRPr="00C240F4" w:rsidRDefault="00EB0946" w:rsidP="00D30684">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Oktobris</w:t>
            </w:r>
          </w:p>
        </w:tc>
        <w:tc>
          <w:tcPr>
            <w:tcW w:w="30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8F1DF8" w14:textId="7F5D6C63"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sz w:val="28"/>
                <w:szCs w:val="28"/>
              </w:rPr>
              <w:t>59</w:t>
            </w:r>
          </w:p>
        </w:tc>
        <w:tc>
          <w:tcPr>
            <w:tcW w:w="34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D7DDF" w14:textId="25069667" w:rsidR="002E7BAB" w:rsidRPr="00C240F4" w:rsidRDefault="002E7BAB" w:rsidP="00D30684">
            <w:pPr>
              <w:jc w:val="center"/>
              <w:rPr>
                <w:rFonts w:ascii="Arial Narrow" w:hAnsi="Arial Narrow" w:cs="Times New Roman"/>
                <w:color w:val="000000"/>
                <w:sz w:val="28"/>
                <w:szCs w:val="28"/>
              </w:rPr>
            </w:pPr>
            <w:r w:rsidRPr="00C240F4">
              <w:rPr>
                <w:rFonts w:ascii="Arial Narrow" w:hAnsi="Arial Narrow" w:cs="Times New Roman"/>
                <w:sz w:val="28"/>
                <w:szCs w:val="28"/>
              </w:rPr>
              <w:t>198</w:t>
            </w:r>
          </w:p>
        </w:tc>
        <w:tc>
          <w:tcPr>
            <w:tcW w:w="198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152B87E" w14:textId="77777777" w:rsidR="002E7BAB" w:rsidRPr="00D30684" w:rsidRDefault="002E7BAB" w:rsidP="00D30684">
            <w:pPr>
              <w:jc w:val="center"/>
              <w:rPr>
                <w:rFonts w:ascii="Arial Narrow" w:hAnsi="Arial Narrow" w:cs="Times New Roman"/>
                <w:b/>
                <w:bCs/>
                <w:sz w:val="28"/>
                <w:szCs w:val="28"/>
              </w:rPr>
            </w:pPr>
            <w:r w:rsidRPr="00D30684">
              <w:rPr>
                <w:rFonts w:ascii="Arial Narrow" w:hAnsi="Arial Narrow" w:cs="Times New Roman"/>
                <w:b/>
                <w:bCs/>
                <w:sz w:val="28"/>
                <w:szCs w:val="28"/>
              </w:rPr>
              <w:t>257</w:t>
            </w:r>
          </w:p>
        </w:tc>
      </w:tr>
      <w:tr w:rsidR="002E7BAB" w:rsidRPr="00C240F4" w14:paraId="09EBB879" w14:textId="77777777" w:rsidTr="003B11A6">
        <w:trPr>
          <w:trHeight w:val="300"/>
        </w:trPr>
        <w:tc>
          <w:tcPr>
            <w:tcW w:w="169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CCDBB83" w14:textId="0F1F79E0" w:rsidR="002E7BAB" w:rsidRPr="00C240F4" w:rsidRDefault="00EB0946" w:rsidP="00D30684">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Kopā:</w:t>
            </w:r>
          </w:p>
        </w:tc>
        <w:tc>
          <w:tcPr>
            <w:tcW w:w="303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0B9F6DA8" w14:textId="77777777" w:rsidR="002E7BAB" w:rsidRPr="00C240F4" w:rsidRDefault="002E7BAB" w:rsidP="00D30684">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351</w:t>
            </w:r>
          </w:p>
        </w:tc>
        <w:tc>
          <w:tcPr>
            <w:tcW w:w="348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E3E6A11" w14:textId="77777777" w:rsidR="002E7BAB" w:rsidRPr="00C240F4" w:rsidRDefault="002E7BAB" w:rsidP="00D30684">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1 977</w:t>
            </w:r>
          </w:p>
        </w:tc>
        <w:tc>
          <w:tcPr>
            <w:tcW w:w="198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3B781C8A" w14:textId="77777777" w:rsidR="002E7BAB" w:rsidRPr="00C240F4" w:rsidRDefault="002E7BAB" w:rsidP="00D30684">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2 328</w:t>
            </w:r>
          </w:p>
        </w:tc>
      </w:tr>
    </w:tbl>
    <w:p w14:paraId="3310A15F" w14:textId="45DBC13D" w:rsidR="00A94CD5" w:rsidRDefault="00A94CD5" w:rsidP="002E7BAB">
      <w:pPr>
        <w:pStyle w:val="ListParagraph"/>
        <w:rPr>
          <w:rFonts w:ascii="Arial Narrow" w:hAnsi="Arial Narrow" w:cs="Times New Roman"/>
          <w:sz w:val="28"/>
          <w:szCs w:val="28"/>
        </w:rPr>
      </w:pPr>
    </w:p>
    <w:p w14:paraId="1F5081CA" w14:textId="77777777" w:rsidR="00564872" w:rsidRDefault="00D602F3" w:rsidP="00564872">
      <w:pPr>
        <w:spacing w:after="0"/>
        <w:jc w:val="right"/>
        <w:rPr>
          <w:rFonts w:ascii="Arial Narrow" w:hAnsi="Arial Narrow" w:cs="Times New Roman"/>
          <w:b/>
          <w:bCs/>
          <w:color w:val="000000"/>
          <w:sz w:val="28"/>
          <w:szCs w:val="28"/>
          <w:lang w:val="lv-LV"/>
        </w:rPr>
      </w:pPr>
      <w:r w:rsidRPr="00C240F4">
        <w:rPr>
          <w:rFonts w:ascii="Arial Narrow" w:hAnsi="Arial Narrow" w:cs="Times New Roman"/>
          <w:b/>
          <w:bCs/>
          <w:color w:val="000000"/>
          <w:sz w:val="28"/>
          <w:szCs w:val="28"/>
          <w:lang w:val="lv-LV"/>
        </w:rPr>
        <w:t xml:space="preserve">Tabula Nr.4 </w:t>
      </w:r>
    </w:p>
    <w:p w14:paraId="200B81D2" w14:textId="6E8FF5C7" w:rsidR="002E7BAB" w:rsidRPr="008F64CF" w:rsidRDefault="00D602F3" w:rsidP="00564872">
      <w:pPr>
        <w:spacing w:after="0"/>
        <w:jc w:val="center"/>
        <w:rPr>
          <w:rFonts w:ascii="Arial Narrow" w:hAnsi="Arial Narrow" w:cs="Times New Roman"/>
          <w:sz w:val="28"/>
          <w:szCs w:val="28"/>
          <w:lang w:val="lv-LV"/>
        </w:rPr>
      </w:pPr>
      <w:r w:rsidRPr="00C240F4">
        <w:rPr>
          <w:rFonts w:ascii="Arial Narrow" w:hAnsi="Arial Narrow" w:cs="Times New Roman"/>
          <w:b/>
          <w:bCs/>
          <w:color w:val="000000"/>
          <w:sz w:val="28"/>
          <w:szCs w:val="28"/>
          <w:lang w:val="lv-LV"/>
        </w:rPr>
        <w:t>Līgumu skaits p</w:t>
      </w:r>
      <w:r w:rsidR="003502E8" w:rsidRPr="00C240F4">
        <w:rPr>
          <w:rFonts w:ascii="Arial Narrow" w:hAnsi="Arial Narrow" w:cs="Times New Roman"/>
          <w:b/>
          <w:bCs/>
          <w:color w:val="000000"/>
          <w:sz w:val="28"/>
          <w:szCs w:val="28"/>
          <w:lang w:val="lv-LV"/>
        </w:rPr>
        <w:t xml:space="preserve">ēc </w:t>
      </w:r>
      <w:r w:rsidRPr="00C240F4">
        <w:rPr>
          <w:rFonts w:ascii="Arial Narrow" w:hAnsi="Arial Narrow" w:cs="Times New Roman"/>
          <w:b/>
          <w:bCs/>
          <w:color w:val="000000"/>
          <w:sz w:val="28"/>
          <w:szCs w:val="28"/>
          <w:lang w:val="lv-LV"/>
        </w:rPr>
        <w:t xml:space="preserve">piešķirtās </w:t>
      </w:r>
      <w:r w:rsidR="003502E8" w:rsidRPr="00C240F4">
        <w:rPr>
          <w:rFonts w:ascii="Arial Narrow" w:hAnsi="Arial Narrow" w:cs="Times New Roman"/>
          <w:b/>
          <w:bCs/>
          <w:color w:val="000000"/>
          <w:sz w:val="28"/>
          <w:szCs w:val="28"/>
          <w:lang w:val="lv-LV"/>
        </w:rPr>
        <w:t xml:space="preserve">līguma </w:t>
      </w:r>
      <w:r w:rsidR="002E7BAB" w:rsidRPr="00C240F4">
        <w:rPr>
          <w:rFonts w:ascii="Arial Narrow" w:hAnsi="Arial Narrow" w:cs="Times New Roman"/>
          <w:b/>
          <w:bCs/>
          <w:color w:val="000000"/>
          <w:sz w:val="28"/>
          <w:szCs w:val="28"/>
          <w:lang w:val="lv-LV"/>
        </w:rPr>
        <w:t>summas</w:t>
      </w:r>
    </w:p>
    <w:tbl>
      <w:tblPr>
        <w:tblW w:w="9916" w:type="dxa"/>
        <w:tblInd w:w="-3" w:type="dxa"/>
        <w:tblCellMar>
          <w:left w:w="0" w:type="dxa"/>
          <w:right w:w="0" w:type="dxa"/>
        </w:tblCellMar>
        <w:tblLook w:val="04A0" w:firstRow="1" w:lastRow="0" w:firstColumn="1" w:lastColumn="0" w:noHBand="0" w:noVBand="1"/>
      </w:tblPr>
      <w:tblGrid>
        <w:gridCol w:w="1378"/>
        <w:gridCol w:w="2616"/>
        <w:gridCol w:w="2268"/>
        <w:gridCol w:w="3654"/>
      </w:tblGrid>
      <w:tr w:rsidR="002E7BAB" w:rsidRPr="00C61D60" w14:paraId="4A4598FB" w14:textId="77777777" w:rsidTr="0000332A">
        <w:trPr>
          <w:trHeight w:val="392"/>
        </w:trPr>
        <w:tc>
          <w:tcPr>
            <w:tcW w:w="1378"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748013A0" w14:textId="77777777" w:rsidR="002E7BAB" w:rsidRPr="008F64CF" w:rsidRDefault="002E7BAB" w:rsidP="0000332A">
            <w:pPr>
              <w:jc w:val="center"/>
              <w:rPr>
                <w:rFonts w:ascii="Arial Narrow" w:hAnsi="Arial Narrow" w:cs="Times New Roman"/>
                <w:b/>
                <w:bCs/>
                <w:color w:val="FFFFFF" w:themeColor="background1"/>
                <w:sz w:val="28"/>
                <w:szCs w:val="28"/>
                <w:lang w:val="lv-LV"/>
              </w:rPr>
            </w:pPr>
            <w:r w:rsidRPr="008F64CF">
              <w:rPr>
                <w:rFonts w:ascii="Arial Narrow" w:hAnsi="Arial Narrow" w:cs="Times New Roman"/>
                <w:b/>
                <w:bCs/>
                <w:color w:val="FFFFFF" w:themeColor="background1"/>
                <w:sz w:val="28"/>
                <w:szCs w:val="28"/>
                <w:lang w:val="lv-LV"/>
              </w:rPr>
              <w:t>Mēnesis</w:t>
            </w:r>
          </w:p>
        </w:tc>
        <w:tc>
          <w:tcPr>
            <w:tcW w:w="2616"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707DE61F" w14:textId="60F91F03" w:rsidR="002E7BAB" w:rsidRPr="008F64CF" w:rsidRDefault="002E7BAB" w:rsidP="0000332A">
            <w:pPr>
              <w:jc w:val="center"/>
              <w:rPr>
                <w:rFonts w:ascii="Arial Narrow" w:hAnsi="Arial Narrow" w:cs="Times New Roman"/>
                <w:b/>
                <w:bCs/>
                <w:color w:val="FFFFFF" w:themeColor="background1"/>
                <w:sz w:val="28"/>
                <w:szCs w:val="28"/>
                <w:lang w:val="lv-LV"/>
              </w:rPr>
            </w:pPr>
            <w:r w:rsidRPr="008F64CF">
              <w:rPr>
                <w:rFonts w:ascii="Arial Narrow" w:hAnsi="Arial Narrow" w:cs="Times New Roman"/>
                <w:b/>
                <w:bCs/>
                <w:color w:val="FFFFFF" w:themeColor="background1"/>
                <w:sz w:val="28"/>
                <w:szCs w:val="28"/>
                <w:lang w:val="lv-LV"/>
              </w:rPr>
              <w:t>Studējoša kredīts</w:t>
            </w:r>
          </w:p>
        </w:tc>
        <w:tc>
          <w:tcPr>
            <w:tcW w:w="2268"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28F21CFD" w14:textId="5027B1CC" w:rsidR="002E7BAB" w:rsidRPr="008F64CF" w:rsidRDefault="002E7BAB" w:rsidP="0000332A">
            <w:pPr>
              <w:jc w:val="center"/>
              <w:rPr>
                <w:rFonts w:ascii="Arial Narrow" w:hAnsi="Arial Narrow" w:cs="Times New Roman"/>
                <w:b/>
                <w:bCs/>
                <w:color w:val="FFFFFF" w:themeColor="background1"/>
                <w:sz w:val="28"/>
                <w:szCs w:val="28"/>
                <w:lang w:val="lv-LV"/>
              </w:rPr>
            </w:pPr>
            <w:r w:rsidRPr="008F64CF">
              <w:rPr>
                <w:rFonts w:ascii="Arial Narrow" w:hAnsi="Arial Narrow" w:cs="Times New Roman"/>
                <w:b/>
                <w:bCs/>
                <w:color w:val="FFFFFF" w:themeColor="background1"/>
                <w:sz w:val="28"/>
                <w:szCs w:val="28"/>
                <w:lang w:val="lv-LV"/>
              </w:rPr>
              <w:t>Studiju kredīts</w:t>
            </w:r>
          </w:p>
        </w:tc>
        <w:tc>
          <w:tcPr>
            <w:tcW w:w="3654" w:type="dxa"/>
            <w:tcBorders>
              <w:top w:val="single" w:sz="8" w:space="0" w:color="auto"/>
              <w:left w:val="nil"/>
              <w:bottom w:val="single" w:sz="8" w:space="0" w:color="auto"/>
              <w:right w:val="single" w:sz="8" w:space="0" w:color="auto"/>
            </w:tcBorders>
            <w:shd w:val="clear" w:color="auto" w:fill="7030A0"/>
            <w:noWrap/>
            <w:tcMar>
              <w:top w:w="0" w:type="dxa"/>
              <w:left w:w="108" w:type="dxa"/>
              <w:bottom w:w="0" w:type="dxa"/>
              <w:right w:w="108" w:type="dxa"/>
            </w:tcMar>
            <w:vAlign w:val="bottom"/>
            <w:hideMark/>
          </w:tcPr>
          <w:p w14:paraId="6B4ED4C6" w14:textId="6B8F0108" w:rsidR="002E7BAB" w:rsidRPr="008F64CF" w:rsidRDefault="002E7BAB" w:rsidP="0000332A">
            <w:pPr>
              <w:jc w:val="center"/>
              <w:rPr>
                <w:rFonts w:ascii="Arial Narrow" w:hAnsi="Arial Narrow" w:cs="Times New Roman"/>
                <w:b/>
                <w:bCs/>
                <w:color w:val="FFFFFF" w:themeColor="background1"/>
                <w:sz w:val="28"/>
                <w:szCs w:val="28"/>
                <w:lang w:val="lv-LV"/>
              </w:rPr>
            </w:pPr>
            <w:r w:rsidRPr="008F64CF">
              <w:rPr>
                <w:rFonts w:ascii="Arial Narrow" w:hAnsi="Arial Narrow" w:cs="Times New Roman"/>
                <w:b/>
                <w:bCs/>
                <w:color w:val="FFFFFF" w:themeColor="background1"/>
                <w:sz w:val="28"/>
                <w:szCs w:val="28"/>
                <w:lang w:val="lv-LV"/>
              </w:rPr>
              <w:t>Kopā</w:t>
            </w:r>
            <w:r w:rsidR="005523A6">
              <w:rPr>
                <w:rFonts w:ascii="Arial Narrow" w:hAnsi="Arial Narrow" w:cs="Times New Roman"/>
                <w:b/>
                <w:bCs/>
                <w:color w:val="FFFFFF" w:themeColor="background1"/>
                <w:sz w:val="28"/>
                <w:szCs w:val="28"/>
                <w:lang w:val="lv-LV"/>
              </w:rPr>
              <w:t xml:space="preserve"> indikatīvi prognozējamā izmaksa līdz 5 gadu laikā</w:t>
            </w:r>
            <w:r w:rsidRPr="008F64CF">
              <w:rPr>
                <w:rFonts w:ascii="Arial Narrow" w:hAnsi="Arial Narrow" w:cs="Times New Roman"/>
                <w:b/>
                <w:bCs/>
                <w:color w:val="FFFFFF" w:themeColor="background1"/>
                <w:sz w:val="28"/>
                <w:szCs w:val="28"/>
                <w:lang w:val="lv-LV"/>
              </w:rPr>
              <w:t>:</w:t>
            </w:r>
          </w:p>
        </w:tc>
      </w:tr>
      <w:tr w:rsidR="002E7BAB" w:rsidRPr="008F64CF" w14:paraId="2CB4BCE9" w14:textId="77777777" w:rsidTr="000A4127">
        <w:trPr>
          <w:trHeight w:val="300"/>
        </w:trPr>
        <w:tc>
          <w:tcPr>
            <w:tcW w:w="13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0AA222" w14:textId="77777777"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Augusts</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FAE119" w14:textId="38C40789"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570 250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A418A" w14:textId="6CE1C3CF"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5 652 578</w:t>
            </w:r>
          </w:p>
        </w:tc>
        <w:tc>
          <w:tcPr>
            <w:tcW w:w="36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D13396" w14:textId="77777777"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6 222 828</w:t>
            </w:r>
          </w:p>
        </w:tc>
      </w:tr>
      <w:tr w:rsidR="002E7BAB" w:rsidRPr="008F64CF" w14:paraId="687552AE" w14:textId="77777777" w:rsidTr="000A4127">
        <w:trPr>
          <w:trHeight w:val="300"/>
        </w:trPr>
        <w:tc>
          <w:tcPr>
            <w:tcW w:w="13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C0120F" w14:textId="77777777"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Septembris</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19400" w14:textId="2908B910"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1 301 545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17B9F1" w14:textId="62C598D9"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6 748 667</w:t>
            </w:r>
          </w:p>
        </w:tc>
        <w:tc>
          <w:tcPr>
            <w:tcW w:w="36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450247" w14:textId="77777777" w:rsidR="002E7BAB" w:rsidRPr="008F64CF" w:rsidRDefault="002E7BAB" w:rsidP="000A4127">
            <w:pPr>
              <w:jc w:val="center"/>
              <w:rPr>
                <w:rFonts w:ascii="Arial Narrow" w:hAnsi="Arial Narrow" w:cs="Times New Roman"/>
                <w:color w:val="000000"/>
                <w:sz w:val="28"/>
                <w:szCs w:val="28"/>
                <w:lang w:val="lv-LV"/>
              </w:rPr>
            </w:pPr>
            <w:r w:rsidRPr="008F64CF">
              <w:rPr>
                <w:rFonts w:ascii="Arial Narrow" w:hAnsi="Arial Narrow" w:cs="Times New Roman"/>
                <w:color w:val="000000"/>
                <w:sz w:val="28"/>
                <w:szCs w:val="28"/>
                <w:lang w:val="lv-LV"/>
              </w:rPr>
              <w:t>8 050 212</w:t>
            </w:r>
          </w:p>
        </w:tc>
      </w:tr>
      <w:tr w:rsidR="002E7BAB" w:rsidRPr="00C240F4" w14:paraId="0D989AFE" w14:textId="77777777" w:rsidTr="000A4127">
        <w:trPr>
          <w:trHeight w:val="300"/>
        </w:trPr>
        <w:tc>
          <w:tcPr>
            <w:tcW w:w="13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F1C4D5" w14:textId="77777777" w:rsidR="002E7BAB" w:rsidRPr="00C240F4" w:rsidRDefault="002E7BAB" w:rsidP="000A4127">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Oktobris</w:t>
            </w:r>
          </w:p>
        </w:tc>
        <w:tc>
          <w:tcPr>
            <w:tcW w:w="2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19279A" w14:textId="51859A0B" w:rsidR="002E7BAB" w:rsidRPr="00C240F4" w:rsidRDefault="002E7BAB" w:rsidP="000A4127">
            <w:pPr>
              <w:jc w:val="center"/>
              <w:rPr>
                <w:rFonts w:ascii="Arial Narrow" w:hAnsi="Arial Narrow" w:cs="Times New Roman"/>
                <w:color w:val="000000"/>
                <w:sz w:val="28"/>
                <w:szCs w:val="28"/>
              </w:rPr>
            </w:pPr>
            <w:r w:rsidRPr="00C240F4">
              <w:rPr>
                <w:rFonts w:ascii="Arial Narrow" w:hAnsi="Arial Narrow" w:cs="Times New Roman"/>
                <w:sz w:val="28"/>
                <w:szCs w:val="28"/>
              </w:rPr>
              <w:t>343 226</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10FB1E" w14:textId="0D737057" w:rsidR="002E7BAB" w:rsidRPr="00C240F4" w:rsidRDefault="002E7BAB" w:rsidP="000A4127">
            <w:pPr>
              <w:jc w:val="center"/>
              <w:rPr>
                <w:rFonts w:ascii="Arial Narrow" w:hAnsi="Arial Narrow" w:cs="Times New Roman"/>
                <w:color w:val="000000"/>
                <w:sz w:val="28"/>
                <w:szCs w:val="28"/>
              </w:rPr>
            </w:pPr>
            <w:r w:rsidRPr="00C240F4">
              <w:rPr>
                <w:rFonts w:ascii="Arial Narrow" w:hAnsi="Arial Narrow" w:cs="Times New Roman"/>
                <w:sz w:val="28"/>
                <w:szCs w:val="28"/>
              </w:rPr>
              <w:t>1 195 749</w:t>
            </w:r>
          </w:p>
        </w:tc>
        <w:tc>
          <w:tcPr>
            <w:tcW w:w="36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E5BE7" w14:textId="77777777" w:rsidR="002E7BAB" w:rsidRPr="00C240F4" w:rsidRDefault="002E7BAB" w:rsidP="000A4127">
            <w:pPr>
              <w:jc w:val="center"/>
              <w:rPr>
                <w:rFonts w:ascii="Arial Narrow" w:hAnsi="Arial Narrow" w:cs="Times New Roman"/>
                <w:color w:val="000000"/>
                <w:sz w:val="28"/>
                <w:szCs w:val="28"/>
              </w:rPr>
            </w:pPr>
            <w:r w:rsidRPr="00C240F4">
              <w:rPr>
                <w:rFonts w:ascii="Arial Narrow" w:hAnsi="Arial Narrow" w:cs="Times New Roman"/>
                <w:sz w:val="28"/>
                <w:szCs w:val="28"/>
              </w:rPr>
              <w:t>1 538 975</w:t>
            </w:r>
          </w:p>
        </w:tc>
      </w:tr>
      <w:tr w:rsidR="002E7BAB" w:rsidRPr="00C240F4" w14:paraId="2C3DBF59" w14:textId="77777777" w:rsidTr="000A4127">
        <w:trPr>
          <w:trHeight w:val="300"/>
        </w:trPr>
        <w:tc>
          <w:tcPr>
            <w:tcW w:w="1378"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27EAF3B" w14:textId="77777777" w:rsidR="002E7BAB" w:rsidRPr="00C240F4" w:rsidRDefault="002E7BAB" w:rsidP="000A4127">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Kopā:</w:t>
            </w:r>
          </w:p>
        </w:tc>
        <w:tc>
          <w:tcPr>
            <w:tcW w:w="2616"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11543AC" w14:textId="77777777" w:rsidR="002E7BAB" w:rsidRPr="00C240F4" w:rsidRDefault="002E7BAB" w:rsidP="000A4127">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2 215 021</w:t>
            </w:r>
          </w:p>
        </w:tc>
        <w:tc>
          <w:tcPr>
            <w:tcW w:w="2268"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67D20422" w14:textId="77777777" w:rsidR="002E7BAB" w:rsidRPr="00C240F4" w:rsidRDefault="002E7BAB" w:rsidP="000A4127">
            <w:p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13 596 994</w:t>
            </w:r>
          </w:p>
        </w:tc>
        <w:tc>
          <w:tcPr>
            <w:tcW w:w="3654"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7EF586B5" w14:textId="77777777" w:rsidR="002E7BAB" w:rsidRPr="00C240F4" w:rsidRDefault="002E7BAB" w:rsidP="000A4127">
            <w:pPr>
              <w:pStyle w:val="ListParagraph"/>
              <w:numPr>
                <w:ilvl w:val="0"/>
                <w:numId w:val="3"/>
              </w:numPr>
              <w:jc w:val="center"/>
              <w:rPr>
                <w:rFonts w:ascii="Arial Narrow" w:hAnsi="Arial Narrow" w:cs="Times New Roman"/>
                <w:b/>
                <w:bCs/>
                <w:color w:val="000000"/>
                <w:sz w:val="28"/>
                <w:szCs w:val="28"/>
              </w:rPr>
            </w:pPr>
            <w:r w:rsidRPr="00C240F4">
              <w:rPr>
                <w:rFonts w:ascii="Arial Narrow" w:hAnsi="Arial Narrow" w:cs="Times New Roman"/>
                <w:b/>
                <w:bCs/>
                <w:color w:val="000000"/>
                <w:sz w:val="28"/>
                <w:szCs w:val="28"/>
              </w:rPr>
              <w:t>812 015</w:t>
            </w:r>
          </w:p>
        </w:tc>
      </w:tr>
    </w:tbl>
    <w:p w14:paraId="57E27AE5" w14:textId="77777777" w:rsidR="00023668" w:rsidRPr="00C240F4" w:rsidRDefault="00023668" w:rsidP="00023668">
      <w:pPr>
        <w:ind w:firstLine="720"/>
        <w:jc w:val="both"/>
        <w:rPr>
          <w:rFonts w:ascii="Arial Narrow" w:hAnsi="Arial Narrow" w:cs="Times New Roman"/>
          <w:sz w:val="28"/>
          <w:szCs w:val="28"/>
          <w:lang w:val="lv-LV"/>
        </w:rPr>
      </w:pPr>
    </w:p>
    <w:p w14:paraId="046E08BB" w14:textId="7DC4A38D" w:rsidR="00AC228E" w:rsidRDefault="003502E8" w:rsidP="00464CC6">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Vidēja</w:t>
      </w:r>
      <w:r w:rsidR="00D602F3" w:rsidRPr="00C240F4">
        <w:rPr>
          <w:rFonts w:ascii="Arial Narrow" w:hAnsi="Arial Narrow" w:cs="Times New Roman"/>
          <w:sz w:val="28"/>
          <w:szCs w:val="28"/>
          <w:lang w:val="lv-LV"/>
        </w:rPr>
        <w:t>is</w:t>
      </w:r>
      <w:r w:rsidRPr="00C240F4">
        <w:rPr>
          <w:rFonts w:ascii="Arial Narrow" w:hAnsi="Arial Narrow" w:cs="Times New Roman"/>
          <w:sz w:val="28"/>
          <w:szCs w:val="28"/>
          <w:lang w:val="lv-LV"/>
        </w:rPr>
        <w:t xml:space="preserve"> studiju kredīt</w:t>
      </w:r>
      <w:r w:rsidR="00D602F3" w:rsidRPr="00C240F4">
        <w:rPr>
          <w:rFonts w:ascii="Arial Narrow" w:hAnsi="Arial Narrow" w:cs="Times New Roman"/>
          <w:sz w:val="28"/>
          <w:szCs w:val="28"/>
          <w:lang w:val="lv-LV"/>
        </w:rPr>
        <w:t>a apmērs</w:t>
      </w:r>
      <w:r w:rsidRPr="00C240F4">
        <w:rPr>
          <w:rFonts w:ascii="Arial Narrow" w:hAnsi="Arial Narrow" w:cs="Times New Roman"/>
          <w:sz w:val="28"/>
          <w:szCs w:val="28"/>
          <w:lang w:val="lv-LV"/>
        </w:rPr>
        <w:t xml:space="preserve"> šobrīd </w:t>
      </w:r>
      <w:r w:rsidR="00D602F3" w:rsidRPr="00C240F4">
        <w:rPr>
          <w:rFonts w:ascii="Arial Narrow" w:hAnsi="Arial Narrow" w:cs="Times New Roman"/>
          <w:sz w:val="28"/>
          <w:szCs w:val="28"/>
          <w:lang w:val="lv-LV"/>
        </w:rPr>
        <w:t xml:space="preserve">sasniedz </w:t>
      </w:r>
      <w:r w:rsidRPr="00C240F4">
        <w:rPr>
          <w:rFonts w:ascii="Arial Narrow" w:hAnsi="Arial Narrow" w:cs="Times New Roman"/>
          <w:sz w:val="28"/>
          <w:szCs w:val="28"/>
          <w:lang w:val="lv-LV"/>
        </w:rPr>
        <w:t>6 878 euro, studējoš</w:t>
      </w:r>
      <w:r w:rsidR="00D602F3" w:rsidRPr="00C240F4">
        <w:rPr>
          <w:rFonts w:ascii="Arial Narrow" w:hAnsi="Arial Narrow" w:cs="Times New Roman"/>
          <w:sz w:val="28"/>
          <w:szCs w:val="28"/>
          <w:lang w:val="lv-LV"/>
        </w:rPr>
        <w:t>ā</w:t>
      </w:r>
      <w:r w:rsidRPr="00C240F4">
        <w:rPr>
          <w:rFonts w:ascii="Arial Narrow" w:hAnsi="Arial Narrow" w:cs="Times New Roman"/>
          <w:sz w:val="28"/>
          <w:szCs w:val="28"/>
          <w:lang w:val="lv-LV"/>
        </w:rPr>
        <w:t xml:space="preserve"> kredīta</w:t>
      </w:r>
      <w:r w:rsidR="00D602F3" w:rsidRPr="00C240F4">
        <w:rPr>
          <w:rFonts w:ascii="Arial Narrow" w:hAnsi="Arial Narrow" w:cs="Times New Roman"/>
          <w:sz w:val="28"/>
          <w:szCs w:val="28"/>
          <w:lang w:val="lv-LV"/>
        </w:rPr>
        <w:t xml:space="preserve"> - </w:t>
      </w:r>
      <w:r w:rsidRPr="00C240F4">
        <w:rPr>
          <w:rFonts w:ascii="Arial Narrow" w:hAnsi="Arial Narrow" w:cs="Times New Roman"/>
          <w:sz w:val="28"/>
          <w:szCs w:val="28"/>
          <w:lang w:val="lv-LV"/>
        </w:rPr>
        <w:t>6 311 euro</w:t>
      </w:r>
      <w:r w:rsidR="00180E64" w:rsidRPr="00C240F4">
        <w:rPr>
          <w:rFonts w:ascii="Arial Narrow" w:hAnsi="Arial Narrow" w:cs="Times New Roman"/>
          <w:sz w:val="28"/>
          <w:szCs w:val="28"/>
          <w:lang w:val="lv-LV"/>
        </w:rPr>
        <w:t>, vidēj</w:t>
      </w:r>
      <w:r w:rsidR="00D602F3" w:rsidRPr="00C240F4">
        <w:rPr>
          <w:rFonts w:ascii="Arial Narrow" w:hAnsi="Arial Narrow" w:cs="Times New Roman"/>
          <w:sz w:val="28"/>
          <w:szCs w:val="28"/>
          <w:lang w:val="lv-LV"/>
        </w:rPr>
        <w:t xml:space="preserve">ā </w:t>
      </w:r>
      <w:r w:rsidR="00180E64" w:rsidRPr="00C240F4">
        <w:rPr>
          <w:rFonts w:ascii="Arial Narrow" w:hAnsi="Arial Narrow" w:cs="Times New Roman"/>
          <w:sz w:val="28"/>
          <w:szCs w:val="28"/>
          <w:lang w:val="lv-LV"/>
        </w:rPr>
        <w:t>kredīta</w:t>
      </w:r>
      <w:r w:rsidR="00D602F3" w:rsidRPr="00C240F4">
        <w:rPr>
          <w:rFonts w:ascii="Arial Narrow" w:hAnsi="Arial Narrow" w:cs="Times New Roman"/>
          <w:sz w:val="28"/>
          <w:szCs w:val="28"/>
          <w:lang w:val="lv-LV"/>
        </w:rPr>
        <w:t xml:space="preserve"> apmērs sasniedz</w:t>
      </w:r>
      <w:r w:rsidR="00180E64" w:rsidRPr="00C240F4">
        <w:rPr>
          <w:rFonts w:ascii="Arial Narrow" w:hAnsi="Arial Narrow" w:cs="Times New Roman"/>
          <w:sz w:val="28"/>
          <w:szCs w:val="28"/>
          <w:lang w:val="lv-LV"/>
        </w:rPr>
        <w:t xml:space="preserve"> 6 792 euro</w:t>
      </w:r>
      <w:r w:rsidRPr="00C240F4">
        <w:rPr>
          <w:rFonts w:ascii="Arial Narrow" w:hAnsi="Arial Narrow" w:cs="Times New Roman"/>
          <w:sz w:val="28"/>
          <w:szCs w:val="28"/>
          <w:lang w:val="lv-LV"/>
        </w:rPr>
        <w:t>.</w:t>
      </w:r>
      <w:r w:rsidR="00180E64" w:rsidRPr="00C240F4">
        <w:rPr>
          <w:rFonts w:ascii="Arial Narrow" w:hAnsi="Arial Narrow" w:cs="Times New Roman"/>
          <w:sz w:val="28"/>
          <w:szCs w:val="28"/>
          <w:lang w:val="lv-LV"/>
        </w:rPr>
        <w:t xml:space="preserve"> Salīdzinot ar iepriekšēj</w:t>
      </w:r>
      <w:r w:rsidR="00D602F3" w:rsidRPr="00C240F4">
        <w:rPr>
          <w:rFonts w:ascii="Arial Narrow" w:hAnsi="Arial Narrow" w:cs="Times New Roman"/>
          <w:sz w:val="28"/>
          <w:szCs w:val="28"/>
          <w:lang w:val="lv-LV"/>
        </w:rPr>
        <w:t>iem gadiem</w:t>
      </w:r>
      <w:r w:rsidR="00180E64" w:rsidRPr="00C240F4">
        <w:rPr>
          <w:rFonts w:ascii="Arial Narrow" w:hAnsi="Arial Narrow" w:cs="Times New Roman"/>
          <w:sz w:val="28"/>
          <w:szCs w:val="28"/>
          <w:lang w:val="lv-LV"/>
        </w:rPr>
        <w:t xml:space="preserve">, ir pieaudzis pieteikumu skaits </w:t>
      </w:r>
      <w:r w:rsidR="00D602F3" w:rsidRPr="00C240F4">
        <w:rPr>
          <w:rFonts w:ascii="Arial Narrow" w:hAnsi="Arial Narrow" w:cs="Times New Roman"/>
          <w:sz w:val="28"/>
          <w:szCs w:val="28"/>
          <w:lang w:val="lv-LV"/>
        </w:rPr>
        <w:t xml:space="preserve">studijām </w:t>
      </w:r>
      <w:r w:rsidR="00180E64" w:rsidRPr="00C240F4">
        <w:rPr>
          <w:rFonts w:ascii="Arial Narrow" w:hAnsi="Arial Narrow" w:cs="Times New Roman"/>
          <w:sz w:val="28"/>
          <w:szCs w:val="28"/>
          <w:lang w:val="lv-LV"/>
        </w:rPr>
        <w:t>dārgākā</w:t>
      </w:r>
      <w:r w:rsidR="00D602F3" w:rsidRPr="00C240F4">
        <w:rPr>
          <w:rFonts w:ascii="Arial Narrow" w:hAnsi="Arial Narrow" w:cs="Times New Roman"/>
          <w:sz w:val="28"/>
          <w:szCs w:val="28"/>
          <w:lang w:val="lv-LV"/>
        </w:rPr>
        <w:t>s</w:t>
      </w:r>
      <w:r w:rsidR="00180E64" w:rsidRPr="00C240F4">
        <w:rPr>
          <w:rFonts w:ascii="Arial Narrow" w:hAnsi="Arial Narrow" w:cs="Times New Roman"/>
          <w:sz w:val="28"/>
          <w:szCs w:val="28"/>
          <w:lang w:val="lv-LV"/>
        </w:rPr>
        <w:t xml:space="preserve"> augstskolā</w:t>
      </w:r>
      <w:r w:rsidR="00D602F3" w:rsidRPr="00C240F4">
        <w:rPr>
          <w:rFonts w:ascii="Arial Narrow" w:hAnsi="Arial Narrow" w:cs="Times New Roman"/>
          <w:sz w:val="28"/>
          <w:szCs w:val="28"/>
          <w:lang w:val="lv-LV"/>
        </w:rPr>
        <w:t xml:space="preserve">s </w:t>
      </w:r>
      <w:r w:rsidR="00180E64" w:rsidRPr="00C240F4">
        <w:rPr>
          <w:rFonts w:ascii="Arial Narrow" w:hAnsi="Arial Narrow" w:cs="Times New Roman"/>
          <w:sz w:val="28"/>
          <w:szCs w:val="28"/>
          <w:lang w:val="lv-LV"/>
        </w:rPr>
        <w:t>- RSU, Banku augstskola.</w:t>
      </w:r>
      <w:r w:rsidRPr="00C240F4">
        <w:rPr>
          <w:rFonts w:ascii="Arial Narrow" w:hAnsi="Arial Narrow" w:cs="Times New Roman"/>
          <w:sz w:val="28"/>
          <w:szCs w:val="28"/>
          <w:lang w:val="lv-LV"/>
        </w:rPr>
        <w:t xml:space="preserve"> </w:t>
      </w:r>
    </w:p>
    <w:p w14:paraId="0ED3457C" w14:textId="2F9012BD" w:rsidR="009877D8" w:rsidRDefault="00C700F6" w:rsidP="00C700F6">
      <w:pPr>
        <w:ind w:firstLine="720"/>
        <w:jc w:val="both"/>
        <w:rPr>
          <w:rFonts w:ascii="Arial Narrow" w:hAnsi="Arial Narrow" w:cs="Times New Roman"/>
          <w:sz w:val="28"/>
          <w:szCs w:val="28"/>
          <w:lang w:val="lv-LV"/>
        </w:rPr>
      </w:pPr>
      <w:r>
        <w:rPr>
          <w:rFonts w:ascii="Arial Narrow" w:hAnsi="Arial Narrow" w:cs="Times New Roman"/>
          <w:sz w:val="28"/>
          <w:szCs w:val="28"/>
          <w:lang w:val="lv-LV"/>
        </w:rPr>
        <w:t xml:space="preserve">Norādītais līgumu skaits- 2 328 kredītu- ir jau noslēgtie līgumi. Savukārt Tabulā Nr. 4 norādītā summa 15,8 milj. </w:t>
      </w:r>
      <w:r w:rsidRPr="00C700F6">
        <w:rPr>
          <w:rFonts w:ascii="Arial Narrow" w:hAnsi="Arial Narrow" w:cs="Times New Roman"/>
          <w:i/>
          <w:sz w:val="28"/>
          <w:szCs w:val="28"/>
          <w:lang w:val="lv-LV"/>
        </w:rPr>
        <w:t>euro</w:t>
      </w:r>
      <w:r>
        <w:rPr>
          <w:rFonts w:ascii="Arial Narrow" w:hAnsi="Arial Narrow" w:cs="Times New Roman"/>
          <w:sz w:val="28"/>
          <w:szCs w:val="28"/>
          <w:lang w:val="lv-LV"/>
        </w:rPr>
        <w:t xml:space="preserve"> ir </w:t>
      </w:r>
      <w:r w:rsidR="004155B6">
        <w:rPr>
          <w:rFonts w:ascii="Arial Narrow" w:hAnsi="Arial Narrow" w:cs="Times New Roman"/>
          <w:sz w:val="28"/>
          <w:szCs w:val="28"/>
          <w:lang w:val="lv-LV"/>
        </w:rPr>
        <w:t>indikatīvi</w:t>
      </w:r>
      <w:r>
        <w:rPr>
          <w:rFonts w:ascii="Arial Narrow" w:hAnsi="Arial Narrow" w:cs="Times New Roman"/>
          <w:sz w:val="28"/>
          <w:szCs w:val="28"/>
          <w:lang w:val="lv-LV"/>
        </w:rPr>
        <w:t xml:space="preserve"> prognozējamā izmaksa pēc šiem līgumiem</w:t>
      </w:r>
      <w:r w:rsidR="004155B6">
        <w:rPr>
          <w:rFonts w:ascii="Arial Narrow" w:hAnsi="Arial Narrow" w:cs="Times New Roman"/>
          <w:sz w:val="28"/>
          <w:szCs w:val="28"/>
          <w:lang w:val="lv-LV"/>
        </w:rPr>
        <w:t xml:space="preserve"> visā studiju periodā (3-5 gadi)</w:t>
      </w:r>
      <w:r>
        <w:rPr>
          <w:rFonts w:ascii="Arial Narrow" w:hAnsi="Arial Narrow" w:cs="Times New Roman"/>
          <w:sz w:val="28"/>
          <w:szCs w:val="28"/>
          <w:lang w:val="lv-LV"/>
        </w:rPr>
        <w:t xml:space="preserve">, ja būs </w:t>
      </w:r>
      <w:r w:rsidR="009C70F2">
        <w:rPr>
          <w:rFonts w:ascii="Arial Narrow" w:hAnsi="Arial Narrow" w:cs="Times New Roman"/>
          <w:sz w:val="28"/>
          <w:szCs w:val="28"/>
          <w:lang w:val="lv-LV"/>
        </w:rPr>
        <w:t>pieejams riska segums</w:t>
      </w:r>
      <w:r w:rsidR="004155B6">
        <w:rPr>
          <w:rFonts w:ascii="Arial Narrow" w:hAnsi="Arial Narrow" w:cs="Times New Roman"/>
          <w:sz w:val="28"/>
          <w:szCs w:val="28"/>
          <w:lang w:val="lv-LV"/>
        </w:rPr>
        <w:t xml:space="preserve"> atbilstoši </w:t>
      </w:r>
      <w:r w:rsidR="004155B6" w:rsidRPr="004155B6">
        <w:rPr>
          <w:rFonts w:ascii="Arial Narrow" w:hAnsi="Arial Narrow" w:cs="Times New Roman"/>
          <w:sz w:val="28"/>
          <w:szCs w:val="28"/>
          <w:lang w:val="lv-LV"/>
        </w:rPr>
        <w:t>likumam “Par vidēja termiņa budžeta ietvaru 2020., 2021. un 2022. gadam”)</w:t>
      </w:r>
      <w:r>
        <w:rPr>
          <w:rFonts w:ascii="Arial Narrow" w:hAnsi="Arial Narrow" w:cs="Times New Roman"/>
          <w:sz w:val="28"/>
          <w:szCs w:val="28"/>
          <w:lang w:val="lv-LV"/>
        </w:rPr>
        <w:t xml:space="preserve">. </w:t>
      </w:r>
    </w:p>
    <w:p w14:paraId="6E29287F" w14:textId="2337904D" w:rsidR="004410D4" w:rsidRDefault="004410D4" w:rsidP="00C700F6">
      <w:pPr>
        <w:ind w:firstLine="720"/>
        <w:jc w:val="both"/>
        <w:rPr>
          <w:rFonts w:ascii="Arial Narrow" w:hAnsi="Arial Narrow" w:cs="Times New Roman"/>
          <w:sz w:val="28"/>
          <w:szCs w:val="28"/>
          <w:lang w:val="lv-LV"/>
        </w:rPr>
      </w:pPr>
      <w:r w:rsidRPr="00CB25F2">
        <w:rPr>
          <w:rFonts w:ascii="Arial Narrow" w:hAnsi="Arial Narrow" w:cs="Times New Roman"/>
          <w:sz w:val="28"/>
          <w:szCs w:val="28"/>
          <w:lang w:val="lv-LV"/>
        </w:rPr>
        <w:t xml:space="preserve">Banka izsniedz un Altum garantē studentu kredītus atbilstoši vidēja termiņa budžetā paredzētajam programmas finansējumam (2020.gadā 731 250 </w:t>
      </w:r>
      <w:r w:rsidRPr="00CB25F2">
        <w:rPr>
          <w:rFonts w:ascii="Arial Narrow" w:hAnsi="Arial Narrow" w:cs="Times New Roman"/>
          <w:i/>
          <w:sz w:val="28"/>
          <w:szCs w:val="28"/>
          <w:lang w:val="lv-LV"/>
        </w:rPr>
        <w:t>euro</w:t>
      </w:r>
      <w:r w:rsidRPr="00CB25F2">
        <w:rPr>
          <w:rFonts w:ascii="Arial Narrow" w:hAnsi="Arial Narrow" w:cs="Times New Roman"/>
          <w:sz w:val="28"/>
          <w:szCs w:val="28"/>
          <w:lang w:val="lv-LV"/>
        </w:rPr>
        <w:t xml:space="preserve">, 2021.gadā 1 462 500 </w:t>
      </w:r>
      <w:r w:rsidRPr="00CB25F2">
        <w:rPr>
          <w:rFonts w:ascii="Arial Narrow" w:hAnsi="Arial Narrow" w:cs="Times New Roman"/>
          <w:i/>
          <w:sz w:val="28"/>
          <w:szCs w:val="28"/>
          <w:lang w:val="lv-LV"/>
        </w:rPr>
        <w:t>euro</w:t>
      </w:r>
      <w:r w:rsidRPr="00CB25F2">
        <w:rPr>
          <w:rFonts w:ascii="Arial Narrow" w:hAnsi="Arial Narrow" w:cs="Times New Roman"/>
          <w:sz w:val="28"/>
          <w:szCs w:val="28"/>
          <w:lang w:val="lv-LV"/>
        </w:rPr>
        <w:t xml:space="preserve">, 2022.gadā 2 193 </w:t>
      </w:r>
      <w:r w:rsidRPr="00CB25F2">
        <w:rPr>
          <w:rFonts w:ascii="Arial Narrow" w:hAnsi="Arial Narrow" w:cs="Times New Roman"/>
          <w:i/>
          <w:sz w:val="28"/>
          <w:szCs w:val="28"/>
          <w:lang w:val="lv-LV"/>
        </w:rPr>
        <w:t>euro</w:t>
      </w:r>
      <w:r w:rsidRPr="00CB25F2">
        <w:rPr>
          <w:rFonts w:ascii="Arial Narrow" w:hAnsi="Arial Narrow" w:cs="Times New Roman"/>
          <w:sz w:val="28"/>
          <w:szCs w:val="28"/>
          <w:lang w:val="lv-LV"/>
        </w:rPr>
        <w:t xml:space="preserve">), kas ļauj kredītus izsniegt 2020.gadā 3 250 000 </w:t>
      </w:r>
      <w:r w:rsidRPr="00CB25F2">
        <w:rPr>
          <w:rFonts w:ascii="Arial Narrow" w:hAnsi="Arial Narrow" w:cs="Times New Roman"/>
          <w:i/>
          <w:sz w:val="28"/>
          <w:szCs w:val="28"/>
          <w:lang w:val="lv-LV"/>
        </w:rPr>
        <w:t xml:space="preserve">euro </w:t>
      </w:r>
      <w:r w:rsidRPr="00CB25F2">
        <w:rPr>
          <w:rFonts w:ascii="Arial Narrow" w:hAnsi="Arial Narrow" w:cs="Times New Roman"/>
          <w:sz w:val="28"/>
          <w:szCs w:val="28"/>
          <w:lang w:val="lv-LV"/>
        </w:rPr>
        <w:t xml:space="preserve">apmērā, 2021.gadā 6 650 000 </w:t>
      </w:r>
      <w:r w:rsidRPr="00CB25F2">
        <w:rPr>
          <w:rFonts w:ascii="Arial Narrow" w:hAnsi="Arial Narrow" w:cs="Times New Roman"/>
          <w:i/>
          <w:sz w:val="28"/>
          <w:szCs w:val="28"/>
          <w:lang w:val="lv-LV"/>
        </w:rPr>
        <w:t xml:space="preserve">euro </w:t>
      </w:r>
      <w:r w:rsidRPr="00CB25F2">
        <w:rPr>
          <w:rFonts w:ascii="Arial Narrow" w:hAnsi="Arial Narrow" w:cs="Times New Roman"/>
          <w:sz w:val="28"/>
          <w:szCs w:val="28"/>
          <w:lang w:val="lv-LV"/>
        </w:rPr>
        <w:t xml:space="preserve">apmērā, 2022.gadā 9 750 000 </w:t>
      </w:r>
      <w:r w:rsidRPr="00CB25F2">
        <w:rPr>
          <w:rFonts w:ascii="Arial Narrow" w:hAnsi="Arial Narrow" w:cs="Times New Roman"/>
          <w:i/>
          <w:sz w:val="28"/>
          <w:szCs w:val="28"/>
          <w:lang w:val="lv-LV"/>
        </w:rPr>
        <w:t xml:space="preserve">euro </w:t>
      </w:r>
      <w:r w:rsidRPr="00CB25F2">
        <w:rPr>
          <w:rFonts w:ascii="Arial Narrow" w:hAnsi="Arial Narrow" w:cs="Times New Roman"/>
          <w:sz w:val="28"/>
          <w:szCs w:val="28"/>
          <w:lang w:val="lv-LV"/>
        </w:rPr>
        <w:t>apmērā (saskaņā ar konceptuālā ziņojuma 7.tabulu). Altum uzņemas saistības tikai par konkrētajā kalendārā gadā izsniegtajiem kredītiem atbilstoši programmas īstenošanai piešķirtajam finansējumam, nevis par turpmākajos gados plānoto kredītu izsniegšanu. Ja teorētiski banka</w:t>
      </w:r>
      <w:r w:rsidR="004155B6">
        <w:rPr>
          <w:rFonts w:ascii="Arial Narrow" w:hAnsi="Arial Narrow" w:cs="Times New Roman"/>
          <w:sz w:val="28"/>
          <w:szCs w:val="28"/>
          <w:lang w:val="lv-LV"/>
        </w:rPr>
        <w:t>s</w:t>
      </w:r>
      <w:r w:rsidRPr="00CB25F2">
        <w:rPr>
          <w:rFonts w:ascii="Arial Narrow" w:hAnsi="Arial Narrow" w:cs="Times New Roman"/>
          <w:sz w:val="28"/>
          <w:szCs w:val="28"/>
          <w:lang w:val="lv-LV"/>
        </w:rPr>
        <w:t xml:space="preserve"> izsniegtu kredītus </w:t>
      </w:r>
      <w:r w:rsidRPr="00CB25F2">
        <w:rPr>
          <w:rFonts w:ascii="Arial Narrow" w:hAnsi="Arial Narrow" w:cs="Times New Roman"/>
          <w:sz w:val="28"/>
          <w:szCs w:val="28"/>
          <w:lang w:val="lv-LV"/>
        </w:rPr>
        <w:lastRenderedPageBreak/>
        <w:t xml:space="preserve">lielākā apjomā nekā programmai paredzēts finansējums, Altum saistības būtu spēkā tikai pieejamā finansējuma apmērā. 2020.gadā </w:t>
      </w:r>
      <w:r w:rsidR="004155B6">
        <w:rPr>
          <w:rFonts w:ascii="Arial Narrow" w:hAnsi="Arial Narrow" w:cs="Times New Roman"/>
          <w:sz w:val="28"/>
          <w:szCs w:val="28"/>
          <w:lang w:val="lv-LV"/>
        </w:rPr>
        <w:t xml:space="preserve">netiks pārsniegts atbilstoši </w:t>
      </w:r>
      <w:r w:rsidR="004155B6" w:rsidRPr="00C240F4">
        <w:rPr>
          <w:rFonts w:ascii="Arial Narrow" w:hAnsi="Arial Narrow" w:cs="Times New Roman"/>
          <w:sz w:val="28"/>
          <w:szCs w:val="28"/>
          <w:lang w:val="lv-LV"/>
        </w:rPr>
        <w:t xml:space="preserve">likumam “Par valsts budžetu 2020.gadam” </w:t>
      </w:r>
      <w:r w:rsidRPr="00CB25F2">
        <w:rPr>
          <w:rFonts w:ascii="Arial Narrow" w:hAnsi="Arial Narrow" w:cs="Times New Roman"/>
          <w:sz w:val="28"/>
          <w:szCs w:val="28"/>
          <w:lang w:val="lv-LV"/>
        </w:rPr>
        <w:t>maksimāli iespējam</w:t>
      </w:r>
      <w:r w:rsidR="004155B6">
        <w:rPr>
          <w:rFonts w:ascii="Arial Narrow" w:hAnsi="Arial Narrow" w:cs="Times New Roman"/>
          <w:sz w:val="28"/>
          <w:szCs w:val="28"/>
          <w:lang w:val="lv-LV"/>
        </w:rPr>
        <w:t>ais</w:t>
      </w:r>
      <w:r w:rsidRPr="00CB25F2">
        <w:rPr>
          <w:rFonts w:ascii="Arial Narrow" w:hAnsi="Arial Narrow" w:cs="Times New Roman"/>
          <w:sz w:val="28"/>
          <w:szCs w:val="28"/>
          <w:lang w:val="lv-LV"/>
        </w:rPr>
        <w:t xml:space="preserve"> </w:t>
      </w:r>
      <w:r w:rsidR="004155B6">
        <w:rPr>
          <w:rFonts w:ascii="Arial Narrow" w:hAnsi="Arial Narrow" w:cs="Times New Roman"/>
          <w:sz w:val="28"/>
          <w:szCs w:val="28"/>
          <w:lang w:val="lv-LV"/>
        </w:rPr>
        <w:t xml:space="preserve">kredītu </w:t>
      </w:r>
      <w:r w:rsidRPr="00CB25F2">
        <w:rPr>
          <w:rFonts w:ascii="Arial Narrow" w:hAnsi="Arial Narrow" w:cs="Times New Roman"/>
          <w:sz w:val="28"/>
          <w:szCs w:val="28"/>
          <w:lang w:val="lv-LV"/>
        </w:rPr>
        <w:t>apjom</w:t>
      </w:r>
      <w:r w:rsidR="004155B6">
        <w:rPr>
          <w:rFonts w:ascii="Arial Narrow" w:hAnsi="Arial Narrow" w:cs="Times New Roman"/>
          <w:sz w:val="28"/>
          <w:szCs w:val="28"/>
          <w:lang w:val="lv-LV"/>
        </w:rPr>
        <w:t>s</w:t>
      </w:r>
      <w:r w:rsidRPr="00CB25F2">
        <w:rPr>
          <w:rFonts w:ascii="Arial Narrow" w:hAnsi="Arial Narrow" w:cs="Times New Roman"/>
          <w:sz w:val="28"/>
          <w:szCs w:val="28"/>
          <w:lang w:val="lv-LV"/>
        </w:rPr>
        <w:t>, jo izsniegšana ir sākusies 12.augustā, nevis 1.aprīlī, kā sākotnēji plānots. Arī nākamajos gados banka</w:t>
      </w:r>
      <w:r w:rsidR="004155B6">
        <w:rPr>
          <w:rFonts w:ascii="Arial Narrow" w:hAnsi="Arial Narrow" w:cs="Times New Roman"/>
          <w:sz w:val="28"/>
          <w:szCs w:val="28"/>
          <w:lang w:val="lv-LV"/>
        </w:rPr>
        <w:t>s</w:t>
      </w:r>
      <w:r w:rsidRPr="00CB25F2">
        <w:rPr>
          <w:rFonts w:ascii="Arial Narrow" w:hAnsi="Arial Narrow" w:cs="Times New Roman"/>
          <w:sz w:val="28"/>
          <w:szCs w:val="28"/>
          <w:lang w:val="lv-LV"/>
        </w:rPr>
        <w:t xml:space="preserve"> izsniegs un Altum garantēs kredītus atbilstoši Altum piešķirtajam programmas finansējumam.</w:t>
      </w:r>
      <w:r w:rsidRPr="004410D4">
        <w:rPr>
          <w:rFonts w:ascii="Arial Narrow" w:hAnsi="Arial Narrow" w:cs="Times New Roman"/>
          <w:sz w:val="28"/>
          <w:szCs w:val="28"/>
          <w:lang w:val="lv-LV"/>
        </w:rPr>
        <w:t xml:space="preserve"> </w:t>
      </w:r>
    </w:p>
    <w:p w14:paraId="3A7D7E71" w14:textId="1AC5E559" w:rsidR="009C70F2" w:rsidRDefault="009C70F2" w:rsidP="00C700F6">
      <w:pPr>
        <w:ind w:firstLine="720"/>
        <w:jc w:val="both"/>
        <w:rPr>
          <w:rFonts w:ascii="Arial Narrow" w:hAnsi="Arial Narrow" w:cs="Times New Roman"/>
          <w:sz w:val="28"/>
          <w:szCs w:val="28"/>
          <w:lang w:val="lv-LV"/>
        </w:rPr>
      </w:pPr>
      <w:r w:rsidRPr="009C70F2">
        <w:rPr>
          <w:rFonts w:ascii="Arial Narrow" w:hAnsi="Arial Narrow" w:cs="Times New Roman"/>
          <w:sz w:val="28"/>
          <w:szCs w:val="28"/>
          <w:lang w:val="lv-LV"/>
        </w:rPr>
        <w:t>Programmas ieviešana turpmākajos gados iespējama, ja tiks piešķirts vidējā termiņa budžetā par</w:t>
      </w:r>
      <w:r>
        <w:rPr>
          <w:rFonts w:ascii="Arial Narrow" w:hAnsi="Arial Narrow" w:cs="Times New Roman"/>
          <w:sz w:val="28"/>
          <w:szCs w:val="28"/>
          <w:lang w:val="lv-LV"/>
        </w:rPr>
        <w:t>edzētais finansējums</w:t>
      </w:r>
      <w:r w:rsidR="008828AD">
        <w:rPr>
          <w:rFonts w:ascii="Arial Narrow" w:hAnsi="Arial Narrow" w:cs="Times New Roman"/>
          <w:sz w:val="28"/>
          <w:szCs w:val="28"/>
          <w:lang w:val="lv-LV"/>
        </w:rPr>
        <w:t xml:space="preserve"> riska segumam</w:t>
      </w:r>
      <w:r>
        <w:rPr>
          <w:rFonts w:ascii="Arial Narrow" w:hAnsi="Arial Narrow" w:cs="Times New Roman"/>
          <w:sz w:val="28"/>
          <w:szCs w:val="28"/>
          <w:lang w:val="lv-LV"/>
        </w:rPr>
        <w:t>. Ja budžeta finansējums</w:t>
      </w:r>
      <w:r w:rsidRPr="009C70F2">
        <w:rPr>
          <w:rFonts w:ascii="Arial Narrow" w:hAnsi="Arial Narrow" w:cs="Times New Roman"/>
          <w:sz w:val="28"/>
          <w:szCs w:val="28"/>
          <w:lang w:val="lv-LV"/>
        </w:rPr>
        <w:t xml:space="preserve"> netiek piešķirts, programmas ieviešana </w:t>
      </w:r>
      <w:r w:rsidR="004155B6">
        <w:rPr>
          <w:rFonts w:ascii="Arial Narrow" w:hAnsi="Arial Narrow" w:cs="Times New Roman"/>
          <w:sz w:val="28"/>
          <w:szCs w:val="28"/>
          <w:lang w:val="lv-LV"/>
        </w:rPr>
        <w:t xml:space="preserve">un aizdevumu izsniegšana </w:t>
      </w:r>
      <w:r w:rsidRPr="009C70F2">
        <w:rPr>
          <w:rFonts w:ascii="Arial Narrow" w:hAnsi="Arial Narrow" w:cs="Times New Roman"/>
          <w:sz w:val="28"/>
          <w:szCs w:val="28"/>
          <w:lang w:val="lv-LV"/>
        </w:rPr>
        <w:t>tiek pārtraukta.</w:t>
      </w:r>
      <w:r w:rsidR="00C700F6">
        <w:rPr>
          <w:rFonts w:ascii="Arial Narrow" w:hAnsi="Arial Narrow" w:cs="Times New Roman"/>
          <w:sz w:val="28"/>
          <w:szCs w:val="28"/>
          <w:lang w:val="lv-LV"/>
        </w:rPr>
        <w:t xml:space="preserve"> </w:t>
      </w:r>
    </w:p>
    <w:p w14:paraId="05AE0D28" w14:textId="46461E17" w:rsidR="004410D4" w:rsidRDefault="00574315" w:rsidP="008810EF">
      <w:pPr>
        <w:ind w:firstLine="720"/>
        <w:jc w:val="both"/>
        <w:rPr>
          <w:rFonts w:ascii="Arial Narrow" w:hAnsi="Arial Narrow" w:cs="Times New Roman"/>
          <w:sz w:val="28"/>
          <w:szCs w:val="28"/>
          <w:lang w:val="lv-LV"/>
        </w:rPr>
      </w:pPr>
      <w:r w:rsidRPr="00574315">
        <w:rPr>
          <w:rFonts w:ascii="Arial Narrow" w:hAnsi="Arial Narrow" w:cs="Times New Roman"/>
          <w:sz w:val="28"/>
          <w:szCs w:val="28"/>
          <w:lang w:val="lv-LV"/>
        </w:rPr>
        <w:t>Konceptuālajā ziņojumā indikatīvos aprēķinos minētie 13 milj. euro pilnam studiju ciklam nav valsts budžeta saistības, bet gan četros kalendārajos gados minimāli izsniedzamais kredītu apjoms ar programmai plānoto finansējumu un maksimālo ierobežoto garantijas likmi (</w:t>
      </w:r>
      <w:r w:rsidRPr="00FF7403">
        <w:rPr>
          <w:rFonts w:ascii="Arial Narrow" w:hAnsi="Arial Narrow" w:cs="Times New Roman"/>
          <w:i/>
          <w:sz w:val="28"/>
          <w:szCs w:val="28"/>
          <w:lang w:val="lv-LV"/>
        </w:rPr>
        <w:t>cap rate</w:t>
      </w:r>
      <w:r w:rsidRPr="00574315">
        <w:rPr>
          <w:rFonts w:ascii="Arial Narrow" w:hAnsi="Arial Narrow" w:cs="Times New Roman"/>
          <w:sz w:val="28"/>
          <w:szCs w:val="28"/>
          <w:lang w:val="lv-LV"/>
        </w:rPr>
        <w:t>) 25%, bet šis apjoms nav noteikts Budžeta likumā. Altum līgumā ar kredītiestādi ir panākta vienošanās, ka banka uzņemas lielāku risku, kas ļauj izsniegt lielāku kredītu skaitu pret Budžeta likumā noteikto riska seguma apjomu. Turpretī pašlaik kā provizo</w:t>
      </w:r>
      <w:r w:rsidR="00FF7403">
        <w:rPr>
          <w:rFonts w:ascii="Arial Narrow" w:hAnsi="Arial Narrow" w:cs="Times New Roman"/>
          <w:sz w:val="28"/>
          <w:szCs w:val="28"/>
          <w:lang w:val="lv-LV"/>
        </w:rPr>
        <w:t>riski nepieciešamie norādītie 15,8</w:t>
      </w:r>
      <w:r w:rsidRPr="00574315">
        <w:rPr>
          <w:rFonts w:ascii="Arial Narrow" w:hAnsi="Arial Narrow" w:cs="Times New Roman"/>
          <w:sz w:val="28"/>
          <w:szCs w:val="28"/>
          <w:lang w:val="lv-LV"/>
        </w:rPr>
        <w:t xml:space="preserve"> milj. euro ir indikatīvi izsniedzamais kredītu apjoms četros akadēmiskajos gados, kas sadalās uz pieciem kalendārajiem gadiem (studijas sāk rudenī, absolvē vasarā), ņemot vērā vēsturisko statistiku, ka daļa studentu pārtrauc studijas  un nav nepieciešama turpmāka kredītu izsniegšana. Jebkurā gadījumā ministrijas un Altum saistības ir spēkā tikai vidējā termiņa budžetā norādītajā apjomā, kas tiek ievērots.</w:t>
      </w:r>
    </w:p>
    <w:p w14:paraId="1F1E940A" w14:textId="5F9EF458" w:rsidR="00C700F6" w:rsidRDefault="00C700F6" w:rsidP="008810EF">
      <w:pPr>
        <w:ind w:firstLine="720"/>
        <w:jc w:val="both"/>
        <w:rPr>
          <w:rFonts w:ascii="Arial Narrow" w:hAnsi="Arial Narrow" w:cs="Times New Roman"/>
          <w:sz w:val="28"/>
          <w:szCs w:val="28"/>
          <w:lang w:val="lv-LV"/>
        </w:rPr>
      </w:pPr>
      <w:r w:rsidRPr="00C700F6">
        <w:rPr>
          <w:rFonts w:ascii="Arial Narrow" w:hAnsi="Arial Narrow" w:cs="Times New Roman"/>
          <w:sz w:val="28"/>
          <w:szCs w:val="28"/>
          <w:lang w:val="lv-LV"/>
        </w:rPr>
        <w:t xml:space="preserve">Ja </w:t>
      </w:r>
      <w:r w:rsidR="009C70F2">
        <w:rPr>
          <w:rFonts w:ascii="Arial Narrow" w:hAnsi="Arial Narrow" w:cs="Times New Roman"/>
          <w:sz w:val="28"/>
          <w:szCs w:val="28"/>
          <w:lang w:val="lv-LV"/>
        </w:rPr>
        <w:t xml:space="preserve">ministrijas piedāvātā pārdale, lai apmierinātu šīs rudens </w:t>
      </w:r>
      <w:r w:rsidRPr="00C700F6">
        <w:rPr>
          <w:rFonts w:ascii="Arial Narrow" w:hAnsi="Arial Narrow" w:cs="Times New Roman"/>
          <w:sz w:val="28"/>
          <w:szCs w:val="28"/>
          <w:lang w:val="lv-LV"/>
        </w:rPr>
        <w:t>paaugstināt</w:t>
      </w:r>
      <w:r w:rsidR="009C70F2">
        <w:rPr>
          <w:rFonts w:ascii="Arial Narrow" w:hAnsi="Arial Narrow" w:cs="Times New Roman"/>
          <w:sz w:val="28"/>
          <w:szCs w:val="28"/>
          <w:lang w:val="lv-LV"/>
        </w:rPr>
        <w:t>o</w:t>
      </w:r>
      <w:r w:rsidRPr="00C700F6">
        <w:rPr>
          <w:rFonts w:ascii="Arial Narrow" w:hAnsi="Arial Narrow" w:cs="Times New Roman"/>
          <w:sz w:val="28"/>
          <w:szCs w:val="28"/>
          <w:lang w:val="lv-LV"/>
        </w:rPr>
        <w:t xml:space="preserve"> pieprasījum</w:t>
      </w:r>
      <w:r w:rsidR="009C70F2">
        <w:rPr>
          <w:rFonts w:ascii="Arial Narrow" w:hAnsi="Arial Narrow" w:cs="Times New Roman"/>
          <w:sz w:val="28"/>
          <w:szCs w:val="28"/>
          <w:lang w:val="lv-LV"/>
        </w:rPr>
        <w:t>u,</w:t>
      </w:r>
      <w:r w:rsidRPr="00C700F6">
        <w:rPr>
          <w:rFonts w:ascii="Arial Narrow" w:hAnsi="Arial Narrow" w:cs="Times New Roman"/>
          <w:sz w:val="28"/>
          <w:szCs w:val="28"/>
          <w:lang w:val="lv-LV"/>
        </w:rPr>
        <w:t xml:space="preserve"> netiks </w:t>
      </w:r>
      <w:r w:rsidR="009C70F2">
        <w:rPr>
          <w:rFonts w:ascii="Arial Narrow" w:hAnsi="Arial Narrow" w:cs="Times New Roman"/>
          <w:sz w:val="28"/>
          <w:szCs w:val="28"/>
          <w:lang w:val="lv-LV"/>
        </w:rPr>
        <w:t>atbalstīta,</w:t>
      </w:r>
      <w:r w:rsidRPr="00C700F6">
        <w:rPr>
          <w:rFonts w:ascii="Arial Narrow" w:hAnsi="Arial Narrow" w:cs="Times New Roman"/>
          <w:sz w:val="28"/>
          <w:szCs w:val="28"/>
          <w:lang w:val="lv-LV"/>
        </w:rPr>
        <w:t xml:space="preserve"> </w:t>
      </w:r>
      <w:r w:rsidR="009C70F2">
        <w:rPr>
          <w:rFonts w:ascii="Arial Narrow" w:hAnsi="Arial Narrow" w:cs="Times New Roman"/>
          <w:sz w:val="28"/>
          <w:szCs w:val="28"/>
          <w:lang w:val="lv-LV"/>
        </w:rPr>
        <w:t>Budžeta likumā paredzētais finansējums riska segumam</w:t>
      </w:r>
      <w:r w:rsidRPr="00C700F6">
        <w:rPr>
          <w:rFonts w:ascii="Arial Narrow" w:hAnsi="Arial Narrow" w:cs="Times New Roman"/>
          <w:sz w:val="28"/>
          <w:szCs w:val="28"/>
          <w:lang w:val="lv-LV"/>
        </w:rPr>
        <w:t xml:space="preserve"> netiks pārkāpts.</w:t>
      </w:r>
      <w:r w:rsidR="009C70F2">
        <w:rPr>
          <w:rFonts w:ascii="Arial Narrow" w:hAnsi="Arial Narrow" w:cs="Times New Roman"/>
          <w:sz w:val="28"/>
          <w:szCs w:val="28"/>
          <w:lang w:val="lv-LV"/>
        </w:rPr>
        <w:t xml:space="preserve"> </w:t>
      </w:r>
      <w:r w:rsidRPr="00C700F6">
        <w:rPr>
          <w:rFonts w:ascii="Arial Narrow" w:hAnsi="Arial Narrow" w:cs="Times New Roman"/>
          <w:sz w:val="28"/>
          <w:szCs w:val="28"/>
          <w:lang w:val="lv-LV"/>
        </w:rPr>
        <w:t xml:space="preserve">Taču </w:t>
      </w:r>
      <w:r w:rsidR="005C787E">
        <w:rPr>
          <w:rFonts w:ascii="Arial Narrow" w:hAnsi="Arial Narrow" w:cs="Times New Roman"/>
          <w:sz w:val="28"/>
          <w:szCs w:val="28"/>
          <w:lang w:val="lv-LV"/>
        </w:rPr>
        <w:t xml:space="preserve">dēļ šīs rudens paaugstinātā pieprasījuma </w:t>
      </w:r>
      <w:r w:rsidRPr="00C700F6">
        <w:rPr>
          <w:rFonts w:ascii="Arial Narrow" w:hAnsi="Arial Narrow" w:cs="Times New Roman"/>
          <w:sz w:val="28"/>
          <w:szCs w:val="28"/>
          <w:lang w:val="lv-LV"/>
        </w:rPr>
        <w:t xml:space="preserve">nākamgad </w:t>
      </w:r>
      <w:r w:rsidR="009C70F2">
        <w:rPr>
          <w:rFonts w:ascii="Arial Narrow" w:hAnsi="Arial Narrow" w:cs="Times New Roman"/>
          <w:sz w:val="28"/>
          <w:szCs w:val="28"/>
          <w:lang w:val="lv-LV"/>
        </w:rPr>
        <w:t xml:space="preserve">no jauna slēdzamo kredītlīgumu </w:t>
      </w:r>
      <w:r w:rsidR="008828AD">
        <w:rPr>
          <w:rFonts w:ascii="Arial Narrow" w:hAnsi="Arial Narrow" w:cs="Times New Roman"/>
          <w:sz w:val="28"/>
          <w:szCs w:val="28"/>
          <w:lang w:val="lv-LV"/>
        </w:rPr>
        <w:t>skaits būs par 500- 600</w:t>
      </w:r>
      <w:r w:rsidR="00483C5D">
        <w:rPr>
          <w:rFonts w:ascii="Arial Narrow" w:hAnsi="Arial Narrow" w:cs="Times New Roman"/>
          <w:sz w:val="28"/>
          <w:szCs w:val="28"/>
          <w:lang w:val="lv-LV"/>
        </w:rPr>
        <w:t xml:space="preserve"> mazāks. </w:t>
      </w:r>
      <w:r w:rsidRPr="00C700F6">
        <w:rPr>
          <w:rFonts w:ascii="Arial Narrow" w:hAnsi="Arial Narrow" w:cs="Times New Roman"/>
          <w:sz w:val="28"/>
          <w:szCs w:val="28"/>
          <w:lang w:val="lv-LV"/>
        </w:rPr>
        <w:t>Šīs arī ir iznākums, ko ministrija vēlas novērst ar pārdali</w:t>
      </w:r>
      <w:r w:rsidR="003059C1">
        <w:rPr>
          <w:rFonts w:ascii="Arial Narrow" w:hAnsi="Arial Narrow" w:cs="Times New Roman"/>
          <w:sz w:val="28"/>
          <w:szCs w:val="28"/>
          <w:lang w:val="lv-LV"/>
        </w:rPr>
        <w:t xml:space="preserve"> </w:t>
      </w:r>
      <w:r w:rsidR="00912C76">
        <w:rPr>
          <w:rFonts w:ascii="Arial Narrow" w:hAnsi="Arial Narrow" w:cs="Times New Roman"/>
          <w:sz w:val="28"/>
          <w:szCs w:val="28"/>
          <w:lang w:val="lv-LV"/>
        </w:rPr>
        <w:t>tās administrētā</w:t>
      </w:r>
      <w:r w:rsidR="003059C1">
        <w:rPr>
          <w:rFonts w:ascii="Arial Narrow" w:hAnsi="Arial Narrow" w:cs="Times New Roman"/>
          <w:sz w:val="28"/>
          <w:szCs w:val="28"/>
          <w:lang w:val="lv-LV"/>
        </w:rPr>
        <w:t xml:space="preserve"> budžeta ietvaros</w:t>
      </w:r>
      <w:r w:rsidR="00BC2BE2">
        <w:rPr>
          <w:rFonts w:ascii="Arial Narrow" w:hAnsi="Arial Narrow" w:cs="Times New Roman"/>
          <w:sz w:val="28"/>
          <w:szCs w:val="28"/>
          <w:lang w:val="lv-LV"/>
        </w:rPr>
        <w:t xml:space="preserve">: 1) pārdalot </w:t>
      </w:r>
      <w:r w:rsidR="00BC2BE2" w:rsidRPr="00BC2BE2">
        <w:rPr>
          <w:rFonts w:ascii="Arial Narrow" w:hAnsi="Arial Narrow" w:cs="Times New Roman"/>
          <w:sz w:val="28"/>
          <w:szCs w:val="28"/>
          <w:lang w:val="lv-LV"/>
        </w:rPr>
        <w:t xml:space="preserve">556 </w:t>
      </w:r>
      <w:r w:rsidR="00BC2BE2">
        <w:rPr>
          <w:rFonts w:ascii="Arial Narrow" w:hAnsi="Arial Narrow" w:cs="Times New Roman"/>
          <w:sz w:val="28"/>
          <w:szCs w:val="28"/>
          <w:lang w:val="lv-LV"/>
        </w:rPr>
        <w:t>516</w:t>
      </w:r>
      <w:r w:rsidR="00BC2BE2" w:rsidRPr="00BC2BE2">
        <w:rPr>
          <w:rFonts w:ascii="Arial Narrow" w:hAnsi="Arial Narrow" w:cs="Times New Roman"/>
          <w:sz w:val="28"/>
          <w:szCs w:val="28"/>
          <w:lang w:val="lv-LV"/>
        </w:rPr>
        <w:t xml:space="preserve"> euro</w:t>
      </w:r>
      <w:r w:rsidR="00BC2BE2">
        <w:rPr>
          <w:rFonts w:ascii="Arial Narrow" w:hAnsi="Arial Narrow" w:cs="Times New Roman"/>
          <w:sz w:val="28"/>
          <w:szCs w:val="28"/>
          <w:lang w:val="lv-LV"/>
        </w:rPr>
        <w:t xml:space="preserve"> no budžeta apakšprogrammas 01.07.00 </w:t>
      </w:r>
      <w:r w:rsidR="00900091" w:rsidRPr="00900091">
        <w:rPr>
          <w:rFonts w:ascii="Arial Narrow" w:hAnsi="Arial Narrow" w:cs="Times New Roman"/>
          <w:sz w:val="28"/>
          <w:szCs w:val="28"/>
          <w:lang w:val="lv-LV"/>
        </w:rPr>
        <w:t>“Dotācija brīvpusdienu nodrošināšanai 1.,2.,3. un 4. klases izglītojamiem” uz budžeta apakšprogrammu 03.04.00 “Studiju un studējošo kreditēšana”</w:t>
      </w:r>
      <w:r w:rsidR="00900091">
        <w:rPr>
          <w:rFonts w:ascii="Arial Narrow" w:hAnsi="Arial Narrow" w:cs="Times New Roman"/>
          <w:sz w:val="28"/>
          <w:szCs w:val="28"/>
          <w:lang w:val="lv-LV"/>
        </w:rPr>
        <w:t xml:space="preserve"> un 2) pārdalot 87 063 </w:t>
      </w:r>
      <w:r w:rsidR="00900091" w:rsidRPr="00900091">
        <w:rPr>
          <w:rFonts w:ascii="Arial Narrow" w:hAnsi="Arial Narrow" w:cs="Times New Roman"/>
          <w:i/>
          <w:sz w:val="28"/>
          <w:szCs w:val="28"/>
          <w:lang w:val="lv-LV"/>
        </w:rPr>
        <w:t>euro</w:t>
      </w:r>
      <w:r w:rsidR="00900091">
        <w:rPr>
          <w:rFonts w:ascii="Arial Narrow" w:hAnsi="Arial Narrow" w:cs="Times New Roman"/>
          <w:sz w:val="28"/>
          <w:szCs w:val="28"/>
          <w:lang w:val="lv-LV"/>
        </w:rPr>
        <w:t xml:space="preserve"> budžeta programmas </w:t>
      </w:r>
      <w:r w:rsidR="00900091" w:rsidRPr="00900091">
        <w:rPr>
          <w:rFonts w:ascii="Arial Narrow" w:hAnsi="Arial Narrow" w:cs="Times New Roman"/>
          <w:sz w:val="28"/>
          <w:szCs w:val="28"/>
          <w:lang w:val="lv-LV"/>
        </w:rPr>
        <w:t>03.04.00</w:t>
      </w:r>
      <w:r w:rsidR="00900091">
        <w:rPr>
          <w:rFonts w:ascii="Arial Narrow" w:hAnsi="Arial Narrow" w:cs="Times New Roman"/>
          <w:sz w:val="28"/>
          <w:szCs w:val="28"/>
          <w:lang w:val="lv-LV"/>
        </w:rPr>
        <w:t xml:space="preserve"> ievaros no izdevumu koda</w:t>
      </w:r>
      <w:r w:rsidR="00E8705A">
        <w:rPr>
          <w:rFonts w:ascii="Arial Narrow" w:hAnsi="Arial Narrow" w:cs="Times New Roman"/>
          <w:sz w:val="28"/>
          <w:szCs w:val="28"/>
          <w:lang w:val="lv-LV"/>
        </w:rPr>
        <w:t xml:space="preserve"> </w:t>
      </w:r>
      <w:r w:rsidR="00E8705A" w:rsidRPr="00E8705A">
        <w:rPr>
          <w:rFonts w:ascii="Arial Narrow" w:hAnsi="Arial Narrow" w:cs="Times New Roman"/>
          <w:sz w:val="28"/>
          <w:szCs w:val="28"/>
          <w:lang w:val="lv-LV"/>
        </w:rPr>
        <w:t>“procentu izdevumi”</w:t>
      </w:r>
      <w:r w:rsidR="00E8705A">
        <w:rPr>
          <w:rFonts w:ascii="Arial Narrow" w:hAnsi="Arial Narrow" w:cs="Times New Roman"/>
          <w:sz w:val="28"/>
          <w:szCs w:val="28"/>
          <w:lang w:val="lv-LV"/>
        </w:rPr>
        <w:t xml:space="preserve"> uz </w:t>
      </w:r>
      <w:r w:rsidR="00900091">
        <w:rPr>
          <w:rFonts w:ascii="Arial Narrow" w:hAnsi="Arial Narrow" w:cs="Times New Roman"/>
          <w:sz w:val="28"/>
          <w:szCs w:val="28"/>
          <w:lang w:val="lv-LV"/>
        </w:rPr>
        <w:t xml:space="preserve"> </w:t>
      </w:r>
      <w:r w:rsidR="00E8705A">
        <w:rPr>
          <w:rFonts w:ascii="Arial Narrow" w:hAnsi="Arial Narrow" w:cs="Times New Roman"/>
          <w:sz w:val="28"/>
          <w:szCs w:val="28"/>
          <w:lang w:val="lv-LV"/>
        </w:rPr>
        <w:t>izdevumu kodu</w:t>
      </w:r>
      <w:r w:rsidR="00E8705A" w:rsidRPr="00E8705A">
        <w:rPr>
          <w:rFonts w:ascii="Arial Narrow" w:hAnsi="Arial Narrow" w:cs="Times New Roman"/>
          <w:sz w:val="28"/>
          <w:szCs w:val="28"/>
          <w:lang w:val="lv-LV"/>
        </w:rPr>
        <w:t xml:space="preserve"> “subsīdijas un dotācijas” (riska se</w:t>
      </w:r>
      <w:r w:rsidR="00E8705A">
        <w:rPr>
          <w:rFonts w:ascii="Arial Narrow" w:hAnsi="Arial Narrow" w:cs="Times New Roman"/>
          <w:sz w:val="28"/>
          <w:szCs w:val="28"/>
          <w:lang w:val="lv-LV"/>
        </w:rPr>
        <w:t xml:space="preserve">gumam jeb portfeļgarantijai), kopā nodrošinot 643 </w:t>
      </w:r>
      <w:r w:rsidR="00E8705A" w:rsidRPr="00E8705A">
        <w:rPr>
          <w:rFonts w:ascii="Arial Narrow" w:hAnsi="Arial Narrow" w:cs="Times New Roman"/>
          <w:sz w:val="28"/>
          <w:szCs w:val="28"/>
          <w:lang w:val="lv-LV"/>
        </w:rPr>
        <w:t>579</w:t>
      </w:r>
      <w:r w:rsidR="00E8705A">
        <w:rPr>
          <w:rFonts w:ascii="Arial Narrow" w:hAnsi="Arial Narrow" w:cs="Times New Roman"/>
          <w:sz w:val="28"/>
          <w:szCs w:val="28"/>
          <w:lang w:val="lv-LV"/>
        </w:rPr>
        <w:t xml:space="preserve"> </w:t>
      </w:r>
      <w:r w:rsidR="00E8705A" w:rsidRPr="00E8705A">
        <w:rPr>
          <w:rFonts w:ascii="Arial Narrow" w:hAnsi="Arial Narrow" w:cs="Times New Roman"/>
          <w:i/>
          <w:sz w:val="28"/>
          <w:szCs w:val="28"/>
          <w:lang w:val="lv-LV"/>
        </w:rPr>
        <w:t>euro</w:t>
      </w:r>
      <w:r w:rsidR="00E8705A">
        <w:rPr>
          <w:rFonts w:ascii="Arial Narrow" w:hAnsi="Arial Narrow" w:cs="Times New Roman"/>
          <w:sz w:val="28"/>
          <w:szCs w:val="28"/>
          <w:lang w:val="lv-LV"/>
        </w:rPr>
        <w:t xml:space="preserve"> papildus finansējumu portfeļgarantijai.</w:t>
      </w:r>
    </w:p>
    <w:p w14:paraId="7BC351FA" w14:textId="00FCBCC4" w:rsidR="00464CC6" w:rsidRDefault="00031DEB" w:rsidP="00564872">
      <w:pPr>
        <w:tabs>
          <w:tab w:val="left" w:pos="1020"/>
          <w:tab w:val="right" w:pos="9360"/>
        </w:tabs>
        <w:spacing w:after="0"/>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 xml:space="preserve">Tabula Nr.5 </w:t>
      </w:r>
    </w:p>
    <w:p w14:paraId="361791D9" w14:textId="0F2CEA78" w:rsidR="003502E8" w:rsidRDefault="003502E8" w:rsidP="00564872">
      <w:pPr>
        <w:spacing w:after="0"/>
        <w:jc w:val="center"/>
        <w:rPr>
          <w:rFonts w:ascii="Arial Narrow" w:eastAsia="Times New Roman" w:hAnsi="Arial Narrow" w:cs="Times New Roman"/>
          <w:b/>
          <w:bCs/>
          <w:sz w:val="28"/>
          <w:szCs w:val="28"/>
          <w:lang w:val="lv-LV"/>
        </w:rPr>
      </w:pPr>
      <w:r w:rsidRPr="00C240F4">
        <w:rPr>
          <w:rFonts w:ascii="Arial Narrow" w:hAnsi="Arial Narrow" w:cs="Times New Roman"/>
          <w:b/>
          <w:bCs/>
          <w:sz w:val="28"/>
          <w:szCs w:val="28"/>
          <w:lang w:val="lv-LV"/>
        </w:rPr>
        <w:t>A</w:t>
      </w:r>
      <w:r w:rsidRPr="00C240F4">
        <w:rPr>
          <w:rFonts w:ascii="Arial Narrow" w:eastAsia="Times New Roman" w:hAnsi="Arial Narrow" w:cs="Times New Roman"/>
          <w:b/>
          <w:bCs/>
          <w:sz w:val="28"/>
          <w:szCs w:val="28"/>
          <w:lang w:val="lv-LV"/>
        </w:rPr>
        <w:t>ugstskolas ar lielāk</w:t>
      </w:r>
      <w:r w:rsidR="00F30848" w:rsidRPr="00C240F4">
        <w:rPr>
          <w:rFonts w:ascii="Arial Narrow" w:eastAsia="Times New Roman" w:hAnsi="Arial Narrow" w:cs="Times New Roman"/>
          <w:b/>
          <w:bCs/>
          <w:sz w:val="28"/>
          <w:szCs w:val="28"/>
          <w:lang w:val="lv-LV"/>
        </w:rPr>
        <w:t>u</w:t>
      </w:r>
      <w:r w:rsidRPr="00C240F4">
        <w:rPr>
          <w:rFonts w:ascii="Arial Narrow" w:eastAsia="Times New Roman" w:hAnsi="Arial Narrow" w:cs="Times New Roman"/>
          <w:b/>
          <w:bCs/>
          <w:sz w:val="28"/>
          <w:szCs w:val="28"/>
          <w:lang w:val="lv-LV"/>
        </w:rPr>
        <w:t xml:space="preserve"> noslēgto līgumu skaitu</w:t>
      </w:r>
    </w:p>
    <w:p w14:paraId="18BB09B9" w14:textId="77777777" w:rsidR="00E847A4" w:rsidRPr="00C240F4" w:rsidRDefault="00E847A4" w:rsidP="00564872">
      <w:pPr>
        <w:spacing w:after="0"/>
        <w:jc w:val="center"/>
        <w:rPr>
          <w:rFonts w:ascii="Arial Narrow" w:hAnsi="Arial Narrow" w:cs="Times New Roman"/>
          <w:b/>
          <w:bCs/>
          <w:sz w:val="28"/>
          <w:szCs w:val="28"/>
          <w:lang w:val="lv-LV"/>
        </w:rPr>
      </w:pPr>
    </w:p>
    <w:tbl>
      <w:tblPr>
        <w:tblW w:w="9921" w:type="dxa"/>
        <w:tblInd w:w="-13" w:type="dxa"/>
        <w:tblCellMar>
          <w:left w:w="0" w:type="dxa"/>
          <w:right w:w="0" w:type="dxa"/>
        </w:tblCellMar>
        <w:tblLook w:val="04A0" w:firstRow="1" w:lastRow="0" w:firstColumn="1" w:lastColumn="0" w:noHBand="0" w:noVBand="1"/>
      </w:tblPr>
      <w:tblGrid>
        <w:gridCol w:w="702"/>
        <w:gridCol w:w="3295"/>
        <w:gridCol w:w="1470"/>
        <w:gridCol w:w="2333"/>
        <w:gridCol w:w="2121"/>
      </w:tblGrid>
      <w:tr w:rsidR="003502E8" w:rsidRPr="00C240F4" w14:paraId="086F9C9A" w14:textId="77777777" w:rsidTr="003B11A6">
        <w:trPr>
          <w:trHeight w:val="1041"/>
        </w:trPr>
        <w:tc>
          <w:tcPr>
            <w:tcW w:w="702" w:type="dxa"/>
            <w:tcBorders>
              <w:top w:val="single" w:sz="8"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4142F9C3" w14:textId="77777777" w:rsidR="003502E8" w:rsidRPr="000A4127" w:rsidRDefault="003502E8" w:rsidP="000A4127">
            <w:pPr>
              <w:jc w:val="center"/>
              <w:rPr>
                <w:rFonts w:ascii="Arial Narrow" w:hAnsi="Arial Narrow" w:cs="Times New Roman"/>
                <w:b/>
                <w:bCs/>
                <w:color w:val="FFFFFF" w:themeColor="background1"/>
                <w:sz w:val="32"/>
                <w:szCs w:val="32"/>
              </w:rPr>
            </w:pPr>
            <w:r w:rsidRPr="000A4127">
              <w:rPr>
                <w:rFonts w:ascii="Arial Narrow" w:hAnsi="Arial Narrow" w:cs="Times New Roman"/>
                <w:b/>
                <w:bCs/>
                <w:color w:val="FFFFFF" w:themeColor="background1"/>
                <w:sz w:val="32"/>
                <w:szCs w:val="32"/>
              </w:rPr>
              <w:t>Nr.</w:t>
            </w:r>
          </w:p>
        </w:tc>
        <w:tc>
          <w:tcPr>
            <w:tcW w:w="3295"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41749611" w14:textId="77777777" w:rsidR="003502E8" w:rsidRPr="000A4127" w:rsidRDefault="003502E8" w:rsidP="000A4127">
            <w:pPr>
              <w:jc w:val="center"/>
              <w:rPr>
                <w:rFonts w:ascii="Arial Narrow" w:hAnsi="Arial Narrow" w:cs="Times New Roman"/>
                <w:b/>
                <w:bCs/>
                <w:color w:val="FFFFFF" w:themeColor="background1"/>
                <w:sz w:val="32"/>
                <w:szCs w:val="32"/>
              </w:rPr>
            </w:pPr>
            <w:r w:rsidRPr="000A4127">
              <w:rPr>
                <w:rFonts w:ascii="Arial Narrow" w:hAnsi="Arial Narrow" w:cs="Times New Roman"/>
                <w:b/>
                <w:bCs/>
                <w:color w:val="FFFFFF" w:themeColor="background1"/>
                <w:sz w:val="32"/>
                <w:szCs w:val="32"/>
              </w:rPr>
              <w:t>Augstskolas nosaukums</w:t>
            </w:r>
          </w:p>
        </w:tc>
        <w:tc>
          <w:tcPr>
            <w:tcW w:w="147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30ADD70E" w14:textId="77777777" w:rsidR="003502E8" w:rsidRPr="000A4127" w:rsidRDefault="003502E8" w:rsidP="000A4127">
            <w:pPr>
              <w:jc w:val="center"/>
              <w:rPr>
                <w:rFonts w:ascii="Arial Narrow" w:hAnsi="Arial Narrow" w:cs="Times New Roman"/>
                <w:b/>
                <w:bCs/>
                <w:color w:val="FFFFFF" w:themeColor="background1"/>
                <w:sz w:val="32"/>
                <w:szCs w:val="32"/>
              </w:rPr>
            </w:pPr>
            <w:r w:rsidRPr="000A4127">
              <w:rPr>
                <w:rFonts w:ascii="Arial Narrow" w:hAnsi="Arial Narrow" w:cs="Times New Roman"/>
                <w:b/>
                <w:bCs/>
                <w:color w:val="FFFFFF" w:themeColor="background1"/>
                <w:sz w:val="32"/>
                <w:szCs w:val="32"/>
              </w:rPr>
              <w:t>Līgumu skaits</w:t>
            </w:r>
          </w:p>
        </w:tc>
        <w:tc>
          <w:tcPr>
            <w:tcW w:w="2333"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181FF580" w14:textId="77777777" w:rsidR="003502E8" w:rsidRPr="000A4127" w:rsidRDefault="003502E8" w:rsidP="000A4127">
            <w:pPr>
              <w:jc w:val="center"/>
              <w:rPr>
                <w:rFonts w:ascii="Arial Narrow" w:hAnsi="Arial Narrow" w:cs="Times New Roman"/>
                <w:b/>
                <w:bCs/>
                <w:color w:val="FFFFFF" w:themeColor="background1"/>
                <w:sz w:val="32"/>
                <w:szCs w:val="32"/>
              </w:rPr>
            </w:pPr>
            <w:r w:rsidRPr="000A4127">
              <w:rPr>
                <w:rFonts w:ascii="Arial Narrow" w:hAnsi="Arial Narrow" w:cs="Times New Roman"/>
                <w:b/>
                <w:bCs/>
                <w:color w:val="FFFFFF" w:themeColor="background1"/>
                <w:sz w:val="32"/>
                <w:szCs w:val="32"/>
              </w:rPr>
              <w:t>Kredītu summa, EUR</w:t>
            </w:r>
          </w:p>
        </w:tc>
        <w:tc>
          <w:tcPr>
            <w:tcW w:w="2121"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1D19F8EF" w14:textId="77777777" w:rsidR="003502E8" w:rsidRPr="000A4127" w:rsidRDefault="003502E8" w:rsidP="000A4127">
            <w:pPr>
              <w:jc w:val="center"/>
              <w:rPr>
                <w:rFonts w:ascii="Arial Narrow" w:hAnsi="Arial Narrow" w:cs="Times New Roman"/>
                <w:b/>
                <w:bCs/>
                <w:color w:val="FFFFFF" w:themeColor="background1"/>
                <w:sz w:val="32"/>
                <w:szCs w:val="32"/>
              </w:rPr>
            </w:pPr>
            <w:r w:rsidRPr="000A4127">
              <w:rPr>
                <w:rFonts w:ascii="Arial Narrow" w:hAnsi="Arial Narrow" w:cs="Times New Roman"/>
                <w:b/>
                <w:bCs/>
                <w:color w:val="FFFFFF" w:themeColor="background1"/>
                <w:sz w:val="32"/>
                <w:szCs w:val="32"/>
              </w:rPr>
              <w:t>Vidēja summa, EUR</w:t>
            </w:r>
          </w:p>
        </w:tc>
      </w:tr>
      <w:tr w:rsidR="003502E8" w:rsidRPr="00C240F4" w14:paraId="2A0BDC89" w14:textId="77777777" w:rsidTr="000A4127">
        <w:trPr>
          <w:trHeight w:val="116"/>
        </w:trPr>
        <w:tc>
          <w:tcPr>
            <w:tcW w:w="70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CD78721"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lastRenderedPageBreak/>
              <w:t>1</w:t>
            </w:r>
          </w:p>
        </w:tc>
        <w:tc>
          <w:tcPr>
            <w:tcW w:w="329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367C5E5"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Latvijas Universitāte</w:t>
            </w:r>
          </w:p>
        </w:tc>
        <w:tc>
          <w:tcPr>
            <w:tcW w:w="14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F1FB1EB"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660</w:t>
            </w:r>
          </w:p>
        </w:tc>
        <w:tc>
          <w:tcPr>
            <w:tcW w:w="233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DF94209"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3 803 219 </w:t>
            </w:r>
          </w:p>
        </w:tc>
        <w:tc>
          <w:tcPr>
            <w:tcW w:w="2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E673FEB"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5 762</w:t>
            </w:r>
          </w:p>
        </w:tc>
      </w:tr>
      <w:tr w:rsidR="003502E8" w:rsidRPr="00C240F4" w14:paraId="77DA90B5" w14:textId="77777777" w:rsidTr="000A4127">
        <w:trPr>
          <w:trHeight w:val="175"/>
        </w:trPr>
        <w:tc>
          <w:tcPr>
            <w:tcW w:w="70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4183628"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2</w:t>
            </w:r>
          </w:p>
        </w:tc>
        <w:tc>
          <w:tcPr>
            <w:tcW w:w="329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FE273D2"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Rīgas Stradiņa universitāte</w:t>
            </w:r>
          </w:p>
        </w:tc>
        <w:tc>
          <w:tcPr>
            <w:tcW w:w="14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D823095"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290</w:t>
            </w:r>
          </w:p>
        </w:tc>
        <w:tc>
          <w:tcPr>
            <w:tcW w:w="233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68E902E"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2 551 834 </w:t>
            </w:r>
          </w:p>
        </w:tc>
        <w:tc>
          <w:tcPr>
            <w:tcW w:w="2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63E1C8F"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8 799</w:t>
            </w:r>
          </w:p>
        </w:tc>
      </w:tr>
      <w:tr w:rsidR="003502E8" w:rsidRPr="00C240F4" w14:paraId="13783298" w14:textId="77777777" w:rsidTr="000A4127">
        <w:trPr>
          <w:trHeight w:val="222"/>
        </w:trPr>
        <w:tc>
          <w:tcPr>
            <w:tcW w:w="70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6EE6C23"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3</w:t>
            </w:r>
          </w:p>
        </w:tc>
        <w:tc>
          <w:tcPr>
            <w:tcW w:w="329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3B74245"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Biznesa augstskola Turība</w:t>
            </w:r>
          </w:p>
        </w:tc>
        <w:tc>
          <w:tcPr>
            <w:tcW w:w="14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8763CD0"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144</w:t>
            </w:r>
          </w:p>
        </w:tc>
        <w:tc>
          <w:tcPr>
            <w:tcW w:w="233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B07D90C"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767 131 </w:t>
            </w:r>
          </w:p>
        </w:tc>
        <w:tc>
          <w:tcPr>
            <w:tcW w:w="2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71E60E6"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5 327</w:t>
            </w:r>
          </w:p>
        </w:tc>
      </w:tr>
      <w:tr w:rsidR="003502E8" w:rsidRPr="00C240F4" w14:paraId="1176ED95" w14:textId="77777777" w:rsidTr="000A4127">
        <w:trPr>
          <w:trHeight w:val="125"/>
        </w:trPr>
        <w:tc>
          <w:tcPr>
            <w:tcW w:w="70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539BF4C"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4</w:t>
            </w:r>
          </w:p>
        </w:tc>
        <w:tc>
          <w:tcPr>
            <w:tcW w:w="329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36C846E"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Rīgas Tehniskā universitāte</w:t>
            </w:r>
          </w:p>
        </w:tc>
        <w:tc>
          <w:tcPr>
            <w:tcW w:w="147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5211DD1"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134</w:t>
            </w:r>
          </w:p>
        </w:tc>
        <w:tc>
          <w:tcPr>
            <w:tcW w:w="233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281BB10"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964 357 </w:t>
            </w:r>
          </w:p>
        </w:tc>
        <w:tc>
          <w:tcPr>
            <w:tcW w:w="2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5F20A02"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7 197</w:t>
            </w:r>
          </w:p>
        </w:tc>
      </w:tr>
      <w:tr w:rsidR="003502E8" w:rsidRPr="00C240F4" w14:paraId="2834B302" w14:textId="77777777" w:rsidTr="000A4127">
        <w:trPr>
          <w:trHeight w:val="54"/>
        </w:trPr>
        <w:tc>
          <w:tcPr>
            <w:tcW w:w="702"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A853477"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5</w:t>
            </w:r>
          </w:p>
        </w:tc>
        <w:tc>
          <w:tcPr>
            <w:tcW w:w="3295"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033A69B7"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Biznesa augstskola "RISEBA"</w:t>
            </w:r>
          </w:p>
        </w:tc>
        <w:tc>
          <w:tcPr>
            <w:tcW w:w="1470"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72F63299"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121</w:t>
            </w:r>
          </w:p>
        </w:tc>
        <w:tc>
          <w:tcPr>
            <w:tcW w:w="2333"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69FFFC5C"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938 973 </w:t>
            </w:r>
          </w:p>
        </w:tc>
        <w:tc>
          <w:tcPr>
            <w:tcW w:w="212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1C815208"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7 760</w:t>
            </w:r>
          </w:p>
        </w:tc>
      </w:tr>
      <w:tr w:rsidR="003502E8" w:rsidRPr="00C240F4" w14:paraId="7708274B" w14:textId="77777777" w:rsidTr="000A4127">
        <w:trPr>
          <w:trHeight w:val="90"/>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8C40CC0" w14:textId="77777777" w:rsidR="003502E8" w:rsidRPr="000A4127" w:rsidRDefault="003502E8">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6</w:t>
            </w:r>
          </w:p>
        </w:tc>
        <w:tc>
          <w:tcPr>
            <w:tcW w:w="32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29DDFE" w14:textId="77777777" w:rsidR="003502E8" w:rsidRPr="000A4127" w:rsidRDefault="003502E8">
            <w:pPr>
              <w:rPr>
                <w:rFonts w:ascii="Arial Narrow" w:hAnsi="Arial Narrow" w:cs="Times New Roman"/>
                <w:b/>
                <w:color w:val="000000"/>
                <w:sz w:val="28"/>
                <w:szCs w:val="28"/>
              </w:rPr>
            </w:pPr>
            <w:r w:rsidRPr="000A4127">
              <w:rPr>
                <w:rFonts w:ascii="Arial Narrow" w:hAnsi="Arial Narrow" w:cs="Times New Roman"/>
                <w:b/>
                <w:color w:val="000000"/>
                <w:sz w:val="28"/>
                <w:szCs w:val="28"/>
              </w:rPr>
              <w:t>Banku augstskola</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536349D"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82</w:t>
            </w: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B8D2E9E" w14:textId="77777777" w:rsidR="003502E8" w:rsidRPr="00C240F4" w:rsidRDefault="003502E8">
            <w:pPr>
              <w:jc w:val="center"/>
              <w:rPr>
                <w:rFonts w:ascii="Arial Narrow" w:hAnsi="Arial Narrow" w:cs="Times New Roman"/>
                <w:sz w:val="28"/>
                <w:szCs w:val="28"/>
              </w:rPr>
            </w:pPr>
            <w:r w:rsidRPr="00C240F4">
              <w:rPr>
                <w:rFonts w:ascii="Arial Narrow" w:hAnsi="Arial Narrow" w:cs="Times New Roman"/>
                <w:color w:val="000000"/>
                <w:sz w:val="28"/>
                <w:szCs w:val="28"/>
              </w:rPr>
              <w:t xml:space="preserve">        697 742 </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2425D74" w14:textId="77777777" w:rsidR="003502E8" w:rsidRPr="00C240F4" w:rsidRDefault="003502E8">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8 509</w:t>
            </w:r>
          </w:p>
        </w:tc>
      </w:tr>
      <w:tr w:rsidR="00CF482F" w:rsidRPr="00C240F4" w14:paraId="105B4F23" w14:textId="77777777" w:rsidTr="000A4127">
        <w:trPr>
          <w:trHeight w:val="90"/>
        </w:trPr>
        <w:tc>
          <w:tcPr>
            <w:tcW w:w="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8CE23FA" w14:textId="001D4462" w:rsidR="00CF482F" w:rsidRPr="000A4127" w:rsidRDefault="00CF482F">
            <w:pPr>
              <w:jc w:val="center"/>
              <w:rPr>
                <w:rFonts w:ascii="Arial Narrow" w:hAnsi="Arial Narrow" w:cs="Times New Roman"/>
                <w:b/>
                <w:color w:val="000000" w:themeColor="text1"/>
                <w:sz w:val="32"/>
                <w:szCs w:val="32"/>
              </w:rPr>
            </w:pPr>
            <w:r w:rsidRPr="000A4127">
              <w:rPr>
                <w:rFonts w:ascii="Arial Narrow" w:hAnsi="Arial Narrow" w:cs="Times New Roman"/>
                <w:b/>
                <w:color w:val="000000" w:themeColor="text1"/>
                <w:sz w:val="32"/>
                <w:szCs w:val="32"/>
              </w:rPr>
              <w:t>7</w:t>
            </w:r>
          </w:p>
        </w:tc>
        <w:tc>
          <w:tcPr>
            <w:tcW w:w="329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46D634" w14:textId="2F80A7D7" w:rsidR="00CF482F" w:rsidRPr="000A4127" w:rsidRDefault="00CF482F">
            <w:pPr>
              <w:rPr>
                <w:rFonts w:ascii="Arial Narrow" w:hAnsi="Arial Narrow" w:cs="Times New Roman"/>
                <w:b/>
                <w:color w:val="000000"/>
                <w:sz w:val="28"/>
                <w:szCs w:val="28"/>
              </w:rPr>
            </w:pPr>
            <w:r w:rsidRPr="000A4127">
              <w:rPr>
                <w:rFonts w:ascii="Arial Narrow" w:hAnsi="Arial Narrow" w:cs="Times New Roman"/>
                <w:b/>
                <w:color w:val="000000"/>
                <w:sz w:val="28"/>
                <w:szCs w:val="28"/>
              </w:rPr>
              <w:t>Lauksaimniecības Universitāte</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394856C" w14:textId="75B3C196" w:rsidR="00CF482F" w:rsidRPr="00C240F4" w:rsidRDefault="00CF482F">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68</w:t>
            </w: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CF55BB" w14:textId="1F16FC89" w:rsidR="00CF482F" w:rsidRPr="00C240F4" w:rsidRDefault="008A59A0">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 xml:space="preserve">      </w:t>
            </w:r>
            <w:r w:rsidR="008F64CF">
              <w:rPr>
                <w:rFonts w:ascii="Arial Narrow" w:hAnsi="Arial Narrow" w:cs="Times New Roman"/>
                <w:color w:val="000000"/>
                <w:sz w:val="28"/>
                <w:szCs w:val="28"/>
              </w:rPr>
              <w:t xml:space="preserve">   </w:t>
            </w:r>
            <w:r w:rsidR="00FA7AF0" w:rsidRPr="00C240F4">
              <w:rPr>
                <w:rFonts w:ascii="Arial Narrow" w:hAnsi="Arial Narrow" w:cs="Times New Roman"/>
                <w:color w:val="000000"/>
                <w:sz w:val="28"/>
                <w:szCs w:val="28"/>
              </w:rPr>
              <w:t>513 120</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418A414" w14:textId="19BDE482" w:rsidR="00CF482F" w:rsidRPr="00C240F4" w:rsidRDefault="00FA7AF0">
            <w:pPr>
              <w:jc w:val="center"/>
              <w:rPr>
                <w:rFonts w:ascii="Arial Narrow" w:hAnsi="Arial Narrow" w:cs="Times New Roman"/>
                <w:color w:val="000000"/>
                <w:sz w:val="28"/>
                <w:szCs w:val="28"/>
              </w:rPr>
            </w:pPr>
            <w:r w:rsidRPr="00C240F4">
              <w:rPr>
                <w:rFonts w:ascii="Arial Narrow" w:hAnsi="Arial Narrow" w:cs="Times New Roman"/>
                <w:color w:val="000000"/>
                <w:sz w:val="28"/>
                <w:szCs w:val="28"/>
              </w:rPr>
              <w:t>7 547</w:t>
            </w:r>
          </w:p>
        </w:tc>
      </w:tr>
    </w:tbl>
    <w:p w14:paraId="0FB6BEE9" w14:textId="77777777" w:rsidR="00811D5E" w:rsidRPr="00C240F4" w:rsidRDefault="00811D5E" w:rsidP="00464CC6">
      <w:pPr>
        <w:jc w:val="both"/>
        <w:rPr>
          <w:rFonts w:ascii="Arial Narrow" w:hAnsi="Arial Narrow" w:cs="Times New Roman"/>
          <w:sz w:val="28"/>
          <w:szCs w:val="28"/>
          <w:lang w:val="lv-LV"/>
        </w:rPr>
      </w:pPr>
    </w:p>
    <w:p w14:paraId="770DBB0B" w14:textId="77777777" w:rsidR="00464CC6" w:rsidRDefault="00464CC6" w:rsidP="00727E6E">
      <w:pPr>
        <w:pStyle w:val="ListParagraph"/>
        <w:jc w:val="center"/>
        <w:rPr>
          <w:rFonts w:ascii="Arial Narrow" w:eastAsia="Times New Roman" w:hAnsi="Arial Narrow" w:cs="Times New Roman"/>
          <w:b/>
          <w:color w:val="7030A0"/>
          <w:sz w:val="28"/>
          <w:szCs w:val="28"/>
        </w:rPr>
      </w:pPr>
    </w:p>
    <w:p w14:paraId="4CC9AA53" w14:textId="622F29F6" w:rsidR="0089329B" w:rsidRPr="00A94CD5" w:rsidRDefault="00E656FB" w:rsidP="00727E6E">
      <w:pPr>
        <w:pStyle w:val="ListParagraph"/>
        <w:jc w:val="center"/>
        <w:rPr>
          <w:rFonts w:ascii="Arial Narrow" w:hAnsi="Arial Narrow" w:cs="Times New Roman"/>
          <w:color w:val="7030A0"/>
          <w:sz w:val="28"/>
          <w:szCs w:val="28"/>
        </w:rPr>
      </w:pPr>
      <w:r>
        <w:rPr>
          <w:rFonts w:ascii="Arial Narrow" w:eastAsia="Times New Roman" w:hAnsi="Arial Narrow" w:cs="Times New Roman"/>
          <w:b/>
          <w:color w:val="7030A0"/>
          <w:sz w:val="28"/>
          <w:szCs w:val="28"/>
        </w:rPr>
        <w:t xml:space="preserve">2. </w:t>
      </w:r>
      <w:r w:rsidR="00645C73" w:rsidRPr="00A94CD5">
        <w:rPr>
          <w:rFonts w:ascii="Arial Narrow" w:eastAsia="Times New Roman" w:hAnsi="Arial Narrow" w:cs="Times New Roman"/>
          <w:b/>
          <w:color w:val="7030A0"/>
          <w:sz w:val="28"/>
          <w:szCs w:val="28"/>
        </w:rPr>
        <w:t>A</w:t>
      </w:r>
      <w:r w:rsidR="0089329B" w:rsidRPr="00A94CD5">
        <w:rPr>
          <w:rFonts w:ascii="Arial Narrow" w:eastAsia="Times New Roman" w:hAnsi="Arial Narrow" w:cs="Times New Roman"/>
          <w:b/>
          <w:color w:val="7030A0"/>
          <w:sz w:val="28"/>
          <w:szCs w:val="28"/>
        </w:rPr>
        <w:t>ugstāk</w:t>
      </w:r>
      <w:r w:rsidR="00645C73" w:rsidRPr="00A94CD5">
        <w:rPr>
          <w:rFonts w:ascii="Arial Narrow" w:eastAsia="Times New Roman" w:hAnsi="Arial Narrow" w:cs="Times New Roman"/>
          <w:b/>
          <w:color w:val="7030A0"/>
          <w:sz w:val="28"/>
          <w:szCs w:val="28"/>
        </w:rPr>
        <w:t>ās</w:t>
      </w:r>
      <w:r w:rsidR="0089329B" w:rsidRPr="00A94CD5">
        <w:rPr>
          <w:rFonts w:ascii="Arial Narrow" w:eastAsia="Times New Roman" w:hAnsi="Arial Narrow" w:cs="Times New Roman"/>
          <w:b/>
          <w:color w:val="7030A0"/>
          <w:sz w:val="28"/>
          <w:szCs w:val="28"/>
        </w:rPr>
        <w:t xml:space="preserve"> izglītīb</w:t>
      </w:r>
      <w:r w:rsidR="00645C73" w:rsidRPr="00A94CD5">
        <w:rPr>
          <w:rFonts w:ascii="Arial Narrow" w:eastAsia="Times New Roman" w:hAnsi="Arial Narrow" w:cs="Times New Roman"/>
          <w:b/>
          <w:color w:val="7030A0"/>
          <w:sz w:val="28"/>
          <w:szCs w:val="28"/>
        </w:rPr>
        <w:t>as finansējuma</w:t>
      </w:r>
      <w:r w:rsidR="00FA6B86" w:rsidRPr="00A94CD5">
        <w:rPr>
          <w:rFonts w:ascii="Arial Narrow" w:eastAsia="Times New Roman" w:hAnsi="Arial Narrow" w:cs="Times New Roman"/>
          <w:b/>
          <w:color w:val="7030A0"/>
          <w:sz w:val="28"/>
          <w:szCs w:val="28"/>
        </w:rPr>
        <w:t xml:space="preserve"> ietekme uz</w:t>
      </w:r>
      <w:r w:rsidR="0089329B" w:rsidRPr="00A94CD5">
        <w:rPr>
          <w:rFonts w:ascii="Arial Narrow" w:eastAsia="Times New Roman" w:hAnsi="Arial Narrow" w:cs="Times New Roman"/>
          <w:b/>
          <w:color w:val="7030A0"/>
          <w:sz w:val="28"/>
          <w:szCs w:val="28"/>
        </w:rPr>
        <w:t xml:space="preserve"> </w:t>
      </w:r>
      <w:r w:rsidR="00FA6B86" w:rsidRPr="00A94CD5">
        <w:rPr>
          <w:rFonts w:ascii="Arial Narrow" w:eastAsia="Times New Roman" w:hAnsi="Arial Narrow" w:cs="Times New Roman"/>
          <w:b/>
          <w:color w:val="7030A0"/>
          <w:sz w:val="28"/>
          <w:szCs w:val="28"/>
        </w:rPr>
        <w:t>ekonomiku</w:t>
      </w:r>
    </w:p>
    <w:p w14:paraId="638E0A52" w14:textId="77777777" w:rsidR="0089329B" w:rsidRPr="00C240F4" w:rsidRDefault="0089329B" w:rsidP="0089329B">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 xml:space="preserve">Pirmie ministrijai pieejamie dati par absolventu monitoringu liecina, ka gadu pēc augstākās izglītības iestāžu absolvēšanas (2018.gadā) absolventu ienākumu līmenis vidēji bija par 22% augstāks nekā valstī vidējā darba alga 2018.gadā. Ņemot vērā pieejamos CSP datus par ienākumu proporcijām, secināms, ka 2017.gada augstākās izglītības iestāžu absolventiem gadu pēc absolvēšanas ienākumu līmenis ir orientējošo par 40% augstāks nekā nodarbinātajiem bez augstākās izglītības. Savukārt, bezdarba līmenis absolventu vidū ir bijis divarpus reizes zemāks kā valstī vidēji (absolventu vidū bezdarbs -  2,9% , savukārt Latvijā 2018.gadā vidēji - 7,4%). </w:t>
      </w:r>
      <w:r w:rsidRPr="00C240F4">
        <w:rPr>
          <w:rFonts w:ascii="Arial Narrow" w:hAnsi="Arial Narrow" w:cs="Times New Roman"/>
          <w:bCs/>
          <w:sz w:val="28"/>
          <w:szCs w:val="28"/>
          <w:lang w:val="lv-LV"/>
        </w:rPr>
        <w:t>Līdz ar to valsts atbalsts augstākās izglītības iegūšanai ilgtermiņā nozīmē lielākus nodokļu ieņēmumus valstij un mazāku vajadzību pēc sociālās palīdzības.</w:t>
      </w:r>
    </w:p>
    <w:p w14:paraId="5B2ED55D" w14:textId="3FA2EAAF" w:rsidR="0089329B" w:rsidRPr="00C240F4" w:rsidRDefault="0089329B" w:rsidP="0089329B">
      <w:pPr>
        <w:ind w:firstLine="720"/>
        <w:jc w:val="both"/>
        <w:rPr>
          <w:rFonts w:ascii="Arial Narrow" w:hAnsi="Arial Narrow" w:cs="Times New Roman"/>
          <w:bCs/>
          <w:sz w:val="28"/>
          <w:szCs w:val="28"/>
          <w:lang w:val="lv-LV"/>
        </w:rPr>
      </w:pPr>
      <w:r w:rsidRPr="00C240F4">
        <w:rPr>
          <w:rFonts w:ascii="Arial Narrow" w:hAnsi="Arial Narrow" w:cs="Times New Roman"/>
          <w:bCs/>
          <w:sz w:val="28"/>
          <w:szCs w:val="28"/>
          <w:lang w:val="lv-LV"/>
        </w:rPr>
        <w:t xml:space="preserve">Tāpat jāņem vērā, ka studiju </w:t>
      </w:r>
      <w:r w:rsidR="00C033D5">
        <w:rPr>
          <w:rFonts w:ascii="Arial Narrow" w:hAnsi="Arial Narrow" w:cs="Times New Roman"/>
          <w:bCs/>
          <w:sz w:val="28"/>
          <w:szCs w:val="28"/>
          <w:lang w:val="lv-LV"/>
        </w:rPr>
        <w:t xml:space="preserve">un studējošo </w:t>
      </w:r>
      <w:r w:rsidRPr="00C240F4">
        <w:rPr>
          <w:rFonts w:ascii="Arial Narrow" w:hAnsi="Arial Narrow" w:cs="Times New Roman"/>
          <w:bCs/>
          <w:sz w:val="28"/>
          <w:szCs w:val="28"/>
          <w:lang w:val="lv-LV"/>
        </w:rPr>
        <w:t>kreditēšanas atbalstam piešķirtie valsts</w:t>
      </w:r>
      <w:r w:rsidR="00C033D5">
        <w:rPr>
          <w:rFonts w:ascii="Arial Narrow" w:hAnsi="Arial Narrow" w:cs="Times New Roman"/>
          <w:bCs/>
          <w:sz w:val="28"/>
          <w:szCs w:val="28"/>
          <w:lang w:val="lv-LV"/>
        </w:rPr>
        <w:t xml:space="preserve"> budžeta</w:t>
      </w:r>
      <w:r w:rsidRPr="00C240F4">
        <w:rPr>
          <w:rFonts w:ascii="Arial Narrow" w:hAnsi="Arial Narrow" w:cs="Times New Roman"/>
          <w:bCs/>
          <w:sz w:val="28"/>
          <w:szCs w:val="28"/>
          <w:lang w:val="lv-LV"/>
        </w:rPr>
        <w:t xml:space="preserve"> līdzekļi </w:t>
      </w:r>
      <w:r w:rsidR="00C033D5">
        <w:rPr>
          <w:rFonts w:ascii="Arial Narrow" w:hAnsi="Arial Narrow" w:cs="Times New Roman"/>
          <w:bCs/>
          <w:sz w:val="28"/>
          <w:szCs w:val="28"/>
          <w:lang w:val="lv-LV"/>
        </w:rPr>
        <w:t>netieši</w:t>
      </w:r>
      <w:r w:rsidR="00C033D5" w:rsidRPr="00C240F4">
        <w:rPr>
          <w:rFonts w:ascii="Arial Narrow" w:hAnsi="Arial Narrow" w:cs="Times New Roman"/>
          <w:bCs/>
          <w:sz w:val="28"/>
          <w:szCs w:val="28"/>
          <w:lang w:val="lv-LV"/>
        </w:rPr>
        <w:t xml:space="preserve"> </w:t>
      </w:r>
      <w:r w:rsidRPr="00C240F4">
        <w:rPr>
          <w:rFonts w:ascii="Arial Narrow" w:hAnsi="Arial Narrow" w:cs="Times New Roman"/>
          <w:bCs/>
          <w:sz w:val="28"/>
          <w:szCs w:val="28"/>
          <w:lang w:val="lv-LV"/>
        </w:rPr>
        <w:t xml:space="preserve">nonāk atpakaļ izglītības sistēmā, augstākās izglītības iestādēm saņemot mācību maksas. Pašreizējais studiju </w:t>
      </w:r>
      <w:r w:rsidR="00C033D5">
        <w:rPr>
          <w:rFonts w:ascii="Arial Narrow" w:hAnsi="Arial Narrow" w:cs="Times New Roman"/>
          <w:bCs/>
          <w:sz w:val="28"/>
          <w:szCs w:val="28"/>
          <w:lang w:val="lv-LV"/>
        </w:rPr>
        <w:t xml:space="preserve">un studējošo </w:t>
      </w:r>
      <w:r w:rsidRPr="00C240F4">
        <w:rPr>
          <w:rFonts w:ascii="Arial Narrow" w:hAnsi="Arial Narrow" w:cs="Times New Roman"/>
          <w:bCs/>
          <w:sz w:val="28"/>
          <w:szCs w:val="28"/>
          <w:lang w:val="lv-LV"/>
        </w:rPr>
        <w:t xml:space="preserve">kreditēšanas modelis ir efektīvs un finansiāli izdevīgs valstij, jo rada ievērojamu  multiplikatora efektu. Pašreizējā studiju </w:t>
      </w:r>
      <w:r w:rsidR="00C033D5">
        <w:rPr>
          <w:rFonts w:ascii="Arial Narrow" w:hAnsi="Arial Narrow" w:cs="Times New Roman"/>
          <w:bCs/>
          <w:sz w:val="28"/>
          <w:szCs w:val="28"/>
          <w:lang w:val="lv-LV"/>
        </w:rPr>
        <w:t xml:space="preserve">un studējošo </w:t>
      </w:r>
      <w:r w:rsidRPr="00C240F4">
        <w:rPr>
          <w:rFonts w:ascii="Arial Narrow" w:hAnsi="Arial Narrow" w:cs="Times New Roman"/>
          <w:bCs/>
          <w:sz w:val="28"/>
          <w:szCs w:val="28"/>
          <w:lang w:val="lv-LV"/>
        </w:rPr>
        <w:t>kreditēšanas modelī valsts galvojuma apmērs un potenciālie riski ir ierobežoti (</w:t>
      </w:r>
      <w:r w:rsidRPr="00C240F4">
        <w:rPr>
          <w:rFonts w:ascii="Arial Narrow" w:hAnsi="Arial Narrow" w:cs="Times New Roman"/>
          <w:bCs/>
          <w:i/>
          <w:sz w:val="28"/>
          <w:szCs w:val="28"/>
          <w:lang w:val="lv-LV"/>
        </w:rPr>
        <w:t>cap-ratio</w:t>
      </w:r>
      <w:r w:rsidRPr="00C240F4">
        <w:rPr>
          <w:rFonts w:ascii="Arial Narrow" w:hAnsi="Arial Narrow" w:cs="Times New Roman"/>
          <w:bCs/>
          <w:sz w:val="28"/>
          <w:szCs w:val="28"/>
          <w:lang w:val="lv-LV"/>
        </w:rPr>
        <w:t xml:space="preserve">), no katra valsts ieguldītā </w:t>
      </w:r>
      <w:r w:rsidRPr="00895800">
        <w:rPr>
          <w:rFonts w:ascii="Arial Narrow" w:hAnsi="Arial Narrow" w:cs="Times New Roman"/>
          <w:bCs/>
          <w:i/>
          <w:sz w:val="28"/>
          <w:szCs w:val="28"/>
          <w:lang w:val="lv-LV"/>
        </w:rPr>
        <w:t>euro</w:t>
      </w:r>
      <w:r w:rsidRPr="00C240F4">
        <w:rPr>
          <w:rFonts w:ascii="Arial Narrow" w:hAnsi="Arial Narrow" w:cs="Times New Roman"/>
          <w:bCs/>
          <w:sz w:val="28"/>
          <w:szCs w:val="28"/>
          <w:lang w:val="lv-LV"/>
        </w:rPr>
        <w:t xml:space="preserve"> studiju kreditēšanas </w:t>
      </w:r>
      <w:r w:rsidR="00645C73" w:rsidRPr="00C240F4">
        <w:rPr>
          <w:rFonts w:ascii="Arial Narrow" w:hAnsi="Arial Narrow" w:cs="Times New Roman"/>
          <w:bCs/>
          <w:sz w:val="28"/>
          <w:szCs w:val="28"/>
          <w:lang w:val="lv-LV"/>
        </w:rPr>
        <w:t>riska segumam</w:t>
      </w:r>
      <w:r w:rsidRPr="00C240F4">
        <w:rPr>
          <w:rFonts w:ascii="Arial Narrow" w:hAnsi="Arial Narrow" w:cs="Times New Roman"/>
          <w:bCs/>
          <w:sz w:val="28"/>
          <w:szCs w:val="28"/>
          <w:lang w:val="lv-LV"/>
        </w:rPr>
        <w:t xml:space="preserve"> kredītos tiek izsniegts aptuveni 4 līdz 5 reizes lielāks finansējuma apjoms, kas nonāk </w:t>
      </w:r>
      <w:r w:rsidR="00645C73" w:rsidRPr="00C240F4">
        <w:rPr>
          <w:rFonts w:ascii="Arial Narrow" w:hAnsi="Arial Narrow" w:cs="Times New Roman"/>
          <w:bCs/>
          <w:sz w:val="28"/>
          <w:szCs w:val="28"/>
          <w:lang w:val="lv-LV"/>
        </w:rPr>
        <w:t xml:space="preserve">augstākās </w:t>
      </w:r>
      <w:r w:rsidRPr="00C240F4">
        <w:rPr>
          <w:rFonts w:ascii="Arial Narrow" w:hAnsi="Arial Narrow" w:cs="Times New Roman"/>
          <w:bCs/>
          <w:sz w:val="28"/>
          <w:szCs w:val="28"/>
          <w:lang w:val="lv-LV"/>
        </w:rPr>
        <w:t>izglītības sistēmā.</w:t>
      </w:r>
    </w:p>
    <w:p w14:paraId="41133D45" w14:textId="46699EAE" w:rsidR="00565111" w:rsidRPr="00A94CD5" w:rsidRDefault="00E656FB" w:rsidP="00727E6E">
      <w:pPr>
        <w:pStyle w:val="ListParagraph"/>
        <w:jc w:val="center"/>
        <w:rPr>
          <w:rFonts w:ascii="Arial Narrow" w:hAnsi="Arial Narrow"/>
          <w:color w:val="7030A0"/>
          <w:sz w:val="28"/>
          <w:szCs w:val="28"/>
        </w:rPr>
      </w:pPr>
      <w:r>
        <w:rPr>
          <w:rFonts w:ascii="Arial Narrow" w:eastAsia="Times New Roman" w:hAnsi="Arial Narrow" w:cs="Times New Roman"/>
          <w:b/>
          <w:color w:val="7030A0"/>
          <w:sz w:val="28"/>
          <w:szCs w:val="28"/>
        </w:rPr>
        <w:t xml:space="preserve">3. </w:t>
      </w:r>
      <w:r w:rsidR="00814795" w:rsidRPr="00A94CD5">
        <w:rPr>
          <w:rFonts w:ascii="Arial Narrow" w:eastAsia="Times New Roman" w:hAnsi="Arial Narrow" w:cs="Times New Roman"/>
          <w:b/>
          <w:color w:val="7030A0"/>
          <w:sz w:val="28"/>
          <w:szCs w:val="28"/>
        </w:rPr>
        <w:t>Situācijas iespējamais risinājums</w:t>
      </w:r>
    </w:p>
    <w:p w14:paraId="6BE91FD5" w14:textId="1D499185" w:rsidR="00D74B0B" w:rsidRPr="00C240F4" w:rsidRDefault="00D74B0B" w:rsidP="00727E6E">
      <w:pPr>
        <w:jc w:val="both"/>
        <w:rPr>
          <w:rFonts w:ascii="Arial Narrow" w:hAnsi="Arial Narrow" w:cs="Times New Roman"/>
          <w:sz w:val="28"/>
          <w:szCs w:val="28"/>
          <w:lang w:val="lv-LV"/>
        </w:rPr>
      </w:pPr>
      <w:r w:rsidRPr="00C240F4">
        <w:rPr>
          <w:rFonts w:ascii="Arial Narrow" w:hAnsi="Arial Narrow" w:cs="Times New Roman"/>
          <w:sz w:val="28"/>
          <w:szCs w:val="28"/>
          <w:lang w:val="lv-LV"/>
        </w:rPr>
        <w:t>Tiek piedāvāti šādi rīcības scenāriji:</w:t>
      </w:r>
    </w:p>
    <w:p w14:paraId="1BB8E216" w14:textId="3C28E7D6" w:rsidR="00D74B0B" w:rsidRPr="00C240F4" w:rsidRDefault="00F30848" w:rsidP="00727E6E">
      <w:pPr>
        <w:pStyle w:val="ListParagraph"/>
        <w:numPr>
          <w:ilvl w:val="0"/>
          <w:numId w:val="6"/>
        </w:numPr>
        <w:jc w:val="both"/>
        <w:rPr>
          <w:rFonts w:ascii="Arial Narrow" w:hAnsi="Arial Narrow" w:cs="Times New Roman"/>
          <w:sz w:val="28"/>
          <w:szCs w:val="28"/>
        </w:rPr>
      </w:pPr>
      <w:r w:rsidRPr="00C240F4">
        <w:rPr>
          <w:rFonts w:ascii="Arial Narrow" w:hAnsi="Arial Narrow" w:cs="Times New Roman"/>
          <w:sz w:val="28"/>
          <w:szCs w:val="28"/>
        </w:rPr>
        <w:lastRenderedPageBreak/>
        <w:t>īstermiņa risinājums</w:t>
      </w:r>
      <w:r w:rsidR="001C770C" w:rsidRPr="00C240F4">
        <w:rPr>
          <w:rFonts w:ascii="Arial Narrow" w:hAnsi="Arial Narrow" w:cs="Times New Roman"/>
          <w:sz w:val="28"/>
          <w:szCs w:val="28"/>
        </w:rPr>
        <w:t>, pārdalot finansējumu ministrijas budžeta</w:t>
      </w:r>
      <w:r w:rsidRPr="00C240F4">
        <w:rPr>
          <w:rFonts w:ascii="Arial Narrow" w:hAnsi="Arial Narrow" w:cs="Times New Roman"/>
          <w:sz w:val="28"/>
          <w:szCs w:val="28"/>
        </w:rPr>
        <w:t xml:space="preserve"> </w:t>
      </w:r>
      <w:r w:rsidR="00337EA3" w:rsidRPr="00C240F4">
        <w:rPr>
          <w:rFonts w:ascii="Arial Narrow" w:hAnsi="Arial Narrow" w:cs="Times New Roman"/>
          <w:sz w:val="28"/>
          <w:szCs w:val="28"/>
        </w:rPr>
        <w:t>ietvaros</w:t>
      </w:r>
      <w:r w:rsidR="000417C2" w:rsidRPr="00C240F4">
        <w:rPr>
          <w:rFonts w:ascii="Arial Narrow" w:hAnsi="Arial Narrow" w:cs="Times New Roman"/>
          <w:sz w:val="28"/>
          <w:szCs w:val="28"/>
        </w:rPr>
        <w:t xml:space="preserve">, finansējot </w:t>
      </w:r>
      <w:r w:rsidRPr="00C240F4">
        <w:rPr>
          <w:rFonts w:ascii="Arial Narrow" w:hAnsi="Arial Narrow" w:cs="Times New Roman"/>
          <w:sz w:val="28"/>
          <w:szCs w:val="28"/>
        </w:rPr>
        <w:t>palielināt</w:t>
      </w:r>
      <w:r w:rsidR="000417C2" w:rsidRPr="00C240F4">
        <w:rPr>
          <w:rFonts w:ascii="Arial Narrow" w:hAnsi="Arial Narrow" w:cs="Times New Roman"/>
          <w:sz w:val="28"/>
          <w:szCs w:val="28"/>
        </w:rPr>
        <w:t>o</w:t>
      </w:r>
      <w:r w:rsidRPr="00C240F4">
        <w:rPr>
          <w:rFonts w:ascii="Arial Narrow" w:hAnsi="Arial Narrow" w:cs="Times New Roman"/>
          <w:sz w:val="28"/>
          <w:szCs w:val="28"/>
        </w:rPr>
        <w:t xml:space="preserve"> pieprasījum</w:t>
      </w:r>
      <w:r w:rsidR="000417C2" w:rsidRPr="00C240F4">
        <w:rPr>
          <w:rFonts w:ascii="Arial Narrow" w:hAnsi="Arial Narrow" w:cs="Times New Roman"/>
          <w:sz w:val="28"/>
          <w:szCs w:val="28"/>
        </w:rPr>
        <w:t>u</w:t>
      </w:r>
      <w:r w:rsidRPr="00C240F4">
        <w:rPr>
          <w:rFonts w:ascii="Arial Narrow" w:hAnsi="Arial Narrow" w:cs="Times New Roman"/>
          <w:sz w:val="28"/>
          <w:szCs w:val="28"/>
        </w:rPr>
        <w:t xml:space="preserve"> šajā akadēmiskajā gadā</w:t>
      </w:r>
      <w:r w:rsidR="000417C2" w:rsidRPr="00C240F4">
        <w:rPr>
          <w:rFonts w:ascii="Arial Narrow" w:hAnsi="Arial Narrow" w:cs="Times New Roman"/>
          <w:sz w:val="28"/>
          <w:szCs w:val="28"/>
        </w:rPr>
        <w:t>, ko, iespējams, lielā mērā veicinājis COVID-19</w:t>
      </w:r>
      <w:r w:rsidR="003F1E1E">
        <w:rPr>
          <w:rFonts w:ascii="Arial Narrow" w:hAnsi="Arial Narrow" w:cs="Times New Roman"/>
          <w:sz w:val="28"/>
          <w:szCs w:val="28"/>
        </w:rPr>
        <w:t>;</w:t>
      </w:r>
      <w:r w:rsidRPr="00C240F4">
        <w:rPr>
          <w:rFonts w:ascii="Arial Narrow" w:hAnsi="Arial Narrow" w:cs="Times New Roman"/>
          <w:sz w:val="28"/>
          <w:szCs w:val="28"/>
        </w:rPr>
        <w:t xml:space="preserve"> </w:t>
      </w:r>
    </w:p>
    <w:p w14:paraId="1F0F16D2" w14:textId="21B80990" w:rsidR="00A94CD5" w:rsidRDefault="00F30848" w:rsidP="00D74B0B">
      <w:pPr>
        <w:pStyle w:val="ListParagraph"/>
        <w:numPr>
          <w:ilvl w:val="0"/>
          <w:numId w:val="6"/>
        </w:numPr>
        <w:jc w:val="both"/>
        <w:rPr>
          <w:rFonts w:ascii="Arial Narrow" w:hAnsi="Arial Narrow" w:cs="Times New Roman"/>
          <w:sz w:val="28"/>
          <w:szCs w:val="28"/>
        </w:rPr>
      </w:pPr>
      <w:r w:rsidRPr="00C240F4">
        <w:rPr>
          <w:rFonts w:ascii="Arial Narrow" w:hAnsi="Arial Narrow" w:cs="Times New Roman"/>
          <w:sz w:val="28"/>
          <w:szCs w:val="28"/>
        </w:rPr>
        <w:t xml:space="preserve">izvērtējot pirmā gada rezultātus, </w:t>
      </w:r>
      <w:r w:rsidR="000417C2" w:rsidRPr="00C240F4">
        <w:rPr>
          <w:rFonts w:ascii="Arial Narrow" w:hAnsi="Arial Narrow" w:cs="Times New Roman"/>
          <w:sz w:val="28"/>
          <w:szCs w:val="28"/>
        </w:rPr>
        <w:t>izstrādāt</w:t>
      </w:r>
      <w:r w:rsidRPr="00C240F4">
        <w:rPr>
          <w:rFonts w:ascii="Arial Narrow" w:hAnsi="Arial Narrow" w:cs="Times New Roman"/>
          <w:sz w:val="28"/>
          <w:szCs w:val="28"/>
        </w:rPr>
        <w:t xml:space="preserve"> </w:t>
      </w:r>
      <w:r w:rsidR="000417C2" w:rsidRPr="00C240F4">
        <w:rPr>
          <w:rFonts w:ascii="Arial Narrow" w:hAnsi="Arial Narrow" w:cs="Times New Roman"/>
          <w:sz w:val="28"/>
          <w:szCs w:val="28"/>
        </w:rPr>
        <w:t xml:space="preserve">ilgtermiņa </w:t>
      </w:r>
      <w:r w:rsidRPr="00C240F4">
        <w:rPr>
          <w:rFonts w:ascii="Arial Narrow" w:hAnsi="Arial Narrow" w:cs="Times New Roman"/>
          <w:sz w:val="28"/>
          <w:szCs w:val="28"/>
        </w:rPr>
        <w:t>risinājum</w:t>
      </w:r>
      <w:r w:rsidR="000417C2" w:rsidRPr="00C240F4">
        <w:rPr>
          <w:rFonts w:ascii="Arial Narrow" w:hAnsi="Arial Narrow" w:cs="Times New Roman"/>
          <w:sz w:val="28"/>
          <w:szCs w:val="28"/>
        </w:rPr>
        <w:t>u</w:t>
      </w:r>
      <w:r w:rsidR="008C7F15" w:rsidRPr="00C240F4">
        <w:rPr>
          <w:rFonts w:ascii="Arial Narrow" w:hAnsi="Arial Narrow" w:cs="Times New Roman"/>
          <w:sz w:val="28"/>
          <w:szCs w:val="28"/>
        </w:rPr>
        <w:t>, nodrošinot</w:t>
      </w:r>
      <w:r w:rsidRPr="00C240F4">
        <w:rPr>
          <w:rFonts w:ascii="Arial Narrow" w:hAnsi="Arial Narrow" w:cs="Times New Roman"/>
          <w:sz w:val="28"/>
          <w:szCs w:val="28"/>
        </w:rPr>
        <w:t xml:space="preserve"> valsts budžeta finansējuma pieejamību </w:t>
      </w:r>
      <w:r w:rsidR="000417C2" w:rsidRPr="00C240F4">
        <w:rPr>
          <w:rFonts w:ascii="Arial Narrow" w:hAnsi="Arial Narrow" w:cs="Times New Roman"/>
          <w:sz w:val="28"/>
          <w:szCs w:val="28"/>
        </w:rPr>
        <w:t xml:space="preserve">studiju </w:t>
      </w:r>
      <w:r w:rsidRPr="00C240F4">
        <w:rPr>
          <w:rFonts w:ascii="Arial Narrow" w:hAnsi="Arial Narrow" w:cs="Times New Roman"/>
          <w:sz w:val="28"/>
          <w:szCs w:val="28"/>
        </w:rPr>
        <w:t>kredītu garantēšanai.</w:t>
      </w:r>
    </w:p>
    <w:p w14:paraId="19FAC172" w14:textId="77777777" w:rsidR="00AF4E78" w:rsidRDefault="00AF4E78" w:rsidP="00464CC6">
      <w:pPr>
        <w:rPr>
          <w:rFonts w:ascii="Arial Narrow" w:hAnsi="Arial Narrow" w:cs="Times New Roman"/>
          <w:sz w:val="28"/>
          <w:szCs w:val="28"/>
          <w:lang w:val="lv-LV"/>
        </w:rPr>
      </w:pPr>
    </w:p>
    <w:p w14:paraId="4CA704AA" w14:textId="40C12F67" w:rsidR="007524A0" w:rsidRPr="00C240F4" w:rsidRDefault="007524A0" w:rsidP="00464CC6">
      <w:pPr>
        <w:rPr>
          <w:rFonts w:ascii="Arial Narrow" w:hAnsi="Arial Narrow" w:cs="Times New Roman"/>
          <w:sz w:val="28"/>
          <w:szCs w:val="28"/>
          <w:lang w:val="lv-LV"/>
        </w:rPr>
      </w:pPr>
      <w:r w:rsidRPr="00C240F4">
        <w:rPr>
          <w:rFonts w:ascii="Arial Narrow" w:hAnsi="Arial Narrow" w:cs="Times New Roman"/>
          <w:sz w:val="28"/>
          <w:szCs w:val="28"/>
          <w:lang w:val="lv-LV"/>
        </w:rPr>
        <w:t xml:space="preserve">Attiecībā uz </w:t>
      </w:r>
      <w:r w:rsidRPr="00C240F4">
        <w:rPr>
          <w:rFonts w:ascii="Arial Narrow" w:hAnsi="Arial Narrow" w:cs="Times New Roman"/>
          <w:b/>
          <w:bCs/>
          <w:sz w:val="28"/>
          <w:szCs w:val="28"/>
          <w:lang w:val="lv-LV"/>
        </w:rPr>
        <w:t>ilgtermiņa risinājumu turpmākajiem gadiem</w:t>
      </w:r>
      <w:r w:rsidRPr="00C240F4">
        <w:rPr>
          <w:rFonts w:ascii="Arial Narrow" w:hAnsi="Arial Narrow" w:cs="Times New Roman"/>
          <w:sz w:val="28"/>
          <w:szCs w:val="28"/>
          <w:lang w:val="lv-LV"/>
        </w:rPr>
        <w:t xml:space="preserve"> ir izvērtējami šādi divi scenāriji:</w:t>
      </w:r>
    </w:p>
    <w:p w14:paraId="5AB31146" w14:textId="3A95CCBD" w:rsidR="00CB25F2" w:rsidRPr="00CB25F2" w:rsidRDefault="007524A0" w:rsidP="00CB25F2">
      <w:pPr>
        <w:pStyle w:val="ListParagraph"/>
        <w:numPr>
          <w:ilvl w:val="0"/>
          <w:numId w:val="11"/>
        </w:numPr>
        <w:rPr>
          <w:rFonts w:ascii="Arial Narrow" w:hAnsi="Arial Narrow" w:cs="Times New Roman"/>
          <w:sz w:val="28"/>
          <w:szCs w:val="28"/>
        </w:rPr>
      </w:pPr>
      <w:r w:rsidRPr="00CB25F2">
        <w:rPr>
          <w:rFonts w:ascii="Arial Narrow" w:hAnsi="Arial Narrow" w:cs="Times New Roman"/>
          <w:b/>
          <w:bCs/>
          <w:sz w:val="28"/>
          <w:szCs w:val="28"/>
          <w:shd w:val="clear" w:color="auto" w:fill="FFFFFF" w:themeFill="background1"/>
        </w:rPr>
        <w:t>papildu finansējums</w:t>
      </w:r>
      <w:r w:rsidRPr="00CB25F2">
        <w:rPr>
          <w:rFonts w:ascii="Arial Narrow" w:hAnsi="Arial Narrow" w:cs="Times New Roman"/>
          <w:sz w:val="28"/>
          <w:szCs w:val="28"/>
          <w:shd w:val="clear" w:color="auto" w:fill="FFFFFF" w:themeFill="background1"/>
        </w:rPr>
        <w:t>, ja pieprasījums pēc jauniem kredītiem ik gadu sasniegs 2 500</w:t>
      </w:r>
      <w:r w:rsidR="001C707D" w:rsidRPr="00CB25F2">
        <w:rPr>
          <w:rFonts w:ascii="Arial Narrow" w:hAnsi="Arial Narrow" w:cs="Times New Roman"/>
          <w:sz w:val="28"/>
          <w:szCs w:val="28"/>
          <w:shd w:val="clear" w:color="auto" w:fill="FFFFFF" w:themeFill="background1"/>
        </w:rPr>
        <w:t xml:space="preserve"> </w:t>
      </w:r>
      <w:r w:rsidRPr="00CB25F2">
        <w:rPr>
          <w:rFonts w:ascii="Arial Narrow" w:hAnsi="Arial Narrow" w:cs="Times New Roman"/>
          <w:sz w:val="28"/>
          <w:szCs w:val="28"/>
          <w:shd w:val="clear" w:color="auto" w:fill="FFFFFF" w:themeFill="background1"/>
        </w:rPr>
        <w:t>- 2 600; 2021.gadā ministrija apsvērs iespēju sagatavot un iesniegt šo kā prioritāro pasākumu ar papildu finansējuma pieprasījumu 2022.- 2024.gadam;</w:t>
      </w:r>
      <w:r w:rsidR="00CB25F2" w:rsidRPr="00CB25F2">
        <w:rPr>
          <w:rFonts w:ascii="Arial Narrow" w:hAnsi="Arial Narrow" w:cs="Times New Roman"/>
          <w:sz w:val="28"/>
          <w:szCs w:val="28"/>
          <w:shd w:val="clear" w:color="auto" w:fill="FFFFFF" w:themeFill="background1"/>
        </w:rPr>
        <w:t xml:space="preserve"> pašlaik nav</w:t>
      </w:r>
      <w:r w:rsidR="00CB25F2" w:rsidRPr="00CB25F2">
        <w:rPr>
          <w:rFonts w:ascii="Arial Narrow" w:hAnsi="Arial Narrow" w:cs="Times New Roman"/>
          <w:sz w:val="28"/>
          <w:szCs w:val="28"/>
        </w:rPr>
        <w:t xml:space="preserve"> </w:t>
      </w:r>
      <w:r w:rsidR="00CB25F2">
        <w:rPr>
          <w:rFonts w:ascii="Arial Narrow" w:hAnsi="Arial Narrow" w:cs="Times New Roman"/>
          <w:sz w:val="28"/>
          <w:szCs w:val="28"/>
        </w:rPr>
        <w:t xml:space="preserve">precīzi </w:t>
      </w:r>
      <w:r w:rsidR="00CB25F2" w:rsidRPr="00CB25F2">
        <w:rPr>
          <w:rFonts w:ascii="Arial Narrow" w:hAnsi="Arial Narrow" w:cs="Times New Roman"/>
          <w:sz w:val="28"/>
          <w:szCs w:val="28"/>
        </w:rPr>
        <w:t xml:space="preserve">zināms, cik lielā mērā šo var uzskatīt par vienreizēju paaugstinātu pieprasījumu COVID-19 dēļ;   </w:t>
      </w:r>
    </w:p>
    <w:p w14:paraId="2069D66A" w14:textId="7D4E6A85" w:rsidR="007524A0" w:rsidRPr="00C240F4" w:rsidRDefault="007524A0" w:rsidP="007524A0">
      <w:pPr>
        <w:pStyle w:val="ListParagraph"/>
        <w:numPr>
          <w:ilvl w:val="0"/>
          <w:numId w:val="11"/>
        </w:numPr>
        <w:jc w:val="both"/>
        <w:rPr>
          <w:rFonts w:ascii="Arial Narrow" w:hAnsi="Arial Narrow" w:cs="Times New Roman"/>
          <w:sz w:val="28"/>
          <w:szCs w:val="28"/>
        </w:rPr>
      </w:pPr>
      <w:r w:rsidRPr="00AF4E78">
        <w:rPr>
          <w:rFonts w:ascii="Arial Narrow" w:hAnsi="Arial Narrow" w:cs="Times New Roman"/>
          <w:b/>
          <w:sz w:val="28"/>
          <w:szCs w:val="28"/>
        </w:rPr>
        <w:t xml:space="preserve">izvērtēt iespējas ieviest kritērijus, </w:t>
      </w:r>
      <w:r w:rsidR="00B22978" w:rsidRPr="00AF4E78">
        <w:rPr>
          <w:rFonts w:ascii="Arial Narrow" w:hAnsi="Arial Narrow" w:cs="Times New Roman"/>
          <w:b/>
          <w:sz w:val="28"/>
          <w:szCs w:val="28"/>
        </w:rPr>
        <w:t xml:space="preserve">noteikt </w:t>
      </w:r>
      <w:r w:rsidRPr="00AF4E78">
        <w:rPr>
          <w:rFonts w:ascii="Arial Narrow" w:hAnsi="Arial Narrow" w:cs="Times New Roman"/>
          <w:b/>
          <w:sz w:val="28"/>
          <w:szCs w:val="28"/>
        </w:rPr>
        <w:t xml:space="preserve">prioritātes, atcelt procentu </w:t>
      </w:r>
      <w:r w:rsidR="00C033D5" w:rsidRPr="00AF4E78">
        <w:rPr>
          <w:rFonts w:ascii="Arial Narrow" w:hAnsi="Arial Narrow" w:cs="Times New Roman"/>
          <w:b/>
          <w:sz w:val="28"/>
          <w:szCs w:val="28"/>
        </w:rPr>
        <w:t>maksājumus</w:t>
      </w:r>
      <w:r w:rsidR="00C033D5" w:rsidRPr="00C240F4">
        <w:rPr>
          <w:rFonts w:ascii="Arial Narrow" w:hAnsi="Arial Narrow" w:cs="Times New Roman"/>
          <w:sz w:val="28"/>
          <w:szCs w:val="28"/>
        </w:rPr>
        <w:t xml:space="preserve"> </w:t>
      </w:r>
      <w:r w:rsidRPr="00C240F4">
        <w:rPr>
          <w:rFonts w:ascii="Arial Narrow" w:hAnsi="Arial Narrow" w:cs="Times New Roman"/>
          <w:sz w:val="28"/>
          <w:szCs w:val="28"/>
        </w:rPr>
        <w:t xml:space="preserve">u.c., savlaicīgi komunicējot to ar nozari un ieviešot normatīvo aktu izmaiņas. Kritēriju izstrāde būtu nepieciešama, jo </w:t>
      </w:r>
      <w:r w:rsidR="000504F2">
        <w:rPr>
          <w:rFonts w:ascii="Arial Narrow" w:hAnsi="Arial Narrow" w:cs="Times New Roman"/>
          <w:sz w:val="28"/>
          <w:szCs w:val="28"/>
        </w:rPr>
        <w:t xml:space="preserve">princips </w:t>
      </w:r>
      <w:r w:rsidRPr="00C240F4">
        <w:rPr>
          <w:rFonts w:ascii="Arial Narrow" w:hAnsi="Arial Narrow" w:cs="Times New Roman"/>
          <w:i/>
          <w:sz w:val="28"/>
          <w:szCs w:val="28"/>
        </w:rPr>
        <w:t>“</w:t>
      </w:r>
      <w:r w:rsidR="00645C73" w:rsidRPr="00C240F4">
        <w:rPr>
          <w:rFonts w:ascii="Arial Narrow" w:hAnsi="Arial Narrow" w:cs="Times New Roman"/>
          <w:i/>
          <w:sz w:val="28"/>
          <w:szCs w:val="28"/>
        </w:rPr>
        <w:t>kas pirmais nāk, tas saņem kredītu</w:t>
      </w:r>
      <w:r w:rsidRPr="00C240F4">
        <w:rPr>
          <w:rFonts w:ascii="Arial Narrow" w:hAnsi="Arial Narrow" w:cs="Times New Roman"/>
          <w:i/>
          <w:sz w:val="28"/>
          <w:szCs w:val="28"/>
        </w:rPr>
        <w:t>”</w:t>
      </w:r>
      <w:r w:rsidRPr="00C240F4">
        <w:rPr>
          <w:rFonts w:ascii="Arial Narrow" w:hAnsi="Arial Narrow" w:cs="Times New Roman"/>
          <w:sz w:val="28"/>
          <w:szCs w:val="28"/>
        </w:rPr>
        <w:t xml:space="preserve"> nebūtu taisnīgs, tas sniegtu priekšrocības studentiem no augstskolām, kas ātrāk uzsāktu uzņemšanu, nelabvēlīgākā situācijā atstājot tos, kuri no viņiem neatkarīgu iemeslu dēļ tiek imatrikulēti vēlāk. </w:t>
      </w:r>
    </w:p>
    <w:p w14:paraId="0DEA4485" w14:textId="77777777" w:rsidR="00A51802" w:rsidRPr="00C240F4" w:rsidRDefault="00A51802" w:rsidP="00D76EDA">
      <w:pPr>
        <w:ind w:firstLine="360"/>
        <w:jc w:val="both"/>
        <w:rPr>
          <w:rFonts w:ascii="Arial Narrow" w:hAnsi="Arial Narrow" w:cs="Times New Roman"/>
          <w:sz w:val="28"/>
          <w:szCs w:val="28"/>
          <w:lang w:val="lv-LV"/>
        </w:rPr>
      </w:pPr>
      <w:r w:rsidRPr="00C240F4">
        <w:rPr>
          <w:rFonts w:ascii="Arial Narrow" w:hAnsi="Arial Narrow" w:cs="Times New Roman"/>
          <w:sz w:val="28"/>
          <w:szCs w:val="28"/>
          <w:lang w:val="lv-LV"/>
        </w:rPr>
        <w:t>Šobrīd ir vairāki aspekti, kas var ietekmēt nepieciešamību pēc papildu finansējuma turpmākajos gados:</w:t>
      </w:r>
    </w:p>
    <w:p w14:paraId="6C652F07" w14:textId="77777777" w:rsidR="00A51802" w:rsidRPr="00C240F4" w:rsidRDefault="00A51802" w:rsidP="00A51802">
      <w:pPr>
        <w:pStyle w:val="ListParagraph"/>
        <w:numPr>
          <w:ilvl w:val="0"/>
          <w:numId w:val="8"/>
        </w:numPr>
        <w:jc w:val="both"/>
        <w:rPr>
          <w:rFonts w:ascii="Arial Narrow" w:hAnsi="Arial Narrow" w:cs="Times New Roman"/>
          <w:sz w:val="28"/>
          <w:szCs w:val="28"/>
        </w:rPr>
      </w:pPr>
      <w:r w:rsidRPr="00C240F4">
        <w:rPr>
          <w:rFonts w:ascii="Arial Narrow" w:hAnsi="Arial Narrow" w:cs="Times New Roman"/>
          <w:sz w:val="28"/>
          <w:szCs w:val="28"/>
        </w:rPr>
        <w:t xml:space="preserve">Nav zināms, cik no šī brīža kredītu saņēmējiem pārtrauks studijas pirmajā studiju gadā un kuriem nebūs vajadzīga pilnas summas izmaksa (pagājušajā mācību gadā 22% no studējošiem pārtrauca studijas); </w:t>
      </w:r>
    </w:p>
    <w:p w14:paraId="00CA0154" w14:textId="77777777" w:rsidR="00A51802" w:rsidRPr="00C240F4" w:rsidRDefault="00A51802" w:rsidP="00A51802">
      <w:pPr>
        <w:pStyle w:val="ListParagraph"/>
        <w:numPr>
          <w:ilvl w:val="0"/>
          <w:numId w:val="8"/>
        </w:numPr>
        <w:jc w:val="both"/>
        <w:rPr>
          <w:rFonts w:ascii="Arial Narrow" w:hAnsi="Arial Narrow" w:cs="Times New Roman"/>
          <w:sz w:val="28"/>
          <w:szCs w:val="28"/>
        </w:rPr>
      </w:pPr>
      <w:r w:rsidRPr="00C240F4">
        <w:rPr>
          <w:rFonts w:ascii="Arial Narrow" w:hAnsi="Arial Narrow" w:cs="Times New Roman"/>
          <w:sz w:val="28"/>
          <w:szCs w:val="28"/>
        </w:rPr>
        <w:t xml:space="preserve">Ir arī studējošie, kas šobrīd paņēma kredītu tikai pirmajam semestrim un var vērsties ar pieprasījumu pēc kredīta arī turpmākajām studijām. </w:t>
      </w:r>
    </w:p>
    <w:p w14:paraId="6E6E843E" w14:textId="77777777" w:rsidR="0030362F" w:rsidRDefault="0030362F" w:rsidP="007065E0">
      <w:pPr>
        <w:ind w:firstLine="720"/>
        <w:jc w:val="both"/>
        <w:rPr>
          <w:rFonts w:ascii="Arial Narrow" w:hAnsi="Arial Narrow" w:cs="Times New Roman"/>
          <w:b/>
          <w:bCs/>
          <w:sz w:val="28"/>
          <w:szCs w:val="28"/>
          <w:lang w:val="lv-LV"/>
        </w:rPr>
      </w:pPr>
    </w:p>
    <w:p w14:paraId="20EB3322" w14:textId="7DCC98C6" w:rsidR="007065E0" w:rsidRPr="00C240F4" w:rsidRDefault="00C610B2" w:rsidP="007065E0">
      <w:pPr>
        <w:ind w:firstLine="720"/>
        <w:jc w:val="both"/>
        <w:rPr>
          <w:rFonts w:ascii="Arial Narrow" w:hAnsi="Arial Narrow" w:cs="Times New Roman"/>
          <w:sz w:val="28"/>
          <w:szCs w:val="28"/>
          <w:lang w:val="lv-LV"/>
        </w:rPr>
      </w:pPr>
      <w:r w:rsidRPr="00C240F4">
        <w:rPr>
          <w:rFonts w:ascii="Arial Narrow" w:hAnsi="Arial Narrow" w:cs="Times New Roman"/>
          <w:b/>
          <w:bCs/>
          <w:sz w:val="28"/>
          <w:szCs w:val="28"/>
          <w:lang w:val="lv-LV"/>
        </w:rPr>
        <w:t xml:space="preserve">Ņemot vērā </w:t>
      </w:r>
      <w:r w:rsidR="0071647F" w:rsidRPr="00C240F4">
        <w:rPr>
          <w:rFonts w:ascii="Arial Narrow" w:hAnsi="Arial Narrow" w:cs="Times New Roman"/>
          <w:b/>
          <w:bCs/>
          <w:sz w:val="28"/>
          <w:szCs w:val="28"/>
          <w:lang w:val="lv-LV"/>
        </w:rPr>
        <w:t xml:space="preserve">visu iesaistīto valsts un nevalstisko organizāciju </w:t>
      </w:r>
      <w:r w:rsidRPr="00C240F4">
        <w:rPr>
          <w:rFonts w:ascii="Arial Narrow" w:hAnsi="Arial Narrow" w:cs="Times New Roman"/>
          <w:b/>
          <w:bCs/>
          <w:sz w:val="28"/>
          <w:szCs w:val="28"/>
          <w:lang w:val="lv-LV"/>
        </w:rPr>
        <w:t xml:space="preserve">lielo darbu, kas </w:t>
      </w:r>
      <w:r w:rsidR="0071647F" w:rsidRPr="00C240F4">
        <w:rPr>
          <w:rFonts w:ascii="Arial Narrow" w:hAnsi="Arial Narrow" w:cs="Times New Roman"/>
          <w:b/>
          <w:bCs/>
          <w:sz w:val="28"/>
          <w:szCs w:val="28"/>
          <w:lang w:val="lv-LV"/>
        </w:rPr>
        <w:t>tika</w:t>
      </w:r>
      <w:r w:rsidRPr="00C240F4">
        <w:rPr>
          <w:rFonts w:ascii="Arial Narrow" w:hAnsi="Arial Narrow" w:cs="Times New Roman"/>
          <w:b/>
          <w:bCs/>
          <w:sz w:val="28"/>
          <w:szCs w:val="28"/>
          <w:lang w:val="lv-LV"/>
        </w:rPr>
        <w:t xml:space="preserve"> ieguldīts šī modeļa ieviešanā un izstrādē, kā arī pozitīvo ietekmi uz studiju kredītu pieejamību, ir kritiski svarīgi turpināt veiksmīgi </w:t>
      </w:r>
      <w:r w:rsidR="00645C73" w:rsidRPr="00C240F4">
        <w:rPr>
          <w:rFonts w:ascii="Arial Narrow" w:hAnsi="Arial Narrow" w:cs="Times New Roman"/>
          <w:b/>
          <w:bCs/>
          <w:sz w:val="28"/>
          <w:szCs w:val="28"/>
          <w:lang w:val="lv-LV"/>
        </w:rPr>
        <w:t>uzsākto programmu</w:t>
      </w:r>
      <w:r w:rsidRPr="00C240F4">
        <w:rPr>
          <w:rFonts w:ascii="Arial Narrow" w:hAnsi="Arial Narrow" w:cs="Times New Roman"/>
          <w:b/>
          <w:bCs/>
          <w:sz w:val="28"/>
          <w:szCs w:val="28"/>
          <w:lang w:val="lv-LV"/>
        </w:rPr>
        <w:t xml:space="preserve">. </w:t>
      </w:r>
      <w:r w:rsidR="00E56F0F" w:rsidRPr="00C240F4">
        <w:rPr>
          <w:rFonts w:ascii="Arial Narrow" w:hAnsi="Arial Narrow" w:cs="Times New Roman"/>
          <w:b/>
          <w:bCs/>
          <w:sz w:val="28"/>
          <w:szCs w:val="28"/>
          <w:lang w:val="lv-LV"/>
        </w:rPr>
        <w:t>Studiju kreditēšanas pārtraukšan</w:t>
      </w:r>
      <w:r w:rsidR="00645C73" w:rsidRPr="00C240F4">
        <w:rPr>
          <w:rFonts w:ascii="Arial Narrow" w:hAnsi="Arial Narrow" w:cs="Times New Roman"/>
          <w:b/>
          <w:bCs/>
          <w:sz w:val="28"/>
          <w:szCs w:val="28"/>
          <w:lang w:val="lv-LV"/>
        </w:rPr>
        <w:t>a</w:t>
      </w:r>
      <w:r w:rsidR="00E56F0F" w:rsidRPr="00C240F4">
        <w:rPr>
          <w:rFonts w:ascii="Arial Narrow" w:hAnsi="Arial Narrow" w:cs="Times New Roman"/>
          <w:b/>
          <w:bCs/>
          <w:sz w:val="28"/>
          <w:szCs w:val="28"/>
          <w:lang w:val="lv-LV"/>
        </w:rPr>
        <w:t xml:space="preserve"> vai bremzēšana finansējuma trūkuma dēļ nav pieņemama, jo būtu pretrunā ar tiesiskās paļāvības principiem un līdzšinējo komunikāciju sabiedrībai. Turklāt šāda rīcība un neskaidrība par pieprasījumam atbilstoša finansējuma pieejamību ilgtermiņā var mazināt kredītiestāžu vēlmi piedalīties šajā programmā.</w:t>
      </w:r>
      <w:r w:rsidR="00E56F0F" w:rsidRPr="00C240F4">
        <w:rPr>
          <w:rFonts w:ascii="Arial Narrow" w:hAnsi="Arial Narrow" w:cs="Times New Roman"/>
          <w:sz w:val="28"/>
          <w:szCs w:val="28"/>
          <w:lang w:val="lv-LV"/>
        </w:rPr>
        <w:t xml:space="preserve">  </w:t>
      </w:r>
      <w:r w:rsidR="00F51B40" w:rsidRPr="00C240F4">
        <w:rPr>
          <w:rFonts w:ascii="Arial Narrow" w:hAnsi="Arial Narrow" w:cs="Times New Roman"/>
          <w:sz w:val="28"/>
          <w:szCs w:val="28"/>
          <w:lang w:val="lv-LV"/>
        </w:rPr>
        <w:t>Tāpat,</w:t>
      </w:r>
      <w:r w:rsidR="007065E0" w:rsidRPr="00C240F4">
        <w:rPr>
          <w:rFonts w:ascii="Arial Narrow" w:hAnsi="Arial Narrow" w:cs="Times New Roman"/>
          <w:sz w:val="28"/>
          <w:szCs w:val="28"/>
          <w:lang w:val="lv-LV"/>
        </w:rPr>
        <w:t xml:space="preserve"> paziņojot, ka kreditēšana atsāksies nākamgad, tie paši pieteicēji</w:t>
      </w:r>
      <w:r w:rsidR="00FB6AE0" w:rsidRPr="00C240F4">
        <w:rPr>
          <w:rFonts w:ascii="Arial Narrow" w:hAnsi="Arial Narrow" w:cs="Times New Roman"/>
          <w:sz w:val="28"/>
          <w:szCs w:val="28"/>
          <w:lang w:val="lv-LV"/>
        </w:rPr>
        <w:t xml:space="preserve">, kuriem </w:t>
      </w:r>
      <w:r w:rsidR="00FB6AE0" w:rsidRPr="00C240F4">
        <w:rPr>
          <w:rFonts w:ascii="Arial Narrow" w:hAnsi="Arial Narrow" w:cs="Times New Roman"/>
          <w:sz w:val="28"/>
          <w:szCs w:val="28"/>
          <w:lang w:val="lv-LV"/>
        </w:rPr>
        <w:lastRenderedPageBreak/>
        <w:t>tiktu liegts atbalsts šogad,</w:t>
      </w:r>
      <w:r w:rsidR="007065E0" w:rsidRPr="00C240F4">
        <w:rPr>
          <w:rFonts w:ascii="Arial Narrow" w:hAnsi="Arial Narrow" w:cs="Times New Roman"/>
          <w:sz w:val="28"/>
          <w:szCs w:val="28"/>
          <w:lang w:val="lv-LV"/>
        </w:rPr>
        <w:t xml:space="preserve"> pieteikt</w:t>
      </w:r>
      <w:r w:rsidR="00FB6AE0" w:rsidRPr="00C240F4">
        <w:rPr>
          <w:rFonts w:ascii="Arial Narrow" w:hAnsi="Arial Narrow" w:cs="Times New Roman"/>
          <w:sz w:val="28"/>
          <w:szCs w:val="28"/>
          <w:lang w:val="lv-LV"/>
        </w:rPr>
        <w:t>o</w:t>
      </w:r>
      <w:r w:rsidR="007065E0" w:rsidRPr="00C240F4">
        <w:rPr>
          <w:rFonts w:ascii="Arial Narrow" w:hAnsi="Arial Narrow" w:cs="Times New Roman"/>
          <w:sz w:val="28"/>
          <w:szCs w:val="28"/>
          <w:lang w:val="lv-LV"/>
        </w:rPr>
        <w:t xml:space="preserve">s </w:t>
      </w:r>
      <w:r w:rsidR="00FB6AE0" w:rsidRPr="00C240F4">
        <w:rPr>
          <w:rFonts w:ascii="Arial Narrow" w:hAnsi="Arial Narrow" w:cs="Times New Roman"/>
          <w:sz w:val="28"/>
          <w:szCs w:val="28"/>
          <w:lang w:val="lv-LV"/>
        </w:rPr>
        <w:t>nākamgad</w:t>
      </w:r>
      <w:r w:rsidR="00F07AD0" w:rsidRPr="00C240F4">
        <w:rPr>
          <w:rFonts w:ascii="Arial Narrow" w:hAnsi="Arial Narrow" w:cs="Times New Roman"/>
          <w:sz w:val="28"/>
          <w:szCs w:val="28"/>
          <w:lang w:val="lv-LV"/>
        </w:rPr>
        <w:t>,</w:t>
      </w:r>
      <w:r w:rsidR="007065E0" w:rsidRPr="00C240F4">
        <w:rPr>
          <w:rFonts w:ascii="Arial Narrow" w:hAnsi="Arial Narrow" w:cs="Times New Roman"/>
          <w:sz w:val="28"/>
          <w:szCs w:val="28"/>
          <w:lang w:val="lv-LV"/>
        </w:rPr>
        <w:t xml:space="preserve"> un </w:t>
      </w:r>
      <w:r w:rsidR="00CA4249" w:rsidRPr="00C240F4">
        <w:rPr>
          <w:rFonts w:ascii="Arial Narrow" w:hAnsi="Arial Narrow" w:cs="Times New Roman"/>
          <w:sz w:val="28"/>
          <w:szCs w:val="28"/>
          <w:lang w:val="lv-LV"/>
        </w:rPr>
        <w:t xml:space="preserve">jautājums par </w:t>
      </w:r>
      <w:r w:rsidR="004D4A39" w:rsidRPr="00C240F4">
        <w:rPr>
          <w:rFonts w:ascii="Arial Narrow" w:hAnsi="Arial Narrow" w:cs="Times New Roman"/>
          <w:sz w:val="28"/>
          <w:szCs w:val="28"/>
          <w:lang w:val="lv-LV"/>
        </w:rPr>
        <w:t>papildu</w:t>
      </w:r>
      <w:r w:rsidR="007065E0" w:rsidRPr="00C240F4">
        <w:rPr>
          <w:rFonts w:ascii="Arial Narrow" w:hAnsi="Arial Narrow" w:cs="Times New Roman"/>
          <w:sz w:val="28"/>
          <w:szCs w:val="28"/>
          <w:lang w:val="lv-LV"/>
        </w:rPr>
        <w:t xml:space="preserve"> </w:t>
      </w:r>
      <w:r w:rsidR="000812B2" w:rsidRPr="00C240F4">
        <w:rPr>
          <w:rFonts w:ascii="Arial Narrow" w:hAnsi="Arial Narrow" w:cs="Times New Roman"/>
          <w:sz w:val="28"/>
          <w:szCs w:val="28"/>
          <w:lang w:val="lv-LV"/>
        </w:rPr>
        <w:t>finansējuma nepieciešamīb</w:t>
      </w:r>
      <w:r w:rsidR="00CA4249" w:rsidRPr="00C240F4">
        <w:rPr>
          <w:rFonts w:ascii="Arial Narrow" w:hAnsi="Arial Narrow" w:cs="Times New Roman"/>
          <w:sz w:val="28"/>
          <w:szCs w:val="28"/>
          <w:lang w:val="lv-LV"/>
        </w:rPr>
        <w:t>u</w:t>
      </w:r>
      <w:r w:rsidR="000812B2" w:rsidRPr="00C240F4">
        <w:rPr>
          <w:rFonts w:ascii="Arial Narrow" w:hAnsi="Arial Narrow" w:cs="Times New Roman"/>
          <w:sz w:val="28"/>
          <w:szCs w:val="28"/>
          <w:lang w:val="lv-LV"/>
        </w:rPr>
        <w:t xml:space="preserve"> </w:t>
      </w:r>
      <w:r w:rsidR="00CA4249" w:rsidRPr="00C240F4">
        <w:rPr>
          <w:rFonts w:ascii="Arial Narrow" w:hAnsi="Arial Narrow" w:cs="Times New Roman"/>
          <w:sz w:val="28"/>
          <w:szCs w:val="28"/>
          <w:lang w:val="lv-LV"/>
        </w:rPr>
        <w:t>netiktu</w:t>
      </w:r>
      <w:r w:rsidR="007065E0" w:rsidRPr="00C240F4">
        <w:rPr>
          <w:rFonts w:ascii="Arial Narrow" w:hAnsi="Arial Narrow" w:cs="Times New Roman"/>
          <w:sz w:val="28"/>
          <w:szCs w:val="28"/>
          <w:lang w:val="lv-LV"/>
        </w:rPr>
        <w:t xml:space="preserve"> atrisināts</w:t>
      </w:r>
      <w:r w:rsidR="00CA4249" w:rsidRPr="00C240F4">
        <w:rPr>
          <w:rFonts w:ascii="Arial Narrow" w:hAnsi="Arial Narrow" w:cs="Times New Roman"/>
          <w:sz w:val="28"/>
          <w:szCs w:val="28"/>
          <w:lang w:val="lv-LV"/>
        </w:rPr>
        <w:t>, bet pārcelts uz nākamo gadu</w:t>
      </w:r>
      <w:r w:rsidR="007065E0" w:rsidRPr="00C240F4">
        <w:rPr>
          <w:rFonts w:ascii="Arial Narrow" w:hAnsi="Arial Narrow" w:cs="Times New Roman"/>
          <w:sz w:val="28"/>
          <w:szCs w:val="28"/>
          <w:lang w:val="lv-LV"/>
        </w:rPr>
        <w:t xml:space="preserve">. </w:t>
      </w:r>
      <w:r w:rsidR="0062269D" w:rsidRPr="00C240F4">
        <w:rPr>
          <w:rFonts w:ascii="Arial Narrow" w:hAnsi="Arial Narrow" w:cs="Times New Roman"/>
          <w:sz w:val="28"/>
          <w:szCs w:val="28"/>
          <w:lang w:val="lv-LV"/>
        </w:rPr>
        <w:t>Pēc tam, kad</w:t>
      </w:r>
      <w:r w:rsidR="007065E0" w:rsidRPr="00C240F4">
        <w:rPr>
          <w:rFonts w:ascii="Arial Narrow" w:hAnsi="Arial Narrow" w:cs="Times New Roman"/>
          <w:sz w:val="28"/>
          <w:szCs w:val="28"/>
          <w:lang w:val="lv-LV"/>
        </w:rPr>
        <w:t xml:space="preserve"> valdība</w:t>
      </w:r>
      <w:r w:rsidR="00B03658" w:rsidRPr="00C240F4">
        <w:rPr>
          <w:rFonts w:ascii="Arial Narrow" w:hAnsi="Arial Narrow" w:cs="Times New Roman"/>
          <w:sz w:val="28"/>
          <w:szCs w:val="28"/>
          <w:lang w:val="lv-LV"/>
        </w:rPr>
        <w:t xml:space="preserve">, ministrija un </w:t>
      </w:r>
      <w:r w:rsidR="00FC415E">
        <w:rPr>
          <w:rFonts w:ascii="Arial Narrow" w:hAnsi="Arial Narrow" w:cs="Times New Roman"/>
          <w:sz w:val="28"/>
          <w:szCs w:val="28"/>
          <w:lang w:val="lv-LV"/>
        </w:rPr>
        <w:t>Altum</w:t>
      </w:r>
      <w:r w:rsidR="00171882">
        <w:rPr>
          <w:rFonts w:ascii="Arial Narrow" w:hAnsi="Arial Narrow" w:cs="Times New Roman"/>
          <w:sz w:val="28"/>
          <w:szCs w:val="28"/>
          <w:lang w:val="lv-LV"/>
        </w:rPr>
        <w:t xml:space="preserve"> </w:t>
      </w:r>
      <w:r w:rsidR="0062269D" w:rsidRPr="00C240F4">
        <w:rPr>
          <w:rFonts w:ascii="Arial Narrow" w:hAnsi="Arial Narrow" w:cs="Times New Roman"/>
          <w:sz w:val="28"/>
          <w:szCs w:val="28"/>
          <w:lang w:val="lv-LV"/>
        </w:rPr>
        <w:t>ir aktīvi komunicējusi par to, ka</w:t>
      </w:r>
      <w:r w:rsidR="007065E0" w:rsidRPr="00C240F4">
        <w:rPr>
          <w:rFonts w:ascii="Arial Narrow" w:hAnsi="Arial Narrow" w:cs="Times New Roman"/>
          <w:sz w:val="28"/>
          <w:szCs w:val="28"/>
          <w:lang w:val="lv-LV"/>
        </w:rPr>
        <w:t xml:space="preserve"> studiju un studējošo kredīti </w:t>
      </w:r>
      <w:r w:rsidR="0062269D" w:rsidRPr="00C240F4">
        <w:rPr>
          <w:rFonts w:ascii="Arial Narrow" w:hAnsi="Arial Narrow" w:cs="Times New Roman"/>
          <w:sz w:val="28"/>
          <w:szCs w:val="28"/>
          <w:lang w:val="lv-LV"/>
        </w:rPr>
        <w:t xml:space="preserve">ir kļuvuši </w:t>
      </w:r>
      <w:r w:rsidR="00FD2729" w:rsidRPr="00C240F4">
        <w:rPr>
          <w:rFonts w:ascii="Arial Narrow" w:hAnsi="Arial Narrow" w:cs="Times New Roman"/>
          <w:sz w:val="28"/>
          <w:szCs w:val="28"/>
          <w:lang w:val="lv-LV"/>
        </w:rPr>
        <w:t>studējošiem</w:t>
      </w:r>
      <w:r w:rsidR="007065E0" w:rsidRPr="00C240F4">
        <w:rPr>
          <w:rFonts w:ascii="Arial Narrow" w:hAnsi="Arial Narrow" w:cs="Times New Roman"/>
          <w:sz w:val="28"/>
          <w:szCs w:val="28"/>
          <w:lang w:val="lv-LV"/>
        </w:rPr>
        <w:t xml:space="preserve"> </w:t>
      </w:r>
      <w:r w:rsidR="00FD2729" w:rsidRPr="00C240F4">
        <w:rPr>
          <w:rFonts w:ascii="Arial Narrow" w:hAnsi="Arial Narrow" w:cs="Times New Roman"/>
          <w:sz w:val="28"/>
          <w:szCs w:val="28"/>
          <w:lang w:val="lv-LV"/>
        </w:rPr>
        <w:t>pieejamāki</w:t>
      </w:r>
      <w:r w:rsidR="0062269D" w:rsidRPr="00C240F4">
        <w:rPr>
          <w:rFonts w:ascii="Arial Narrow" w:hAnsi="Arial Narrow" w:cs="Times New Roman"/>
          <w:sz w:val="28"/>
          <w:szCs w:val="28"/>
          <w:lang w:val="lv-LV"/>
        </w:rPr>
        <w:t xml:space="preserve">, </w:t>
      </w:r>
      <w:r w:rsidR="007A1DFB" w:rsidRPr="00C240F4">
        <w:rPr>
          <w:rFonts w:ascii="Arial Narrow" w:hAnsi="Arial Narrow" w:cs="Times New Roman"/>
          <w:sz w:val="28"/>
          <w:szCs w:val="28"/>
          <w:lang w:val="lv-LV"/>
        </w:rPr>
        <w:t xml:space="preserve">ar </w:t>
      </w:r>
      <w:r w:rsidR="00FD2729" w:rsidRPr="00C240F4">
        <w:rPr>
          <w:rFonts w:ascii="Arial Narrow" w:hAnsi="Arial Narrow" w:cs="Times New Roman"/>
          <w:sz w:val="28"/>
          <w:szCs w:val="28"/>
          <w:lang w:val="lv-LV"/>
        </w:rPr>
        <w:t>draudzīg</w:t>
      </w:r>
      <w:r w:rsidR="007A1DFB" w:rsidRPr="00C240F4">
        <w:rPr>
          <w:rFonts w:ascii="Arial Narrow" w:hAnsi="Arial Narrow" w:cs="Times New Roman"/>
          <w:sz w:val="28"/>
          <w:szCs w:val="28"/>
          <w:lang w:val="lv-LV"/>
        </w:rPr>
        <w:t xml:space="preserve">ākiem nosacījumiem, pēkšņa </w:t>
      </w:r>
      <w:r w:rsidR="009E51BE" w:rsidRPr="00C240F4">
        <w:rPr>
          <w:rFonts w:ascii="Arial Narrow" w:hAnsi="Arial Narrow" w:cs="Times New Roman"/>
          <w:sz w:val="28"/>
          <w:szCs w:val="28"/>
          <w:lang w:val="lv-LV"/>
        </w:rPr>
        <w:t xml:space="preserve">kreditēšanas </w:t>
      </w:r>
      <w:r w:rsidR="007A1DFB" w:rsidRPr="00C240F4">
        <w:rPr>
          <w:rFonts w:ascii="Arial Narrow" w:hAnsi="Arial Narrow" w:cs="Times New Roman"/>
          <w:sz w:val="28"/>
          <w:szCs w:val="28"/>
          <w:lang w:val="lv-LV"/>
        </w:rPr>
        <w:t>pārtraukšana nebūtu godīga</w:t>
      </w:r>
      <w:r w:rsidR="00245175" w:rsidRPr="00C240F4">
        <w:rPr>
          <w:rFonts w:ascii="Arial Narrow" w:hAnsi="Arial Narrow" w:cs="Times New Roman"/>
          <w:sz w:val="28"/>
          <w:szCs w:val="28"/>
          <w:lang w:val="lv-LV"/>
        </w:rPr>
        <w:t>, īpaši</w:t>
      </w:r>
      <w:r w:rsidR="007A1DFB" w:rsidRPr="00C240F4">
        <w:rPr>
          <w:rFonts w:ascii="Arial Narrow" w:hAnsi="Arial Narrow" w:cs="Times New Roman"/>
          <w:sz w:val="28"/>
          <w:szCs w:val="28"/>
          <w:lang w:val="lv-LV"/>
        </w:rPr>
        <w:t xml:space="preserve"> pret </w:t>
      </w:r>
      <w:r w:rsidR="00141672" w:rsidRPr="00C240F4">
        <w:rPr>
          <w:rFonts w:ascii="Arial Narrow" w:hAnsi="Arial Narrow" w:cs="Times New Roman"/>
          <w:sz w:val="28"/>
          <w:szCs w:val="28"/>
          <w:lang w:val="lv-LV"/>
        </w:rPr>
        <w:t>tām augstskolām, kurā</w:t>
      </w:r>
      <w:r w:rsidR="007A1DFB" w:rsidRPr="00C240F4">
        <w:rPr>
          <w:rFonts w:ascii="Arial Narrow" w:hAnsi="Arial Narrow" w:cs="Times New Roman"/>
          <w:sz w:val="28"/>
          <w:szCs w:val="28"/>
          <w:lang w:val="lv-LV"/>
        </w:rPr>
        <w:t xml:space="preserve">m uzņemšana šogad </w:t>
      </w:r>
      <w:r w:rsidR="006D2E2A" w:rsidRPr="00C240F4">
        <w:rPr>
          <w:rFonts w:ascii="Arial Narrow" w:hAnsi="Arial Narrow" w:cs="Times New Roman"/>
          <w:sz w:val="28"/>
          <w:szCs w:val="28"/>
          <w:lang w:val="lv-LV"/>
        </w:rPr>
        <w:t>ir sākusies</w:t>
      </w:r>
      <w:r w:rsidR="007A1DFB" w:rsidRPr="00C240F4">
        <w:rPr>
          <w:rFonts w:ascii="Arial Narrow" w:hAnsi="Arial Narrow" w:cs="Times New Roman"/>
          <w:sz w:val="28"/>
          <w:szCs w:val="28"/>
          <w:lang w:val="lv-LV"/>
        </w:rPr>
        <w:t xml:space="preserve"> vēlāk</w:t>
      </w:r>
      <w:r w:rsidR="0081459A" w:rsidRPr="00C240F4">
        <w:rPr>
          <w:rFonts w:ascii="Arial Narrow" w:hAnsi="Arial Narrow" w:cs="Times New Roman"/>
          <w:sz w:val="28"/>
          <w:szCs w:val="28"/>
          <w:lang w:val="lv-LV"/>
        </w:rPr>
        <w:t>.</w:t>
      </w:r>
      <w:r w:rsidR="003E6D4B" w:rsidRPr="00C240F4">
        <w:rPr>
          <w:rFonts w:ascii="Arial Narrow" w:hAnsi="Arial Narrow" w:cs="Times New Roman"/>
          <w:sz w:val="28"/>
          <w:szCs w:val="28"/>
          <w:lang w:val="lv-LV"/>
        </w:rPr>
        <w:t xml:space="preserve"> </w:t>
      </w:r>
    </w:p>
    <w:p w14:paraId="68268EEA" w14:textId="6812097F" w:rsidR="00D11BFC" w:rsidRPr="00C240F4" w:rsidRDefault="007E3CB9" w:rsidP="0071647F">
      <w:pPr>
        <w:ind w:firstLine="720"/>
        <w:jc w:val="both"/>
        <w:rPr>
          <w:rFonts w:ascii="Arial Narrow" w:hAnsi="Arial Narrow" w:cs="Times New Roman"/>
          <w:sz w:val="28"/>
          <w:szCs w:val="28"/>
          <w:highlight w:val="yellow"/>
          <w:lang w:val="lv-LV"/>
        </w:rPr>
      </w:pPr>
      <w:r w:rsidRPr="00C240F4">
        <w:rPr>
          <w:rFonts w:ascii="Arial Narrow" w:hAnsi="Arial Narrow" w:cs="Times New Roman"/>
          <w:sz w:val="28"/>
          <w:szCs w:val="28"/>
          <w:lang w:val="lv-LV"/>
        </w:rPr>
        <w:t>Ir divi</w:t>
      </w:r>
      <w:r w:rsidR="00B03658" w:rsidRPr="00C240F4">
        <w:rPr>
          <w:rFonts w:ascii="Arial Narrow" w:hAnsi="Arial Narrow" w:cs="Times New Roman"/>
          <w:sz w:val="28"/>
          <w:szCs w:val="28"/>
          <w:lang w:val="lv-LV"/>
        </w:rPr>
        <w:t xml:space="preserve"> </w:t>
      </w:r>
      <w:r w:rsidR="0071647F" w:rsidRPr="00C240F4">
        <w:rPr>
          <w:rFonts w:ascii="Arial Narrow" w:hAnsi="Arial Narrow" w:cs="Times New Roman"/>
          <w:sz w:val="28"/>
          <w:szCs w:val="28"/>
          <w:lang w:val="lv-LV"/>
        </w:rPr>
        <w:t>valstij pieejamie instrumenti augstākās izglītības pieejamības veicināšanai</w:t>
      </w:r>
      <w:r w:rsidRPr="00C240F4">
        <w:rPr>
          <w:rFonts w:ascii="Arial Narrow" w:hAnsi="Arial Narrow" w:cs="Times New Roman"/>
          <w:sz w:val="28"/>
          <w:szCs w:val="28"/>
          <w:lang w:val="lv-LV"/>
        </w:rPr>
        <w:t>-</w:t>
      </w:r>
      <w:r w:rsidR="00B03658" w:rsidRPr="00C240F4">
        <w:rPr>
          <w:rFonts w:ascii="Arial Narrow" w:hAnsi="Arial Narrow" w:cs="Times New Roman"/>
          <w:sz w:val="28"/>
          <w:szCs w:val="28"/>
          <w:lang w:val="lv-LV"/>
        </w:rPr>
        <w:t xml:space="preserve"> budžeta vietas</w:t>
      </w:r>
      <w:r w:rsidRPr="00C240F4">
        <w:rPr>
          <w:rFonts w:ascii="Arial Narrow" w:hAnsi="Arial Narrow" w:cs="Times New Roman"/>
          <w:sz w:val="28"/>
          <w:szCs w:val="28"/>
          <w:lang w:val="lv-LV"/>
        </w:rPr>
        <w:t xml:space="preserve"> u</w:t>
      </w:r>
      <w:r w:rsidR="00925F44" w:rsidRPr="00C240F4">
        <w:rPr>
          <w:rFonts w:ascii="Arial Narrow" w:hAnsi="Arial Narrow" w:cs="Times New Roman"/>
          <w:sz w:val="28"/>
          <w:szCs w:val="28"/>
          <w:lang w:val="lv-LV"/>
        </w:rPr>
        <w:t>n</w:t>
      </w:r>
      <w:r w:rsidR="00B03658" w:rsidRPr="00C240F4">
        <w:rPr>
          <w:rFonts w:ascii="Arial Narrow" w:hAnsi="Arial Narrow" w:cs="Times New Roman"/>
          <w:sz w:val="28"/>
          <w:szCs w:val="28"/>
          <w:lang w:val="lv-LV"/>
        </w:rPr>
        <w:t xml:space="preserve"> valsts </w:t>
      </w:r>
      <w:r w:rsidR="00CC20D3">
        <w:rPr>
          <w:rFonts w:ascii="Arial Narrow" w:hAnsi="Arial Narrow" w:cs="Times New Roman"/>
          <w:sz w:val="28"/>
          <w:szCs w:val="28"/>
          <w:lang w:val="lv-LV"/>
        </w:rPr>
        <w:t xml:space="preserve">garantētie </w:t>
      </w:r>
      <w:r w:rsidR="00B03658" w:rsidRPr="00C240F4">
        <w:rPr>
          <w:rFonts w:ascii="Arial Narrow" w:hAnsi="Arial Narrow" w:cs="Times New Roman"/>
          <w:sz w:val="28"/>
          <w:szCs w:val="28"/>
          <w:lang w:val="lv-LV"/>
        </w:rPr>
        <w:t>studiju un studējošo kredīti. Budžeta vietu finansējums ir studējošajam vislabvēlīgākai</w:t>
      </w:r>
      <w:r w:rsidR="00141672" w:rsidRPr="00C240F4">
        <w:rPr>
          <w:rFonts w:ascii="Arial Narrow" w:hAnsi="Arial Narrow" w:cs="Times New Roman"/>
          <w:sz w:val="28"/>
          <w:szCs w:val="28"/>
          <w:lang w:val="lv-LV"/>
        </w:rPr>
        <w:t>s</w:t>
      </w:r>
      <w:r w:rsidR="0010458E" w:rsidRPr="00C240F4">
        <w:rPr>
          <w:rFonts w:ascii="Arial Narrow" w:hAnsi="Arial Narrow" w:cs="Times New Roman"/>
          <w:sz w:val="28"/>
          <w:szCs w:val="28"/>
          <w:lang w:val="lv-LV"/>
        </w:rPr>
        <w:t xml:space="preserve">, taču tas ir </w:t>
      </w:r>
      <w:r w:rsidR="006D2E2A" w:rsidRPr="00C240F4">
        <w:rPr>
          <w:rFonts w:ascii="Arial Narrow" w:hAnsi="Arial Narrow" w:cs="Times New Roman"/>
          <w:sz w:val="28"/>
          <w:szCs w:val="28"/>
          <w:lang w:val="lv-LV"/>
        </w:rPr>
        <w:t>ierobežots</w:t>
      </w:r>
      <w:r w:rsidR="0010458E" w:rsidRPr="00C240F4">
        <w:rPr>
          <w:rFonts w:ascii="Arial Narrow" w:hAnsi="Arial Narrow" w:cs="Times New Roman"/>
          <w:sz w:val="28"/>
          <w:szCs w:val="28"/>
          <w:lang w:val="lv-LV"/>
        </w:rPr>
        <w:t xml:space="preserve"> un </w:t>
      </w:r>
      <w:r w:rsidR="00430F92" w:rsidRPr="00C240F4">
        <w:rPr>
          <w:rFonts w:ascii="Arial Narrow" w:hAnsi="Arial Narrow" w:cs="Times New Roman"/>
          <w:sz w:val="28"/>
          <w:szCs w:val="28"/>
          <w:lang w:val="lv-LV"/>
        </w:rPr>
        <w:t xml:space="preserve"> </w:t>
      </w:r>
      <w:r w:rsidR="00B03658" w:rsidRPr="00C240F4">
        <w:rPr>
          <w:rFonts w:ascii="Arial Narrow" w:hAnsi="Arial Narrow" w:cs="Times New Roman"/>
          <w:sz w:val="28"/>
          <w:szCs w:val="28"/>
          <w:lang w:val="lv-LV"/>
        </w:rPr>
        <w:t xml:space="preserve">koncentrēts tādās studiju jomās kā </w:t>
      </w:r>
      <w:r w:rsidR="00141672" w:rsidRPr="00C240F4">
        <w:rPr>
          <w:rFonts w:ascii="Arial Narrow" w:hAnsi="Arial Narrow" w:cs="Times New Roman"/>
          <w:sz w:val="28"/>
          <w:szCs w:val="28"/>
          <w:lang w:val="lv-LV"/>
        </w:rPr>
        <w:t xml:space="preserve">dabas zinātnes un inženierzinātnes. Attiecīgi </w:t>
      </w:r>
      <w:r w:rsidR="00260DE1" w:rsidRPr="00C240F4">
        <w:rPr>
          <w:rFonts w:ascii="Arial Narrow" w:hAnsi="Arial Narrow" w:cs="Times New Roman"/>
          <w:sz w:val="28"/>
          <w:szCs w:val="28"/>
          <w:lang w:val="lv-LV"/>
        </w:rPr>
        <w:t xml:space="preserve">studiju </w:t>
      </w:r>
      <w:r w:rsidR="00CC20D3">
        <w:rPr>
          <w:rFonts w:ascii="Arial Narrow" w:hAnsi="Arial Narrow" w:cs="Times New Roman"/>
          <w:sz w:val="28"/>
          <w:szCs w:val="28"/>
          <w:lang w:val="lv-LV"/>
        </w:rPr>
        <w:t xml:space="preserve">un studējošo </w:t>
      </w:r>
      <w:r w:rsidR="00141672" w:rsidRPr="00C240F4">
        <w:rPr>
          <w:rFonts w:ascii="Arial Narrow" w:hAnsi="Arial Narrow" w:cs="Times New Roman"/>
          <w:sz w:val="28"/>
          <w:szCs w:val="28"/>
          <w:lang w:val="lv-LV"/>
        </w:rPr>
        <w:t xml:space="preserve">kredītu </w:t>
      </w:r>
      <w:r w:rsidR="00260DE1" w:rsidRPr="00C240F4">
        <w:rPr>
          <w:rFonts w:ascii="Arial Narrow" w:hAnsi="Arial Narrow" w:cs="Times New Roman"/>
          <w:sz w:val="28"/>
          <w:szCs w:val="28"/>
          <w:lang w:val="lv-LV"/>
        </w:rPr>
        <w:t>pieejamība ļauj</w:t>
      </w:r>
      <w:r w:rsidR="00E656FB">
        <w:rPr>
          <w:rFonts w:ascii="Arial Narrow" w:hAnsi="Arial Narrow" w:cs="Times New Roman"/>
          <w:sz w:val="28"/>
          <w:szCs w:val="28"/>
          <w:lang w:val="lv-LV"/>
        </w:rPr>
        <w:t xml:space="preserve"> studēt ta</w:t>
      </w:r>
      <w:r w:rsidR="0071647F" w:rsidRPr="00C240F4">
        <w:rPr>
          <w:rFonts w:ascii="Arial Narrow" w:hAnsi="Arial Narrow" w:cs="Times New Roman"/>
          <w:sz w:val="28"/>
          <w:szCs w:val="28"/>
          <w:lang w:val="lv-LV"/>
        </w:rPr>
        <w:t>j</w:t>
      </w:r>
      <w:r w:rsidR="002C2973" w:rsidRPr="00C240F4">
        <w:rPr>
          <w:rFonts w:ascii="Arial Narrow" w:hAnsi="Arial Narrow" w:cs="Times New Roman"/>
          <w:sz w:val="28"/>
          <w:szCs w:val="28"/>
          <w:lang w:val="lv-LV"/>
        </w:rPr>
        <w:t>ās jomās</w:t>
      </w:r>
      <w:r w:rsidR="00141672" w:rsidRPr="00C240F4">
        <w:rPr>
          <w:rFonts w:ascii="Arial Narrow" w:hAnsi="Arial Narrow" w:cs="Times New Roman"/>
          <w:sz w:val="28"/>
          <w:szCs w:val="28"/>
          <w:lang w:val="lv-LV"/>
        </w:rPr>
        <w:t xml:space="preserve">, kur </w:t>
      </w:r>
      <w:r w:rsidR="00D37EA8" w:rsidRPr="00C240F4">
        <w:rPr>
          <w:rFonts w:ascii="Arial Narrow" w:hAnsi="Arial Narrow" w:cs="Times New Roman"/>
          <w:sz w:val="28"/>
          <w:szCs w:val="28"/>
          <w:lang w:val="lv-LV"/>
        </w:rPr>
        <w:t>ir mazāk budžeta vietu</w:t>
      </w:r>
      <w:r w:rsidR="00430F92" w:rsidRPr="00C240F4">
        <w:rPr>
          <w:rFonts w:ascii="Arial Narrow" w:hAnsi="Arial Narrow" w:cs="Times New Roman"/>
          <w:sz w:val="28"/>
          <w:szCs w:val="28"/>
          <w:lang w:val="lv-LV"/>
        </w:rPr>
        <w:t>, piemēram</w:t>
      </w:r>
      <w:r w:rsidR="00645C73" w:rsidRPr="00C240F4">
        <w:rPr>
          <w:rFonts w:ascii="Arial Narrow" w:hAnsi="Arial Narrow" w:cs="Times New Roman"/>
          <w:sz w:val="28"/>
          <w:szCs w:val="28"/>
          <w:lang w:val="lv-LV"/>
        </w:rPr>
        <w:t xml:space="preserve">, </w:t>
      </w:r>
      <w:r w:rsidR="00993ABB" w:rsidRPr="00C240F4">
        <w:rPr>
          <w:rFonts w:ascii="Arial Narrow" w:hAnsi="Arial Narrow" w:cs="Times New Roman"/>
          <w:sz w:val="28"/>
          <w:szCs w:val="28"/>
          <w:lang w:val="lv-LV"/>
        </w:rPr>
        <w:t>sociālās zinātnes, komerczinības un tiesības</w:t>
      </w:r>
      <w:r w:rsidR="00902BCB" w:rsidRPr="00C240F4">
        <w:rPr>
          <w:rFonts w:ascii="Arial Narrow" w:hAnsi="Arial Narrow" w:cs="Times New Roman"/>
          <w:sz w:val="28"/>
          <w:szCs w:val="28"/>
          <w:lang w:val="lv-LV"/>
        </w:rPr>
        <w:t>, veselības aprūpe un sociālā labklājība, izglītība u.c.</w:t>
      </w:r>
    </w:p>
    <w:p w14:paraId="0826F412" w14:textId="77777777" w:rsidR="00464CC6" w:rsidRDefault="006D2E2A" w:rsidP="00464CC6">
      <w:pPr>
        <w:jc w:val="right"/>
        <w:rPr>
          <w:rFonts w:ascii="Arial Narrow" w:hAnsi="Arial Narrow" w:cs="Times New Roman"/>
          <w:b/>
          <w:bCs/>
          <w:sz w:val="28"/>
          <w:szCs w:val="28"/>
          <w:lang w:val="lv-LV"/>
        </w:rPr>
      </w:pPr>
      <w:r w:rsidRPr="00FE129A">
        <w:rPr>
          <w:rFonts w:ascii="Arial Narrow" w:hAnsi="Arial Narrow" w:cs="Times New Roman"/>
          <w:b/>
          <w:bCs/>
          <w:sz w:val="28"/>
          <w:szCs w:val="28"/>
          <w:lang w:val="lv-LV"/>
        </w:rPr>
        <w:t xml:space="preserve">Tabula Nr.6 </w:t>
      </w:r>
    </w:p>
    <w:p w14:paraId="6B27B927" w14:textId="31CE6D0B" w:rsidR="003A173B" w:rsidRDefault="00464CC6" w:rsidP="000A4127">
      <w:pPr>
        <w:jc w:val="center"/>
        <w:rPr>
          <w:rFonts w:ascii="Arial Narrow" w:hAnsi="Arial Narrow" w:cs="Times New Roman"/>
          <w:b/>
          <w:bCs/>
          <w:sz w:val="28"/>
          <w:szCs w:val="28"/>
          <w:lang w:val="lv-LV"/>
        </w:rPr>
      </w:pPr>
      <w:r w:rsidRPr="00C240F4">
        <w:rPr>
          <w:rFonts w:ascii="Arial Narrow" w:hAnsi="Arial Narrow"/>
          <w:noProof/>
          <w:sz w:val="28"/>
          <w:szCs w:val="28"/>
          <w:lang w:val="lv-LV" w:eastAsia="lv-LV"/>
        </w:rPr>
        <w:drawing>
          <wp:anchor distT="0" distB="0" distL="114300" distR="114300" simplePos="0" relativeHeight="251658241" behindDoc="0" locked="0" layoutInCell="1" allowOverlap="1" wp14:anchorId="1CA81D94" wp14:editId="00DE863F">
            <wp:simplePos x="0" y="0"/>
            <wp:positionH relativeFrom="margin">
              <wp:posOffset>38100</wp:posOffset>
            </wp:positionH>
            <wp:positionV relativeFrom="paragraph">
              <wp:posOffset>514985</wp:posOffset>
            </wp:positionV>
            <wp:extent cx="5867400" cy="346900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AF25A5" w:rsidRPr="00FE129A">
        <w:rPr>
          <w:rFonts w:ascii="Arial Narrow" w:hAnsi="Arial Narrow" w:cs="Times New Roman"/>
          <w:b/>
          <w:bCs/>
          <w:sz w:val="28"/>
          <w:szCs w:val="28"/>
          <w:lang w:val="lv-LV"/>
        </w:rPr>
        <w:t>Studējošie tematiskajās grupās dalījumā pēc maksas veida, Pārskats par Latvijas augstāko izglītību 2019. gadā</w:t>
      </w:r>
      <w:r w:rsidR="00AF25A5" w:rsidRPr="00C240F4">
        <w:rPr>
          <w:rFonts w:ascii="Arial Narrow" w:hAnsi="Arial Narrow" w:cs="Times New Roman"/>
          <w:b/>
          <w:bCs/>
          <w:sz w:val="28"/>
          <w:szCs w:val="28"/>
          <w:lang w:val="lv-LV"/>
        </w:rPr>
        <w:t xml:space="preserve"> </w:t>
      </w:r>
    </w:p>
    <w:p w14:paraId="492A9C2E" w14:textId="3F9F1437" w:rsidR="00464CC6" w:rsidRPr="00FE129A" w:rsidRDefault="00E656FB" w:rsidP="00727E6E">
      <w:pPr>
        <w:jc w:val="both"/>
        <w:rPr>
          <w:rFonts w:ascii="Arial Narrow" w:hAnsi="Arial Narrow" w:cs="Times New Roman"/>
          <w:b/>
          <w:bCs/>
          <w:color w:val="7030A0"/>
          <w:sz w:val="28"/>
          <w:szCs w:val="28"/>
          <w:u w:val="single"/>
          <w:lang w:val="lv-LV"/>
        </w:rPr>
      </w:pPr>
      <w:r>
        <w:rPr>
          <w:rFonts w:ascii="Arial Narrow" w:hAnsi="Arial Narrow" w:cs="Times New Roman"/>
          <w:b/>
          <w:bCs/>
          <w:color w:val="7030A0"/>
          <w:sz w:val="28"/>
          <w:szCs w:val="28"/>
          <w:u w:val="single"/>
          <w:lang w:val="lv-LV"/>
        </w:rPr>
        <w:t xml:space="preserve">3.1. </w:t>
      </w:r>
      <w:r w:rsidR="00A17623">
        <w:rPr>
          <w:rFonts w:ascii="Arial Narrow" w:hAnsi="Arial Narrow" w:cs="Times New Roman"/>
          <w:b/>
          <w:bCs/>
          <w:color w:val="7030A0"/>
          <w:sz w:val="28"/>
          <w:szCs w:val="28"/>
          <w:u w:val="single"/>
          <w:lang w:val="lv-LV"/>
        </w:rPr>
        <w:t>Piedāvātais</w:t>
      </w:r>
      <w:r w:rsidR="003817D0" w:rsidRPr="00FE129A">
        <w:rPr>
          <w:rFonts w:ascii="Arial Narrow" w:hAnsi="Arial Narrow" w:cs="Times New Roman"/>
          <w:b/>
          <w:bCs/>
          <w:color w:val="7030A0"/>
          <w:sz w:val="28"/>
          <w:szCs w:val="28"/>
          <w:u w:val="single"/>
          <w:lang w:val="lv-LV"/>
        </w:rPr>
        <w:t xml:space="preserve"> risinājums</w:t>
      </w:r>
      <w:r w:rsidR="00A17623">
        <w:rPr>
          <w:rFonts w:ascii="Arial Narrow" w:hAnsi="Arial Narrow" w:cs="Times New Roman"/>
          <w:b/>
          <w:bCs/>
          <w:color w:val="7030A0"/>
          <w:sz w:val="28"/>
          <w:szCs w:val="28"/>
          <w:u w:val="single"/>
          <w:lang w:val="lv-LV"/>
        </w:rPr>
        <w:t xml:space="preserve"> 2020.g. budžeta bāzes izdevumu ietvaros</w:t>
      </w:r>
    </w:p>
    <w:p w14:paraId="4035DE66" w14:textId="203C7697" w:rsidR="0000332A" w:rsidRDefault="00425088" w:rsidP="0016267F">
      <w:pPr>
        <w:ind w:firstLine="720"/>
        <w:jc w:val="both"/>
        <w:rPr>
          <w:rFonts w:ascii="Arial Narrow" w:hAnsi="Arial Narrow" w:cs="Times New Roman"/>
          <w:b/>
          <w:bCs/>
          <w:color w:val="7030A0"/>
          <w:sz w:val="28"/>
          <w:szCs w:val="28"/>
          <w:lang w:val="lv-LV"/>
        </w:rPr>
      </w:pPr>
      <w:r w:rsidRPr="00FE129A">
        <w:rPr>
          <w:rFonts w:ascii="Arial Narrow" w:hAnsi="Arial Narrow" w:cs="Times New Roman"/>
          <w:b/>
          <w:bCs/>
          <w:color w:val="7030A0"/>
          <w:sz w:val="28"/>
          <w:szCs w:val="28"/>
          <w:lang w:val="lv-LV"/>
        </w:rPr>
        <w:t xml:space="preserve">Lai </w:t>
      </w:r>
      <w:r w:rsidR="00751B02" w:rsidRPr="00FE129A">
        <w:rPr>
          <w:rFonts w:ascii="Arial Narrow" w:hAnsi="Arial Narrow" w:cs="Times New Roman"/>
          <w:b/>
          <w:bCs/>
          <w:color w:val="7030A0"/>
          <w:sz w:val="28"/>
          <w:szCs w:val="28"/>
          <w:lang w:val="lv-LV"/>
        </w:rPr>
        <w:t>risinātu</w:t>
      </w:r>
      <w:r w:rsidR="006D2E2A" w:rsidRPr="00FE129A">
        <w:rPr>
          <w:rFonts w:ascii="Arial Narrow" w:hAnsi="Arial Narrow" w:cs="Times New Roman"/>
          <w:b/>
          <w:bCs/>
          <w:color w:val="7030A0"/>
          <w:sz w:val="28"/>
          <w:szCs w:val="28"/>
          <w:lang w:val="lv-LV"/>
        </w:rPr>
        <w:t xml:space="preserve"> jautājumu par papildu </w:t>
      </w:r>
      <w:r w:rsidR="00B41767" w:rsidRPr="00FE129A">
        <w:rPr>
          <w:rFonts w:ascii="Arial Narrow" w:hAnsi="Arial Narrow" w:cs="Times New Roman"/>
          <w:b/>
          <w:bCs/>
          <w:color w:val="7030A0"/>
          <w:sz w:val="28"/>
          <w:szCs w:val="28"/>
          <w:lang w:val="lv-LV"/>
        </w:rPr>
        <w:t>finansējum</w:t>
      </w:r>
      <w:r w:rsidR="006D2E2A" w:rsidRPr="00FE129A">
        <w:rPr>
          <w:rFonts w:ascii="Arial Narrow" w:hAnsi="Arial Narrow" w:cs="Times New Roman"/>
          <w:b/>
          <w:bCs/>
          <w:color w:val="7030A0"/>
          <w:sz w:val="28"/>
          <w:szCs w:val="28"/>
          <w:lang w:val="lv-LV"/>
        </w:rPr>
        <w:t>u</w:t>
      </w:r>
      <w:r w:rsidR="00B41767" w:rsidRPr="00FE129A">
        <w:rPr>
          <w:rFonts w:ascii="Arial Narrow" w:hAnsi="Arial Narrow" w:cs="Times New Roman"/>
          <w:b/>
          <w:bCs/>
          <w:color w:val="7030A0"/>
          <w:sz w:val="28"/>
          <w:szCs w:val="28"/>
          <w:lang w:val="lv-LV"/>
        </w:rPr>
        <w:t xml:space="preserve"> </w:t>
      </w:r>
      <w:r w:rsidR="006D2E2A" w:rsidRPr="00FE129A">
        <w:rPr>
          <w:rFonts w:ascii="Arial Narrow" w:hAnsi="Arial Narrow" w:cs="Times New Roman"/>
          <w:b/>
          <w:bCs/>
          <w:color w:val="7030A0"/>
          <w:sz w:val="28"/>
          <w:szCs w:val="28"/>
          <w:lang w:val="lv-LV"/>
        </w:rPr>
        <w:t>šī mācību gada</w:t>
      </w:r>
      <w:r w:rsidR="00B41767" w:rsidRPr="00FE129A">
        <w:rPr>
          <w:rFonts w:ascii="Arial Narrow" w:hAnsi="Arial Narrow" w:cs="Times New Roman"/>
          <w:b/>
          <w:bCs/>
          <w:color w:val="7030A0"/>
          <w:sz w:val="28"/>
          <w:szCs w:val="28"/>
          <w:lang w:val="lv-LV"/>
        </w:rPr>
        <w:t xml:space="preserve"> studiju kredītu nodrošināšanai,</w:t>
      </w:r>
      <w:r w:rsidR="00751B02" w:rsidRPr="00FE129A">
        <w:rPr>
          <w:rFonts w:ascii="Arial Narrow" w:hAnsi="Arial Narrow" w:cs="Times New Roman"/>
          <w:b/>
          <w:bCs/>
          <w:color w:val="7030A0"/>
          <w:sz w:val="28"/>
          <w:szCs w:val="28"/>
          <w:lang w:val="lv-LV"/>
        </w:rPr>
        <w:t xml:space="preserve"> </w:t>
      </w:r>
      <w:r w:rsidR="001D2D00" w:rsidRPr="00FE129A">
        <w:rPr>
          <w:rFonts w:ascii="Arial Narrow" w:hAnsi="Arial Narrow" w:cs="Times New Roman"/>
          <w:b/>
          <w:bCs/>
          <w:color w:val="7030A0"/>
          <w:sz w:val="28"/>
          <w:szCs w:val="28"/>
          <w:lang w:val="lv-LV"/>
        </w:rPr>
        <w:t>Ministrija</w:t>
      </w:r>
      <w:r w:rsidR="001C3D58" w:rsidRPr="00FE129A">
        <w:rPr>
          <w:rFonts w:ascii="Arial Narrow" w:hAnsi="Arial Narrow" w:cs="Times New Roman"/>
          <w:b/>
          <w:bCs/>
          <w:color w:val="7030A0"/>
          <w:sz w:val="28"/>
          <w:szCs w:val="28"/>
          <w:lang w:val="lv-LV"/>
        </w:rPr>
        <w:t xml:space="preserve"> iero</w:t>
      </w:r>
      <w:r w:rsidR="007B4371" w:rsidRPr="00FE129A">
        <w:rPr>
          <w:rFonts w:ascii="Arial Narrow" w:hAnsi="Arial Narrow" w:cs="Times New Roman"/>
          <w:b/>
          <w:bCs/>
          <w:color w:val="7030A0"/>
          <w:sz w:val="28"/>
          <w:szCs w:val="28"/>
          <w:lang w:val="lv-LV"/>
        </w:rPr>
        <w:t>sina</w:t>
      </w:r>
      <w:r w:rsidR="001D2D00" w:rsidRPr="00FE129A">
        <w:rPr>
          <w:rFonts w:ascii="Arial Narrow" w:hAnsi="Arial Narrow" w:cs="Times New Roman"/>
          <w:b/>
          <w:bCs/>
          <w:color w:val="7030A0"/>
          <w:sz w:val="28"/>
          <w:szCs w:val="28"/>
          <w:lang w:val="lv-LV"/>
        </w:rPr>
        <w:t xml:space="preserve"> veikt </w:t>
      </w:r>
      <w:r w:rsidR="007B4371" w:rsidRPr="00FE129A">
        <w:rPr>
          <w:rFonts w:ascii="Arial Narrow" w:hAnsi="Arial Narrow" w:cs="Times New Roman"/>
          <w:b/>
          <w:bCs/>
          <w:color w:val="7030A0"/>
          <w:sz w:val="28"/>
          <w:szCs w:val="28"/>
          <w:lang w:val="lv-LV"/>
        </w:rPr>
        <w:t xml:space="preserve">finansējuma </w:t>
      </w:r>
      <w:r w:rsidR="001D2D00" w:rsidRPr="00FE129A">
        <w:rPr>
          <w:rFonts w:ascii="Arial Narrow" w:hAnsi="Arial Narrow" w:cs="Times New Roman"/>
          <w:b/>
          <w:bCs/>
          <w:color w:val="7030A0"/>
          <w:sz w:val="28"/>
          <w:szCs w:val="28"/>
          <w:lang w:val="lv-LV"/>
        </w:rPr>
        <w:t xml:space="preserve">pārdali </w:t>
      </w:r>
      <w:r w:rsidR="001F7D6B" w:rsidRPr="00FE129A">
        <w:rPr>
          <w:rFonts w:ascii="Arial Narrow" w:hAnsi="Arial Narrow" w:cs="Times New Roman"/>
          <w:b/>
          <w:bCs/>
          <w:color w:val="7030A0"/>
          <w:sz w:val="28"/>
          <w:szCs w:val="28"/>
          <w:lang w:val="lv-LV"/>
        </w:rPr>
        <w:t>556 516</w:t>
      </w:r>
      <w:r w:rsidR="001D2D00" w:rsidRPr="00FE129A">
        <w:rPr>
          <w:rFonts w:ascii="Arial Narrow" w:hAnsi="Arial Narrow" w:cs="Times New Roman"/>
          <w:b/>
          <w:bCs/>
          <w:color w:val="7030A0"/>
          <w:sz w:val="28"/>
          <w:szCs w:val="28"/>
          <w:lang w:val="lv-LV"/>
        </w:rPr>
        <w:t xml:space="preserve"> </w:t>
      </w:r>
      <w:r w:rsidR="001D2D00" w:rsidRPr="00FE129A">
        <w:rPr>
          <w:rFonts w:ascii="Arial Narrow" w:hAnsi="Arial Narrow" w:cs="Times New Roman"/>
          <w:b/>
          <w:bCs/>
          <w:i/>
          <w:color w:val="7030A0"/>
          <w:sz w:val="28"/>
          <w:szCs w:val="28"/>
          <w:lang w:val="lv-LV"/>
        </w:rPr>
        <w:t>euro</w:t>
      </w:r>
      <w:r w:rsidR="001D2D00" w:rsidRPr="00FE129A">
        <w:rPr>
          <w:rFonts w:ascii="Arial Narrow" w:hAnsi="Arial Narrow" w:cs="Times New Roman"/>
          <w:b/>
          <w:bCs/>
          <w:color w:val="7030A0"/>
          <w:sz w:val="28"/>
          <w:szCs w:val="28"/>
          <w:lang w:val="lv-LV"/>
        </w:rPr>
        <w:t xml:space="preserve"> apmērā ministrijas 2020.gada budžeta ietvaros no pārpalikuma budžeta apakšprogramm</w:t>
      </w:r>
      <w:r w:rsidR="007B4371" w:rsidRPr="00FE129A">
        <w:rPr>
          <w:rFonts w:ascii="Arial Narrow" w:hAnsi="Arial Narrow" w:cs="Times New Roman"/>
          <w:b/>
          <w:bCs/>
          <w:color w:val="7030A0"/>
          <w:sz w:val="28"/>
          <w:szCs w:val="28"/>
          <w:lang w:val="lv-LV"/>
        </w:rPr>
        <w:t>as</w:t>
      </w:r>
      <w:r w:rsidR="001D2D00" w:rsidRPr="00FE129A">
        <w:rPr>
          <w:rFonts w:ascii="Arial Narrow" w:hAnsi="Arial Narrow" w:cs="Times New Roman"/>
          <w:b/>
          <w:bCs/>
          <w:color w:val="7030A0"/>
          <w:sz w:val="28"/>
          <w:szCs w:val="28"/>
          <w:lang w:val="lv-LV"/>
        </w:rPr>
        <w:t xml:space="preserve"> 01.07.00</w:t>
      </w:r>
      <w:r w:rsidR="007B4371" w:rsidRPr="00FE129A">
        <w:rPr>
          <w:rFonts w:ascii="Arial Narrow" w:hAnsi="Arial Narrow" w:cs="Times New Roman"/>
          <w:b/>
          <w:bCs/>
          <w:color w:val="7030A0"/>
          <w:sz w:val="28"/>
          <w:szCs w:val="28"/>
          <w:lang w:val="lv-LV"/>
        </w:rPr>
        <w:t xml:space="preserve"> “</w:t>
      </w:r>
      <w:r w:rsidR="00902BCB" w:rsidRPr="00FE129A">
        <w:rPr>
          <w:rFonts w:ascii="Arial Narrow" w:hAnsi="Arial Narrow" w:cs="Times New Roman"/>
          <w:b/>
          <w:bCs/>
          <w:color w:val="7030A0"/>
          <w:sz w:val="28"/>
          <w:szCs w:val="28"/>
          <w:lang w:val="lv-LV"/>
        </w:rPr>
        <w:t>Dotācija brīvpusdienu nodrošināšanai 1.,2.,3. un 4. klases izglītojamiem</w:t>
      </w:r>
      <w:r w:rsidR="007B4371" w:rsidRPr="00FE129A">
        <w:rPr>
          <w:rFonts w:ascii="Arial Narrow" w:hAnsi="Arial Narrow" w:cs="Times New Roman"/>
          <w:b/>
          <w:bCs/>
          <w:color w:val="7030A0"/>
          <w:sz w:val="28"/>
          <w:szCs w:val="28"/>
          <w:lang w:val="lv-LV"/>
        </w:rPr>
        <w:t>”</w:t>
      </w:r>
      <w:r w:rsidR="001D2D00" w:rsidRPr="00FE129A">
        <w:rPr>
          <w:rFonts w:ascii="Arial Narrow" w:hAnsi="Arial Narrow" w:cs="Times New Roman"/>
          <w:b/>
          <w:bCs/>
          <w:color w:val="7030A0"/>
          <w:sz w:val="28"/>
          <w:szCs w:val="28"/>
          <w:lang w:val="lv-LV"/>
        </w:rPr>
        <w:t xml:space="preserve"> uz budžeta apakšprogrammu 03.04.00 “Studiju un studējošo kreditēšana”</w:t>
      </w:r>
      <w:r w:rsidR="00C61D60">
        <w:rPr>
          <w:rFonts w:ascii="Arial Narrow" w:hAnsi="Arial Narrow" w:cs="Times New Roman"/>
          <w:b/>
          <w:bCs/>
          <w:color w:val="7030A0"/>
          <w:sz w:val="28"/>
          <w:szCs w:val="28"/>
          <w:lang w:val="lv-LV"/>
        </w:rPr>
        <w:t>, kā arī</w:t>
      </w:r>
      <w:r w:rsidR="00895800">
        <w:rPr>
          <w:rFonts w:ascii="Arial Narrow" w:hAnsi="Arial Narrow" w:cs="Times New Roman"/>
          <w:b/>
          <w:bCs/>
          <w:color w:val="7030A0"/>
          <w:sz w:val="28"/>
          <w:szCs w:val="28"/>
          <w:lang w:val="lv-LV"/>
        </w:rPr>
        <w:t xml:space="preserve"> </w:t>
      </w:r>
      <w:r w:rsidR="00895800" w:rsidRPr="00895800">
        <w:rPr>
          <w:rFonts w:ascii="Arial Narrow" w:hAnsi="Arial Narrow" w:cs="Times New Roman"/>
          <w:b/>
          <w:bCs/>
          <w:color w:val="7030A0"/>
          <w:sz w:val="28"/>
          <w:szCs w:val="28"/>
          <w:lang w:val="lv-LV"/>
        </w:rPr>
        <w:t xml:space="preserve">budžeta </w:t>
      </w:r>
      <w:r w:rsidR="00895800" w:rsidRPr="00895800">
        <w:rPr>
          <w:rFonts w:ascii="Arial Narrow" w:hAnsi="Arial Narrow" w:cs="Times New Roman"/>
          <w:b/>
          <w:bCs/>
          <w:color w:val="7030A0"/>
          <w:sz w:val="28"/>
          <w:szCs w:val="28"/>
          <w:lang w:val="lv-LV"/>
        </w:rPr>
        <w:lastRenderedPageBreak/>
        <w:t xml:space="preserve">programmas 03.04.00 ievaros pārdalot 87 063 </w:t>
      </w:r>
      <w:r w:rsidR="00895800" w:rsidRPr="00895800">
        <w:rPr>
          <w:rFonts w:ascii="Arial Narrow" w:hAnsi="Arial Narrow" w:cs="Times New Roman"/>
          <w:b/>
          <w:bCs/>
          <w:i/>
          <w:color w:val="7030A0"/>
          <w:sz w:val="28"/>
          <w:szCs w:val="28"/>
          <w:lang w:val="lv-LV"/>
        </w:rPr>
        <w:t>euro</w:t>
      </w:r>
      <w:r w:rsidR="00895800" w:rsidRPr="00895800">
        <w:rPr>
          <w:rFonts w:ascii="Arial Narrow" w:hAnsi="Arial Narrow" w:cs="Times New Roman"/>
          <w:b/>
          <w:bCs/>
          <w:color w:val="7030A0"/>
          <w:sz w:val="28"/>
          <w:szCs w:val="28"/>
          <w:lang w:val="lv-LV"/>
        </w:rPr>
        <w:t xml:space="preserve"> no izdevumu koda “procentu izdevumi” uz  izdevumu kodu “subsīdijas un dotācijas” (riska segumam jeb portfeļgarantijai), kopā nodrošinot 643 579 </w:t>
      </w:r>
      <w:r w:rsidR="00895800" w:rsidRPr="00895800">
        <w:rPr>
          <w:rFonts w:ascii="Arial Narrow" w:hAnsi="Arial Narrow" w:cs="Times New Roman"/>
          <w:b/>
          <w:bCs/>
          <w:i/>
          <w:color w:val="7030A0"/>
          <w:sz w:val="28"/>
          <w:szCs w:val="28"/>
          <w:lang w:val="lv-LV"/>
        </w:rPr>
        <w:t>euro</w:t>
      </w:r>
      <w:r w:rsidR="00895800" w:rsidRPr="00895800">
        <w:rPr>
          <w:rFonts w:ascii="Arial Narrow" w:hAnsi="Arial Narrow" w:cs="Times New Roman"/>
          <w:b/>
          <w:bCs/>
          <w:color w:val="7030A0"/>
          <w:sz w:val="28"/>
          <w:szCs w:val="28"/>
          <w:lang w:val="lv-LV"/>
        </w:rPr>
        <w:t xml:space="preserve"> papildus finansējumu portfeļgarantijai.</w:t>
      </w:r>
    </w:p>
    <w:p w14:paraId="60E15E26" w14:textId="598E07D7" w:rsidR="00733E85" w:rsidRDefault="00292349" w:rsidP="0030362F">
      <w:pPr>
        <w:jc w:val="both"/>
        <w:rPr>
          <w:rFonts w:ascii="Arial Narrow" w:hAnsi="Arial Narrow" w:cs="Times New Roman"/>
          <w:sz w:val="28"/>
          <w:szCs w:val="28"/>
          <w:lang w:val="lv-LV"/>
        </w:rPr>
      </w:pPr>
      <w:r w:rsidRPr="00292349">
        <w:rPr>
          <w:rFonts w:ascii="Arial Narrow" w:hAnsi="Arial Narrow" w:cs="Times New Roman"/>
          <w:sz w:val="28"/>
          <w:szCs w:val="28"/>
          <w:lang w:val="lv-LV"/>
        </w:rPr>
        <w:t xml:space="preserve">Valsts kontrole revīzijas ziņojumā par </w:t>
      </w:r>
      <w:r>
        <w:rPr>
          <w:rFonts w:ascii="Arial Narrow" w:hAnsi="Arial Narrow" w:cs="Times New Roman"/>
          <w:sz w:val="28"/>
          <w:szCs w:val="28"/>
          <w:lang w:val="lv-LV"/>
        </w:rPr>
        <w:t>ministrijas</w:t>
      </w:r>
      <w:r w:rsidRPr="00292349">
        <w:rPr>
          <w:rFonts w:ascii="Arial Narrow" w:hAnsi="Arial Narrow" w:cs="Times New Roman"/>
          <w:sz w:val="28"/>
          <w:szCs w:val="28"/>
          <w:lang w:val="lv-LV"/>
        </w:rPr>
        <w:t xml:space="preserve"> 2019. gada pārskatu  (Nr. 2.4.1-19/2019) ietvēra izskatāmo atbilstības jautājumu: „Vai I</w:t>
      </w:r>
      <w:r>
        <w:rPr>
          <w:rFonts w:ascii="Arial Narrow" w:hAnsi="Arial Narrow" w:cs="Times New Roman"/>
          <w:sz w:val="28"/>
          <w:szCs w:val="28"/>
          <w:lang w:val="lv-LV"/>
        </w:rPr>
        <w:t>zglītības un zinātnes ministrija</w:t>
      </w:r>
      <w:r w:rsidRPr="00292349">
        <w:rPr>
          <w:rFonts w:ascii="Arial Narrow" w:hAnsi="Arial Narrow" w:cs="Times New Roman"/>
          <w:sz w:val="28"/>
          <w:szCs w:val="28"/>
          <w:lang w:val="lv-LV"/>
        </w:rPr>
        <w:t xml:space="preserve"> ir nodrošinājusi piešķirtā valsts budžeta finansējuma (dotāciju) brīvpusdienu nodrošināšanai 1.–4.klases izglītojamajiem izlietojumu atbilstoši mērķim normatīvajos aktos noteiktajā kārtībā un ap</w:t>
      </w:r>
      <w:r w:rsidR="0030362F">
        <w:rPr>
          <w:rFonts w:ascii="Arial Narrow" w:hAnsi="Arial Narrow" w:cs="Times New Roman"/>
          <w:sz w:val="28"/>
          <w:szCs w:val="28"/>
          <w:lang w:val="lv-LV"/>
        </w:rPr>
        <w:t>jomā”. Valsts kontroles ieskatā</w:t>
      </w:r>
      <w:r w:rsidRPr="00292349">
        <w:rPr>
          <w:rFonts w:ascii="Arial Narrow" w:hAnsi="Arial Narrow" w:cs="Times New Roman"/>
          <w:sz w:val="28"/>
          <w:szCs w:val="28"/>
          <w:lang w:val="lv-LV"/>
        </w:rPr>
        <w:t xml:space="preserve"> attiecībā pašvaldīb</w:t>
      </w:r>
      <w:r>
        <w:rPr>
          <w:rFonts w:ascii="Arial Narrow" w:hAnsi="Arial Narrow" w:cs="Times New Roman"/>
          <w:sz w:val="28"/>
          <w:szCs w:val="28"/>
          <w:lang w:val="lv-LV"/>
        </w:rPr>
        <w:t>ām</w:t>
      </w:r>
      <w:r w:rsidRPr="00292349">
        <w:rPr>
          <w:rFonts w:ascii="Arial Narrow" w:hAnsi="Arial Narrow" w:cs="Times New Roman"/>
          <w:sz w:val="28"/>
          <w:szCs w:val="28"/>
          <w:lang w:val="lv-LV"/>
        </w:rPr>
        <w:t xml:space="preserve">, kuras saimnieciskā gada laikā ir saņēmušas valsts pamatbudžeta kontā transferta ieņēmumus no dotācijas no vispārējiem ieņēmumiem un nav tos izlietojušas, </w:t>
      </w:r>
      <w:r>
        <w:rPr>
          <w:rFonts w:ascii="Arial Narrow" w:hAnsi="Arial Narrow" w:cs="Times New Roman"/>
          <w:sz w:val="28"/>
          <w:szCs w:val="28"/>
          <w:lang w:val="lv-LV"/>
        </w:rPr>
        <w:t xml:space="preserve">ir </w:t>
      </w:r>
      <w:r w:rsidRPr="00292349">
        <w:rPr>
          <w:rFonts w:ascii="Arial Narrow" w:hAnsi="Arial Narrow" w:cs="Times New Roman"/>
          <w:sz w:val="28"/>
          <w:szCs w:val="28"/>
          <w:lang w:val="lv-LV"/>
        </w:rPr>
        <w:t>veic transferta atlikuma atmaksu līdz saimnieciskā gada beigām. Pienākums veikt attiecīgu atmaksu valsts budžetā izriet no Ministru kabineta 2010. gada 28. decembra noteikumu Nr. 1220 „Asignējumu piešķiršanas un izpildes kārtība” 48. un 49. punk</w:t>
      </w:r>
      <w:r>
        <w:rPr>
          <w:rFonts w:ascii="Arial Narrow" w:hAnsi="Arial Narrow" w:cs="Times New Roman"/>
          <w:sz w:val="28"/>
          <w:szCs w:val="28"/>
          <w:lang w:val="lv-LV"/>
        </w:rPr>
        <w:t>ta. Ievērojot minēto, ministrija</w:t>
      </w:r>
      <w:r w:rsidRPr="00292349">
        <w:rPr>
          <w:rFonts w:ascii="Arial Narrow" w:hAnsi="Arial Narrow" w:cs="Times New Roman"/>
          <w:sz w:val="28"/>
          <w:szCs w:val="28"/>
          <w:lang w:val="lv-LV"/>
        </w:rPr>
        <w:t xml:space="preserve"> norādīja Rīgas pilsētas pašvaldībai, ka tai piešķirtos valsts budžeta līdzekļus, kas bija paredzēti izglītojamo ēdināšanai līdz 2019. gada 31. decembrim, tā nebija tiesīga izlietot citam mērķim, un tādējādi neizlietotais finansējums atmaksājams valsts budžetā.  Rīgas domes Izglītības, kultūras un sporta departaments, piekrītot IZM prasībai, ierosināja samazināt finansējuma ieņēmumu daļu, ko plānots pārskaitīt pašvaldībai brīvpusdienu nodrošināšanai 1.-4. klašu izglītojamiem 2020. gada septembra, oktobra, novembra, decembra mēnešiem, attiecīgi par šo summu samazinot iepriekšējo gadu neizlietotā atlikuma (2 128 174,02 </w:t>
      </w:r>
      <w:r w:rsidRPr="00292349">
        <w:rPr>
          <w:rFonts w:ascii="Arial Narrow" w:hAnsi="Arial Narrow" w:cs="Times New Roman"/>
          <w:i/>
          <w:sz w:val="28"/>
          <w:szCs w:val="28"/>
          <w:lang w:val="lv-LV"/>
        </w:rPr>
        <w:t>euro</w:t>
      </w:r>
      <w:r w:rsidRPr="00292349">
        <w:rPr>
          <w:rFonts w:ascii="Arial Narrow" w:hAnsi="Arial Narrow" w:cs="Times New Roman"/>
          <w:sz w:val="28"/>
          <w:szCs w:val="28"/>
          <w:lang w:val="lv-LV"/>
        </w:rPr>
        <w:t>) apmēru, kam IZM arī piekri</w:t>
      </w:r>
      <w:r>
        <w:rPr>
          <w:rFonts w:ascii="Arial Narrow" w:hAnsi="Arial Narrow" w:cs="Times New Roman"/>
          <w:sz w:val="28"/>
          <w:szCs w:val="28"/>
          <w:lang w:val="lv-LV"/>
        </w:rPr>
        <w:t>ta. Iepriekšminētā rezultātā ministrija</w:t>
      </w:r>
      <w:r w:rsidRPr="00292349">
        <w:rPr>
          <w:rFonts w:ascii="Arial Narrow" w:hAnsi="Arial Narrow" w:cs="Times New Roman"/>
          <w:sz w:val="28"/>
          <w:szCs w:val="28"/>
          <w:lang w:val="lv-LV"/>
        </w:rPr>
        <w:t xml:space="preserve"> jau veic un turpinās veikt ieturējumu Rīgas pašvaldība</w:t>
      </w:r>
      <w:r>
        <w:rPr>
          <w:rFonts w:ascii="Arial Narrow" w:hAnsi="Arial Narrow" w:cs="Times New Roman"/>
          <w:sz w:val="28"/>
          <w:szCs w:val="28"/>
          <w:lang w:val="lv-LV"/>
        </w:rPr>
        <w:t>i sākot no 2020. gada septembrim</w:t>
      </w:r>
      <w:r w:rsidRPr="00292349">
        <w:rPr>
          <w:rFonts w:ascii="Arial Narrow" w:hAnsi="Arial Narrow" w:cs="Times New Roman"/>
          <w:sz w:val="28"/>
          <w:szCs w:val="28"/>
          <w:lang w:val="lv-LV"/>
        </w:rPr>
        <w:t xml:space="preserve"> aprēķinātā finansējuma 1.–4. klašu izglītojamo ēdināšanas nodrošināšanai par neizlietoto valsts budžeta līdzekļu apmēru 2 128 174,02 euro, kas Rīgas pašvaldībā netika izlietots 1.–4. klašu izglītojamo ēdināšanas nodrošināšanai uz 2019. gada 31. decembri. Tādējādi </w:t>
      </w:r>
      <w:r w:rsidR="0030362F">
        <w:rPr>
          <w:rFonts w:ascii="Arial Narrow" w:hAnsi="Arial Narrow" w:cs="Times New Roman"/>
          <w:sz w:val="28"/>
          <w:szCs w:val="28"/>
          <w:lang w:val="lv-LV"/>
        </w:rPr>
        <w:t>m</w:t>
      </w:r>
      <w:r w:rsidRPr="00292349">
        <w:rPr>
          <w:rFonts w:ascii="Arial Narrow" w:hAnsi="Arial Narrow" w:cs="Times New Roman"/>
          <w:sz w:val="28"/>
          <w:szCs w:val="28"/>
          <w:lang w:val="lv-LV"/>
        </w:rPr>
        <w:t>ainot brīvpusdienu finansēšan</w:t>
      </w:r>
      <w:r>
        <w:rPr>
          <w:rFonts w:ascii="Arial Narrow" w:hAnsi="Arial Narrow" w:cs="Times New Roman"/>
          <w:sz w:val="28"/>
          <w:szCs w:val="28"/>
          <w:lang w:val="lv-LV"/>
        </w:rPr>
        <w:t>as naudas plūsmu un, ņemot vērā</w:t>
      </w:r>
      <w:r w:rsidRPr="00292349">
        <w:rPr>
          <w:rFonts w:ascii="Arial Narrow" w:hAnsi="Arial Narrow" w:cs="Times New Roman"/>
          <w:sz w:val="28"/>
          <w:szCs w:val="28"/>
          <w:lang w:val="lv-LV"/>
        </w:rPr>
        <w:t xml:space="preserve"> Valsts kontroles ieteikumu par pārskaitīto finanšu līdzekļu atgūšanu no pašvaldībām uz 31.12.2019., veidojas atlikums</w:t>
      </w:r>
      <w:r>
        <w:rPr>
          <w:rFonts w:ascii="Arial Narrow" w:hAnsi="Arial Narrow" w:cs="Times New Roman"/>
          <w:sz w:val="28"/>
          <w:szCs w:val="28"/>
          <w:lang w:val="lv-LV"/>
        </w:rPr>
        <w:t>,</w:t>
      </w:r>
      <w:r w:rsidRPr="00292349">
        <w:rPr>
          <w:rFonts w:ascii="Arial Narrow" w:hAnsi="Arial Narrow" w:cs="Times New Roman"/>
          <w:sz w:val="28"/>
          <w:szCs w:val="28"/>
          <w:lang w:val="lv-LV"/>
        </w:rPr>
        <w:t xml:space="preserve"> </w:t>
      </w:r>
      <w:r>
        <w:rPr>
          <w:rFonts w:ascii="Arial Narrow" w:hAnsi="Arial Narrow" w:cs="Times New Roman"/>
          <w:sz w:val="28"/>
          <w:szCs w:val="28"/>
          <w:lang w:val="lv-LV"/>
        </w:rPr>
        <w:t>daļu no kura</w:t>
      </w:r>
      <w:r w:rsidRPr="00292349">
        <w:rPr>
          <w:rFonts w:ascii="Arial Narrow" w:hAnsi="Arial Narrow" w:cs="Times New Roman"/>
          <w:sz w:val="28"/>
          <w:szCs w:val="28"/>
          <w:lang w:val="lv-LV"/>
        </w:rPr>
        <w:t xml:space="preserve"> iespējams novirzīt šī mācību gada studiju </w:t>
      </w:r>
      <w:r w:rsidR="002145DF">
        <w:rPr>
          <w:rFonts w:ascii="Arial Narrow" w:hAnsi="Arial Narrow" w:cs="Times New Roman"/>
          <w:sz w:val="28"/>
          <w:szCs w:val="28"/>
          <w:lang w:val="lv-LV"/>
        </w:rPr>
        <w:t xml:space="preserve">un studējošo </w:t>
      </w:r>
      <w:r w:rsidRPr="00292349">
        <w:rPr>
          <w:rFonts w:ascii="Arial Narrow" w:hAnsi="Arial Narrow" w:cs="Times New Roman"/>
          <w:sz w:val="28"/>
          <w:szCs w:val="28"/>
          <w:lang w:val="lv-LV"/>
        </w:rPr>
        <w:t>kredītu nodrošināšanai.</w:t>
      </w:r>
    </w:p>
    <w:p w14:paraId="329C7860" w14:textId="77777777" w:rsidR="008625C2" w:rsidRDefault="008625C2" w:rsidP="008625C2">
      <w:pPr>
        <w:spacing w:after="0" w:line="240" w:lineRule="auto"/>
        <w:jc w:val="both"/>
        <w:rPr>
          <w:rFonts w:ascii="Arial Narrow" w:hAnsi="Arial Narrow" w:cs="Times New Roman"/>
          <w:sz w:val="28"/>
          <w:szCs w:val="28"/>
          <w:lang w:val="lv-LV"/>
        </w:rPr>
      </w:pPr>
    </w:p>
    <w:p w14:paraId="37C2D16B" w14:textId="4A6C0ACB" w:rsidR="008625C2" w:rsidRPr="0000332A" w:rsidRDefault="008625C2" w:rsidP="008625C2">
      <w:pPr>
        <w:spacing w:after="0" w:line="240" w:lineRule="auto"/>
        <w:jc w:val="both"/>
        <w:rPr>
          <w:rFonts w:ascii="Arial Narrow" w:hAnsi="Arial Narrow" w:cs="Times New Roman"/>
          <w:b/>
          <w:bCs/>
          <w:color w:val="7030A0"/>
          <w:sz w:val="2"/>
          <w:szCs w:val="2"/>
          <w:lang w:val="lv-LV"/>
        </w:rPr>
      </w:pPr>
      <w:r>
        <w:rPr>
          <w:rFonts w:ascii="Arial Narrow" w:hAnsi="Arial Narrow" w:cs="Times New Roman"/>
          <w:sz w:val="28"/>
          <w:szCs w:val="28"/>
          <w:lang w:val="lv-LV"/>
        </w:rPr>
        <w:t xml:space="preserve">Savukārt procentu izdevumos ir paredzams pārpalikums, jo kredītu izsniegšana pēc jaunā normatīvā regulējuma bija sākusies nevis 1. aprīlī kā tika prognozēts pieņemot 2020.gada budžeta likumu, bet 12. augustā. </w:t>
      </w:r>
    </w:p>
    <w:p w14:paraId="3427EB60" w14:textId="77777777" w:rsidR="00464CC6" w:rsidRDefault="00A51802" w:rsidP="00464CC6">
      <w:pPr>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Tabula Nr.</w:t>
      </w:r>
      <w:r w:rsidR="006D2E2A" w:rsidRPr="00C240F4">
        <w:rPr>
          <w:rFonts w:ascii="Arial Narrow" w:hAnsi="Arial Narrow" w:cs="Times New Roman"/>
          <w:b/>
          <w:bCs/>
          <w:sz w:val="28"/>
          <w:szCs w:val="28"/>
          <w:lang w:val="lv-LV"/>
        </w:rPr>
        <w:t>7</w:t>
      </w:r>
      <w:r w:rsidRPr="00C240F4">
        <w:rPr>
          <w:rFonts w:ascii="Arial Narrow" w:hAnsi="Arial Narrow" w:cs="Times New Roman"/>
          <w:b/>
          <w:bCs/>
          <w:sz w:val="28"/>
          <w:szCs w:val="28"/>
          <w:lang w:val="lv-LV"/>
        </w:rPr>
        <w:t xml:space="preserve"> </w:t>
      </w:r>
    </w:p>
    <w:p w14:paraId="28ED3D8B" w14:textId="7A7D908C" w:rsidR="00733E85" w:rsidRPr="00C240F4" w:rsidRDefault="00A51802" w:rsidP="00464CC6">
      <w:pPr>
        <w:jc w:val="center"/>
        <w:rPr>
          <w:rFonts w:ascii="Arial Narrow" w:hAnsi="Arial Narrow" w:cs="Times New Roman"/>
          <w:b/>
          <w:bCs/>
          <w:sz w:val="28"/>
          <w:szCs w:val="28"/>
          <w:lang w:val="lv-LV"/>
        </w:rPr>
      </w:pPr>
      <w:r w:rsidRPr="00C240F4">
        <w:rPr>
          <w:rFonts w:ascii="Arial Narrow" w:hAnsi="Arial Narrow" w:cs="Times New Roman"/>
          <w:b/>
          <w:bCs/>
          <w:sz w:val="28"/>
          <w:szCs w:val="28"/>
          <w:lang w:val="lv-LV"/>
        </w:rPr>
        <w:t>Papildu nepieciešamais finansējums 2020.gadā</w:t>
      </w:r>
    </w:p>
    <w:tbl>
      <w:tblPr>
        <w:tblStyle w:val="GridTable4-Accent3"/>
        <w:tblW w:w="9386" w:type="dxa"/>
        <w:tblLook w:val="04A0" w:firstRow="1" w:lastRow="0" w:firstColumn="1" w:lastColumn="0" w:noHBand="0" w:noVBand="1"/>
      </w:tblPr>
      <w:tblGrid>
        <w:gridCol w:w="7792"/>
        <w:gridCol w:w="1594"/>
      </w:tblGrid>
      <w:tr w:rsidR="0007303C" w:rsidRPr="00C240F4" w14:paraId="4B12C3B6" w14:textId="77777777" w:rsidTr="00FE129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792" w:type="dxa"/>
            <w:shd w:val="clear" w:color="auto" w:fill="7030A0"/>
            <w:vAlign w:val="center"/>
            <w:hideMark/>
          </w:tcPr>
          <w:p w14:paraId="774D8FD6" w14:textId="1BD5240B" w:rsidR="0007303C" w:rsidRPr="00FE129A" w:rsidRDefault="006D2E2A" w:rsidP="00FE129A">
            <w:pPr>
              <w:jc w:val="center"/>
              <w:rPr>
                <w:rFonts w:ascii="Arial Narrow" w:eastAsia="Times New Roman" w:hAnsi="Arial Narrow" w:cs="Times New Roman"/>
                <w:b w:val="0"/>
                <w:bCs w:val="0"/>
                <w:sz w:val="28"/>
                <w:szCs w:val="28"/>
              </w:rPr>
            </w:pPr>
            <w:r w:rsidRPr="00FE129A">
              <w:rPr>
                <w:rFonts w:ascii="Arial Narrow" w:eastAsia="Times New Roman" w:hAnsi="Arial Narrow" w:cs="Times New Roman"/>
                <w:sz w:val="28"/>
                <w:szCs w:val="28"/>
              </w:rPr>
              <w:t xml:space="preserve">Orientējošais </w:t>
            </w:r>
            <w:r w:rsidR="0007303C" w:rsidRPr="00FE129A">
              <w:rPr>
                <w:rFonts w:ascii="Arial Narrow" w:eastAsia="Times New Roman" w:hAnsi="Arial Narrow" w:cs="Times New Roman"/>
                <w:sz w:val="28"/>
                <w:szCs w:val="28"/>
              </w:rPr>
              <w:t>papildu kredītu skaits</w:t>
            </w:r>
            <w:r w:rsidR="007C076B">
              <w:rPr>
                <w:rFonts w:ascii="Arial Narrow" w:eastAsia="Times New Roman" w:hAnsi="Arial Narrow" w:cs="Times New Roman"/>
                <w:sz w:val="28"/>
                <w:szCs w:val="28"/>
              </w:rPr>
              <w:t xml:space="preserve"> ~</w:t>
            </w:r>
          </w:p>
        </w:tc>
        <w:tc>
          <w:tcPr>
            <w:tcW w:w="1594" w:type="dxa"/>
            <w:shd w:val="clear" w:color="auto" w:fill="7030A0"/>
            <w:noWrap/>
            <w:vAlign w:val="center"/>
            <w:hideMark/>
          </w:tcPr>
          <w:p w14:paraId="75940863" w14:textId="53B578EF" w:rsidR="0007303C" w:rsidRPr="00FE129A" w:rsidRDefault="004C3A55" w:rsidP="00FE129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8"/>
                <w:szCs w:val="28"/>
              </w:rPr>
            </w:pPr>
            <w:r>
              <w:rPr>
                <w:rFonts w:ascii="Arial Narrow" w:eastAsia="Times New Roman" w:hAnsi="Arial Narrow" w:cs="Times New Roman"/>
                <w:sz w:val="28"/>
                <w:szCs w:val="28"/>
              </w:rPr>
              <w:t>478</w:t>
            </w:r>
          </w:p>
        </w:tc>
      </w:tr>
      <w:tr w:rsidR="0007303C" w:rsidRPr="00C240F4" w14:paraId="15E32357" w14:textId="77777777" w:rsidTr="00FE129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29EAFFCD" w14:textId="5BB16449" w:rsidR="0007303C" w:rsidRPr="00C240F4" w:rsidRDefault="0007303C" w:rsidP="00FE129A">
            <w:pP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Vidējā kredīta summa (EUR)</w:t>
            </w:r>
            <w:r w:rsidR="00915057">
              <w:rPr>
                <w:rFonts w:ascii="Arial Narrow" w:eastAsia="Times New Roman" w:hAnsi="Arial Narrow" w:cs="Times New Roman"/>
                <w:color w:val="000000"/>
                <w:sz w:val="28"/>
                <w:szCs w:val="28"/>
              </w:rPr>
              <w:t xml:space="preserve"> uz 3 gadiem</w:t>
            </w:r>
          </w:p>
        </w:tc>
        <w:tc>
          <w:tcPr>
            <w:tcW w:w="1594" w:type="dxa"/>
            <w:noWrap/>
            <w:vAlign w:val="center"/>
            <w:hideMark/>
          </w:tcPr>
          <w:p w14:paraId="3764176B" w14:textId="77777777" w:rsidR="0007303C" w:rsidRPr="00C240F4" w:rsidRDefault="0007303C" w:rsidP="00FE129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6,800</w:t>
            </w:r>
          </w:p>
        </w:tc>
      </w:tr>
      <w:tr w:rsidR="0007303C" w:rsidRPr="00C240F4" w14:paraId="27E758C8" w14:textId="77777777" w:rsidTr="00FE129A">
        <w:trPr>
          <w:trHeight w:val="624"/>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6FD7172D" w14:textId="77777777" w:rsidR="00FE129A" w:rsidRDefault="0007303C" w:rsidP="00FE129A">
            <w:pP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lastRenderedPageBreak/>
              <w:t xml:space="preserve">Kopējā </w:t>
            </w:r>
            <w:r w:rsidR="004D4A39" w:rsidRPr="00C240F4">
              <w:rPr>
                <w:rFonts w:ascii="Arial Narrow" w:eastAsia="Times New Roman" w:hAnsi="Arial Narrow" w:cs="Times New Roman"/>
                <w:color w:val="000000"/>
                <w:sz w:val="28"/>
                <w:szCs w:val="28"/>
              </w:rPr>
              <w:t>papildu</w:t>
            </w:r>
            <w:r w:rsidRPr="00C240F4">
              <w:rPr>
                <w:rFonts w:ascii="Arial Narrow" w:eastAsia="Times New Roman" w:hAnsi="Arial Narrow" w:cs="Times New Roman"/>
                <w:color w:val="000000"/>
                <w:sz w:val="28"/>
                <w:szCs w:val="28"/>
              </w:rPr>
              <w:t xml:space="preserve"> izsniedzamo kredītu summa 3 gados </w:t>
            </w:r>
          </w:p>
          <w:p w14:paraId="45CF6E50" w14:textId="29A1003A" w:rsidR="0007303C" w:rsidRPr="00C240F4" w:rsidRDefault="0007303C" w:rsidP="00FE129A">
            <w:pP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(vidējais studiju ilgums) (EUR)</w:t>
            </w:r>
          </w:p>
        </w:tc>
        <w:tc>
          <w:tcPr>
            <w:tcW w:w="1594" w:type="dxa"/>
            <w:noWrap/>
            <w:vAlign w:val="center"/>
            <w:hideMark/>
          </w:tcPr>
          <w:p w14:paraId="41C7C542" w14:textId="3E7184D5" w:rsidR="0007303C" w:rsidRPr="00C240F4" w:rsidRDefault="004C3A55" w:rsidP="00FE129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8"/>
                <w:szCs w:val="28"/>
              </w:rPr>
            </w:pPr>
            <w:r w:rsidRPr="004C3A55">
              <w:rPr>
                <w:rFonts w:ascii="Arial Narrow" w:eastAsia="Times New Roman" w:hAnsi="Arial Narrow" w:cs="Times New Roman"/>
                <w:color w:val="000000"/>
                <w:sz w:val="28"/>
                <w:szCs w:val="28"/>
              </w:rPr>
              <w:t>3,250,400</w:t>
            </w:r>
          </w:p>
        </w:tc>
      </w:tr>
      <w:tr w:rsidR="0007303C" w:rsidRPr="00C240F4" w14:paraId="4C2DB8CD" w14:textId="77777777" w:rsidTr="00FE129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7145C865" w14:textId="77777777" w:rsidR="0007303C" w:rsidRPr="00C240F4" w:rsidRDefault="0007303C" w:rsidP="00FE129A">
            <w:pP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Gadā izmaksātā kredītu summa 1/3 (EUR)</w:t>
            </w:r>
          </w:p>
        </w:tc>
        <w:tc>
          <w:tcPr>
            <w:tcW w:w="1594" w:type="dxa"/>
            <w:noWrap/>
            <w:vAlign w:val="center"/>
            <w:hideMark/>
          </w:tcPr>
          <w:p w14:paraId="1D25BF6F" w14:textId="470667BD" w:rsidR="0007303C" w:rsidRPr="00C240F4" w:rsidRDefault="004C3A55" w:rsidP="00FE129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8"/>
                <w:szCs w:val="28"/>
              </w:rPr>
            </w:pPr>
            <w:r w:rsidRPr="004C3A55">
              <w:rPr>
                <w:rFonts w:ascii="Arial Narrow" w:eastAsia="Times New Roman" w:hAnsi="Arial Narrow" w:cs="Times New Roman"/>
                <w:color w:val="000000"/>
                <w:sz w:val="28"/>
                <w:szCs w:val="28"/>
              </w:rPr>
              <w:t>1,083,467</w:t>
            </w:r>
          </w:p>
        </w:tc>
      </w:tr>
      <w:tr w:rsidR="0007303C" w:rsidRPr="00C240F4" w14:paraId="7868FF9A" w14:textId="77777777" w:rsidTr="00FE129A">
        <w:trPr>
          <w:trHeight w:val="389"/>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11176226" w14:textId="77777777" w:rsidR="0007303C" w:rsidRPr="00C240F4" w:rsidRDefault="0007303C" w:rsidP="00FE129A">
            <w:pP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Garantija 90% no aizdevuma (EUR)</w:t>
            </w:r>
          </w:p>
        </w:tc>
        <w:tc>
          <w:tcPr>
            <w:tcW w:w="1594" w:type="dxa"/>
            <w:noWrap/>
            <w:vAlign w:val="center"/>
            <w:hideMark/>
          </w:tcPr>
          <w:p w14:paraId="491CFED5" w14:textId="64D2A228" w:rsidR="0007303C" w:rsidRPr="00C240F4" w:rsidRDefault="004C3A55" w:rsidP="00FE129A">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8"/>
                <w:szCs w:val="28"/>
              </w:rPr>
            </w:pPr>
            <w:r w:rsidRPr="004C3A55">
              <w:rPr>
                <w:rFonts w:ascii="Arial Narrow" w:eastAsia="Times New Roman" w:hAnsi="Arial Narrow" w:cs="Times New Roman"/>
                <w:color w:val="000000"/>
                <w:sz w:val="28"/>
                <w:szCs w:val="28"/>
              </w:rPr>
              <w:t>2,925,360</w:t>
            </w:r>
          </w:p>
        </w:tc>
      </w:tr>
      <w:tr w:rsidR="0007303C" w:rsidRPr="00C240F4" w14:paraId="20F48437" w14:textId="77777777" w:rsidTr="00FE129A">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7792" w:type="dxa"/>
            <w:vAlign w:val="center"/>
            <w:hideMark/>
          </w:tcPr>
          <w:p w14:paraId="6F22A90F" w14:textId="1F832D53" w:rsidR="0007303C" w:rsidRPr="00C240F4" w:rsidRDefault="0007303C" w:rsidP="000249ED">
            <w:pPr>
              <w:rPr>
                <w:rFonts w:ascii="Arial Narrow" w:eastAsia="Times New Roman" w:hAnsi="Arial Narrow" w:cs="Times New Roman"/>
                <w:b w:val="0"/>
                <w:bCs w:val="0"/>
                <w:color w:val="000000"/>
                <w:sz w:val="28"/>
                <w:szCs w:val="28"/>
              </w:rPr>
            </w:pPr>
            <w:r w:rsidRPr="00C240F4">
              <w:rPr>
                <w:rFonts w:ascii="Arial Narrow" w:eastAsia="Times New Roman" w:hAnsi="Arial Narrow" w:cs="Times New Roman"/>
                <w:color w:val="000000"/>
                <w:sz w:val="28"/>
                <w:szCs w:val="28"/>
              </w:rPr>
              <w:t>Nepieciešamais riska segums (budžeta finansējums), EUR</w:t>
            </w:r>
            <w:r w:rsidR="00915057">
              <w:rPr>
                <w:rFonts w:ascii="Arial Narrow" w:eastAsia="Times New Roman" w:hAnsi="Arial Narrow" w:cs="Times New Roman"/>
                <w:color w:val="000000"/>
                <w:sz w:val="28"/>
                <w:szCs w:val="28"/>
              </w:rPr>
              <w:t xml:space="preserve"> 3 gados kopā</w:t>
            </w:r>
          </w:p>
        </w:tc>
        <w:tc>
          <w:tcPr>
            <w:tcW w:w="1594" w:type="dxa"/>
            <w:noWrap/>
            <w:vAlign w:val="center"/>
            <w:hideMark/>
          </w:tcPr>
          <w:p w14:paraId="1FBC96DE" w14:textId="5113FE87" w:rsidR="0007303C" w:rsidRPr="00C240F4" w:rsidRDefault="004C3A55" w:rsidP="00FE129A">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8"/>
                <w:szCs w:val="28"/>
              </w:rPr>
            </w:pPr>
            <w:r w:rsidRPr="004C3A55">
              <w:rPr>
                <w:rFonts w:ascii="Arial Narrow" w:eastAsia="Times New Roman" w:hAnsi="Arial Narrow" w:cs="Times New Roman"/>
                <w:b/>
                <w:bCs/>
                <w:color w:val="000000"/>
                <w:sz w:val="28"/>
                <w:szCs w:val="28"/>
              </w:rPr>
              <w:t>643,579</w:t>
            </w:r>
          </w:p>
        </w:tc>
      </w:tr>
    </w:tbl>
    <w:p w14:paraId="5F80E2FB" w14:textId="77777777" w:rsidR="0007303C" w:rsidRPr="00C240F4" w:rsidRDefault="0007303C" w:rsidP="001D2D00">
      <w:pPr>
        <w:ind w:firstLine="720"/>
        <w:jc w:val="both"/>
        <w:rPr>
          <w:rFonts w:ascii="Arial Narrow" w:hAnsi="Arial Narrow" w:cs="Times New Roman"/>
          <w:sz w:val="28"/>
          <w:szCs w:val="28"/>
          <w:lang w:val="lv-LV"/>
        </w:rPr>
      </w:pPr>
    </w:p>
    <w:p w14:paraId="6E90AF71" w14:textId="408080D4" w:rsidR="001D2D00" w:rsidRPr="00C240F4" w:rsidRDefault="001D2D00" w:rsidP="001D2D00">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 xml:space="preserve">Par attiecīgo summu </w:t>
      </w:r>
      <w:r w:rsidR="000E49C2" w:rsidRPr="00C240F4">
        <w:rPr>
          <w:rFonts w:ascii="Arial Narrow" w:hAnsi="Arial Narrow" w:cs="Times New Roman"/>
          <w:sz w:val="28"/>
          <w:szCs w:val="28"/>
          <w:lang w:val="lv-LV"/>
        </w:rPr>
        <w:t xml:space="preserve">ministrija </w:t>
      </w:r>
      <w:r w:rsidR="0007303C" w:rsidRPr="00C240F4">
        <w:rPr>
          <w:rFonts w:ascii="Arial Narrow" w:hAnsi="Arial Narrow" w:cs="Times New Roman"/>
          <w:sz w:val="28"/>
          <w:szCs w:val="28"/>
          <w:lang w:val="lv-LV"/>
        </w:rPr>
        <w:t xml:space="preserve">grozīs </w:t>
      </w:r>
      <w:r w:rsidR="000E49C2" w:rsidRPr="00C240F4">
        <w:rPr>
          <w:rFonts w:ascii="Arial Narrow" w:hAnsi="Arial Narrow" w:cs="Times New Roman"/>
          <w:sz w:val="28"/>
          <w:szCs w:val="28"/>
          <w:lang w:val="lv-LV"/>
        </w:rPr>
        <w:t>līgum</w:t>
      </w:r>
      <w:r w:rsidR="0007303C" w:rsidRPr="00C240F4">
        <w:rPr>
          <w:rFonts w:ascii="Arial Narrow" w:hAnsi="Arial Narrow" w:cs="Times New Roman"/>
          <w:sz w:val="28"/>
          <w:szCs w:val="28"/>
          <w:lang w:val="lv-LV"/>
        </w:rPr>
        <w:t>u</w:t>
      </w:r>
      <w:r w:rsidR="000E49C2" w:rsidRPr="00C240F4">
        <w:rPr>
          <w:rFonts w:ascii="Arial Narrow" w:hAnsi="Arial Narrow" w:cs="Times New Roman"/>
          <w:sz w:val="28"/>
          <w:szCs w:val="28"/>
          <w:lang w:val="lv-LV"/>
        </w:rPr>
        <w:t xml:space="preserve"> ar Altum</w:t>
      </w:r>
      <w:r w:rsidR="0007303C" w:rsidRPr="00C240F4">
        <w:rPr>
          <w:rFonts w:ascii="Arial Narrow" w:hAnsi="Arial Narrow" w:cs="Times New Roman"/>
          <w:sz w:val="28"/>
          <w:szCs w:val="28"/>
          <w:lang w:val="lv-LV"/>
        </w:rPr>
        <w:t>, palielinot</w:t>
      </w:r>
      <w:r w:rsidR="000E49C2" w:rsidRPr="00C240F4">
        <w:rPr>
          <w:rFonts w:ascii="Arial Narrow" w:hAnsi="Arial Narrow" w:cs="Times New Roman"/>
          <w:sz w:val="28"/>
          <w:szCs w:val="28"/>
          <w:lang w:val="lv-LV"/>
        </w:rPr>
        <w:t xml:space="preserve"> </w:t>
      </w:r>
      <w:r w:rsidR="0007303C" w:rsidRPr="00C240F4">
        <w:rPr>
          <w:rFonts w:ascii="Arial Narrow" w:hAnsi="Arial Narrow" w:cs="Times New Roman"/>
          <w:sz w:val="28"/>
          <w:szCs w:val="28"/>
          <w:lang w:val="lv-LV"/>
        </w:rPr>
        <w:t xml:space="preserve">portfeļgarantijai </w:t>
      </w:r>
      <w:r w:rsidR="000E49C2" w:rsidRPr="00C240F4">
        <w:rPr>
          <w:rFonts w:ascii="Arial Narrow" w:hAnsi="Arial Narrow" w:cs="Times New Roman"/>
          <w:sz w:val="28"/>
          <w:szCs w:val="28"/>
          <w:lang w:val="lv-LV"/>
        </w:rPr>
        <w:t xml:space="preserve">paredzēto finansējumu. </w:t>
      </w:r>
    </w:p>
    <w:p w14:paraId="3FA25ED8" w14:textId="77777777" w:rsidR="003817D0" w:rsidRPr="0000332A" w:rsidRDefault="003817D0" w:rsidP="001D2D00">
      <w:pPr>
        <w:ind w:firstLine="720"/>
        <w:jc w:val="both"/>
        <w:rPr>
          <w:rFonts w:ascii="Arial Narrow" w:hAnsi="Arial Narrow" w:cs="Times New Roman"/>
          <w:sz w:val="16"/>
          <w:szCs w:val="16"/>
          <w:lang w:val="lv-LV"/>
        </w:rPr>
      </w:pPr>
    </w:p>
    <w:p w14:paraId="285612C5" w14:textId="34A4A31B" w:rsidR="003817D0" w:rsidRPr="00FE129A" w:rsidRDefault="00E656FB" w:rsidP="00727E6E">
      <w:pPr>
        <w:jc w:val="both"/>
        <w:rPr>
          <w:rFonts w:ascii="Arial Narrow" w:hAnsi="Arial Narrow" w:cs="Times New Roman"/>
          <w:b/>
          <w:bCs/>
          <w:color w:val="7030A0"/>
          <w:sz w:val="28"/>
          <w:szCs w:val="28"/>
          <w:u w:val="single"/>
          <w:lang w:val="lv-LV"/>
        </w:rPr>
      </w:pPr>
      <w:r>
        <w:rPr>
          <w:rFonts w:ascii="Arial Narrow" w:hAnsi="Arial Narrow" w:cs="Times New Roman"/>
          <w:b/>
          <w:bCs/>
          <w:color w:val="7030A0"/>
          <w:sz w:val="28"/>
          <w:szCs w:val="28"/>
          <w:u w:val="single"/>
          <w:lang w:val="lv-LV"/>
        </w:rPr>
        <w:t xml:space="preserve">3.2. </w:t>
      </w:r>
      <w:r w:rsidR="00A17623">
        <w:rPr>
          <w:rFonts w:ascii="Arial Narrow" w:hAnsi="Arial Narrow" w:cs="Times New Roman"/>
          <w:b/>
          <w:bCs/>
          <w:color w:val="7030A0"/>
          <w:sz w:val="28"/>
          <w:szCs w:val="28"/>
          <w:u w:val="single"/>
          <w:lang w:val="lv-LV"/>
        </w:rPr>
        <w:t>Piedāvātais</w:t>
      </w:r>
      <w:r w:rsidR="003817D0" w:rsidRPr="00FE129A">
        <w:rPr>
          <w:rFonts w:ascii="Arial Narrow" w:hAnsi="Arial Narrow" w:cs="Times New Roman"/>
          <w:b/>
          <w:bCs/>
          <w:color w:val="7030A0"/>
          <w:sz w:val="28"/>
          <w:szCs w:val="28"/>
          <w:u w:val="single"/>
          <w:lang w:val="lv-LV"/>
        </w:rPr>
        <w:t xml:space="preserve"> risinājums</w:t>
      </w:r>
      <w:r w:rsidR="00A17623">
        <w:rPr>
          <w:rFonts w:ascii="Arial Narrow" w:hAnsi="Arial Narrow" w:cs="Times New Roman"/>
          <w:b/>
          <w:bCs/>
          <w:color w:val="7030A0"/>
          <w:sz w:val="28"/>
          <w:szCs w:val="28"/>
          <w:u w:val="single"/>
          <w:lang w:val="lv-LV"/>
        </w:rPr>
        <w:t xml:space="preserve"> vidējā termiņa budžeta bāzes izdevumu ietvaros</w:t>
      </w:r>
    </w:p>
    <w:p w14:paraId="3FA77058" w14:textId="3179A0DF" w:rsidR="0007303C" w:rsidRPr="00FE129A" w:rsidRDefault="003817D0" w:rsidP="001D2D00">
      <w:pPr>
        <w:ind w:firstLine="720"/>
        <w:jc w:val="both"/>
        <w:rPr>
          <w:rFonts w:ascii="Arial Narrow" w:hAnsi="Arial Narrow" w:cs="Times New Roman"/>
          <w:color w:val="7030A0"/>
          <w:sz w:val="28"/>
          <w:szCs w:val="28"/>
          <w:lang w:val="lv-LV"/>
        </w:rPr>
      </w:pPr>
      <w:r w:rsidRPr="00FE129A">
        <w:rPr>
          <w:rFonts w:ascii="Arial Narrow" w:hAnsi="Arial Narrow" w:cs="Times New Roman"/>
          <w:color w:val="7030A0"/>
          <w:sz w:val="28"/>
          <w:szCs w:val="28"/>
          <w:lang w:val="lv-LV"/>
        </w:rPr>
        <w:t>N</w:t>
      </w:r>
      <w:r w:rsidR="0007303C" w:rsidRPr="00FE129A">
        <w:rPr>
          <w:rFonts w:ascii="Arial Narrow" w:hAnsi="Arial Narrow" w:cs="Times New Roman"/>
          <w:color w:val="7030A0"/>
          <w:sz w:val="28"/>
          <w:szCs w:val="28"/>
          <w:lang w:val="lv-LV"/>
        </w:rPr>
        <w:t>ākamajos vidējā termiņa budžeta gados ministrija grozīs līgumu ar Altum, samazinot finansējumu portfeļgarantijai un pārdalot to uz procentu subsīdijām</w:t>
      </w:r>
      <w:r w:rsidR="0065287B">
        <w:rPr>
          <w:rFonts w:ascii="Arial Narrow" w:hAnsi="Arial Narrow" w:cs="Times New Roman"/>
          <w:color w:val="7030A0"/>
          <w:sz w:val="28"/>
          <w:szCs w:val="28"/>
          <w:lang w:val="lv-LV"/>
        </w:rPr>
        <w:t xml:space="preserve"> atbilstoši faktiskajai vajadzībai</w:t>
      </w:r>
      <w:r w:rsidR="0007303C" w:rsidRPr="00FE129A">
        <w:rPr>
          <w:rFonts w:ascii="Arial Narrow" w:hAnsi="Arial Narrow" w:cs="Times New Roman"/>
          <w:color w:val="7030A0"/>
          <w:sz w:val="28"/>
          <w:szCs w:val="28"/>
          <w:lang w:val="lv-LV"/>
        </w:rPr>
        <w:t xml:space="preserve">, lai segtu izdevumus par šo </w:t>
      </w:r>
      <w:r w:rsidR="004D4A39" w:rsidRPr="00FE129A">
        <w:rPr>
          <w:rFonts w:ascii="Arial Narrow" w:hAnsi="Arial Narrow" w:cs="Times New Roman"/>
          <w:color w:val="7030A0"/>
          <w:sz w:val="28"/>
          <w:szCs w:val="28"/>
          <w:lang w:val="lv-LV"/>
        </w:rPr>
        <w:t>papildu</w:t>
      </w:r>
      <w:r w:rsidR="0007303C" w:rsidRPr="00FE129A">
        <w:rPr>
          <w:rFonts w:ascii="Arial Narrow" w:hAnsi="Arial Narrow" w:cs="Times New Roman"/>
          <w:color w:val="7030A0"/>
          <w:sz w:val="28"/>
          <w:szCs w:val="28"/>
          <w:lang w:val="lv-LV"/>
        </w:rPr>
        <w:t xml:space="preserve"> izsniegto kredītu procentiem </w:t>
      </w:r>
      <w:r w:rsidR="00ED4554" w:rsidRPr="00FE129A">
        <w:rPr>
          <w:rFonts w:ascii="Arial Narrow" w:eastAsia="Times New Roman" w:hAnsi="Arial Narrow" w:cs="Times New Roman"/>
          <w:color w:val="7030A0"/>
          <w:sz w:val="28"/>
          <w:szCs w:val="28"/>
          <w:lang w:val="lv-LV"/>
        </w:rPr>
        <w:t>kreditēšanas noteikumos</w:t>
      </w:r>
      <w:r w:rsidR="00ED4554" w:rsidRPr="00FE129A">
        <w:rPr>
          <w:rFonts w:ascii="Arial Narrow" w:hAnsi="Arial Narrow" w:cs="Times New Roman"/>
          <w:color w:val="7030A0"/>
          <w:sz w:val="28"/>
          <w:szCs w:val="28"/>
          <w:lang w:val="lv-LV"/>
        </w:rPr>
        <w:t xml:space="preserve"> </w:t>
      </w:r>
      <w:r w:rsidR="0007303C" w:rsidRPr="00FE129A">
        <w:rPr>
          <w:rFonts w:ascii="Arial Narrow" w:hAnsi="Arial Narrow" w:cs="Times New Roman"/>
          <w:color w:val="7030A0"/>
          <w:sz w:val="28"/>
          <w:szCs w:val="28"/>
          <w:lang w:val="lv-LV"/>
        </w:rPr>
        <w:t>paredzētajos gadījumos:</w:t>
      </w:r>
    </w:p>
    <w:p w14:paraId="233C2A91" w14:textId="77777777" w:rsidR="00A17623" w:rsidRDefault="00A17623" w:rsidP="00464CC6">
      <w:pPr>
        <w:jc w:val="right"/>
        <w:rPr>
          <w:rFonts w:ascii="Arial Narrow" w:hAnsi="Arial Narrow" w:cs="Times New Roman"/>
          <w:b/>
          <w:bCs/>
          <w:sz w:val="28"/>
          <w:szCs w:val="28"/>
          <w:lang w:val="lv-LV"/>
        </w:rPr>
      </w:pPr>
    </w:p>
    <w:p w14:paraId="3E1F406C" w14:textId="77777777" w:rsidR="00464CC6" w:rsidRDefault="006D2E2A" w:rsidP="00464CC6">
      <w:pPr>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 xml:space="preserve">Tabula Nr.8 </w:t>
      </w:r>
    </w:p>
    <w:p w14:paraId="0617A42C" w14:textId="4FF748EC" w:rsidR="006D2E2A" w:rsidRPr="00C240F4" w:rsidRDefault="006D2E2A" w:rsidP="00464CC6">
      <w:pPr>
        <w:jc w:val="center"/>
        <w:rPr>
          <w:rFonts w:ascii="Arial Narrow" w:hAnsi="Arial Narrow" w:cs="Times New Roman"/>
          <w:b/>
          <w:bCs/>
          <w:sz w:val="28"/>
          <w:szCs w:val="28"/>
          <w:lang w:val="lv-LV"/>
        </w:rPr>
      </w:pPr>
      <w:r w:rsidRPr="00C240F4">
        <w:rPr>
          <w:rFonts w:ascii="Arial Narrow" w:hAnsi="Arial Narrow" w:cs="Times New Roman"/>
          <w:b/>
          <w:bCs/>
          <w:sz w:val="28"/>
          <w:szCs w:val="28"/>
          <w:lang w:val="lv-LV"/>
        </w:rPr>
        <w:t>Piedāvātās izmaiņas starp izdevumu pozīcijām apakšprogrammā 03.04.00</w:t>
      </w:r>
    </w:p>
    <w:tbl>
      <w:tblPr>
        <w:tblW w:w="9896" w:type="dxa"/>
        <w:tblInd w:w="-5" w:type="dxa"/>
        <w:tblLook w:val="04A0" w:firstRow="1" w:lastRow="0" w:firstColumn="1" w:lastColumn="0" w:noHBand="0" w:noVBand="1"/>
      </w:tblPr>
      <w:tblGrid>
        <w:gridCol w:w="5020"/>
        <w:gridCol w:w="1238"/>
        <w:gridCol w:w="1300"/>
        <w:gridCol w:w="1238"/>
        <w:gridCol w:w="1100"/>
      </w:tblGrid>
      <w:tr w:rsidR="002B6258" w:rsidRPr="00C240F4" w14:paraId="7AAF9591" w14:textId="77777777" w:rsidTr="00776356">
        <w:trPr>
          <w:trHeight w:val="312"/>
        </w:trPr>
        <w:tc>
          <w:tcPr>
            <w:tcW w:w="502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58DC832" w14:textId="2C3A3DAA" w:rsidR="002B6258" w:rsidRPr="00C240F4" w:rsidRDefault="002B6258" w:rsidP="00C240F4">
            <w:pPr>
              <w:spacing w:after="0" w:line="240" w:lineRule="auto"/>
              <w:jc w:val="center"/>
              <w:rPr>
                <w:rFonts w:ascii="Arial Narrow" w:eastAsia="Times New Roman" w:hAnsi="Arial Narrow" w:cs="Times New Roman"/>
                <w:b/>
                <w:color w:val="FFFFFF" w:themeColor="background1"/>
                <w:sz w:val="28"/>
                <w:szCs w:val="28"/>
                <w:lang w:val="lv-LV"/>
              </w:rPr>
            </w:pPr>
          </w:p>
        </w:tc>
        <w:tc>
          <w:tcPr>
            <w:tcW w:w="1238" w:type="dxa"/>
            <w:tcBorders>
              <w:top w:val="single" w:sz="4" w:space="0" w:color="auto"/>
              <w:left w:val="nil"/>
              <w:bottom w:val="single" w:sz="4" w:space="0" w:color="auto"/>
              <w:right w:val="single" w:sz="4" w:space="0" w:color="auto"/>
            </w:tcBorders>
            <w:shd w:val="clear" w:color="auto" w:fill="7030A0"/>
            <w:noWrap/>
            <w:vAlign w:val="center"/>
            <w:hideMark/>
          </w:tcPr>
          <w:p w14:paraId="7B45F30A" w14:textId="77777777" w:rsidR="002B6258" w:rsidRPr="00C240F4" w:rsidRDefault="002B6258"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2021</w:t>
            </w:r>
          </w:p>
        </w:tc>
        <w:tc>
          <w:tcPr>
            <w:tcW w:w="1300" w:type="dxa"/>
            <w:tcBorders>
              <w:top w:val="single" w:sz="4" w:space="0" w:color="auto"/>
              <w:left w:val="nil"/>
              <w:bottom w:val="single" w:sz="4" w:space="0" w:color="auto"/>
              <w:right w:val="single" w:sz="4" w:space="0" w:color="auto"/>
            </w:tcBorders>
            <w:shd w:val="clear" w:color="auto" w:fill="7030A0"/>
            <w:noWrap/>
            <w:vAlign w:val="center"/>
            <w:hideMark/>
          </w:tcPr>
          <w:p w14:paraId="4589AE69" w14:textId="77777777" w:rsidR="002B6258" w:rsidRPr="00C240F4" w:rsidRDefault="002B6258"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2022</w:t>
            </w:r>
          </w:p>
        </w:tc>
        <w:tc>
          <w:tcPr>
            <w:tcW w:w="1238" w:type="dxa"/>
            <w:tcBorders>
              <w:top w:val="single" w:sz="4" w:space="0" w:color="auto"/>
              <w:left w:val="nil"/>
              <w:bottom w:val="single" w:sz="4" w:space="0" w:color="auto"/>
              <w:right w:val="single" w:sz="4" w:space="0" w:color="auto"/>
            </w:tcBorders>
            <w:shd w:val="clear" w:color="auto" w:fill="7030A0"/>
            <w:noWrap/>
            <w:vAlign w:val="center"/>
            <w:hideMark/>
          </w:tcPr>
          <w:p w14:paraId="4DF4BBA6" w14:textId="77777777" w:rsidR="002B6258" w:rsidRPr="00C240F4" w:rsidRDefault="002B6258"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2023</w:t>
            </w:r>
          </w:p>
        </w:tc>
        <w:tc>
          <w:tcPr>
            <w:tcW w:w="1100" w:type="dxa"/>
            <w:tcBorders>
              <w:top w:val="single" w:sz="4" w:space="0" w:color="auto"/>
              <w:left w:val="nil"/>
              <w:bottom w:val="single" w:sz="4" w:space="0" w:color="auto"/>
              <w:right w:val="single" w:sz="4" w:space="0" w:color="auto"/>
            </w:tcBorders>
            <w:shd w:val="clear" w:color="auto" w:fill="7030A0"/>
            <w:noWrap/>
            <w:vAlign w:val="center"/>
            <w:hideMark/>
          </w:tcPr>
          <w:p w14:paraId="40CFB069" w14:textId="77777777" w:rsidR="002B6258" w:rsidRPr="00C240F4" w:rsidRDefault="002B6258" w:rsidP="00C240F4">
            <w:pPr>
              <w:spacing w:after="0" w:line="240" w:lineRule="auto"/>
              <w:jc w:val="center"/>
              <w:rPr>
                <w:rFonts w:ascii="Arial Narrow" w:eastAsia="Times New Roman" w:hAnsi="Arial Narrow" w:cs="Times New Roman"/>
                <w:b/>
                <w:bCs/>
                <w:color w:val="FFFFFF" w:themeColor="background1"/>
                <w:sz w:val="28"/>
                <w:szCs w:val="28"/>
              </w:rPr>
            </w:pPr>
            <w:r w:rsidRPr="00C240F4">
              <w:rPr>
                <w:rFonts w:ascii="Arial Narrow" w:eastAsia="Times New Roman" w:hAnsi="Arial Narrow" w:cs="Times New Roman"/>
                <w:b/>
                <w:bCs/>
                <w:color w:val="FFFFFF" w:themeColor="background1"/>
                <w:sz w:val="28"/>
                <w:szCs w:val="28"/>
              </w:rPr>
              <w:t>Kopā</w:t>
            </w:r>
          </w:p>
        </w:tc>
      </w:tr>
      <w:tr w:rsidR="002B6258" w:rsidRPr="00C240F4" w14:paraId="3DDDACB8" w14:textId="77777777" w:rsidTr="00776356">
        <w:trPr>
          <w:trHeight w:val="312"/>
        </w:trPr>
        <w:tc>
          <w:tcPr>
            <w:tcW w:w="5020" w:type="dxa"/>
            <w:tcBorders>
              <w:top w:val="nil"/>
              <w:left w:val="single" w:sz="4" w:space="0" w:color="auto"/>
              <w:bottom w:val="single" w:sz="4" w:space="0" w:color="auto"/>
              <w:right w:val="single" w:sz="4" w:space="0" w:color="auto"/>
            </w:tcBorders>
            <w:shd w:val="clear" w:color="auto" w:fill="auto"/>
            <w:noWrap/>
            <w:vAlign w:val="center"/>
            <w:hideMark/>
          </w:tcPr>
          <w:p w14:paraId="3D09CB52" w14:textId="1988CCD0" w:rsidR="002B6258" w:rsidRPr="00C240F4" w:rsidRDefault="004D4A39" w:rsidP="00C240F4">
            <w:pPr>
              <w:spacing w:after="0" w:line="240" w:lineRule="auto"/>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Papildu</w:t>
            </w:r>
            <w:r w:rsidR="002B6258" w:rsidRPr="00C240F4">
              <w:rPr>
                <w:rFonts w:ascii="Arial Narrow" w:eastAsia="Times New Roman" w:hAnsi="Arial Narrow" w:cs="Times New Roman"/>
                <w:bCs/>
                <w:color w:val="000000"/>
                <w:sz w:val="28"/>
                <w:szCs w:val="28"/>
              </w:rPr>
              <w:t xml:space="preserve"> izsniegto kredītu apjoms (EUR)</w:t>
            </w:r>
            <w:r w:rsidR="00402A18">
              <w:rPr>
                <w:rFonts w:ascii="Arial Narrow" w:eastAsia="Times New Roman" w:hAnsi="Arial Narrow" w:cs="Times New Roman"/>
                <w:bCs/>
                <w:color w:val="000000"/>
                <w:sz w:val="28"/>
                <w:szCs w:val="28"/>
              </w:rPr>
              <w:t xml:space="preserve">, kumulatīvs (katru gadu </w:t>
            </w:r>
            <w:r w:rsidR="00776356" w:rsidRPr="00776356">
              <w:rPr>
                <w:rFonts w:ascii="Arial Narrow" w:eastAsia="Times New Roman" w:hAnsi="Arial Narrow" w:cs="Times New Roman"/>
                <w:bCs/>
                <w:color w:val="000000"/>
                <w:sz w:val="28"/>
                <w:szCs w:val="28"/>
              </w:rPr>
              <w:t xml:space="preserve">1,083,467 </w:t>
            </w:r>
            <w:r w:rsidR="00402A18">
              <w:rPr>
                <w:rFonts w:ascii="Arial Narrow" w:eastAsia="Times New Roman" w:hAnsi="Arial Narrow" w:cs="Times New Roman"/>
                <w:bCs/>
                <w:color w:val="000000"/>
                <w:sz w:val="28"/>
                <w:szCs w:val="28"/>
              </w:rPr>
              <w:t>euro)</w:t>
            </w:r>
          </w:p>
        </w:tc>
        <w:tc>
          <w:tcPr>
            <w:tcW w:w="1238" w:type="dxa"/>
            <w:tcBorders>
              <w:top w:val="nil"/>
              <w:left w:val="nil"/>
              <w:bottom w:val="single" w:sz="4" w:space="0" w:color="auto"/>
              <w:right w:val="single" w:sz="4" w:space="0" w:color="auto"/>
            </w:tcBorders>
            <w:shd w:val="clear" w:color="auto" w:fill="auto"/>
            <w:noWrap/>
            <w:vAlign w:val="center"/>
            <w:hideMark/>
          </w:tcPr>
          <w:p w14:paraId="3BC9D524" w14:textId="29364C15" w:rsidR="002B6258" w:rsidRPr="00C240F4" w:rsidRDefault="003666AA" w:rsidP="00C240F4">
            <w:pPr>
              <w:spacing w:after="0" w:line="240" w:lineRule="auto"/>
              <w:jc w:val="center"/>
              <w:rPr>
                <w:rFonts w:ascii="Arial Narrow" w:eastAsia="Times New Roman" w:hAnsi="Arial Narrow" w:cs="Times New Roman"/>
                <w:color w:val="000000"/>
                <w:sz w:val="28"/>
                <w:szCs w:val="28"/>
              </w:rPr>
            </w:pPr>
            <w:r w:rsidRPr="003666AA">
              <w:rPr>
                <w:rFonts w:ascii="Arial Narrow" w:eastAsia="Times New Roman" w:hAnsi="Arial Narrow" w:cs="Times New Roman"/>
                <w:color w:val="000000"/>
                <w:sz w:val="28"/>
                <w:szCs w:val="28"/>
              </w:rPr>
              <w:t>1,083,467</w:t>
            </w:r>
          </w:p>
        </w:tc>
        <w:tc>
          <w:tcPr>
            <w:tcW w:w="1300" w:type="dxa"/>
            <w:tcBorders>
              <w:top w:val="nil"/>
              <w:left w:val="nil"/>
              <w:bottom w:val="single" w:sz="4" w:space="0" w:color="auto"/>
              <w:right w:val="single" w:sz="4" w:space="0" w:color="auto"/>
            </w:tcBorders>
            <w:shd w:val="clear" w:color="auto" w:fill="auto"/>
            <w:noWrap/>
            <w:vAlign w:val="center"/>
            <w:hideMark/>
          </w:tcPr>
          <w:p w14:paraId="4902A370" w14:textId="2AB0A16F"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2,166,933</w:t>
            </w:r>
          </w:p>
        </w:tc>
        <w:tc>
          <w:tcPr>
            <w:tcW w:w="1238" w:type="dxa"/>
            <w:tcBorders>
              <w:top w:val="nil"/>
              <w:left w:val="nil"/>
              <w:bottom w:val="single" w:sz="4" w:space="0" w:color="auto"/>
              <w:right w:val="single" w:sz="4" w:space="0" w:color="auto"/>
            </w:tcBorders>
            <w:shd w:val="clear" w:color="auto" w:fill="auto"/>
            <w:noWrap/>
            <w:vAlign w:val="center"/>
            <w:hideMark/>
          </w:tcPr>
          <w:p w14:paraId="0544E5F8" w14:textId="0B69505F"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3,250,400</w:t>
            </w:r>
          </w:p>
        </w:tc>
        <w:tc>
          <w:tcPr>
            <w:tcW w:w="1100" w:type="dxa"/>
            <w:tcBorders>
              <w:top w:val="nil"/>
              <w:left w:val="nil"/>
              <w:bottom w:val="single" w:sz="4" w:space="0" w:color="auto"/>
              <w:right w:val="single" w:sz="4" w:space="0" w:color="auto"/>
            </w:tcBorders>
            <w:shd w:val="clear" w:color="auto" w:fill="auto"/>
            <w:noWrap/>
            <w:vAlign w:val="center"/>
            <w:hideMark/>
          </w:tcPr>
          <w:p w14:paraId="3F370C3F" w14:textId="515C7C99" w:rsidR="002B6258" w:rsidRPr="00C240F4" w:rsidRDefault="002B6258" w:rsidP="00C240F4">
            <w:pPr>
              <w:spacing w:after="0" w:line="240" w:lineRule="auto"/>
              <w:jc w:val="center"/>
              <w:rPr>
                <w:rFonts w:ascii="Arial Narrow" w:eastAsia="Times New Roman" w:hAnsi="Arial Narrow" w:cs="Times New Roman"/>
                <w:color w:val="000000"/>
                <w:sz w:val="28"/>
                <w:szCs w:val="28"/>
              </w:rPr>
            </w:pPr>
          </w:p>
        </w:tc>
      </w:tr>
      <w:tr w:rsidR="002B6258" w:rsidRPr="00C240F4" w14:paraId="1E59CCF9" w14:textId="77777777" w:rsidTr="00776356">
        <w:trPr>
          <w:trHeight w:val="312"/>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C37F4E5" w14:textId="77777777" w:rsidR="002B6258" w:rsidRPr="00C240F4" w:rsidRDefault="00194331" w:rsidP="00C240F4">
            <w:pPr>
              <w:spacing w:after="0" w:line="240" w:lineRule="auto"/>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EURIBOR 0% (</w:t>
            </w:r>
            <w:r w:rsidR="002B6258" w:rsidRPr="00C240F4">
              <w:rPr>
                <w:rFonts w:ascii="Arial Narrow" w:eastAsia="Times New Roman" w:hAnsi="Arial Narrow" w:cs="Times New Roman"/>
                <w:color w:val="000000"/>
                <w:sz w:val="28"/>
                <w:szCs w:val="28"/>
              </w:rPr>
              <w:t>jo prognozēta negatīva likme)</w:t>
            </w:r>
          </w:p>
        </w:tc>
        <w:tc>
          <w:tcPr>
            <w:tcW w:w="1238" w:type="dxa"/>
            <w:tcBorders>
              <w:top w:val="nil"/>
              <w:left w:val="nil"/>
              <w:bottom w:val="single" w:sz="4" w:space="0" w:color="auto"/>
              <w:right w:val="single" w:sz="4" w:space="0" w:color="auto"/>
            </w:tcBorders>
            <w:shd w:val="clear" w:color="auto" w:fill="auto"/>
            <w:noWrap/>
            <w:vAlign w:val="center"/>
            <w:hideMark/>
          </w:tcPr>
          <w:p w14:paraId="09BADE2B"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0.00%</w:t>
            </w:r>
          </w:p>
        </w:tc>
        <w:tc>
          <w:tcPr>
            <w:tcW w:w="1300" w:type="dxa"/>
            <w:tcBorders>
              <w:top w:val="nil"/>
              <w:left w:val="nil"/>
              <w:bottom w:val="single" w:sz="4" w:space="0" w:color="auto"/>
              <w:right w:val="single" w:sz="4" w:space="0" w:color="auto"/>
            </w:tcBorders>
            <w:shd w:val="clear" w:color="auto" w:fill="auto"/>
            <w:noWrap/>
            <w:vAlign w:val="center"/>
            <w:hideMark/>
          </w:tcPr>
          <w:p w14:paraId="60E9DD87"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0.00%</w:t>
            </w:r>
          </w:p>
        </w:tc>
        <w:tc>
          <w:tcPr>
            <w:tcW w:w="1238" w:type="dxa"/>
            <w:tcBorders>
              <w:top w:val="nil"/>
              <w:left w:val="nil"/>
              <w:bottom w:val="single" w:sz="4" w:space="0" w:color="auto"/>
              <w:right w:val="single" w:sz="4" w:space="0" w:color="auto"/>
            </w:tcBorders>
            <w:shd w:val="clear" w:color="auto" w:fill="auto"/>
            <w:noWrap/>
            <w:vAlign w:val="center"/>
            <w:hideMark/>
          </w:tcPr>
          <w:p w14:paraId="06E46FF2"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0.00%</w:t>
            </w:r>
          </w:p>
        </w:tc>
        <w:tc>
          <w:tcPr>
            <w:tcW w:w="1100" w:type="dxa"/>
            <w:tcBorders>
              <w:top w:val="nil"/>
              <w:left w:val="nil"/>
              <w:bottom w:val="single" w:sz="4" w:space="0" w:color="auto"/>
              <w:right w:val="single" w:sz="4" w:space="0" w:color="auto"/>
            </w:tcBorders>
            <w:shd w:val="clear" w:color="auto" w:fill="auto"/>
            <w:noWrap/>
            <w:vAlign w:val="center"/>
            <w:hideMark/>
          </w:tcPr>
          <w:p w14:paraId="04A7399C" w14:textId="6424CB41" w:rsidR="002B6258" w:rsidRPr="00C240F4" w:rsidRDefault="002B6258" w:rsidP="00C240F4">
            <w:pPr>
              <w:spacing w:after="0" w:line="240" w:lineRule="auto"/>
              <w:jc w:val="center"/>
              <w:rPr>
                <w:rFonts w:ascii="Arial Narrow" w:eastAsia="Times New Roman" w:hAnsi="Arial Narrow" w:cs="Times New Roman"/>
                <w:color w:val="000000"/>
                <w:sz w:val="28"/>
                <w:szCs w:val="28"/>
              </w:rPr>
            </w:pPr>
          </w:p>
        </w:tc>
      </w:tr>
      <w:tr w:rsidR="002B6258" w:rsidRPr="00C240F4" w14:paraId="63E6D4D5" w14:textId="77777777" w:rsidTr="00776356">
        <w:trPr>
          <w:trHeight w:val="312"/>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61921E1" w14:textId="095C838B" w:rsidR="002B6258" w:rsidRPr="00C240F4" w:rsidRDefault="00FC415E" w:rsidP="00C240F4">
            <w:pPr>
              <w:spacing w:after="0" w:line="240" w:lineRule="auto"/>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P</w:t>
            </w:r>
            <w:r w:rsidR="002B6258" w:rsidRPr="00C240F4">
              <w:rPr>
                <w:rFonts w:ascii="Arial Narrow" w:eastAsia="Times New Roman" w:hAnsi="Arial Narrow" w:cs="Times New Roman"/>
                <w:color w:val="000000"/>
                <w:sz w:val="28"/>
                <w:szCs w:val="28"/>
              </w:rPr>
              <w:t>ievienotā likme 3,5%</w:t>
            </w:r>
          </w:p>
        </w:tc>
        <w:tc>
          <w:tcPr>
            <w:tcW w:w="1238" w:type="dxa"/>
            <w:tcBorders>
              <w:top w:val="nil"/>
              <w:left w:val="nil"/>
              <w:bottom w:val="single" w:sz="4" w:space="0" w:color="auto"/>
              <w:right w:val="single" w:sz="4" w:space="0" w:color="auto"/>
            </w:tcBorders>
            <w:shd w:val="clear" w:color="auto" w:fill="auto"/>
            <w:noWrap/>
            <w:vAlign w:val="center"/>
            <w:hideMark/>
          </w:tcPr>
          <w:p w14:paraId="3D35A222"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3.50%</w:t>
            </w:r>
          </w:p>
        </w:tc>
        <w:tc>
          <w:tcPr>
            <w:tcW w:w="1300" w:type="dxa"/>
            <w:tcBorders>
              <w:top w:val="nil"/>
              <w:left w:val="nil"/>
              <w:bottom w:val="single" w:sz="4" w:space="0" w:color="auto"/>
              <w:right w:val="single" w:sz="4" w:space="0" w:color="auto"/>
            </w:tcBorders>
            <w:shd w:val="clear" w:color="auto" w:fill="auto"/>
            <w:noWrap/>
            <w:vAlign w:val="center"/>
            <w:hideMark/>
          </w:tcPr>
          <w:p w14:paraId="4D99D3AF"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3.50%</w:t>
            </w:r>
          </w:p>
        </w:tc>
        <w:tc>
          <w:tcPr>
            <w:tcW w:w="1238" w:type="dxa"/>
            <w:tcBorders>
              <w:top w:val="nil"/>
              <w:left w:val="nil"/>
              <w:bottom w:val="single" w:sz="4" w:space="0" w:color="auto"/>
              <w:right w:val="single" w:sz="4" w:space="0" w:color="auto"/>
            </w:tcBorders>
            <w:shd w:val="clear" w:color="auto" w:fill="auto"/>
            <w:noWrap/>
            <w:vAlign w:val="center"/>
            <w:hideMark/>
          </w:tcPr>
          <w:p w14:paraId="215AB88B" w14:textId="77777777" w:rsidR="002B6258" w:rsidRPr="00C240F4" w:rsidRDefault="002B6258"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3.50%</w:t>
            </w:r>
          </w:p>
        </w:tc>
        <w:tc>
          <w:tcPr>
            <w:tcW w:w="1100" w:type="dxa"/>
            <w:tcBorders>
              <w:top w:val="nil"/>
              <w:left w:val="nil"/>
              <w:bottom w:val="single" w:sz="4" w:space="0" w:color="auto"/>
              <w:right w:val="single" w:sz="4" w:space="0" w:color="auto"/>
            </w:tcBorders>
            <w:shd w:val="clear" w:color="auto" w:fill="auto"/>
            <w:noWrap/>
            <w:vAlign w:val="center"/>
            <w:hideMark/>
          </w:tcPr>
          <w:p w14:paraId="3066696A" w14:textId="72965600" w:rsidR="002B6258" w:rsidRPr="00C240F4" w:rsidRDefault="002B6258" w:rsidP="00C240F4">
            <w:pPr>
              <w:spacing w:after="0" w:line="240" w:lineRule="auto"/>
              <w:jc w:val="center"/>
              <w:rPr>
                <w:rFonts w:ascii="Arial Narrow" w:eastAsia="Times New Roman" w:hAnsi="Arial Narrow" w:cs="Times New Roman"/>
                <w:color w:val="000000"/>
                <w:sz w:val="28"/>
                <w:szCs w:val="28"/>
              </w:rPr>
            </w:pPr>
          </w:p>
        </w:tc>
      </w:tr>
      <w:tr w:rsidR="002B6258" w:rsidRPr="00C240F4" w14:paraId="392B0038" w14:textId="77777777" w:rsidTr="00776356">
        <w:trPr>
          <w:trHeight w:val="630"/>
        </w:trPr>
        <w:tc>
          <w:tcPr>
            <w:tcW w:w="50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7FDA9A" w14:textId="481BFC9D" w:rsidR="002B6258" w:rsidRPr="00C240F4" w:rsidRDefault="004D4A39" w:rsidP="00A152A4">
            <w:pPr>
              <w:spacing w:after="0" w:line="240" w:lineRule="auto"/>
              <w:rPr>
                <w:rFonts w:ascii="Arial Narrow" w:eastAsia="Times New Roman" w:hAnsi="Arial Narrow" w:cs="Times New Roman"/>
                <w:b/>
                <w:bCs/>
                <w:color w:val="000000"/>
                <w:sz w:val="28"/>
                <w:szCs w:val="28"/>
              </w:rPr>
            </w:pPr>
            <w:r w:rsidRPr="00C240F4">
              <w:rPr>
                <w:rFonts w:ascii="Arial Narrow" w:eastAsia="Times New Roman" w:hAnsi="Arial Narrow" w:cs="Times New Roman"/>
                <w:b/>
                <w:bCs/>
                <w:color w:val="000000"/>
                <w:sz w:val="28"/>
                <w:szCs w:val="28"/>
              </w:rPr>
              <w:t>Papildu</w:t>
            </w:r>
            <w:r w:rsidR="002B6258" w:rsidRPr="00C240F4">
              <w:rPr>
                <w:rFonts w:ascii="Arial Narrow" w:eastAsia="Times New Roman" w:hAnsi="Arial Narrow" w:cs="Times New Roman"/>
                <w:b/>
                <w:bCs/>
                <w:color w:val="000000"/>
                <w:sz w:val="28"/>
                <w:szCs w:val="28"/>
              </w:rPr>
              <w:t xml:space="preserve"> nepieciešamais finansējums procentu </w:t>
            </w:r>
            <w:r w:rsidR="00A152A4">
              <w:rPr>
                <w:rFonts w:ascii="Arial Narrow" w:eastAsia="Times New Roman" w:hAnsi="Arial Narrow" w:cs="Times New Roman"/>
                <w:b/>
                <w:bCs/>
                <w:color w:val="000000"/>
                <w:sz w:val="28"/>
                <w:szCs w:val="28"/>
              </w:rPr>
              <w:t>maksājumiem</w:t>
            </w:r>
            <w:r w:rsidR="002B6258" w:rsidRPr="00C240F4">
              <w:rPr>
                <w:rFonts w:ascii="Arial Narrow" w:eastAsia="Times New Roman" w:hAnsi="Arial Narrow" w:cs="Times New Roman"/>
                <w:b/>
                <w:bCs/>
                <w:color w:val="000000"/>
                <w:sz w:val="28"/>
                <w:szCs w:val="28"/>
              </w:rPr>
              <w:t xml:space="preserve"> (EUR)</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28F21D04" w14:textId="60370892"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37,921</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6B4FD879" w14:textId="7123A877"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75,843</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713098BC" w14:textId="4CABF8C4"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113,764</w:t>
            </w:r>
          </w:p>
        </w:tc>
        <w:tc>
          <w:tcPr>
            <w:tcW w:w="1100" w:type="dxa"/>
            <w:tcBorders>
              <w:top w:val="nil"/>
              <w:left w:val="nil"/>
              <w:bottom w:val="single" w:sz="4" w:space="0" w:color="auto"/>
              <w:right w:val="single" w:sz="4" w:space="0" w:color="auto"/>
            </w:tcBorders>
            <w:shd w:val="clear" w:color="auto" w:fill="F2F2F2" w:themeFill="background1" w:themeFillShade="F2"/>
            <w:noWrap/>
            <w:vAlign w:val="center"/>
            <w:hideMark/>
          </w:tcPr>
          <w:p w14:paraId="70604B05" w14:textId="4B551EA1" w:rsidR="002B6258" w:rsidRPr="00C240F4" w:rsidRDefault="00776356" w:rsidP="00C240F4">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227,528</w:t>
            </w:r>
          </w:p>
        </w:tc>
      </w:tr>
      <w:tr w:rsidR="00776356" w:rsidRPr="00C240F4" w14:paraId="2385451D" w14:textId="77777777" w:rsidTr="00776356">
        <w:trPr>
          <w:trHeight w:val="936"/>
        </w:trPr>
        <w:tc>
          <w:tcPr>
            <w:tcW w:w="50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B4327F" w14:textId="07C28220" w:rsidR="00776356" w:rsidRPr="00C240F4" w:rsidRDefault="00776356" w:rsidP="00776356">
            <w:pPr>
              <w:spacing w:after="0" w:line="240" w:lineRule="auto"/>
              <w:rPr>
                <w:rFonts w:ascii="Arial Narrow" w:eastAsia="Times New Roman" w:hAnsi="Arial Narrow" w:cs="Times New Roman"/>
                <w:b/>
                <w:bCs/>
                <w:color w:val="000000"/>
                <w:sz w:val="28"/>
                <w:szCs w:val="28"/>
              </w:rPr>
            </w:pPr>
            <w:r w:rsidRPr="00C240F4">
              <w:rPr>
                <w:rFonts w:ascii="Arial Narrow" w:eastAsia="Times New Roman" w:hAnsi="Arial Narrow" w:cs="Times New Roman"/>
                <w:b/>
                <w:bCs/>
                <w:color w:val="000000"/>
                <w:sz w:val="28"/>
                <w:szCs w:val="28"/>
              </w:rPr>
              <w:t>Pārdale starp budžeta izdevumu kodiem “subsīdijas un dotācijas” (riska segumam jeb portfeļgarantijai) un “procentu izdevumi” 2021.-2023.gadā apakšprogrammas 03.04.00 ietvaros, euro</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3901F6EC" w14:textId="49F4E0E5" w:rsidR="00776356" w:rsidRPr="00C240F4" w:rsidRDefault="00776356" w:rsidP="00776356">
            <w:pPr>
              <w:spacing w:after="0" w:line="240" w:lineRule="auto"/>
              <w:jc w:val="center"/>
              <w:rPr>
                <w:rFonts w:ascii="Arial Narrow" w:eastAsia="Times New Roman" w:hAnsi="Arial Narrow" w:cs="Times New Roman"/>
                <w:bCs/>
                <w:color w:val="000000"/>
                <w:sz w:val="28"/>
                <w:szCs w:val="28"/>
              </w:rPr>
            </w:pPr>
            <w:r w:rsidRPr="00776356">
              <w:rPr>
                <w:rFonts w:ascii="Arial Narrow" w:eastAsia="Times New Roman" w:hAnsi="Arial Narrow" w:cs="Times New Roman"/>
                <w:color w:val="000000"/>
                <w:sz w:val="28"/>
                <w:szCs w:val="28"/>
              </w:rPr>
              <w:t>37,921</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1B6A8BD6" w14:textId="7936010B" w:rsidR="00776356" w:rsidRPr="00C240F4" w:rsidRDefault="00776356" w:rsidP="00776356">
            <w:pPr>
              <w:spacing w:after="0" w:line="240" w:lineRule="auto"/>
              <w:jc w:val="center"/>
              <w:rPr>
                <w:rFonts w:ascii="Arial Narrow" w:eastAsia="Times New Roman" w:hAnsi="Arial Narrow" w:cs="Times New Roman"/>
                <w:bCs/>
                <w:color w:val="000000"/>
                <w:sz w:val="28"/>
                <w:szCs w:val="28"/>
              </w:rPr>
            </w:pPr>
            <w:r w:rsidRPr="00776356">
              <w:rPr>
                <w:rFonts w:ascii="Arial Narrow" w:eastAsia="Times New Roman" w:hAnsi="Arial Narrow" w:cs="Times New Roman"/>
                <w:color w:val="000000"/>
                <w:sz w:val="28"/>
                <w:szCs w:val="28"/>
              </w:rPr>
              <w:t>75,843</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61834AE3" w14:textId="66F1D8E5" w:rsidR="00776356" w:rsidRPr="00C240F4" w:rsidRDefault="00776356" w:rsidP="00776356">
            <w:pPr>
              <w:spacing w:after="0" w:line="240" w:lineRule="auto"/>
              <w:jc w:val="center"/>
              <w:rPr>
                <w:rFonts w:ascii="Arial Narrow" w:eastAsia="Times New Roman" w:hAnsi="Arial Narrow" w:cs="Times New Roman"/>
                <w:bCs/>
                <w:color w:val="000000"/>
                <w:sz w:val="28"/>
                <w:szCs w:val="28"/>
              </w:rPr>
            </w:pPr>
            <w:r w:rsidRPr="00776356">
              <w:rPr>
                <w:rFonts w:ascii="Arial Narrow" w:eastAsia="Times New Roman" w:hAnsi="Arial Narrow" w:cs="Times New Roman"/>
                <w:color w:val="000000"/>
                <w:sz w:val="28"/>
                <w:szCs w:val="28"/>
              </w:rPr>
              <w:t>113,764</w:t>
            </w:r>
          </w:p>
        </w:tc>
        <w:tc>
          <w:tcPr>
            <w:tcW w:w="11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4DCBE82" w14:textId="04A2536F" w:rsidR="00776356" w:rsidRPr="00C240F4" w:rsidRDefault="00776356" w:rsidP="00776356">
            <w:pPr>
              <w:spacing w:after="0" w:line="240" w:lineRule="auto"/>
              <w:jc w:val="center"/>
              <w:rPr>
                <w:rFonts w:ascii="Arial Narrow" w:eastAsia="Times New Roman" w:hAnsi="Arial Narrow" w:cs="Times New Roman"/>
                <w:color w:val="000000"/>
                <w:sz w:val="28"/>
                <w:szCs w:val="28"/>
              </w:rPr>
            </w:pPr>
            <w:r w:rsidRPr="00776356">
              <w:rPr>
                <w:rFonts w:ascii="Arial Narrow" w:eastAsia="Times New Roman" w:hAnsi="Arial Narrow" w:cs="Times New Roman"/>
                <w:color w:val="000000"/>
                <w:sz w:val="28"/>
                <w:szCs w:val="28"/>
              </w:rPr>
              <w:t>227,528</w:t>
            </w:r>
          </w:p>
        </w:tc>
      </w:tr>
      <w:tr w:rsidR="002B6258" w:rsidRPr="00C240F4" w14:paraId="7AEBCFA6" w14:textId="77777777" w:rsidTr="00776356">
        <w:trPr>
          <w:trHeight w:val="312"/>
        </w:trPr>
        <w:tc>
          <w:tcPr>
            <w:tcW w:w="502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B932BD" w14:textId="77777777" w:rsidR="002B6258" w:rsidRPr="00C240F4" w:rsidRDefault="002B6258" w:rsidP="00C240F4">
            <w:pPr>
              <w:spacing w:after="0" w:line="240" w:lineRule="auto"/>
              <w:rPr>
                <w:rFonts w:ascii="Arial Narrow" w:eastAsia="Times New Roman" w:hAnsi="Arial Narrow" w:cs="Times New Roman"/>
                <w:b/>
                <w:bCs/>
                <w:color w:val="000000"/>
                <w:sz w:val="28"/>
                <w:szCs w:val="28"/>
              </w:rPr>
            </w:pPr>
            <w:r w:rsidRPr="00C240F4">
              <w:rPr>
                <w:rFonts w:ascii="Arial Narrow" w:eastAsia="Times New Roman" w:hAnsi="Arial Narrow" w:cs="Times New Roman"/>
                <w:b/>
                <w:bCs/>
                <w:color w:val="000000"/>
                <w:sz w:val="28"/>
                <w:szCs w:val="28"/>
              </w:rPr>
              <w:t>Ietekme uz valsts budžetu (EUR)</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3DDC6842" w14:textId="77777777" w:rsidR="002B6258" w:rsidRPr="00C240F4" w:rsidRDefault="002B6258" w:rsidP="00C240F4">
            <w:pPr>
              <w:spacing w:after="0" w:line="240" w:lineRule="auto"/>
              <w:jc w:val="center"/>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0</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B987F85" w14:textId="77777777" w:rsidR="002B6258" w:rsidRPr="00C240F4" w:rsidRDefault="002B6258" w:rsidP="00C240F4">
            <w:pPr>
              <w:spacing w:after="0" w:line="240" w:lineRule="auto"/>
              <w:jc w:val="center"/>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0</w:t>
            </w:r>
          </w:p>
        </w:tc>
        <w:tc>
          <w:tcPr>
            <w:tcW w:w="1238" w:type="dxa"/>
            <w:tcBorders>
              <w:top w:val="nil"/>
              <w:left w:val="nil"/>
              <w:bottom w:val="single" w:sz="4" w:space="0" w:color="auto"/>
              <w:right w:val="single" w:sz="4" w:space="0" w:color="auto"/>
            </w:tcBorders>
            <w:shd w:val="clear" w:color="auto" w:fill="F2F2F2" w:themeFill="background1" w:themeFillShade="F2"/>
            <w:noWrap/>
            <w:vAlign w:val="center"/>
            <w:hideMark/>
          </w:tcPr>
          <w:p w14:paraId="3460FF76" w14:textId="77777777" w:rsidR="002B6258" w:rsidRPr="00C240F4" w:rsidRDefault="002B6258" w:rsidP="00C240F4">
            <w:pPr>
              <w:spacing w:after="0" w:line="240" w:lineRule="auto"/>
              <w:jc w:val="center"/>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0</w:t>
            </w:r>
          </w:p>
        </w:tc>
        <w:tc>
          <w:tcPr>
            <w:tcW w:w="11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8352C29" w14:textId="77777777" w:rsidR="002B6258" w:rsidRPr="00C240F4" w:rsidRDefault="002B6258" w:rsidP="00C240F4">
            <w:pPr>
              <w:spacing w:after="0" w:line="240" w:lineRule="auto"/>
              <w:jc w:val="center"/>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0</w:t>
            </w:r>
          </w:p>
        </w:tc>
      </w:tr>
    </w:tbl>
    <w:p w14:paraId="4389FA55" w14:textId="77777777" w:rsidR="0007303C" w:rsidRPr="00C240F4" w:rsidRDefault="0007303C" w:rsidP="001D2D00">
      <w:pPr>
        <w:ind w:firstLine="720"/>
        <w:jc w:val="both"/>
        <w:rPr>
          <w:rFonts w:ascii="Arial Narrow" w:hAnsi="Arial Narrow" w:cs="Times New Roman"/>
          <w:sz w:val="28"/>
          <w:szCs w:val="28"/>
          <w:lang w:val="lv-LV"/>
        </w:rPr>
      </w:pPr>
    </w:p>
    <w:p w14:paraId="6D52A6F8" w14:textId="77777777" w:rsidR="00A17623" w:rsidRDefault="00A17623" w:rsidP="00F51BD2">
      <w:pPr>
        <w:ind w:firstLine="720"/>
        <w:jc w:val="both"/>
        <w:rPr>
          <w:rFonts w:ascii="Arial Narrow" w:hAnsi="Arial Narrow" w:cs="Times New Roman"/>
          <w:sz w:val="28"/>
          <w:szCs w:val="28"/>
          <w:lang w:val="lv-LV"/>
        </w:rPr>
      </w:pPr>
    </w:p>
    <w:p w14:paraId="1F555F6E" w14:textId="09593A85" w:rsidR="00141672" w:rsidRPr="00C240F4" w:rsidRDefault="00D37F53" w:rsidP="00F51BD2">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lastRenderedPageBreak/>
        <w:t xml:space="preserve">Tādā veidā būtu iespējams nosegt šī mācību gada paaugstināto pieprasījumu un izsniegt orientējoši </w:t>
      </w:r>
      <w:r w:rsidR="00E536DB" w:rsidRPr="00C240F4">
        <w:rPr>
          <w:rFonts w:ascii="Arial Narrow" w:hAnsi="Arial Narrow" w:cs="Times New Roman"/>
          <w:sz w:val="28"/>
          <w:szCs w:val="28"/>
          <w:lang w:val="lv-LV"/>
        </w:rPr>
        <w:t xml:space="preserve">papildus </w:t>
      </w:r>
      <w:r w:rsidRPr="00C240F4">
        <w:rPr>
          <w:rFonts w:ascii="Arial Narrow" w:hAnsi="Arial Narrow" w:cs="Times New Roman"/>
          <w:sz w:val="28"/>
          <w:szCs w:val="28"/>
          <w:lang w:val="lv-LV"/>
        </w:rPr>
        <w:t>400</w:t>
      </w:r>
      <w:r w:rsidR="00141672" w:rsidRPr="00C240F4">
        <w:rPr>
          <w:rFonts w:ascii="Arial Narrow" w:hAnsi="Arial Narrow" w:cs="Times New Roman"/>
          <w:sz w:val="28"/>
          <w:szCs w:val="28"/>
          <w:lang w:val="lv-LV"/>
        </w:rPr>
        <w:t xml:space="preserve"> kredītu par kopējo summu indikatīvi </w:t>
      </w:r>
      <w:r w:rsidR="00776356">
        <w:rPr>
          <w:rFonts w:ascii="Arial Narrow" w:hAnsi="Arial Narrow" w:cs="Times New Roman"/>
          <w:sz w:val="28"/>
          <w:szCs w:val="28"/>
          <w:lang w:val="lv-LV"/>
        </w:rPr>
        <w:t>3</w:t>
      </w:r>
      <w:r w:rsidRPr="00C240F4">
        <w:rPr>
          <w:rFonts w:ascii="Arial Narrow" w:hAnsi="Arial Narrow" w:cs="Times New Roman"/>
          <w:sz w:val="28"/>
          <w:szCs w:val="28"/>
          <w:lang w:val="lv-LV"/>
        </w:rPr>
        <w:t>,</w:t>
      </w:r>
      <w:r w:rsidR="00776356">
        <w:rPr>
          <w:rFonts w:ascii="Arial Narrow" w:hAnsi="Arial Narrow" w:cs="Times New Roman"/>
          <w:sz w:val="28"/>
          <w:szCs w:val="28"/>
          <w:lang w:val="lv-LV"/>
        </w:rPr>
        <w:t>25</w:t>
      </w:r>
      <w:r w:rsidR="00141672" w:rsidRPr="00C240F4">
        <w:rPr>
          <w:rFonts w:ascii="Arial Narrow" w:hAnsi="Arial Narrow" w:cs="Times New Roman"/>
          <w:sz w:val="28"/>
          <w:szCs w:val="28"/>
          <w:lang w:val="lv-LV"/>
        </w:rPr>
        <w:t xml:space="preserve"> milj. euro.</w:t>
      </w:r>
    </w:p>
    <w:p w14:paraId="381220CA" w14:textId="2D2353B9" w:rsidR="0000332A" w:rsidRDefault="00141672" w:rsidP="0000332A">
      <w:pPr>
        <w:ind w:firstLine="720"/>
        <w:jc w:val="both"/>
        <w:rPr>
          <w:rFonts w:ascii="Arial Narrow" w:hAnsi="Arial Narrow" w:cs="Times New Roman"/>
          <w:b/>
          <w:bCs/>
          <w:sz w:val="28"/>
          <w:szCs w:val="28"/>
          <w:lang w:val="lv-LV"/>
        </w:rPr>
      </w:pPr>
      <w:r w:rsidRPr="00C240F4">
        <w:rPr>
          <w:rFonts w:ascii="Arial Narrow" w:hAnsi="Arial Narrow" w:cs="Times New Roman"/>
          <w:sz w:val="28"/>
          <w:szCs w:val="28"/>
          <w:lang w:val="lv-LV"/>
        </w:rPr>
        <w:t xml:space="preserve">Izvairīties no ietekmes uz nākamo gadu budžetu ministrija varēs, nākamajos gados pārdalot bāzes izdevumu ietvaros </w:t>
      </w:r>
      <w:r w:rsidR="00567A0B" w:rsidRPr="00C240F4">
        <w:rPr>
          <w:rFonts w:ascii="Arial Narrow" w:hAnsi="Arial Narrow" w:cs="Times New Roman"/>
          <w:sz w:val="28"/>
          <w:szCs w:val="28"/>
          <w:lang w:val="lv-LV"/>
        </w:rPr>
        <w:t>daļu</w:t>
      </w:r>
      <w:r w:rsidRPr="00C240F4">
        <w:rPr>
          <w:rFonts w:ascii="Arial Narrow" w:hAnsi="Arial Narrow" w:cs="Times New Roman"/>
          <w:sz w:val="28"/>
          <w:szCs w:val="28"/>
          <w:lang w:val="lv-LV"/>
        </w:rPr>
        <w:t xml:space="preserve"> summ</w:t>
      </w:r>
      <w:r w:rsidR="00567A0B" w:rsidRPr="00C240F4">
        <w:rPr>
          <w:rFonts w:ascii="Arial Narrow" w:hAnsi="Arial Narrow" w:cs="Times New Roman"/>
          <w:sz w:val="28"/>
          <w:szCs w:val="28"/>
          <w:lang w:val="lv-LV"/>
        </w:rPr>
        <w:t>as</w:t>
      </w:r>
      <w:r w:rsidRPr="00C240F4">
        <w:rPr>
          <w:rFonts w:ascii="Arial Narrow" w:hAnsi="Arial Narrow" w:cs="Times New Roman"/>
          <w:sz w:val="28"/>
          <w:szCs w:val="28"/>
          <w:lang w:val="lv-LV"/>
        </w:rPr>
        <w:t xml:space="preserve"> no riska seguma uz procentu subsīdijām, izejot no faktiskās vajadzības.</w:t>
      </w:r>
      <w:r w:rsidR="0000332A" w:rsidRPr="00C240F4">
        <w:rPr>
          <w:rFonts w:ascii="Arial Narrow" w:hAnsi="Arial Narrow" w:cs="Times New Roman"/>
          <w:b/>
          <w:bCs/>
          <w:sz w:val="28"/>
          <w:szCs w:val="28"/>
          <w:lang w:val="lv-LV"/>
        </w:rPr>
        <w:t xml:space="preserve"> </w:t>
      </w:r>
      <w:r w:rsidR="00C61D60" w:rsidRPr="00C61D60">
        <w:rPr>
          <w:rFonts w:ascii="Arial Narrow" w:hAnsi="Arial Narrow" w:cs="Times New Roman"/>
          <w:bCs/>
          <w:sz w:val="28"/>
          <w:szCs w:val="28"/>
          <w:lang w:val="lv-LV"/>
        </w:rPr>
        <w:t>Ņemot vērā, ka katra kredīta izmaksu grafiku nav iespējams paredzēt, procentu izdevumi tiek rēķināti pēc maksimālās summas, visam gadam. Līdz ar to faktiskā vajadzība var būt mazāka.</w:t>
      </w:r>
    </w:p>
    <w:p w14:paraId="2B1204E6" w14:textId="77777777" w:rsidR="00A17623" w:rsidRDefault="00A17623" w:rsidP="0000332A">
      <w:pPr>
        <w:ind w:firstLine="720"/>
        <w:jc w:val="both"/>
        <w:rPr>
          <w:rFonts w:ascii="Arial Narrow" w:hAnsi="Arial Narrow" w:cs="Times New Roman"/>
          <w:b/>
          <w:bCs/>
          <w:sz w:val="28"/>
          <w:szCs w:val="28"/>
          <w:lang w:val="lv-LV"/>
        </w:rPr>
      </w:pPr>
    </w:p>
    <w:p w14:paraId="5CB56FD5" w14:textId="77777777" w:rsidR="00464CC6" w:rsidRDefault="006D2E2A" w:rsidP="00464CC6">
      <w:pPr>
        <w:ind w:firstLine="720"/>
        <w:jc w:val="right"/>
        <w:rPr>
          <w:rFonts w:ascii="Arial Narrow" w:hAnsi="Arial Narrow" w:cs="Times New Roman"/>
          <w:b/>
          <w:bCs/>
          <w:sz w:val="28"/>
          <w:szCs w:val="28"/>
          <w:lang w:val="lv-LV"/>
        </w:rPr>
      </w:pPr>
      <w:r w:rsidRPr="00C240F4">
        <w:rPr>
          <w:rFonts w:ascii="Arial Narrow" w:hAnsi="Arial Narrow" w:cs="Times New Roman"/>
          <w:b/>
          <w:bCs/>
          <w:sz w:val="28"/>
          <w:szCs w:val="28"/>
          <w:lang w:val="lv-LV"/>
        </w:rPr>
        <w:t xml:space="preserve">Tabula Nr.9 </w:t>
      </w:r>
    </w:p>
    <w:p w14:paraId="71B47388" w14:textId="37902003" w:rsidR="006D2E2A" w:rsidRPr="0000332A" w:rsidRDefault="006D2E2A" w:rsidP="00464CC6">
      <w:pPr>
        <w:ind w:firstLine="720"/>
        <w:jc w:val="center"/>
        <w:rPr>
          <w:rFonts w:ascii="Arial Narrow" w:hAnsi="Arial Narrow" w:cs="Times New Roman"/>
          <w:sz w:val="28"/>
          <w:szCs w:val="28"/>
          <w:lang w:val="lv-LV"/>
        </w:rPr>
      </w:pPr>
      <w:r w:rsidRPr="00C240F4">
        <w:rPr>
          <w:rFonts w:ascii="Arial Narrow" w:hAnsi="Arial Narrow" w:cs="Times New Roman"/>
          <w:b/>
          <w:bCs/>
          <w:sz w:val="28"/>
          <w:szCs w:val="28"/>
          <w:lang w:val="lv-LV"/>
        </w:rPr>
        <w:t>Ietekme uz portfeļgarantijas apjomu 2021.-2023.gados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890"/>
        <w:gridCol w:w="1898"/>
        <w:gridCol w:w="2161"/>
      </w:tblGrid>
      <w:tr w:rsidR="006A70BF" w:rsidRPr="00C240F4" w14:paraId="09CAAF11" w14:textId="77777777" w:rsidTr="00464CC6">
        <w:trPr>
          <w:trHeight w:val="550"/>
        </w:trPr>
        <w:tc>
          <w:tcPr>
            <w:tcW w:w="3690" w:type="dxa"/>
            <w:shd w:val="clear" w:color="auto" w:fill="7030A0"/>
            <w:noWrap/>
            <w:vAlign w:val="bottom"/>
            <w:hideMark/>
          </w:tcPr>
          <w:p w14:paraId="4D6052E6" w14:textId="77777777" w:rsidR="006A70BF" w:rsidRPr="00C240F4" w:rsidRDefault="006A70BF" w:rsidP="00946524">
            <w:pPr>
              <w:spacing w:after="0" w:line="240" w:lineRule="auto"/>
              <w:rPr>
                <w:rFonts w:ascii="Arial Narrow" w:eastAsia="Times New Roman" w:hAnsi="Arial Narrow" w:cs="Times New Roman"/>
                <w:b/>
                <w:color w:val="FFFFFF" w:themeColor="background1"/>
                <w:sz w:val="28"/>
                <w:szCs w:val="28"/>
              </w:rPr>
            </w:pPr>
          </w:p>
        </w:tc>
        <w:tc>
          <w:tcPr>
            <w:tcW w:w="1890" w:type="dxa"/>
            <w:shd w:val="clear" w:color="auto" w:fill="7030A0"/>
            <w:noWrap/>
            <w:vAlign w:val="center"/>
            <w:hideMark/>
          </w:tcPr>
          <w:p w14:paraId="03592E0E" w14:textId="77777777" w:rsidR="006A70BF" w:rsidRPr="00C240F4" w:rsidRDefault="006A70BF"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2021</w:t>
            </w:r>
          </w:p>
        </w:tc>
        <w:tc>
          <w:tcPr>
            <w:tcW w:w="1898" w:type="dxa"/>
            <w:shd w:val="clear" w:color="auto" w:fill="7030A0"/>
            <w:noWrap/>
            <w:vAlign w:val="center"/>
            <w:hideMark/>
          </w:tcPr>
          <w:p w14:paraId="0F48832A" w14:textId="77777777" w:rsidR="006A70BF" w:rsidRPr="00C240F4" w:rsidRDefault="006A70BF"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2022</w:t>
            </w:r>
          </w:p>
        </w:tc>
        <w:tc>
          <w:tcPr>
            <w:tcW w:w="2161" w:type="dxa"/>
            <w:shd w:val="clear" w:color="auto" w:fill="7030A0"/>
            <w:noWrap/>
            <w:vAlign w:val="center"/>
            <w:hideMark/>
          </w:tcPr>
          <w:p w14:paraId="6BDC9EF3" w14:textId="77777777" w:rsidR="006A70BF" w:rsidRPr="00C240F4" w:rsidRDefault="006A70BF" w:rsidP="00C240F4">
            <w:pPr>
              <w:spacing w:after="0" w:line="240" w:lineRule="auto"/>
              <w:jc w:val="center"/>
              <w:rPr>
                <w:rFonts w:ascii="Arial Narrow" w:eastAsia="Times New Roman" w:hAnsi="Arial Narrow" w:cs="Times New Roman"/>
                <w:b/>
                <w:color w:val="FFFFFF" w:themeColor="background1"/>
                <w:sz w:val="28"/>
                <w:szCs w:val="28"/>
              </w:rPr>
            </w:pPr>
            <w:r w:rsidRPr="00C240F4">
              <w:rPr>
                <w:rFonts w:ascii="Arial Narrow" w:eastAsia="Times New Roman" w:hAnsi="Arial Narrow" w:cs="Times New Roman"/>
                <w:b/>
                <w:color w:val="FFFFFF" w:themeColor="background1"/>
                <w:sz w:val="28"/>
                <w:szCs w:val="28"/>
              </w:rPr>
              <w:t>2023</w:t>
            </w:r>
          </w:p>
        </w:tc>
      </w:tr>
      <w:tr w:rsidR="006A70BF" w:rsidRPr="00C240F4" w14:paraId="324B91F9" w14:textId="77777777" w:rsidTr="00464CC6">
        <w:trPr>
          <w:trHeight w:val="288"/>
        </w:trPr>
        <w:tc>
          <w:tcPr>
            <w:tcW w:w="3690" w:type="dxa"/>
            <w:shd w:val="clear" w:color="auto" w:fill="auto"/>
            <w:noWrap/>
            <w:vAlign w:val="bottom"/>
            <w:hideMark/>
          </w:tcPr>
          <w:p w14:paraId="3FAACA1C" w14:textId="170349BF" w:rsidR="006A70BF" w:rsidRPr="00C240F4" w:rsidRDefault="006A70BF" w:rsidP="00946524">
            <w:pPr>
              <w:spacing w:after="0" w:line="240" w:lineRule="auto"/>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 xml:space="preserve">Paredzēts budžetā </w:t>
            </w:r>
            <w:r w:rsidR="00D43297">
              <w:rPr>
                <w:rFonts w:ascii="Arial Narrow" w:eastAsia="Times New Roman" w:hAnsi="Arial Narrow" w:cs="Times New Roman"/>
                <w:color w:val="000000"/>
                <w:sz w:val="28"/>
                <w:szCs w:val="28"/>
              </w:rPr>
              <w:t xml:space="preserve"> risku segumam</w:t>
            </w:r>
            <w:r w:rsidRPr="00C240F4">
              <w:rPr>
                <w:rFonts w:ascii="Arial Narrow" w:eastAsia="Times New Roman" w:hAnsi="Arial Narrow" w:cs="Times New Roman"/>
                <w:color w:val="000000"/>
                <w:sz w:val="28"/>
                <w:szCs w:val="28"/>
              </w:rPr>
              <w:t>, euro</w:t>
            </w:r>
          </w:p>
        </w:tc>
        <w:tc>
          <w:tcPr>
            <w:tcW w:w="1890" w:type="dxa"/>
            <w:shd w:val="clear" w:color="auto" w:fill="auto"/>
            <w:noWrap/>
            <w:vAlign w:val="center"/>
            <w:hideMark/>
          </w:tcPr>
          <w:p w14:paraId="16187116" w14:textId="77777777" w:rsidR="006A70BF" w:rsidRPr="00C240F4" w:rsidRDefault="006A70BF"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1,462,500</w:t>
            </w:r>
          </w:p>
        </w:tc>
        <w:tc>
          <w:tcPr>
            <w:tcW w:w="1898" w:type="dxa"/>
            <w:shd w:val="clear" w:color="auto" w:fill="auto"/>
            <w:noWrap/>
            <w:vAlign w:val="center"/>
            <w:hideMark/>
          </w:tcPr>
          <w:p w14:paraId="42B71576" w14:textId="77777777" w:rsidR="006A70BF" w:rsidRPr="00C240F4" w:rsidRDefault="006A70BF"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2,193,750</w:t>
            </w:r>
          </w:p>
        </w:tc>
        <w:tc>
          <w:tcPr>
            <w:tcW w:w="2161" w:type="dxa"/>
            <w:shd w:val="clear" w:color="auto" w:fill="auto"/>
            <w:noWrap/>
            <w:vAlign w:val="center"/>
            <w:hideMark/>
          </w:tcPr>
          <w:p w14:paraId="04BF19C0" w14:textId="77777777" w:rsidR="006A70BF" w:rsidRPr="00C240F4" w:rsidRDefault="006A70BF" w:rsidP="00C240F4">
            <w:pPr>
              <w:spacing w:after="0" w:line="240" w:lineRule="auto"/>
              <w:jc w:val="center"/>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2,642,425</w:t>
            </w:r>
          </w:p>
        </w:tc>
      </w:tr>
      <w:tr w:rsidR="000F28E3" w:rsidRPr="00C240F4" w14:paraId="73264A18" w14:textId="77777777" w:rsidTr="00214D1B">
        <w:trPr>
          <w:trHeight w:val="288"/>
        </w:trPr>
        <w:tc>
          <w:tcPr>
            <w:tcW w:w="3690" w:type="dxa"/>
            <w:shd w:val="clear" w:color="auto" w:fill="auto"/>
            <w:noWrap/>
            <w:vAlign w:val="bottom"/>
          </w:tcPr>
          <w:p w14:paraId="433F8833" w14:textId="7430DA7B" w:rsidR="000F28E3" w:rsidRDefault="000F28E3" w:rsidP="000F28E3">
            <w:pPr>
              <w:spacing w:after="0" w:line="240" w:lineRule="auto"/>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 xml:space="preserve">Pārdale starp izdevumu kodiem “subsīdijas un dotācijas” (riska segumam) </w:t>
            </w:r>
          </w:p>
          <w:p w14:paraId="2787C176" w14:textId="77777777" w:rsidR="000F28E3" w:rsidRDefault="000F28E3" w:rsidP="000F28E3">
            <w:pPr>
              <w:spacing w:after="0" w:line="240" w:lineRule="auto"/>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 xml:space="preserve">un “procentu izdevumi” </w:t>
            </w:r>
          </w:p>
          <w:p w14:paraId="182BD247" w14:textId="6635C051" w:rsidR="000F28E3" w:rsidRPr="00C240F4" w:rsidRDefault="000F28E3" w:rsidP="000F28E3">
            <w:pPr>
              <w:spacing w:after="0" w:line="240" w:lineRule="auto"/>
              <w:rPr>
                <w:rFonts w:ascii="Arial Narrow" w:eastAsia="Times New Roman" w:hAnsi="Arial Narrow" w:cs="Times New Roman"/>
                <w:bCs/>
                <w:color w:val="000000"/>
                <w:sz w:val="28"/>
                <w:szCs w:val="28"/>
              </w:rPr>
            </w:pPr>
            <w:r w:rsidRPr="00C240F4">
              <w:rPr>
                <w:rFonts w:ascii="Arial Narrow" w:eastAsia="Times New Roman" w:hAnsi="Arial Narrow" w:cs="Times New Roman"/>
                <w:bCs/>
                <w:color w:val="000000"/>
                <w:sz w:val="28"/>
                <w:szCs w:val="28"/>
              </w:rPr>
              <w:t>2021.-</w:t>
            </w:r>
            <w:r>
              <w:rPr>
                <w:rFonts w:ascii="Arial Narrow" w:eastAsia="Times New Roman" w:hAnsi="Arial Narrow" w:cs="Times New Roman"/>
                <w:bCs/>
                <w:color w:val="000000"/>
                <w:sz w:val="28"/>
                <w:szCs w:val="28"/>
              </w:rPr>
              <w:t xml:space="preserve"> </w:t>
            </w:r>
            <w:r w:rsidRPr="00C240F4">
              <w:rPr>
                <w:rFonts w:ascii="Arial Narrow" w:eastAsia="Times New Roman" w:hAnsi="Arial Narrow" w:cs="Times New Roman"/>
                <w:bCs/>
                <w:color w:val="000000"/>
                <w:sz w:val="28"/>
                <w:szCs w:val="28"/>
              </w:rPr>
              <w:t>2023.gadā</w:t>
            </w:r>
          </w:p>
        </w:tc>
        <w:tc>
          <w:tcPr>
            <w:tcW w:w="1890" w:type="dxa"/>
            <w:shd w:val="clear" w:color="auto" w:fill="auto"/>
            <w:noWrap/>
          </w:tcPr>
          <w:p w14:paraId="4974AC47"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1C020DF1"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642EB8F2" w14:textId="0C53FEE1" w:rsidR="000F28E3" w:rsidRPr="000F28E3" w:rsidRDefault="000F28E3" w:rsidP="000F28E3">
            <w:pPr>
              <w:spacing w:after="0" w:line="240" w:lineRule="auto"/>
              <w:jc w:val="center"/>
              <w:rPr>
                <w:rFonts w:ascii="Arial Narrow" w:eastAsia="Times New Roman" w:hAnsi="Arial Narrow" w:cs="Times New Roman"/>
                <w:color w:val="000000"/>
                <w:sz w:val="28"/>
                <w:szCs w:val="28"/>
              </w:rPr>
            </w:pPr>
            <w:r w:rsidRPr="000F28E3">
              <w:rPr>
                <w:rFonts w:ascii="Arial Narrow" w:eastAsia="Times New Roman" w:hAnsi="Arial Narrow" w:cs="Times New Roman"/>
                <w:color w:val="000000"/>
                <w:sz w:val="28"/>
                <w:szCs w:val="28"/>
              </w:rPr>
              <w:t>37,921</w:t>
            </w:r>
          </w:p>
        </w:tc>
        <w:tc>
          <w:tcPr>
            <w:tcW w:w="1898" w:type="dxa"/>
            <w:shd w:val="clear" w:color="auto" w:fill="auto"/>
            <w:noWrap/>
          </w:tcPr>
          <w:p w14:paraId="15DD95F1"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70CE0BA6"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6F79FCDE" w14:textId="0F60D2C5" w:rsidR="000F28E3" w:rsidRPr="000F28E3" w:rsidRDefault="000F28E3" w:rsidP="000F28E3">
            <w:pPr>
              <w:spacing w:after="0" w:line="240" w:lineRule="auto"/>
              <w:jc w:val="center"/>
              <w:rPr>
                <w:rFonts w:ascii="Arial Narrow" w:eastAsia="Times New Roman" w:hAnsi="Arial Narrow" w:cs="Times New Roman"/>
                <w:color w:val="000000"/>
                <w:sz w:val="28"/>
                <w:szCs w:val="28"/>
              </w:rPr>
            </w:pPr>
            <w:r w:rsidRPr="000F28E3">
              <w:rPr>
                <w:rFonts w:ascii="Arial Narrow" w:eastAsia="Times New Roman" w:hAnsi="Arial Narrow" w:cs="Times New Roman"/>
                <w:color w:val="000000"/>
                <w:sz w:val="28"/>
                <w:szCs w:val="28"/>
              </w:rPr>
              <w:t>75,843</w:t>
            </w:r>
          </w:p>
        </w:tc>
        <w:tc>
          <w:tcPr>
            <w:tcW w:w="2161" w:type="dxa"/>
            <w:shd w:val="clear" w:color="auto" w:fill="auto"/>
            <w:noWrap/>
          </w:tcPr>
          <w:p w14:paraId="2BA1DBFD"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7B8135F9" w14:textId="77777777" w:rsidR="000F28E3" w:rsidRDefault="000F28E3" w:rsidP="000F28E3">
            <w:pPr>
              <w:spacing w:after="0" w:line="240" w:lineRule="auto"/>
              <w:jc w:val="center"/>
              <w:rPr>
                <w:rFonts w:ascii="Arial Narrow" w:eastAsia="Times New Roman" w:hAnsi="Arial Narrow" w:cs="Times New Roman"/>
                <w:color w:val="000000"/>
                <w:sz w:val="28"/>
                <w:szCs w:val="28"/>
              </w:rPr>
            </w:pPr>
          </w:p>
          <w:p w14:paraId="35E6D280" w14:textId="7BF816FF" w:rsidR="000F28E3" w:rsidRPr="000F28E3" w:rsidRDefault="000F28E3" w:rsidP="000F28E3">
            <w:pPr>
              <w:spacing w:after="0" w:line="240" w:lineRule="auto"/>
              <w:jc w:val="center"/>
              <w:rPr>
                <w:rFonts w:ascii="Arial Narrow" w:eastAsia="Times New Roman" w:hAnsi="Arial Narrow" w:cs="Times New Roman"/>
                <w:color w:val="000000"/>
                <w:sz w:val="28"/>
                <w:szCs w:val="28"/>
              </w:rPr>
            </w:pPr>
            <w:r w:rsidRPr="000F28E3">
              <w:rPr>
                <w:rFonts w:ascii="Arial Narrow" w:eastAsia="Times New Roman" w:hAnsi="Arial Narrow" w:cs="Times New Roman"/>
                <w:color w:val="000000"/>
                <w:sz w:val="28"/>
                <w:szCs w:val="28"/>
              </w:rPr>
              <w:t>113,764</w:t>
            </w:r>
          </w:p>
        </w:tc>
      </w:tr>
      <w:tr w:rsidR="00A13C91" w:rsidRPr="00C240F4" w14:paraId="0E7F53D8" w14:textId="77777777" w:rsidTr="00A62B41">
        <w:trPr>
          <w:trHeight w:val="288"/>
        </w:trPr>
        <w:tc>
          <w:tcPr>
            <w:tcW w:w="3690" w:type="dxa"/>
            <w:shd w:val="clear" w:color="auto" w:fill="auto"/>
            <w:noWrap/>
            <w:vAlign w:val="bottom"/>
          </w:tcPr>
          <w:p w14:paraId="1EF57381" w14:textId="113AA66F" w:rsidR="00A13C91" w:rsidRPr="00C240F4" w:rsidRDefault="00A13C91" w:rsidP="00A13C91">
            <w:pPr>
              <w:spacing w:after="0" w:line="240" w:lineRule="auto"/>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 xml:space="preserve">Paliekošais finansējums </w:t>
            </w:r>
            <w:r>
              <w:rPr>
                <w:rFonts w:ascii="Arial Narrow" w:eastAsia="Times New Roman" w:hAnsi="Arial Narrow" w:cs="Times New Roman"/>
                <w:color w:val="000000"/>
                <w:sz w:val="28"/>
                <w:szCs w:val="28"/>
              </w:rPr>
              <w:t xml:space="preserve"> risku segumam</w:t>
            </w:r>
          </w:p>
        </w:tc>
        <w:tc>
          <w:tcPr>
            <w:tcW w:w="1890" w:type="dxa"/>
            <w:shd w:val="clear" w:color="auto" w:fill="auto"/>
            <w:noWrap/>
          </w:tcPr>
          <w:p w14:paraId="495CEE36" w14:textId="5BB1F183" w:rsidR="00A13C91" w:rsidRPr="00C240F4" w:rsidRDefault="00A13C91" w:rsidP="00A13C91">
            <w:pPr>
              <w:spacing w:after="0" w:line="240" w:lineRule="auto"/>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 xml:space="preserve">     </w:t>
            </w:r>
            <w:r w:rsidRPr="00A13C91">
              <w:rPr>
                <w:rFonts w:ascii="Arial Narrow" w:eastAsia="Times New Roman" w:hAnsi="Arial Narrow" w:cs="Times New Roman"/>
                <w:color w:val="000000"/>
                <w:sz w:val="28"/>
                <w:szCs w:val="28"/>
              </w:rPr>
              <w:t>1,424,579</w:t>
            </w:r>
          </w:p>
        </w:tc>
        <w:tc>
          <w:tcPr>
            <w:tcW w:w="1898" w:type="dxa"/>
            <w:shd w:val="clear" w:color="auto" w:fill="auto"/>
            <w:noWrap/>
          </w:tcPr>
          <w:p w14:paraId="0D2B5900" w14:textId="726EE9A0" w:rsidR="00A13C91" w:rsidRPr="00C240F4" w:rsidRDefault="00A13C91" w:rsidP="00A13C91">
            <w:pPr>
              <w:spacing w:after="0" w:line="240" w:lineRule="auto"/>
              <w:jc w:val="center"/>
              <w:rPr>
                <w:rFonts w:ascii="Arial Narrow" w:eastAsia="Times New Roman" w:hAnsi="Arial Narrow" w:cs="Times New Roman"/>
                <w:color w:val="000000"/>
                <w:sz w:val="28"/>
                <w:szCs w:val="28"/>
              </w:rPr>
            </w:pPr>
            <w:r w:rsidRPr="00A13C91">
              <w:rPr>
                <w:rFonts w:ascii="Arial Narrow" w:eastAsia="Times New Roman" w:hAnsi="Arial Narrow" w:cs="Times New Roman"/>
                <w:color w:val="000000"/>
                <w:sz w:val="28"/>
                <w:szCs w:val="28"/>
              </w:rPr>
              <w:t>2,117,907</w:t>
            </w:r>
          </w:p>
        </w:tc>
        <w:tc>
          <w:tcPr>
            <w:tcW w:w="2161" w:type="dxa"/>
            <w:shd w:val="clear" w:color="auto" w:fill="auto"/>
            <w:noWrap/>
          </w:tcPr>
          <w:p w14:paraId="5301FE23" w14:textId="06B2ABC9" w:rsidR="00A13C91" w:rsidRPr="00C240F4" w:rsidRDefault="00A13C91" w:rsidP="00A13C91">
            <w:pPr>
              <w:spacing w:after="0" w:line="240" w:lineRule="auto"/>
              <w:jc w:val="center"/>
              <w:rPr>
                <w:rFonts w:ascii="Arial Narrow" w:eastAsia="Times New Roman" w:hAnsi="Arial Narrow" w:cs="Times New Roman"/>
                <w:color w:val="000000"/>
                <w:sz w:val="28"/>
                <w:szCs w:val="28"/>
              </w:rPr>
            </w:pPr>
            <w:r w:rsidRPr="00A13C91">
              <w:rPr>
                <w:rFonts w:ascii="Arial Narrow" w:eastAsia="Times New Roman" w:hAnsi="Arial Narrow" w:cs="Times New Roman"/>
                <w:color w:val="000000"/>
                <w:sz w:val="28"/>
                <w:szCs w:val="28"/>
              </w:rPr>
              <w:t>2,528,661</w:t>
            </w:r>
          </w:p>
        </w:tc>
      </w:tr>
      <w:tr w:rsidR="006A70BF" w:rsidRPr="00C240F4" w14:paraId="341E46B7" w14:textId="77777777" w:rsidTr="00464CC6">
        <w:trPr>
          <w:trHeight w:val="971"/>
        </w:trPr>
        <w:tc>
          <w:tcPr>
            <w:tcW w:w="3690" w:type="dxa"/>
            <w:shd w:val="clear" w:color="auto" w:fill="auto"/>
            <w:noWrap/>
            <w:vAlign w:val="bottom"/>
          </w:tcPr>
          <w:p w14:paraId="3D88F930" w14:textId="77777777" w:rsidR="00C240F4" w:rsidRDefault="006A70BF" w:rsidP="006A70BF">
            <w:pPr>
              <w:spacing w:after="0" w:line="240" w:lineRule="auto"/>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Ietekme uz kredītu skaitu attiecīgā gadā</w:t>
            </w:r>
            <w:r w:rsidR="00D129E7" w:rsidRPr="00C240F4">
              <w:rPr>
                <w:rFonts w:ascii="Arial Narrow" w:eastAsia="Times New Roman" w:hAnsi="Arial Narrow" w:cs="Times New Roman"/>
                <w:color w:val="000000"/>
                <w:sz w:val="28"/>
                <w:szCs w:val="28"/>
              </w:rPr>
              <w:t xml:space="preserve"> (mazāks </w:t>
            </w:r>
          </w:p>
          <w:p w14:paraId="45C031C0" w14:textId="4ACC7C3B" w:rsidR="006A70BF" w:rsidRPr="00C240F4" w:rsidRDefault="00D129E7" w:rsidP="006A70BF">
            <w:pPr>
              <w:spacing w:after="0" w:line="240" w:lineRule="auto"/>
              <w:rPr>
                <w:rFonts w:ascii="Arial Narrow" w:eastAsia="Times New Roman" w:hAnsi="Arial Narrow" w:cs="Times New Roman"/>
                <w:color w:val="000000"/>
                <w:sz w:val="28"/>
                <w:szCs w:val="28"/>
              </w:rPr>
            </w:pPr>
            <w:r w:rsidRPr="00C240F4">
              <w:rPr>
                <w:rFonts w:ascii="Arial Narrow" w:eastAsia="Times New Roman" w:hAnsi="Arial Narrow" w:cs="Times New Roman"/>
                <w:color w:val="000000"/>
                <w:sz w:val="28"/>
                <w:szCs w:val="28"/>
              </w:rPr>
              <w:t>kredītu skaits)</w:t>
            </w:r>
          </w:p>
        </w:tc>
        <w:tc>
          <w:tcPr>
            <w:tcW w:w="1890" w:type="dxa"/>
            <w:shd w:val="clear" w:color="auto" w:fill="auto"/>
            <w:noWrap/>
            <w:vAlign w:val="center"/>
          </w:tcPr>
          <w:p w14:paraId="407C4B89" w14:textId="05BBC02B" w:rsidR="006A70BF" w:rsidRDefault="00A13C91" w:rsidP="00EC6C13">
            <w:pPr>
              <w:pStyle w:val="ListParagraph"/>
              <w:numPr>
                <w:ilvl w:val="0"/>
                <w:numId w:val="4"/>
              </w:numPr>
              <w:spacing w:after="0" w:line="240" w:lineRule="auto"/>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84</w:t>
            </w:r>
            <w:r w:rsidR="00FB5F66">
              <w:rPr>
                <w:rFonts w:ascii="Arial Narrow" w:eastAsia="Times New Roman" w:hAnsi="Arial Narrow" w:cs="Times New Roman"/>
                <w:color w:val="000000"/>
                <w:sz w:val="28"/>
                <w:szCs w:val="28"/>
              </w:rPr>
              <w:t xml:space="preserve"> </w:t>
            </w:r>
            <w:r w:rsidR="00D129E7" w:rsidRPr="00C240F4">
              <w:rPr>
                <w:rFonts w:ascii="Arial Narrow" w:eastAsia="Times New Roman" w:hAnsi="Arial Narrow" w:cs="Times New Roman"/>
                <w:color w:val="000000"/>
                <w:sz w:val="28"/>
                <w:szCs w:val="28"/>
              </w:rPr>
              <w:t>kredīti</w:t>
            </w:r>
          </w:p>
          <w:p w14:paraId="794179FF" w14:textId="4EA4A891" w:rsidR="00FB5F66" w:rsidRPr="00C240F4" w:rsidRDefault="00FB5F66" w:rsidP="00FB5F66">
            <w:pPr>
              <w:pStyle w:val="ListParagraph"/>
              <w:spacing w:after="0" w:line="240" w:lineRule="auto"/>
              <w:rPr>
                <w:rFonts w:ascii="Arial Narrow" w:eastAsia="Times New Roman" w:hAnsi="Arial Narrow" w:cs="Times New Roman"/>
                <w:color w:val="000000"/>
                <w:sz w:val="28"/>
                <w:szCs w:val="28"/>
              </w:rPr>
            </w:pPr>
          </w:p>
        </w:tc>
        <w:tc>
          <w:tcPr>
            <w:tcW w:w="1898" w:type="dxa"/>
            <w:shd w:val="clear" w:color="auto" w:fill="auto"/>
            <w:noWrap/>
            <w:vAlign w:val="center"/>
          </w:tcPr>
          <w:p w14:paraId="461041CA" w14:textId="27AC6ABC" w:rsidR="006A70BF" w:rsidRDefault="00A13C91" w:rsidP="00EC6C13">
            <w:pPr>
              <w:pStyle w:val="ListParagraph"/>
              <w:numPr>
                <w:ilvl w:val="0"/>
                <w:numId w:val="4"/>
              </w:numPr>
              <w:spacing w:after="0" w:line="240" w:lineRule="auto"/>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84</w:t>
            </w:r>
            <w:r w:rsidR="00EC6C13">
              <w:rPr>
                <w:rFonts w:ascii="Arial Narrow" w:eastAsia="Times New Roman" w:hAnsi="Arial Narrow" w:cs="Times New Roman"/>
                <w:color w:val="000000"/>
                <w:sz w:val="28"/>
                <w:szCs w:val="28"/>
              </w:rPr>
              <w:t xml:space="preserve"> k</w:t>
            </w:r>
            <w:r w:rsidR="00D129E7" w:rsidRPr="00C240F4">
              <w:rPr>
                <w:rFonts w:ascii="Arial Narrow" w:eastAsia="Times New Roman" w:hAnsi="Arial Narrow" w:cs="Times New Roman"/>
                <w:color w:val="000000"/>
                <w:sz w:val="28"/>
                <w:szCs w:val="28"/>
              </w:rPr>
              <w:t>redīti</w:t>
            </w:r>
          </w:p>
          <w:p w14:paraId="5FF23760" w14:textId="4C472F5B" w:rsidR="00FB5F66" w:rsidRPr="00C240F4" w:rsidRDefault="00FB5F66" w:rsidP="00FB5F66">
            <w:pPr>
              <w:pStyle w:val="ListParagraph"/>
              <w:spacing w:after="0" w:line="240" w:lineRule="auto"/>
              <w:rPr>
                <w:rFonts w:ascii="Arial Narrow" w:eastAsia="Times New Roman" w:hAnsi="Arial Narrow" w:cs="Times New Roman"/>
                <w:color w:val="000000"/>
                <w:sz w:val="28"/>
                <w:szCs w:val="28"/>
              </w:rPr>
            </w:pPr>
          </w:p>
        </w:tc>
        <w:tc>
          <w:tcPr>
            <w:tcW w:w="2161" w:type="dxa"/>
            <w:shd w:val="clear" w:color="auto" w:fill="auto"/>
            <w:noWrap/>
            <w:vAlign w:val="center"/>
          </w:tcPr>
          <w:p w14:paraId="18280584" w14:textId="15BB012F" w:rsidR="00EC6C13" w:rsidRDefault="00A13C91" w:rsidP="00EC6C13">
            <w:pPr>
              <w:pStyle w:val="ListParagraph"/>
              <w:numPr>
                <w:ilvl w:val="0"/>
                <w:numId w:val="4"/>
              </w:numPr>
              <w:spacing w:after="0" w:line="240" w:lineRule="auto"/>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84</w:t>
            </w:r>
            <w:r w:rsidR="00EC6C13">
              <w:rPr>
                <w:rFonts w:ascii="Arial Narrow" w:eastAsia="Times New Roman" w:hAnsi="Arial Narrow" w:cs="Times New Roman"/>
                <w:color w:val="000000"/>
                <w:sz w:val="28"/>
                <w:szCs w:val="28"/>
              </w:rPr>
              <w:t xml:space="preserve"> k</w:t>
            </w:r>
            <w:r w:rsidR="00EC6C13" w:rsidRPr="00C240F4">
              <w:rPr>
                <w:rFonts w:ascii="Arial Narrow" w:eastAsia="Times New Roman" w:hAnsi="Arial Narrow" w:cs="Times New Roman"/>
                <w:color w:val="000000"/>
                <w:sz w:val="28"/>
                <w:szCs w:val="28"/>
              </w:rPr>
              <w:t>redīti</w:t>
            </w:r>
          </w:p>
          <w:p w14:paraId="6A4354EF" w14:textId="29C22591" w:rsidR="006A70BF" w:rsidRPr="00C240F4" w:rsidRDefault="006A70BF" w:rsidP="00EC6C13">
            <w:pPr>
              <w:pStyle w:val="ListParagraph"/>
              <w:spacing w:after="0" w:line="240" w:lineRule="auto"/>
              <w:rPr>
                <w:rFonts w:ascii="Arial Narrow" w:eastAsia="Times New Roman" w:hAnsi="Arial Narrow" w:cs="Times New Roman"/>
                <w:color w:val="000000"/>
                <w:sz w:val="28"/>
                <w:szCs w:val="28"/>
              </w:rPr>
            </w:pPr>
          </w:p>
        </w:tc>
      </w:tr>
    </w:tbl>
    <w:p w14:paraId="088BB7EB" w14:textId="77777777" w:rsidR="006A70BF" w:rsidRPr="00C240F4" w:rsidRDefault="006A70BF" w:rsidP="00141672">
      <w:pPr>
        <w:rPr>
          <w:rFonts w:ascii="Arial Narrow" w:hAnsi="Arial Narrow" w:cs="Times New Roman"/>
          <w:sz w:val="28"/>
          <w:szCs w:val="28"/>
          <w:lang w:val="lv-LV"/>
        </w:rPr>
      </w:pPr>
    </w:p>
    <w:p w14:paraId="40A49829" w14:textId="6E1DA9DA" w:rsidR="0000332A" w:rsidRDefault="00D129E7" w:rsidP="00ED4554">
      <w:pPr>
        <w:ind w:firstLine="720"/>
        <w:jc w:val="both"/>
        <w:rPr>
          <w:rFonts w:ascii="Arial Narrow" w:hAnsi="Arial Narrow" w:cs="Times New Roman"/>
          <w:sz w:val="28"/>
          <w:szCs w:val="28"/>
          <w:lang w:val="lv-LV"/>
        </w:rPr>
      </w:pPr>
      <w:r w:rsidRPr="00C240F4">
        <w:rPr>
          <w:rFonts w:ascii="Arial Narrow" w:hAnsi="Arial Narrow" w:cs="Times New Roman"/>
          <w:sz w:val="28"/>
          <w:szCs w:val="28"/>
          <w:lang w:val="lv-LV"/>
        </w:rPr>
        <w:t>Šīs portfeļgarantijas</w:t>
      </w:r>
      <w:r w:rsidR="00D43297">
        <w:rPr>
          <w:rFonts w:ascii="Arial Narrow" w:hAnsi="Arial Narrow" w:cs="Times New Roman"/>
          <w:sz w:val="28"/>
          <w:szCs w:val="28"/>
          <w:lang w:val="lv-LV"/>
        </w:rPr>
        <w:t xml:space="preserve"> risku seguma</w:t>
      </w:r>
      <w:r w:rsidRPr="00C240F4">
        <w:rPr>
          <w:rFonts w:ascii="Arial Narrow" w:hAnsi="Arial Narrow" w:cs="Times New Roman"/>
          <w:sz w:val="28"/>
          <w:szCs w:val="28"/>
          <w:lang w:val="lv-LV"/>
        </w:rPr>
        <w:t xml:space="preserve"> samazinājums 2021.- 2023.gadā arī nozīmē mazāku kredītu skaitu, taču samazinājums </w:t>
      </w:r>
      <w:r w:rsidRPr="00673793">
        <w:rPr>
          <w:rFonts w:ascii="Arial Narrow" w:hAnsi="Arial Narrow" w:cs="Times New Roman"/>
          <w:sz w:val="28"/>
          <w:szCs w:val="28"/>
          <w:lang w:val="lv-LV"/>
        </w:rPr>
        <w:t>nav būtisks</w:t>
      </w:r>
      <w:r w:rsidR="00EC6C13">
        <w:rPr>
          <w:rFonts w:ascii="Arial Narrow" w:hAnsi="Arial Narrow" w:cs="Times New Roman"/>
          <w:sz w:val="28"/>
          <w:szCs w:val="28"/>
          <w:lang w:val="lv-LV"/>
        </w:rPr>
        <w:t xml:space="preserve"> </w:t>
      </w:r>
      <w:r w:rsidRPr="00C240F4">
        <w:rPr>
          <w:rFonts w:ascii="Arial Narrow" w:hAnsi="Arial Narrow" w:cs="Times New Roman"/>
          <w:sz w:val="28"/>
          <w:szCs w:val="28"/>
          <w:lang w:val="lv-LV"/>
        </w:rPr>
        <w:t>salīdzinot ar pašlaik paaugstināto pieprasījumu</w:t>
      </w:r>
      <w:r w:rsidR="00DB5617" w:rsidRPr="00C240F4">
        <w:rPr>
          <w:rFonts w:ascii="Arial Narrow" w:hAnsi="Arial Narrow" w:cs="Times New Roman"/>
          <w:sz w:val="28"/>
          <w:szCs w:val="28"/>
          <w:lang w:val="lv-LV"/>
        </w:rPr>
        <w:t xml:space="preserve"> </w:t>
      </w:r>
      <w:r w:rsidRPr="00C240F4">
        <w:rPr>
          <w:rFonts w:ascii="Arial Narrow" w:hAnsi="Arial Narrow" w:cs="Times New Roman"/>
          <w:sz w:val="28"/>
          <w:szCs w:val="28"/>
          <w:lang w:val="lv-LV"/>
        </w:rPr>
        <w:t xml:space="preserve">- par orientējoši </w:t>
      </w:r>
      <w:r w:rsidR="00591968" w:rsidRPr="00C240F4">
        <w:rPr>
          <w:rFonts w:ascii="Arial Narrow" w:hAnsi="Arial Narrow" w:cs="Times New Roman"/>
          <w:sz w:val="28"/>
          <w:szCs w:val="28"/>
          <w:lang w:val="lv-LV"/>
        </w:rPr>
        <w:t xml:space="preserve"> </w:t>
      </w:r>
      <w:r w:rsidR="008E4691">
        <w:rPr>
          <w:rFonts w:ascii="Arial Narrow" w:hAnsi="Arial Narrow" w:cs="Times New Roman"/>
          <w:sz w:val="28"/>
          <w:szCs w:val="28"/>
          <w:lang w:val="lv-LV"/>
        </w:rPr>
        <w:t>84</w:t>
      </w:r>
      <w:r w:rsidR="008E1444">
        <w:rPr>
          <w:rFonts w:ascii="Arial Narrow" w:hAnsi="Arial Narrow" w:cs="Times New Roman"/>
          <w:sz w:val="28"/>
          <w:szCs w:val="28"/>
          <w:lang w:val="lv-LV"/>
        </w:rPr>
        <w:t xml:space="preserve"> </w:t>
      </w:r>
      <w:r w:rsidR="0071647F" w:rsidRPr="00C240F4">
        <w:rPr>
          <w:rFonts w:ascii="Arial Narrow" w:hAnsi="Arial Narrow" w:cs="Times New Roman"/>
          <w:sz w:val="28"/>
          <w:szCs w:val="28"/>
          <w:lang w:val="lv-LV"/>
        </w:rPr>
        <w:t xml:space="preserve">kredītiem mazāk </w:t>
      </w:r>
      <w:r w:rsidR="00EC6C13">
        <w:rPr>
          <w:rFonts w:ascii="Arial Narrow" w:hAnsi="Arial Narrow" w:cs="Times New Roman"/>
          <w:sz w:val="28"/>
          <w:szCs w:val="28"/>
          <w:lang w:val="lv-LV"/>
        </w:rPr>
        <w:t>katru gadu</w:t>
      </w:r>
      <w:r w:rsidRPr="00C240F4">
        <w:rPr>
          <w:rFonts w:ascii="Arial Narrow" w:hAnsi="Arial Narrow" w:cs="Times New Roman"/>
          <w:sz w:val="28"/>
          <w:szCs w:val="28"/>
          <w:lang w:val="lv-LV"/>
        </w:rPr>
        <w:t>.</w:t>
      </w:r>
      <w:r w:rsidR="00ED4554" w:rsidRPr="00C240F4">
        <w:rPr>
          <w:rFonts w:ascii="Arial Narrow" w:hAnsi="Arial Narrow" w:cs="Times New Roman"/>
          <w:sz w:val="28"/>
          <w:szCs w:val="28"/>
          <w:lang w:val="lv-LV"/>
        </w:rPr>
        <w:t xml:space="preserve"> Ja šī pārdale netiks atbalstīta un </w:t>
      </w:r>
      <w:r w:rsidR="004D4A39" w:rsidRPr="00C240F4">
        <w:rPr>
          <w:rFonts w:ascii="Arial Narrow" w:hAnsi="Arial Narrow" w:cs="Times New Roman"/>
          <w:sz w:val="28"/>
          <w:szCs w:val="28"/>
          <w:lang w:val="lv-LV"/>
        </w:rPr>
        <w:t>papildu</w:t>
      </w:r>
      <w:r w:rsidR="00ED4554" w:rsidRPr="00C240F4">
        <w:rPr>
          <w:rFonts w:ascii="Arial Narrow" w:hAnsi="Arial Narrow" w:cs="Times New Roman"/>
          <w:sz w:val="28"/>
          <w:szCs w:val="28"/>
          <w:lang w:val="lv-LV"/>
        </w:rPr>
        <w:t xml:space="preserve"> finansējums portfeļgarantijai 2020.gadā netiks piešķirts, </w:t>
      </w:r>
      <w:r w:rsidR="00067177" w:rsidRPr="00C240F4">
        <w:rPr>
          <w:rFonts w:ascii="Arial Narrow" w:hAnsi="Arial Narrow" w:cs="Times New Roman"/>
          <w:sz w:val="28"/>
          <w:szCs w:val="28"/>
          <w:lang w:val="lv-LV"/>
        </w:rPr>
        <w:t xml:space="preserve">par </w:t>
      </w:r>
      <w:r w:rsidR="00ED4554" w:rsidRPr="00C240F4">
        <w:rPr>
          <w:rFonts w:ascii="Arial Narrow" w:hAnsi="Arial Narrow" w:cs="Times New Roman"/>
          <w:sz w:val="28"/>
          <w:szCs w:val="28"/>
          <w:lang w:val="lv-LV"/>
        </w:rPr>
        <w:t xml:space="preserve">šī gada </w:t>
      </w:r>
      <w:r w:rsidR="004D4A39" w:rsidRPr="00C240F4">
        <w:rPr>
          <w:rFonts w:ascii="Arial Narrow" w:hAnsi="Arial Narrow" w:cs="Times New Roman"/>
          <w:sz w:val="28"/>
          <w:szCs w:val="28"/>
          <w:lang w:val="lv-LV"/>
        </w:rPr>
        <w:t>papildu</w:t>
      </w:r>
      <w:r w:rsidR="00ED4554" w:rsidRPr="00C240F4">
        <w:rPr>
          <w:rFonts w:ascii="Arial Narrow" w:hAnsi="Arial Narrow" w:cs="Times New Roman"/>
          <w:sz w:val="28"/>
          <w:szCs w:val="28"/>
          <w:lang w:val="lv-LV"/>
        </w:rPr>
        <w:t xml:space="preserve"> pieprasījum</w:t>
      </w:r>
      <w:r w:rsidR="00067177" w:rsidRPr="00C240F4">
        <w:rPr>
          <w:rFonts w:ascii="Arial Narrow" w:hAnsi="Arial Narrow" w:cs="Times New Roman"/>
          <w:sz w:val="28"/>
          <w:szCs w:val="28"/>
          <w:lang w:val="lv-LV"/>
        </w:rPr>
        <w:t>u</w:t>
      </w:r>
      <w:r w:rsidR="00DB5617" w:rsidRPr="00C240F4">
        <w:rPr>
          <w:rFonts w:ascii="Arial Narrow" w:hAnsi="Arial Narrow" w:cs="Times New Roman"/>
          <w:sz w:val="28"/>
          <w:szCs w:val="28"/>
          <w:lang w:val="lv-LV"/>
        </w:rPr>
        <w:t xml:space="preserve">  </w:t>
      </w:r>
      <w:r w:rsidR="00ED4554" w:rsidRPr="00C240F4">
        <w:rPr>
          <w:rFonts w:ascii="Arial Narrow" w:hAnsi="Arial Narrow" w:cs="Times New Roman"/>
          <w:sz w:val="28"/>
          <w:szCs w:val="28"/>
          <w:lang w:val="lv-LV"/>
        </w:rPr>
        <w:t xml:space="preserve">- no </w:t>
      </w:r>
      <w:r w:rsidR="000022D2" w:rsidRPr="00C240F4">
        <w:rPr>
          <w:rFonts w:ascii="Arial Narrow" w:hAnsi="Arial Narrow" w:cs="Times New Roman"/>
          <w:sz w:val="28"/>
          <w:szCs w:val="28"/>
          <w:lang w:val="lv-LV"/>
        </w:rPr>
        <w:t>5</w:t>
      </w:r>
      <w:r w:rsidR="00ED4554" w:rsidRPr="00C240F4">
        <w:rPr>
          <w:rFonts w:ascii="Arial Narrow" w:hAnsi="Arial Narrow" w:cs="Times New Roman"/>
          <w:sz w:val="28"/>
          <w:szCs w:val="28"/>
          <w:lang w:val="lv-LV"/>
        </w:rPr>
        <w:t xml:space="preserve">00 līdz </w:t>
      </w:r>
      <w:r w:rsidR="000022D2" w:rsidRPr="00C240F4">
        <w:rPr>
          <w:rFonts w:ascii="Arial Narrow" w:hAnsi="Arial Narrow" w:cs="Times New Roman"/>
          <w:sz w:val="28"/>
          <w:szCs w:val="28"/>
          <w:lang w:val="lv-LV"/>
        </w:rPr>
        <w:t>6</w:t>
      </w:r>
      <w:r w:rsidR="00ED4554" w:rsidRPr="00C240F4">
        <w:rPr>
          <w:rFonts w:ascii="Arial Narrow" w:hAnsi="Arial Narrow" w:cs="Times New Roman"/>
          <w:sz w:val="28"/>
          <w:szCs w:val="28"/>
          <w:lang w:val="lv-LV"/>
        </w:rPr>
        <w:t>00 kredītiem</w:t>
      </w:r>
      <w:r w:rsidR="00067177" w:rsidRPr="00C240F4">
        <w:rPr>
          <w:rFonts w:ascii="Arial Narrow" w:hAnsi="Arial Narrow" w:cs="Times New Roman"/>
          <w:sz w:val="28"/>
          <w:szCs w:val="28"/>
          <w:lang w:val="lv-LV"/>
        </w:rPr>
        <w:t xml:space="preserve"> visdrīzāk palielināsies nākamā gada pieprasījums, kā rezultātā </w:t>
      </w:r>
      <w:r w:rsidR="00A51802" w:rsidRPr="00C240F4">
        <w:rPr>
          <w:rFonts w:ascii="Arial Narrow" w:hAnsi="Arial Narrow" w:cs="Times New Roman"/>
          <w:sz w:val="28"/>
          <w:szCs w:val="28"/>
          <w:lang w:val="lv-LV"/>
        </w:rPr>
        <w:t xml:space="preserve">nākamgad </w:t>
      </w:r>
      <w:r w:rsidR="00067177" w:rsidRPr="00C240F4">
        <w:rPr>
          <w:rFonts w:ascii="Arial Narrow" w:hAnsi="Arial Narrow" w:cs="Times New Roman"/>
          <w:sz w:val="28"/>
          <w:szCs w:val="28"/>
          <w:lang w:val="lv-LV"/>
        </w:rPr>
        <w:t>pieaugs stu</w:t>
      </w:r>
      <w:r w:rsidR="00A51802" w:rsidRPr="00C240F4">
        <w:rPr>
          <w:rFonts w:ascii="Arial Narrow" w:hAnsi="Arial Narrow" w:cs="Times New Roman"/>
          <w:sz w:val="28"/>
          <w:szCs w:val="28"/>
          <w:lang w:val="lv-LV"/>
        </w:rPr>
        <w:t>dentu skaits, kuriem finansējuma</w:t>
      </w:r>
      <w:r w:rsidR="00067177" w:rsidRPr="00C240F4">
        <w:rPr>
          <w:rFonts w:ascii="Arial Narrow" w:hAnsi="Arial Narrow" w:cs="Times New Roman"/>
          <w:sz w:val="28"/>
          <w:szCs w:val="28"/>
          <w:lang w:val="lv-LV"/>
        </w:rPr>
        <w:t xml:space="preserve"> </w:t>
      </w:r>
      <w:r w:rsidR="00A51802" w:rsidRPr="00C240F4">
        <w:rPr>
          <w:rFonts w:ascii="Arial Narrow" w:hAnsi="Arial Narrow" w:cs="Times New Roman"/>
          <w:sz w:val="28"/>
          <w:szCs w:val="28"/>
          <w:lang w:val="lv-LV"/>
        </w:rPr>
        <w:t>trūkuma dēļ kredīts tiks atteikts</w:t>
      </w:r>
      <w:r w:rsidR="00ED4554" w:rsidRPr="00C240F4">
        <w:rPr>
          <w:rFonts w:ascii="Arial Narrow" w:hAnsi="Arial Narrow" w:cs="Times New Roman"/>
          <w:sz w:val="28"/>
          <w:szCs w:val="28"/>
          <w:lang w:val="lv-LV"/>
        </w:rPr>
        <w:t xml:space="preserve">. </w:t>
      </w:r>
    </w:p>
    <w:p w14:paraId="35968A7F" w14:textId="77777777" w:rsidR="00464CC6" w:rsidRDefault="00464CC6" w:rsidP="00E656FB">
      <w:pPr>
        <w:rPr>
          <w:rFonts w:ascii="Arial Narrow" w:hAnsi="Arial Narrow" w:cs="Times New Roman"/>
          <w:b/>
          <w:color w:val="7030A0"/>
          <w:sz w:val="28"/>
          <w:szCs w:val="28"/>
          <w:lang w:val="lv-LV"/>
        </w:rPr>
      </w:pPr>
    </w:p>
    <w:p w14:paraId="6D6DBC0A" w14:textId="1C441E85" w:rsidR="00151E34" w:rsidRDefault="00151E34" w:rsidP="00E656FB">
      <w:pPr>
        <w:rPr>
          <w:rFonts w:ascii="Arial Narrow" w:hAnsi="Arial Narrow" w:cs="Times New Roman"/>
          <w:b/>
          <w:color w:val="7030A0"/>
          <w:sz w:val="28"/>
          <w:szCs w:val="28"/>
          <w:lang w:val="lv-LV"/>
        </w:rPr>
      </w:pPr>
      <w:r w:rsidRPr="00A94CD5">
        <w:rPr>
          <w:rFonts w:ascii="Arial Narrow" w:hAnsi="Arial Narrow" w:cs="Times New Roman"/>
          <w:b/>
          <w:color w:val="7030A0"/>
          <w:sz w:val="28"/>
          <w:szCs w:val="28"/>
          <w:lang w:val="lv-LV"/>
        </w:rPr>
        <w:t>Ņemot vērā iepriekšminēto, aicinām atbalstīt šādu tālāko rīcību:</w:t>
      </w:r>
    </w:p>
    <w:p w14:paraId="4D17CE6A" w14:textId="0CB9A358" w:rsidR="00902BCB" w:rsidRDefault="00902BCB" w:rsidP="00944AC3">
      <w:pPr>
        <w:pStyle w:val="ListParagraph"/>
        <w:numPr>
          <w:ilvl w:val="0"/>
          <w:numId w:val="12"/>
        </w:numPr>
        <w:jc w:val="both"/>
        <w:rPr>
          <w:rFonts w:ascii="Arial Narrow" w:hAnsi="Arial Narrow" w:cs="Times New Roman"/>
          <w:color w:val="7030A0"/>
          <w:sz w:val="28"/>
          <w:szCs w:val="28"/>
        </w:rPr>
      </w:pPr>
      <w:r w:rsidRPr="00A94CD5">
        <w:rPr>
          <w:rFonts w:ascii="Arial Narrow" w:hAnsi="Arial Narrow" w:cs="Times New Roman"/>
          <w:color w:val="7030A0"/>
          <w:sz w:val="28"/>
          <w:szCs w:val="28"/>
        </w:rPr>
        <w:lastRenderedPageBreak/>
        <w:t xml:space="preserve">Izglītības un zinātnes ministrijai normatīvajos aktos noteiktajā kārtībā sagatavot un iesniegt Finanšu ministrijā pieprasījumu valsts budžeta apropriācijas pārdalei </w:t>
      </w:r>
      <w:r w:rsidRPr="00171882">
        <w:rPr>
          <w:rFonts w:ascii="Arial Narrow" w:hAnsi="Arial Narrow"/>
          <w:color w:val="7030A0"/>
          <w:sz w:val="28"/>
        </w:rPr>
        <w:t xml:space="preserve">556 516 </w:t>
      </w:r>
      <w:r w:rsidRPr="00171882">
        <w:rPr>
          <w:rFonts w:ascii="Arial Narrow" w:hAnsi="Arial Narrow"/>
          <w:i/>
          <w:color w:val="7030A0"/>
          <w:sz w:val="28"/>
        </w:rPr>
        <w:t>euro</w:t>
      </w:r>
      <w:r w:rsidRPr="00A94CD5">
        <w:rPr>
          <w:rFonts w:ascii="Arial Narrow" w:hAnsi="Arial Narrow" w:cs="Times New Roman"/>
          <w:color w:val="7030A0"/>
          <w:sz w:val="28"/>
          <w:szCs w:val="28"/>
        </w:rPr>
        <w:t xml:space="preserve"> apmērā ministrijas 2020.gada budžeta ietvaros no budžeta apakšprogrammas 01.07.00 “Dotācija brīvpusdienu nodrošināšanai 1.,2.,3. un 4. klases izglītojamiem” uz budžeta apakšprogrammu 03.04.00 “Studiju un studējošo kreditēšana”</w:t>
      </w:r>
      <w:r w:rsidR="00944AC3">
        <w:rPr>
          <w:rFonts w:ascii="Arial Narrow" w:hAnsi="Arial Narrow" w:cs="Times New Roman"/>
          <w:color w:val="7030A0"/>
          <w:sz w:val="28"/>
          <w:szCs w:val="28"/>
        </w:rPr>
        <w:t xml:space="preserve"> un</w:t>
      </w:r>
      <w:r w:rsidR="00944AC3" w:rsidRPr="00944AC3">
        <w:rPr>
          <w:rFonts w:ascii="Arial Narrow" w:hAnsi="Arial Narrow" w:cs="Times New Roman"/>
          <w:color w:val="7030A0"/>
          <w:sz w:val="28"/>
          <w:szCs w:val="28"/>
        </w:rPr>
        <w:t xml:space="preserve"> budžeta programmas 03.04.00 ievaros pārdalot 87 063 </w:t>
      </w:r>
      <w:r w:rsidR="00944AC3" w:rsidRPr="00944AC3">
        <w:rPr>
          <w:rFonts w:ascii="Arial Narrow" w:hAnsi="Arial Narrow" w:cs="Times New Roman"/>
          <w:i/>
          <w:color w:val="7030A0"/>
          <w:sz w:val="28"/>
          <w:szCs w:val="28"/>
        </w:rPr>
        <w:t>euro</w:t>
      </w:r>
      <w:r w:rsidR="00944AC3" w:rsidRPr="00944AC3">
        <w:rPr>
          <w:rFonts w:ascii="Arial Narrow" w:hAnsi="Arial Narrow" w:cs="Times New Roman"/>
          <w:color w:val="7030A0"/>
          <w:sz w:val="28"/>
          <w:szCs w:val="28"/>
        </w:rPr>
        <w:t xml:space="preserve"> no izdevumu koda “procentu izdevumi” uz  izdevumu kodu “subsīdijas un dotācijas”, kopā nodrošinot 643 579 </w:t>
      </w:r>
      <w:r w:rsidR="00944AC3" w:rsidRPr="00E16532">
        <w:rPr>
          <w:rFonts w:ascii="Arial Narrow" w:hAnsi="Arial Narrow" w:cs="Times New Roman"/>
          <w:i/>
          <w:color w:val="7030A0"/>
          <w:sz w:val="28"/>
          <w:szCs w:val="28"/>
        </w:rPr>
        <w:t>euro</w:t>
      </w:r>
      <w:r w:rsidR="00944AC3" w:rsidRPr="00944AC3">
        <w:rPr>
          <w:rFonts w:ascii="Arial Narrow" w:hAnsi="Arial Narrow" w:cs="Times New Roman"/>
          <w:color w:val="7030A0"/>
          <w:sz w:val="28"/>
          <w:szCs w:val="28"/>
        </w:rPr>
        <w:t xml:space="preserve"> papildu</w:t>
      </w:r>
      <w:r w:rsidR="00944AC3">
        <w:rPr>
          <w:rFonts w:ascii="Arial Narrow" w:hAnsi="Arial Narrow" w:cs="Times New Roman"/>
          <w:color w:val="7030A0"/>
          <w:sz w:val="28"/>
          <w:szCs w:val="28"/>
        </w:rPr>
        <w:t>s finansējumu portfeļgarantijai</w:t>
      </w:r>
      <w:r w:rsidRPr="00A94CD5">
        <w:rPr>
          <w:rFonts w:ascii="Arial Narrow" w:hAnsi="Arial Narrow" w:cs="Times New Roman"/>
          <w:color w:val="7030A0"/>
          <w:sz w:val="28"/>
          <w:szCs w:val="28"/>
        </w:rPr>
        <w:t>;</w:t>
      </w:r>
    </w:p>
    <w:p w14:paraId="23EF39BD" w14:textId="77777777" w:rsidR="00A94CD5" w:rsidRPr="00A94CD5" w:rsidRDefault="00A94CD5" w:rsidP="00A94CD5">
      <w:pPr>
        <w:pStyle w:val="ListParagraph"/>
        <w:ind w:left="1080"/>
        <w:jc w:val="both"/>
        <w:rPr>
          <w:rFonts w:ascii="Arial Narrow" w:hAnsi="Arial Narrow" w:cs="Times New Roman"/>
          <w:color w:val="7030A0"/>
          <w:sz w:val="28"/>
          <w:szCs w:val="28"/>
        </w:rPr>
      </w:pPr>
    </w:p>
    <w:p w14:paraId="6B44200C" w14:textId="5C87ABD5" w:rsidR="00902BCB" w:rsidRDefault="00902BCB" w:rsidP="00944AC3">
      <w:pPr>
        <w:pStyle w:val="ListParagraph"/>
        <w:numPr>
          <w:ilvl w:val="0"/>
          <w:numId w:val="12"/>
        </w:numPr>
        <w:jc w:val="both"/>
        <w:rPr>
          <w:rFonts w:ascii="Arial Narrow" w:hAnsi="Arial Narrow" w:cs="Times New Roman"/>
          <w:color w:val="7030A0"/>
          <w:sz w:val="28"/>
          <w:szCs w:val="28"/>
        </w:rPr>
      </w:pPr>
      <w:r w:rsidRPr="00A94CD5">
        <w:rPr>
          <w:rFonts w:ascii="Arial Narrow" w:hAnsi="Arial Narrow" w:cs="Times New Roman"/>
          <w:color w:val="7030A0"/>
          <w:sz w:val="28"/>
          <w:szCs w:val="28"/>
        </w:rPr>
        <w:t>Finanšu ministram normatīvajos aktos noteiktajā kārtībā informēt Saeimas Budžeta un finanšu (nodokļu) komisiju par apropriācijas</w:t>
      </w:r>
      <w:r w:rsidR="00944AC3">
        <w:rPr>
          <w:rFonts w:ascii="Arial Narrow" w:hAnsi="Arial Narrow" w:cs="Times New Roman"/>
          <w:color w:val="7030A0"/>
          <w:sz w:val="28"/>
          <w:szCs w:val="28"/>
        </w:rPr>
        <w:t xml:space="preserve"> pārdali</w:t>
      </w:r>
      <w:r w:rsidRPr="00A94CD5">
        <w:rPr>
          <w:rFonts w:ascii="Arial Narrow" w:hAnsi="Arial Narrow" w:cs="Times New Roman"/>
          <w:color w:val="7030A0"/>
          <w:sz w:val="28"/>
          <w:szCs w:val="28"/>
        </w:rPr>
        <w:t xml:space="preserve"> </w:t>
      </w:r>
      <w:r w:rsidR="00944AC3" w:rsidRPr="00944AC3">
        <w:rPr>
          <w:rFonts w:ascii="Arial Narrow" w:hAnsi="Arial Narrow" w:cs="Times New Roman"/>
          <w:color w:val="7030A0"/>
          <w:sz w:val="28"/>
          <w:szCs w:val="28"/>
        </w:rPr>
        <w:t>no budžeta apakšprogrammas 01.07.00</w:t>
      </w:r>
      <w:r w:rsidRPr="00A94CD5">
        <w:rPr>
          <w:rFonts w:ascii="Arial Narrow" w:hAnsi="Arial Narrow" w:cs="Times New Roman"/>
          <w:color w:val="7030A0"/>
          <w:sz w:val="28"/>
          <w:szCs w:val="28"/>
        </w:rPr>
        <w:t xml:space="preserve"> </w:t>
      </w:r>
      <w:r w:rsidR="00944AC3">
        <w:rPr>
          <w:rFonts w:ascii="Arial Narrow" w:hAnsi="Arial Narrow" w:cs="Times New Roman"/>
          <w:color w:val="7030A0"/>
          <w:sz w:val="28"/>
          <w:szCs w:val="28"/>
        </w:rPr>
        <w:t xml:space="preserve">uz budžeta apakšprogramu 03.04.00 </w:t>
      </w:r>
      <w:r w:rsidRPr="00A94CD5">
        <w:rPr>
          <w:rFonts w:ascii="Arial Narrow" w:hAnsi="Arial Narrow" w:cs="Times New Roman"/>
          <w:color w:val="7030A0"/>
          <w:sz w:val="28"/>
          <w:szCs w:val="28"/>
        </w:rPr>
        <w:t>un, ja Saeimas Budžeta un finanšu (nodokļu) komisija piecu darbdienu laikā pēc attiecīgās informācijas saņemšanas nav izteikusi iebildumus, veikt apropriācijas pārdali;</w:t>
      </w:r>
    </w:p>
    <w:p w14:paraId="2B86C87A" w14:textId="77777777" w:rsidR="00A94CD5" w:rsidRPr="00A94CD5" w:rsidRDefault="00A94CD5" w:rsidP="00A94CD5">
      <w:pPr>
        <w:pStyle w:val="ListParagraph"/>
        <w:ind w:left="1080"/>
        <w:jc w:val="both"/>
        <w:rPr>
          <w:rFonts w:ascii="Arial Narrow" w:hAnsi="Arial Narrow" w:cs="Times New Roman"/>
          <w:color w:val="7030A0"/>
          <w:sz w:val="28"/>
          <w:szCs w:val="28"/>
        </w:rPr>
      </w:pPr>
    </w:p>
    <w:p w14:paraId="24B203F9" w14:textId="644CC2B0" w:rsidR="00C05DC9" w:rsidRDefault="00C35433" w:rsidP="00727E6E">
      <w:pPr>
        <w:pStyle w:val="ListParagraph"/>
        <w:numPr>
          <w:ilvl w:val="0"/>
          <w:numId w:val="12"/>
        </w:numPr>
        <w:jc w:val="both"/>
        <w:rPr>
          <w:rFonts w:ascii="Arial Narrow" w:hAnsi="Arial Narrow" w:cs="Times New Roman"/>
          <w:color w:val="7030A0"/>
          <w:sz w:val="28"/>
          <w:szCs w:val="28"/>
        </w:rPr>
      </w:pPr>
      <w:r w:rsidRPr="00A94CD5">
        <w:rPr>
          <w:rFonts w:ascii="Arial Narrow" w:hAnsi="Arial Narrow" w:cs="Times New Roman"/>
          <w:color w:val="7030A0"/>
          <w:sz w:val="28"/>
          <w:szCs w:val="28"/>
        </w:rPr>
        <w:t>Ministrijai i</w:t>
      </w:r>
      <w:r w:rsidR="00347671" w:rsidRPr="00A94CD5">
        <w:rPr>
          <w:rFonts w:ascii="Arial Narrow" w:hAnsi="Arial Narrow" w:cs="Times New Roman"/>
          <w:color w:val="7030A0"/>
          <w:sz w:val="28"/>
          <w:szCs w:val="28"/>
        </w:rPr>
        <w:t xml:space="preserve">esniegt Ministru kabinetā nākamo </w:t>
      </w:r>
      <w:r w:rsidR="001251C9" w:rsidRPr="00A94CD5">
        <w:rPr>
          <w:rFonts w:ascii="Arial Narrow" w:hAnsi="Arial Narrow" w:cs="Times New Roman"/>
          <w:color w:val="7030A0"/>
          <w:sz w:val="28"/>
          <w:szCs w:val="28"/>
        </w:rPr>
        <w:t xml:space="preserve">informatīvo ziņojumu par studiju kreditēšanas </w:t>
      </w:r>
      <w:r w:rsidR="00347671" w:rsidRPr="00A94CD5">
        <w:rPr>
          <w:rFonts w:ascii="Arial Narrow" w:hAnsi="Arial Narrow" w:cs="Times New Roman"/>
          <w:color w:val="7030A0"/>
          <w:sz w:val="28"/>
          <w:szCs w:val="28"/>
        </w:rPr>
        <w:t>progresu līdz 2021.gada 1</w:t>
      </w:r>
      <w:r w:rsidR="00E24232" w:rsidRPr="00A94CD5">
        <w:rPr>
          <w:rFonts w:ascii="Arial Narrow" w:hAnsi="Arial Narrow" w:cs="Times New Roman"/>
          <w:color w:val="7030A0"/>
          <w:sz w:val="28"/>
          <w:szCs w:val="28"/>
        </w:rPr>
        <w:t>5</w:t>
      </w:r>
      <w:r w:rsidR="00347671" w:rsidRPr="00A94CD5">
        <w:rPr>
          <w:rFonts w:ascii="Arial Narrow" w:hAnsi="Arial Narrow" w:cs="Times New Roman"/>
          <w:color w:val="7030A0"/>
          <w:sz w:val="28"/>
          <w:szCs w:val="28"/>
        </w:rPr>
        <w:t>.</w:t>
      </w:r>
      <w:r w:rsidR="00902BCB" w:rsidRPr="00A94CD5">
        <w:rPr>
          <w:rFonts w:ascii="Arial Narrow" w:hAnsi="Arial Narrow" w:cs="Times New Roman"/>
          <w:color w:val="7030A0"/>
          <w:sz w:val="28"/>
          <w:szCs w:val="28"/>
        </w:rPr>
        <w:t>jūlijam</w:t>
      </w:r>
      <w:r w:rsidR="004360F5" w:rsidRPr="00A94CD5">
        <w:rPr>
          <w:rFonts w:ascii="Arial Narrow" w:hAnsi="Arial Narrow" w:cs="Times New Roman"/>
          <w:color w:val="7030A0"/>
          <w:sz w:val="28"/>
          <w:szCs w:val="28"/>
        </w:rPr>
        <w:t xml:space="preserve">, nepieciešamības gadījumā </w:t>
      </w:r>
      <w:r w:rsidR="00D27130" w:rsidRPr="00A94CD5">
        <w:rPr>
          <w:rFonts w:ascii="Arial Narrow" w:hAnsi="Arial Narrow" w:cs="Times New Roman"/>
          <w:color w:val="7030A0"/>
          <w:sz w:val="28"/>
          <w:szCs w:val="28"/>
        </w:rPr>
        <w:t>iesniedzot prioritāro pasākum</w:t>
      </w:r>
      <w:r w:rsidR="00591968">
        <w:rPr>
          <w:rFonts w:ascii="Arial Narrow" w:hAnsi="Arial Narrow" w:cs="Times New Roman"/>
          <w:color w:val="7030A0"/>
          <w:sz w:val="28"/>
          <w:szCs w:val="28"/>
        </w:rPr>
        <w:t>u</w:t>
      </w:r>
      <w:r w:rsidR="00D27130" w:rsidRPr="00A94CD5">
        <w:rPr>
          <w:rFonts w:ascii="Arial Narrow" w:hAnsi="Arial Narrow" w:cs="Times New Roman"/>
          <w:color w:val="7030A0"/>
          <w:sz w:val="28"/>
          <w:szCs w:val="28"/>
        </w:rPr>
        <w:t xml:space="preserve"> par </w:t>
      </w:r>
      <w:r w:rsidR="004360F5" w:rsidRPr="00A94CD5">
        <w:rPr>
          <w:rFonts w:ascii="Arial Narrow" w:hAnsi="Arial Narrow" w:cs="Times New Roman"/>
          <w:color w:val="7030A0"/>
          <w:sz w:val="28"/>
          <w:szCs w:val="28"/>
        </w:rPr>
        <w:t xml:space="preserve">papildu </w:t>
      </w:r>
      <w:r w:rsidR="00D27130" w:rsidRPr="00A94CD5">
        <w:rPr>
          <w:rFonts w:ascii="Arial Narrow" w:hAnsi="Arial Narrow" w:cs="Times New Roman"/>
          <w:color w:val="7030A0"/>
          <w:sz w:val="28"/>
          <w:szCs w:val="28"/>
        </w:rPr>
        <w:t xml:space="preserve">finansējumu </w:t>
      </w:r>
      <w:r w:rsidR="00591968">
        <w:rPr>
          <w:rFonts w:ascii="Arial Narrow" w:hAnsi="Arial Narrow" w:cs="Times New Roman"/>
          <w:color w:val="7030A0"/>
          <w:sz w:val="28"/>
          <w:szCs w:val="28"/>
        </w:rPr>
        <w:t xml:space="preserve">studiju un </w:t>
      </w:r>
      <w:r w:rsidR="00D27130" w:rsidRPr="00A94CD5">
        <w:rPr>
          <w:rFonts w:ascii="Arial Narrow" w:hAnsi="Arial Narrow" w:cs="Times New Roman"/>
          <w:color w:val="7030A0"/>
          <w:sz w:val="28"/>
          <w:szCs w:val="28"/>
        </w:rPr>
        <w:t>studējošo kreditēšanai</w:t>
      </w:r>
      <w:r w:rsidR="004360F5" w:rsidRPr="00A94CD5">
        <w:rPr>
          <w:rFonts w:ascii="Arial Narrow" w:hAnsi="Arial Narrow" w:cs="Times New Roman"/>
          <w:color w:val="7030A0"/>
          <w:sz w:val="28"/>
          <w:szCs w:val="28"/>
        </w:rPr>
        <w:t xml:space="preserve"> </w:t>
      </w:r>
      <w:r w:rsidR="00E22269" w:rsidRPr="00A94CD5">
        <w:rPr>
          <w:rFonts w:ascii="Arial Narrow" w:hAnsi="Arial Narrow" w:cs="Times New Roman"/>
          <w:color w:val="7030A0"/>
          <w:sz w:val="28"/>
          <w:szCs w:val="28"/>
        </w:rPr>
        <w:t xml:space="preserve">likuma “Par valsts budžetu 2022. gadam” </w:t>
      </w:r>
      <w:r w:rsidR="007D28F1" w:rsidRPr="00A94CD5">
        <w:rPr>
          <w:rFonts w:ascii="Arial Narrow" w:hAnsi="Arial Narrow" w:cs="Times New Roman"/>
          <w:color w:val="7030A0"/>
          <w:sz w:val="28"/>
          <w:szCs w:val="28"/>
        </w:rPr>
        <w:t>izstrādes ietvaros</w:t>
      </w:r>
      <w:r w:rsidR="00C05DC9" w:rsidRPr="00A94CD5">
        <w:rPr>
          <w:rFonts w:ascii="Arial Narrow" w:hAnsi="Arial Narrow" w:cs="Times New Roman"/>
          <w:color w:val="7030A0"/>
          <w:sz w:val="28"/>
          <w:szCs w:val="28"/>
        </w:rPr>
        <w:t>;</w:t>
      </w:r>
    </w:p>
    <w:p w14:paraId="4D22EF5A" w14:textId="77777777" w:rsidR="00A152A4" w:rsidRPr="00A152A4" w:rsidRDefault="00A152A4" w:rsidP="00A152A4">
      <w:pPr>
        <w:pStyle w:val="ListParagraph"/>
        <w:rPr>
          <w:rFonts w:ascii="Arial Narrow" w:hAnsi="Arial Narrow" w:cs="Times New Roman"/>
          <w:color w:val="7030A0"/>
          <w:sz w:val="28"/>
          <w:szCs w:val="28"/>
        </w:rPr>
      </w:pPr>
    </w:p>
    <w:p w14:paraId="38392A8F" w14:textId="1D6E5531" w:rsidR="00A152A4" w:rsidRPr="00A152A4" w:rsidRDefault="00A152A4" w:rsidP="00A152A4">
      <w:pPr>
        <w:pStyle w:val="ListParagraph"/>
        <w:numPr>
          <w:ilvl w:val="0"/>
          <w:numId w:val="12"/>
        </w:numPr>
        <w:jc w:val="both"/>
        <w:rPr>
          <w:rFonts w:ascii="Arial Narrow" w:hAnsi="Arial Narrow" w:cs="Times New Roman"/>
          <w:color w:val="7030A0"/>
          <w:sz w:val="28"/>
          <w:szCs w:val="28"/>
        </w:rPr>
      </w:pPr>
      <w:r w:rsidRPr="00A152A4">
        <w:rPr>
          <w:rFonts w:ascii="Arial Narrow" w:hAnsi="Arial Narrow" w:cs="Times New Roman"/>
          <w:color w:val="7030A0"/>
          <w:sz w:val="28"/>
          <w:szCs w:val="28"/>
        </w:rPr>
        <w:t>Palielināt akciju sabiedrībai "Attīstības finanšu institūcija Altum" rezerves kapitālu studiju un studējošo kreditēšanai no kredītiestāžu līdzekļiem, kas ir garantēti no valsts budžeta</w:t>
      </w:r>
      <w:r w:rsidR="0081497D">
        <w:rPr>
          <w:rFonts w:ascii="Arial Narrow" w:hAnsi="Arial Narrow" w:cs="Times New Roman"/>
          <w:color w:val="7030A0"/>
          <w:sz w:val="28"/>
          <w:szCs w:val="28"/>
        </w:rPr>
        <w:t>,</w:t>
      </w:r>
      <w:r w:rsidRPr="00A152A4">
        <w:rPr>
          <w:rFonts w:ascii="Arial Narrow" w:hAnsi="Arial Narrow" w:cs="Times New Roman"/>
          <w:color w:val="7030A0"/>
          <w:sz w:val="28"/>
          <w:szCs w:val="28"/>
        </w:rPr>
        <w:t xml:space="preserve"> programmas finansēšanai atbilstoši programmas izvērtējumā aprēķinātajam sagaidāmo kredītrisku zaudējumu apmēram.</w:t>
      </w:r>
    </w:p>
    <w:p w14:paraId="04228273" w14:textId="77777777" w:rsidR="00A152A4" w:rsidRPr="00A152A4" w:rsidRDefault="00A152A4" w:rsidP="00A152A4">
      <w:pPr>
        <w:pStyle w:val="ListParagraph"/>
        <w:ind w:left="1080"/>
        <w:jc w:val="both"/>
        <w:rPr>
          <w:rFonts w:ascii="Arial Narrow" w:hAnsi="Arial Narrow" w:cs="Times New Roman"/>
          <w:color w:val="7030A0"/>
          <w:sz w:val="28"/>
          <w:szCs w:val="28"/>
        </w:rPr>
      </w:pPr>
    </w:p>
    <w:p w14:paraId="37E451CD" w14:textId="2CC708AD" w:rsidR="00A152A4" w:rsidRDefault="00A152A4" w:rsidP="00A152A4">
      <w:pPr>
        <w:pStyle w:val="ListParagraph"/>
        <w:numPr>
          <w:ilvl w:val="0"/>
          <w:numId w:val="12"/>
        </w:numPr>
        <w:jc w:val="both"/>
        <w:rPr>
          <w:rFonts w:ascii="Arial Narrow" w:hAnsi="Arial Narrow" w:cs="Times New Roman"/>
          <w:color w:val="7030A0"/>
          <w:sz w:val="28"/>
          <w:szCs w:val="28"/>
        </w:rPr>
      </w:pPr>
      <w:r w:rsidRPr="00A152A4">
        <w:rPr>
          <w:rFonts w:ascii="Arial Narrow" w:hAnsi="Arial Narrow" w:cs="Times New Roman"/>
          <w:color w:val="7030A0"/>
          <w:sz w:val="28"/>
          <w:szCs w:val="28"/>
        </w:rPr>
        <w:t>Finanšu ministrijai, Ekonomikas ministrijai un Zemkopības ministrijai kā akciju sabiedrības "Attīstības finanšu institūcija Altum" kapitāla daļu turētājiem nodrošināt finanšu līdzekļu ieskaitīšanu akciju sabiedrības "Attīstības finanšu institūcija Altum" rezerves kapitālā.</w:t>
      </w:r>
    </w:p>
    <w:p w14:paraId="3E5B1657" w14:textId="77777777" w:rsidR="00A94CD5" w:rsidRPr="00A94CD5" w:rsidRDefault="00A94CD5" w:rsidP="00A94CD5">
      <w:pPr>
        <w:pStyle w:val="ListParagraph"/>
        <w:rPr>
          <w:rFonts w:ascii="Arial Narrow" w:hAnsi="Arial Narrow" w:cs="Times New Roman"/>
          <w:color w:val="7030A0"/>
          <w:sz w:val="28"/>
          <w:szCs w:val="28"/>
        </w:rPr>
      </w:pPr>
    </w:p>
    <w:p w14:paraId="0AE99703" w14:textId="2CA4F3D9" w:rsidR="00A152A4" w:rsidRPr="00A152A4" w:rsidRDefault="00EE38AB" w:rsidP="00A152A4">
      <w:pPr>
        <w:pStyle w:val="ListParagraph"/>
        <w:numPr>
          <w:ilvl w:val="0"/>
          <w:numId w:val="12"/>
        </w:numPr>
        <w:jc w:val="both"/>
        <w:rPr>
          <w:rFonts w:ascii="Arial Narrow" w:hAnsi="Arial Narrow" w:cs="Times New Roman"/>
          <w:color w:val="7030A0"/>
          <w:sz w:val="28"/>
          <w:szCs w:val="28"/>
        </w:rPr>
      </w:pPr>
      <w:r>
        <w:rPr>
          <w:rFonts w:ascii="Arial Narrow" w:hAnsi="Arial Narrow" w:cs="Times New Roman"/>
          <w:color w:val="7030A0"/>
          <w:sz w:val="28"/>
          <w:szCs w:val="28"/>
        </w:rPr>
        <w:t xml:space="preserve">Lai nodrošinātu nepieciešamo finansējumu procentu maksājumu segšanai, konceptuāli atbalstīt, ka </w:t>
      </w:r>
      <w:r w:rsidR="0081497D" w:rsidRPr="0081497D">
        <w:rPr>
          <w:rFonts w:ascii="Arial Narrow" w:hAnsi="Arial Narrow" w:cs="Times New Roman"/>
          <w:color w:val="7030A0"/>
          <w:sz w:val="28"/>
          <w:szCs w:val="28"/>
        </w:rPr>
        <w:t xml:space="preserve">Izglītības un zinātnes ministrijai piešķirto valsts budžeta līdzekļu ietvaros normatīvajos aktos noteiktajā kārtībā 2021.gadā un </w:t>
      </w:r>
      <w:r w:rsidR="0081497D">
        <w:rPr>
          <w:rFonts w:ascii="Arial Narrow" w:hAnsi="Arial Narrow" w:cs="Times New Roman"/>
          <w:color w:val="7030A0"/>
          <w:sz w:val="28"/>
          <w:szCs w:val="28"/>
        </w:rPr>
        <w:t>turpmākajos</w:t>
      </w:r>
      <w:r w:rsidR="0081497D" w:rsidRPr="0081497D">
        <w:rPr>
          <w:rFonts w:ascii="Arial Narrow" w:hAnsi="Arial Narrow" w:cs="Times New Roman"/>
          <w:color w:val="7030A0"/>
          <w:sz w:val="28"/>
          <w:szCs w:val="28"/>
        </w:rPr>
        <w:t xml:space="preserve"> gados </w:t>
      </w:r>
      <w:r>
        <w:rPr>
          <w:rFonts w:ascii="Arial Narrow" w:hAnsi="Arial Narrow" w:cs="Times New Roman"/>
          <w:color w:val="7030A0"/>
          <w:sz w:val="28"/>
          <w:szCs w:val="28"/>
        </w:rPr>
        <w:t xml:space="preserve">tiks </w:t>
      </w:r>
      <w:r w:rsidR="0081497D">
        <w:rPr>
          <w:rFonts w:ascii="Arial Narrow" w:hAnsi="Arial Narrow" w:cs="Times New Roman"/>
          <w:color w:val="7030A0"/>
          <w:sz w:val="28"/>
          <w:szCs w:val="28"/>
        </w:rPr>
        <w:t>veikt</w:t>
      </w:r>
      <w:r>
        <w:rPr>
          <w:rFonts w:ascii="Arial Narrow" w:hAnsi="Arial Narrow" w:cs="Times New Roman"/>
          <w:color w:val="7030A0"/>
          <w:sz w:val="28"/>
          <w:szCs w:val="28"/>
        </w:rPr>
        <w:t>a</w:t>
      </w:r>
      <w:r w:rsidR="0081497D">
        <w:rPr>
          <w:rFonts w:ascii="Arial Narrow" w:hAnsi="Arial Narrow" w:cs="Times New Roman"/>
          <w:color w:val="7030A0"/>
          <w:sz w:val="28"/>
          <w:szCs w:val="28"/>
        </w:rPr>
        <w:t xml:space="preserve"> apropriācijas pārdal</w:t>
      </w:r>
      <w:r>
        <w:rPr>
          <w:rFonts w:ascii="Arial Narrow" w:hAnsi="Arial Narrow" w:cs="Times New Roman"/>
          <w:color w:val="7030A0"/>
          <w:sz w:val="28"/>
          <w:szCs w:val="28"/>
        </w:rPr>
        <w:t>e</w:t>
      </w:r>
      <w:r w:rsidR="0081497D" w:rsidRPr="0081497D">
        <w:rPr>
          <w:rFonts w:ascii="Arial Narrow" w:hAnsi="Arial Narrow" w:cs="Times New Roman"/>
          <w:color w:val="7030A0"/>
          <w:sz w:val="28"/>
          <w:szCs w:val="28"/>
        </w:rPr>
        <w:t xml:space="preserve"> no riska segumam paredzētā finansējuma uz procentu izdevumiem atbilstoš</w:t>
      </w:r>
      <w:r w:rsidR="0081497D">
        <w:rPr>
          <w:rFonts w:ascii="Arial Narrow" w:hAnsi="Arial Narrow" w:cs="Times New Roman"/>
          <w:color w:val="7030A0"/>
          <w:sz w:val="28"/>
          <w:szCs w:val="28"/>
        </w:rPr>
        <w:t xml:space="preserve">i faktiskajai </w:t>
      </w:r>
      <w:r w:rsidR="0081497D" w:rsidRPr="0081497D">
        <w:rPr>
          <w:rFonts w:ascii="Arial Narrow" w:hAnsi="Arial Narrow" w:cs="Times New Roman"/>
          <w:color w:val="7030A0"/>
          <w:sz w:val="28"/>
          <w:szCs w:val="28"/>
        </w:rPr>
        <w:t>situācijai</w:t>
      </w:r>
      <w:r w:rsidR="00A152A4" w:rsidRPr="00A152A4">
        <w:rPr>
          <w:rFonts w:ascii="Arial Narrow" w:hAnsi="Arial Narrow" w:cs="Times New Roman"/>
          <w:color w:val="7030A0"/>
          <w:sz w:val="28"/>
          <w:szCs w:val="28"/>
        </w:rPr>
        <w:t>.</w:t>
      </w:r>
      <w:r w:rsidRPr="00EE38AB">
        <w:rPr>
          <w:rFonts w:ascii="RimTimes" w:hAnsi="RimTimes"/>
          <w:sz w:val="28"/>
          <w:szCs w:val="28"/>
          <w:highlight w:val="yellow"/>
        </w:rPr>
        <w:t xml:space="preserve"> </w:t>
      </w:r>
    </w:p>
    <w:p w14:paraId="1668F23B" w14:textId="77777777" w:rsidR="00EC6C13" w:rsidRDefault="00EC6C13" w:rsidP="00CB2D50">
      <w:pPr>
        <w:pStyle w:val="ListParagraph"/>
        <w:ind w:left="1080"/>
        <w:jc w:val="both"/>
        <w:rPr>
          <w:rFonts w:ascii="Arial Narrow" w:hAnsi="Arial Narrow" w:cs="Times New Roman"/>
          <w:color w:val="7030A0"/>
          <w:sz w:val="28"/>
          <w:szCs w:val="28"/>
        </w:rPr>
      </w:pPr>
    </w:p>
    <w:p w14:paraId="4327CCD4" w14:textId="374C61A6" w:rsidR="00EC6C13" w:rsidRPr="005B2B6D" w:rsidRDefault="00EB4BE3" w:rsidP="00397F2A">
      <w:pPr>
        <w:pStyle w:val="ListParagraph"/>
        <w:numPr>
          <w:ilvl w:val="0"/>
          <w:numId w:val="12"/>
        </w:numPr>
        <w:jc w:val="both"/>
        <w:rPr>
          <w:rFonts w:ascii="Arial Narrow" w:hAnsi="Arial Narrow" w:cs="Times New Roman"/>
          <w:color w:val="7030A0"/>
          <w:sz w:val="28"/>
          <w:szCs w:val="28"/>
        </w:rPr>
      </w:pPr>
      <w:r w:rsidRPr="005B2B6D">
        <w:rPr>
          <w:rFonts w:ascii="Arial Narrow" w:hAnsi="Arial Narrow" w:cs="Times New Roman"/>
          <w:color w:val="7030A0"/>
          <w:sz w:val="28"/>
          <w:szCs w:val="28"/>
        </w:rPr>
        <w:lastRenderedPageBreak/>
        <w:t xml:space="preserve">Ministrijai sagatavot un iesniegt izskatīšanai Ministru kabinetā grozījumus </w:t>
      </w:r>
      <w:r w:rsidR="00817F3C">
        <w:rPr>
          <w:rFonts w:ascii="Arial Narrow" w:hAnsi="Arial Narrow" w:cs="Times New Roman"/>
          <w:color w:val="7030A0"/>
          <w:sz w:val="28"/>
          <w:szCs w:val="28"/>
        </w:rPr>
        <w:t xml:space="preserve">Ministru kabineta </w:t>
      </w:r>
      <w:r w:rsidRPr="005B2B6D">
        <w:rPr>
          <w:rFonts w:ascii="Arial Narrow" w:hAnsi="Arial Narrow" w:cs="Times New Roman"/>
          <w:color w:val="7030A0"/>
          <w:sz w:val="28"/>
          <w:szCs w:val="28"/>
        </w:rPr>
        <w:t xml:space="preserve">2020.gada 21.aprīļa noteikumos Nr.231 “Noteikumi par studiju un studējošo kreditēšanu studijām Latvijā no kredītiestāžu līdzekļiem, kas ir garantēti no valsts budžeta līdzekļiem”, paredzot mēneša studējošā kredīta apmēra atsaisti no minimālās algas un </w:t>
      </w:r>
      <w:r w:rsidR="00397F2A" w:rsidRPr="00397F2A">
        <w:rPr>
          <w:rFonts w:ascii="Arial Narrow" w:hAnsi="Arial Narrow" w:cs="Times New Roman"/>
          <w:color w:val="7030A0"/>
          <w:sz w:val="28"/>
          <w:szCs w:val="28"/>
        </w:rPr>
        <w:t>nosakot studējošā kredīta summu mēnesī fiksētas summas apmērā</w:t>
      </w:r>
      <w:r w:rsidRPr="005B2B6D">
        <w:rPr>
          <w:rFonts w:ascii="Arial Narrow" w:hAnsi="Arial Narrow" w:cs="Times New Roman"/>
          <w:color w:val="7030A0"/>
          <w:sz w:val="28"/>
          <w:szCs w:val="28"/>
        </w:rPr>
        <w:t xml:space="preserve">, </w:t>
      </w:r>
      <w:r w:rsidR="005B2B6D" w:rsidRPr="005B2B6D">
        <w:rPr>
          <w:rFonts w:ascii="Arial Narrow" w:hAnsi="Arial Narrow" w:cs="Times New Roman"/>
          <w:color w:val="7030A0"/>
          <w:sz w:val="28"/>
          <w:szCs w:val="28"/>
        </w:rPr>
        <w:t>kā arī izvērtēt iespēju sagatavot un iesniegt Saeimā  grozījumus Augstskolu likumā, paredzot Ministru kabinetam kompetenci noteikt papildus kritērijus un prioritātes studiju un studējošo kredītu piešķiršanai ierobežotu budžeta līdzekļu apstākļos.</w:t>
      </w:r>
    </w:p>
    <w:p w14:paraId="68E9B83B" w14:textId="77777777" w:rsidR="00EC6C13" w:rsidRPr="00A94CD5" w:rsidRDefault="00EC6C13" w:rsidP="00CB2D50">
      <w:pPr>
        <w:pStyle w:val="ListParagraph"/>
        <w:ind w:left="1080"/>
        <w:jc w:val="both"/>
        <w:rPr>
          <w:rFonts w:ascii="Arial Narrow" w:hAnsi="Arial Narrow" w:cs="Times New Roman"/>
          <w:color w:val="7030A0"/>
          <w:sz w:val="28"/>
          <w:szCs w:val="28"/>
        </w:rPr>
      </w:pPr>
    </w:p>
    <w:p w14:paraId="75D1263F" w14:textId="26D33AE2" w:rsidR="00913432" w:rsidRPr="00913432" w:rsidRDefault="00913432" w:rsidP="00913432">
      <w:pPr>
        <w:spacing w:after="0" w:line="240" w:lineRule="auto"/>
        <w:ind w:firstLine="720"/>
        <w:rPr>
          <w:rFonts w:ascii="Arial Narrow" w:hAnsi="Arial Narrow" w:cs="Times New Roman"/>
          <w:sz w:val="28"/>
          <w:szCs w:val="28"/>
          <w:lang w:val="lv-LV"/>
        </w:rPr>
      </w:pPr>
      <w:r w:rsidRPr="00913432">
        <w:rPr>
          <w:rFonts w:ascii="Arial Narrow" w:hAnsi="Arial Narrow" w:cs="Times New Roman"/>
          <w:sz w:val="28"/>
          <w:szCs w:val="28"/>
          <w:lang w:val="lv-LV"/>
        </w:rPr>
        <w:t xml:space="preserve">Izglītības un zinātnes ministre                                   </w:t>
      </w:r>
      <w:r>
        <w:rPr>
          <w:rFonts w:ascii="Arial Narrow" w:hAnsi="Arial Narrow" w:cs="Times New Roman"/>
          <w:sz w:val="28"/>
          <w:szCs w:val="28"/>
          <w:lang w:val="lv-LV"/>
        </w:rPr>
        <w:t xml:space="preserve">                         </w:t>
      </w:r>
      <w:r w:rsidRPr="00913432">
        <w:rPr>
          <w:rFonts w:ascii="Arial Narrow" w:hAnsi="Arial Narrow" w:cs="Times New Roman"/>
          <w:sz w:val="28"/>
          <w:szCs w:val="28"/>
          <w:lang w:val="lv-LV"/>
        </w:rPr>
        <w:t xml:space="preserve">   Ilga Šuplinska</w:t>
      </w:r>
    </w:p>
    <w:p w14:paraId="73B52A08" w14:textId="77777777" w:rsidR="00913432" w:rsidRDefault="00913432" w:rsidP="00913432">
      <w:pPr>
        <w:spacing w:after="0" w:line="240" w:lineRule="auto"/>
        <w:ind w:firstLine="720"/>
        <w:rPr>
          <w:rFonts w:ascii="Arial Narrow" w:hAnsi="Arial Narrow" w:cs="Times New Roman"/>
          <w:sz w:val="28"/>
          <w:szCs w:val="28"/>
          <w:lang w:val="lv-LV"/>
        </w:rPr>
      </w:pPr>
    </w:p>
    <w:p w14:paraId="694D99C1" w14:textId="77777777" w:rsidR="00EC6C13" w:rsidRDefault="00EC6C13" w:rsidP="00913432">
      <w:pPr>
        <w:spacing w:after="0" w:line="240" w:lineRule="auto"/>
        <w:ind w:firstLine="720"/>
        <w:rPr>
          <w:rFonts w:ascii="Arial Narrow" w:hAnsi="Arial Narrow" w:cs="Times New Roman"/>
          <w:sz w:val="28"/>
          <w:szCs w:val="28"/>
          <w:lang w:val="lv-LV"/>
        </w:rPr>
      </w:pPr>
    </w:p>
    <w:p w14:paraId="611077A6" w14:textId="77777777" w:rsidR="00EC6C13" w:rsidRDefault="00EC6C13" w:rsidP="00913432">
      <w:pPr>
        <w:spacing w:after="0" w:line="240" w:lineRule="auto"/>
        <w:ind w:firstLine="720"/>
        <w:rPr>
          <w:rFonts w:ascii="Arial Narrow" w:hAnsi="Arial Narrow" w:cs="Times New Roman"/>
          <w:sz w:val="28"/>
          <w:szCs w:val="28"/>
          <w:lang w:val="lv-LV"/>
        </w:rPr>
      </w:pPr>
    </w:p>
    <w:p w14:paraId="53217210" w14:textId="77777777" w:rsidR="00EC6C13" w:rsidRDefault="00EC6C13" w:rsidP="00913432">
      <w:pPr>
        <w:spacing w:after="0" w:line="240" w:lineRule="auto"/>
        <w:ind w:firstLine="720"/>
        <w:rPr>
          <w:rFonts w:ascii="Arial Narrow" w:hAnsi="Arial Narrow" w:cs="Times New Roman"/>
          <w:sz w:val="28"/>
          <w:szCs w:val="28"/>
          <w:lang w:val="lv-LV"/>
        </w:rPr>
      </w:pPr>
    </w:p>
    <w:p w14:paraId="4521A53B" w14:textId="77777777" w:rsidR="00EC6C13" w:rsidRPr="00913432" w:rsidRDefault="00EC6C13" w:rsidP="00913432">
      <w:pPr>
        <w:spacing w:after="0" w:line="240" w:lineRule="auto"/>
        <w:ind w:firstLine="720"/>
        <w:rPr>
          <w:rFonts w:ascii="Arial Narrow" w:hAnsi="Arial Narrow" w:cs="Times New Roman"/>
          <w:sz w:val="28"/>
          <w:szCs w:val="28"/>
          <w:lang w:val="lv-LV"/>
        </w:rPr>
      </w:pPr>
    </w:p>
    <w:p w14:paraId="081A6B85" w14:textId="77777777" w:rsidR="00913432" w:rsidRPr="00913432" w:rsidRDefault="00913432" w:rsidP="00913432">
      <w:pPr>
        <w:spacing w:after="0" w:line="240" w:lineRule="auto"/>
        <w:ind w:firstLine="720"/>
        <w:rPr>
          <w:rFonts w:ascii="Arial Narrow" w:hAnsi="Arial Narrow" w:cs="Times New Roman"/>
          <w:sz w:val="28"/>
          <w:szCs w:val="28"/>
          <w:lang w:val="lv-LV"/>
        </w:rPr>
      </w:pPr>
      <w:r w:rsidRPr="00913432">
        <w:rPr>
          <w:rFonts w:ascii="Arial Narrow" w:hAnsi="Arial Narrow" w:cs="Times New Roman"/>
          <w:sz w:val="28"/>
          <w:szCs w:val="28"/>
          <w:lang w:val="lv-LV"/>
        </w:rPr>
        <w:t>Vīza:</w:t>
      </w:r>
    </w:p>
    <w:p w14:paraId="789B9578" w14:textId="670B9A35" w:rsidR="00913432" w:rsidRPr="00913432" w:rsidRDefault="00EC6C13" w:rsidP="00913432">
      <w:pPr>
        <w:spacing w:after="0" w:line="240" w:lineRule="auto"/>
        <w:ind w:firstLine="720"/>
        <w:rPr>
          <w:rFonts w:ascii="Arial Narrow" w:hAnsi="Arial Narrow" w:cs="Times New Roman"/>
          <w:sz w:val="28"/>
          <w:szCs w:val="28"/>
          <w:lang w:val="lv-LV"/>
        </w:rPr>
      </w:pPr>
      <w:r>
        <w:rPr>
          <w:rFonts w:ascii="Arial Narrow" w:hAnsi="Arial Narrow" w:cs="Times New Roman"/>
          <w:sz w:val="28"/>
          <w:szCs w:val="28"/>
          <w:lang w:val="lv-LV"/>
        </w:rPr>
        <w:t>Valsts sekretāra p.i.</w:t>
      </w:r>
      <w:r w:rsidR="00913432" w:rsidRPr="00913432">
        <w:rPr>
          <w:rFonts w:ascii="Arial Narrow" w:hAnsi="Arial Narrow" w:cs="Times New Roman"/>
          <w:sz w:val="28"/>
          <w:szCs w:val="28"/>
          <w:lang w:val="lv-LV"/>
        </w:rPr>
        <w:t xml:space="preserve">                  </w:t>
      </w:r>
      <w:r w:rsidR="00913432">
        <w:rPr>
          <w:rFonts w:ascii="Arial Narrow" w:hAnsi="Arial Narrow" w:cs="Times New Roman"/>
          <w:sz w:val="28"/>
          <w:szCs w:val="28"/>
          <w:lang w:val="lv-LV"/>
        </w:rPr>
        <w:t xml:space="preserve">                        </w:t>
      </w:r>
      <w:r w:rsidR="00913432" w:rsidRPr="00913432">
        <w:rPr>
          <w:rFonts w:ascii="Arial Narrow" w:hAnsi="Arial Narrow" w:cs="Times New Roman"/>
          <w:sz w:val="28"/>
          <w:szCs w:val="28"/>
          <w:lang w:val="lv-LV"/>
        </w:rPr>
        <w:t xml:space="preserve">                                </w:t>
      </w:r>
      <w:r w:rsidR="00464CC6">
        <w:rPr>
          <w:rFonts w:ascii="Arial Narrow" w:hAnsi="Arial Narrow" w:cs="Times New Roman"/>
          <w:sz w:val="28"/>
          <w:szCs w:val="28"/>
          <w:lang w:val="lv-LV"/>
        </w:rPr>
        <w:t xml:space="preserve">    </w:t>
      </w:r>
      <w:r w:rsidR="00913432" w:rsidRPr="00913432">
        <w:rPr>
          <w:rFonts w:ascii="Arial Narrow" w:hAnsi="Arial Narrow" w:cs="Times New Roman"/>
          <w:sz w:val="28"/>
          <w:szCs w:val="28"/>
          <w:lang w:val="lv-LV"/>
        </w:rPr>
        <w:t xml:space="preserve"> </w:t>
      </w:r>
      <w:r>
        <w:rPr>
          <w:rFonts w:ascii="Arial Narrow" w:hAnsi="Arial Narrow" w:cs="Times New Roman"/>
          <w:sz w:val="28"/>
          <w:szCs w:val="28"/>
          <w:lang w:val="lv-LV"/>
        </w:rPr>
        <w:t>Jānis Volberts</w:t>
      </w:r>
    </w:p>
    <w:p w14:paraId="24E64719" w14:textId="77777777" w:rsidR="00EC6C13" w:rsidRDefault="00EC6C13">
      <w:pPr>
        <w:rPr>
          <w:rFonts w:ascii="Arial Narrow" w:hAnsi="Arial Narrow" w:cs="Times New Roman"/>
          <w:sz w:val="28"/>
          <w:szCs w:val="28"/>
          <w:lang w:val="lv-LV"/>
        </w:rPr>
      </w:pPr>
    </w:p>
    <w:p w14:paraId="31425BC1" w14:textId="77777777" w:rsidR="00EC6C13" w:rsidRDefault="00EC6C13">
      <w:pPr>
        <w:rPr>
          <w:rFonts w:ascii="Arial Narrow" w:hAnsi="Arial Narrow" w:cs="Times New Roman"/>
          <w:sz w:val="28"/>
          <w:szCs w:val="28"/>
          <w:lang w:val="lv-LV"/>
        </w:rPr>
      </w:pPr>
    </w:p>
    <w:p w14:paraId="59C6D480" w14:textId="77777777" w:rsidR="00EC6C13" w:rsidRDefault="00EC6C13">
      <w:pPr>
        <w:rPr>
          <w:rFonts w:ascii="Arial Narrow" w:hAnsi="Arial Narrow" w:cs="Times New Roman"/>
          <w:sz w:val="28"/>
          <w:szCs w:val="28"/>
          <w:lang w:val="lv-LV"/>
        </w:rPr>
      </w:pPr>
    </w:p>
    <w:p w14:paraId="3CF16F60" w14:textId="03C219BA" w:rsidR="00685F98" w:rsidRDefault="0000332A">
      <w:pPr>
        <w:rPr>
          <w:rFonts w:ascii="Arial Narrow" w:hAnsi="Arial Narrow" w:cs="Times New Roman"/>
          <w:sz w:val="28"/>
          <w:szCs w:val="28"/>
          <w:lang w:val="lv-LV"/>
        </w:rPr>
      </w:pPr>
      <w:r>
        <w:rPr>
          <w:rFonts w:ascii="Arial Narrow" w:hAnsi="Arial Narrow"/>
          <w:noProof/>
          <w:lang w:val="lv-LV" w:eastAsia="lv-LV"/>
        </w:rPr>
        <mc:AlternateContent>
          <mc:Choice Requires="wpg">
            <w:drawing>
              <wp:anchor distT="0" distB="0" distL="114300" distR="114300" simplePos="0" relativeHeight="251658243" behindDoc="0" locked="0" layoutInCell="1" allowOverlap="1" wp14:anchorId="28F9911E" wp14:editId="333325A6">
                <wp:simplePos x="0" y="0"/>
                <wp:positionH relativeFrom="page">
                  <wp:posOffset>15240</wp:posOffset>
                </wp:positionH>
                <wp:positionV relativeFrom="paragraph">
                  <wp:posOffset>1096645</wp:posOffset>
                </wp:positionV>
                <wp:extent cx="7909560" cy="1036320"/>
                <wp:effectExtent l="0" t="0" r="0" b="0"/>
                <wp:wrapNone/>
                <wp:docPr id="8" name="Group 8"/>
                <wp:cNvGraphicFramePr/>
                <a:graphic xmlns:a="http://schemas.openxmlformats.org/drawingml/2006/main">
                  <a:graphicData uri="http://schemas.microsoft.com/office/word/2010/wordprocessingGroup">
                    <wpg:wgp>
                      <wpg:cNvGrpSpPr/>
                      <wpg:grpSpPr>
                        <a:xfrm flipV="1">
                          <a:off x="0" y="0"/>
                          <a:ext cx="7909560" cy="1036320"/>
                          <a:chOff x="0" y="0"/>
                          <a:chExt cx="7909560" cy="1036320"/>
                        </a:xfrm>
                      </wpg:grpSpPr>
                      <wps:wsp>
                        <wps:cNvPr id="9"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0125C2C" id="Group 8" o:spid="_x0000_s1026" style="position:absolute;margin-left:1.2pt;margin-top:86.35pt;width:622.8pt;height:81.6pt;flip:y;z-index:251658243;mso-position-horizontal-relative:page"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ecMA&#10;AADaAAAADwAAAGRycy9kb3ducmV2LnhtbESPS4vCQBCE7wv+h6EFb+skIrJGRxFhWRH24ONgbk2m&#10;88BMT8xMNP77HUHYY1FVX1HLdW9qcafWVZYVxOMIBHFmdcWFgvPp+/MLhPPIGmvLpOBJDtarwccS&#10;E20ffKD70RciQNglqKD0vkmkdFlJBt3YNsTBy21r0AfZFlK3+AhwU8tJFM2kwYrDQokNbUvKrsfO&#10;KHDF/jdPuYunnUlvt5/8MmniqVKjYb9ZgPDU+//wu73TCubwuh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gec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QRcUA&#10;AADbAAAADwAAAGRycy9kb3ducmV2LnhtbESPT2vDMAzF74N9B6NCb6vTFbqS1i2lMDYYgyXdZTcR&#10;K39oLAfba7JvPx0KvUm8p/d+2h0m16srhdh5NrBcZKCIK287bgx8n1+fNqBiQrbYeyYDfxThsH98&#10;2GFu/cgFXcvUKAnhmKOBNqUh1zpWLTmMCz8Qi1b74DDJGhptA44S7nr9nGVr7bBjaWhxoFNL1aX8&#10;dQbWH4VOy59VXRfn5jRWn+HrrXwxZj6bjltQiaZ0N9+u363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VBFxQAAANsAAAAPAAAAAAAAAAAAAAAAAJgCAABkcnMv&#10;ZG93bnJldi54bWxQSwUGAAAAAAQABAD1AAAAigMAAAAA&#10;" path="m,6368l10010,r,10000l10,10000c7,8789,3,7579,,6368xe" fillcolor="#64157d" stroked="f" strokeweight="1pt">
                  <v:stroke joinstyle="miter"/>
                  <v:path arrowok="t" o:connecttype="custom" o:connectlocs="0,422160;7757290,0;7757290,662940;7750,662940;0,422160" o:connectangles="0,0,0,0,0"/>
                </v:shape>
                <w10:wrap anchorx="page"/>
              </v:group>
            </w:pict>
          </mc:Fallback>
        </mc:AlternateContent>
      </w:r>
    </w:p>
    <w:p w14:paraId="00125391" w14:textId="6F4AF0AD" w:rsidR="00685F98" w:rsidRPr="00D919ED" w:rsidRDefault="001C3DD9" w:rsidP="000418A8">
      <w:pPr>
        <w:spacing w:after="0" w:line="240" w:lineRule="auto"/>
        <w:rPr>
          <w:rFonts w:ascii="Arial Narrow" w:hAnsi="Arial Narrow" w:cs="Times New Roman"/>
          <w:sz w:val="20"/>
          <w:szCs w:val="20"/>
          <w:lang w:val="lv-LV"/>
        </w:rPr>
      </w:pPr>
      <w:r>
        <w:rPr>
          <w:rFonts w:ascii="Arial Narrow" w:hAnsi="Arial Narrow" w:cs="Times New Roman"/>
          <w:sz w:val="20"/>
          <w:szCs w:val="20"/>
          <w:lang w:val="lv-LV"/>
        </w:rPr>
        <w:t xml:space="preserve">D. </w:t>
      </w:r>
      <w:r w:rsidR="00685F98" w:rsidRPr="00D919ED">
        <w:rPr>
          <w:rFonts w:ascii="Arial Narrow" w:hAnsi="Arial Narrow" w:cs="Times New Roman"/>
          <w:sz w:val="20"/>
          <w:szCs w:val="20"/>
          <w:lang w:val="lv-LV"/>
        </w:rPr>
        <w:t>Laipniece, 67047843</w:t>
      </w:r>
    </w:p>
    <w:p w14:paraId="092F5FD4" w14:textId="5F243976" w:rsidR="000418A8" w:rsidRPr="00D919ED" w:rsidRDefault="000418A8" w:rsidP="000418A8">
      <w:pPr>
        <w:spacing w:after="0" w:line="240" w:lineRule="auto"/>
        <w:rPr>
          <w:rFonts w:ascii="Arial Narrow" w:hAnsi="Arial Narrow" w:cs="Times New Roman"/>
          <w:sz w:val="20"/>
          <w:szCs w:val="20"/>
          <w:lang w:val="lv-LV"/>
        </w:rPr>
      </w:pPr>
      <w:r w:rsidRPr="00D919ED">
        <w:rPr>
          <w:rFonts w:ascii="Arial Narrow" w:hAnsi="Arial Narrow" w:cs="Times New Roman"/>
          <w:sz w:val="20"/>
          <w:szCs w:val="20"/>
          <w:lang w:val="lv-LV"/>
        </w:rPr>
        <w:t>diana.laipniece@izm.gov.lv</w:t>
      </w:r>
    </w:p>
    <w:sectPr w:rsidR="000418A8" w:rsidRPr="00D919ED" w:rsidSect="00A94CD5">
      <w:headerReference w:type="default" r:id="rId13"/>
      <w:footerReference w:type="default" r:id="rId14"/>
      <w:pgSz w:w="12240" w:h="15840"/>
      <w:pgMar w:top="1440" w:right="1440" w:bottom="113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2672" w16cex:dateUtc="2020-10-31T16:07:00Z"/>
  <w16cex:commentExtensible w16cex:durableId="234827DB" w16cex:dateUtc="2020-10-31T16:13:00Z"/>
  <w16cex:commentExtensible w16cex:durableId="2348290A" w16cex:dateUtc="2020-10-31T16:18:00Z"/>
  <w16cex:commentExtensible w16cex:durableId="2348294B" w16cex:dateUtc="2020-10-31T16:19:00Z"/>
  <w16cex:commentExtensible w16cex:durableId="23482A1D" w16cex:dateUtc="2020-10-31T16:23:00Z"/>
  <w16cex:commentExtensible w16cex:durableId="23482A31" w16cex:dateUtc="2020-10-31T16:23:00Z"/>
  <w16cex:commentExtensible w16cex:durableId="23482A5F" w16cex:dateUtc="2020-10-31T16:24:00Z"/>
  <w16cex:commentExtensible w16cex:durableId="23482AF1" w16cex:dateUtc="2020-10-31T16:26:00Z"/>
  <w16cex:commentExtensible w16cex:durableId="23482B2D" w16cex:dateUtc="2020-10-31T16:27:00Z"/>
  <w16cex:commentExtensible w16cex:durableId="23482C07" w16cex:dateUtc="2020-10-31T16:31:00Z"/>
  <w16cex:commentExtensible w16cex:durableId="23482B65" w16cex:dateUtc="2020-10-31T16:28:00Z"/>
  <w16cex:commentExtensible w16cex:durableId="23482B83" w16cex:dateUtc="2020-10-31T16:29:00Z"/>
  <w16cex:commentExtensible w16cex:durableId="23482E4A" w16cex:dateUtc="2020-10-31T16:41:00Z"/>
  <w16cex:commentExtensible w16cex:durableId="23482DE5" w16cex:dateUtc="2020-10-31T16:39:00Z"/>
  <w16cex:commentExtensible w16cex:durableId="23482EEB" w16cex:dateUtc="2020-10-31T16:43:00Z"/>
  <w16cex:commentExtensible w16cex:durableId="2348300A" w16cex:dateUtc="2020-10-31T16:48:00Z"/>
  <w16cex:commentExtensible w16cex:durableId="23483027" w16cex:dateUtc="2020-10-31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8E3936" w16cid:durableId="23482672"/>
  <w16cid:commentId w16cid:paraId="32DEF3AB" w16cid:durableId="234827DB"/>
  <w16cid:commentId w16cid:paraId="7A8B64B2" w16cid:durableId="2348290A"/>
  <w16cid:commentId w16cid:paraId="738DDFA8" w16cid:durableId="2348294B"/>
  <w16cid:commentId w16cid:paraId="3757FEEF" w16cid:durableId="23482A1D"/>
  <w16cid:commentId w16cid:paraId="6175EBD9" w16cid:durableId="23482A31"/>
  <w16cid:commentId w16cid:paraId="6A387170" w16cid:durableId="23482A5F"/>
  <w16cid:commentId w16cid:paraId="4E64DFA6" w16cid:durableId="23482AF1"/>
  <w16cid:commentId w16cid:paraId="41D4ED2D" w16cid:durableId="23482B2D"/>
  <w16cid:commentId w16cid:paraId="1E0A967C" w16cid:durableId="23482C07"/>
  <w16cid:commentId w16cid:paraId="00DDEFC1" w16cid:durableId="23482B65"/>
  <w16cid:commentId w16cid:paraId="6C793F8F" w16cid:durableId="23482B83"/>
  <w16cid:commentId w16cid:paraId="793E0785" w16cid:durableId="23482E4A"/>
  <w16cid:commentId w16cid:paraId="122C53B5" w16cid:durableId="23482DE5"/>
  <w16cid:commentId w16cid:paraId="42F94BC6" w16cid:durableId="23482EEB"/>
  <w16cid:commentId w16cid:paraId="4C7EEF8F" w16cid:durableId="2348300A"/>
  <w16cid:commentId w16cid:paraId="143DC436" w16cid:durableId="23483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0243" w14:textId="77777777" w:rsidR="00541F77" w:rsidRDefault="00541F77" w:rsidP="00BC75D2">
      <w:pPr>
        <w:spacing w:after="0" w:line="240" w:lineRule="auto"/>
      </w:pPr>
      <w:r>
        <w:separator/>
      </w:r>
    </w:p>
  </w:endnote>
  <w:endnote w:type="continuationSeparator" w:id="0">
    <w:p w14:paraId="1ECF6F36" w14:textId="77777777" w:rsidR="00541F77" w:rsidRDefault="00541F77" w:rsidP="00BC75D2">
      <w:pPr>
        <w:spacing w:after="0" w:line="240" w:lineRule="auto"/>
      </w:pPr>
      <w:r>
        <w:continuationSeparator/>
      </w:r>
    </w:p>
  </w:endnote>
  <w:endnote w:type="continuationNotice" w:id="1">
    <w:p w14:paraId="2FBF22D0" w14:textId="77777777" w:rsidR="00541F77" w:rsidRDefault="00541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6C08" w14:textId="01A9EFDC" w:rsidR="00EF5610" w:rsidRDefault="00EC6C13">
    <w:pPr>
      <w:pStyle w:val="Footer"/>
    </w:pPr>
    <w:r>
      <w:t>IZMInfozin_</w:t>
    </w:r>
    <w:r w:rsidR="00FF7403">
      <w:t>12</w:t>
    </w:r>
    <w:r>
      <w:t>11</w:t>
    </w:r>
    <w:r w:rsidR="00EF5610" w:rsidRPr="009B3889">
      <w:t>20_papildus_lidzekli_kreditiem</w:t>
    </w:r>
  </w:p>
  <w:p w14:paraId="5427D9BC" w14:textId="77777777" w:rsidR="00EF5610" w:rsidRDefault="00EF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FE7E" w14:textId="77777777" w:rsidR="00541F77" w:rsidRDefault="00541F77" w:rsidP="00BC75D2">
      <w:pPr>
        <w:spacing w:after="0" w:line="240" w:lineRule="auto"/>
      </w:pPr>
      <w:r>
        <w:separator/>
      </w:r>
    </w:p>
  </w:footnote>
  <w:footnote w:type="continuationSeparator" w:id="0">
    <w:p w14:paraId="499D9594" w14:textId="77777777" w:rsidR="00541F77" w:rsidRDefault="00541F77" w:rsidP="00BC75D2">
      <w:pPr>
        <w:spacing w:after="0" w:line="240" w:lineRule="auto"/>
      </w:pPr>
      <w:r>
        <w:continuationSeparator/>
      </w:r>
    </w:p>
  </w:footnote>
  <w:footnote w:type="continuationNotice" w:id="1">
    <w:p w14:paraId="77F33BDE" w14:textId="77777777" w:rsidR="00541F77" w:rsidRDefault="00541F77">
      <w:pPr>
        <w:spacing w:after="0" w:line="240" w:lineRule="auto"/>
      </w:pPr>
    </w:p>
  </w:footnote>
  <w:footnote w:id="2">
    <w:p w14:paraId="713DDF42" w14:textId="77777777" w:rsidR="00EF5610" w:rsidRPr="00A44046" w:rsidRDefault="00EF5610" w:rsidP="003A18E2">
      <w:pPr>
        <w:pStyle w:val="FootnoteText"/>
        <w:rPr>
          <w:rFonts w:ascii="Arial Narrow" w:hAnsi="Arial Narrow" w:cs="Times New Roman"/>
          <w:sz w:val="24"/>
          <w:szCs w:val="24"/>
        </w:rPr>
      </w:pPr>
      <w:r w:rsidRPr="00A44046">
        <w:rPr>
          <w:rStyle w:val="FootnoteReference"/>
          <w:rFonts w:ascii="Arial Narrow" w:hAnsi="Arial Narrow" w:cs="Times New Roman"/>
          <w:sz w:val="24"/>
          <w:szCs w:val="24"/>
        </w:rPr>
        <w:footnoteRef/>
      </w:r>
      <w:r w:rsidRPr="00A44046">
        <w:rPr>
          <w:rFonts w:ascii="Arial Narrow" w:hAnsi="Arial Narrow" w:cs="Times New Roman"/>
          <w:sz w:val="24"/>
          <w:szCs w:val="24"/>
        </w:rPr>
        <w:t xml:space="preserve"> Ministru kabineta 2019. gada 17. jūlija rīkojums Nr. 382 “Par konceptuālo ziņojumu "Par studiju un studējošo kreditēšanas no kredītiestāžu līdzekļiem ar valsts vārdā sniegto galvojumu modeļa maiņu"”</w:t>
      </w:r>
    </w:p>
    <w:p w14:paraId="6DAAE2D5" w14:textId="77777777" w:rsidR="00EF5610" w:rsidRPr="00F10F5A" w:rsidRDefault="00EF5610" w:rsidP="003A18E2">
      <w:pPr>
        <w:pStyle w:val="FootnoteText"/>
        <w:rPr>
          <w:rFonts w:ascii="Times New Roman" w:hAnsi="Times New Roman" w:cs="Times New Roman"/>
          <w:sz w:val="24"/>
          <w:szCs w:val="24"/>
        </w:rPr>
      </w:pPr>
      <w:r w:rsidRPr="00A44046">
        <w:rPr>
          <w:rFonts w:ascii="Arial Narrow" w:hAnsi="Arial Narrow" w:cs="Times New Roman"/>
          <w:sz w:val="24"/>
          <w:szCs w:val="24"/>
        </w:rPr>
        <w:t>(</w:t>
      </w:r>
      <w:hyperlink r:id="rId1" w:history="1">
        <w:r w:rsidRPr="00A44046">
          <w:rPr>
            <w:rStyle w:val="Hyperlink"/>
            <w:rFonts w:ascii="Arial Narrow" w:hAnsi="Arial Narrow" w:cs="Times New Roman"/>
            <w:sz w:val="24"/>
            <w:szCs w:val="24"/>
          </w:rPr>
          <w:t>https://likumi.lv/ta/id/308338-par-konceptualo-zinojumu-par-studiju-un-studejoso-kreditesanas-no-kreditiestazu-lidzekliem-ar-valsts-varda-sniegto-galvojumu</w:t>
        </w:r>
      </w:hyperlink>
      <w:r w:rsidRPr="00A44046">
        <w:rPr>
          <w:rFonts w:ascii="Arial Narrow" w:hAnsi="Arial Narrow" w:cs="Times New Roman"/>
          <w:sz w:val="24"/>
          <w:szCs w:val="24"/>
        </w:rPr>
        <w:t>)</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5850"/>
      <w:docPartObj>
        <w:docPartGallery w:val="Page Numbers (Top of Page)"/>
        <w:docPartUnique/>
      </w:docPartObj>
    </w:sdtPr>
    <w:sdtEndPr/>
    <w:sdtContent>
      <w:p w14:paraId="3BB4B6BD" w14:textId="2C98A543" w:rsidR="00EF5610" w:rsidRDefault="00EF5610">
        <w:pPr>
          <w:pStyle w:val="Header"/>
          <w:jc w:val="center"/>
        </w:pPr>
        <w:r>
          <w:fldChar w:fldCharType="begin"/>
        </w:r>
        <w:r>
          <w:instrText>PAGE   \* MERGEFORMAT</w:instrText>
        </w:r>
        <w:r>
          <w:fldChar w:fldCharType="separate"/>
        </w:r>
        <w:r w:rsidR="00AD2D38" w:rsidRPr="00AD2D38">
          <w:rPr>
            <w:noProof/>
            <w:lang w:val="lv-LV"/>
          </w:rPr>
          <w:t>1</w:t>
        </w:r>
        <w:r>
          <w:fldChar w:fldCharType="end"/>
        </w:r>
      </w:p>
    </w:sdtContent>
  </w:sdt>
  <w:p w14:paraId="6359D250" w14:textId="77777777" w:rsidR="00EF5610" w:rsidRDefault="00EF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35C"/>
    <w:multiLevelType w:val="hybridMultilevel"/>
    <w:tmpl w:val="0A42E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3C1CF2"/>
    <w:multiLevelType w:val="hybridMultilevel"/>
    <w:tmpl w:val="3A287E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7D02C78"/>
    <w:multiLevelType w:val="hybridMultilevel"/>
    <w:tmpl w:val="5C2A1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811D7"/>
    <w:multiLevelType w:val="hybridMultilevel"/>
    <w:tmpl w:val="B516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AD24B1"/>
    <w:multiLevelType w:val="hybridMultilevel"/>
    <w:tmpl w:val="AAD07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C3518"/>
    <w:multiLevelType w:val="hybridMultilevel"/>
    <w:tmpl w:val="C7A817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46C5D42"/>
    <w:multiLevelType w:val="hybridMultilevel"/>
    <w:tmpl w:val="EC1C9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D3215"/>
    <w:multiLevelType w:val="hybridMultilevel"/>
    <w:tmpl w:val="30B86D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192716"/>
    <w:multiLevelType w:val="hybridMultilevel"/>
    <w:tmpl w:val="0F0C9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E45F59"/>
    <w:multiLevelType w:val="hybridMultilevel"/>
    <w:tmpl w:val="0C2088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59E5E4F"/>
    <w:multiLevelType w:val="hybridMultilevel"/>
    <w:tmpl w:val="F69AF3C8"/>
    <w:lvl w:ilvl="0" w:tplc="E99A5F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526C5"/>
    <w:multiLevelType w:val="hybridMultilevel"/>
    <w:tmpl w:val="9822E042"/>
    <w:lvl w:ilvl="0" w:tplc="CD00EF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95D4C"/>
    <w:multiLevelType w:val="hybridMultilevel"/>
    <w:tmpl w:val="EAC89ABE"/>
    <w:lvl w:ilvl="0" w:tplc="67129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
  </w:num>
  <w:num w:numId="6">
    <w:abstractNumId w:val="5"/>
  </w:num>
  <w:num w:numId="7">
    <w:abstractNumId w:val="6"/>
  </w:num>
  <w:num w:numId="8">
    <w:abstractNumId w:val="3"/>
  </w:num>
  <w:num w:numId="9">
    <w:abstractNumId w:val="4"/>
  </w:num>
  <w:num w:numId="10">
    <w:abstractNumId w:val="8"/>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E"/>
    <w:rsid w:val="00001C54"/>
    <w:rsid w:val="000022D2"/>
    <w:rsid w:val="0000332A"/>
    <w:rsid w:val="00016D20"/>
    <w:rsid w:val="00023668"/>
    <w:rsid w:val="000249ED"/>
    <w:rsid w:val="00031DEB"/>
    <w:rsid w:val="00033C1A"/>
    <w:rsid w:val="00040983"/>
    <w:rsid w:val="000417C2"/>
    <w:rsid w:val="000418A8"/>
    <w:rsid w:val="000504F2"/>
    <w:rsid w:val="000653A3"/>
    <w:rsid w:val="00067177"/>
    <w:rsid w:val="0007303C"/>
    <w:rsid w:val="000800FC"/>
    <w:rsid w:val="000812B2"/>
    <w:rsid w:val="0008256C"/>
    <w:rsid w:val="000837D6"/>
    <w:rsid w:val="000A4127"/>
    <w:rsid w:val="000C1D7D"/>
    <w:rsid w:val="000D1E43"/>
    <w:rsid w:val="000D40EA"/>
    <w:rsid w:val="000E49C2"/>
    <w:rsid w:val="000F28E3"/>
    <w:rsid w:val="0010458E"/>
    <w:rsid w:val="0011031B"/>
    <w:rsid w:val="00115096"/>
    <w:rsid w:val="00122DD5"/>
    <w:rsid w:val="001251C9"/>
    <w:rsid w:val="001275F9"/>
    <w:rsid w:val="00135227"/>
    <w:rsid w:val="00141672"/>
    <w:rsid w:val="00151E34"/>
    <w:rsid w:val="0015457C"/>
    <w:rsid w:val="001615C0"/>
    <w:rsid w:val="0016267F"/>
    <w:rsid w:val="00171882"/>
    <w:rsid w:val="00177EF7"/>
    <w:rsid w:val="00180932"/>
    <w:rsid w:val="00180E64"/>
    <w:rsid w:val="00184BCC"/>
    <w:rsid w:val="00194331"/>
    <w:rsid w:val="001973F1"/>
    <w:rsid w:val="00197FB3"/>
    <w:rsid w:val="001C3D58"/>
    <w:rsid w:val="001C3DD9"/>
    <w:rsid w:val="001C4AF7"/>
    <w:rsid w:val="001C707D"/>
    <w:rsid w:val="001C770C"/>
    <w:rsid w:val="001D182C"/>
    <w:rsid w:val="001D2D00"/>
    <w:rsid w:val="001D3715"/>
    <w:rsid w:val="001D5335"/>
    <w:rsid w:val="001F7D6B"/>
    <w:rsid w:val="00203250"/>
    <w:rsid w:val="00207138"/>
    <w:rsid w:val="002145DF"/>
    <w:rsid w:val="00220659"/>
    <w:rsid w:val="00230249"/>
    <w:rsid w:val="00245175"/>
    <w:rsid w:val="002533A2"/>
    <w:rsid w:val="002563A4"/>
    <w:rsid w:val="00260DE1"/>
    <w:rsid w:val="0026587B"/>
    <w:rsid w:val="00265941"/>
    <w:rsid w:val="002661EA"/>
    <w:rsid w:val="00275269"/>
    <w:rsid w:val="00275673"/>
    <w:rsid w:val="00281CDC"/>
    <w:rsid w:val="00291356"/>
    <w:rsid w:val="00292349"/>
    <w:rsid w:val="002A136D"/>
    <w:rsid w:val="002B35BF"/>
    <w:rsid w:val="002B6258"/>
    <w:rsid w:val="002B773F"/>
    <w:rsid w:val="002C2973"/>
    <w:rsid w:val="002D3861"/>
    <w:rsid w:val="002D48BB"/>
    <w:rsid w:val="002E3196"/>
    <w:rsid w:val="002E4254"/>
    <w:rsid w:val="002E7BAB"/>
    <w:rsid w:val="0030362F"/>
    <w:rsid w:val="003059C1"/>
    <w:rsid w:val="00337EA3"/>
    <w:rsid w:val="003469D3"/>
    <w:rsid w:val="00347671"/>
    <w:rsid w:val="003502E8"/>
    <w:rsid w:val="00357568"/>
    <w:rsid w:val="003666AA"/>
    <w:rsid w:val="00375432"/>
    <w:rsid w:val="00377BF9"/>
    <w:rsid w:val="003817D0"/>
    <w:rsid w:val="00382E3C"/>
    <w:rsid w:val="00397F2A"/>
    <w:rsid w:val="003A173B"/>
    <w:rsid w:val="003A18E2"/>
    <w:rsid w:val="003A3C24"/>
    <w:rsid w:val="003B11A6"/>
    <w:rsid w:val="003B2C62"/>
    <w:rsid w:val="003D2614"/>
    <w:rsid w:val="003D528B"/>
    <w:rsid w:val="003E6D4B"/>
    <w:rsid w:val="003F1E1E"/>
    <w:rsid w:val="003F3B04"/>
    <w:rsid w:val="003F7076"/>
    <w:rsid w:val="00402A18"/>
    <w:rsid w:val="00403B73"/>
    <w:rsid w:val="004155B6"/>
    <w:rsid w:val="004213FF"/>
    <w:rsid w:val="00425088"/>
    <w:rsid w:val="00430F92"/>
    <w:rsid w:val="004360F5"/>
    <w:rsid w:val="00437FB3"/>
    <w:rsid w:val="004410D4"/>
    <w:rsid w:val="00442E40"/>
    <w:rsid w:val="004466C2"/>
    <w:rsid w:val="00464CC6"/>
    <w:rsid w:val="00483C5D"/>
    <w:rsid w:val="00497D7B"/>
    <w:rsid w:val="004C2210"/>
    <w:rsid w:val="004C3A55"/>
    <w:rsid w:val="004D4A39"/>
    <w:rsid w:val="004D51EA"/>
    <w:rsid w:val="004D691F"/>
    <w:rsid w:val="005028DE"/>
    <w:rsid w:val="0050766D"/>
    <w:rsid w:val="00541F51"/>
    <w:rsid w:val="00541F77"/>
    <w:rsid w:val="005523A6"/>
    <w:rsid w:val="00564872"/>
    <w:rsid w:val="00565111"/>
    <w:rsid w:val="00567A0B"/>
    <w:rsid w:val="00574315"/>
    <w:rsid w:val="00591968"/>
    <w:rsid w:val="005B2B6D"/>
    <w:rsid w:val="005C787E"/>
    <w:rsid w:val="005D0AB1"/>
    <w:rsid w:val="005D6B35"/>
    <w:rsid w:val="005D72E1"/>
    <w:rsid w:val="005F3325"/>
    <w:rsid w:val="00607E3D"/>
    <w:rsid w:val="0061400E"/>
    <w:rsid w:val="0062269D"/>
    <w:rsid w:val="00624E70"/>
    <w:rsid w:val="00631B5A"/>
    <w:rsid w:val="00633523"/>
    <w:rsid w:val="00642ED8"/>
    <w:rsid w:val="00645C73"/>
    <w:rsid w:val="006472A3"/>
    <w:rsid w:val="006479F3"/>
    <w:rsid w:val="006510DC"/>
    <w:rsid w:val="0065287B"/>
    <w:rsid w:val="006647A1"/>
    <w:rsid w:val="00673793"/>
    <w:rsid w:val="00680773"/>
    <w:rsid w:val="00682508"/>
    <w:rsid w:val="00684FFC"/>
    <w:rsid w:val="0068596D"/>
    <w:rsid w:val="00685F98"/>
    <w:rsid w:val="006908CD"/>
    <w:rsid w:val="00690D83"/>
    <w:rsid w:val="006A3BCE"/>
    <w:rsid w:val="006A5F55"/>
    <w:rsid w:val="006A70BF"/>
    <w:rsid w:val="006B1D8E"/>
    <w:rsid w:val="006C5775"/>
    <w:rsid w:val="006D2E2A"/>
    <w:rsid w:val="006D59B5"/>
    <w:rsid w:val="006E4852"/>
    <w:rsid w:val="006E5BBC"/>
    <w:rsid w:val="00701AFF"/>
    <w:rsid w:val="0070210D"/>
    <w:rsid w:val="007065E0"/>
    <w:rsid w:val="0071647F"/>
    <w:rsid w:val="007166CE"/>
    <w:rsid w:val="00727E6E"/>
    <w:rsid w:val="00733E85"/>
    <w:rsid w:val="007507F0"/>
    <w:rsid w:val="00750EDD"/>
    <w:rsid w:val="00751B02"/>
    <w:rsid w:val="007524A0"/>
    <w:rsid w:val="00776356"/>
    <w:rsid w:val="0078743C"/>
    <w:rsid w:val="007A060C"/>
    <w:rsid w:val="007A1DFB"/>
    <w:rsid w:val="007B3EF5"/>
    <w:rsid w:val="007B4048"/>
    <w:rsid w:val="007B4371"/>
    <w:rsid w:val="007C076B"/>
    <w:rsid w:val="007C5B26"/>
    <w:rsid w:val="007D28F1"/>
    <w:rsid w:val="007E3CB9"/>
    <w:rsid w:val="007E4BD4"/>
    <w:rsid w:val="00801A32"/>
    <w:rsid w:val="00801A55"/>
    <w:rsid w:val="00811D5E"/>
    <w:rsid w:val="0081459A"/>
    <w:rsid w:val="00814795"/>
    <w:rsid w:val="0081497D"/>
    <w:rsid w:val="00817F3C"/>
    <w:rsid w:val="00857C1B"/>
    <w:rsid w:val="008625C2"/>
    <w:rsid w:val="00864F5E"/>
    <w:rsid w:val="008810EF"/>
    <w:rsid w:val="008828AD"/>
    <w:rsid w:val="008905AC"/>
    <w:rsid w:val="0089329B"/>
    <w:rsid w:val="00895800"/>
    <w:rsid w:val="008A59A0"/>
    <w:rsid w:val="008A5FEB"/>
    <w:rsid w:val="008B0359"/>
    <w:rsid w:val="008C7F15"/>
    <w:rsid w:val="008D4359"/>
    <w:rsid w:val="008E1444"/>
    <w:rsid w:val="008E4691"/>
    <w:rsid w:val="008F00F5"/>
    <w:rsid w:val="008F64CF"/>
    <w:rsid w:val="00900091"/>
    <w:rsid w:val="00902BCB"/>
    <w:rsid w:val="00912C76"/>
    <w:rsid w:val="00913432"/>
    <w:rsid w:val="00915057"/>
    <w:rsid w:val="00925F44"/>
    <w:rsid w:val="00927E66"/>
    <w:rsid w:val="00936FA3"/>
    <w:rsid w:val="00944AC3"/>
    <w:rsid w:val="00946524"/>
    <w:rsid w:val="00966AF1"/>
    <w:rsid w:val="009678E8"/>
    <w:rsid w:val="009877D8"/>
    <w:rsid w:val="00993ABB"/>
    <w:rsid w:val="009B3889"/>
    <w:rsid w:val="009B3FD6"/>
    <w:rsid w:val="009B4C97"/>
    <w:rsid w:val="009C70F2"/>
    <w:rsid w:val="009D05A7"/>
    <w:rsid w:val="009E51BE"/>
    <w:rsid w:val="00A03691"/>
    <w:rsid w:val="00A06B73"/>
    <w:rsid w:val="00A07F06"/>
    <w:rsid w:val="00A13C91"/>
    <w:rsid w:val="00A152A4"/>
    <w:rsid w:val="00A17623"/>
    <w:rsid w:val="00A24E4C"/>
    <w:rsid w:val="00A401FA"/>
    <w:rsid w:val="00A44046"/>
    <w:rsid w:val="00A51802"/>
    <w:rsid w:val="00A666E1"/>
    <w:rsid w:val="00A83735"/>
    <w:rsid w:val="00A92744"/>
    <w:rsid w:val="00A9275D"/>
    <w:rsid w:val="00A94CD5"/>
    <w:rsid w:val="00A97792"/>
    <w:rsid w:val="00AA0182"/>
    <w:rsid w:val="00AA36E2"/>
    <w:rsid w:val="00AA474B"/>
    <w:rsid w:val="00AA7217"/>
    <w:rsid w:val="00AB704C"/>
    <w:rsid w:val="00AC228E"/>
    <w:rsid w:val="00AD16A6"/>
    <w:rsid w:val="00AD2D38"/>
    <w:rsid w:val="00AE14E7"/>
    <w:rsid w:val="00AE2510"/>
    <w:rsid w:val="00AE5CB1"/>
    <w:rsid w:val="00AF25A5"/>
    <w:rsid w:val="00AF4E78"/>
    <w:rsid w:val="00B03658"/>
    <w:rsid w:val="00B1123F"/>
    <w:rsid w:val="00B16347"/>
    <w:rsid w:val="00B2039A"/>
    <w:rsid w:val="00B22978"/>
    <w:rsid w:val="00B24332"/>
    <w:rsid w:val="00B26506"/>
    <w:rsid w:val="00B41767"/>
    <w:rsid w:val="00B850DB"/>
    <w:rsid w:val="00B92C57"/>
    <w:rsid w:val="00B944B5"/>
    <w:rsid w:val="00BB4537"/>
    <w:rsid w:val="00BC2BE2"/>
    <w:rsid w:val="00BC63D7"/>
    <w:rsid w:val="00BC75D2"/>
    <w:rsid w:val="00BE287E"/>
    <w:rsid w:val="00BF44CF"/>
    <w:rsid w:val="00C033D5"/>
    <w:rsid w:val="00C03E37"/>
    <w:rsid w:val="00C043E7"/>
    <w:rsid w:val="00C05DC9"/>
    <w:rsid w:val="00C124FF"/>
    <w:rsid w:val="00C1501C"/>
    <w:rsid w:val="00C17D75"/>
    <w:rsid w:val="00C240F4"/>
    <w:rsid w:val="00C27C75"/>
    <w:rsid w:val="00C32A46"/>
    <w:rsid w:val="00C35433"/>
    <w:rsid w:val="00C610B2"/>
    <w:rsid w:val="00C61D60"/>
    <w:rsid w:val="00C62619"/>
    <w:rsid w:val="00C653CD"/>
    <w:rsid w:val="00C700F6"/>
    <w:rsid w:val="00C843E8"/>
    <w:rsid w:val="00C94306"/>
    <w:rsid w:val="00C94D8A"/>
    <w:rsid w:val="00CA4249"/>
    <w:rsid w:val="00CA7CEB"/>
    <w:rsid w:val="00CA7D09"/>
    <w:rsid w:val="00CB25F2"/>
    <w:rsid w:val="00CB2D50"/>
    <w:rsid w:val="00CB7E86"/>
    <w:rsid w:val="00CC20D3"/>
    <w:rsid w:val="00CE6010"/>
    <w:rsid w:val="00CF482F"/>
    <w:rsid w:val="00CF51BF"/>
    <w:rsid w:val="00D00EEB"/>
    <w:rsid w:val="00D11BFC"/>
    <w:rsid w:val="00D129E7"/>
    <w:rsid w:val="00D12EC5"/>
    <w:rsid w:val="00D14688"/>
    <w:rsid w:val="00D15298"/>
    <w:rsid w:val="00D231CB"/>
    <w:rsid w:val="00D27130"/>
    <w:rsid w:val="00D30684"/>
    <w:rsid w:val="00D37EA8"/>
    <w:rsid w:val="00D37F53"/>
    <w:rsid w:val="00D43297"/>
    <w:rsid w:val="00D46E0B"/>
    <w:rsid w:val="00D47A98"/>
    <w:rsid w:val="00D602F3"/>
    <w:rsid w:val="00D71C57"/>
    <w:rsid w:val="00D7346C"/>
    <w:rsid w:val="00D74B0B"/>
    <w:rsid w:val="00D76EDA"/>
    <w:rsid w:val="00D86679"/>
    <w:rsid w:val="00D90A40"/>
    <w:rsid w:val="00D919ED"/>
    <w:rsid w:val="00D9317E"/>
    <w:rsid w:val="00DB5617"/>
    <w:rsid w:val="00DC0415"/>
    <w:rsid w:val="00E02595"/>
    <w:rsid w:val="00E03DB7"/>
    <w:rsid w:val="00E128D8"/>
    <w:rsid w:val="00E16532"/>
    <w:rsid w:val="00E22269"/>
    <w:rsid w:val="00E24232"/>
    <w:rsid w:val="00E25A7E"/>
    <w:rsid w:val="00E25BAE"/>
    <w:rsid w:val="00E26EAF"/>
    <w:rsid w:val="00E3203D"/>
    <w:rsid w:val="00E536DB"/>
    <w:rsid w:val="00E56F0F"/>
    <w:rsid w:val="00E630F5"/>
    <w:rsid w:val="00E656FB"/>
    <w:rsid w:val="00E74438"/>
    <w:rsid w:val="00E75AE0"/>
    <w:rsid w:val="00E7746B"/>
    <w:rsid w:val="00E8040F"/>
    <w:rsid w:val="00E847A4"/>
    <w:rsid w:val="00E8705A"/>
    <w:rsid w:val="00E924B7"/>
    <w:rsid w:val="00E947A4"/>
    <w:rsid w:val="00EB0946"/>
    <w:rsid w:val="00EB4BE3"/>
    <w:rsid w:val="00EB4D2C"/>
    <w:rsid w:val="00EC6C13"/>
    <w:rsid w:val="00ED4554"/>
    <w:rsid w:val="00EE38AB"/>
    <w:rsid w:val="00EF5610"/>
    <w:rsid w:val="00F0167B"/>
    <w:rsid w:val="00F01ECA"/>
    <w:rsid w:val="00F07AD0"/>
    <w:rsid w:val="00F10F5A"/>
    <w:rsid w:val="00F114DB"/>
    <w:rsid w:val="00F30848"/>
    <w:rsid w:val="00F3503A"/>
    <w:rsid w:val="00F51B40"/>
    <w:rsid w:val="00F51BD2"/>
    <w:rsid w:val="00F546A2"/>
    <w:rsid w:val="00F604DC"/>
    <w:rsid w:val="00F6064F"/>
    <w:rsid w:val="00F75677"/>
    <w:rsid w:val="00F84615"/>
    <w:rsid w:val="00F91F90"/>
    <w:rsid w:val="00F96E6C"/>
    <w:rsid w:val="00FA6B86"/>
    <w:rsid w:val="00FA7AF0"/>
    <w:rsid w:val="00FB5F66"/>
    <w:rsid w:val="00FB6AE0"/>
    <w:rsid w:val="00FC415E"/>
    <w:rsid w:val="00FD2729"/>
    <w:rsid w:val="00FD59CC"/>
    <w:rsid w:val="00FE129A"/>
    <w:rsid w:val="00FF3470"/>
    <w:rsid w:val="00FF64BE"/>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D7F"/>
  <w15:chartTrackingRefBased/>
  <w15:docId w15:val="{182C8FCB-999A-416C-B0D8-9D6C853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D2"/>
    <w:rPr>
      <w:sz w:val="20"/>
      <w:szCs w:val="20"/>
    </w:rPr>
  </w:style>
  <w:style w:type="character" w:styleId="FootnoteReference">
    <w:name w:val="footnote reference"/>
    <w:basedOn w:val="DefaultParagraphFont"/>
    <w:uiPriority w:val="99"/>
    <w:semiHidden/>
    <w:unhideWhenUsed/>
    <w:rsid w:val="00BC75D2"/>
    <w:rPr>
      <w:vertAlign w:val="superscript"/>
    </w:rPr>
  </w:style>
  <w:style w:type="paragraph" w:styleId="ListParagraph">
    <w:name w:val="List Paragraph"/>
    <w:basedOn w:val="Normal"/>
    <w:uiPriority w:val="34"/>
    <w:qFormat/>
    <w:rsid w:val="003A18E2"/>
    <w:pPr>
      <w:ind w:left="720"/>
      <w:contextualSpacing/>
    </w:pPr>
    <w:rPr>
      <w:lang w:val="lv-LV"/>
    </w:rPr>
  </w:style>
  <w:style w:type="character" w:styleId="Hyperlink">
    <w:name w:val="Hyperlink"/>
    <w:basedOn w:val="DefaultParagraphFont"/>
    <w:uiPriority w:val="99"/>
    <w:unhideWhenUsed/>
    <w:rsid w:val="003A18E2"/>
    <w:rPr>
      <w:color w:val="0563C1" w:themeColor="hyperlink"/>
      <w:u w:val="single"/>
    </w:rPr>
  </w:style>
  <w:style w:type="table" w:styleId="TableGrid">
    <w:name w:val="Table Grid"/>
    <w:basedOn w:val="TableNormal"/>
    <w:uiPriority w:val="39"/>
    <w:rsid w:val="000C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62"/>
    <w:rPr>
      <w:rFonts w:ascii="Segoe UI" w:hAnsi="Segoe UI" w:cs="Segoe UI"/>
      <w:sz w:val="18"/>
      <w:szCs w:val="18"/>
    </w:rPr>
  </w:style>
  <w:style w:type="character" w:styleId="CommentReference">
    <w:name w:val="annotation reference"/>
    <w:basedOn w:val="DefaultParagraphFont"/>
    <w:uiPriority w:val="99"/>
    <w:semiHidden/>
    <w:unhideWhenUsed/>
    <w:rsid w:val="00D602F3"/>
    <w:rPr>
      <w:sz w:val="16"/>
      <w:szCs w:val="16"/>
    </w:rPr>
  </w:style>
  <w:style w:type="paragraph" w:styleId="CommentText">
    <w:name w:val="annotation text"/>
    <w:basedOn w:val="Normal"/>
    <w:link w:val="CommentTextChar"/>
    <w:uiPriority w:val="99"/>
    <w:semiHidden/>
    <w:unhideWhenUsed/>
    <w:rsid w:val="00D602F3"/>
    <w:pPr>
      <w:spacing w:line="240" w:lineRule="auto"/>
    </w:pPr>
    <w:rPr>
      <w:sz w:val="20"/>
      <w:szCs w:val="20"/>
    </w:rPr>
  </w:style>
  <w:style w:type="character" w:customStyle="1" w:styleId="CommentTextChar">
    <w:name w:val="Comment Text Char"/>
    <w:basedOn w:val="DefaultParagraphFont"/>
    <w:link w:val="CommentText"/>
    <w:uiPriority w:val="99"/>
    <w:semiHidden/>
    <w:rsid w:val="00D602F3"/>
    <w:rPr>
      <w:sz w:val="20"/>
      <w:szCs w:val="20"/>
    </w:rPr>
  </w:style>
  <w:style w:type="paragraph" w:styleId="CommentSubject">
    <w:name w:val="annotation subject"/>
    <w:basedOn w:val="CommentText"/>
    <w:next w:val="CommentText"/>
    <w:link w:val="CommentSubjectChar"/>
    <w:uiPriority w:val="99"/>
    <w:semiHidden/>
    <w:unhideWhenUsed/>
    <w:rsid w:val="00D602F3"/>
    <w:rPr>
      <w:b/>
      <w:bCs/>
    </w:rPr>
  </w:style>
  <w:style w:type="character" w:customStyle="1" w:styleId="CommentSubjectChar">
    <w:name w:val="Comment Subject Char"/>
    <w:basedOn w:val="CommentTextChar"/>
    <w:link w:val="CommentSubject"/>
    <w:uiPriority w:val="99"/>
    <w:semiHidden/>
    <w:rsid w:val="00D602F3"/>
    <w:rPr>
      <w:b/>
      <w:bCs/>
      <w:sz w:val="20"/>
      <w:szCs w:val="20"/>
    </w:rPr>
  </w:style>
  <w:style w:type="paragraph" w:styleId="NoSpacing">
    <w:name w:val="No Spacing"/>
    <w:link w:val="NoSpacingChar"/>
    <w:uiPriority w:val="1"/>
    <w:qFormat/>
    <w:rsid w:val="00A44046"/>
    <w:pPr>
      <w:spacing w:after="0" w:line="240" w:lineRule="auto"/>
    </w:pPr>
    <w:rPr>
      <w:rFonts w:eastAsiaTheme="minorEastAsia"/>
    </w:rPr>
  </w:style>
  <w:style w:type="character" w:customStyle="1" w:styleId="NoSpacingChar">
    <w:name w:val="No Spacing Char"/>
    <w:basedOn w:val="DefaultParagraphFont"/>
    <w:link w:val="NoSpacing"/>
    <w:uiPriority w:val="1"/>
    <w:rsid w:val="00A44046"/>
    <w:rPr>
      <w:rFonts w:eastAsiaTheme="minorEastAsia"/>
    </w:rPr>
  </w:style>
  <w:style w:type="table" w:styleId="PlainTable5">
    <w:name w:val="Plain Table 5"/>
    <w:basedOn w:val="TableNormal"/>
    <w:uiPriority w:val="45"/>
    <w:rsid w:val="003B11A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3B11A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B11A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E1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B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89"/>
  </w:style>
  <w:style w:type="paragraph" w:styleId="Footer">
    <w:name w:val="footer"/>
    <w:basedOn w:val="Normal"/>
    <w:link w:val="FooterChar"/>
    <w:uiPriority w:val="99"/>
    <w:unhideWhenUsed/>
    <w:rsid w:val="009B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89"/>
  </w:style>
  <w:style w:type="paragraph" w:styleId="Revision">
    <w:name w:val="Revision"/>
    <w:hidden/>
    <w:uiPriority w:val="99"/>
    <w:semiHidden/>
    <w:rsid w:val="00CB7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745">
      <w:bodyDiv w:val="1"/>
      <w:marLeft w:val="0"/>
      <w:marRight w:val="0"/>
      <w:marTop w:val="0"/>
      <w:marBottom w:val="0"/>
      <w:divBdr>
        <w:top w:val="none" w:sz="0" w:space="0" w:color="auto"/>
        <w:left w:val="none" w:sz="0" w:space="0" w:color="auto"/>
        <w:bottom w:val="none" w:sz="0" w:space="0" w:color="auto"/>
        <w:right w:val="none" w:sz="0" w:space="0" w:color="auto"/>
      </w:divBdr>
    </w:div>
    <w:div w:id="121003432">
      <w:bodyDiv w:val="1"/>
      <w:marLeft w:val="0"/>
      <w:marRight w:val="0"/>
      <w:marTop w:val="0"/>
      <w:marBottom w:val="0"/>
      <w:divBdr>
        <w:top w:val="none" w:sz="0" w:space="0" w:color="auto"/>
        <w:left w:val="none" w:sz="0" w:space="0" w:color="auto"/>
        <w:bottom w:val="none" w:sz="0" w:space="0" w:color="auto"/>
        <w:right w:val="none" w:sz="0" w:space="0" w:color="auto"/>
      </w:divBdr>
    </w:div>
    <w:div w:id="284820196">
      <w:bodyDiv w:val="1"/>
      <w:marLeft w:val="0"/>
      <w:marRight w:val="0"/>
      <w:marTop w:val="0"/>
      <w:marBottom w:val="0"/>
      <w:divBdr>
        <w:top w:val="none" w:sz="0" w:space="0" w:color="auto"/>
        <w:left w:val="none" w:sz="0" w:space="0" w:color="auto"/>
        <w:bottom w:val="none" w:sz="0" w:space="0" w:color="auto"/>
        <w:right w:val="none" w:sz="0" w:space="0" w:color="auto"/>
      </w:divBdr>
    </w:div>
    <w:div w:id="408773612">
      <w:bodyDiv w:val="1"/>
      <w:marLeft w:val="0"/>
      <w:marRight w:val="0"/>
      <w:marTop w:val="0"/>
      <w:marBottom w:val="0"/>
      <w:divBdr>
        <w:top w:val="none" w:sz="0" w:space="0" w:color="auto"/>
        <w:left w:val="none" w:sz="0" w:space="0" w:color="auto"/>
        <w:bottom w:val="none" w:sz="0" w:space="0" w:color="auto"/>
        <w:right w:val="none" w:sz="0" w:space="0" w:color="auto"/>
      </w:divBdr>
    </w:div>
    <w:div w:id="473372113">
      <w:bodyDiv w:val="1"/>
      <w:marLeft w:val="0"/>
      <w:marRight w:val="0"/>
      <w:marTop w:val="0"/>
      <w:marBottom w:val="0"/>
      <w:divBdr>
        <w:top w:val="none" w:sz="0" w:space="0" w:color="auto"/>
        <w:left w:val="none" w:sz="0" w:space="0" w:color="auto"/>
        <w:bottom w:val="none" w:sz="0" w:space="0" w:color="auto"/>
        <w:right w:val="none" w:sz="0" w:space="0" w:color="auto"/>
      </w:divBdr>
    </w:div>
    <w:div w:id="627973480">
      <w:bodyDiv w:val="1"/>
      <w:marLeft w:val="0"/>
      <w:marRight w:val="0"/>
      <w:marTop w:val="0"/>
      <w:marBottom w:val="0"/>
      <w:divBdr>
        <w:top w:val="none" w:sz="0" w:space="0" w:color="auto"/>
        <w:left w:val="none" w:sz="0" w:space="0" w:color="auto"/>
        <w:bottom w:val="none" w:sz="0" w:space="0" w:color="auto"/>
        <w:right w:val="none" w:sz="0" w:space="0" w:color="auto"/>
      </w:divBdr>
    </w:div>
    <w:div w:id="632832781">
      <w:bodyDiv w:val="1"/>
      <w:marLeft w:val="0"/>
      <w:marRight w:val="0"/>
      <w:marTop w:val="0"/>
      <w:marBottom w:val="0"/>
      <w:divBdr>
        <w:top w:val="none" w:sz="0" w:space="0" w:color="auto"/>
        <w:left w:val="none" w:sz="0" w:space="0" w:color="auto"/>
        <w:bottom w:val="none" w:sz="0" w:space="0" w:color="auto"/>
        <w:right w:val="none" w:sz="0" w:space="0" w:color="auto"/>
      </w:divBdr>
    </w:div>
    <w:div w:id="878593570">
      <w:bodyDiv w:val="1"/>
      <w:marLeft w:val="0"/>
      <w:marRight w:val="0"/>
      <w:marTop w:val="0"/>
      <w:marBottom w:val="0"/>
      <w:divBdr>
        <w:top w:val="none" w:sz="0" w:space="0" w:color="auto"/>
        <w:left w:val="none" w:sz="0" w:space="0" w:color="auto"/>
        <w:bottom w:val="none" w:sz="0" w:space="0" w:color="auto"/>
        <w:right w:val="none" w:sz="0" w:space="0" w:color="auto"/>
      </w:divBdr>
    </w:div>
    <w:div w:id="1085610073">
      <w:bodyDiv w:val="1"/>
      <w:marLeft w:val="0"/>
      <w:marRight w:val="0"/>
      <w:marTop w:val="0"/>
      <w:marBottom w:val="0"/>
      <w:divBdr>
        <w:top w:val="none" w:sz="0" w:space="0" w:color="auto"/>
        <w:left w:val="none" w:sz="0" w:space="0" w:color="auto"/>
        <w:bottom w:val="none" w:sz="0" w:space="0" w:color="auto"/>
        <w:right w:val="none" w:sz="0" w:space="0" w:color="auto"/>
      </w:divBdr>
    </w:div>
    <w:div w:id="1115443285">
      <w:bodyDiv w:val="1"/>
      <w:marLeft w:val="0"/>
      <w:marRight w:val="0"/>
      <w:marTop w:val="0"/>
      <w:marBottom w:val="0"/>
      <w:divBdr>
        <w:top w:val="none" w:sz="0" w:space="0" w:color="auto"/>
        <w:left w:val="none" w:sz="0" w:space="0" w:color="auto"/>
        <w:bottom w:val="none" w:sz="0" w:space="0" w:color="auto"/>
        <w:right w:val="none" w:sz="0" w:space="0" w:color="auto"/>
      </w:divBdr>
    </w:div>
    <w:div w:id="1165971765">
      <w:bodyDiv w:val="1"/>
      <w:marLeft w:val="0"/>
      <w:marRight w:val="0"/>
      <w:marTop w:val="0"/>
      <w:marBottom w:val="0"/>
      <w:divBdr>
        <w:top w:val="none" w:sz="0" w:space="0" w:color="auto"/>
        <w:left w:val="none" w:sz="0" w:space="0" w:color="auto"/>
        <w:bottom w:val="none" w:sz="0" w:space="0" w:color="auto"/>
        <w:right w:val="none" w:sz="0" w:space="0" w:color="auto"/>
      </w:divBdr>
    </w:div>
    <w:div w:id="1239243389">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630286282">
      <w:bodyDiv w:val="1"/>
      <w:marLeft w:val="0"/>
      <w:marRight w:val="0"/>
      <w:marTop w:val="0"/>
      <w:marBottom w:val="0"/>
      <w:divBdr>
        <w:top w:val="none" w:sz="0" w:space="0" w:color="auto"/>
        <w:left w:val="none" w:sz="0" w:space="0" w:color="auto"/>
        <w:bottom w:val="none" w:sz="0" w:space="0" w:color="auto"/>
        <w:right w:val="none" w:sz="0" w:space="0" w:color="auto"/>
      </w:divBdr>
    </w:div>
    <w:div w:id="1675760250">
      <w:bodyDiv w:val="1"/>
      <w:marLeft w:val="0"/>
      <w:marRight w:val="0"/>
      <w:marTop w:val="0"/>
      <w:marBottom w:val="0"/>
      <w:divBdr>
        <w:top w:val="none" w:sz="0" w:space="0" w:color="auto"/>
        <w:left w:val="none" w:sz="0" w:space="0" w:color="auto"/>
        <w:bottom w:val="none" w:sz="0" w:space="0" w:color="auto"/>
        <w:right w:val="none" w:sz="0" w:space="0" w:color="auto"/>
      </w:divBdr>
    </w:div>
    <w:div w:id="1805923349">
      <w:bodyDiv w:val="1"/>
      <w:marLeft w:val="0"/>
      <w:marRight w:val="0"/>
      <w:marTop w:val="0"/>
      <w:marBottom w:val="0"/>
      <w:divBdr>
        <w:top w:val="none" w:sz="0" w:space="0" w:color="auto"/>
        <w:left w:val="none" w:sz="0" w:space="0" w:color="auto"/>
        <w:bottom w:val="none" w:sz="0" w:space="0" w:color="auto"/>
        <w:right w:val="none" w:sz="0" w:space="0" w:color="auto"/>
      </w:divBdr>
    </w:div>
    <w:div w:id="1816945040">
      <w:bodyDiv w:val="1"/>
      <w:marLeft w:val="0"/>
      <w:marRight w:val="0"/>
      <w:marTop w:val="0"/>
      <w:marBottom w:val="0"/>
      <w:divBdr>
        <w:top w:val="none" w:sz="0" w:space="0" w:color="auto"/>
        <w:left w:val="none" w:sz="0" w:space="0" w:color="auto"/>
        <w:bottom w:val="none" w:sz="0" w:space="0" w:color="auto"/>
        <w:right w:val="none" w:sz="0" w:space="0" w:color="auto"/>
      </w:divBdr>
    </w:div>
    <w:div w:id="1846630406">
      <w:bodyDiv w:val="1"/>
      <w:marLeft w:val="0"/>
      <w:marRight w:val="0"/>
      <w:marTop w:val="0"/>
      <w:marBottom w:val="0"/>
      <w:divBdr>
        <w:top w:val="none" w:sz="0" w:space="0" w:color="auto"/>
        <w:left w:val="none" w:sz="0" w:space="0" w:color="auto"/>
        <w:bottom w:val="none" w:sz="0" w:space="0" w:color="auto"/>
        <w:right w:val="none" w:sz="0" w:space="0" w:color="auto"/>
      </w:divBdr>
    </w:div>
    <w:div w:id="1922911406">
      <w:bodyDiv w:val="1"/>
      <w:marLeft w:val="0"/>
      <w:marRight w:val="0"/>
      <w:marTop w:val="0"/>
      <w:marBottom w:val="0"/>
      <w:divBdr>
        <w:top w:val="none" w:sz="0" w:space="0" w:color="auto"/>
        <w:left w:val="none" w:sz="0" w:space="0" w:color="auto"/>
        <w:bottom w:val="none" w:sz="0" w:space="0" w:color="auto"/>
        <w:right w:val="none" w:sz="0" w:space="0" w:color="auto"/>
      </w:divBdr>
    </w:div>
    <w:div w:id="2073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Stud!$U$58</c:f>
              <c:strCache>
                <c:ptCount val="1"/>
                <c:pt idx="0">
                  <c:v>Budžets</c:v>
                </c:pt>
              </c:strCache>
            </c:strRef>
          </c:tx>
          <c:spPr>
            <a:solidFill>
              <a:srgbClr val="A5A5A5">
                <a:lumMod val="40000"/>
                <a:lumOff val="60000"/>
              </a:srgbClr>
            </a:solidFill>
            <a:ln>
              <a:noFill/>
            </a:ln>
            <a:effectLst/>
          </c:spPr>
          <c:invertIfNegative val="0"/>
          <c:dLbls>
            <c:dLbl>
              <c:idx val="0"/>
              <c:tx>
                <c:rich>
                  <a:bodyPr/>
                  <a:lstStyle/>
                  <a:p>
                    <a:fld id="{E486247D-F03D-4248-BCD5-C980D86F800E}" type="CELLRANGE">
                      <a:rPr lang="en-US"/>
                      <a:pPr/>
                      <a:t>[CELLRANGE]</a:t>
                    </a:fld>
                    <a:endParaRPr lang="en-US" baseline="0"/>
                  </a:p>
                  <a:p>
                    <a:fld id="{E18BD6C7-5B01-482A-9FC2-2DE13E2F904A}"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E1A2-450D-8D0C-07202038EC57}"/>
                </c:ext>
                <c:ext xmlns:c15="http://schemas.microsoft.com/office/drawing/2012/chart" uri="{CE6537A1-D6FC-4f65-9D91-7224C49458BB}">
                  <c15:dlblFieldTable/>
                  <c15:showDataLabelsRange val="1"/>
                </c:ext>
              </c:extLst>
            </c:dLbl>
            <c:dLbl>
              <c:idx val="1"/>
              <c:tx>
                <c:rich>
                  <a:bodyPr/>
                  <a:lstStyle/>
                  <a:p>
                    <a:fld id="{D1854DF9-B8FE-4BC8-A350-380573F15447}" type="CELLRANGE">
                      <a:rPr lang="en-US"/>
                      <a:pPr/>
                      <a:t>[CELLRANGE]</a:t>
                    </a:fld>
                    <a:endParaRPr lang="en-US" baseline="0"/>
                  </a:p>
                  <a:p>
                    <a:fld id="{3C2B0120-93B8-405B-8F53-6B9800E63B9C}"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E1A2-450D-8D0C-07202038EC57}"/>
                </c:ext>
                <c:ext xmlns:c15="http://schemas.microsoft.com/office/drawing/2012/chart" uri="{CE6537A1-D6FC-4f65-9D91-7224C49458BB}">
                  <c15:dlblFieldTable/>
                  <c15:showDataLabelsRange val="1"/>
                </c:ext>
              </c:extLst>
            </c:dLbl>
            <c:dLbl>
              <c:idx val="2"/>
              <c:tx>
                <c:rich>
                  <a:bodyPr/>
                  <a:lstStyle/>
                  <a:p>
                    <a:fld id="{40D97F9C-BF93-4D19-8992-91C7BC19EBB7}" type="CELLRANGE">
                      <a:rPr lang="en-US"/>
                      <a:pPr/>
                      <a:t>[CELLRANGE]</a:t>
                    </a:fld>
                    <a:endParaRPr lang="en-US" baseline="0"/>
                  </a:p>
                  <a:p>
                    <a:fld id="{99B8E84E-F8E2-4621-99F9-39819FF2692D}"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E1A2-450D-8D0C-07202038EC57}"/>
                </c:ext>
                <c:ext xmlns:c15="http://schemas.microsoft.com/office/drawing/2012/chart" uri="{CE6537A1-D6FC-4f65-9D91-7224C49458BB}">
                  <c15:dlblFieldTable/>
                  <c15:showDataLabelsRange val="1"/>
                </c:ext>
              </c:extLst>
            </c:dLbl>
            <c:dLbl>
              <c:idx val="3"/>
              <c:tx>
                <c:rich>
                  <a:bodyPr/>
                  <a:lstStyle/>
                  <a:p>
                    <a:fld id="{6BD5951B-6143-4934-A79B-741C4BAC1AD5}" type="CELLRANGE">
                      <a:rPr lang="en-US"/>
                      <a:pPr/>
                      <a:t>[CELLRANGE]</a:t>
                    </a:fld>
                    <a:endParaRPr lang="en-US" baseline="0"/>
                  </a:p>
                  <a:p>
                    <a:fld id="{52B10272-A5A0-4F09-A421-E9AC4182924B}"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E1A2-450D-8D0C-07202038EC57}"/>
                </c:ext>
                <c:ext xmlns:c15="http://schemas.microsoft.com/office/drawing/2012/chart" uri="{CE6537A1-D6FC-4f65-9D91-7224C49458BB}">
                  <c15:dlblFieldTable/>
                  <c15:showDataLabelsRange val="1"/>
                </c:ext>
              </c:extLst>
            </c:dLbl>
            <c:dLbl>
              <c:idx val="4"/>
              <c:tx>
                <c:rich>
                  <a:bodyPr/>
                  <a:lstStyle/>
                  <a:p>
                    <a:fld id="{25853399-74EF-4C1C-A8F9-67C833BE8DDC}" type="CELLRANGE">
                      <a:rPr lang="en-US"/>
                      <a:pPr/>
                      <a:t>[CELLRANGE]</a:t>
                    </a:fld>
                    <a:endParaRPr lang="en-US" baseline="0"/>
                  </a:p>
                  <a:p>
                    <a:fld id="{5BA0F7F5-F018-4295-8318-4EFB597E4597}"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4-E1A2-450D-8D0C-07202038EC57}"/>
                </c:ext>
                <c:ext xmlns:c15="http://schemas.microsoft.com/office/drawing/2012/chart" uri="{CE6537A1-D6FC-4f65-9D91-7224C49458BB}">
                  <c15:dlblFieldTable/>
                  <c15:showDataLabelsRange val="1"/>
                </c:ext>
              </c:extLst>
            </c:dLbl>
            <c:dLbl>
              <c:idx val="5"/>
              <c:tx>
                <c:rich>
                  <a:bodyPr/>
                  <a:lstStyle/>
                  <a:p>
                    <a:fld id="{008EF63F-8A89-485D-BC0E-C2BEDD487D1F}" type="CELLRANGE">
                      <a:rPr lang="en-US"/>
                      <a:pPr/>
                      <a:t>[CELLRANGE]</a:t>
                    </a:fld>
                    <a:endParaRPr lang="en-US" baseline="0"/>
                  </a:p>
                  <a:p>
                    <a:fld id="{DE8A675C-BDD5-4021-812E-14CF3C54E52F}"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E1A2-450D-8D0C-07202038EC57}"/>
                </c:ext>
                <c:ext xmlns:c15="http://schemas.microsoft.com/office/drawing/2012/chart" uri="{CE6537A1-D6FC-4f65-9D91-7224C49458BB}">
                  <c15:dlblFieldTable/>
                  <c15:showDataLabelsRange val="1"/>
                </c:ext>
              </c:extLst>
            </c:dLbl>
            <c:dLbl>
              <c:idx val="6"/>
              <c:layout>
                <c:manualLayout>
                  <c:x val="1.2025772739242774E-3"/>
                  <c:y val="-2.5020815054937577E-3"/>
                </c:manualLayout>
              </c:layout>
              <c:tx>
                <c:rich>
                  <a:bodyPr/>
                  <a:lstStyle/>
                  <a:p>
                    <a:fld id="{5E3F8F06-B62D-4F05-A6F5-8A97692F2121}" type="CELLRANGE">
                      <a:rPr lang="en-US" baseline="0"/>
                      <a:pPr/>
                      <a:t>[CELLRANGE]</a:t>
                    </a:fld>
                    <a:r>
                      <a:rPr lang="en-US" baseline="0"/>
                      <a:t>; </a:t>
                    </a:r>
                    <a:fld id="{3C3E0A87-6BCB-4A43-8808-AE482FD14478}" type="VALUE">
                      <a:rPr lang="en-US" baseline="0"/>
                      <a:pPr/>
                      <a:t>[VALUE]</a:t>
                    </a:fld>
                    <a:endParaRPr lang="en-US" baseline="0"/>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E1A2-450D-8D0C-07202038EC57}"/>
                </c:ext>
                <c:ext xmlns:c15="http://schemas.microsoft.com/office/drawing/2012/chart" uri="{CE6537A1-D6FC-4f65-9D91-7224C49458BB}">
                  <c15:dlblFieldTable/>
                  <c15:showDataLabelsRange val="1"/>
                </c:ext>
              </c:extLst>
            </c:dLbl>
            <c:dLbl>
              <c:idx val="7"/>
              <c:layout>
                <c:manualLayout>
                  <c:x val="3.0485051598845708E-2"/>
                  <c:y val="2.3463740815537634E-2"/>
                </c:manualLayout>
              </c:layout>
              <c:tx>
                <c:rich>
                  <a:bodyPr/>
                  <a:lstStyle/>
                  <a:p>
                    <a:fld id="{642840F0-339E-4EB8-8587-86B18AB625D2}" type="CELLRANGE">
                      <a:rPr lang="en-US" baseline="0"/>
                      <a:pPr/>
                      <a:t>[CELLRANGE]</a:t>
                    </a:fld>
                    <a:r>
                      <a:rPr lang="en-US" baseline="0"/>
                      <a:t>; </a:t>
                    </a:r>
                    <a:fld id="{2C49E008-D379-43B3-B083-BDCA43E6725F}" type="VALUE">
                      <a:rPr lang="en-US" baseline="0"/>
                      <a:pPr/>
                      <a:t>[VALUE]</a:t>
                    </a:fld>
                    <a:endParaRPr lang="en-US" baseline="0"/>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7-E1A2-450D-8D0C-07202038EC57}"/>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Stud!$T$59:$T$66</c:f>
              <c:strCache>
                <c:ptCount val="8"/>
                <c:pt idx="0">
                  <c:v>Soc.zin.</c:v>
                </c:pt>
                <c:pt idx="1">
                  <c:v>Veselība</c:v>
                </c:pt>
                <c:pt idx="2">
                  <c:v>Inženierzin.</c:v>
                </c:pt>
                <c:pt idx="3">
                  <c:v>Dabas zin.</c:v>
                </c:pt>
                <c:pt idx="4">
                  <c:v>Pakalpojumi</c:v>
                </c:pt>
                <c:pt idx="5">
                  <c:v>Hum.zin. </c:v>
                </c:pt>
                <c:pt idx="6">
                  <c:v>Izglītība</c:v>
                </c:pt>
                <c:pt idx="7">
                  <c:v>Lauksaimniecība</c:v>
                </c:pt>
              </c:strCache>
            </c:strRef>
          </c:cat>
          <c:val>
            <c:numRef>
              <c:f>Stud!$U$59:$U$66</c:f>
              <c:numCache>
                <c:formatCode>General</c:formatCode>
                <c:ptCount val="8"/>
                <c:pt idx="0">
                  <c:v>3991</c:v>
                </c:pt>
                <c:pt idx="1">
                  <c:v>6774</c:v>
                </c:pt>
                <c:pt idx="2">
                  <c:v>8335</c:v>
                </c:pt>
                <c:pt idx="3">
                  <c:v>4565</c:v>
                </c:pt>
                <c:pt idx="4">
                  <c:v>2736</c:v>
                </c:pt>
                <c:pt idx="5">
                  <c:v>4088</c:v>
                </c:pt>
                <c:pt idx="6">
                  <c:v>1512</c:v>
                </c:pt>
                <c:pt idx="7">
                  <c:v>786</c:v>
                </c:pt>
              </c:numCache>
            </c:numRef>
          </c:val>
          <c:extLst xmlns:c16r2="http://schemas.microsoft.com/office/drawing/2015/06/chart">
            <c:ext xmlns:c16="http://schemas.microsoft.com/office/drawing/2014/chart" uri="{C3380CC4-5D6E-409C-BE32-E72D297353CC}">
              <c16:uniqueId val="{00000008-E1A2-450D-8D0C-07202038EC57}"/>
            </c:ext>
            <c:ext xmlns:c15="http://schemas.microsoft.com/office/drawing/2012/chart" uri="{02D57815-91ED-43cb-92C2-25804820EDAC}">
              <c15:datalabelsRange>
                <c15:f>Stud!$X$59:$X$66</c15:f>
                <c15:dlblRangeCache>
                  <c:ptCount val="8"/>
                  <c:pt idx="0">
                    <c:v>15%</c:v>
                  </c:pt>
                  <c:pt idx="1">
                    <c:v>52%</c:v>
                  </c:pt>
                  <c:pt idx="2">
                    <c:v>67%</c:v>
                  </c:pt>
                  <c:pt idx="3">
                    <c:v>63%</c:v>
                  </c:pt>
                  <c:pt idx="4">
                    <c:v>38%</c:v>
                  </c:pt>
                  <c:pt idx="5">
                    <c:v>66%</c:v>
                  </c:pt>
                  <c:pt idx="6">
                    <c:v>28%</c:v>
                  </c:pt>
                  <c:pt idx="7">
                    <c:v>60%</c:v>
                  </c:pt>
                </c15:dlblRangeCache>
              </c15:datalabelsRange>
            </c:ext>
          </c:extLst>
        </c:ser>
        <c:ser>
          <c:idx val="1"/>
          <c:order val="1"/>
          <c:tx>
            <c:strRef>
              <c:f>Stud!$V$58</c:f>
              <c:strCache>
                <c:ptCount val="1"/>
                <c:pt idx="0">
                  <c:v>Maksa</c:v>
                </c:pt>
              </c:strCache>
            </c:strRef>
          </c:tx>
          <c:spPr>
            <a:solidFill>
              <a:sysClr val="window" lastClr="FFFFFF">
                <a:lumMod val="95000"/>
              </a:sysClr>
            </a:solidFill>
            <a:ln>
              <a:noFill/>
            </a:ln>
            <a:effectLst/>
          </c:spPr>
          <c:invertIfNegative val="0"/>
          <c:dLbls>
            <c:dLbl>
              <c:idx val="0"/>
              <c:tx>
                <c:rich>
                  <a:bodyPr/>
                  <a:lstStyle/>
                  <a:p>
                    <a:fld id="{66BCF45E-D702-40F8-8C2F-405D34343DF5}" type="CELLRANGE">
                      <a:rPr lang="en-US"/>
                      <a:pPr/>
                      <a:t>[CELLRANGE]</a:t>
                    </a:fld>
                    <a:endParaRPr lang="en-US" baseline="0"/>
                  </a:p>
                  <a:p>
                    <a:fld id="{44DF5B33-9E06-4EE8-954B-8A9A952946CB}"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9-E1A2-450D-8D0C-07202038EC57}"/>
                </c:ext>
                <c:ext xmlns:c15="http://schemas.microsoft.com/office/drawing/2012/chart" uri="{CE6537A1-D6FC-4f65-9D91-7224C49458BB}">
                  <c15:dlblFieldTable/>
                  <c15:showDataLabelsRange val="1"/>
                </c:ext>
              </c:extLst>
            </c:dLbl>
            <c:dLbl>
              <c:idx val="1"/>
              <c:tx>
                <c:rich>
                  <a:bodyPr/>
                  <a:lstStyle/>
                  <a:p>
                    <a:fld id="{71BED38D-293B-4492-9EFC-CEFC1027EE5F}" type="CELLRANGE">
                      <a:rPr lang="en-US"/>
                      <a:pPr/>
                      <a:t>[CELLRANGE]</a:t>
                    </a:fld>
                    <a:endParaRPr lang="en-US" baseline="0"/>
                  </a:p>
                  <a:p>
                    <a:fld id="{B6D9E099-2930-47F7-A234-7C5EC8232939}"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A-E1A2-450D-8D0C-07202038EC57}"/>
                </c:ext>
                <c:ext xmlns:c15="http://schemas.microsoft.com/office/drawing/2012/chart" uri="{CE6537A1-D6FC-4f65-9D91-7224C49458BB}">
                  <c15:dlblFieldTable/>
                  <c15:showDataLabelsRange val="1"/>
                </c:ext>
              </c:extLst>
            </c:dLbl>
            <c:dLbl>
              <c:idx val="2"/>
              <c:tx>
                <c:rich>
                  <a:bodyPr/>
                  <a:lstStyle/>
                  <a:p>
                    <a:fld id="{B359CB48-8016-4623-8FC2-C5E9C536D2BC}" type="CELLRANGE">
                      <a:rPr lang="en-US"/>
                      <a:pPr/>
                      <a:t>[CELLRANGE]</a:t>
                    </a:fld>
                    <a:endParaRPr lang="en-US" baseline="0"/>
                  </a:p>
                  <a:p>
                    <a:fld id="{E7144BE8-3287-44FA-965C-8223D53226E6}"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B-E1A2-450D-8D0C-07202038EC57}"/>
                </c:ext>
                <c:ext xmlns:c15="http://schemas.microsoft.com/office/drawing/2012/chart" uri="{CE6537A1-D6FC-4f65-9D91-7224C49458BB}">
                  <c15:dlblFieldTable/>
                  <c15:showDataLabelsRange val="1"/>
                </c:ext>
              </c:extLst>
            </c:dLbl>
            <c:dLbl>
              <c:idx val="3"/>
              <c:layout>
                <c:manualLayout>
                  <c:x val="0"/>
                  <c:y val="-1.5718134570926977E-2"/>
                </c:manualLayout>
              </c:layout>
              <c:tx>
                <c:rich>
                  <a:bodyPr/>
                  <a:lstStyle/>
                  <a:p>
                    <a:fld id="{080FF7DC-AC19-48CF-83AF-EE316F6F53CA}" type="CELLRANGE">
                      <a:rPr lang="en-US"/>
                      <a:pPr/>
                      <a:t>[CELLRANGE]</a:t>
                    </a:fld>
                    <a:endParaRPr lang="en-US" baseline="0"/>
                  </a:p>
                  <a:p>
                    <a:fld id="{1137E530-6542-4886-BDB1-3D131AA2E29D}"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C-E1A2-450D-8D0C-07202038EC57}"/>
                </c:ext>
                <c:ext xmlns:c15="http://schemas.microsoft.com/office/drawing/2012/chart" uri="{CE6537A1-D6FC-4f65-9D91-7224C49458BB}">
                  <c15:dlblFieldTable/>
                  <c15:showDataLabelsRange val="1"/>
                </c:ext>
              </c:extLst>
            </c:dLbl>
            <c:dLbl>
              <c:idx val="4"/>
              <c:layout>
                <c:manualLayout>
                  <c:x val="0"/>
                  <c:y val="1.8306652065842764E-3"/>
                </c:manualLayout>
              </c:layout>
              <c:tx>
                <c:rich>
                  <a:bodyPr/>
                  <a:lstStyle/>
                  <a:p>
                    <a:fld id="{E732B8D3-10A2-4608-B172-3659452F5E6E}" type="CELLRANGE">
                      <a:rPr lang="en-US"/>
                      <a:pPr/>
                      <a:t>[CELLRANGE]</a:t>
                    </a:fld>
                    <a:endParaRPr lang="en-US" baseline="0"/>
                  </a:p>
                  <a:p>
                    <a:fld id="{B0AC3B9A-1A13-4E5A-8BB3-176EB8E4E10D}"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D-E1A2-450D-8D0C-07202038EC57}"/>
                </c:ext>
                <c:ext xmlns:c15="http://schemas.microsoft.com/office/drawing/2012/chart" uri="{CE6537A1-D6FC-4f65-9D91-7224C49458BB}">
                  <c15:dlblFieldTable/>
                  <c15:showDataLabelsRange val="1"/>
                </c:ext>
              </c:extLst>
            </c:dLbl>
            <c:dLbl>
              <c:idx val="5"/>
              <c:layout>
                <c:manualLayout>
                  <c:x val="-8.5023172394429168E-17"/>
                  <c:y val="-1.5940623316125221E-2"/>
                </c:manualLayout>
              </c:layout>
              <c:tx>
                <c:rich>
                  <a:bodyPr/>
                  <a:lstStyle/>
                  <a:p>
                    <a:fld id="{3ADFB80E-C7ED-44D4-B433-2BB1C5A72DCB}" type="CELLRANGE">
                      <a:rPr lang="en-US"/>
                      <a:pPr/>
                      <a:t>[CELLRANGE]</a:t>
                    </a:fld>
                    <a:endParaRPr lang="en-US" baseline="0"/>
                  </a:p>
                  <a:p>
                    <a:fld id="{F442BC06-C48B-446C-BEA1-9D1A4D962B8B}"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E-E1A2-450D-8D0C-07202038EC57}"/>
                </c:ext>
                <c:ext xmlns:c15="http://schemas.microsoft.com/office/drawing/2012/chart" uri="{CE6537A1-D6FC-4f65-9D91-7224C49458BB}">
                  <c15:dlblFieldTable/>
                  <c15:showDataLabelsRange val="1"/>
                </c:ext>
              </c:extLst>
            </c:dLbl>
            <c:dLbl>
              <c:idx val="6"/>
              <c:layout>
                <c:manualLayout>
                  <c:x val="0"/>
                  <c:y val="-4.9971219776049876E-3"/>
                </c:manualLayout>
              </c:layout>
              <c:tx>
                <c:rich>
                  <a:bodyPr/>
                  <a:lstStyle/>
                  <a:p>
                    <a:fld id="{F55BED96-06F8-42C8-9398-94E76669F98C}" type="CELLRANGE">
                      <a:rPr lang="en-US"/>
                      <a:pPr/>
                      <a:t>[CELLRANGE]</a:t>
                    </a:fld>
                    <a:endParaRPr lang="en-US" baseline="0"/>
                  </a:p>
                  <a:p>
                    <a:fld id="{C7A36836-270B-4309-BC2D-E1154DE8A6C9}"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F-E1A2-450D-8D0C-07202038EC57}"/>
                </c:ext>
                <c:ext xmlns:c15="http://schemas.microsoft.com/office/drawing/2012/chart" uri="{CE6537A1-D6FC-4f65-9D91-7224C49458BB}">
                  <c15:dlblFieldTable/>
                  <c15:showDataLabelsRange val="1"/>
                </c:ext>
              </c:extLst>
            </c:dLbl>
            <c:dLbl>
              <c:idx val="7"/>
              <c:layout>
                <c:manualLayout>
                  <c:x val="1.3521944539541253E-2"/>
                  <c:y val="-5.5872949656127421E-2"/>
                </c:manualLayout>
              </c:layout>
              <c:tx>
                <c:rich>
                  <a:bodyPr/>
                  <a:lstStyle/>
                  <a:p>
                    <a:fld id="{3A3F9CCD-4776-4875-A9C9-78788D91EBBB}" type="CELLRANGE">
                      <a:rPr lang="en-US"/>
                      <a:pPr/>
                      <a:t>[CELLRANGE]</a:t>
                    </a:fld>
                    <a:endParaRPr lang="en-US" baseline="0"/>
                  </a:p>
                  <a:p>
                    <a:fld id="{D25F9255-6661-41F8-B970-81227D04239D}" type="VALUE">
                      <a:rPr lang="en-US"/>
                      <a:pPr/>
                      <a:t>[VALUE]</a:t>
                    </a:fld>
                    <a:endParaRPr lang="lv-LV"/>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0-E1A2-450D-8D0C-07202038EC57}"/>
                </c:ext>
                <c:ext xmlns:c15="http://schemas.microsoft.com/office/drawing/2012/chart" uri="{CE6537A1-D6FC-4f65-9D91-7224C49458BB}">
                  <c15:dlblFieldTable/>
                  <c15:showDataLabelsRange val="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Stud!$T$59:$T$66</c:f>
              <c:strCache>
                <c:ptCount val="8"/>
                <c:pt idx="0">
                  <c:v>Soc.zin.</c:v>
                </c:pt>
                <c:pt idx="1">
                  <c:v>Veselība</c:v>
                </c:pt>
                <c:pt idx="2">
                  <c:v>Inženierzin.</c:v>
                </c:pt>
                <c:pt idx="3">
                  <c:v>Dabas zin.</c:v>
                </c:pt>
                <c:pt idx="4">
                  <c:v>Pakalpojumi</c:v>
                </c:pt>
                <c:pt idx="5">
                  <c:v>Hum.zin. </c:v>
                </c:pt>
                <c:pt idx="6">
                  <c:v>Izglītība</c:v>
                </c:pt>
                <c:pt idx="7">
                  <c:v>Lauksaimniecība</c:v>
                </c:pt>
              </c:strCache>
            </c:strRef>
          </c:cat>
          <c:val>
            <c:numRef>
              <c:f>Stud!$V$59:$V$66</c:f>
              <c:numCache>
                <c:formatCode>General</c:formatCode>
                <c:ptCount val="8"/>
                <c:pt idx="0">
                  <c:v>22618</c:v>
                </c:pt>
                <c:pt idx="1">
                  <c:v>6285</c:v>
                </c:pt>
                <c:pt idx="2">
                  <c:v>4138</c:v>
                </c:pt>
                <c:pt idx="3">
                  <c:v>2704</c:v>
                </c:pt>
                <c:pt idx="4">
                  <c:v>4380</c:v>
                </c:pt>
                <c:pt idx="5">
                  <c:v>2073</c:v>
                </c:pt>
                <c:pt idx="6">
                  <c:v>3876</c:v>
                </c:pt>
                <c:pt idx="7">
                  <c:v>527</c:v>
                </c:pt>
              </c:numCache>
            </c:numRef>
          </c:val>
          <c:extLst xmlns:c16r2="http://schemas.microsoft.com/office/drawing/2015/06/chart">
            <c:ext xmlns:c16="http://schemas.microsoft.com/office/drawing/2014/chart" uri="{C3380CC4-5D6E-409C-BE32-E72D297353CC}">
              <c16:uniqueId val="{00000011-E1A2-450D-8D0C-07202038EC57}"/>
            </c:ext>
            <c:ext xmlns:c15="http://schemas.microsoft.com/office/drawing/2012/chart" uri="{02D57815-91ED-43cb-92C2-25804820EDAC}">
              <c15:datalabelsRange>
                <c15:f>Stud!$Y$59:$Y$66</c15:f>
                <c15:dlblRangeCache>
                  <c:ptCount val="8"/>
                  <c:pt idx="0">
                    <c:v>85%</c:v>
                  </c:pt>
                  <c:pt idx="1">
                    <c:v>48%</c:v>
                  </c:pt>
                  <c:pt idx="2">
                    <c:v>33%</c:v>
                  </c:pt>
                  <c:pt idx="3">
                    <c:v>37%</c:v>
                  </c:pt>
                  <c:pt idx="4">
                    <c:v>62%</c:v>
                  </c:pt>
                  <c:pt idx="5">
                    <c:v>34%</c:v>
                  </c:pt>
                  <c:pt idx="6">
                    <c:v>72%</c:v>
                  </c:pt>
                  <c:pt idx="7">
                    <c:v>40%</c:v>
                  </c:pt>
                </c15:dlblRangeCache>
              </c15:datalabelsRange>
            </c:ext>
          </c:extLst>
        </c:ser>
        <c:dLbls>
          <c:showLegendKey val="0"/>
          <c:showVal val="0"/>
          <c:showCatName val="0"/>
          <c:showSerName val="0"/>
          <c:showPercent val="0"/>
          <c:showBubbleSize val="0"/>
        </c:dLbls>
        <c:gapWidth val="20"/>
        <c:overlap val="100"/>
        <c:axId val="371339712"/>
        <c:axId val="371341280"/>
      </c:barChart>
      <c:catAx>
        <c:axId val="371339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341280"/>
        <c:crosses val="autoZero"/>
        <c:auto val="1"/>
        <c:lblAlgn val="ctr"/>
        <c:lblOffset val="100"/>
        <c:noMultiLvlLbl val="0"/>
      </c:catAx>
      <c:valAx>
        <c:axId val="371341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133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sz="900"/>
      </a:pPr>
      <a:endParaRPr lang="lv-LV"/>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31BC-55BF-49F1-8E9A-16C2871F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3EB5F-BC47-4690-848D-378FECEC7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D67C7-B60C-42C2-9934-F7F20B5A3ED7}">
  <ds:schemaRefs>
    <ds:schemaRef ds:uri="http://schemas.microsoft.com/sharepoint/v3/contenttype/forms"/>
  </ds:schemaRefs>
</ds:datastoreItem>
</file>

<file path=customXml/itemProps4.xml><?xml version="1.0" encoding="utf-8"?>
<ds:datastoreItem xmlns:ds="http://schemas.openxmlformats.org/officeDocument/2006/customXml" ds:itemID="{34719A04-FE1A-48D8-AD04-98C99281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15078</Words>
  <Characters>8596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Laipniece, MSc (LSE)</dc:creator>
  <cp:keywords/>
  <dc:description/>
  <cp:lastModifiedBy>Sandra Obodova</cp:lastModifiedBy>
  <cp:revision>2</cp:revision>
  <cp:lastPrinted>2020-10-29T20:46:00Z</cp:lastPrinted>
  <dcterms:created xsi:type="dcterms:W3CDTF">2020-11-12T11:06:00Z</dcterms:created>
  <dcterms:modified xsi:type="dcterms:W3CDTF">2020-11-12T11:06:00Z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