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4AA0" w14:textId="77777777" w:rsidR="007356B4" w:rsidRPr="001D5294" w:rsidRDefault="007356B4" w:rsidP="00C4242D">
      <w:pPr>
        <w:pStyle w:val="naisnod"/>
        <w:spacing w:before="60" w:after="60"/>
      </w:pPr>
      <w:r w:rsidRPr="001D5294">
        <w:t xml:space="preserve">Izziņa par atzinumos sniegtajiem iebildumiem par Ministru kabineta noteikumu projektu </w:t>
      </w:r>
      <w:bookmarkStart w:id="0" w:name="OLE_LINK3"/>
      <w:bookmarkStart w:id="1" w:name="OLE_LINK4"/>
      <w:bookmarkStart w:id="2" w:name="OLE_LINK7"/>
    </w:p>
    <w:p w14:paraId="65D7861F" w14:textId="4518DDA3" w:rsidR="007356B4" w:rsidRPr="001D5294" w:rsidRDefault="007356B4" w:rsidP="00C4242D">
      <w:pPr>
        <w:pStyle w:val="naisnod"/>
        <w:spacing w:before="60" w:after="60"/>
      </w:pPr>
      <w:r w:rsidRPr="001D5294">
        <w:t>"</w:t>
      </w:r>
      <w:bookmarkEnd w:id="0"/>
      <w:bookmarkEnd w:id="1"/>
      <w:bookmarkEnd w:id="2"/>
      <w:r w:rsidR="00D15494" w:rsidRPr="001D5294">
        <w:t>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Pr="001D5294">
        <w:t>"</w:t>
      </w:r>
    </w:p>
    <w:p w14:paraId="30BD6108" w14:textId="77777777" w:rsidR="0023626A" w:rsidRPr="001D5294" w:rsidRDefault="0023626A" w:rsidP="00C4242D">
      <w:pPr>
        <w:pStyle w:val="naisf"/>
        <w:spacing w:before="60" w:after="60"/>
        <w:rPr>
          <w:b/>
        </w:rPr>
      </w:pPr>
      <w:r w:rsidRPr="001D5294">
        <w:rPr>
          <w:b/>
        </w:rPr>
        <w:t>I. Jautājumi, par kuriem saskaņošanā vienošanās nav panākta</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41"/>
        <w:gridCol w:w="2736"/>
        <w:gridCol w:w="3169"/>
        <w:gridCol w:w="1695"/>
        <w:gridCol w:w="3189"/>
      </w:tblGrid>
      <w:tr w:rsidR="00F83B42" w:rsidRPr="001D5294" w14:paraId="67AB741B" w14:textId="77777777" w:rsidTr="00C4242D">
        <w:trPr>
          <w:trHeight w:val="1230"/>
        </w:trPr>
        <w:tc>
          <w:tcPr>
            <w:tcW w:w="234" w:type="pct"/>
            <w:vAlign w:val="center"/>
          </w:tcPr>
          <w:p w14:paraId="6C404E3D" w14:textId="77777777" w:rsidR="0023626A" w:rsidRPr="001D5294" w:rsidRDefault="0023626A" w:rsidP="00C4242D">
            <w:pPr>
              <w:pStyle w:val="naisc"/>
              <w:spacing w:before="60" w:after="60"/>
              <w:jc w:val="both"/>
            </w:pPr>
            <w:r w:rsidRPr="001D5294">
              <w:t>Nr.</w:t>
            </w:r>
            <w:r w:rsidR="0050794A" w:rsidRPr="001D5294">
              <w:t xml:space="preserve"> </w:t>
            </w:r>
            <w:r w:rsidRPr="001D5294">
              <w:t>p.k.</w:t>
            </w:r>
          </w:p>
        </w:tc>
        <w:tc>
          <w:tcPr>
            <w:tcW w:w="1048" w:type="pct"/>
            <w:vAlign w:val="center"/>
          </w:tcPr>
          <w:p w14:paraId="7A066E4C" w14:textId="77777777" w:rsidR="0023626A" w:rsidRPr="001D5294" w:rsidRDefault="0023626A" w:rsidP="00C4242D">
            <w:pPr>
              <w:pStyle w:val="naisc"/>
              <w:spacing w:before="60" w:after="60"/>
              <w:jc w:val="both"/>
            </w:pPr>
            <w:r w:rsidRPr="001D5294">
              <w:t>Saskaņošanai nosūtītā projekta redakcija (konkrēta vērtēšanas kritērija redakcija)</w:t>
            </w:r>
          </w:p>
        </w:tc>
        <w:tc>
          <w:tcPr>
            <w:tcW w:w="943" w:type="pct"/>
            <w:vAlign w:val="center"/>
          </w:tcPr>
          <w:p w14:paraId="63C2486D" w14:textId="77777777" w:rsidR="0023626A" w:rsidRPr="001D5294" w:rsidRDefault="0023626A" w:rsidP="00C4242D">
            <w:pPr>
              <w:pStyle w:val="naisc"/>
              <w:spacing w:before="60" w:after="60"/>
              <w:jc w:val="both"/>
            </w:pPr>
            <w:r w:rsidRPr="001D5294">
              <w:t>Atzinumā norādītais ministrijas (citas institūcijas) iebildums, kā arī saskaņošanā papildus izteiktais iebildums par projekta konkrēto punktu (pantu)</w:t>
            </w:r>
          </w:p>
        </w:tc>
        <w:tc>
          <w:tcPr>
            <w:tcW w:w="1092" w:type="pct"/>
            <w:vAlign w:val="center"/>
          </w:tcPr>
          <w:p w14:paraId="2F617050" w14:textId="77777777" w:rsidR="0023626A" w:rsidRPr="001D5294" w:rsidRDefault="0023626A" w:rsidP="00C4242D">
            <w:pPr>
              <w:pStyle w:val="naisc"/>
              <w:spacing w:before="60" w:after="60"/>
              <w:jc w:val="both"/>
            </w:pPr>
            <w:r w:rsidRPr="001D5294">
              <w:t>Atbildīgās ministrijas pamatojums iebilduma noraidījumam</w:t>
            </w:r>
          </w:p>
        </w:tc>
        <w:tc>
          <w:tcPr>
            <w:tcW w:w="584" w:type="pct"/>
          </w:tcPr>
          <w:p w14:paraId="481E8A6C" w14:textId="77777777" w:rsidR="0023626A" w:rsidRPr="001D5294" w:rsidRDefault="0023626A" w:rsidP="00C4242D">
            <w:pPr>
              <w:pStyle w:val="naisc"/>
              <w:spacing w:before="60" w:after="60"/>
              <w:jc w:val="both"/>
            </w:pPr>
            <w:r w:rsidRPr="001D5294">
              <w:t>Atzinuma sniedzēja uzturētais iebildums, ja tas atšķiras no atzinumā norādītā iebilduma pamatojuma</w:t>
            </w:r>
          </w:p>
        </w:tc>
        <w:tc>
          <w:tcPr>
            <w:tcW w:w="1099" w:type="pct"/>
            <w:vAlign w:val="center"/>
          </w:tcPr>
          <w:p w14:paraId="56B13783" w14:textId="77777777" w:rsidR="0023626A" w:rsidRPr="001D5294" w:rsidRDefault="0023626A" w:rsidP="00C4242D">
            <w:pPr>
              <w:pStyle w:val="naisc"/>
              <w:spacing w:before="60" w:after="60"/>
              <w:jc w:val="both"/>
            </w:pPr>
            <w:r w:rsidRPr="001D5294">
              <w:t>Projekta attiecīgā punkta (panta) galīgā redakcija</w:t>
            </w:r>
          </w:p>
        </w:tc>
      </w:tr>
      <w:tr w:rsidR="00F83B42" w:rsidRPr="001D5294" w14:paraId="05F33605" w14:textId="77777777" w:rsidTr="00C4242D">
        <w:trPr>
          <w:trHeight w:val="285"/>
        </w:trPr>
        <w:tc>
          <w:tcPr>
            <w:tcW w:w="234" w:type="pct"/>
            <w:shd w:val="clear" w:color="auto" w:fill="auto"/>
            <w:vAlign w:val="center"/>
          </w:tcPr>
          <w:p w14:paraId="37920FA5" w14:textId="77777777" w:rsidR="0023626A" w:rsidRPr="001D5294" w:rsidRDefault="0023626A" w:rsidP="00C4242D">
            <w:pPr>
              <w:pStyle w:val="naisc"/>
              <w:spacing w:before="60" w:after="60"/>
            </w:pPr>
            <w:r w:rsidRPr="001D5294">
              <w:t>1.</w:t>
            </w:r>
          </w:p>
        </w:tc>
        <w:tc>
          <w:tcPr>
            <w:tcW w:w="1048" w:type="pct"/>
            <w:shd w:val="clear" w:color="auto" w:fill="auto"/>
            <w:vAlign w:val="center"/>
          </w:tcPr>
          <w:p w14:paraId="796EECA1" w14:textId="77777777" w:rsidR="0023626A" w:rsidRPr="001D5294" w:rsidRDefault="0023626A" w:rsidP="00C4242D">
            <w:pPr>
              <w:pStyle w:val="naisc"/>
              <w:spacing w:before="60" w:after="60"/>
            </w:pPr>
            <w:r w:rsidRPr="001D5294">
              <w:t>2.</w:t>
            </w:r>
          </w:p>
        </w:tc>
        <w:tc>
          <w:tcPr>
            <w:tcW w:w="943" w:type="pct"/>
            <w:shd w:val="clear" w:color="auto" w:fill="auto"/>
            <w:vAlign w:val="center"/>
          </w:tcPr>
          <w:p w14:paraId="2F78C577" w14:textId="77777777" w:rsidR="0023626A" w:rsidRPr="001D5294" w:rsidRDefault="0023626A" w:rsidP="00C4242D">
            <w:pPr>
              <w:pStyle w:val="naisc"/>
              <w:spacing w:before="60" w:after="60"/>
            </w:pPr>
            <w:r w:rsidRPr="001D5294">
              <w:t>3.</w:t>
            </w:r>
          </w:p>
        </w:tc>
        <w:tc>
          <w:tcPr>
            <w:tcW w:w="1092" w:type="pct"/>
            <w:shd w:val="clear" w:color="auto" w:fill="auto"/>
            <w:vAlign w:val="center"/>
          </w:tcPr>
          <w:p w14:paraId="473C2C23" w14:textId="77777777" w:rsidR="0023626A" w:rsidRPr="001D5294" w:rsidRDefault="0023626A" w:rsidP="00C4242D">
            <w:pPr>
              <w:pStyle w:val="naisc"/>
              <w:spacing w:before="60" w:after="60"/>
            </w:pPr>
            <w:r w:rsidRPr="001D5294">
              <w:t>4.</w:t>
            </w:r>
          </w:p>
        </w:tc>
        <w:tc>
          <w:tcPr>
            <w:tcW w:w="584" w:type="pct"/>
            <w:shd w:val="clear" w:color="auto" w:fill="auto"/>
          </w:tcPr>
          <w:p w14:paraId="6A76269C" w14:textId="77777777" w:rsidR="0023626A" w:rsidRPr="001D5294" w:rsidRDefault="0023626A" w:rsidP="00C4242D">
            <w:pPr>
              <w:pStyle w:val="naisc"/>
              <w:spacing w:before="60" w:after="60"/>
            </w:pPr>
            <w:r w:rsidRPr="001D5294">
              <w:t>5.</w:t>
            </w:r>
          </w:p>
        </w:tc>
        <w:tc>
          <w:tcPr>
            <w:tcW w:w="1099" w:type="pct"/>
            <w:shd w:val="clear" w:color="auto" w:fill="auto"/>
            <w:vAlign w:val="center"/>
          </w:tcPr>
          <w:p w14:paraId="51B41E17" w14:textId="77777777" w:rsidR="0023626A" w:rsidRPr="001D5294" w:rsidRDefault="0023626A" w:rsidP="00C4242D">
            <w:pPr>
              <w:pStyle w:val="naisc"/>
              <w:spacing w:before="60" w:after="60"/>
            </w:pPr>
            <w:r w:rsidRPr="001D5294">
              <w:t>6.</w:t>
            </w:r>
          </w:p>
        </w:tc>
      </w:tr>
      <w:tr w:rsidR="00F83B42" w:rsidRPr="001D5294" w14:paraId="75CC7CC9" w14:textId="77777777" w:rsidTr="00C4242D">
        <w:trPr>
          <w:trHeight w:val="212"/>
        </w:trPr>
        <w:tc>
          <w:tcPr>
            <w:tcW w:w="234" w:type="pct"/>
          </w:tcPr>
          <w:p w14:paraId="5E6C133D" w14:textId="77777777" w:rsidR="00441CD7" w:rsidRPr="001D5294" w:rsidRDefault="00441CD7" w:rsidP="00C4242D">
            <w:pPr>
              <w:pStyle w:val="naisc"/>
              <w:spacing w:before="60" w:after="60"/>
              <w:jc w:val="both"/>
            </w:pPr>
          </w:p>
        </w:tc>
        <w:tc>
          <w:tcPr>
            <w:tcW w:w="1048" w:type="pct"/>
          </w:tcPr>
          <w:p w14:paraId="732AF88D" w14:textId="77777777" w:rsidR="00441CD7" w:rsidRPr="001D5294" w:rsidRDefault="00441CD7" w:rsidP="00C4242D">
            <w:pPr>
              <w:tabs>
                <w:tab w:val="left" w:pos="993"/>
                <w:tab w:val="left" w:pos="1418"/>
              </w:tabs>
              <w:spacing w:before="60" w:after="60"/>
              <w:jc w:val="both"/>
              <w:rPr>
                <w:bCs/>
              </w:rPr>
            </w:pPr>
          </w:p>
        </w:tc>
        <w:tc>
          <w:tcPr>
            <w:tcW w:w="943" w:type="pct"/>
          </w:tcPr>
          <w:p w14:paraId="528E40EB" w14:textId="7A7B0E4E" w:rsidR="001B3824" w:rsidRPr="001D5294" w:rsidRDefault="001B3824" w:rsidP="00C4242D">
            <w:pPr>
              <w:spacing w:before="60" w:after="60"/>
              <w:jc w:val="both"/>
              <w:rPr>
                <w:i/>
              </w:rPr>
            </w:pPr>
          </w:p>
        </w:tc>
        <w:tc>
          <w:tcPr>
            <w:tcW w:w="1092" w:type="pct"/>
          </w:tcPr>
          <w:p w14:paraId="365D4F6A" w14:textId="77777777" w:rsidR="00441CD7" w:rsidRPr="001D5294" w:rsidRDefault="00441CD7" w:rsidP="00C4242D">
            <w:pPr>
              <w:pStyle w:val="ListParagraph"/>
              <w:spacing w:before="60" w:after="60"/>
              <w:ind w:left="0"/>
              <w:jc w:val="both"/>
              <w:rPr>
                <w:rFonts w:ascii="Times New Roman" w:hAnsi="Times New Roman"/>
                <w:sz w:val="24"/>
                <w:szCs w:val="24"/>
              </w:rPr>
            </w:pPr>
          </w:p>
        </w:tc>
        <w:tc>
          <w:tcPr>
            <w:tcW w:w="584" w:type="pct"/>
          </w:tcPr>
          <w:p w14:paraId="34BC5965" w14:textId="77777777" w:rsidR="00441CD7" w:rsidRPr="001D5294" w:rsidRDefault="00441CD7" w:rsidP="00C4242D">
            <w:pPr>
              <w:tabs>
                <w:tab w:val="left" w:pos="284"/>
              </w:tabs>
              <w:spacing w:before="60" w:after="60"/>
              <w:contextualSpacing/>
              <w:jc w:val="both"/>
            </w:pPr>
          </w:p>
        </w:tc>
        <w:tc>
          <w:tcPr>
            <w:tcW w:w="1099" w:type="pct"/>
          </w:tcPr>
          <w:p w14:paraId="38BE40E6" w14:textId="77777777" w:rsidR="00441CD7" w:rsidRPr="001D5294" w:rsidRDefault="00441CD7" w:rsidP="00C4242D">
            <w:pPr>
              <w:spacing w:before="60" w:after="60"/>
              <w:jc w:val="both"/>
            </w:pPr>
          </w:p>
        </w:tc>
      </w:tr>
    </w:tbl>
    <w:p w14:paraId="40DC24EE" w14:textId="2505F37C" w:rsidR="0023626A" w:rsidRPr="001D5294" w:rsidRDefault="0023626A" w:rsidP="00C4242D">
      <w:pPr>
        <w:pStyle w:val="naisf"/>
        <w:spacing w:before="60" w:after="60"/>
        <w:rPr>
          <w:b/>
        </w:rPr>
      </w:pPr>
    </w:p>
    <w:p w14:paraId="58818651" w14:textId="77777777" w:rsidR="0023626A" w:rsidRPr="001D5294" w:rsidRDefault="0023626A" w:rsidP="00C4242D">
      <w:pPr>
        <w:pStyle w:val="naisf"/>
        <w:spacing w:before="60" w:after="60"/>
        <w:rPr>
          <w:b/>
        </w:rPr>
      </w:pPr>
      <w:r w:rsidRPr="001D5294">
        <w:rPr>
          <w:b/>
        </w:rPr>
        <w:t xml:space="preserve">Informācija par </w:t>
      </w:r>
      <w:proofErr w:type="spellStart"/>
      <w:r w:rsidRPr="001D5294">
        <w:rPr>
          <w:b/>
        </w:rPr>
        <w:t>starpministriju</w:t>
      </w:r>
      <w:proofErr w:type="spellEnd"/>
      <w:r w:rsidRPr="001D5294">
        <w:rPr>
          <w:b/>
        </w:rPr>
        <w:t xml:space="preserve"> (starpinstitūciju) sanāksmi vai </w:t>
      </w:r>
      <w:r w:rsidRPr="001D5294">
        <w:rPr>
          <w:b/>
          <w:u w:val="single"/>
        </w:rPr>
        <w:t>elektronisko saskaņošanu</w:t>
      </w:r>
    </w:p>
    <w:p w14:paraId="7C0AB2AE" w14:textId="77777777" w:rsidR="00796743" w:rsidRPr="001D5294" w:rsidRDefault="00796743" w:rsidP="00C4242D">
      <w:pPr>
        <w:pStyle w:val="naisf"/>
        <w:spacing w:before="60" w:after="60"/>
        <w:rPr>
          <w:b/>
        </w:rPr>
      </w:pPr>
    </w:p>
    <w:tbl>
      <w:tblPr>
        <w:tblW w:w="14601" w:type="dxa"/>
        <w:tblInd w:w="-459" w:type="dxa"/>
        <w:tblLook w:val="00A0" w:firstRow="1" w:lastRow="0" w:firstColumn="1" w:lastColumn="0" w:noHBand="0" w:noVBand="0"/>
      </w:tblPr>
      <w:tblGrid>
        <w:gridCol w:w="7371"/>
        <w:gridCol w:w="282"/>
        <w:gridCol w:w="6948"/>
      </w:tblGrid>
      <w:tr w:rsidR="00F83B42" w:rsidRPr="001D5294" w14:paraId="37C197E0" w14:textId="77777777" w:rsidTr="00C4242D">
        <w:trPr>
          <w:trHeight w:val="201"/>
        </w:trPr>
        <w:tc>
          <w:tcPr>
            <w:tcW w:w="7371" w:type="dxa"/>
          </w:tcPr>
          <w:p w14:paraId="4175B492" w14:textId="0A5B3B3B" w:rsidR="0023626A" w:rsidRPr="001D5294" w:rsidRDefault="0023626A" w:rsidP="001D5294">
            <w:pPr>
              <w:pStyle w:val="naisf"/>
              <w:spacing w:before="60" w:after="60"/>
            </w:pPr>
            <w:r w:rsidRPr="001D5294">
              <w:t>Datums</w:t>
            </w:r>
            <w:r w:rsidR="00B12E7E" w:rsidRPr="001D5294">
              <w:t xml:space="preserve"> </w:t>
            </w:r>
            <w:r w:rsidR="00D94F7A" w:rsidRPr="001D5294">
              <w:t>2</w:t>
            </w:r>
            <w:r w:rsidR="001D5294" w:rsidRPr="001D5294">
              <w:t>4</w:t>
            </w:r>
            <w:r w:rsidR="00BF6EE5" w:rsidRPr="001D5294">
              <w:t>.</w:t>
            </w:r>
            <w:r w:rsidR="00611AD8" w:rsidRPr="001D5294">
              <w:t>0</w:t>
            </w:r>
            <w:r w:rsidR="007775B0" w:rsidRPr="001D5294">
              <w:t>9</w:t>
            </w:r>
            <w:r w:rsidR="00BF6EE5" w:rsidRPr="001D5294">
              <w:t>.20</w:t>
            </w:r>
            <w:r w:rsidR="00D15494" w:rsidRPr="001D5294">
              <w:t>20</w:t>
            </w:r>
            <w:r w:rsidR="00032BE2" w:rsidRPr="001D5294">
              <w:t>.</w:t>
            </w:r>
          </w:p>
        </w:tc>
        <w:tc>
          <w:tcPr>
            <w:tcW w:w="7230" w:type="dxa"/>
            <w:gridSpan w:val="2"/>
            <w:tcBorders>
              <w:bottom w:val="single" w:sz="4" w:space="0" w:color="auto"/>
            </w:tcBorders>
          </w:tcPr>
          <w:p w14:paraId="5B9D2C84" w14:textId="77777777" w:rsidR="0023626A" w:rsidRPr="001D5294" w:rsidRDefault="0023626A" w:rsidP="00C4242D">
            <w:pPr>
              <w:pStyle w:val="NormalWeb"/>
              <w:spacing w:before="60" w:beforeAutospacing="0" w:after="60" w:afterAutospacing="0"/>
              <w:jc w:val="both"/>
            </w:pPr>
          </w:p>
        </w:tc>
      </w:tr>
      <w:tr w:rsidR="00F83B42" w:rsidRPr="001D5294" w14:paraId="3E00288C" w14:textId="77777777" w:rsidTr="00C4242D">
        <w:trPr>
          <w:trHeight w:val="201"/>
        </w:trPr>
        <w:tc>
          <w:tcPr>
            <w:tcW w:w="7371" w:type="dxa"/>
          </w:tcPr>
          <w:p w14:paraId="18EC30A3" w14:textId="77777777" w:rsidR="0023626A" w:rsidRPr="001D5294" w:rsidRDefault="0023626A" w:rsidP="00C4242D">
            <w:pPr>
              <w:pStyle w:val="naisf"/>
              <w:spacing w:before="60" w:after="60"/>
            </w:pPr>
          </w:p>
        </w:tc>
        <w:tc>
          <w:tcPr>
            <w:tcW w:w="7230" w:type="dxa"/>
            <w:gridSpan w:val="2"/>
            <w:tcBorders>
              <w:top w:val="single" w:sz="4" w:space="0" w:color="auto"/>
            </w:tcBorders>
          </w:tcPr>
          <w:p w14:paraId="3812A2E6" w14:textId="77777777" w:rsidR="0023626A" w:rsidRPr="001D5294" w:rsidRDefault="0023626A" w:rsidP="00C4242D">
            <w:pPr>
              <w:pStyle w:val="NormalWeb"/>
              <w:spacing w:before="60" w:beforeAutospacing="0" w:after="60" w:afterAutospacing="0"/>
              <w:ind w:firstLine="720"/>
              <w:jc w:val="both"/>
            </w:pPr>
          </w:p>
        </w:tc>
      </w:tr>
      <w:tr w:rsidR="00F83B42" w:rsidRPr="001D5294" w14:paraId="310014DE" w14:textId="77777777" w:rsidTr="00C4242D">
        <w:trPr>
          <w:trHeight w:val="201"/>
        </w:trPr>
        <w:tc>
          <w:tcPr>
            <w:tcW w:w="7371" w:type="dxa"/>
          </w:tcPr>
          <w:p w14:paraId="27205848" w14:textId="77777777" w:rsidR="0023626A" w:rsidRPr="001D5294" w:rsidRDefault="0023626A" w:rsidP="00C4242D">
            <w:pPr>
              <w:pStyle w:val="naiskr"/>
              <w:spacing w:before="60" w:after="60"/>
              <w:jc w:val="both"/>
            </w:pPr>
            <w:r w:rsidRPr="001D5294">
              <w:t>Saskaņošanas dalībnieki</w:t>
            </w:r>
            <w:r w:rsidR="00DF26D2" w:rsidRPr="001D5294">
              <w:t xml:space="preserve"> </w:t>
            </w:r>
          </w:p>
        </w:tc>
        <w:tc>
          <w:tcPr>
            <w:tcW w:w="7230" w:type="dxa"/>
            <w:gridSpan w:val="2"/>
            <w:tcBorders>
              <w:bottom w:val="single" w:sz="4" w:space="0" w:color="auto"/>
            </w:tcBorders>
          </w:tcPr>
          <w:p w14:paraId="1EE77855" w14:textId="13474CA5" w:rsidR="00B14A57" w:rsidRPr="001D5294" w:rsidRDefault="0008799E" w:rsidP="00C4242D">
            <w:pPr>
              <w:pStyle w:val="naiskr"/>
              <w:spacing w:before="60" w:after="60"/>
              <w:jc w:val="both"/>
            </w:pPr>
            <w:r w:rsidRPr="001D5294">
              <w:t xml:space="preserve">Tieslietu ministrija, Finanšu ministrija </w:t>
            </w:r>
          </w:p>
        </w:tc>
      </w:tr>
      <w:tr w:rsidR="00F83B42" w:rsidRPr="001D5294" w14:paraId="38843C9D" w14:textId="77777777" w:rsidTr="00C4242D">
        <w:trPr>
          <w:trHeight w:val="210"/>
        </w:trPr>
        <w:tc>
          <w:tcPr>
            <w:tcW w:w="7371" w:type="dxa"/>
          </w:tcPr>
          <w:p w14:paraId="6B2D6721" w14:textId="77777777" w:rsidR="0023626A" w:rsidRPr="001D5294" w:rsidRDefault="0023626A" w:rsidP="00C4242D">
            <w:pPr>
              <w:pStyle w:val="naiskr"/>
              <w:spacing w:before="60" w:after="60"/>
              <w:jc w:val="both"/>
            </w:pPr>
          </w:p>
        </w:tc>
        <w:tc>
          <w:tcPr>
            <w:tcW w:w="282" w:type="dxa"/>
          </w:tcPr>
          <w:p w14:paraId="47DA5F10" w14:textId="77777777" w:rsidR="0023626A" w:rsidRPr="001D5294" w:rsidRDefault="0023626A" w:rsidP="00C4242D">
            <w:pPr>
              <w:pStyle w:val="naiskr"/>
              <w:spacing w:before="60" w:after="60"/>
              <w:ind w:firstLine="720"/>
              <w:jc w:val="both"/>
            </w:pPr>
          </w:p>
        </w:tc>
        <w:tc>
          <w:tcPr>
            <w:tcW w:w="6948" w:type="dxa"/>
          </w:tcPr>
          <w:p w14:paraId="1F7DCF3E" w14:textId="77777777" w:rsidR="0023626A" w:rsidRPr="001D5294" w:rsidRDefault="0023626A" w:rsidP="00C4242D">
            <w:pPr>
              <w:pStyle w:val="naiskr"/>
              <w:spacing w:before="60" w:after="60"/>
              <w:ind w:firstLine="12"/>
              <w:jc w:val="both"/>
            </w:pPr>
          </w:p>
        </w:tc>
      </w:tr>
      <w:tr w:rsidR="00F83B42" w:rsidRPr="001D5294" w14:paraId="1759B5E5" w14:textId="77777777" w:rsidTr="00C4242D">
        <w:trPr>
          <w:trHeight w:val="210"/>
        </w:trPr>
        <w:tc>
          <w:tcPr>
            <w:tcW w:w="7371" w:type="dxa"/>
          </w:tcPr>
          <w:p w14:paraId="44162AA0" w14:textId="77777777" w:rsidR="0023626A" w:rsidRPr="001D5294" w:rsidRDefault="0023626A" w:rsidP="00C4242D">
            <w:pPr>
              <w:pStyle w:val="naiskr"/>
              <w:spacing w:before="60" w:after="60"/>
              <w:jc w:val="both"/>
            </w:pPr>
            <w:r w:rsidRPr="001D5294">
              <w:br w:type="page"/>
              <w:t>Saskaņošanas dalībnieki izskatīja šādu ministriju (citu institūciju) iebildumus</w:t>
            </w:r>
          </w:p>
        </w:tc>
        <w:tc>
          <w:tcPr>
            <w:tcW w:w="282" w:type="dxa"/>
            <w:tcBorders>
              <w:bottom w:val="single" w:sz="4" w:space="0" w:color="auto"/>
            </w:tcBorders>
          </w:tcPr>
          <w:p w14:paraId="216E22EE" w14:textId="77777777" w:rsidR="0023626A" w:rsidRPr="001D5294" w:rsidRDefault="0023626A" w:rsidP="00C4242D">
            <w:pPr>
              <w:pStyle w:val="naiskr"/>
              <w:spacing w:before="60" w:after="60"/>
              <w:ind w:firstLine="720"/>
              <w:jc w:val="both"/>
            </w:pPr>
          </w:p>
        </w:tc>
        <w:tc>
          <w:tcPr>
            <w:tcW w:w="6948" w:type="dxa"/>
            <w:tcBorders>
              <w:bottom w:val="single" w:sz="4" w:space="0" w:color="auto"/>
            </w:tcBorders>
            <w:vAlign w:val="bottom"/>
          </w:tcPr>
          <w:p w14:paraId="193EC008" w14:textId="2DF1D75E" w:rsidR="00FF1A42" w:rsidRPr="001D5294" w:rsidRDefault="006D0FEC" w:rsidP="00C4242D">
            <w:pPr>
              <w:pStyle w:val="naiskr"/>
              <w:spacing w:before="60" w:after="60"/>
              <w:jc w:val="both"/>
            </w:pPr>
            <w:r w:rsidRPr="001D5294">
              <w:t>Finanšu ministrija</w:t>
            </w:r>
            <w:r w:rsidR="00EA4C95" w:rsidRPr="001D5294">
              <w:t xml:space="preserve"> </w:t>
            </w:r>
          </w:p>
        </w:tc>
      </w:tr>
      <w:tr w:rsidR="00F83B42" w:rsidRPr="001D5294" w14:paraId="131C2931" w14:textId="77777777" w:rsidTr="00C4242D">
        <w:trPr>
          <w:trHeight w:val="343"/>
        </w:trPr>
        <w:tc>
          <w:tcPr>
            <w:tcW w:w="14601" w:type="dxa"/>
            <w:gridSpan w:val="3"/>
          </w:tcPr>
          <w:p w14:paraId="67A3D480" w14:textId="4EAEC0F8" w:rsidR="00545EB7" w:rsidRDefault="00545EB7" w:rsidP="00C4242D">
            <w:pPr>
              <w:pStyle w:val="naisc"/>
              <w:spacing w:before="60" w:after="60"/>
              <w:jc w:val="both"/>
            </w:pPr>
          </w:p>
          <w:p w14:paraId="592CABF1" w14:textId="77777777" w:rsidR="00545EB7" w:rsidRPr="00545EB7" w:rsidRDefault="00545EB7" w:rsidP="00545EB7"/>
          <w:p w14:paraId="212DBAF2" w14:textId="7269A004" w:rsidR="0023626A" w:rsidRPr="00545EB7" w:rsidRDefault="0023626A" w:rsidP="00545EB7">
            <w:pPr>
              <w:ind w:firstLine="720"/>
            </w:pPr>
          </w:p>
        </w:tc>
      </w:tr>
      <w:tr w:rsidR="00F83B42" w:rsidRPr="001D5294" w14:paraId="54D70F5D" w14:textId="77777777" w:rsidTr="00C4242D">
        <w:trPr>
          <w:trHeight w:val="612"/>
        </w:trPr>
        <w:tc>
          <w:tcPr>
            <w:tcW w:w="7371" w:type="dxa"/>
          </w:tcPr>
          <w:p w14:paraId="3A64E57D" w14:textId="77777777" w:rsidR="0023626A" w:rsidRPr="001D5294" w:rsidRDefault="0023626A" w:rsidP="00C4242D">
            <w:pPr>
              <w:pStyle w:val="naiskr"/>
              <w:spacing w:before="60" w:after="60"/>
              <w:jc w:val="both"/>
            </w:pPr>
            <w:r w:rsidRPr="001D5294">
              <w:lastRenderedPageBreak/>
              <w:t>Ministrijas (citas institūcijas), kuras nav ieradušās uz sanāksmi vai kuras nav atbildējušas uz uzaicinājumu piedalīties elektroniskajā saskaņošanā</w:t>
            </w:r>
          </w:p>
        </w:tc>
        <w:tc>
          <w:tcPr>
            <w:tcW w:w="7230" w:type="dxa"/>
            <w:gridSpan w:val="2"/>
            <w:vAlign w:val="bottom"/>
          </w:tcPr>
          <w:p w14:paraId="4BC4B816" w14:textId="5C569F5B" w:rsidR="0023626A" w:rsidRPr="001D5294" w:rsidRDefault="0023626A" w:rsidP="00C4242D">
            <w:pPr>
              <w:pStyle w:val="naiskr"/>
              <w:spacing w:before="60" w:after="60"/>
              <w:jc w:val="both"/>
            </w:pPr>
          </w:p>
        </w:tc>
      </w:tr>
      <w:tr w:rsidR="00F83B42" w:rsidRPr="001D5294" w14:paraId="2AFEE836" w14:textId="77777777" w:rsidTr="00C4242D">
        <w:trPr>
          <w:trHeight w:val="210"/>
        </w:trPr>
        <w:tc>
          <w:tcPr>
            <w:tcW w:w="7371" w:type="dxa"/>
          </w:tcPr>
          <w:p w14:paraId="597547CA" w14:textId="77777777" w:rsidR="0023626A" w:rsidRPr="001D5294" w:rsidRDefault="0023626A" w:rsidP="00C4242D">
            <w:pPr>
              <w:pStyle w:val="naiskr"/>
              <w:spacing w:before="60" w:after="60"/>
              <w:ind w:firstLine="720"/>
              <w:jc w:val="both"/>
            </w:pPr>
            <w:r w:rsidRPr="001D5294">
              <w:t>  </w:t>
            </w:r>
          </w:p>
        </w:tc>
        <w:tc>
          <w:tcPr>
            <w:tcW w:w="7230" w:type="dxa"/>
            <w:gridSpan w:val="2"/>
            <w:tcBorders>
              <w:top w:val="single" w:sz="6" w:space="0" w:color="000000"/>
              <w:bottom w:val="single" w:sz="6" w:space="0" w:color="000000"/>
            </w:tcBorders>
          </w:tcPr>
          <w:p w14:paraId="034FE488" w14:textId="77777777" w:rsidR="0023626A" w:rsidRPr="001D5294" w:rsidRDefault="0023626A" w:rsidP="00C4242D">
            <w:pPr>
              <w:pStyle w:val="naiskr"/>
              <w:spacing w:before="60" w:after="60"/>
              <w:ind w:firstLine="720"/>
              <w:jc w:val="both"/>
            </w:pPr>
          </w:p>
        </w:tc>
      </w:tr>
      <w:tr w:rsidR="00F83B42" w:rsidRPr="001D5294" w14:paraId="5CCC2DFD" w14:textId="77777777" w:rsidTr="00C4242D">
        <w:trPr>
          <w:trHeight w:val="210"/>
        </w:trPr>
        <w:tc>
          <w:tcPr>
            <w:tcW w:w="7371" w:type="dxa"/>
          </w:tcPr>
          <w:p w14:paraId="101F18F1" w14:textId="24C38EC0" w:rsidR="00237834" w:rsidRPr="001D5294" w:rsidRDefault="00237834" w:rsidP="00C4242D">
            <w:pPr>
              <w:pStyle w:val="naiskr"/>
              <w:spacing w:before="60" w:after="60"/>
              <w:ind w:firstLine="720"/>
              <w:jc w:val="both"/>
            </w:pPr>
          </w:p>
          <w:p w14:paraId="72E75A52" w14:textId="77777777" w:rsidR="00237834" w:rsidRPr="001D5294" w:rsidRDefault="00237834" w:rsidP="00C4242D">
            <w:pPr>
              <w:pStyle w:val="naiskr"/>
              <w:spacing w:before="60" w:after="60"/>
              <w:ind w:firstLine="720"/>
              <w:jc w:val="both"/>
            </w:pPr>
          </w:p>
        </w:tc>
        <w:tc>
          <w:tcPr>
            <w:tcW w:w="7230" w:type="dxa"/>
            <w:gridSpan w:val="2"/>
          </w:tcPr>
          <w:p w14:paraId="3080EB35" w14:textId="77777777" w:rsidR="00237834" w:rsidRPr="001D5294" w:rsidRDefault="00237834" w:rsidP="00C4242D">
            <w:pPr>
              <w:pStyle w:val="naiskr"/>
              <w:spacing w:before="60" w:after="60"/>
              <w:ind w:firstLine="720"/>
              <w:jc w:val="both"/>
            </w:pPr>
          </w:p>
        </w:tc>
      </w:tr>
    </w:tbl>
    <w:p w14:paraId="200D25AB" w14:textId="77777777" w:rsidR="007B4C0F" w:rsidRPr="001D5294" w:rsidRDefault="007B4C0F" w:rsidP="00C4242D">
      <w:pPr>
        <w:pStyle w:val="naisf"/>
        <w:spacing w:before="60" w:after="60"/>
        <w:ind w:firstLine="0"/>
        <w:rPr>
          <w:b/>
        </w:rPr>
      </w:pPr>
      <w:r w:rsidRPr="001D5294">
        <w:rPr>
          <w:b/>
        </w:rPr>
        <w:t>II. </w:t>
      </w:r>
      <w:r w:rsidR="00134188" w:rsidRPr="001D5294">
        <w:rPr>
          <w:b/>
        </w:rPr>
        <w:t>Jautājumi, par kuriem saskaņošanā vienošan</w:t>
      </w:r>
      <w:r w:rsidR="00144622" w:rsidRPr="001D5294">
        <w:rPr>
          <w:b/>
        </w:rPr>
        <w:t>ā</w:t>
      </w:r>
      <w:r w:rsidR="00134188" w:rsidRPr="001D5294">
        <w:rPr>
          <w:b/>
        </w:rPr>
        <w:t>s ir panākta</w:t>
      </w:r>
    </w:p>
    <w:tbl>
      <w:tblPr>
        <w:tblpPr w:leftFromText="180" w:rightFromText="180" w:vertAnchor="text" w:tblpX="-123" w:tblpY="1"/>
        <w:tblOverlap w:val="neve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3039"/>
        <w:gridCol w:w="3547"/>
        <w:gridCol w:w="3685"/>
        <w:gridCol w:w="3849"/>
        <w:gridCol w:w="102"/>
      </w:tblGrid>
      <w:tr w:rsidR="008E2CD9" w:rsidRPr="001D5294" w14:paraId="1AE1E91F" w14:textId="77777777" w:rsidTr="004C1D00">
        <w:trPr>
          <w:gridAfter w:val="1"/>
          <w:wAfter w:w="102" w:type="dxa"/>
          <w:trHeight w:val="148"/>
        </w:trPr>
        <w:tc>
          <w:tcPr>
            <w:tcW w:w="644" w:type="dxa"/>
            <w:shd w:val="clear" w:color="auto" w:fill="FFFFFF" w:themeFill="background1"/>
            <w:vAlign w:val="center"/>
          </w:tcPr>
          <w:p w14:paraId="336AD408" w14:textId="77777777" w:rsidR="00134188" w:rsidRPr="001D5294" w:rsidRDefault="003903CE" w:rsidP="00C4242D">
            <w:pPr>
              <w:pStyle w:val="naisc"/>
              <w:spacing w:before="60" w:after="60"/>
              <w:jc w:val="both"/>
            </w:pPr>
            <w:r w:rsidRPr="001D5294">
              <w:t>Nr.</w:t>
            </w:r>
            <w:r w:rsidR="00690E99" w:rsidRPr="001D5294">
              <w:t xml:space="preserve"> </w:t>
            </w:r>
            <w:r w:rsidR="00134188" w:rsidRPr="001D5294">
              <w:t>p.k.</w:t>
            </w:r>
          </w:p>
        </w:tc>
        <w:tc>
          <w:tcPr>
            <w:tcW w:w="3039" w:type="dxa"/>
            <w:vAlign w:val="center"/>
          </w:tcPr>
          <w:p w14:paraId="2455189D" w14:textId="77777777" w:rsidR="00134188" w:rsidRPr="001D5294" w:rsidRDefault="00134188" w:rsidP="00C4242D">
            <w:pPr>
              <w:pStyle w:val="naisc"/>
              <w:spacing w:before="60" w:after="60"/>
              <w:ind w:firstLine="12"/>
              <w:jc w:val="both"/>
            </w:pPr>
            <w:r w:rsidRPr="001D5294">
              <w:t>Saskaņošanai nosūtītā projekta redakcija (konkrēta punkta (panta) redakcija)</w:t>
            </w:r>
          </w:p>
        </w:tc>
        <w:tc>
          <w:tcPr>
            <w:tcW w:w="3547" w:type="dxa"/>
            <w:vAlign w:val="center"/>
          </w:tcPr>
          <w:p w14:paraId="6F9E137A" w14:textId="77777777" w:rsidR="00134188" w:rsidRPr="001D5294" w:rsidRDefault="00134188" w:rsidP="00C4242D">
            <w:pPr>
              <w:pStyle w:val="naisc"/>
              <w:spacing w:before="60" w:after="60"/>
              <w:jc w:val="both"/>
            </w:pPr>
            <w:r w:rsidRPr="001D5294">
              <w:t>Atzinumā norādītais ministrijas (citas institūcijas) iebildums, kā arī saskaņošanā papildus izteiktais iebildums par projekta konkrēto punktu (pantu)</w:t>
            </w:r>
          </w:p>
        </w:tc>
        <w:tc>
          <w:tcPr>
            <w:tcW w:w="3685" w:type="dxa"/>
            <w:vAlign w:val="center"/>
          </w:tcPr>
          <w:p w14:paraId="1E5E245C" w14:textId="77777777" w:rsidR="00134188" w:rsidRPr="001D5294" w:rsidRDefault="00134188" w:rsidP="00C4242D">
            <w:pPr>
              <w:pStyle w:val="naisc"/>
              <w:spacing w:before="60" w:after="60"/>
              <w:ind w:firstLine="21"/>
              <w:jc w:val="both"/>
            </w:pPr>
            <w:r w:rsidRPr="001D5294">
              <w:t>Atbildīgās ministrijas norāde</w:t>
            </w:r>
            <w:r w:rsidR="006C1C48" w:rsidRPr="001D5294">
              <w:t xml:space="preserve"> par to, ka </w:t>
            </w:r>
            <w:r w:rsidRPr="001D5294">
              <w:t>iebildums ir ņemts vērā</w:t>
            </w:r>
            <w:r w:rsidR="006455E7" w:rsidRPr="001D5294">
              <w:t>,</w:t>
            </w:r>
            <w:r w:rsidRPr="001D5294">
              <w:t xml:space="preserve"> vai </w:t>
            </w:r>
            <w:r w:rsidR="006C1C48" w:rsidRPr="001D5294">
              <w:t xml:space="preserve">informācija par saskaņošanā </w:t>
            </w:r>
            <w:r w:rsidR="00022B0F" w:rsidRPr="001D5294">
              <w:t>panākto alternatīvo risinājumu</w:t>
            </w:r>
          </w:p>
        </w:tc>
        <w:tc>
          <w:tcPr>
            <w:tcW w:w="3849" w:type="dxa"/>
            <w:vAlign w:val="center"/>
          </w:tcPr>
          <w:p w14:paraId="1CA5ACC6" w14:textId="77777777" w:rsidR="00134188" w:rsidRPr="001D5294" w:rsidRDefault="00134188" w:rsidP="00C4242D">
            <w:pPr>
              <w:spacing w:before="60" w:after="60"/>
              <w:jc w:val="both"/>
            </w:pPr>
            <w:r w:rsidRPr="001D5294">
              <w:t>Projekta attiecīgā punkta (panta) galīgā redakcija</w:t>
            </w:r>
          </w:p>
        </w:tc>
      </w:tr>
      <w:tr w:rsidR="008E2CD9" w:rsidRPr="001D5294" w14:paraId="270351AB" w14:textId="77777777" w:rsidTr="004C1D00">
        <w:trPr>
          <w:gridAfter w:val="1"/>
          <w:wAfter w:w="102" w:type="dxa"/>
          <w:trHeight w:val="283"/>
        </w:trPr>
        <w:tc>
          <w:tcPr>
            <w:tcW w:w="644" w:type="dxa"/>
            <w:shd w:val="clear" w:color="auto" w:fill="FFFFFF" w:themeFill="background1"/>
          </w:tcPr>
          <w:p w14:paraId="67B8FEC9" w14:textId="77777777" w:rsidR="00134188" w:rsidRPr="001D5294" w:rsidRDefault="003B71E0" w:rsidP="00C4242D">
            <w:pPr>
              <w:pStyle w:val="naisc"/>
              <w:spacing w:before="60" w:after="60"/>
            </w:pPr>
            <w:r w:rsidRPr="001D5294">
              <w:t>1</w:t>
            </w:r>
          </w:p>
        </w:tc>
        <w:tc>
          <w:tcPr>
            <w:tcW w:w="3039" w:type="dxa"/>
          </w:tcPr>
          <w:p w14:paraId="3F134B86" w14:textId="77777777" w:rsidR="00134188" w:rsidRPr="001D5294" w:rsidRDefault="00F34AAB" w:rsidP="00C4242D">
            <w:pPr>
              <w:pStyle w:val="naisc"/>
              <w:spacing w:before="60" w:after="60"/>
              <w:ind w:firstLine="720"/>
            </w:pPr>
            <w:r w:rsidRPr="001D5294">
              <w:t>2</w:t>
            </w:r>
          </w:p>
        </w:tc>
        <w:tc>
          <w:tcPr>
            <w:tcW w:w="3547" w:type="dxa"/>
          </w:tcPr>
          <w:p w14:paraId="624519BC" w14:textId="77777777" w:rsidR="00134188" w:rsidRPr="001D5294" w:rsidRDefault="003B71E0" w:rsidP="00C4242D">
            <w:pPr>
              <w:pStyle w:val="naisc"/>
              <w:spacing w:before="60" w:after="60"/>
              <w:ind w:firstLine="720"/>
            </w:pPr>
            <w:r w:rsidRPr="001D5294">
              <w:t>3</w:t>
            </w:r>
          </w:p>
        </w:tc>
        <w:tc>
          <w:tcPr>
            <w:tcW w:w="3685" w:type="dxa"/>
          </w:tcPr>
          <w:p w14:paraId="0FF93B22" w14:textId="77777777" w:rsidR="00134188" w:rsidRPr="001D5294" w:rsidRDefault="003B71E0" w:rsidP="00C4242D">
            <w:pPr>
              <w:pStyle w:val="naisc"/>
              <w:spacing w:before="60" w:after="60"/>
            </w:pPr>
            <w:r w:rsidRPr="001D5294">
              <w:t>4</w:t>
            </w:r>
          </w:p>
        </w:tc>
        <w:tc>
          <w:tcPr>
            <w:tcW w:w="3849" w:type="dxa"/>
          </w:tcPr>
          <w:p w14:paraId="675E482A" w14:textId="77777777" w:rsidR="00134188" w:rsidRPr="001D5294" w:rsidRDefault="003B71E0" w:rsidP="00C4242D">
            <w:pPr>
              <w:spacing w:before="60" w:after="60"/>
              <w:jc w:val="center"/>
            </w:pPr>
            <w:r w:rsidRPr="001D5294">
              <w:t>5</w:t>
            </w:r>
          </w:p>
        </w:tc>
      </w:tr>
      <w:tr w:rsidR="00F83B42" w:rsidRPr="001D5294" w14:paraId="30C5C5D6" w14:textId="77777777" w:rsidTr="004C1D00">
        <w:trPr>
          <w:gridAfter w:val="1"/>
          <w:wAfter w:w="102" w:type="dxa"/>
          <w:trHeight w:val="583"/>
        </w:trPr>
        <w:tc>
          <w:tcPr>
            <w:tcW w:w="14764" w:type="dxa"/>
            <w:gridSpan w:val="5"/>
            <w:shd w:val="clear" w:color="auto" w:fill="FFFFFF" w:themeFill="background1"/>
            <w:vAlign w:val="center"/>
          </w:tcPr>
          <w:p w14:paraId="4560E1DD" w14:textId="1A5A39AE" w:rsidR="0066159A" w:rsidRPr="001D5294" w:rsidRDefault="005807A2" w:rsidP="00C4242D">
            <w:pPr>
              <w:spacing w:before="60" w:after="60"/>
              <w:jc w:val="center"/>
            </w:pPr>
            <w:r w:rsidRPr="001D5294">
              <w:rPr>
                <w:b/>
              </w:rPr>
              <w:t>Iebildumi par</w:t>
            </w:r>
            <w:r w:rsidR="0066159A" w:rsidRPr="001D5294">
              <w:rPr>
                <w:b/>
              </w:rPr>
              <w:t xml:space="preserve"> </w:t>
            </w:r>
            <w:r w:rsidR="002E1E81" w:rsidRPr="001D5294">
              <w:rPr>
                <w:b/>
              </w:rPr>
              <w:t>Ministru kabineta noteikumu</w:t>
            </w:r>
            <w:r w:rsidR="0066159A" w:rsidRPr="001D5294">
              <w:rPr>
                <w:b/>
              </w:rPr>
              <w:t xml:space="preserve"> projektu</w:t>
            </w:r>
          </w:p>
        </w:tc>
      </w:tr>
      <w:tr w:rsidR="00223516" w:rsidRPr="001D5294" w14:paraId="2FEE61BD" w14:textId="77777777" w:rsidTr="004C1D00">
        <w:trPr>
          <w:gridAfter w:val="1"/>
          <w:wAfter w:w="102" w:type="dxa"/>
          <w:trHeight w:val="274"/>
        </w:trPr>
        <w:tc>
          <w:tcPr>
            <w:tcW w:w="644" w:type="dxa"/>
            <w:shd w:val="clear" w:color="auto" w:fill="FFFFFF" w:themeFill="background1"/>
          </w:tcPr>
          <w:p w14:paraId="68A8E758" w14:textId="77777777" w:rsidR="00223516" w:rsidRPr="001D5294" w:rsidRDefault="00223516" w:rsidP="00C4242D">
            <w:pPr>
              <w:numPr>
                <w:ilvl w:val="0"/>
                <w:numId w:val="31"/>
              </w:numPr>
              <w:tabs>
                <w:tab w:val="center" w:pos="284"/>
              </w:tabs>
              <w:spacing w:before="60" w:after="60"/>
              <w:ind w:left="0" w:firstLine="0"/>
            </w:pPr>
          </w:p>
        </w:tc>
        <w:tc>
          <w:tcPr>
            <w:tcW w:w="3039" w:type="dxa"/>
            <w:shd w:val="clear" w:color="auto" w:fill="auto"/>
          </w:tcPr>
          <w:p w14:paraId="32C00ECF" w14:textId="6E28A2C6" w:rsidR="00223516" w:rsidRPr="001D5294" w:rsidRDefault="00223516" w:rsidP="00C4242D">
            <w:pPr>
              <w:spacing w:before="60" w:after="60"/>
              <w:jc w:val="both"/>
            </w:pPr>
          </w:p>
        </w:tc>
        <w:tc>
          <w:tcPr>
            <w:tcW w:w="3547" w:type="dxa"/>
            <w:shd w:val="clear" w:color="auto" w:fill="auto"/>
          </w:tcPr>
          <w:p w14:paraId="50FBED5D" w14:textId="5786E2C0" w:rsidR="00223516" w:rsidRPr="001D5294" w:rsidRDefault="00223516" w:rsidP="00C4242D">
            <w:pPr>
              <w:spacing w:before="60" w:after="60"/>
              <w:contextualSpacing/>
              <w:jc w:val="both"/>
              <w:rPr>
                <w:b/>
              </w:rPr>
            </w:pPr>
            <w:r w:rsidRPr="001D5294">
              <w:rPr>
                <w:b/>
              </w:rPr>
              <w:t>Finanšu ministrija (FM)</w:t>
            </w:r>
          </w:p>
          <w:p w14:paraId="0D04EE00" w14:textId="68C17599" w:rsidR="00223516" w:rsidRPr="001D5294" w:rsidRDefault="00223516" w:rsidP="00C4242D">
            <w:pPr>
              <w:spacing w:before="60" w:after="60"/>
              <w:contextualSpacing/>
              <w:jc w:val="both"/>
            </w:pPr>
            <w:r w:rsidRPr="001D5294">
              <w:t>Lūdzam papildināt MK noteikumu projektu ar punktu, kas nosaka valsts atbalsta piešķiršanas brīdi.</w:t>
            </w:r>
          </w:p>
        </w:tc>
        <w:tc>
          <w:tcPr>
            <w:tcW w:w="3685" w:type="dxa"/>
            <w:shd w:val="clear" w:color="auto" w:fill="auto"/>
          </w:tcPr>
          <w:p w14:paraId="215A3733" w14:textId="77777777" w:rsidR="00223516" w:rsidRPr="001D5294" w:rsidRDefault="00223516" w:rsidP="00785983">
            <w:pPr>
              <w:spacing w:before="60" w:after="60"/>
              <w:jc w:val="both"/>
              <w:rPr>
                <w:b/>
              </w:rPr>
            </w:pPr>
            <w:r w:rsidRPr="001D5294">
              <w:rPr>
                <w:b/>
              </w:rPr>
              <w:t>Ņemts vērā.</w:t>
            </w:r>
          </w:p>
          <w:p w14:paraId="112B1E77" w14:textId="28BE3369" w:rsidR="00223516" w:rsidRPr="001D5294" w:rsidRDefault="00223516" w:rsidP="00C4242D">
            <w:pPr>
              <w:spacing w:before="60" w:after="60"/>
              <w:jc w:val="both"/>
            </w:pPr>
          </w:p>
        </w:tc>
        <w:tc>
          <w:tcPr>
            <w:tcW w:w="3849" w:type="dxa"/>
            <w:vMerge w:val="restart"/>
            <w:shd w:val="clear" w:color="auto" w:fill="auto"/>
          </w:tcPr>
          <w:p w14:paraId="3E3C7201" w14:textId="69053CD0" w:rsidR="00223516" w:rsidRPr="001D5294" w:rsidRDefault="00223516" w:rsidP="00223516">
            <w:pPr>
              <w:spacing w:before="60" w:after="60"/>
              <w:jc w:val="both"/>
              <w:rPr>
                <w:shd w:val="clear" w:color="auto" w:fill="FFFFFF"/>
              </w:rPr>
            </w:pPr>
            <w:r w:rsidRPr="001D5294">
              <w:rPr>
                <w:shd w:val="clear" w:color="auto" w:fill="FFFFFF"/>
              </w:rPr>
              <w:t>2.20.</w:t>
            </w:r>
            <w:r w:rsidRPr="001D5294">
              <w:rPr>
                <w:shd w:val="clear" w:color="auto" w:fill="FFFFFF"/>
                <w:vertAlign w:val="superscript"/>
              </w:rPr>
              <w:t>1</w:t>
            </w:r>
            <w:r w:rsidRPr="001D5294">
              <w:rPr>
                <w:shd w:val="clear" w:color="auto" w:fill="FFFFFF"/>
              </w:rPr>
              <w:t> v</w:t>
            </w:r>
            <w:r w:rsidRPr="001D5294">
              <w:t xml:space="preserve">alsts atbalsta piešķiršanas diena </w:t>
            </w:r>
            <w:r w:rsidRPr="001D5294">
              <w:rPr>
                <w:shd w:val="clear" w:color="auto" w:fill="FFFFFF"/>
              </w:rPr>
              <w:t>–</w:t>
            </w:r>
            <w:r w:rsidRPr="001D5294">
              <w:t xml:space="preserve"> </w:t>
            </w:r>
            <w:r w:rsidR="00A13894" w:rsidRPr="001D5294">
              <w:t>diena, kad tiek pieņemts lēmums par kombinēta atbalsta projekta iesnieguma apstiprināšanu vai izdots atzinums par lēmumā noteikto nosacījumu izpildi, ja iepriekš pieņemts lēmums par kombinēta atbalsta projekta iesnieguma apstiprināšanu ar nosacījumu;</w:t>
            </w:r>
          </w:p>
        </w:tc>
      </w:tr>
      <w:tr w:rsidR="00223516" w:rsidRPr="001D5294" w14:paraId="67F36824" w14:textId="77777777" w:rsidTr="004C1D00">
        <w:trPr>
          <w:gridAfter w:val="1"/>
          <w:wAfter w:w="102" w:type="dxa"/>
          <w:trHeight w:val="274"/>
        </w:trPr>
        <w:tc>
          <w:tcPr>
            <w:tcW w:w="644" w:type="dxa"/>
            <w:shd w:val="clear" w:color="auto" w:fill="FFFFFF" w:themeFill="background1"/>
          </w:tcPr>
          <w:p w14:paraId="68B18767" w14:textId="77777777" w:rsidR="00223516" w:rsidRPr="001D5294" w:rsidRDefault="00223516" w:rsidP="00C4242D">
            <w:pPr>
              <w:numPr>
                <w:ilvl w:val="0"/>
                <w:numId w:val="31"/>
              </w:numPr>
              <w:tabs>
                <w:tab w:val="center" w:pos="284"/>
              </w:tabs>
              <w:spacing w:before="60" w:after="60"/>
              <w:ind w:left="0" w:firstLine="0"/>
            </w:pPr>
          </w:p>
        </w:tc>
        <w:tc>
          <w:tcPr>
            <w:tcW w:w="3039" w:type="dxa"/>
            <w:shd w:val="clear" w:color="auto" w:fill="auto"/>
          </w:tcPr>
          <w:p w14:paraId="7DA47C6A" w14:textId="0A4C0577" w:rsidR="00223516" w:rsidRPr="001D5294" w:rsidRDefault="00223516" w:rsidP="00C4242D">
            <w:pPr>
              <w:spacing w:before="60" w:after="60"/>
              <w:jc w:val="both"/>
            </w:pPr>
            <w:r w:rsidRPr="001D5294">
              <w:rPr>
                <w:shd w:val="clear" w:color="auto" w:fill="FFFFFF"/>
              </w:rPr>
              <w:t>2.20.</w:t>
            </w:r>
            <w:r w:rsidRPr="001D5294">
              <w:rPr>
                <w:shd w:val="clear" w:color="auto" w:fill="FFFFFF"/>
                <w:vertAlign w:val="superscript"/>
              </w:rPr>
              <w:t>1</w:t>
            </w:r>
            <w:r w:rsidRPr="001D5294">
              <w:rPr>
                <w:shd w:val="clear" w:color="auto" w:fill="FFFFFF"/>
              </w:rPr>
              <w:t> valsts atbalsta piešķiršanas diena – diena, kad pieņem lēmumu par kombinēta atbalsta projekta iesnieguma apstiprināšanu;</w:t>
            </w:r>
          </w:p>
        </w:tc>
        <w:tc>
          <w:tcPr>
            <w:tcW w:w="3547" w:type="dxa"/>
            <w:shd w:val="clear" w:color="auto" w:fill="auto"/>
          </w:tcPr>
          <w:p w14:paraId="1452E439" w14:textId="77777777" w:rsidR="00223516" w:rsidRPr="001D5294" w:rsidRDefault="00223516" w:rsidP="00C4242D">
            <w:pPr>
              <w:spacing w:before="60" w:after="60"/>
              <w:contextualSpacing/>
              <w:jc w:val="both"/>
              <w:rPr>
                <w:b/>
              </w:rPr>
            </w:pPr>
            <w:r w:rsidRPr="001D5294">
              <w:rPr>
                <w:b/>
              </w:rPr>
              <w:t>FM 17.09.2020. izteiktais priekšlikums:</w:t>
            </w:r>
          </w:p>
          <w:p w14:paraId="2A45F455" w14:textId="1ECFD377" w:rsidR="00223516" w:rsidRPr="001D5294" w:rsidRDefault="00223516" w:rsidP="00C4242D">
            <w:pPr>
              <w:spacing w:before="60" w:after="60"/>
              <w:contextualSpacing/>
              <w:jc w:val="both"/>
            </w:pPr>
            <w:r w:rsidRPr="001D5294">
              <w:t>1.</w:t>
            </w:r>
            <w:r w:rsidRPr="001D5294">
              <w:tab/>
              <w:t xml:space="preserve">Ievērojot, ka sadarbības iestāde var sākotnēji pieņemt lēmumu par projekta apstiprināšanu ar nosacījumu, lūdzam precizēt MK noteikumu Nr. 562 “Darbības programmas “Izaugsme un nodarbinātība” 1.1.1. specifiskā atbalsta mērķa “Palielināt Latvijas zinātnisko institūciju pētniecisko un inovatīvo kapacitāti un spēju </w:t>
            </w:r>
            <w:r w:rsidRPr="001D5294">
              <w:lastRenderedPageBreak/>
              <w:t>piesaistīt ārējo finansējumu, ieguldot cilvēkresursos un infrastruktūrā” 1.1.1.4. pasākuma “P&amp;A infrastruktūras attīstīšana viedās specializācijas jomās un zinātnisko institūciju institucionālās kapacitātes stiprināšana” īstenošanas noteikumi” (turpmāk – MK noteikumi Nr. 562) 2.20.1  punktu šādā redakcijā: “Valsts atbalsta piešķiršanas diena - diena, kad tiek pieņemts lēmums par projekta iesnieguma apstiprināšanu vai izdots atzinums par lēmumā noteikto nosacījumu izpildi, ja iepriekš pieņemts lēmums par projekta iesnieguma apstiprināšanu ar nosacījumu.”</w:t>
            </w:r>
          </w:p>
        </w:tc>
        <w:tc>
          <w:tcPr>
            <w:tcW w:w="3685" w:type="dxa"/>
            <w:shd w:val="clear" w:color="auto" w:fill="auto"/>
          </w:tcPr>
          <w:p w14:paraId="50B65984" w14:textId="77777777" w:rsidR="00223516" w:rsidRPr="001D5294" w:rsidRDefault="00223516" w:rsidP="00223516">
            <w:pPr>
              <w:spacing w:before="60" w:after="60"/>
              <w:jc w:val="both"/>
              <w:rPr>
                <w:b/>
              </w:rPr>
            </w:pPr>
            <w:r w:rsidRPr="001D5294">
              <w:rPr>
                <w:b/>
              </w:rPr>
              <w:lastRenderedPageBreak/>
              <w:t>Ņemts vērā.</w:t>
            </w:r>
          </w:p>
          <w:p w14:paraId="58BB243D" w14:textId="77777777" w:rsidR="00223516" w:rsidRPr="001D5294" w:rsidRDefault="00223516" w:rsidP="00785983">
            <w:pPr>
              <w:spacing w:before="60" w:after="60"/>
              <w:jc w:val="both"/>
              <w:rPr>
                <w:b/>
              </w:rPr>
            </w:pPr>
          </w:p>
        </w:tc>
        <w:tc>
          <w:tcPr>
            <w:tcW w:w="3849" w:type="dxa"/>
            <w:vMerge/>
            <w:shd w:val="clear" w:color="auto" w:fill="auto"/>
          </w:tcPr>
          <w:p w14:paraId="1E6A1D51" w14:textId="77777777" w:rsidR="00223516" w:rsidRPr="001D5294" w:rsidRDefault="00223516" w:rsidP="00C4242D">
            <w:pPr>
              <w:spacing w:before="60" w:after="60"/>
              <w:jc w:val="both"/>
              <w:rPr>
                <w:shd w:val="clear" w:color="auto" w:fill="FFFFFF"/>
              </w:rPr>
            </w:pPr>
          </w:p>
        </w:tc>
      </w:tr>
      <w:tr w:rsidR="0041691B" w:rsidRPr="001D5294" w14:paraId="2C57F8E1" w14:textId="77777777" w:rsidTr="004C1D00">
        <w:trPr>
          <w:gridAfter w:val="1"/>
          <w:wAfter w:w="102" w:type="dxa"/>
          <w:trHeight w:val="274"/>
        </w:trPr>
        <w:tc>
          <w:tcPr>
            <w:tcW w:w="644" w:type="dxa"/>
            <w:shd w:val="clear" w:color="auto" w:fill="FFFFFF" w:themeFill="background1"/>
          </w:tcPr>
          <w:p w14:paraId="5589B1B5" w14:textId="4B0A097E" w:rsidR="0041691B" w:rsidRPr="001D5294" w:rsidRDefault="0041691B" w:rsidP="00C4242D">
            <w:pPr>
              <w:numPr>
                <w:ilvl w:val="0"/>
                <w:numId w:val="31"/>
              </w:numPr>
              <w:tabs>
                <w:tab w:val="center" w:pos="284"/>
              </w:tabs>
              <w:spacing w:before="60" w:after="60"/>
              <w:ind w:left="0" w:firstLine="0"/>
            </w:pPr>
          </w:p>
        </w:tc>
        <w:tc>
          <w:tcPr>
            <w:tcW w:w="3039" w:type="dxa"/>
            <w:shd w:val="clear" w:color="auto" w:fill="auto"/>
          </w:tcPr>
          <w:p w14:paraId="1E7351FC" w14:textId="1CA51FCF" w:rsidR="0041691B" w:rsidRPr="001D5294" w:rsidRDefault="009B414F" w:rsidP="00C4242D">
            <w:pPr>
              <w:spacing w:before="60" w:after="60"/>
              <w:jc w:val="both"/>
            </w:pPr>
            <w:r w:rsidRPr="001D5294">
              <w:t>2.13.</w:t>
            </w:r>
            <w:r w:rsidRPr="001D5294">
              <w:rPr>
                <w:vertAlign w:val="superscript"/>
              </w:rPr>
              <w:t>1</w:t>
            </w:r>
            <w:r w:rsidRPr="001D5294">
              <w:t xml:space="preserve"> pētniecības infrastruktūras amortizācijas periods – projekta dzīves cikla periods, kas atbilst Komisijas 2014. gada 3. marta Deleģētās regulas (ES) Nr. 480/2014, ar kuru papildina Eiropas Parlamenta un Padomes Regulu (ES) Nr. 1303/2013, ar ko paredz kopīgus noteikumus par Eiropas Reģionālās attīstības fondu, Eiropas Sociālo fondu, Kohēzijas fondu, Eiropas Lauksaimniecības </w:t>
            </w:r>
            <w:r w:rsidRPr="001D5294">
              <w:lastRenderedPageBreak/>
              <w:t>fondu lauku attīstībai un Eiropas Jūrlietu un zivsaimniecības fondu un vispārīgus noteikumus par Eiropas Reģionālās attīstības fondu, Eiropas Sociālo fondu, Kohēzijas fondu un Eiropas Jūrlietu un zivsaimniecības fondu (turpmāk – Komisijas regula Nr. 480/2014), 15. panta 2. punktā un I pielikumā noteiktajam projekta pārskata periodam;</w:t>
            </w:r>
          </w:p>
        </w:tc>
        <w:tc>
          <w:tcPr>
            <w:tcW w:w="3547" w:type="dxa"/>
            <w:shd w:val="clear" w:color="auto" w:fill="auto"/>
          </w:tcPr>
          <w:p w14:paraId="0E8D0A8F" w14:textId="5A802447" w:rsidR="00D15494" w:rsidRPr="001D5294" w:rsidRDefault="00C4242D" w:rsidP="00C4242D">
            <w:pPr>
              <w:spacing w:before="60" w:after="60"/>
              <w:contextualSpacing/>
              <w:jc w:val="both"/>
            </w:pPr>
            <w:r w:rsidRPr="001D5294">
              <w:rPr>
                <w:b/>
              </w:rPr>
              <w:lastRenderedPageBreak/>
              <w:t>FM:</w:t>
            </w:r>
            <w:r w:rsidRPr="001D5294">
              <w:t xml:space="preserve"> </w:t>
            </w:r>
            <w:r w:rsidR="00D15494" w:rsidRPr="001D5294">
              <w:t xml:space="preserve">MK noteikumu projekta 2.punkts paredz papildināt 2016. gada 16. augusta noteikumus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w:t>
            </w:r>
            <w:r w:rsidR="00D15494" w:rsidRPr="001D5294">
              <w:lastRenderedPageBreak/>
              <w:t>institucionālās kapacitātes stiprināšana" īstenošanas noteikumi"  (turpmāk – MK noteikumi nr.562.) ar 2.13.</w:t>
            </w:r>
            <w:r w:rsidR="00D15494" w:rsidRPr="001D5294">
              <w:rPr>
                <w:vertAlign w:val="superscript"/>
              </w:rPr>
              <w:t>1</w:t>
            </w:r>
            <w:r w:rsidR="00D15494" w:rsidRPr="001D5294">
              <w:t xml:space="preserve"> apakšpunktu, kurā sniegts termina “pētniecības infrastruktūras amortizācijas periods” skaidrojums, kas atsaucas tikai uz Regulā Nr.480/2014</w:t>
            </w:r>
            <w:r w:rsidR="00D15494" w:rsidRPr="001D5294">
              <w:rPr>
                <w:rStyle w:val="FootnoteReference"/>
              </w:rPr>
              <w:footnoteReference w:id="1"/>
            </w:r>
            <w:r w:rsidR="00D15494" w:rsidRPr="001D5294">
              <w:t xml:space="preserve">  minēto par projekta pārskata periodiem, lai gan infrastruktūras amortizācijas periods var būt gan garāks, gan īsāks par projekta pārskata periodu. Anotācijā ir sniegts plašāks termina skaidrojums, t.sk., norādīti gadījumi, kad uzraudzības periods varētu būt īsāks, sasaistot to ar iekārtu amortizācijas periodu. </w:t>
            </w:r>
          </w:p>
          <w:p w14:paraId="53DAC23A" w14:textId="77777777" w:rsidR="00D15494" w:rsidRPr="001D5294" w:rsidRDefault="00D15494" w:rsidP="00C4242D">
            <w:pPr>
              <w:pStyle w:val="ListParagraph"/>
              <w:spacing w:before="60" w:after="60"/>
              <w:ind w:left="0"/>
              <w:jc w:val="both"/>
              <w:rPr>
                <w:rFonts w:ascii="Times New Roman" w:hAnsi="Times New Roman"/>
                <w:sz w:val="24"/>
                <w:szCs w:val="24"/>
                <w:lang w:eastAsia="lv-LV"/>
              </w:rPr>
            </w:pPr>
            <w:r w:rsidRPr="001D5294">
              <w:rPr>
                <w:rFonts w:ascii="Times New Roman" w:hAnsi="Times New Roman"/>
                <w:sz w:val="24"/>
                <w:szCs w:val="24"/>
                <w:lang w:eastAsia="lv-LV"/>
              </w:rPr>
              <w:t xml:space="preserve">Lai nodrošinātu viennozīmīgi skaidru terminoloģiju, aicinām MK noteikumu projekta 2.punktā aizstāt minēto terminu ar anotācijā lietoto terminu “pētniecības infrastruktūras projekta dzīves cikla (infrastruktūras amortizācijas) periods”, attiecīgi papildinot ar amortizācijas perioda skaidrojumu, vai skaidro katru terminu “pētniecības infrastruktūras pārskata periods” un “pētniecības infrastruktūras </w:t>
            </w:r>
            <w:r w:rsidRPr="001D5294">
              <w:rPr>
                <w:rFonts w:ascii="Times New Roman" w:hAnsi="Times New Roman"/>
                <w:sz w:val="24"/>
                <w:szCs w:val="24"/>
                <w:lang w:eastAsia="lv-LV"/>
              </w:rPr>
              <w:lastRenderedPageBreak/>
              <w:t>amortizācijas periods” atsevišķos MK noteikumu apakšpunktos;</w:t>
            </w:r>
          </w:p>
          <w:p w14:paraId="491CF33C" w14:textId="09C86B1A" w:rsidR="0041691B" w:rsidRPr="001D5294" w:rsidRDefault="00D15494" w:rsidP="00C4242D">
            <w:pPr>
              <w:pStyle w:val="ListParagraph"/>
              <w:spacing w:before="60" w:after="60"/>
              <w:ind w:left="0"/>
              <w:jc w:val="both"/>
              <w:rPr>
                <w:rFonts w:ascii="Times New Roman" w:hAnsi="Times New Roman"/>
                <w:sz w:val="24"/>
                <w:szCs w:val="24"/>
                <w:lang w:eastAsia="lv-LV"/>
              </w:rPr>
            </w:pPr>
            <w:r w:rsidRPr="001D5294">
              <w:rPr>
                <w:rFonts w:ascii="Times New Roman" w:hAnsi="Times New Roman"/>
                <w:sz w:val="24"/>
                <w:szCs w:val="24"/>
                <w:lang w:eastAsia="lv-LV"/>
              </w:rPr>
              <w:t>Papildus arī aicinām pārskatīt anotācijā lietoto terminoloģiju attiecībā uz projekta pārskata periodu, projekta dzīvesciklu un projekta amortizācijas periodu;</w:t>
            </w:r>
          </w:p>
        </w:tc>
        <w:tc>
          <w:tcPr>
            <w:tcW w:w="3685" w:type="dxa"/>
            <w:shd w:val="clear" w:color="auto" w:fill="auto"/>
          </w:tcPr>
          <w:p w14:paraId="46561397" w14:textId="77777777" w:rsidR="0041691B" w:rsidRPr="001D5294" w:rsidRDefault="00EC2BF1" w:rsidP="00C4242D">
            <w:pPr>
              <w:spacing w:before="60" w:after="60"/>
              <w:jc w:val="both"/>
              <w:rPr>
                <w:b/>
              </w:rPr>
            </w:pPr>
            <w:r w:rsidRPr="001D5294">
              <w:rPr>
                <w:b/>
              </w:rPr>
              <w:lastRenderedPageBreak/>
              <w:t>Ņemts vērā.</w:t>
            </w:r>
          </w:p>
          <w:p w14:paraId="6D105CDC" w14:textId="77777777" w:rsidR="00EC2BF1" w:rsidRPr="001D5294" w:rsidRDefault="00EC2BF1" w:rsidP="00EC2BF1">
            <w:pPr>
              <w:spacing w:before="60" w:after="60"/>
              <w:jc w:val="both"/>
            </w:pPr>
            <w:r w:rsidRPr="001D5294">
              <w:t>Sniegts terminu “pētniecības infrastruktūras amortizācijas periods” un „projekta dzīves cikls” skaidrojums</w:t>
            </w:r>
            <w:r w:rsidR="00042D9E" w:rsidRPr="001D5294">
              <w:t>.</w:t>
            </w:r>
          </w:p>
          <w:p w14:paraId="76AC1198" w14:textId="67183DEB" w:rsidR="00042D9E" w:rsidRPr="001D5294" w:rsidRDefault="00042D9E" w:rsidP="00232DD8">
            <w:pPr>
              <w:spacing w:before="60" w:after="60"/>
              <w:jc w:val="both"/>
            </w:pPr>
            <w:r w:rsidRPr="001D5294">
              <w:t xml:space="preserve">Termins „projekta dzīves cikls” ietverts, lai atvieglotu normatīvā akta uztveramību un skaidrotu </w:t>
            </w:r>
            <w:r w:rsidR="00232DD8" w:rsidRPr="001D5294">
              <w:t xml:space="preserve"> Ministru kabineta 2016. gada 16. augusta noteikumos Nr. 562 "Darbības programmas "Izaugsme un nodarbinātība" 1.1.1. specifiskā atbalsta mērķa "Palielināt Latvijas zinātnisko institūciju pētniecisko un inovatīvo kapacitāti un spēju </w:t>
            </w:r>
            <w:r w:rsidR="00232DD8" w:rsidRPr="001D5294">
              <w:lastRenderedPageBreak/>
              <w:t xml:space="preserve">piesaistīt ārējo finansējumu, ieguldot cilvēkresursos un infrastruktūrā" 1.1.1.4. pasākuma "P&amp;A infrastruktūras attīstīšana viedās specializācijas jomās un zinātnisko institūciju institucionālās kapacitātes stiprināšana" īstenošanas noteikumi" (turpmāk – MK noteikumi Nr.562) </w:t>
            </w:r>
            <w:r w:rsidRPr="001D5294">
              <w:t>26.1.  apakšpunktā norādīto terminu, neieviešot papildu terminus.</w:t>
            </w:r>
          </w:p>
        </w:tc>
        <w:tc>
          <w:tcPr>
            <w:tcW w:w="3849" w:type="dxa"/>
            <w:shd w:val="clear" w:color="auto" w:fill="auto"/>
          </w:tcPr>
          <w:p w14:paraId="7E51390D" w14:textId="77777777" w:rsidR="00EC2BF1" w:rsidRPr="001D5294" w:rsidRDefault="00EC2BF1" w:rsidP="00EC2BF1">
            <w:pPr>
              <w:tabs>
                <w:tab w:val="left" w:pos="1276"/>
              </w:tabs>
              <w:spacing w:before="60" w:after="60"/>
              <w:jc w:val="both"/>
            </w:pPr>
            <w:r w:rsidRPr="001D5294">
              <w:lastRenderedPageBreak/>
              <w:t>2.13.</w:t>
            </w:r>
            <w:r w:rsidRPr="001D5294">
              <w:rPr>
                <w:vertAlign w:val="superscript"/>
              </w:rPr>
              <w:t>1</w:t>
            </w:r>
            <w:r w:rsidRPr="001D5294">
              <w:t xml:space="preserve"> pētniecības infrastruktūras amortizācijas periods – projekta ietvaros modernizēto aktīvu lietderīgās lietošanas laiks, kuru nosaka:</w:t>
            </w:r>
          </w:p>
          <w:p w14:paraId="0D06AE99" w14:textId="77777777" w:rsidR="00EC2BF1" w:rsidRPr="001D5294" w:rsidRDefault="00EC2BF1" w:rsidP="00EC2BF1">
            <w:pPr>
              <w:tabs>
                <w:tab w:val="left" w:pos="1276"/>
              </w:tabs>
              <w:spacing w:before="60" w:after="60"/>
              <w:jc w:val="both"/>
            </w:pPr>
            <w:r w:rsidRPr="001D5294">
              <w:t>2.13.</w:t>
            </w:r>
            <w:r w:rsidRPr="001D5294">
              <w:rPr>
                <w:vertAlign w:val="superscript"/>
              </w:rPr>
              <w:t>1</w:t>
            </w:r>
            <w:r w:rsidRPr="001D5294">
              <w:t xml:space="preserve"> 1. atbilstoši noteikumiem par grāmatvedības uzskaites kārtību budžeta iestādēs, ja projekta ietvaros veic šo noteikumu 30.2. apakšpunktā minēto materiālo aktīvu iegādi vai izveidi; </w:t>
            </w:r>
          </w:p>
          <w:p w14:paraId="322A131B" w14:textId="77777777" w:rsidR="0041691B" w:rsidRPr="001D5294" w:rsidRDefault="00EC2BF1" w:rsidP="00EC2BF1">
            <w:pPr>
              <w:tabs>
                <w:tab w:val="left" w:pos="1276"/>
              </w:tabs>
              <w:spacing w:before="60" w:after="60"/>
              <w:jc w:val="both"/>
            </w:pPr>
            <w:r w:rsidRPr="001D5294">
              <w:t>2.13.</w:t>
            </w:r>
            <w:r w:rsidRPr="001D5294">
              <w:rPr>
                <w:vertAlign w:val="superscript"/>
              </w:rPr>
              <w:t>1</w:t>
            </w:r>
            <w:r w:rsidRPr="001D5294">
              <w:t xml:space="preserve"> 2. ievērojot šo noteikumu 26.1. apakšpunktā noteikto projekta dzīves cikla periodu, ja projekta ietvaros veic </w:t>
            </w:r>
            <w:r w:rsidRPr="001D5294">
              <w:lastRenderedPageBreak/>
              <w:t>šo noteikumu 30.1. apakšpunktā minēto būvniecību;</w:t>
            </w:r>
          </w:p>
          <w:p w14:paraId="422BFB64" w14:textId="514ECDC9" w:rsidR="00EC2BF1" w:rsidRPr="001D5294" w:rsidRDefault="00EC2BF1" w:rsidP="00EC2BF1">
            <w:pPr>
              <w:tabs>
                <w:tab w:val="left" w:pos="1276"/>
              </w:tabs>
              <w:spacing w:before="60" w:after="60"/>
              <w:jc w:val="both"/>
            </w:pPr>
            <w:r w:rsidRPr="001D5294">
              <w:t>2.14.</w:t>
            </w:r>
            <w:r w:rsidRPr="001D5294">
              <w:rPr>
                <w:vertAlign w:val="superscript"/>
              </w:rPr>
              <w:t>1</w:t>
            </w:r>
            <w:r w:rsidRPr="001D5294">
              <w:t> projekta dzīves cikls – projekta ekonomiski derīgais laikposms, kas atbilst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 480/2014), 15. panta 2. punktā un I pielikumā noteiktajam projekta pārskata periodam;</w:t>
            </w:r>
          </w:p>
        </w:tc>
      </w:tr>
      <w:tr w:rsidR="00AD1E25" w:rsidRPr="001D5294" w14:paraId="10F8E72E" w14:textId="77777777" w:rsidTr="004C1D00">
        <w:trPr>
          <w:gridAfter w:val="1"/>
          <w:wAfter w:w="102" w:type="dxa"/>
          <w:trHeight w:val="274"/>
        </w:trPr>
        <w:tc>
          <w:tcPr>
            <w:tcW w:w="644" w:type="dxa"/>
            <w:shd w:val="clear" w:color="auto" w:fill="FFFFFF" w:themeFill="background1"/>
          </w:tcPr>
          <w:p w14:paraId="156FFC41" w14:textId="77777777" w:rsidR="00AD1E25" w:rsidRPr="001D5294" w:rsidRDefault="00AD1E25" w:rsidP="00AD1E25">
            <w:pPr>
              <w:numPr>
                <w:ilvl w:val="0"/>
                <w:numId w:val="31"/>
              </w:numPr>
              <w:tabs>
                <w:tab w:val="center" w:pos="284"/>
              </w:tabs>
              <w:spacing w:before="60" w:after="60"/>
              <w:ind w:left="0" w:firstLine="0"/>
            </w:pPr>
          </w:p>
        </w:tc>
        <w:tc>
          <w:tcPr>
            <w:tcW w:w="3039" w:type="dxa"/>
            <w:shd w:val="clear" w:color="auto" w:fill="auto"/>
          </w:tcPr>
          <w:p w14:paraId="61A7ACA1" w14:textId="77777777" w:rsidR="00AD1E25" w:rsidRPr="001D5294" w:rsidRDefault="00AD1E25" w:rsidP="00AD1E25">
            <w:pPr>
              <w:spacing w:before="60" w:after="60"/>
              <w:jc w:val="both"/>
            </w:pPr>
            <w:r w:rsidRPr="001D5294">
              <w:t>2.19.</w:t>
            </w:r>
            <w:r w:rsidRPr="001D5294">
              <w:rPr>
                <w:vertAlign w:val="superscript"/>
              </w:rPr>
              <w:t>1</w:t>
            </w:r>
            <w:r w:rsidRPr="001D5294">
              <w:t xml:space="preserve"> tirgus cena – cena par pakalpojuma sniegšanu, ievērojot tirgus nosacījumus. Ja tirgus cena nav noteikta, pētniecības organizācija vai pētniecības infrastruktūra sniedz savu pakalpojumu par tādu cenu, kas atbilst vismaz vienam no šādiem nosacījumiem:</w:t>
            </w:r>
          </w:p>
          <w:p w14:paraId="78968D8D" w14:textId="77777777" w:rsidR="00AD1E25" w:rsidRPr="001D5294" w:rsidRDefault="00AD1E25" w:rsidP="00AD1E25">
            <w:pPr>
              <w:spacing w:before="60" w:after="60"/>
              <w:jc w:val="both"/>
            </w:pPr>
            <w:r w:rsidRPr="001D5294">
              <w:t>2.19.</w:t>
            </w:r>
            <w:r w:rsidRPr="001D5294">
              <w:rPr>
                <w:vertAlign w:val="superscript"/>
              </w:rPr>
              <w:t>1</w:t>
            </w:r>
            <w:r w:rsidRPr="001D5294">
              <w:t xml:space="preserve"> 1. cena atspoguļo pakalpojuma izmaksas, neietverot to nolietojuma izmaksu daļu, kas tiek segta no publiskā finansējuma, un iekļauj uzcenojumu, kas noteikts, pamatojoties uz tādiem uzcenojumiem, ko piemēro uzņēmumi, kuri darbojas attiecīgā pakalpojuma nozarē;</w:t>
            </w:r>
          </w:p>
          <w:p w14:paraId="042D0D47" w14:textId="42C15E19" w:rsidR="00AD1E25" w:rsidRPr="001D5294" w:rsidRDefault="00AD1E25" w:rsidP="00AD1E25">
            <w:pPr>
              <w:spacing w:before="60" w:after="60"/>
              <w:jc w:val="both"/>
            </w:pPr>
            <w:r w:rsidRPr="001D5294">
              <w:t>2.19.</w:t>
            </w:r>
            <w:r w:rsidRPr="001D5294">
              <w:rPr>
                <w:vertAlign w:val="superscript"/>
              </w:rPr>
              <w:t>1</w:t>
            </w:r>
            <w:r w:rsidRPr="001D5294">
              <w:t xml:space="preserve"> 2. cena ir godīgas konkurences sarunu rezultāts, ko pētniecības organizācija vai pētniecības infrastruktūra risina kā pakalpojuma </w:t>
            </w:r>
            <w:r w:rsidRPr="001D5294">
              <w:lastRenderedPageBreak/>
              <w:t xml:space="preserve">sniedzēja, lai iegūtu maksimālo saimniecisko labumu brīdī, kad tiek noslēgts līgums, un tā sedz vismaz </w:t>
            </w:r>
            <w:proofErr w:type="spellStart"/>
            <w:r w:rsidRPr="001D5294">
              <w:t>robežizmaksas</w:t>
            </w:r>
            <w:proofErr w:type="spellEnd"/>
            <w:r w:rsidRPr="001D5294">
              <w:t>;</w:t>
            </w:r>
          </w:p>
        </w:tc>
        <w:tc>
          <w:tcPr>
            <w:tcW w:w="3547" w:type="dxa"/>
            <w:shd w:val="clear" w:color="auto" w:fill="auto"/>
          </w:tcPr>
          <w:p w14:paraId="58423C38" w14:textId="1BA44C40" w:rsidR="00AD1E25" w:rsidRPr="001D5294" w:rsidRDefault="00AD1E25" w:rsidP="00AD1E25">
            <w:pPr>
              <w:spacing w:before="60" w:after="60"/>
              <w:contextualSpacing/>
              <w:jc w:val="both"/>
              <w:rPr>
                <w:b/>
              </w:rPr>
            </w:pPr>
            <w:r w:rsidRPr="001D5294">
              <w:rPr>
                <w:b/>
              </w:rPr>
              <w:lastRenderedPageBreak/>
              <w:t>FM 07.08.</w:t>
            </w:r>
            <w:r w:rsidR="00737CC6" w:rsidRPr="001D5294">
              <w:rPr>
                <w:b/>
              </w:rPr>
              <w:t>2</w:t>
            </w:r>
            <w:r w:rsidRPr="001D5294">
              <w:rPr>
                <w:b/>
              </w:rPr>
              <w:t>020. iebildums:</w:t>
            </w:r>
          </w:p>
          <w:p w14:paraId="4F631118" w14:textId="1335B593" w:rsidR="00AD1E25" w:rsidRPr="001D5294" w:rsidRDefault="00AD1E25" w:rsidP="00AD1E25">
            <w:pPr>
              <w:spacing w:before="60" w:after="60"/>
              <w:contextualSpacing/>
              <w:jc w:val="both"/>
            </w:pPr>
            <w:r w:rsidRPr="001D5294">
              <w:t>1.</w:t>
            </w:r>
            <w:r w:rsidRPr="001D5294">
              <w:tab/>
              <w:t xml:space="preserve">Ievērojot anotācijas I. sadaļas “Tiesību akta projekta izstrādes nepieciešamība” 2.punktā “Pašreizējā situācija un problēmas, kuru risināšanai tiesību akta projekts izstrādāts, tiesiskā regulējuma mērķis un būtība” (turpmāk – anotācijas I. sadaļa) sniegto skaidrojumu, ka MK noteikumu projekts papildināts ar 4.punktu, kurā izteikts 2.19. </w:t>
            </w:r>
            <w:r w:rsidRPr="001D5294">
              <w:rPr>
                <w:vertAlign w:val="superscript"/>
              </w:rPr>
              <w:t>1</w:t>
            </w:r>
            <w:r w:rsidRPr="001D5294">
              <w:t xml:space="preserve"> apakšpunkts, kas paredz nosacījumus tirgus cenai līdzvērtīgas cenas noteikšanai gadījumiem, kad pakalpojums ir unikāls un tirgus cena nav nosakāma, lai nodrošinātu tiesību normas nepārprotamu izpratni, aicinām atbilstoši precizēt arī MK noteikumu projekta  4.punktu, norādot, ka 2.19. </w:t>
            </w:r>
            <w:r w:rsidRPr="001D5294">
              <w:rPr>
                <w:vertAlign w:val="superscript"/>
              </w:rPr>
              <w:t>1</w:t>
            </w:r>
            <w:r w:rsidRPr="001D5294">
              <w:t xml:space="preserve"> apakšpunktā minētajos gadījumos tiek nodrošināta pakalpojuma sniegšana par tirgus cenai līdzvērtīgu cenu. Vienlaikus, ievērojot to, ka  2.19. </w:t>
            </w:r>
            <w:r w:rsidRPr="001D5294">
              <w:rPr>
                <w:vertAlign w:val="superscript"/>
              </w:rPr>
              <w:t>1</w:t>
            </w:r>
            <w:r w:rsidRPr="001D5294">
              <w:t xml:space="preserve"> </w:t>
            </w:r>
            <w:r w:rsidRPr="001D5294">
              <w:lastRenderedPageBreak/>
              <w:t xml:space="preserve">apakšpunktā ietvertie nosacījumi </w:t>
            </w:r>
            <w:proofErr w:type="spellStart"/>
            <w:r w:rsidRPr="001D5294">
              <w:t>pirmšķietami</w:t>
            </w:r>
            <w:proofErr w:type="spellEnd"/>
            <w:r w:rsidRPr="001D5294">
              <w:t xml:space="preserve"> ir pārņemti no Eiropas Komisijas paziņojuma Nostādnes par valsts atbalstu pētniecībai, izstrādei un inovācijai (2014/C 198/01) (turpmāk – Pamatnostādnes) 25.punkta,  aicinām anotācijas I. sadaļā skaidrot, kā 2.19. </w:t>
            </w:r>
            <w:r w:rsidRPr="001D5294">
              <w:rPr>
                <w:vertAlign w:val="superscript"/>
              </w:rPr>
              <w:t>1</w:t>
            </w:r>
            <w:r w:rsidRPr="001D5294">
              <w:t xml:space="preserve">1. apakšpunktā ietvertā atruna “neietverot to nolietojuma izmaksu daļu, kas tiek segta no publiskā finansējuma” atbilst Pamatnostādņu 25.punkta b)apakšpunktā noteiktajam: “ja nepastāv tirgus cena, pētniecības organizācija vai pētniecības infrastruktūra sniedz savus pētījumu pakalpojumus vai </w:t>
            </w:r>
            <w:proofErr w:type="spellStart"/>
            <w:r w:rsidRPr="001D5294">
              <w:t>līgumpētījumus</w:t>
            </w:r>
            <w:proofErr w:type="spellEnd"/>
            <w:r w:rsidRPr="001D5294">
              <w:t xml:space="preserve"> par tādu cenu, kas atspoguļo pakalpojuma pilnas izmaksas un parasti iekļauj uzcenojumu, kas noteikts, atsaucoties uz tiem uzcenojumiem, kurus parasti piemēro uzņēmumi, kuri darbojas attiecīgā pakalpojuma nozarē.”</w:t>
            </w:r>
          </w:p>
        </w:tc>
        <w:tc>
          <w:tcPr>
            <w:tcW w:w="3685" w:type="dxa"/>
            <w:shd w:val="clear" w:color="auto" w:fill="auto"/>
          </w:tcPr>
          <w:p w14:paraId="5AB15427" w14:textId="77777777" w:rsidR="00A673F1" w:rsidRPr="001D5294" w:rsidRDefault="00A673F1" w:rsidP="00A673F1">
            <w:pPr>
              <w:spacing w:before="60" w:after="60"/>
              <w:jc w:val="both"/>
              <w:rPr>
                <w:b/>
              </w:rPr>
            </w:pPr>
            <w:r w:rsidRPr="001D5294">
              <w:rPr>
                <w:b/>
              </w:rPr>
              <w:lastRenderedPageBreak/>
              <w:t>Ņemts vērā.</w:t>
            </w:r>
          </w:p>
          <w:p w14:paraId="50767DF0" w14:textId="77777777" w:rsidR="00AD1E25" w:rsidRPr="001D5294" w:rsidRDefault="00A673F1" w:rsidP="00AD1E25">
            <w:pPr>
              <w:spacing w:before="60" w:after="60"/>
              <w:jc w:val="both"/>
            </w:pPr>
            <w:r w:rsidRPr="001D5294">
              <w:t>Precizēts noteikumu projekta 2.19.</w:t>
            </w:r>
            <w:r w:rsidRPr="001D5294">
              <w:rPr>
                <w:vertAlign w:val="superscript"/>
              </w:rPr>
              <w:t xml:space="preserve">1 </w:t>
            </w:r>
            <w:r w:rsidRPr="001D5294">
              <w:t>apakšpunkts.</w:t>
            </w:r>
          </w:p>
          <w:p w14:paraId="4F5A9492" w14:textId="721D5FAC" w:rsidR="00A673F1" w:rsidRPr="001D5294" w:rsidRDefault="00A673F1" w:rsidP="009B0FBF">
            <w:pPr>
              <w:spacing w:before="60" w:after="60"/>
              <w:jc w:val="both"/>
              <w:rPr>
                <w:i/>
              </w:rPr>
            </w:pPr>
            <w:r w:rsidRPr="001D5294">
              <w:t xml:space="preserve">Papildus skaidrojam, ka noteikumu projekta kontekstā </w:t>
            </w:r>
            <w:r w:rsidR="0083103B" w:rsidRPr="001D5294">
              <w:t>2.19.</w:t>
            </w:r>
            <w:r w:rsidR="0083103B" w:rsidRPr="001D5294">
              <w:rPr>
                <w:vertAlign w:val="superscript"/>
              </w:rPr>
              <w:t xml:space="preserve">1 </w:t>
            </w:r>
            <w:r w:rsidR="0083103B" w:rsidRPr="001D5294">
              <w:t xml:space="preserve">apakšpunkta </w:t>
            </w:r>
            <w:r w:rsidRPr="001D5294">
              <w:t xml:space="preserve">termins „tirgus cena” </w:t>
            </w:r>
            <w:r w:rsidR="007E5A30" w:rsidRPr="001D5294">
              <w:t>skaidro</w:t>
            </w:r>
            <w:r w:rsidRPr="001D5294">
              <w:t xml:space="preserve"> norēķinu kārtību gadījumā, ja pētniecības organizācija nodrošina piekļuvi modernizētai pētniecības infrastruktūrai (infrastruktūras nomas pakalpojums)</w:t>
            </w:r>
            <w:r w:rsidR="007E5A30" w:rsidRPr="001D5294">
              <w:t>. Piekļuvi modernizētai pētniecības infrastruktūrai nodrošina,</w:t>
            </w:r>
            <w:r w:rsidRPr="001D5294">
              <w:t xml:space="preserve"> lai </w:t>
            </w:r>
            <w:r w:rsidR="009B0FBF" w:rsidRPr="001D5294">
              <w:t>racionāli izmantotu 1.1.1.4. pasākuma ietvaros modernizēto infrastruktūru</w:t>
            </w:r>
            <w:r w:rsidR="0083103B" w:rsidRPr="001D5294">
              <w:t xml:space="preserve">, paredzot, ka atbilstoši EK Regulas Nr. 651/2014. preambulas 48. punktā noteiktajam </w:t>
            </w:r>
            <w:r w:rsidR="009B0FBF" w:rsidRPr="001D5294">
              <w:t xml:space="preserve">„(…) </w:t>
            </w:r>
            <w:r w:rsidR="009B0FBF" w:rsidRPr="001D5294">
              <w:rPr>
                <w:i/>
              </w:rPr>
              <w:t xml:space="preserve">konkrētas pētniecības infrastruktūras īpašumtiesības, pārvaldības un izmantošanas tiesības var būt vairākām personām, un valsts struktūras un uzņēmumi var attiecīgo infrastruktūru izmantot kopīgi”. </w:t>
            </w:r>
          </w:p>
          <w:p w14:paraId="0E4A0724" w14:textId="77777777" w:rsidR="0048183A" w:rsidRPr="001D5294" w:rsidRDefault="0048183A" w:rsidP="0048183A">
            <w:pPr>
              <w:spacing w:before="60" w:after="60"/>
              <w:jc w:val="both"/>
            </w:pPr>
            <w:r w:rsidRPr="001D5294">
              <w:lastRenderedPageBreak/>
              <w:t>Noteikumu projekts nodala pakalpojumus, ko sniedz subjektiem, kas:</w:t>
            </w:r>
          </w:p>
          <w:p w14:paraId="49009D1C" w14:textId="77777777" w:rsidR="0048183A" w:rsidRPr="001D5294" w:rsidRDefault="0048183A" w:rsidP="0048183A">
            <w:pPr>
              <w:spacing w:before="60" w:after="60"/>
              <w:jc w:val="both"/>
            </w:pPr>
            <w:r w:rsidRPr="001D5294">
              <w:t xml:space="preserve">a) pētniecības infrastruktūru izmanto ar saimniecisku darbību nesaistītas pamatdarbības veikšanai (noteikumu projekta 21.1 1.apakšpunkts). Minētajā gadījumā noteikumu projektā ietvertā norma atbilst  Ministru kabineta 2018. gada 20. februāra noteikumu Nr. 97 „Publiskas personas mantas iznomāšanas noteikumi” (turpmāk – MK noteikumi Nr. 97) 3. nodaļā  noteiktajam;  </w:t>
            </w:r>
          </w:p>
          <w:p w14:paraId="26939751" w14:textId="5819138C" w:rsidR="009B0FBF" w:rsidRPr="001D5294" w:rsidRDefault="0048183A" w:rsidP="008B7E4C">
            <w:pPr>
              <w:spacing w:before="60" w:after="60"/>
              <w:jc w:val="both"/>
            </w:pPr>
            <w:r w:rsidRPr="001D5294">
              <w:t>b) pētniecības infrastruktūru izmanto ar saimniecisku darbību saistītas pamatdarbības veikšanai (noteikumu projekta 21.1 2.apakšpunkts). Minētajā gadījumā uz pakalpojumu sniedzēju attiecas nosacījums par pakalpojumu sniegšanu atbilstoši tirgus cenai, ievērojot Pamatnostādņu 25. punktā un MK noteiku</w:t>
            </w:r>
            <w:r w:rsidR="008E3F53" w:rsidRPr="001D5294">
              <w:t xml:space="preserve">mi Nr. 97 4. nodaļā  noteikto. </w:t>
            </w:r>
            <w:r w:rsidR="007E5A30" w:rsidRPr="001D5294">
              <w:t xml:space="preserve"> </w:t>
            </w:r>
          </w:p>
        </w:tc>
        <w:tc>
          <w:tcPr>
            <w:tcW w:w="3849" w:type="dxa"/>
            <w:shd w:val="clear" w:color="auto" w:fill="auto"/>
          </w:tcPr>
          <w:p w14:paraId="20E579FB" w14:textId="77777777" w:rsidR="00A25897" w:rsidRPr="001D5294" w:rsidRDefault="00A25897" w:rsidP="00A25897">
            <w:pPr>
              <w:spacing w:before="60" w:after="60"/>
              <w:jc w:val="both"/>
            </w:pPr>
            <w:r w:rsidRPr="001D5294">
              <w:lastRenderedPageBreak/>
              <w:t>2.19.</w:t>
            </w:r>
            <w:r w:rsidRPr="001D5294">
              <w:rPr>
                <w:vertAlign w:val="superscript"/>
              </w:rPr>
              <w:t>1</w:t>
            </w:r>
            <w:r w:rsidRPr="001D5294">
              <w:t xml:space="preserve"> tirgus cena – cena par pakalpojuma sniegšanu, ievērojot tirgus nosacījumus. Kompensācija par pakalpojuma sniegšanu ir uzskatāma par līdzvērtīgu tirgus cenai, ja ir izpildīts viens no šādiem nosacījumiem:</w:t>
            </w:r>
          </w:p>
          <w:p w14:paraId="1E8554CC" w14:textId="77777777" w:rsidR="00A25897" w:rsidRPr="001D5294" w:rsidRDefault="00A25897" w:rsidP="00A25897">
            <w:pPr>
              <w:spacing w:before="60" w:after="60"/>
              <w:jc w:val="both"/>
            </w:pPr>
            <w:r w:rsidRPr="001D5294">
              <w:t>2.19.</w:t>
            </w:r>
            <w:r w:rsidRPr="001D5294">
              <w:rPr>
                <w:vertAlign w:val="superscript"/>
              </w:rPr>
              <w:t>1 </w:t>
            </w:r>
            <w:r w:rsidRPr="001D5294">
              <w:t>1. cenā iekļauj pilnas pakalpojuma izmaksas un uzcenojumu, kas noteikts, pamatojoties uz tādiem uzcenojumiem, ko piemēro saimnieciskās darbības veicēji, kuri darbojas attiecīgā pakalpojuma nozarē;</w:t>
            </w:r>
          </w:p>
          <w:p w14:paraId="0720D0DA" w14:textId="7C12DBF0" w:rsidR="00AD1E25" w:rsidRPr="001D5294" w:rsidRDefault="00A25897" w:rsidP="00A25897">
            <w:pPr>
              <w:spacing w:before="60" w:after="60"/>
              <w:jc w:val="both"/>
            </w:pPr>
            <w:r w:rsidRPr="001D5294">
              <w:t>2.19.</w:t>
            </w:r>
            <w:r w:rsidRPr="001D5294">
              <w:rPr>
                <w:vertAlign w:val="superscript"/>
              </w:rPr>
              <w:t>1</w:t>
            </w:r>
            <w:r w:rsidRPr="001D5294">
              <w:t xml:space="preserve"> 2. cena ir godīgas konkurences sarunu rezultāts, ko pētniecības organizācija vai pētniecības infrastruktūra risina kā pakalpojuma sniedzēja, lai iegūtu maksimālo saimniecisko labumu brīdī, kad tiek noslēgts līgums, un tā sedz vismaz </w:t>
            </w:r>
            <w:proofErr w:type="spellStart"/>
            <w:r w:rsidRPr="001D5294">
              <w:t>robežizmaksas</w:t>
            </w:r>
            <w:proofErr w:type="spellEnd"/>
            <w:r w:rsidRPr="001D5294">
              <w:t>;</w:t>
            </w:r>
          </w:p>
        </w:tc>
      </w:tr>
      <w:tr w:rsidR="004C1D00" w:rsidRPr="001D5294" w14:paraId="21081547" w14:textId="77777777" w:rsidTr="004C1D00">
        <w:trPr>
          <w:gridAfter w:val="1"/>
          <w:wAfter w:w="102" w:type="dxa"/>
          <w:trHeight w:val="274"/>
        </w:trPr>
        <w:tc>
          <w:tcPr>
            <w:tcW w:w="644" w:type="dxa"/>
            <w:shd w:val="clear" w:color="auto" w:fill="FFFFFF" w:themeFill="background1"/>
          </w:tcPr>
          <w:p w14:paraId="29831EE4" w14:textId="77777777" w:rsidR="004C1D00" w:rsidRPr="001D5294" w:rsidRDefault="004C1D00" w:rsidP="00C4242D">
            <w:pPr>
              <w:numPr>
                <w:ilvl w:val="0"/>
                <w:numId w:val="31"/>
              </w:numPr>
              <w:tabs>
                <w:tab w:val="center" w:pos="284"/>
              </w:tabs>
              <w:spacing w:before="60" w:after="60"/>
              <w:ind w:left="0" w:firstLine="0"/>
            </w:pPr>
          </w:p>
        </w:tc>
        <w:tc>
          <w:tcPr>
            <w:tcW w:w="3039" w:type="dxa"/>
            <w:vMerge w:val="restart"/>
            <w:shd w:val="clear" w:color="auto" w:fill="auto"/>
          </w:tcPr>
          <w:p w14:paraId="2644CBCC" w14:textId="38A202F5" w:rsidR="004C1D00" w:rsidRPr="001D5294" w:rsidRDefault="004C1D00" w:rsidP="003523AF">
            <w:pPr>
              <w:pStyle w:val="tv2132"/>
              <w:spacing w:line="240" w:lineRule="auto"/>
              <w:ind w:firstLine="0"/>
              <w:rPr>
                <w:color w:val="000000"/>
                <w:sz w:val="24"/>
                <w:szCs w:val="24"/>
                <w:lang w:val="lv-LV" w:eastAsia="lv-LV"/>
              </w:rPr>
            </w:pPr>
            <w:r w:rsidRPr="001D5294">
              <w:rPr>
                <w:color w:val="000000"/>
                <w:sz w:val="24"/>
                <w:szCs w:val="24"/>
                <w:lang w:val="lv-LV" w:eastAsia="lv-LV"/>
              </w:rPr>
              <w:t>6.1.1. – līdz 2023. gada 31. decembrim to pētnieku skaits, kuri strādā uzlabotos pētniecības infrastruktūras objektos, – 2 163;</w:t>
            </w:r>
          </w:p>
        </w:tc>
        <w:tc>
          <w:tcPr>
            <w:tcW w:w="3547" w:type="dxa"/>
            <w:shd w:val="clear" w:color="auto" w:fill="auto"/>
          </w:tcPr>
          <w:p w14:paraId="3BF669CE" w14:textId="77777777" w:rsidR="004C1D00" w:rsidRPr="001D5294" w:rsidRDefault="004C1D00" w:rsidP="00C4242D">
            <w:pPr>
              <w:spacing w:before="60" w:after="60"/>
              <w:contextualSpacing/>
              <w:jc w:val="both"/>
              <w:rPr>
                <w:b/>
              </w:rPr>
            </w:pPr>
            <w:r w:rsidRPr="001D5294">
              <w:rPr>
                <w:b/>
              </w:rPr>
              <w:t>FM 17.09.2020. atzinumā izteiktais priekšlikums:</w:t>
            </w:r>
          </w:p>
          <w:p w14:paraId="384B2913" w14:textId="4DB7EEA2" w:rsidR="004C1D00" w:rsidRPr="001D5294" w:rsidRDefault="004C1D00" w:rsidP="00C4242D">
            <w:pPr>
              <w:spacing w:before="60" w:after="60"/>
              <w:contextualSpacing/>
              <w:jc w:val="both"/>
            </w:pPr>
            <w:r w:rsidRPr="001D5294">
              <w:t xml:space="preserve">Ņemot vērā, ka MK noteikumu Nr. 562 6.1.1. punktā noteiktā projektu iznākumu rādītāju mērvienība (zinātnieku skaits) neatbilst darbības programmā un rādītāju </w:t>
            </w:r>
            <w:r w:rsidRPr="001D5294">
              <w:lastRenderedPageBreak/>
              <w:t>pasēs minētajai rādītāja i.1.1.1.ak (CO25) (Jauno pētnieku skaits atbalstītajās vienībās) uzskaites mērvienībai (</w:t>
            </w:r>
            <w:proofErr w:type="spellStart"/>
            <w:r w:rsidRPr="001D5294">
              <w:t>pilnslodzes</w:t>
            </w:r>
            <w:proofErr w:type="spellEnd"/>
            <w:r w:rsidRPr="001D5294">
              <w:t xml:space="preserve"> ekvivalents), lūdzam precizēt noteikumu 6.1.1. punktu.</w:t>
            </w:r>
          </w:p>
        </w:tc>
        <w:tc>
          <w:tcPr>
            <w:tcW w:w="3685" w:type="dxa"/>
            <w:vMerge w:val="restart"/>
            <w:shd w:val="clear" w:color="auto" w:fill="auto"/>
          </w:tcPr>
          <w:p w14:paraId="289985A3" w14:textId="77777777" w:rsidR="004C1D00" w:rsidRPr="001D5294" w:rsidRDefault="004C1D00" w:rsidP="00744F42">
            <w:pPr>
              <w:spacing w:before="60" w:after="60"/>
              <w:jc w:val="both"/>
              <w:rPr>
                <w:b/>
              </w:rPr>
            </w:pPr>
            <w:r w:rsidRPr="001D5294">
              <w:rPr>
                <w:b/>
              </w:rPr>
              <w:lastRenderedPageBreak/>
              <w:t>Ņemts vērā.</w:t>
            </w:r>
          </w:p>
          <w:p w14:paraId="651D7CE5" w14:textId="77777777" w:rsidR="004C1D00" w:rsidRPr="001D5294" w:rsidRDefault="004C1D00" w:rsidP="00744F42">
            <w:pPr>
              <w:spacing w:before="60" w:after="60"/>
              <w:jc w:val="both"/>
            </w:pPr>
            <w:r w:rsidRPr="001D5294">
              <w:t xml:space="preserve">Precizēta noteikumu projekta 6.1.1. apakšpunkts, lai tas atbilstu darbības programmā un rādītāju pasē minētā rādītāja i.1.1.1.ak (CO25) (Jauno pētnieku skaists atbalstītajās </w:t>
            </w:r>
            <w:r w:rsidRPr="001D5294">
              <w:lastRenderedPageBreak/>
              <w:t>vienības) uzskaites mērvienībai (</w:t>
            </w:r>
            <w:proofErr w:type="spellStart"/>
            <w:r w:rsidRPr="001D5294">
              <w:t>pilnslodzes</w:t>
            </w:r>
            <w:proofErr w:type="spellEnd"/>
            <w:r w:rsidRPr="001D5294">
              <w:t xml:space="preserve"> ekvivalents), kā arī noteikumu projekts paredz papildināt  MK noteikumus Nr. 562 ar jaunu specifisko iznākumu rādītāju 6.5. apakšpunktā uzskaitot  pētniekus skaitliskā izteiksmē, kuri strādā uzlabotos pētniecības infrastruktūras objektos.</w:t>
            </w:r>
          </w:p>
          <w:p w14:paraId="73EF1403" w14:textId="6ED4B4B2" w:rsidR="004C1D00" w:rsidRPr="001D5294" w:rsidRDefault="004C1D00" w:rsidP="00744F42">
            <w:pPr>
              <w:spacing w:before="60" w:after="60"/>
              <w:jc w:val="both"/>
            </w:pPr>
            <w:r w:rsidRPr="001D5294">
              <w:t xml:space="preserve">Ministrija ir gatava izvērtēt un nepieciešamības gadījumā veikt grozījumus darbības programmā, kā arī sagatavos grozījumus rādītāju pasē, atbilstoši MK noteikumos </w:t>
            </w:r>
            <w:r w:rsidR="001D5294" w:rsidRPr="001D5294">
              <w:t xml:space="preserve">Nr. 562 </w:t>
            </w:r>
            <w:r w:rsidRPr="001D5294">
              <w:t>noteiktajai iznākumu rādītāju vērtībai, tajā pašā laikā lūdzam, nekavēt noteikumu projekta tālāku virzību izskatīšanai Ministru kabinetā, jo grozījumi 1.1.1.SAM rādītāju pasē paredzēti arī citu pasākumu (1.1.1.2. un 1.1.1.3.) ietvaros. Plānojam precizēto radītāju pasi iesniegt Finanšu ministrij</w:t>
            </w:r>
            <w:r w:rsidR="001D5294" w:rsidRPr="001D5294">
              <w:t>ā</w:t>
            </w:r>
            <w:r w:rsidRPr="001D5294">
              <w:t xml:space="preserve"> pēc 1.1.1.3.pasākuma MK noteikumu </w:t>
            </w:r>
            <w:r w:rsidR="001D5294" w:rsidRPr="001D5294">
              <w:t xml:space="preserve">Nr. 41 </w:t>
            </w:r>
            <w:r w:rsidRPr="001D5294">
              <w:t xml:space="preserve">grozījumu apstiprināšanas Ministru kabinetā, lai rādītāju pasē iekļautu visus iznākuma rādītāju grozījumus </w:t>
            </w:r>
            <w:r w:rsidR="001D5294" w:rsidRPr="001D5294">
              <w:t>atbilstoši visos saistošajos MK noteikumos noteiktajām iznākuma rādītāju vērtībām. Indikatīvais precizētās rādītāju pases iesniegšanas termiņš – š.g. oktobra vidus.</w:t>
            </w:r>
          </w:p>
          <w:p w14:paraId="12289BCB" w14:textId="1516C455" w:rsidR="004C1D00" w:rsidRPr="001D5294" w:rsidRDefault="004C1D00" w:rsidP="00744F42">
            <w:pPr>
              <w:spacing w:before="60" w:after="60"/>
              <w:jc w:val="both"/>
            </w:pPr>
          </w:p>
          <w:p w14:paraId="3673A12F" w14:textId="36B8A84E" w:rsidR="004C1D00" w:rsidRPr="001D5294" w:rsidRDefault="004C1D00" w:rsidP="00744F42">
            <w:pPr>
              <w:spacing w:before="60" w:after="60"/>
              <w:jc w:val="both"/>
            </w:pPr>
          </w:p>
        </w:tc>
        <w:tc>
          <w:tcPr>
            <w:tcW w:w="3849" w:type="dxa"/>
            <w:vMerge w:val="restart"/>
            <w:shd w:val="clear" w:color="auto" w:fill="auto"/>
          </w:tcPr>
          <w:p w14:paraId="00967E12" w14:textId="1FEEB01E" w:rsidR="004C1D00" w:rsidRPr="001D5294" w:rsidRDefault="004C1D00" w:rsidP="004C1D00">
            <w:pPr>
              <w:pStyle w:val="tv2132"/>
              <w:spacing w:line="240" w:lineRule="auto"/>
              <w:ind w:firstLine="0"/>
              <w:rPr>
                <w:color w:val="000000"/>
                <w:sz w:val="24"/>
                <w:szCs w:val="24"/>
                <w:lang w:val="lv-LV" w:eastAsia="lv-LV"/>
              </w:rPr>
            </w:pPr>
            <w:r w:rsidRPr="001D5294">
              <w:rPr>
                <w:color w:val="000000"/>
                <w:sz w:val="24"/>
                <w:szCs w:val="24"/>
                <w:lang w:val="lv-LV" w:eastAsia="lv-LV"/>
              </w:rPr>
              <w:lastRenderedPageBreak/>
              <w:t>6.1.1. - līdz 2023. gada 31. decembrim to pētnieku skaits pilna laika ekvivalenta izteiksmē, kuri strādā uzlabotos pētniecības infrastruktūras objektos, – 2 031;</w:t>
            </w:r>
          </w:p>
          <w:p w14:paraId="286F1C5B" w14:textId="49034028" w:rsidR="004C1D00" w:rsidRPr="001D5294" w:rsidRDefault="001D5294" w:rsidP="004C1D00">
            <w:pPr>
              <w:pStyle w:val="tv2132"/>
              <w:spacing w:line="240" w:lineRule="auto"/>
              <w:ind w:firstLine="0"/>
              <w:rPr>
                <w:color w:val="000000"/>
                <w:sz w:val="24"/>
                <w:szCs w:val="24"/>
                <w:lang w:val="lv-LV" w:eastAsia="lv-LV"/>
              </w:rPr>
            </w:pPr>
            <w:r w:rsidRPr="001D5294">
              <w:rPr>
                <w:color w:val="000000"/>
                <w:sz w:val="24"/>
                <w:szCs w:val="24"/>
                <w:lang w:val="lv-LV" w:eastAsia="lv-LV"/>
              </w:rPr>
              <w:t>(…)</w:t>
            </w:r>
          </w:p>
          <w:p w14:paraId="0CFB5567" w14:textId="2CA46DB3" w:rsidR="004C1D00" w:rsidRPr="001D5294" w:rsidRDefault="004C1D00" w:rsidP="004C1D00">
            <w:pPr>
              <w:pStyle w:val="tv2132"/>
              <w:spacing w:line="240" w:lineRule="auto"/>
              <w:ind w:firstLine="0"/>
              <w:rPr>
                <w:color w:val="000000"/>
                <w:sz w:val="24"/>
                <w:szCs w:val="24"/>
                <w:lang w:val="lv-LV" w:eastAsia="lv-LV"/>
              </w:rPr>
            </w:pPr>
            <w:r w:rsidRPr="001D5294">
              <w:rPr>
                <w:color w:val="000000"/>
                <w:sz w:val="24"/>
                <w:szCs w:val="24"/>
                <w:lang w:val="lv-LV" w:eastAsia="lv-LV"/>
              </w:rPr>
              <w:lastRenderedPageBreak/>
              <w:t>6.5. specifiskais iznākuma rādītājs – līdz 2023. gada 31. decembrim to pētnieku skaits, kuri strādā uzlabotos pētniecības infrastruktūras objektos, – 2 163.</w:t>
            </w:r>
          </w:p>
        </w:tc>
      </w:tr>
      <w:tr w:rsidR="004C1D00" w:rsidRPr="001D5294" w14:paraId="34523AE6" w14:textId="77777777" w:rsidTr="004C1D00">
        <w:trPr>
          <w:gridAfter w:val="1"/>
          <w:wAfter w:w="102" w:type="dxa"/>
          <w:trHeight w:val="274"/>
        </w:trPr>
        <w:tc>
          <w:tcPr>
            <w:tcW w:w="644" w:type="dxa"/>
            <w:shd w:val="clear" w:color="auto" w:fill="FFFFFF" w:themeFill="background1"/>
          </w:tcPr>
          <w:p w14:paraId="18F31A22" w14:textId="3AED6D06" w:rsidR="004C1D00" w:rsidRPr="001D5294" w:rsidRDefault="004C1D00" w:rsidP="00C4242D">
            <w:pPr>
              <w:numPr>
                <w:ilvl w:val="0"/>
                <w:numId w:val="31"/>
              </w:numPr>
              <w:tabs>
                <w:tab w:val="center" w:pos="284"/>
              </w:tabs>
              <w:spacing w:before="60" w:after="60"/>
              <w:ind w:left="0" w:firstLine="0"/>
            </w:pPr>
          </w:p>
        </w:tc>
        <w:tc>
          <w:tcPr>
            <w:tcW w:w="3039" w:type="dxa"/>
            <w:vMerge/>
            <w:shd w:val="clear" w:color="auto" w:fill="auto"/>
          </w:tcPr>
          <w:p w14:paraId="413E5B80" w14:textId="77777777" w:rsidR="004C1D00" w:rsidRPr="001D5294" w:rsidRDefault="004C1D00" w:rsidP="003523AF">
            <w:pPr>
              <w:pStyle w:val="tv2132"/>
              <w:spacing w:line="240" w:lineRule="auto"/>
              <w:ind w:firstLine="0"/>
              <w:rPr>
                <w:color w:val="000000"/>
                <w:sz w:val="24"/>
                <w:szCs w:val="24"/>
                <w:lang w:val="lv-LV" w:eastAsia="lv-LV"/>
              </w:rPr>
            </w:pPr>
          </w:p>
        </w:tc>
        <w:tc>
          <w:tcPr>
            <w:tcW w:w="3547" w:type="dxa"/>
            <w:shd w:val="clear" w:color="auto" w:fill="auto"/>
          </w:tcPr>
          <w:p w14:paraId="19289139" w14:textId="77777777" w:rsidR="004C1D00" w:rsidRPr="001D5294" w:rsidRDefault="004C1D00" w:rsidP="00C4242D">
            <w:pPr>
              <w:spacing w:before="60" w:after="60"/>
              <w:contextualSpacing/>
              <w:jc w:val="both"/>
              <w:rPr>
                <w:b/>
              </w:rPr>
            </w:pPr>
            <w:r w:rsidRPr="001D5294">
              <w:rPr>
                <w:b/>
              </w:rPr>
              <w:t>FM 21.09.2020. atzinumā izteiktais iebildums:</w:t>
            </w:r>
          </w:p>
          <w:p w14:paraId="10490C7A" w14:textId="7785AB34" w:rsidR="004C1D00" w:rsidRPr="001D5294" w:rsidRDefault="004C1D00" w:rsidP="00C4242D">
            <w:pPr>
              <w:spacing w:before="60" w:after="60"/>
              <w:contextualSpacing/>
              <w:jc w:val="both"/>
              <w:rPr>
                <w:b/>
              </w:rPr>
            </w:pPr>
            <w:r w:rsidRPr="001D5294">
              <w:t xml:space="preserve">Lūdzam atkārtoti iesniegt saskaņošanai precizētu MK noteikumu “Grozījumi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projektu (turpmāk – MK noteikumu projekts), ietverot tajā papildus paredzēto iznākuma rādītāju, kā arī atbilstoši precizēt anotāciju. Vienlaikus ar precizēto MK noteikumu projektu lūdzam Finanšu ministrijā iesniegt arī priekšlikumu Darbības </w:t>
            </w:r>
            <w:r w:rsidRPr="001D5294">
              <w:lastRenderedPageBreak/>
              <w:t>programmas “Izaugsme un nodarbinātība” grozījumiem, kā arī precizētu rādītāju pasi.</w:t>
            </w:r>
          </w:p>
        </w:tc>
        <w:tc>
          <w:tcPr>
            <w:tcW w:w="3685" w:type="dxa"/>
            <w:vMerge/>
            <w:shd w:val="clear" w:color="auto" w:fill="auto"/>
          </w:tcPr>
          <w:p w14:paraId="5D706907" w14:textId="77777777" w:rsidR="004C1D00" w:rsidRPr="001D5294" w:rsidRDefault="004C1D00" w:rsidP="00AF5D3E">
            <w:pPr>
              <w:spacing w:before="60" w:after="60"/>
              <w:jc w:val="both"/>
              <w:rPr>
                <w:b/>
              </w:rPr>
            </w:pPr>
          </w:p>
        </w:tc>
        <w:tc>
          <w:tcPr>
            <w:tcW w:w="3849" w:type="dxa"/>
            <w:vMerge/>
            <w:shd w:val="clear" w:color="auto" w:fill="auto"/>
          </w:tcPr>
          <w:p w14:paraId="3C7A2109" w14:textId="77777777" w:rsidR="004C1D00" w:rsidRPr="001D5294" w:rsidRDefault="004C1D00" w:rsidP="008D418E">
            <w:pPr>
              <w:pStyle w:val="tv2132"/>
              <w:spacing w:line="240" w:lineRule="auto"/>
              <w:ind w:firstLine="0"/>
              <w:rPr>
                <w:color w:val="000000"/>
                <w:sz w:val="24"/>
                <w:szCs w:val="24"/>
                <w:lang w:val="lv-LV" w:eastAsia="lv-LV"/>
              </w:rPr>
            </w:pPr>
          </w:p>
        </w:tc>
      </w:tr>
      <w:tr w:rsidR="00737CC6" w:rsidRPr="001D5294" w14:paraId="76009689" w14:textId="77777777" w:rsidTr="004C1D00">
        <w:trPr>
          <w:gridAfter w:val="1"/>
          <w:wAfter w:w="102" w:type="dxa"/>
          <w:trHeight w:val="274"/>
        </w:trPr>
        <w:tc>
          <w:tcPr>
            <w:tcW w:w="644" w:type="dxa"/>
            <w:shd w:val="clear" w:color="auto" w:fill="FFFFFF" w:themeFill="background1"/>
          </w:tcPr>
          <w:p w14:paraId="7ADAAC86" w14:textId="7745D98D" w:rsidR="00737CC6" w:rsidRPr="001D5294" w:rsidRDefault="00737CC6" w:rsidP="00C4242D">
            <w:pPr>
              <w:numPr>
                <w:ilvl w:val="0"/>
                <w:numId w:val="31"/>
              </w:numPr>
              <w:tabs>
                <w:tab w:val="center" w:pos="284"/>
              </w:tabs>
              <w:spacing w:before="60" w:after="60"/>
              <w:ind w:left="0" w:firstLine="0"/>
            </w:pPr>
          </w:p>
        </w:tc>
        <w:tc>
          <w:tcPr>
            <w:tcW w:w="3039" w:type="dxa"/>
            <w:vMerge w:val="restart"/>
            <w:shd w:val="clear" w:color="auto" w:fill="auto"/>
          </w:tcPr>
          <w:p w14:paraId="1A9C3A5F" w14:textId="77777777" w:rsidR="006D30E8" w:rsidRPr="001D5294" w:rsidRDefault="006D30E8" w:rsidP="003523AF">
            <w:pPr>
              <w:pStyle w:val="tv2132"/>
              <w:spacing w:line="240" w:lineRule="auto"/>
              <w:ind w:firstLine="0"/>
              <w:rPr>
                <w:color w:val="000000"/>
                <w:sz w:val="24"/>
                <w:szCs w:val="24"/>
                <w:lang w:val="lv-LV" w:eastAsia="lv-LV"/>
              </w:rPr>
            </w:pPr>
            <w:r w:rsidRPr="001D5294">
              <w:rPr>
                <w:color w:val="000000"/>
                <w:sz w:val="24"/>
                <w:szCs w:val="24"/>
                <w:lang w:val="lv-LV" w:eastAsia="lv-LV"/>
              </w:rPr>
              <w:t>9. Pasākumam pieejamais kopējais attiecināmais publiskais finansējums:</w:t>
            </w:r>
          </w:p>
          <w:p w14:paraId="76780B80" w14:textId="77777777" w:rsidR="006D30E8" w:rsidRPr="001D5294" w:rsidRDefault="006D30E8" w:rsidP="003523AF">
            <w:pPr>
              <w:pStyle w:val="tv2132"/>
              <w:spacing w:line="240" w:lineRule="auto"/>
              <w:ind w:firstLine="0"/>
              <w:rPr>
                <w:color w:val="000000"/>
                <w:sz w:val="24"/>
                <w:szCs w:val="24"/>
                <w:lang w:val="lv-LV" w:eastAsia="lv-LV"/>
              </w:rPr>
            </w:pPr>
            <w:r w:rsidRPr="001D5294">
              <w:rPr>
                <w:color w:val="000000"/>
                <w:sz w:val="24"/>
                <w:szCs w:val="24"/>
                <w:lang w:val="lv-LV" w:eastAsia="lv-LV"/>
              </w:rPr>
              <w:t xml:space="preserve">9.1. šo noteikumu 16. punktā minētajos gadījumos ir ne vairāk kā 115 533 508 </w:t>
            </w:r>
            <w:proofErr w:type="spellStart"/>
            <w:r w:rsidRPr="001D5294">
              <w:rPr>
                <w:i/>
                <w:color w:val="000000"/>
                <w:sz w:val="24"/>
                <w:szCs w:val="24"/>
                <w:lang w:val="lv-LV" w:eastAsia="lv-LV"/>
              </w:rPr>
              <w:t>euro</w:t>
            </w:r>
            <w:proofErr w:type="spellEnd"/>
            <w:r w:rsidRPr="001D5294">
              <w:rPr>
                <w:color w:val="000000"/>
                <w:sz w:val="24"/>
                <w:szCs w:val="24"/>
                <w:lang w:val="lv-LV" w:eastAsia="lv-LV"/>
              </w:rPr>
              <w:t xml:space="preserve">, tai skaitā Eiropas Reģionālās attīstības fonda finansējums ne vairāk kā 98 203 482 </w:t>
            </w:r>
            <w:proofErr w:type="spellStart"/>
            <w:r w:rsidRPr="001D5294">
              <w:rPr>
                <w:i/>
                <w:color w:val="000000"/>
                <w:sz w:val="24"/>
                <w:szCs w:val="24"/>
                <w:lang w:val="lv-LV" w:eastAsia="lv-LV"/>
              </w:rPr>
              <w:t>euro</w:t>
            </w:r>
            <w:proofErr w:type="spellEnd"/>
            <w:r w:rsidRPr="001D5294">
              <w:rPr>
                <w:color w:val="000000"/>
                <w:sz w:val="24"/>
                <w:szCs w:val="24"/>
                <w:lang w:val="lv-LV" w:eastAsia="lv-LV"/>
              </w:rPr>
              <w:t xml:space="preserve"> un valsts budžeta līdzfinansējums ne vairāk kā 17 330 026 </w:t>
            </w:r>
            <w:proofErr w:type="spellStart"/>
            <w:r w:rsidRPr="001D5294">
              <w:rPr>
                <w:i/>
                <w:color w:val="000000"/>
                <w:sz w:val="24"/>
                <w:szCs w:val="24"/>
                <w:lang w:val="lv-LV" w:eastAsia="lv-LV"/>
              </w:rPr>
              <w:t>euro</w:t>
            </w:r>
            <w:proofErr w:type="spellEnd"/>
            <w:r w:rsidRPr="001D5294">
              <w:rPr>
                <w:color w:val="000000"/>
                <w:sz w:val="24"/>
                <w:szCs w:val="24"/>
                <w:lang w:val="lv-LV" w:eastAsia="lv-LV"/>
              </w:rPr>
              <w:t>;</w:t>
            </w:r>
          </w:p>
          <w:p w14:paraId="321980A0" w14:textId="765E2828" w:rsidR="00737CC6" w:rsidRPr="001D5294" w:rsidRDefault="006D30E8" w:rsidP="006D30E8">
            <w:pPr>
              <w:spacing w:before="60" w:after="60"/>
              <w:jc w:val="both"/>
            </w:pPr>
            <w:r w:rsidRPr="001D5294">
              <w:rPr>
                <w:color w:val="000000"/>
              </w:rPr>
              <w:t>9.2. šo noteikumu 18. un 18.</w:t>
            </w:r>
            <w:r w:rsidRPr="001D5294">
              <w:rPr>
                <w:color w:val="000000"/>
                <w:vertAlign w:val="superscript"/>
              </w:rPr>
              <w:t>1</w:t>
            </w:r>
            <w:r w:rsidRPr="001D5294">
              <w:rPr>
                <w:color w:val="000000"/>
              </w:rPr>
              <w:t xml:space="preserve"> punktā minētajos gadījumos ir ne vairāk kā 129 022 508 </w:t>
            </w:r>
            <w:proofErr w:type="spellStart"/>
            <w:r w:rsidRPr="001D5294">
              <w:rPr>
                <w:i/>
                <w:color w:val="000000"/>
              </w:rPr>
              <w:t>euro</w:t>
            </w:r>
            <w:proofErr w:type="spellEnd"/>
            <w:r w:rsidRPr="001D5294">
              <w:rPr>
                <w:color w:val="000000"/>
              </w:rPr>
              <w:t xml:space="preserve">, tai skaitā Eiropas Reģionālās attīstības fonda finansējums ne vairāk kā 111 692 482 </w:t>
            </w:r>
            <w:proofErr w:type="spellStart"/>
            <w:r w:rsidRPr="001D5294">
              <w:rPr>
                <w:i/>
                <w:color w:val="000000"/>
              </w:rPr>
              <w:t>euro</w:t>
            </w:r>
            <w:proofErr w:type="spellEnd"/>
            <w:r w:rsidRPr="001D5294">
              <w:rPr>
                <w:color w:val="000000"/>
              </w:rPr>
              <w:t xml:space="preserve"> un valsts budžeta līdzfinansējums ne vairāk kā 17 330 026 </w:t>
            </w:r>
            <w:proofErr w:type="spellStart"/>
            <w:r w:rsidRPr="001D5294">
              <w:rPr>
                <w:i/>
                <w:color w:val="000000"/>
              </w:rPr>
              <w:t>euro</w:t>
            </w:r>
            <w:proofErr w:type="spellEnd"/>
          </w:p>
        </w:tc>
        <w:tc>
          <w:tcPr>
            <w:tcW w:w="3547" w:type="dxa"/>
            <w:shd w:val="clear" w:color="auto" w:fill="auto"/>
          </w:tcPr>
          <w:p w14:paraId="0F9C0646" w14:textId="77777777" w:rsidR="00737CC6" w:rsidRPr="001D5294" w:rsidRDefault="00737CC6" w:rsidP="00C4242D">
            <w:pPr>
              <w:spacing w:before="60" w:after="60"/>
              <w:contextualSpacing/>
              <w:jc w:val="both"/>
              <w:rPr>
                <w:b/>
              </w:rPr>
            </w:pPr>
            <w:r w:rsidRPr="001D5294">
              <w:rPr>
                <w:b/>
              </w:rPr>
              <w:t>FM 07.08.2020. iebildums:</w:t>
            </w:r>
          </w:p>
          <w:p w14:paraId="17683BFD" w14:textId="3BF8CEBE" w:rsidR="00737CC6" w:rsidRPr="001D5294" w:rsidRDefault="00737CC6" w:rsidP="00C4242D">
            <w:pPr>
              <w:spacing w:before="60" w:after="60"/>
              <w:contextualSpacing/>
              <w:jc w:val="both"/>
              <w:rPr>
                <w:b/>
              </w:rPr>
            </w:pPr>
            <w:r w:rsidRPr="001D5294">
              <w:t>Lūdzam papildināt MK noteikumu projekta 6.punktu ar jaunu finansējuma avotu “privātais finansējums”, ņemot vērā to, ka MK noteikumi Nr.562 paredz privātā finansējuma nodrošināšanu, t.sk. ir jau zināms faktiski piesaistītais privātais finansējums. Skaidrojam, ka, ja MK noteikumu projekta 6. punkta redakcija paredz tikai Eiropas Reģionālās attīstības fonda (turpmāk – ERAF) un valsts budžeta līdzfinansējuma avotu, tad norādītais ERAF apmērs pārsniedz maksimālo ERAF līdzfinansējuma likmi (&gt;85%).</w:t>
            </w:r>
          </w:p>
        </w:tc>
        <w:tc>
          <w:tcPr>
            <w:tcW w:w="3685" w:type="dxa"/>
            <w:shd w:val="clear" w:color="auto" w:fill="auto"/>
          </w:tcPr>
          <w:p w14:paraId="0FB90C06" w14:textId="19049765" w:rsidR="00223516" w:rsidRPr="001D5294" w:rsidRDefault="00223516" w:rsidP="00232DD8">
            <w:pPr>
              <w:spacing w:before="60" w:after="60"/>
              <w:jc w:val="both"/>
              <w:rPr>
                <w:b/>
              </w:rPr>
            </w:pPr>
            <w:r w:rsidRPr="001D5294">
              <w:rPr>
                <w:b/>
              </w:rPr>
              <w:t>Ņemts vērā.</w:t>
            </w:r>
          </w:p>
          <w:p w14:paraId="42A9AB5A" w14:textId="58C3AAF8" w:rsidR="00737CC6" w:rsidRPr="001D5294" w:rsidRDefault="00737CC6" w:rsidP="00232DD8">
            <w:pPr>
              <w:spacing w:before="60" w:after="60"/>
              <w:jc w:val="both"/>
            </w:pPr>
            <w:r w:rsidRPr="001D5294">
              <w:rPr>
                <w:b/>
              </w:rPr>
              <w:t>IZM skaidrojums:</w:t>
            </w:r>
            <w:r w:rsidRPr="001D5294">
              <w:t xml:space="preserve"> MK noteikumu Nr.562 9.punktā ir noteikts pasākumam pieejamais kopējais attiecināmais publiskais finansējums. Papildus kopējam attiecināmajam publiskajam finansējumam, atbilstoši MK noteikumu Nr.562 46.1.apakšpunktam ar saimniecisku darbību nesaistītos projektos, jāparedz zinātniskās institūcijas un tā sadarbības partnera līdzfinansējums 5 procentu apmērā. Atbilstoši MK noteikumu Nr.562 51.punktam ar saimniecisko darbību saistītai kombinēta atbalsta projekta daļai finansējuma saņēmējs un sadarbības partneris nodrošina nepieciešamo līdzfinansējumu 50 procentu apmērā.</w:t>
            </w:r>
          </w:p>
          <w:p w14:paraId="14D225CA" w14:textId="3D9841D0" w:rsidR="00737CC6" w:rsidRPr="001D5294" w:rsidRDefault="00737CC6" w:rsidP="00C14704">
            <w:pPr>
              <w:spacing w:before="60" w:after="60"/>
              <w:jc w:val="both"/>
            </w:pPr>
            <w:r w:rsidRPr="001D5294">
              <w:t xml:space="preserve">Konkrēts zinātniskās institūcijas un tās sadarbības partnera privātais līdzfinansējuma apmērs 1.1.1.4. pasākuma ietvaros nav nosakāms, jo katra pētniecības organizācija var īstenot ar saimniecisku darbību nesaistītu projektu vai kombinēta atbalsta projektu, kura ietvaros privātais finansējums var variēt </w:t>
            </w:r>
            <w:r w:rsidRPr="001D5294">
              <w:lastRenderedPageBreak/>
              <w:t xml:space="preserve">robežās no pieciem līdz 50 procentiem. </w:t>
            </w:r>
          </w:p>
        </w:tc>
        <w:tc>
          <w:tcPr>
            <w:tcW w:w="3849" w:type="dxa"/>
            <w:vMerge w:val="restart"/>
            <w:shd w:val="clear" w:color="auto" w:fill="auto"/>
          </w:tcPr>
          <w:p w14:paraId="02EF6691" w14:textId="77777777" w:rsidR="008D418E" w:rsidRPr="001D5294" w:rsidRDefault="008D418E" w:rsidP="008D418E">
            <w:pPr>
              <w:pStyle w:val="tv2132"/>
              <w:spacing w:line="240" w:lineRule="auto"/>
              <w:ind w:firstLine="0"/>
              <w:rPr>
                <w:color w:val="000000"/>
                <w:sz w:val="24"/>
                <w:szCs w:val="24"/>
                <w:lang w:val="lv-LV" w:eastAsia="lv-LV"/>
              </w:rPr>
            </w:pPr>
            <w:r w:rsidRPr="001D5294">
              <w:rPr>
                <w:color w:val="000000"/>
                <w:sz w:val="24"/>
                <w:szCs w:val="24"/>
                <w:lang w:val="lv-LV" w:eastAsia="lv-LV"/>
              </w:rPr>
              <w:lastRenderedPageBreak/>
              <w:t>9. Pasākumam pieejamais kopējais attiecināmais publiskais finansējums:</w:t>
            </w:r>
          </w:p>
          <w:p w14:paraId="6E38169A" w14:textId="77777777" w:rsidR="00C01B2F" w:rsidRPr="001D5294" w:rsidRDefault="00C01B2F" w:rsidP="00C01B2F">
            <w:pPr>
              <w:spacing w:before="60" w:after="60"/>
              <w:jc w:val="both"/>
            </w:pPr>
            <w:r w:rsidRPr="001D5294">
              <w:t>9. Pasākumam pieejamais kopējais attiecināmais publiskais finansējums:</w:t>
            </w:r>
          </w:p>
          <w:p w14:paraId="78C7F107" w14:textId="77777777" w:rsidR="00C01B2F" w:rsidRPr="001D5294" w:rsidRDefault="00C01B2F" w:rsidP="00C01B2F">
            <w:pPr>
              <w:spacing w:before="60" w:after="60"/>
              <w:jc w:val="both"/>
            </w:pPr>
            <w:r w:rsidRPr="001D5294">
              <w:t xml:space="preserve">9.1. šo noteikumu 16. punktā minētajos gadījumos ir ne vairāk kā 115 533 508 </w:t>
            </w:r>
            <w:proofErr w:type="spellStart"/>
            <w:r w:rsidRPr="001D5294">
              <w:rPr>
                <w:i/>
              </w:rPr>
              <w:t>euro</w:t>
            </w:r>
            <w:proofErr w:type="spellEnd"/>
            <w:r w:rsidRPr="001D5294">
              <w:t xml:space="preserve">, tai skaitā Eiropas Reģionālās attīstības fonda finansējums ne vairāk kā 98 203 482 </w:t>
            </w:r>
            <w:proofErr w:type="spellStart"/>
            <w:r w:rsidRPr="001D5294">
              <w:rPr>
                <w:i/>
              </w:rPr>
              <w:t>euro</w:t>
            </w:r>
            <w:proofErr w:type="spellEnd"/>
            <w:r w:rsidRPr="001D5294">
              <w:t xml:space="preserve"> un valsts budžeta līdzfinansējums ne vairāk kā 17 330 026 </w:t>
            </w:r>
            <w:proofErr w:type="spellStart"/>
            <w:r w:rsidRPr="001D5294">
              <w:rPr>
                <w:i/>
              </w:rPr>
              <w:t>euro</w:t>
            </w:r>
            <w:proofErr w:type="spellEnd"/>
            <w:r w:rsidRPr="001D5294">
              <w:t>;</w:t>
            </w:r>
          </w:p>
          <w:p w14:paraId="5D0077CB" w14:textId="41A44177" w:rsidR="00737CC6" w:rsidRPr="001D5294" w:rsidRDefault="00C01B2F" w:rsidP="00C01B2F">
            <w:pPr>
              <w:spacing w:before="60" w:after="60"/>
              <w:jc w:val="both"/>
            </w:pPr>
            <w:r w:rsidRPr="001D5294">
              <w:t>9.2. šo noteikumu 18. un 18.</w:t>
            </w:r>
            <w:r w:rsidRPr="001D5294">
              <w:rPr>
                <w:vertAlign w:val="superscript"/>
              </w:rPr>
              <w:t>1</w:t>
            </w:r>
            <w:r w:rsidRPr="001D5294">
              <w:t xml:space="preserve"> punktā minētajos gadījumos ir ne vairāk kā 133 488 295 </w:t>
            </w:r>
            <w:proofErr w:type="spellStart"/>
            <w:r w:rsidRPr="001D5294">
              <w:rPr>
                <w:i/>
              </w:rPr>
              <w:t>euro</w:t>
            </w:r>
            <w:proofErr w:type="spellEnd"/>
            <w:r w:rsidRPr="001D5294">
              <w:t xml:space="preserve">, tai skaitā Eiropas Reģionālās attīstības fonda finansējums ne vairāk kā 111 692 482 </w:t>
            </w:r>
            <w:proofErr w:type="spellStart"/>
            <w:r w:rsidRPr="001D5294">
              <w:rPr>
                <w:i/>
              </w:rPr>
              <w:t>euro</w:t>
            </w:r>
            <w:proofErr w:type="spellEnd"/>
            <w:r w:rsidRPr="001D5294">
              <w:t xml:space="preserve">, valsts budžeta līdzfinansējums ne vairāk kā 17 330 026 </w:t>
            </w:r>
            <w:proofErr w:type="spellStart"/>
            <w:r w:rsidRPr="001D5294">
              <w:rPr>
                <w:i/>
              </w:rPr>
              <w:t>euro</w:t>
            </w:r>
            <w:proofErr w:type="spellEnd"/>
            <w:r w:rsidRPr="001D5294">
              <w:rPr>
                <w:i/>
              </w:rPr>
              <w:t xml:space="preserve"> </w:t>
            </w:r>
            <w:r w:rsidRPr="001D5294">
              <w:t>un</w:t>
            </w:r>
            <w:r w:rsidRPr="001D5294">
              <w:rPr>
                <w:i/>
              </w:rPr>
              <w:t xml:space="preserve"> </w:t>
            </w:r>
            <w:r w:rsidRPr="001D5294">
              <w:t xml:space="preserve">zinātnisko institūciju līdzfinansējums ne mazāk kā 4 465 787 </w:t>
            </w:r>
            <w:proofErr w:type="spellStart"/>
            <w:r w:rsidRPr="001D5294">
              <w:rPr>
                <w:i/>
              </w:rPr>
              <w:t>euro</w:t>
            </w:r>
            <w:proofErr w:type="spellEnd"/>
            <w:r w:rsidRPr="001D5294">
              <w:rPr>
                <w:i/>
              </w:rPr>
              <w:t>.</w:t>
            </w:r>
          </w:p>
        </w:tc>
      </w:tr>
      <w:tr w:rsidR="00737CC6" w:rsidRPr="001D5294" w14:paraId="500755D7" w14:textId="77777777" w:rsidTr="004C1D00">
        <w:trPr>
          <w:gridAfter w:val="1"/>
          <w:wAfter w:w="102" w:type="dxa"/>
          <w:trHeight w:val="274"/>
        </w:trPr>
        <w:tc>
          <w:tcPr>
            <w:tcW w:w="644" w:type="dxa"/>
            <w:shd w:val="clear" w:color="auto" w:fill="FFFFFF" w:themeFill="background1"/>
          </w:tcPr>
          <w:p w14:paraId="51C8AE45" w14:textId="3F4CC6D6" w:rsidR="00737CC6" w:rsidRPr="001D5294" w:rsidRDefault="00737CC6" w:rsidP="00C4242D">
            <w:pPr>
              <w:numPr>
                <w:ilvl w:val="0"/>
                <w:numId w:val="31"/>
              </w:numPr>
              <w:tabs>
                <w:tab w:val="center" w:pos="284"/>
              </w:tabs>
              <w:spacing w:before="60" w:after="60"/>
              <w:ind w:left="0" w:firstLine="0"/>
            </w:pPr>
          </w:p>
        </w:tc>
        <w:tc>
          <w:tcPr>
            <w:tcW w:w="3039" w:type="dxa"/>
            <w:vMerge/>
            <w:shd w:val="clear" w:color="auto" w:fill="auto"/>
          </w:tcPr>
          <w:p w14:paraId="1AD27B5D" w14:textId="77777777" w:rsidR="00737CC6" w:rsidRPr="001D5294" w:rsidRDefault="00737CC6" w:rsidP="00C4242D">
            <w:pPr>
              <w:spacing w:before="60" w:after="60"/>
              <w:jc w:val="both"/>
            </w:pPr>
          </w:p>
        </w:tc>
        <w:tc>
          <w:tcPr>
            <w:tcW w:w="3547" w:type="dxa"/>
            <w:shd w:val="clear" w:color="auto" w:fill="auto"/>
          </w:tcPr>
          <w:p w14:paraId="4474F33F" w14:textId="77777777" w:rsidR="00737CC6" w:rsidRPr="001D5294" w:rsidRDefault="00737CC6" w:rsidP="00C4242D">
            <w:pPr>
              <w:spacing w:before="60" w:after="60"/>
              <w:contextualSpacing/>
              <w:jc w:val="both"/>
              <w:rPr>
                <w:b/>
              </w:rPr>
            </w:pPr>
            <w:r w:rsidRPr="001D5294">
              <w:rPr>
                <w:b/>
              </w:rPr>
              <w:t>FM 24.08.2020. iebildums:</w:t>
            </w:r>
          </w:p>
          <w:p w14:paraId="17D360A6" w14:textId="56C3E6F5" w:rsidR="00737CC6" w:rsidRPr="001D5294" w:rsidRDefault="00737CC6" w:rsidP="00C4242D">
            <w:pPr>
              <w:spacing w:before="60" w:after="60"/>
              <w:contextualSpacing/>
              <w:jc w:val="both"/>
            </w:pPr>
            <w:r w:rsidRPr="001D5294">
              <w:t>Ņemot vērā izziņas 4.punktā sniegto skaidrojumu, vēršam uzmanību, ka  FM 2020. gada 07. augusta atzinuma 5.punktā izteiktais iebildums nav pretrunā ar minētajā izziņas punktā sniegtajiem apsvērumiem, jo, saskaņā ar Ministru kabineta 2016. gada  16. augusta noteikumu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(turpmāk – MK noteikumi Nr. 562.) 18.</w:t>
            </w:r>
            <w:r w:rsidRPr="001D5294">
              <w:rPr>
                <w:vertAlign w:val="superscript"/>
              </w:rPr>
              <w:t>1</w:t>
            </w:r>
            <w:r w:rsidRPr="001D5294">
              <w:t xml:space="preserve"> punktā izmantoto pieeju, iespējams norādīt minimālo privātā finansējuma apjomu, kas nepieciešams, lai nodrošinātu nepieciešamo Eiropas Reģionālās attīstības fonda atbalsta intensitāti. </w:t>
            </w:r>
            <w:r w:rsidRPr="001D5294">
              <w:lastRenderedPageBreak/>
              <w:t>Ievērojot minēto, lūdzam nodrošināt MK noteikumos Nr. 562 sniegtās informācijas pārskatāmību, t.sk., sniedzot vienkopus pieejamu informāciju MK noteikumu Nr. 562. 9. punktā par visiem finansējuma avotiem, lai varētu pārliecināties par atbalsta intensitāti.</w:t>
            </w:r>
          </w:p>
        </w:tc>
        <w:tc>
          <w:tcPr>
            <w:tcW w:w="3685" w:type="dxa"/>
            <w:shd w:val="clear" w:color="auto" w:fill="auto"/>
          </w:tcPr>
          <w:p w14:paraId="0A53CC62" w14:textId="77777777" w:rsidR="00737CC6" w:rsidRPr="001D5294" w:rsidRDefault="008D418E" w:rsidP="00232DD8">
            <w:pPr>
              <w:spacing w:before="60" w:after="60"/>
              <w:jc w:val="both"/>
              <w:rPr>
                <w:b/>
              </w:rPr>
            </w:pPr>
            <w:r w:rsidRPr="001D5294">
              <w:rPr>
                <w:b/>
              </w:rPr>
              <w:lastRenderedPageBreak/>
              <w:t>Ņemts vērā.</w:t>
            </w:r>
          </w:p>
          <w:p w14:paraId="6F6C071E" w14:textId="28A01174" w:rsidR="008D418E" w:rsidRPr="001D5294" w:rsidRDefault="008D418E" w:rsidP="00232DD8">
            <w:pPr>
              <w:spacing w:before="60" w:after="60"/>
              <w:jc w:val="both"/>
            </w:pPr>
            <w:r w:rsidRPr="001D5294">
              <w:t>IZM skaidrojums:</w:t>
            </w:r>
            <w:r w:rsidR="00C01B2F" w:rsidRPr="001D5294">
              <w:t xml:space="preserve"> MK noteikumu Nr. 562 izpratnē 18. un 18.</w:t>
            </w:r>
            <w:r w:rsidR="00C01B2F" w:rsidRPr="001D5294">
              <w:rPr>
                <w:vertAlign w:val="superscript"/>
              </w:rPr>
              <w:t>1</w:t>
            </w:r>
            <w:r w:rsidR="00C01B2F" w:rsidRPr="001D5294">
              <w:t xml:space="preserve"> punktā minētais zinātnisko institūciju līdzfinansējums uzskatāms par publisko attiecināmo finansējumu, nevis privāto zinātnisko institūciju līdzfinansējumu. Privātais līdzfinansējums ir komercdarbības </w:t>
            </w:r>
            <w:proofErr w:type="spellStart"/>
            <w:r w:rsidR="00C01B2F" w:rsidRPr="001D5294">
              <w:t>atbaslta</w:t>
            </w:r>
            <w:proofErr w:type="spellEnd"/>
            <w:r w:rsidR="00C01B2F" w:rsidRPr="001D5294">
              <w:t xml:space="preserve"> projekta saimnieciskās daļas īstenošanai nepieciešamais zinātniskās institūcijas līdzfinansējums.</w:t>
            </w:r>
          </w:p>
          <w:p w14:paraId="232F8D2F" w14:textId="5C777FBB" w:rsidR="008D418E" w:rsidRPr="001D5294" w:rsidRDefault="008D418E" w:rsidP="00232DD8">
            <w:pPr>
              <w:spacing w:before="60" w:after="60"/>
              <w:jc w:val="both"/>
            </w:pPr>
          </w:p>
        </w:tc>
        <w:tc>
          <w:tcPr>
            <w:tcW w:w="3849" w:type="dxa"/>
            <w:vMerge/>
            <w:shd w:val="clear" w:color="auto" w:fill="auto"/>
          </w:tcPr>
          <w:p w14:paraId="7248057C" w14:textId="77777777" w:rsidR="00737CC6" w:rsidRPr="001D5294" w:rsidRDefault="00737CC6" w:rsidP="00785983">
            <w:pPr>
              <w:spacing w:before="60" w:after="60"/>
              <w:jc w:val="both"/>
            </w:pPr>
          </w:p>
        </w:tc>
      </w:tr>
      <w:tr w:rsidR="0041691B" w:rsidRPr="001D5294" w14:paraId="403E784B" w14:textId="77777777" w:rsidTr="004C1D00">
        <w:trPr>
          <w:gridAfter w:val="1"/>
          <w:wAfter w:w="102" w:type="dxa"/>
          <w:trHeight w:val="274"/>
        </w:trPr>
        <w:tc>
          <w:tcPr>
            <w:tcW w:w="644" w:type="dxa"/>
            <w:shd w:val="clear" w:color="auto" w:fill="FFFFFF" w:themeFill="background1"/>
          </w:tcPr>
          <w:p w14:paraId="79DEA5C2" w14:textId="1E59F01A" w:rsidR="0041691B" w:rsidRPr="001D5294" w:rsidRDefault="0041691B" w:rsidP="00C4242D">
            <w:pPr>
              <w:numPr>
                <w:ilvl w:val="0"/>
                <w:numId w:val="31"/>
              </w:numPr>
              <w:tabs>
                <w:tab w:val="center" w:pos="284"/>
              </w:tabs>
              <w:spacing w:before="60" w:after="60"/>
              <w:ind w:left="0" w:firstLine="0"/>
            </w:pPr>
          </w:p>
        </w:tc>
        <w:tc>
          <w:tcPr>
            <w:tcW w:w="3039" w:type="dxa"/>
            <w:shd w:val="clear" w:color="auto" w:fill="auto"/>
          </w:tcPr>
          <w:p w14:paraId="6D89EB66" w14:textId="279C2829" w:rsidR="0041691B" w:rsidRPr="001D5294" w:rsidRDefault="0041691B" w:rsidP="00C4242D">
            <w:pPr>
              <w:spacing w:before="60" w:after="60"/>
              <w:jc w:val="both"/>
            </w:pPr>
          </w:p>
        </w:tc>
        <w:tc>
          <w:tcPr>
            <w:tcW w:w="3547" w:type="dxa"/>
            <w:shd w:val="clear" w:color="auto" w:fill="auto"/>
          </w:tcPr>
          <w:p w14:paraId="37B60994" w14:textId="75DBB4F7" w:rsidR="00D15494" w:rsidRPr="001D5294" w:rsidRDefault="00C4242D" w:rsidP="00C4242D">
            <w:pPr>
              <w:spacing w:before="60" w:after="60"/>
              <w:contextualSpacing/>
              <w:jc w:val="both"/>
            </w:pPr>
            <w:r w:rsidRPr="001D5294">
              <w:rPr>
                <w:b/>
              </w:rPr>
              <w:t>FM:</w:t>
            </w:r>
            <w:r w:rsidRPr="001D5294">
              <w:t xml:space="preserve"> </w:t>
            </w:r>
            <w:r w:rsidR="00D15494" w:rsidRPr="001D5294">
              <w:t>Ņemot vērā no vienošanās par projekta īstenošanu atskaitītās neatbilstoši veiktās summas, lūdzam izvērtēt nepieciešamību atbrīvot finansējumu, izsakot MK noteikumu attiecīgos punktus šādā redakcijā:</w:t>
            </w:r>
          </w:p>
          <w:p w14:paraId="5D9A4735" w14:textId="77777777" w:rsidR="00D15494" w:rsidRPr="001D5294" w:rsidRDefault="00D15494" w:rsidP="00C4242D">
            <w:pPr>
              <w:pStyle w:val="ListParagraph"/>
              <w:spacing w:before="60" w:after="60"/>
              <w:ind w:left="0"/>
              <w:jc w:val="both"/>
              <w:rPr>
                <w:rFonts w:ascii="Times New Roman" w:hAnsi="Times New Roman"/>
                <w:sz w:val="24"/>
                <w:szCs w:val="24"/>
                <w:lang w:eastAsia="lv-LV"/>
              </w:rPr>
            </w:pPr>
            <w:r w:rsidRPr="001D5294">
              <w:rPr>
                <w:rFonts w:ascii="Times New Roman" w:hAnsi="Times New Roman"/>
                <w:sz w:val="24"/>
                <w:szCs w:val="24"/>
                <w:lang w:eastAsia="lv-LV"/>
              </w:rPr>
              <w:t>16.2. Elektronikas un datorzinātņu institūtam – 892 034</w:t>
            </w:r>
            <w:r w:rsidRPr="001D5294">
              <w:rPr>
                <w:rFonts w:ascii="Times New Roman" w:hAnsi="Times New Roman"/>
                <w:i/>
                <w:sz w:val="24"/>
                <w:szCs w:val="24"/>
                <w:lang w:eastAsia="lv-LV"/>
              </w:rPr>
              <w:t xml:space="preserve"> </w:t>
            </w:r>
            <w:proofErr w:type="spellStart"/>
            <w:r w:rsidRPr="001D5294">
              <w:rPr>
                <w:rFonts w:ascii="Times New Roman" w:hAnsi="Times New Roman"/>
                <w:i/>
                <w:sz w:val="24"/>
                <w:szCs w:val="24"/>
                <w:lang w:eastAsia="lv-LV"/>
              </w:rPr>
              <w:t>euro</w:t>
            </w:r>
            <w:proofErr w:type="spellEnd"/>
            <w:r w:rsidRPr="001D5294">
              <w:rPr>
                <w:rFonts w:ascii="Times New Roman" w:hAnsi="Times New Roman"/>
                <w:sz w:val="24"/>
                <w:szCs w:val="24"/>
                <w:lang w:eastAsia="lv-LV"/>
              </w:rPr>
              <w:t xml:space="preserve"> (tai skaitā Eiropas Reģionālās attīstības fonda finansējums – 758 228 </w:t>
            </w:r>
            <w:proofErr w:type="spellStart"/>
            <w:r w:rsidRPr="001D5294">
              <w:rPr>
                <w:rFonts w:ascii="Times New Roman" w:hAnsi="Times New Roman"/>
                <w:i/>
                <w:sz w:val="24"/>
                <w:szCs w:val="24"/>
                <w:lang w:eastAsia="lv-LV"/>
              </w:rPr>
              <w:t>euro</w:t>
            </w:r>
            <w:proofErr w:type="spellEnd"/>
            <w:r w:rsidRPr="001D5294">
              <w:rPr>
                <w:rFonts w:ascii="Times New Roman" w:hAnsi="Times New Roman"/>
                <w:sz w:val="24"/>
                <w:szCs w:val="24"/>
                <w:lang w:eastAsia="lv-LV"/>
              </w:rPr>
              <w:t> un valsts budžeta līdzfinansējums – 133 806 </w:t>
            </w:r>
            <w:proofErr w:type="spellStart"/>
            <w:r w:rsidRPr="001D5294">
              <w:rPr>
                <w:rFonts w:ascii="Times New Roman" w:hAnsi="Times New Roman"/>
                <w:i/>
                <w:sz w:val="24"/>
                <w:szCs w:val="24"/>
                <w:lang w:eastAsia="lv-LV"/>
              </w:rPr>
              <w:t>euro</w:t>
            </w:r>
            <w:proofErr w:type="spellEnd"/>
            <w:r w:rsidRPr="001D5294">
              <w:rPr>
                <w:rFonts w:ascii="Times New Roman" w:hAnsi="Times New Roman"/>
                <w:sz w:val="24"/>
                <w:szCs w:val="24"/>
                <w:lang w:eastAsia="lv-LV"/>
              </w:rPr>
              <w:t>);</w:t>
            </w:r>
          </w:p>
          <w:p w14:paraId="02AAB14C" w14:textId="77777777" w:rsidR="00D15494" w:rsidRPr="001D5294" w:rsidRDefault="00D15494" w:rsidP="00C4242D">
            <w:pPr>
              <w:pStyle w:val="ListParagraph"/>
              <w:spacing w:before="60" w:after="60"/>
              <w:ind w:left="0"/>
              <w:jc w:val="both"/>
              <w:rPr>
                <w:rFonts w:ascii="Times New Roman" w:hAnsi="Times New Roman"/>
                <w:sz w:val="24"/>
                <w:szCs w:val="24"/>
                <w:lang w:eastAsia="lv-LV"/>
              </w:rPr>
            </w:pPr>
            <w:r w:rsidRPr="001D5294">
              <w:rPr>
                <w:rFonts w:ascii="Times New Roman" w:hAnsi="Times New Roman"/>
                <w:sz w:val="24"/>
                <w:szCs w:val="24"/>
                <w:lang w:eastAsia="lv-LV"/>
              </w:rPr>
              <w:t>16.12. Rīgas Tehniskajai universitātei – 25 230 312 </w:t>
            </w:r>
            <w:proofErr w:type="spellStart"/>
            <w:r w:rsidRPr="001D5294">
              <w:rPr>
                <w:rFonts w:ascii="Times New Roman" w:hAnsi="Times New Roman"/>
                <w:i/>
                <w:sz w:val="24"/>
                <w:szCs w:val="24"/>
                <w:lang w:eastAsia="lv-LV"/>
              </w:rPr>
              <w:t>euro</w:t>
            </w:r>
            <w:proofErr w:type="spellEnd"/>
            <w:r w:rsidRPr="001D5294">
              <w:rPr>
                <w:rFonts w:ascii="Times New Roman" w:hAnsi="Times New Roman"/>
                <w:sz w:val="24"/>
                <w:szCs w:val="24"/>
                <w:lang w:eastAsia="lv-LV"/>
              </w:rPr>
              <w:t> (tai skaitā Eiropas Reģionālās attīstības fonda finansējums – 21 445 764 </w:t>
            </w:r>
            <w:proofErr w:type="spellStart"/>
            <w:r w:rsidRPr="001D5294">
              <w:rPr>
                <w:rFonts w:ascii="Times New Roman" w:hAnsi="Times New Roman"/>
                <w:i/>
                <w:sz w:val="24"/>
                <w:szCs w:val="24"/>
                <w:lang w:eastAsia="lv-LV"/>
              </w:rPr>
              <w:t>euro</w:t>
            </w:r>
            <w:proofErr w:type="spellEnd"/>
            <w:r w:rsidRPr="001D5294">
              <w:rPr>
                <w:rFonts w:ascii="Times New Roman" w:hAnsi="Times New Roman"/>
                <w:sz w:val="24"/>
                <w:szCs w:val="24"/>
                <w:lang w:eastAsia="lv-LV"/>
              </w:rPr>
              <w:t> un valsts budžeta līdzfinansējums – 3 784 548 </w:t>
            </w:r>
            <w:proofErr w:type="spellStart"/>
            <w:r w:rsidRPr="001D5294">
              <w:rPr>
                <w:rFonts w:ascii="Times New Roman" w:hAnsi="Times New Roman"/>
                <w:i/>
                <w:sz w:val="24"/>
                <w:szCs w:val="24"/>
                <w:lang w:eastAsia="lv-LV"/>
              </w:rPr>
              <w:t>euro</w:t>
            </w:r>
            <w:proofErr w:type="spellEnd"/>
            <w:r w:rsidRPr="001D5294">
              <w:rPr>
                <w:rFonts w:ascii="Times New Roman" w:hAnsi="Times New Roman"/>
                <w:sz w:val="24"/>
                <w:szCs w:val="24"/>
                <w:lang w:eastAsia="lv-LV"/>
              </w:rPr>
              <w:t xml:space="preserve">), ja Eiropas Komisijas Pētniecības </w:t>
            </w:r>
            <w:proofErr w:type="spellStart"/>
            <w:r w:rsidRPr="001D5294">
              <w:rPr>
                <w:rFonts w:ascii="Times New Roman" w:hAnsi="Times New Roman"/>
                <w:sz w:val="24"/>
                <w:szCs w:val="24"/>
                <w:lang w:eastAsia="lv-LV"/>
              </w:rPr>
              <w:t>izpildaģentūra</w:t>
            </w:r>
            <w:proofErr w:type="spellEnd"/>
            <w:r w:rsidRPr="001D5294">
              <w:rPr>
                <w:rFonts w:ascii="Times New Roman" w:hAnsi="Times New Roman"/>
                <w:sz w:val="24"/>
                <w:szCs w:val="24"/>
                <w:lang w:eastAsia="lv-LV"/>
              </w:rPr>
              <w:t xml:space="preserve"> neapstiprina BBCE projektu;</w:t>
            </w:r>
          </w:p>
          <w:p w14:paraId="5F18A5DC" w14:textId="60C94E6A" w:rsidR="0041691B" w:rsidRPr="001D5294" w:rsidRDefault="00D15494" w:rsidP="00C4242D">
            <w:pPr>
              <w:pStyle w:val="ListParagraph"/>
              <w:spacing w:before="60" w:after="60"/>
              <w:ind w:left="0"/>
              <w:jc w:val="both"/>
              <w:rPr>
                <w:rFonts w:ascii="Times New Roman" w:hAnsi="Times New Roman"/>
                <w:sz w:val="24"/>
                <w:szCs w:val="24"/>
                <w:lang w:eastAsia="lv-LV"/>
              </w:rPr>
            </w:pPr>
            <w:r w:rsidRPr="001D5294">
              <w:rPr>
                <w:rFonts w:ascii="Times New Roman" w:hAnsi="Times New Roman"/>
                <w:sz w:val="24"/>
                <w:szCs w:val="24"/>
                <w:lang w:eastAsia="lv-LV"/>
              </w:rPr>
              <w:t>16.14. Vidzemes Augstskolai – 532 111 </w:t>
            </w:r>
            <w:proofErr w:type="spellStart"/>
            <w:r w:rsidRPr="001D5294">
              <w:rPr>
                <w:rFonts w:ascii="Times New Roman" w:hAnsi="Times New Roman"/>
                <w:sz w:val="24"/>
                <w:szCs w:val="24"/>
                <w:lang w:eastAsia="lv-LV"/>
              </w:rPr>
              <w:t>euro</w:t>
            </w:r>
            <w:proofErr w:type="spellEnd"/>
            <w:r w:rsidRPr="001D5294">
              <w:rPr>
                <w:rFonts w:ascii="Times New Roman" w:hAnsi="Times New Roman"/>
                <w:sz w:val="24"/>
                <w:szCs w:val="24"/>
                <w:lang w:eastAsia="lv-LV"/>
              </w:rPr>
              <w:t xml:space="preserve"> (tai skaitā Eiropas Reģionālās attīstības fonda </w:t>
            </w:r>
            <w:r w:rsidRPr="001D5294">
              <w:rPr>
                <w:rFonts w:ascii="Times New Roman" w:hAnsi="Times New Roman"/>
                <w:sz w:val="24"/>
                <w:szCs w:val="24"/>
                <w:lang w:eastAsia="lv-LV"/>
              </w:rPr>
              <w:lastRenderedPageBreak/>
              <w:t xml:space="preserve">finansējums – 452 293 </w:t>
            </w:r>
            <w:proofErr w:type="spellStart"/>
            <w:r w:rsidRPr="001D5294">
              <w:rPr>
                <w:rFonts w:ascii="Times New Roman" w:hAnsi="Times New Roman"/>
                <w:sz w:val="24"/>
                <w:szCs w:val="24"/>
                <w:lang w:eastAsia="lv-LV"/>
              </w:rPr>
              <w:t>euro</w:t>
            </w:r>
            <w:proofErr w:type="spellEnd"/>
            <w:r w:rsidRPr="001D5294">
              <w:rPr>
                <w:rFonts w:ascii="Times New Roman" w:hAnsi="Times New Roman"/>
                <w:sz w:val="24"/>
                <w:szCs w:val="24"/>
                <w:lang w:eastAsia="lv-LV"/>
              </w:rPr>
              <w:t> un valsts budžeta līdzfinansējums – 79 818 </w:t>
            </w:r>
            <w:proofErr w:type="spellStart"/>
            <w:r w:rsidRPr="001D5294">
              <w:rPr>
                <w:rFonts w:ascii="Times New Roman" w:hAnsi="Times New Roman"/>
                <w:sz w:val="24"/>
                <w:szCs w:val="24"/>
                <w:lang w:eastAsia="lv-LV"/>
              </w:rPr>
              <w:t>euro</w:t>
            </w:r>
            <w:proofErr w:type="spellEnd"/>
            <w:r w:rsidRPr="001D5294">
              <w:rPr>
                <w:rFonts w:ascii="Times New Roman" w:hAnsi="Times New Roman"/>
                <w:sz w:val="24"/>
                <w:szCs w:val="24"/>
                <w:lang w:eastAsia="lv-LV"/>
              </w:rPr>
              <w:t>), ja īsteno šo noteikumu 22.3. apakšpunktā minēto zinātnisko institūciju konsolidāciju ar Vidzemes augstskolas aģentūru "</w:t>
            </w:r>
            <w:proofErr w:type="spellStart"/>
            <w:r w:rsidRPr="001D5294">
              <w:rPr>
                <w:rFonts w:ascii="Times New Roman" w:hAnsi="Times New Roman"/>
                <w:sz w:val="24"/>
                <w:szCs w:val="24"/>
                <w:lang w:eastAsia="lv-LV"/>
              </w:rPr>
              <w:t>Sociotehnisko</w:t>
            </w:r>
            <w:proofErr w:type="spellEnd"/>
            <w:r w:rsidRPr="001D5294">
              <w:rPr>
                <w:rFonts w:ascii="Times New Roman" w:hAnsi="Times New Roman"/>
                <w:sz w:val="24"/>
                <w:szCs w:val="24"/>
                <w:lang w:eastAsia="lv-LV"/>
              </w:rPr>
              <w:t xml:space="preserve"> sistēmu inženierijas institūts" un nodrošina šo noteikumu 20.8. apakšpunktā minēto nosacījumu izpildi.</w:t>
            </w:r>
          </w:p>
        </w:tc>
        <w:tc>
          <w:tcPr>
            <w:tcW w:w="3685" w:type="dxa"/>
            <w:shd w:val="clear" w:color="auto" w:fill="auto"/>
          </w:tcPr>
          <w:p w14:paraId="6DF1D924" w14:textId="77777777" w:rsidR="00785983" w:rsidRPr="001D5294" w:rsidRDefault="00785983" w:rsidP="00785983">
            <w:pPr>
              <w:spacing w:before="60" w:after="60"/>
              <w:jc w:val="both"/>
              <w:rPr>
                <w:b/>
              </w:rPr>
            </w:pPr>
            <w:r w:rsidRPr="001D5294">
              <w:rPr>
                <w:b/>
              </w:rPr>
              <w:lastRenderedPageBreak/>
              <w:t>Ņemts vērā.</w:t>
            </w:r>
          </w:p>
          <w:p w14:paraId="31686F2A" w14:textId="77777777" w:rsidR="00D63F6C" w:rsidRPr="001D5294" w:rsidRDefault="00785983" w:rsidP="00785983">
            <w:pPr>
              <w:spacing w:before="60" w:after="60"/>
              <w:jc w:val="both"/>
            </w:pPr>
            <w:r w:rsidRPr="001D5294">
              <w:t xml:space="preserve">Precizēts MK noteikumu 9. punkts, 16.2., 16.12., </w:t>
            </w:r>
            <w:r w:rsidR="00D347AD" w:rsidRPr="001D5294">
              <w:t>16.14. un 18.</w:t>
            </w:r>
            <w:r w:rsidR="00D347AD" w:rsidRPr="001D5294">
              <w:rPr>
                <w:vertAlign w:val="superscript"/>
              </w:rPr>
              <w:t>1</w:t>
            </w:r>
            <w:r w:rsidR="00D347AD" w:rsidRPr="001D5294">
              <w:t> 3. apakšpunkts.</w:t>
            </w:r>
            <w:r w:rsidRPr="001D5294">
              <w:t xml:space="preserve"> </w:t>
            </w:r>
          </w:p>
          <w:p w14:paraId="4F9FC1DC" w14:textId="7028C398" w:rsidR="0048011B" w:rsidRPr="001D5294" w:rsidRDefault="0048011B" w:rsidP="00785983">
            <w:pPr>
              <w:spacing w:before="60" w:after="60"/>
              <w:jc w:val="both"/>
            </w:pPr>
            <w:r w:rsidRPr="001D5294">
              <w:t>Sniegta papildu informācija anotācijā.</w:t>
            </w:r>
          </w:p>
        </w:tc>
        <w:tc>
          <w:tcPr>
            <w:tcW w:w="3849" w:type="dxa"/>
            <w:shd w:val="clear" w:color="auto" w:fill="auto"/>
          </w:tcPr>
          <w:p w14:paraId="771A4ABC" w14:textId="77777777" w:rsidR="00785983" w:rsidRPr="001D5294" w:rsidRDefault="00785983" w:rsidP="00785983">
            <w:pPr>
              <w:spacing w:before="60" w:after="60"/>
              <w:jc w:val="both"/>
            </w:pPr>
            <w:r w:rsidRPr="001D5294">
              <w:t>9. Pasākumam pieejamais kopējais attiecināmais publiskais finansējums:</w:t>
            </w:r>
          </w:p>
          <w:p w14:paraId="46B2013D" w14:textId="77777777" w:rsidR="00785983" w:rsidRPr="001D5294" w:rsidRDefault="00785983" w:rsidP="00785983">
            <w:pPr>
              <w:spacing w:before="60" w:after="60"/>
              <w:jc w:val="both"/>
            </w:pPr>
            <w:r w:rsidRPr="001D5294">
              <w:t xml:space="preserve">9.1. šo noteikumu 16. punktā minētajos gadījumos ir ne vairāk kā 115 533 508 </w:t>
            </w:r>
            <w:proofErr w:type="spellStart"/>
            <w:r w:rsidRPr="001D5294">
              <w:rPr>
                <w:i/>
              </w:rPr>
              <w:t>euro</w:t>
            </w:r>
            <w:proofErr w:type="spellEnd"/>
            <w:r w:rsidRPr="001D5294">
              <w:t xml:space="preserve">, tai skaitā Eiropas Reģionālās attīstības fonda finansējums ne vairāk kā 98 203 482 </w:t>
            </w:r>
            <w:proofErr w:type="spellStart"/>
            <w:r w:rsidRPr="001D5294">
              <w:rPr>
                <w:i/>
              </w:rPr>
              <w:t>euro</w:t>
            </w:r>
            <w:proofErr w:type="spellEnd"/>
            <w:r w:rsidRPr="001D5294">
              <w:t xml:space="preserve"> un valsts budžeta līdzfinansējums ne vairāk kā 17 330 026 </w:t>
            </w:r>
            <w:proofErr w:type="spellStart"/>
            <w:r w:rsidRPr="001D5294">
              <w:rPr>
                <w:i/>
              </w:rPr>
              <w:t>euro</w:t>
            </w:r>
            <w:proofErr w:type="spellEnd"/>
            <w:r w:rsidRPr="001D5294">
              <w:t>;</w:t>
            </w:r>
          </w:p>
          <w:p w14:paraId="169D4539" w14:textId="77777777" w:rsidR="0041691B" w:rsidRPr="001D5294" w:rsidRDefault="00785983" w:rsidP="00785983">
            <w:pPr>
              <w:spacing w:before="60" w:after="60"/>
              <w:jc w:val="both"/>
            </w:pPr>
            <w:r w:rsidRPr="001D5294">
              <w:t>9.2. šo noteikumu 18. un 18.</w:t>
            </w:r>
            <w:r w:rsidRPr="001D5294">
              <w:rPr>
                <w:vertAlign w:val="superscript"/>
              </w:rPr>
              <w:t>1</w:t>
            </w:r>
            <w:r w:rsidRPr="001D5294">
              <w:t xml:space="preserve"> punktā minētajos gadījumos ir ne vairāk kā 129 022 508 </w:t>
            </w:r>
            <w:proofErr w:type="spellStart"/>
            <w:r w:rsidRPr="001D5294">
              <w:rPr>
                <w:i/>
              </w:rPr>
              <w:t>euro</w:t>
            </w:r>
            <w:proofErr w:type="spellEnd"/>
            <w:r w:rsidRPr="001D5294">
              <w:t xml:space="preserve">, tai skaitā Eiropas Reģionālās attīstības fonda finansējums ne vairāk kā 111 692 482 </w:t>
            </w:r>
            <w:proofErr w:type="spellStart"/>
            <w:r w:rsidRPr="001D5294">
              <w:rPr>
                <w:i/>
              </w:rPr>
              <w:t>euro</w:t>
            </w:r>
            <w:proofErr w:type="spellEnd"/>
            <w:r w:rsidRPr="001D5294">
              <w:t xml:space="preserve"> un valsts budžeta līdzfinansējums ne vairāk kā 17 330 026 </w:t>
            </w:r>
            <w:proofErr w:type="spellStart"/>
            <w:r w:rsidRPr="001D5294">
              <w:rPr>
                <w:i/>
              </w:rPr>
              <w:t>euro</w:t>
            </w:r>
            <w:proofErr w:type="spellEnd"/>
            <w:r w:rsidRPr="001D5294">
              <w:t>.</w:t>
            </w:r>
          </w:p>
          <w:p w14:paraId="5D6CC06E" w14:textId="67825650" w:rsidR="00785983" w:rsidRPr="001D5294" w:rsidRDefault="0048011B" w:rsidP="00785983">
            <w:pPr>
              <w:spacing w:before="60" w:after="60"/>
              <w:jc w:val="both"/>
            </w:pPr>
            <w:r w:rsidRPr="001D5294">
              <w:t>(</w:t>
            </w:r>
            <w:r w:rsidR="00785983" w:rsidRPr="001D5294">
              <w:t>…</w:t>
            </w:r>
            <w:r w:rsidRPr="001D5294">
              <w:t>)</w:t>
            </w:r>
          </w:p>
          <w:p w14:paraId="65A9186B" w14:textId="77777777" w:rsidR="00785983" w:rsidRPr="001D5294" w:rsidRDefault="00785983" w:rsidP="00785983">
            <w:pPr>
              <w:spacing w:before="60" w:after="60"/>
              <w:jc w:val="both"/>
            </w:pPr>
            <w:r w:rsidRPr="001D5294">
              <w:t xml:space="preserve">16.2. Elektronikas un datorzinātņu institūtam ne vairāk kā 892 034 </w:t>
            </w:r>
            <w:proofErr w:type="spellStart"/>
            <w:r w:rsidRPr="001D5294">
              <w:rPr>
                <w:i/>
              </w:rPr>
              <w:t>euro</w:t>
            </w:r>
            <w:proofErr w:type="spellEnd"/>
            <w:r w:rsidRPr="001D5294">
              <w:t xml:space="preserve"> (tai skaitā Eiropas Reģionālās attīstības fonda finansējums ne vairāk kā 758 228 </w:t>
            </w:r>
            <w:proofErr w:type="spellStart"/>
            <w:r w:rsidRPr="001D5294">
              <w:rPr>
                <w:i/>
              </w:rPr>
              <w:t>euro</w:t>
            </w:r>
            <w:proofErr w:type="spellEnd"/>
            <w:r w:rsidRPr="001D5294">
              <w:t xml:space="preserve"> un valsts budžeta </w:t>
            </w:r>
            <w:r w:rsidRPr="001D5294">
              <w:lastRenderedPageBreak/>
              <w:t xml:space="preserve">līdzfinansējums ne vairāk kā 133 806 </w:t>
            </w:r>
            <w:proofErr w:type="spellStart"/>
            <w:r w:rsidRPr="001D5294">
              <w:rPr>
                <w:i/>
              </w:rPr>
              <w:t>euro</w:t>
            </w:r>
            <w:proofErr w:type="spellEnd"/>
            <w:r w:rsidRPr="001D5294">
              <w:t>)</w:t>
            </w:r>
          </w:p>
          <w:p w14:paraId="7022B5E4" w14:textId="77777777" w:rsidR="00785983" w:rsidRPr="001D5294" w:rsidRDefault="00785983" w:rsidP="00785983">
            <w:pPr>
              <w:spacing w:before="60" w:after="60"/>
              <w:jc w:val="both"/>
            </w:pPr>
            <w:r w:rsidRPr="001D5294">
              <w:t xml:space="preserve">16.12. Rīgas Tehniskajai universitātei ne vairāk kā 25 230 312 </w:t>
            </w:r>
            <w:proofErr w:type="spellStart"/>
            <w:r w:rsidRPr="001D5294">
              <w:rPr>
                <w:i/>
              </w:rPr>
              <w:t>euro</w:t>
            </w:r>
            <w:proofErr w:type="spellEnd"/>
            <w:r w:rsidRPr="001D5294">
              <w:t xml:space="preserve"> (tai skaitā Eiropas Reģionālās attīstības fonda finansējums ne vairāk kā 21 445 764 </w:t>
            </w:r>
            <w:proofErr w:type="spellStart"/>
            <w:r w:rsidRPr="001D5294">
              <w:rPr>
                <w:i/>
              </w:rPr>
              <w:t>euro</w:t>
            </w:r>
            <w:proofErr w:type="spellEnd"/>
            <w:r w:rsidRPr="001D5294">
              <w:t xml:space="preserve"> un valsts budžeta līdzfinansējums ne vairāk kā 3 784 548 </w:t>
            </w:r>
            <w:proofErr w:type="spellStart"/>
            <w:r w:rsidRPr="001D5294">
              <w:rPr>
                <w:i/>
              </w:rPr>
              <w:t>euro</w:t>
            </w:r>
            <w:proofErr w:type="spellEnd"/>
            <w:r w:rsidRPr="001D5294">
              <w:t xml:space="preserve">), ja Eiropas Komisijas Pētniecības </w:t>
            </w:r>
            <w:proofErr w:type="spellStart"/>
            <w:r w:rsidRPr="001D5294">
              <w:t>izpildaģentūra</w:t>
            </w:r>
            <w:proofErr w:type="spellEnd"/>
            <w:r w:rsidRPr="001D5294">
              <w:t xml:space="preserve"> neapstiprina BBCE projektu;</w:t>
            </w:r>
          </w:p>
          <w:p w14:paraId="76014B96" w14:textId="77777777" w:rsidR="00785983" w:rsidRPr="001D5294" w:rsidRDefault="00785983" w:rsidP="00785983">
            <w:pPr>
              <w:spacing w:before="60" w:after="60"/>
              <w:jc w:val="both"/>
            </w:pPr>
            <w:r w:rsidRPr="001D5294">
              <w:t xml:space="preserve">16.14. Vidzemes Augstskolai ne vairāk kā 532 111 </w:t>
            </w:r>
            <w:proofErr w:type="spellStart"/>
            <w:r w:rsidRPr="001D5294">
              <w:rPr>
                <w:i/>
              </w:rPr>
              <w:t>euro</w:t>
            </w:r>
            <w:proofErr w:type="spellEnd"/>
            <w:r w:rsidRPr="001D5294">
              <w:t xml:space="preserve"> (tai skaitā Eiropas Reģionālās attīstības fonda finansējums ne vairāk kā 452 293 </w:t>
            </w:r>
            <w:proofErr w:type="spellStart"/>
            <w:r w:rsidRPr="001D5294">
              <w:rPr>
                <w:i/>
              </w:rPr>
              <w:t>euro</w:t>
            </w:r>
            <w:proofErr w:type="spellEnd"/>
            <w:r w:rsidRPr="001D5294">
              <w:t xml:space="preserve"> un valsts budžeta līdzfinansējums ne vairāk kā 79 818 </w:t>
            </w:r>
            <w:proofErr w:type="spellStart"/>
            <w:r w:rsidRPr="001D5294">
              <w:rPr>
                <w:i/>
              </w:rPr>
              <w:t>euro</w:t>
            </w:r>
            <w:proofErr w:type="spellEnd"/>
            <w:r w:rsidRPr="001D5294">
              <w:t>), ja īsteno šo noteikumu 22.3. apakšpunktā minēto zinātnisko institūciju konsolidāciju ar Vidzemes augstskolas aģentūru "</w:t>
            </w:r>
            <w:proofErr w:type="spellStart"/>
            <w:r w:rsidRPr="001D5294">
              <w:t>Sociotehnisko</w:t>
            </w:r>
            <w:proofErr w:type="spellEnd"/>
            <w:r w:rsidRPr="001D5294">
              <w:t xml:space="preserve"> sistēmu inženierijas institūts" un nodrošina šo noteikumu 20.8. apakšpunktā minēto nosacījumu izpildi.</w:t>
            </w:r>
          </w:p>
          <w:p w14:paraId="3EDD0610" w14:textId="473BAA8E" w:rsidR="00785983" w:rsidRPr="001D5294" w:rsidRDefault="00D347AD" w:rsidP="00785983">
            <w:pPr>
              <w:spacing w:before="60" w:after="60"/>
              <w:jc w:val="both"/>
            </w:pPr>
            <w:r w:rsidRPr="001D5294">
              <w:t>18.</w:t>
            </w:r>
            <w:r w:rsidRPr="001D5294">
              <w:rPr>
                <w:vertAlign w:val="superscript"/>
              </w:rPr>
              <w:t>1</w:t>
            </w:r>
            <w:r w:rsidRPr="001D5294">
              <w:t xml:space="preserve"> 3. Rīgas Tehniskās universitātei ne vairāk kā 32 689 132  </w:t>
            </w:r>
            <w:r w:rsidRPr="001D5294">
              <w:rPr>
                <w:b/>
                <w:bCs/>
              </w:rPr>
              <w:t xml:space="preserve"> </w:t>
            </w:r>
            <w:proofErr w:type="spellStart"/>
            <w:r w:rsidRPr="001D5294">
              <w:rPr>
                <w:i/>
                <w:iCs/>
              </w:rPr>
              <w:t>euro</w:t>
            </w:r>
            <w:proofErr w:type="spellEnd"/>
            <w:r w:rsidRPr="001D5294">
              <w:t xml:space="preserve">, ko veido publiskais finansējums ne vairāk kā 31 054 669  </w:t>
            </w:r>
            <w:proofErr w:type="spellStart"/>
            <w:r w:rsidRPr="001D5294">
              <w:rPr>
                <w:i/>
                <w:iCs/>
              </w:rPr>
              <w:t>euro</w:t>
            </w:r>
            <w:proofErr w:type="spellEnd"/>
            <w:r w:rsidRPr="001D5294">
              <w:t xml:space="preserve"> apmērā (tai skaitā Eiropas Reģionālās attīstības fonda finansējums – 27 270 121  </w:t>
            </w:r>
            <w:proofErr w:type="spellStart"/>
            <w:r w:rsidRPr="001D5294">
              <w:rPr>
                <w:i/>
                <w:iCs/>
              </w:rPr>
              <w:t>euro</w:t>
            </w:r>
            <w:proofErr w:type="spellEnd"/>
            <w:r w:rsidRPr="001D5294">
              <w:t> un valsts budžeta līdzfinansējums – 3 784 548 </w:t>
            </w:r>
            <w:proofErr w:type="spellStart"/>
            <w:r w:rsidRPr="001D5294">
              <w:rPr>
                <w:i/>
                <w:iCs/>
              </w:rPr>
              <w:t>euro</w:t>
            </w:r>
            <w:proofErr w:type="spellEnd"/>
            <w:r w:rsidRPr="001D5294">
              <w:t xml:space="preserve">) un zinātniskās institūcijas </w:t>
            </w:r>
            <w:r w:rsidRPr="001D5294">
              <w:lastRenderedPageBreak/>
              <w:t>līdzfinansējums 1 634 463 </w:t>
            </w:r>
            <w:proofErr w:type="spellStart"/>
            <w:r w:rsidRPr="001D5294">
              <w:rPr>
                <w:i/>
                <w:iCs/>
              </w:rPr>
              <w:t>euro</w:t>
            </w:r>
            <w:proofErr w:type="spellEnd"/>
            <w:r w:rsidRPr="001D5294">
              <w:t> apmērā</w:t>
            </w:r>
          </w:p>
        </w:tc>
      </w:tr>
      <w:tr w:rsidR="0095526F" w:rsidRPr="001D5294" w14:paraId="0693F9AD" w14:textId="77777777" w:rsidTr="004C1D00">
        <w:trPr>
          <w:trHeight w:val="274"/>
        </w:trPr>
        <w:tc>
          <w:tcPr>
            <w:tcW w:w="644" w:type="dxa"/>
            <w:shd w:val="clear" w:color="auto" w:fill="FFFFFF" w:themeFill="background1"/>
          </w:tcPr>
          <w:p w14:paraId="51608391" w14:textId="77777777" w:rsidR="0095526F" w:rsidRPr="001D5294" w:rsidRDefault="0095526F" w:rsidP="00C4242D">
            <w:pPr>
              <w:numPr>
                <w:ilvl w:val="0"/>
                <w:numId w:val="31"/>
              </w:numPr>
              <w:tabs>
                <w:tab w:val="center" w:pos="284"/>
              </w:tabs>
              <w:spacing w:before="60" w:after="60"/>
              <w:ind w:left="0" w:firstLine="0"/>
            </w:pPr>
          </w:p>
        </w:tc>
        <w:tc>
          <w:tcPr>
            <w:tcW w:w="3039" w:type="dxa"/>
            <w:shd w:val="clear" w:color="auto" w:fill="auto"/>
          </w:tcPr>
          <w:p w14:paraId="22F305A1" w14:textId="77777777" w:rsidR="00C16118" w:rsidRPr="001D5294" w:rsidRDefault="00C16118" w:rsidP="00C16118">
            <w:pPr>
              <w:tabs>
                <w:tab w:val="left" w:pos="1276"/>
              </w:tabs>
              <w:spacing w:before="60" w:after="60"/>
              <w:jc w:val="both"/>
            </w:pPr>
            <w:r w:rsidRPr="001D5294">
              <w:t>6. Izteikt 9. punktu šādā redakcijā:</w:t>
            </w:r>
          </w:p>
          <w:p w14:paraId="602BC58E" w14:textId="77777777" w:rsidR="00C16118" w:rsidRPr="001D5294" w:rsidRDefault="00C16118" w:rsidP="00C16118">
            <w:pPr>
              <w:tabs>
                <w:tab w:val="left" w:pos="1276"/>
              </w:tabs>
              <w:spacing w:before="60" w:after="60"/>
              <w:jc w:val="both"/>
            </w:pPr>
          </w:p>
          <w:p w14:paraId="0A46D126" w14:textId="77777777" w:rsidR="00C16118" w:rsidRPr="001D5294" w:rsidRDefault="00C16118" w:rsidP="00C16118">
            <w:pPr>
              <w:tabs>
                <w:tab w:val="left" w:pos="1276"/>
              </w:tabs>
              <w:spacing w:before="60" w:after="60"/>
              <w:jc w:val="both"/>
            </w:pPr>
            <w:r w:rsidRPr="001D5294">
              <w:t>"9. Pasākumam pieejamais kopējais attiecināmais publiskais finansējums:</w:t>
            </w:r>
          </w:p>
          <w:p w14:paraId="59D25C3F" w14:textId="77777777" w:rsidR="00C16118" w:rsidRPr="001D5294" w:rsidRDefault="00C16118" w:rsidP="00C16118">
            <w:pPr>
              <w:tabs>
                <w:tab w:val="left" w:pos="1276"/>
              </w:tabs>
              <w:spacing w:before="60" w:after="60"/>
              <w:jc w:val="both"/>
            </w:pPr>
            <w:r w:rsidRPr="001D5294">
              <w:t xml:space="preserve">9.1. šo noteikumu 16. punktā minētajos gadījumos ir ne vairāk kā 115 533 508 </w:t>
            </w:r>
            <w:proofErr w:type="spellStart"/>
            <w:r w:rsidRPr="001D5294">
              <w:t>euro</w:t>
            </w:r>
            <w:proofErr w:type="spellEnd"/>
            <w:r w:rsidRPr="001D5294">
              <w:t xml:space="preserve">, tai skaitā Eiropas Reģionālās attīstības fonda finansējums ne vairāk kā 98 203 482 </w:t>
            </w:r>
            <w:proofErr w:type="spellStart"/>
            <w:r w:rsidRPr="001D5294">
              <w:t>euro</w:t>
            </w:r>
            <w:proofErr w:type="spellEnd"/>
            <w:r w:rsidRPr="001D5294">
              <w:t xml:space="preserve"> un valsts budžeta līdzfinansējums ne vairāk kā 17 330 026 </w:t>
            </w:r>
            <w:proofErr w:type="spellStart"/>
            <w:r w:rsidRPr="001D5294">
              <w:t>euro</w:t>
            </w:r>
            <w:proofErr w:type="spellEnd"/>
            <w:r w:rsidRPr="001D5294">
              <w:t>;</w:t>
            </w:r>
          </w:p>
          <w:p w14:paraId="390352DD" w14:textId="77777777" w:rsidR="0095526F" w:rsidRPr="001D5294" w:rsidRDefault="00C16118" w:rsidP="00C16118">
            <w:pPr>
              <w:tabs>
                <w:tab w:val="left" w:pos="1276"/>
              </w:tabs>
              <w:spacing w:before="60" w:after="60"/>
              <w:jc w:val="both"/>
            </w:pPr>
            <w:r w:rsidRPr="001D5294">
              <w:t xml:space="preserve">9.2. šo noteikumu 18. un 18.1 punktā minētajos gadījumos ir ne vairāk kā 129 022 508 </w:t>
            </w:r>
            <w:proofErr w:type="spellStart"/>
            <w:r w:rsidRPr="001D5294">
              <w:t>euro</w:t>
            </w:r>
            <w:proofErr w:type="spellEnd"/>
            <w:r w:rsidRPr="001D5294">
              <w:t xml:space="preserve">, tai skaitā Eiropas Reģionālās attīstības fonda finansējums ne vairāk kā 111 692 482 </w:t>
            </w:r>
            <w:proofErr w:type="spellStart"/>
            <w:r w:rsidRPr="001D5294">
              <w:t>euro</w:t>
            </w:r>
            <w:proofErr w:type="spellEnd"/>
            <w:r w:rsidRPr="001D5294">
              <w:t xml:space="preserve"> un valsts budžeta līdzfinansējums ne vairāk kā 17 330 026 </w:t>
            </w:r>
            <w:proofErr w:type="spellStart"/>
            <w:r w:rsidRPr="001D5294">
              <w:t>euro</w:t>
            </w:r>
            <w:proofErr w:type="spellEnd"/>
            <w:r w:rsidRPr="001D5294">
              <w:t>."</w:t>
            </w:r>
          </w:p>
          <w:p w14:paraId="48B66464" w14:textId="77777777" w:rsidR="00C16118" w:rsidRPr="001D5294" w:rsidRDefault="00C16118" w:rsidP="00C16118">
            <w:pPr>
              <w:tabs>
                <w:tab w:val="left" w:pos="1276"/>
              </w:tabs>
              <w:spacing w:before="60" w:after="60"/>
              <w:jc w:val="both"/>
            </w:pPr>
            <w:r w:rsidRPr="001D5294">
              <w:t>10. Izteikt 18.</w:t>
            </w:r>
            <w:r w:rsidRPr="001D5294">
              <w:rPr>
                <w:vertAlign w:val="superscript"/>
              </w:rPr>
              <w:t>1</w:t>
            </w:r>
            <w:r w:rsidRPr="001D5294">
              <w:t> 3.  apakšpunktu šādā redakcijā:</w:t>
            </w:r>
          </w:p>
          <w:p w14:paraId="18362C7E" w14:textId="77777777" w:rsidR="00C16118" w:rsidRPr="001D5294" w:rsidRDefault="00C16118" w:rsidP="00C16118">
            <w:pPr>
              <w:tabs>
                <w:tab w:val="left" w:pos="1276"/>
              </w:tabs>
              <w:spacing w:before="60" w:after="60"/>
              <w:jc w:val="both"/>
            </w:pPr>
          </w:p>
          <w:p w14:paraId="7155A148" w14:textId="77777777" w:rsidR="00C16118" w:rsidRPr="001D5294" w:rsidRDefault="00C16118" w:rsidP="00C16118">
            <w:pPr>
              <w:tabs>
                <w:tab w:val="left" w:pos="1276"/>
              </w:tabs>
              <w:spacing w:before="60" w:after="60"/>
              <w:jc w:val="both"/>
            </w:pPr>
            <w:r w:rsidRPr="001D5294">
              <w:t>"18.</w:t>
            </w:r>
            <w:r w:rsidRPr="001D5294">
              <w:rPr>
                <w:vertAlign w:val="superscript"/>
              </w:rPr>
              <w:t>1</w:t>
            </w:r>
            <w:r w:rsidRPr="001D5294">
              <w:t xml:space="preserve"> 3. Rīgas Tehniskās universitātei ne vairāk kā 32 </w:t>
            </w:r>
            <w:r w:rsidRPr="001D5294">
              <w:lastRenderedPageBreak/>
              <w:t xml:space="preserve">689 132  </w:t>
            </w:r>
            <w:r w:rsidRPr="001D5294">
              <w:rPr>
                <w:b/>
                <w:bCs/>
                <w:lang w:val="en-US"/>
              </w:rPr>
              <w:t xml:space="preserve"> </w:t>
            </w:r>
            <w:proofErr w:type="spellStart"/>
            <w:r w:rsidRPr="001D5294">
              <w:rPr>
                <w:i/>
                <w:iCs/>
              </w:rPr>
              <w:t>euro</w:t>
            </w:r>
            <w:proofErr w:type="spellEnd"/>
            <w:r w:rsidRPr="001D5294">
              <w:t xml:space="preserve">, ko veido publiskais finansējums ne vairāk kā 31 054 669  </w:t>
            </w:r>
            <w:proofErr w:type="spellStart"/>
            <w:r w:rsidRPr="001D5294">
              <w:rPr>
                <w:i/>
                <w:iCs/>
              </w:rPr>
              <w:t>euro</w:t>
            </w:r>
            <w:proofErr w:type="spellEnd"/>
            <w:r w:rsidRPr="001D5294">
              <w:t xml:space="preserve"> apmērā (tai skaitā Eiropas Reģionālās attīstības fonda finansējums – 27 270 121  </w:t>
            </w:r>
            <w:proofErr w:type="spellStart"/>
            <w:r w:rsidRPr="001D5294">
              <w:rPr>
                <w:i/>
                <w:iCs/>
              </w:rPr>
              <w:t>euro</w:t>
            </w:r>
            <w:proofErr w:type="spellEnd"/>
            <w:r w:rsidRPr="001D5294">
              <w:t> un valsts budžeta līdzfinansējums – 3 784 548 </w:t>
            </w:r>
            <w:proofErr w:type="spellStart"/>
            <w:r w:rsidRPr="001D5294">
              <w:rPr>
                <w:i/>
                <w:iCs/>
              </w:rPr>
              <w:t>euro</w:t>
            </w:r>
            <w:proofErr w:type="spellEnd"/>
            <w:r w:rsidRPr="001D5294">
              <w:t>) un zinātniskās institūcijas līdzfinansējums 1 634 463 </w:t>
            </w:r>
            <w:proofErr w:type="spellStart"/>
            <w:r w:rsidRPr="001D5294">
              <w:rPr>
                <w:i/>
                <w:iCs/>
              </w:rPr>
              <w:t>euro</w:t>
            </w:r>
            <w:proofErr w:type="spellEnd"/>
            <w:r w:rsidRPr="001D5294">
              <w:t> apmērā."</w:t>
            </w:r>
          </w:p>
          <w:p w14:paraId="7EA4213F" w14:textId="7629B4A0" w:rsidR="00C16118" w:rsidRPr="001D5294" w:rsidRDefault="00C16118" w:rsidP="00C16118">
            <w:pPr>
              <w:tabs>
                <w:tab w:val="left" w:pos="1276"/>
              </w:tabs>
              <w:spacing w:before="60" w:after="60"/>
              <w:jc w:val="both"/>
            </w:pPr>
          </w:p>
        </w:tc>
        <w:tc>
          <w:tcPr>
            <w:tcW w:w="3547" w:type="dxa"/>
            <w:shd w:val="clear" w:color="auto" w:fill="auto"/>
          </w:tcPr>
          <w:p w14:paraId="4B4A1741" w14:textId="77777777" w:rsidR="0095526F" w:rsidRPr="001D5294" w:rsidRDefault="0095526F" w:rsidP="00C14704">
            <w:pPr>
              <w:pStyle w:val="ListParagraph"/>
              <w:spacing w:before="60" w:after="60"/>
              <w:ind w:left="0"/>
              <w:jc w:val="both"/>
              <w:rPr>
                <w:rFonts w:ascii="Times New Roman" w:hAnsi="Times New Roman"/>
                <w:b/>
                <w:sz w:val="24"/>
                <w:szCs w:val="24"/>
                <w:lang w:eastAsia="lv-LV"/>
              </w:rPr>
            </w:pPr>
            <w:r w:rsidRPr="001D5294">
              <w:rPr>
                <w:rFonts w:ascii="Times New Roman" w:hAnsi="Times New Roman"/>
                <w:b/>
                <w:sz w:val="24"/>
                <w:szCs w:val="24"/>
                <w:lang w:eastAsia="lv-LV"/>
              </w:rPr>
              <w:lastRenderedPageBreak/>
              <w:t>FM 07.08.2020. iebildums:</w:t>
            </w:r>
          </w:p>
          <w:p w14:paraId="799C6A57" w14:textId="1A157FEF" w:rsidR="0095526F" w:rsidRPr="001D5294" w:rsidRDefault="0095526F" w:rsidP="00C4242D">
            <w:pPr>
              <w:pStyle w:val="ListParagraph"/>
              <w:spacing w:before="60" w:after="60"/>
              <w:ind w:left="0"/>
              <w:jc w:val="both"/>
              <w:rPr>
                <w:rFonts w:ascii="Times New Roman" w:hAnsi="Times New Roman"/>
                <w:sz w:val="24"/>
                <w:szCs w:val="24"/>
                <w:lang w:eastAsia="lv-LV"/>
              </w:rPr>
            </w:pPr>
            <w:r w:rsidRPr="001D5294">
              <w:rPr>
                <w:rFonts w:ascii="Times New Roman" w:hAnsi="Times New Roman"/>
                <w:sz w:val="24"/>
                <w:szCs w:val="24"/>
                <w:lang w:eastAsia="lv-LV"/>
              </w:rPr>
              <w:t>Lūdzam skaidrot un savstarpēji salāgot MK noteikumu projekta 6. un 10.punktā iekļautās izmaiņas. Vēršam uzmanību, ka MK noteikumu projekta 6.punktā iekļautais finansējuma palielinājums neatbilst MK noteikumu projekta 10.punktā norādītajām izmaiņām.</w:t>
            </w:r>
          </w:p>
        </w:tc>
        <w:tc>
          <w:tcPr>
            <w:tcW w:w="7636" w:type="dxa"/>
            <w:gridSpan w:val="3"/>
            <w:shd w:val="clear" w:color="auto" w:fill="auto"/>
          </w:tcPr>
          <w:p w14:paraId="6030C219" w14:textId="00F1A3A2" w:rsidR="00223516" w:rsidRPr="001D5294" w:rsidRDefault="00223516" w:rsidP="00BD2BC8">
            <w:pPr>
              <w:spacing w:before="60" w:after="60"/>
              <w:jc w:val="both"/>
              <w:rPr>
                <w:b/>
              </w:rPr>
            </w:pPr>
            <w:r w:rsidRPr="001D5294">
              <w:rPr>
                <w:b/>
              </w:rPr>
              <w:t>Saskaņošanas gaitā panākta vienošanās.</w:t>
            </w:r>
          </w:p>
          <w:p w14:paraId="6F593E25" w14:textId="77777777" w:rsidR="0095526F" w:rsidRPr="001D5294" w:rsidRDefault="0095526F" w:rsidP="00BD2BC8">
            <w:pPr>
              <w:spacing w:before="60" w:after="60"/>
              <w:jc w:val="both"/>
              <w:rPr>
                <w:b/>
              </w:rPr>
            </w:pPr>
            <w:r w:rsidRPr="001D5294">
              <w:rPr>
                <w:b/>
              </w:rPr>
              <w:t>IZM skaidrojums:</w:t>
            </w:r>
          </w:p>
          <w:p w14:paraId="66254B4F" w14:textId="25195A7C" w:rsidR="008F08D3" w:rsidRPr="001D5294" w:rsidRDefault="008F08D3" w:rsidP="00C14704">
            <w:pPr>
              <w:spacing w:before="60" w:after="60"/>
              <w:jc w:val="both"/>
            </w:pPr>
            <w:r w:rsidRPr="001D5294">
              <w:t>1. MK noteikumu projekta 6. punktā iekļautās izmaksas izriet ne tikai no noteikumu projekta 10. punktā norādītajām izmaiņām, bet arī no noteikumu projekta 7., 8. un 9. punktā norādītajām izmaiņām.</w:t>
            </w:r>
          </w:p>
          <w:p w14:paraId="4DB20A4D" w14:textId="66547CAA" w:rsidR="0095526F" w:rsidRPr="001D5294" w:rsidRDefault="008F08D3" w:rsidP="00C14704">
            <w:pPr>
              <w:spacing w:before="60" w:after="60"/>
              <w:jc w:val="both"/>
            </w:pPr>
            <w:r w:rsidRPr="001D5294">
              <w:t xml:space="preserve">2. </w:t>
            </w:r>
            <w:r w:rsidR="0095526F" w:rsidRPr="001D5294">
              <w:t xml:space="preserve">Noteikumu projekta 6.punktā samazināts 1.1.1.4. pasākumam pieejamais </w:t>
            </w:r>
            <w:r w:rsidRPr="001D5294">
              <w:t xml:space="preserve">publiskais attiecināmais </w:t>
            </w:r>
            <w:r w:rsidR="0095526F" w:rsidRPr="001D5294">
              <w:t xml:space="preserve">finansējums par neatbilstoši veiktām izmaksām  7 732 </w:t>
            </w:r>
            <w:proofErr w:type="spellStart"/>
            <w:r w:rsidR="0095526F" w:rsidRPr="001D5294">
              <w:rPr>
                <w:i/>
              </w:rPr>
              <w:t>euro</w:t>
            </w:r>
            <w:proofErr w:type="spellEnd"/>
            <w:r w:rsidR="0095526F" w:rsidRPr="001D5294">
              <w:t xml:space="preserve"> apmērā (ERAF-6573 </w:t>
            </w:r>
            <w:proofErr w:type="spellStart"/>
            <w:r w:rsidR="0095526F" w:rsidRPr="001D5294">
              <w:rPr>
                <w:i/>
              </w:rPr>
              <w:t>euro</w:t>
            </w:r>
            <w:proofErr w:type="spellEnd"/>
            <w:r w:rsidR="0095526F" w:rsidRPr="001D5294">
              <w:t>; VB – 1 159</w:t>
            </w:r>
            <w:r w:rsidR="0095526F" w:rsidRPr="001D5294">
              <w:rPr>
                <w:i/>
              </w:rPr>
              <w:t xml:space="preserve"> </w:t>
            </w:r>
            <w:proofErr w:type="spellStart"/>
            <w:r w:rsidR="0095526F" w:rsidRPr="001D5294">
              <w:rPr>
                <w:i/>
              </w:rPr>
              <w:t>euro</w:t>
            </w:r>
            <w:proofErr w:type="spellEnd"/>
            <w:r w:rsidR="0095526F" w:rsidRPr="001D5294">
              <w:t>), ko veido.</w:t>
            </w:r>
          </w:p>
          <w:p w14:paraId="4242055D" w14:textId="3A00CC5B" w:rsidR="0095526F" w:rsidRPr="001D5294" w:rsidRDefault="0095526F" w:rsidP="00C14704">
            <w:pPr>
              <w:spacing w:before="60" w:after="60"/>
              <w:jc w:val="both"/>
            </w:pPr>
            <w:r w:rsidRPr="001D5294">
              <w:t xml:space="preserve">a) noteikumu projekta 8. un 10.punktā samazināts RTU pieejamais finansējums, samazinot par neatbilstoši veiktām izmaksām (NVI) 135 </w:t>
            </w:r>
            <w:proofErr w:type="spellStart"/>
            <w:r w:rsidRPr="001D5294">
              <w:rPr>
                <w:i/>
              </w:rPr>
              <w:t>euro</w:t>
            </w:r>
            <w:proofErr w:type="spellEnd"/>
            <w:r w:rsidRPr="001D5294">
              <w:t xml:space="preserve"> apmērā (ERAF – 115</w:t>
            </w:r>
            <w:r w:rsidRPr="001D5294">
              <w:rPr>
                <w:i/>
              </w:rPr>
              <w:t xml:space="preserve"> </w:t>
            </w:r>
            <w:proofErr w:type="spellStart"/>
            <w:r w:rsidRPr="001D5294">
              <w:rPr>
                <w:i/>
              </w:rPr>
              <w:t>euro</w:t>
            </w:r>
            <w:proofErr w:type="spellEnd"/>
            <w:r w:rsidRPr="001D5294">
              <w:t>; VB – 20</w:t>
            </w:r>
            <w:r w:rsidRPr="001D5294">
              <w:rPr>
                <w:i/>
              </w:rPr>
              <w:t xml:space="preserve"> </w:t>
            </w:r>
            <w:proofErr w:type="spellStart"/>
            <w:r w:rsidRPr="001D5294">
              <w:rPr>
                <w:i/>
              </w:rPr>
              <w:t>euro</w:t>
            </w:r>
            <w:proofErr w:type="spellEnd"/>
            <w:r w:rsidRPr="001D5294">
              <w:t>).</w:t>
            </w:r>
          </w:p>
          <w:p w14:paraId="79D48F02" w14:textId="6576D46A" w:rsidR="0095526F" w:rsidRPr="001D5294" w:rsidRDefault="0095526F" w:rsidP="00C14704">
            <w:pPr>
              <w:spacing w:before="60" w:after="60"/>
              <w:jc w:val="both"/>
            </w:pPr>
            <w:r w:rsidRPr="001D5294">
              <w:t xml:space="preserve">b) noteikumu projekta 7.punktā EDI samazināts pieejamais finansējums, samazinot par  NVI 902 </w:t>
            </w:r>
            <w:proofErr w:type="spellStart"/>
            <w:r w:rsidRPr="001D5294">
              <w:t>euro</w:t>
            </w:r>
            <w:proofErr w:type="spellEnd"/>
            <w:r w:rsidRPr="001D5294">
              <w:t xml:space="preserve"> apmērā (ERAF – 767</w:t>
            </w:r>
            <w:r w:rsidR="008F08D3" w:rsidRPr="001D5294">
              <w:t xml:space="preserve"> </w:t>
            </w:r>
            <w:proofErr w:type="spellStart"/>
            <w:r w:rsidR="008F08D3" w:rsidRPr="001D5294">
              <w:rPr>
                <w:i/>
              </w:rPr>
              <w:t>euro</w:t>
            </w:r>
            <w:proofErr w:type="spellEnd"/>
            <w:r w:rsidRPr="001D5294">
              <w:t>; VB – 135</w:t>
            </w:r>
            <w:r w:rsidR="008F08D3" w:rsidRPr="001D5294">
              <w:t xml:space="preserve"> </w:t>
            </w:r>
            <w:proofErr w:type="spellStart"/>
            <w:r w:rsidR="008F08D3" w:rsidRPr="001D5294">
              <w:rPr>
                <w:i/>
              </w:rPr>
              <w:t>euro</w:t>
            </w:r>
            <w:proofErr w:type="spellEnd"/>
            <w:r w:rsidRPr="001D5294">
              <w:t>).</w:t>
            </w:r>
          </w:p>
          <w:p w14:paraId="6A7F31D7" w14:textId="45F9DCC6" w:rsidR="0095526F" w:rsidRPr="001D5294" w:rsidRDefault="0095526F" w:rsidP="00C14704">
            <w:pPr>
              <w:spacing w:before="60" w:after="60"/>
              <w:jc w:val="both"/>
            </w:pPr>
            <w:r w:rsidRPr="001D5294">
              <w:t xml:space="preserve">c) noteikumu projekta 9.punktā </w:t>
            </w:r>
            <w:proofErr w:type="spellStart"/>
            <w:r w:rsidRPr="001D5294">
              <w:t>ViA</w:t>
            </w:r>
            <w:proofErr w:type="spellEnd"/>
            <w:r w:rsidRPr="001D5294">
              <w:t xml:space="preserve"> samazināts pieejamais finansējums, samazinot par NVI  6 695 </w:t>
            </w:r>
            <w:proofErr w:type="spellStart"/>
            <w:r w:rsidRPr="001D5294">
              <w:rPr>
                <w:i/>
              </w:rPr>
              <w:t>euro</w:t>
            </w:r>
            <w:proofErr w:type="spellEnd"/>
            <w:r w:rsidRPr="001D5294">
              <w:t xml:space="preserve"> apmērā (ERAF – 5691</w:t>
            </w:r>
            <w:r w:rsidRPr="001D5294">
              <w:rPr>
                <w:i/>
              </w:rPr>
              <w:t xml:space="preserve"> </w:t>
            </w:r>
            <w:proofErr w:type="spellStart"/>
            <w:r w:rsidRPr="001D5294">
              <w:rPr>
                <w:i/>
              </w:rPr>
              <w:t>euro</w:t>
            </w:r>
            <w:proofErr w:type="spellEnd"/>
            <w:r w:rsidRPr="001D5294">
              <w:t>, VB – 1004</w:t>
            </w:r>
            <w:r w:rsidRPr="001D5294">
              <w:rPr>
                <w:i/>
              </w:rPr>
              <w:t xml:space="preserve"> </w:t>
            </w:r>
            <w:proofErr w:type="spellStart"/>
            <w:r w:rsidRPr="001D5294">
              <w:rPr>
                <w:i/>
              </w:rPr>
              <w:t>euro</w:t>
            </w:r>
            <w:proofErr w:type="spellEnd"/>
            <w:r w:rsidRPr="001D5294">
              <w:t>).</w:t>
            </w:r>
          </w:p>
          <w:p w14:paraId="2CA7F786" w14:textId="78D16530" w:rsidR="0095526F" w:rsidRPr="001D5294" w:rsidRDefault="0095526F" w:rsidP="00C14704">
            <w:pPr>
              <w:spacing w:before="60" w:after="60"/>
              <w:jc w:val="both"/>
            </w:pPr>
            <w:r w:rsidRPr="001D5294">
              <w:t xml:space="preserve"> Detalizēti aprēķin pieejami anotācijas 2. pielikuma 1. tabulā </w:t>
            </w:r>
            <w:r w:rsidR="005F2C99" w:rsidRPr="001D5294">
              <w:t>„</w:t>
            </w:r>
            <w:r w:rsidRPr="001D5294">
              <w:t>1.1.1.4. pasākuma ietvaros pieejamā publiskā finansējuma aprēķini</w:t>
            </w:r>
            <w:r w:rsidR="005F2C99" w:rsidRPr="001D5294">
              <w:t>”.</w:t>
            </w:r>
            <w:r w:rsidR="00201097" w:rsidRPr="001D5294">
              <w:t xml:space="preserve"> Aprēķini veikti, pamatojoties uz FM atzinumā sniegto informāciju un MK noteikumu Nr. 562 nosacījumiem.</w:t>
            </w:r>
          </w:p>
          <w:tbl>
            <w:tblPr>
              <w:tblW w:w="5000" w:type="pct"/>
              <w:tblLayout w:type="fixed"/>
              <w:tblLook w:val="04A0" w:firstRow="1" w:lastRow="0" w:firstColumn="1" w:lastColumn="0" w:noHBand="0" w:noVBand="1"/>
            </w:tblPr>
            <w:tblGrid>
              <w:gridCol w:w="677"/>
              <w:gridCol w:w="1818"/>
              <w:gridCol w:w="1313"/>
              <w:gridCol w:w="1289"/>
              <w:gridCol w:w="1200"/>
              <w:gridCol w:w="1113"/>
            </w:tblGrid>
            <w:tr w:rsidR="008F08D3" w:rsidRPr="001D5294" w14:paraId="471D82F0" w14:textId="77777777" w:rsidTr="002E2B38">
              <w:trPr>
                <w:trHeight w:val="409"/>
              </w:trPr>
              <w:tc>
                <w:tcPr>
                  <w:tcW w:w="5000" w:type="pct"/>
                  <w:gridSpan w:val="6"/>
                  <w:tcBorders>
                    <w:top w:val="single" w:sz="4" w:space="0" w:color="auto"/>
                    <w:left w:val="single" w:sz="4" w:space="0" w:color="auto"/>
                    <w:bottom w:val="single" w:sz="4" w:space="0" w:color="auto"/>
                    <w:right w:val="single" w:sz="4" w:space="0" w:color="000000"/>
                  </w:tcBorders>
                </w:tcPr>
                <w:p w14:paraId="072C3C9A" w14:textId="069A5430" w:rsidR="008F08D3" w:rsidRPr="001D5294" w:rsidRDefault="008F08D3" w:rsidP="00545EB7">
                  <w:pPr>
                    <w:framePr w:hSpace="180" w:wrap="around" w:vAnchor="text" w:hAnchor="text" w:x="-123" w:y="1"/>
                    <w:suppressOverlap/>
                    <w:jc w:val="center"/>
                    <w:rPr>
                      <w:sz w:val="22"/>
                      <w:szCs w:val="22"/>
                    </w:rPr>
                  </w:pPr>
                  <w:r w:rsidRPr="001D5294">
                    <w:rPr>
                      <w:sz w:val="22"/>
                      <w:szCs w:val="22"/>
                    </w:rPr>
                    <w:t xml:space="preserve">MK noteikumu projekts </w:t>
                  </w:r>
                </w:p>
              </w:tc>
            </w:tr>
            <w:tr w:rsidR="008F08D3" w:rsidRPr="001D5294" w14:paraId="06C50BD1" w14:textId="77777777" w:rsidTr="002E2B38">
              <w:trPr>
                <w:trHeight w:val="795"/>
              </w:trPr>
              <w:tc>
                <w:tcPr>
                  <w:tcW w:w="456" w:type="pct"/>
                  <w:tcBorders>
                    <w:top w:val="nil"/>
                    <w:left w:val="single" w:sz="4" w:space="0" w:color="auto"/>
                    <w:bottom w:val="single" w:sz="4" w:space="0" w:color="auto"/>
                    <w:right w:val="single" w:sz="4" w:space="0" w:color="auto"/>
                  </w:tcBorders>
                  <w:vAlign w:val="center"/>
                </w:tcPr>
                <w:p w14:paraId="56C43600" w14:textId="41326970" w:rsidR="008F08D3" w:rsidRPr="001D5294" w:rsidRDefault="008F08D3" w:rsidP="00545EB7">
                  <w:pPr>
                    <w:framePr w:hSpace="180" w:wrap="around" w:vAnchor="text" w:hAnchor="text" w:x="-123" w:y="1"/>
                    <w:suppressOverlap/>
                    <w:jc w:val="center"/>
                    <w:rPr>
                      <w:bCs/>
                      <w:sz w:val="20"/>
                      <w:szCs w:val="20"/>
                    </w:rPr>
                  </w:pPr>
                  <w:r w:rsidRPr="001D5294">
                    <w:rPr>
                      <w:bCs/>
                      <w:sz w:val="22"/>
                      <w:szCs w:val="22"/>
                    </w:rPr>
                    <w:t>MK N 562</w:t>
                  </w:r>
                </w:p>
              </w:tc>
              <w:tc>
                <w:tcPr>
                  <w:tcW w:w="1227" w:type="pct"/>
                  <w:tcBorders>
                    <w:top w:val="nil"/>
                    <w:left w:val="single" w:sz="4" w:space="0" w:color="auto"/>
                    <w:bottom w:val="single" w:sz="4" w:space="0" w:color="auto"/>
                    <w:right w:val="single" w:sz="4" w:space="0" w:color="auto"/>
                  </w:tcBorders>
                  <w:shd w:val="clear" w:color="auto" w:fill="auto"/>
                  <w:vAlign w:val="center"/>
                  <w:hideMark/>
                </w:tcPr>
                <w:p w14:paraId="5235045B" w14:textId="1F994A4D" w:rsidR="008F08D3" w:rsidRPr="001D5294" w:rsidRDefault="008F08D3" w:rsidP="00545EB7">
                  <w:pPr>
                    <w:framePr w:hSpace="180" w:wrap="around" w:vAnchor="text" w:hAnchor="text" w:x="-123" w:y="1"/>
                    <w:suppressOverlap/>
                    <w:jc w:val="center"/>
                    <w:rPr>
                      <w:bCs/>
                      <w:sz w:val="20"/>
                      <w:szCs w:val="20"/>
                    </w:rPr>
                  </w:pPr>
                  <w:r w:rsidRPr="001D5294">
                    <w:rPr>
                      <w:bCs/>
                      <w:sz w:val="20"/>
                      <w:szCs w:val="20"/>
                    </w:rPr>
                    <w:t>Attiecināmais finansējums kopā</w:t>
                  </w:r>
                </w:p>
              </w:tc>
              <w:tc>
                <w:tcPr>
                  <w:tcW w:w="886" w:type="pct"/>
                  <w:tcBorders>
                    <w:top w:val="nil"/>
                    <w:left w:val="nil"/>
                    <w:bottom w:val="single" w:sz="4" w:space="0" w:color="auto"/>
                    <w:right w:val="single" w:sz="4" w:space="0" w:color="auto"/>
                  </w:tcBorders>
                  <w:shd w:val="clear" w:color="auto" w:fill="auto"/>
                  <w:vAlign w:val="center"/>
                  <w:hideMark/>
                </w:tcPr>
                <w:p w14:paraId="56F508B9" w14:textId="77777777" w:rsidR="008F08D3" w:rsidRPr="001D5294" w:rsidRDefault="008F08D3" w:rsidP="00545EB7">
                  <w:pPr>
                    <w:framePr w:hSpace="180" w:wrap="around" w:vAnchor="text" w:hAnchor="text" w:x="-123" w:y="1"/>
                    <w:suppressOverlap/>
                    <w:jc w:val="center"/>
                    <w:rPr>
                      <w:bCs/>
                      <w:sz w:val="20"/>
                      <w:szCs w:val="20"/>
                    </w:rPr>
                  </w:pPr>
                  <w:r w:rsidRPr="001D5294">
                    <w:rPr>
                      <w:bCs/>
                      <w:sz w:val="20"/>
                      <w:szCs w:val="20"/>
                    </w:rPr>
                    <w:t>Publiskais finansējums kopā</w:t>
                  </w:r>
                </w:p>
              </w:tc>
              <w:tc>
                <w:tcPr>
                  <w:tcW w:w="870" w:type="pct"/>
                  <w:tcBorders>
                    <w:top w:val="nil"/>
                    <w:left w:val="nil"/>
                    <w:bottom w:val="single" w:sz="4" w:space="0" w:color="auto"/>
                    <w:right w:val="single" w:sz="4" w:space="0" w:color="auto"/>
                  </w:tcBorders>
                  <w:shd w:val="clear" w:color="auto" w:fill="auto"/>
                  <w:vAlign w:val="center"/>
                  <w:hideMark/>
                </w:tcPr>
                <w:p w14:paraId="115C901B" w14:textId="77777777" w:rsidR="008F08D3" w:rsidRPr="001D5294" w:rsidRDefault="008F08D3" w:rsidP="00545EB7">
                  <w:pPr>
                    <w:framePr w:hSpace="180" w:wrap="around" w:vAnchor="text" w:hAnchor="text" w:x="-123" w:y="1"/>
                    <w:suppressOverlap/>
                    <w:jc w:val="center"/>
                    <w:rPr>
                      <w:bCs/>
                      <w:sz w:val="20"/>
                      <w:szCs w:val="20"/>
                    </w:rPr>
                  </w:pPr>
                  <w:r w:rsidRPr="001D5294">
                    <w:rPr>
                      <w:bCs/>
                      <w:sz w:val="20"/>
                      <w:szCs w:val="20"/>
                    </w:rPr>
                    <w:t>ERAF</w:t>
                  </w:r>
                </w:p>
              </w:tc>
              <w:tc>
                <w:tcPr>
                  <w:tcW w:w="810" w:type="pct"/>
                  <w:tcBorders>
                    <w:top w:val="nil"/>
                    <w:left w:val="nil"/>
                    <w:bottom w:val="single" w:sz="4" w:space="0" w:color="auto"/>
                    <w:right w:val="single" w:sz="4" w:space="0" w:color="auto"/>
                  </w:tcBorders>
                  <w:shd w:val="clear" w:color="auto" w:fill="auto"/>
                  <w:vAlign w:val="center"/>
                  <w:hideMark/>
                </w:tcPr>
                <w:p w14:paraId="271108B1" w14:textId="77777777" w:rsidR="008F08D3" w:rsidRPr="001D5294" w:rsidRDefault="008F08D3" w:rsidP="00545EB7">
                  <w:pPr>
                    <w:framePr w:hSpace="180" w:wrap="around" w:vAnchor="text" w:hAnchor="text" w:x="-123" w:y="1"/>
                    <w:suppressOverlap/>
                    <w:jc w:val="center"/>
                    <w:rPr>
                      <w:bCs/>
                      <w:sz w:val="20"/>
                      <w:szCs w:val="20"/>
                    </w:rPr>
                  </w:pPr>
                  <w:r w:rsidRPr="001D5294">
                    <w:rPr>
                      <w:bCs/>
                      <w:sz w:val="20"/>
                      <w:szCs w:val="20"/>
                    </w:rPr>
                    <w:t>VB</w:t>
                  </w:r>
                </w:p>
              </w:tc>
              <w:tc>
                <w:tcPr>
                  <w:tcW w:w="750" w:type="pct"/>
                  <w:tcBorders>
                    <w:top w:val="nil"/>
                    <w:left w:val="nil"/>
                    <w:bottom w:val="single" w:sz="4" w:space="0" w:color="auto"/>
                    <w:right w:val="single" w:sz="4" w:space="0" w:color="auto"/>
                  </w:tcBorders>
                  <w:shd w:val="clear" w:color="auto" w:fill="auto"/>
                  <w:vAlign w:val="center"/>
                  <w:hideMark/>
                </w:tcPr>
                <w:p w14:paraId="53874092" w14:textId="77777777" w:rsidR="008F08D3" w:rsidRPr="001D5294" w:rsidRDefault="008F08D3" w:rsidP="00545EB7">
                  <w:pPr>
                    <w:framePr w:hSpace="180" w:wrap="around" w:vAnchor="text" w:hAnchor="text" w:x="-123" w:y="1"/>
                    <w:suppressOverlap/>
                    <w:jc w:val="center"/>
                    <w:rPr>
                      <w:bCs/>
                      <w:sz w:val="20"/>
                      <w:szCs w:val="20"/>
                    </w:rPr>
                  </w:pPr>
                  <w:r w:rsidRPr="001D5294">
                    <w:rPr>
                      <w:bCs/>
                      <w:sz w:val="20"/>
                      <w:szCs w:val="20"/>
                    </w:rPr>
                    <w:t>papildu finansējums izcilības centriem</w:t>
                  </w:r>
                </w:p>
              </w:tc>
            </w:tr>
            <w:tr w:rsidR="008F08D3" w:rsidRPr="001D5294" w14:paraId="2DD63747" w14:textId="77777777" w:rsidTr="002E2B38">
              <w:trPr>
                <w:trHeight w:val="300"/>
              </w:trPr>
              <w:tc>
                <w:tcPr>
                  <w:tcW w:w="456" w:type="pct"/>
                  <w:tcBorders>
                    <w:top w:val="nil"/>
                    <w:left w:val="single" w:sz="4" w:space="0" w:color="auto"/>
                    <w:bottom w:val="single" w:sz="4" w:space="0" w:color="auto"/>
                    <w:right w:val="single" w:sz="4" w:space="0" w:color="auto"/>
                  </w:tcBorders>
                  <w:shd w:val="clear" w:color="000000" w:fill="C5D9F1"/>
                  <w:vAlign w:val="center"/>
                </w:tcPr>
                <w:p w14:paraId="1FA0A642" w14:textId="3F62826D" w:rsidR="008F08D3" w:rsidRPr="001D5294" w:rsidRDefault="008F08D3" w:rsidP="00545EB7">
                  <w:pPr>
                    <w:framePr w:hSpace="180" w:wrap="around" w:vAnchor="text" w:hAnchor="text" w:x="-123" w:y="1"/>
                    <w:suppressOverlap/>
                    <w:jc w:val="center"/>
                    <w:rPr>
                      <w:bCs/>
                      <w:sz w:val="22"/>
                      <w:szCs w:val="22"/>
                    </w:rPr>
                  </w:pPr>
                  <w:r w:rsidRPr="001D5294">
                    <w:rPr>
                      <w:bCs/>
                      <w:sz w:val="22"/>
                      <w:szCs w:val="22"/>
                    </w:rPr>
                    <w:t>9.1.ap.</w:t>
                  </w:r>
                </w:p>
              </w:tc>
              <w:tc>
                <w:tcPr>
                  <w:tcW w:w="1227" w:type="pct"/>
                  <w:tcBorders>
                    <w:top w:val="nil"/>
                    <w:left w:val="single" w:sz="4" w:space="0" w:color="auto"/>
                    <w:bottom w:val="single" w:sz="4" w:space="0" w:color="auto"/>
                    <w:right w:val="single" w:sz="4" w:space="0" w:color="auto"/>
                  </w:tcBorders>
                  <w:shd w:val="clear" w:color="000000" w:fill="C5D9F1"/>
                  <w:noWrap/>
                  <w:vAlign w:val="center"/>
                  <w:hideMark/>
                </w:tcPr>
                <w:p w14:paraId="5062FE2F" w14:textId="40588986" w:rsidR="008F08D3" w:rsidRPr="001D5294" w:rsidRDefault="008F08D3" w:rsidP="00545EB7">
                  <w:pPr>
                    <w:framePr w:hSpace="180" w:wrap="around" w:vAnchor="text" w:hAnchor="text" w:x="-123" w:y="1"/>
                    <w:suppressOverlap/>
                    <w:jc w:val="center"/>
                    <w:rPr>
                      <w:bCs/>
                      <w:sz w:val="22"/>
                      <w:szCs w:val="22"/>
                    </w:rPr>
                  </w:pPr>
                  <w:r w:rsidRPr="001D5294">
                    <w:rPr>
                      <w:bCs/>
                      <w:sz w:val="22"/>
                      <w:szCs w:val="22"/>
                    </w:rPr>
                    <w:t>115 533 508,00</w:t>
                  </w:r>
                </w:p>
              </w:tc>
              <w:tc>
                <w:tcPr>
                  <w:tcW w:w="886" w:type="pct"/>
                  <w:tcBorders>
                    <w:top w:val="nil"/>
                    <w:left w:val="nil"/>
                    <w:bottom w:val="single" w:sz="4" w:space="0" w:color="auto"/>
                    <w:right w:val="single" w:sz="4" w:space="0" w:color="auto"/>
                  </w:tcBorders>
                  <w:shd w:val="clear" w:color="000000" w:fill="C5D9F1"/>
                  <w:noWrap/>
                  <w:vAlign w:val="center"/>
                  <w:hideMark/>
                </w:tcPr>
                <w:p w14:paraId="00BE1FD4" w14:textId="77777777" w:rsidR="008F08D3" w:rsidRPr="001D5294" w:rsidRDefault="008F08D3" w:rsidP="00545EB7">
                  <w:pPr>
                    <w:framePr w:hSpace="180" w:wrap="around" w:vAnchor="text" w:hAnchor="text" w:x="-123" w:y="1"/>
                    <w:suppressOverlap/>
                    <w:jc w:val="center"/>
                    <w:rPr>
                      <w:bCs/>
                      <w:sz w:val="22"/>
                      <w:szCs w:val="22"/>
                    </w:rPr>
                  </w:pPr>
                  <w:r w:rsidRPr="001D5294">
                    <w:rPr>
                      <w:bCs/>
                      <w:sz w:val="22"/>
                      <w:szCs w:val="22"/>
                    </w:rPr>
                    <w:t>115 533 508</w:t>
                  </w:r>
                </w:p>
              </w:tc>
              <w:tc>
                <w:tcPr>
                  <w:tcW w:w="870" w:type="pct"/>
                  <w:tcBorders>
                    <w:top w:val="nil"/>
                    <w:left w:val="nil"/>
                    <w:bottom w:val="single" w:sz="4" w:space="0" w:color="auto"/>
                    <w:right w:val="single" w:sz="4" w:space="0" w:color="auto"/>
                  </w:tcBorders>
                  <w:shd w:val="clear" w:color="000000" w:fill="C5D9F1"/>
                  <w:noWrap/>
                  <w:vAlign w:val="center"/>
                  <w:hideMark/>
                </w:tcPr>
                <w:p w14:paraId="18D7B7D3" w14:textId="44ADEF3F" w:rsidR="008F08D3" w:rsidRPr="001D5294" w:rsidRDefault="008F08D3" w:rsidP="00545EB7">
                  <w:pPr>
                    <w:framePr w:hSpace="180" w:wrap="around" w:vAnchor="text" w:hAnchor="text" w:x="-123" w:y="1"/>
                    <w:suppressOverlap/>
                    <w:jc w:val="center"/>
                    <w:rPr>
                      <w:bCs/>
                      <w:sz w:val="22"/>
                      <w:szCs w:val="22"/>
                    </w:rPr>
                  </w:pPr>
                  <w:r w:rsidRPr="001D5294">
                    <w:rPr>
                      <w:bCs/>
                      <w:sz w:val="22"/>
                      <w:szCs w:val="22"/>
                    </w:rPr>
                    <w:t>98 203 482</w:t>
                  </w:r>
                </w:p>
              </w:tc>
              <w:tc>
                <w:tcPr>
                  <w:tcW w:w="810" w:type="pct"/>
                  <w:tcBorders>
                    <w:top w:val="nil"/>
                    <w:left w:val="nil"/>
                    <w:bottom w:val="single" w:sz="4" w:space="0" w:color="auto"/>
                    <w:right w:val="single" w:sz="4" w:space="0" w:color="auto"/>
                  </w:tcBorders>
                  <w:shd w:val="clear" w:color="000000" w:fill="C5D9F1"/>
                  <w:noWrap/>
                  <w:vAlign w:val="center"/>
                  <w:hideMark/>
                </w:tcPr>
                <w:p w14:paraId="26B3C8C9" w14:textId="54B082BA" w:rsidR="008F08D3" w:rsidRPr="001D5294" w:rsidRDefault="008F08D3" w:rsidP="00545EB7">
                  <w:pPr>
                    <w:framePr w:hSpace="180" w:wrap="around" w:vAnchor="text" w:hAnchor="text" w:x="-123" w:y="1"/>
                    <w:suppressOverlap/>
                    <w:jc w:val="center"/>
                    <w:rPr>
                      <w:bCs/>
                      <w:sz w:val="22"/>
                      <w:szCs w:val="22"/>
                    </w:rPr>
                  </w:pPr>
                  <w:r w:rsidRPr="001D5294">
                    <w:rPr>
                      <w:bCs/>
                      <w:sz w:val="22"/>
                      <w:szCs w:val="22"/>
                    </w:rPr>
                    <w:t>17 330 026</w:t>
                  </w:r>
                </w:p>
              </w:tc>
              <w:tc>
                <w:tcPr>
                  <w:tcW w:w="750" w:type="pct"/>
                  <w:tcBorders>
                    <w:top w:val="nil"/>
                    <w:left w:val="nil"/>
                    <w:bottom w:val="single" w:sz="4" w:space="0" w:color="auto"/>
                    <w:right w:val="single" w:sz="4" w:space="0" w:color="auto"/>
                  </w:tcBorders>
                  <w:shd w:val="clear" w:color="000000" w:fill="C5D9F1"/>
                  <w:noWrap/>
                  <w:vAlign w:val="center"/>
                  <w:hideMark/>
                </w:tcPr>
                <w:p w14:paraId="5A2A8FA9" w14:textId="77777777" w:rsidR="008F08D3" w:rsidRPr="001D5294" w:rsidRDefault="008F08D3" w:rsidP="00545EB7">
                  <w:pPr>
                    <w:framePr w:hSpace="180" w:wrap="around" w:vAnchor="text" w:hAnchor="text" w:x="-123" w:y="1"/>
                    <w:suppressOverlap/>
                    <w:jc w:val="center"/>
                    <w:rPr>
                      <w:bCs/>
                      <w:sz w:val="22"/>
                      <w:szCs w:val="22"/>
                    </w:rPr>
                  </w:pPr>
                  <w:r w:rsidRPr="001D5294">
                    <w:rPr>
                      <w:bCs/>
                      <w:sz w:val="22"/>
                      <w:szCs w:val="22"/>
                    </w:rPr>
                    <w:t>0,00</w:t>
                  </w:r>
                </w:p>
              </w:tc>
            </w:tr>
            <w:tr w:rsidR="008F08D3" w:rsidRPr="001D5294" w14:paraId="2AB8DF0E" w14:textId="77777777" w:rsidTr="002E2B38">
              <w:trPr>
                <w:trHeight w:val="615"/>
              </w:trPr>
              <w:tc>
                <w:tcPr>
                  <w:tcW w:w="456" w:type="pct"/>
                  <w:tcBorders>
                    <w:top w:val="nil"/>
                    <w:left w:val="single" w:sz="4" w:space="0" w:color="auto"/>
                    <w:bottom w:val="single" w:sz="4" w:space="0" w:color="auto"/>
                    <w:right w:val="single" w:sz="4" w:space="0" w:color="auto"/>
                  </w:tcBorders>
                  <w:shd w:val="clear" w:color="000000" w:fill="F2DCDB"/>
                  <w:vAlign w:val="center"/>
                </w:tcPr>
                <w:p w14:paraId="1A167AA8" w14:textId="4603BF5C" w:rsidR="008F08D3" w:rsidRPr="001D5294" w:rsidRDefault="008F08D3" w:rsidP="00545EB7">
                  <w:pPr>
                    <w:framePr w:hSpace="180" w:wrap="around" w:vAnchor="text" w:hAnchor="text" w:x="-123" w:y="1"/>
                    <w:suppressOverlap/>
                    <w:jc w:val="center"/>
                    <w:rPr>
                      <w:bCs/>
                      <w:sz w:val="22"/>
                      <w:szCs w:val="22"/>
                    </w:rPr>
                  </w:pPr>
                  <w:r w:rsidRPr="001D5294">
                    <w:rPr>
                      <w:bCs/>
                      <w:sz w:val="22"/>
                      <w:szCs w:val="22"/>
                    </w:rPr>
                    <w:t>9.2.ap.</w:t>
                  </w:r>
                </w:p>
              </w:tc>
              <w:tc>
                <w:tcPr>
                  <w:tcW w:w="1227" w:type="pct"/>
                  <w:tcBorders>
                    <w:top w:val="nil"/>
                    <w:left w:val="single" w:sz="4" w:space="0" w:color="auto"/>
                    <w:bottom w:val="single" w:sz="4" w:space="0" w:color="auto"/>
                    <w:right w:val="single" w:sz="4" w:space="0" w:color="auto"/>
                  </w:tcBorders>
                  <w:shd w:val="clear" w:color="000000" w:fill="F2DCDB"/>
                  <w:noWrap/>
                  <w:vAlign w:val="center"/>
                  <w:hideMark/>
                </w:tcPr>
                <w:p w14:paraId="0E1357BE" w14:textId="7116FDE0" w:rsidR="008F08D3" w:rsidRPr="001D5294" w:rsidRDefault="008F08D3" w:rsidP="00545EB7">
                  <w:pPr>
                    <w:framePr w:hSpace="180" w:wrap="around" w:vAnchor="text" w:hAnchor="text" w:x="-123" w:y="1"/>
                    <w:suppressOverlap/>
                    <w:jc w:val="center"/>
                    <w:rPr>
                      <w:bCs/>
                      <w:sz w:val="22"/>
                      <w:szCs w:val="22"/>
                    </w:rPr>
                  </w:pPr>
                  <w:r w:rsidRPr="001D5294">
                    <w:rPr>
                      <w:bCs/>
                      <w:sz w:val="22"/>
                      <w:szCs w:val="22"/>
                    </w:rPr>
                    <w:t>133 488 295,00</w:t>
                  </w:r>
                </w:p>
              </w:tc>
              <w:tc>
                <w:tcPr>
                  <w:tcW w:w="886" w:type="pct"/>
                  <w:tcBorders>
                    <w:top w:val="nil"/>
                    <w:left w:val="nil"/>
                    <w:bottom w:val="single" w:sz="4" w:space="0" w:color="auto"/>
                    <w:right w:val="single" w:sz="4" w:space="0" w:color="auto"/>
                  </w:tcBorders>
                  <w:shd w:val="clear" w:color="000000" w:fill="F2DCDB"/>
                  <w:noWrap/>
                  <w:vAlign w:val="center"/>
                  <w:hideMark/>
                </w:tcPr>
                <w:p w14:paraId="1719C94D" w14:textId="77777777" w:rsidR="008F08D3" w:rsidRPr="001D5294" w:rsidRDefault="008F08D3" w:rsidP="00545EB7">
                  <w:pPr>
                    <w:framePr w:hSpace="180" w:wrap="around" w:vAnchor="text" w:hAnchor="text" w:x="-123" w:y="1"/>
                    <w:suppressOverlap/>
                    <w:jc w:val="center"/>
                    <w:rPr>
                      <w:bCs/>
                      <w:sz w:val="22"/>
                      <w:szCs w:val="22"/>
                    </w:rPr>
                  </w:pPr>
                  <w:r w:rsidRPr="001D5294">
                    <w:rPr>
                      <w:bCs/>
                      <w:sz w:val="22"/>
                      <w:szCs w:val="22"/>
                    </w:rPr>
                    <w:t>129 022 508,00</w:t>
                  </w:r>
                </w:p>
              </w:tc>
              <w:tc>
                <w:tcPr>
                  <w:tcW w:w="870" w:type="pct"/>
                  <w:tcBorders>
                    <w:top w:val="nil"/>
                    <w:left w:val="nil"/>
                    <w:bottom w:val="single" w:sz="4" w:space="0" w:color="auto"/>
                    <w:right w:val="single" w:sz="4" w:space="0" w:color="auto"/>
                  </w:tcBorders>
                  <w:shd w:val="clear" w:color="000000" w:fill="F2DCDB"/>
                  <w:noWrap/>
                  <w:vAlign w:val="center"/>
                  <w:hideMark/>
                </w:tcPr>
                <w:p w14:paraId="534C4811" w14:textId="174D487C" w:rsidR="008F08D3" w:rsidRPr="001D5294" w:rsidRDefault="008F08D3" w:rsidP="00545EB7">
                  <w:pPr>
                    <w:framePr w:hSpace="180" w:wrap="around" w:vAnchor="text" w:hAnchor="text" w:x="-123" w:y="1"/>
                    <w:suppressOverlap/>
                    <w:jc w:val="center"/>
                    <w:rPr>
                      <w:bCs/>
                      <w:sz w:val="22"/>
                      <w:szCs w:val="22"/>
                    </w:rPr>
                  </w:pPr>
                  <w:r w:rsidRPr="001D5294">
                    <w:rPr>
                      <w:bCs/>
                      <w:sz w:val="22"/>
                      <w:szCs w:val="22"/>
                    </w:rPr>
                    <w:t>111 692 482</w:t>
                  </w:r>
                </w:p>
              </w:tc>
              <w:tc>
                <w:tcPr>
                  <w:tcW w:w="810" w:type="pct"/>
                  <w:tcBorders>
                    <w:top w:val="nil"/>
                    <w:left w:val="nil"/>
                    <w:bottom w:val="single" w:sz="4" w:space="0" w:color="auto"/>
                    <w:right w:val="single" w:sz="4" w:space="0" w:color="auto"/>
                  </w:tcBorders>
                  <w:shd w:val="clear" w:color="000000" w:fill="F2DCDB"/>
                  <w:noWrap/>
                  <w:vAlign w:val="center"/>
                  <w:hideMark/>
                </w:tcPr>
                <w:p w14:paraId="30759DC0" w14:textId="74C34BDC" w:rsidR="008F08D3" w:rsidRPr="001D5294" w:rsidRDefault="008F08D3" w:rsidP="00545EB7">
                  <w:pPr>
                    <w:framePr w:hSpace="180" w:wrap="around" w:vAnchor="text" w:hAnchor="text" w:x="-123" w:y="1"/>
                    <w:suppressOverlap/>
                    <w:jc w:val="center"/>
                    <w:rPr>
                      <w:bCs/>
                      <w:sz w:val="22"/>
                      <w:szCs w:val="22"/>
                    </w:rPr>
                  </w:pPr>
                  <w:r w:rsidRPr="001D5294">
                    <w:rPr>
                      <w:bCs/>
                      <w:sz w:val="22"/>
                      <w:szCs w:val="22"/>
                    </w:rPr>
                    <w:t>17 330 026</w:t>
                  </w:r>
                </w:p>
              </w:tc>
              <w:tc>
                <w:tcPr>
                  <w:tcW w:w="750" w:type="pct"/>
                  <w:tcBorders>
                    <w:top w:val="nil"/>
                    <w:left w:val="nil"/>
                    <w:bottom w:val="single" w:sz="4" w:space="0" w:color="auto"/>
                    <w:right w:val="single" w:sz="4" w:space="0" w:color="auto"/>
                  </w:tcBorders>
                  <w:shd w:val="clear" w:color="000000" w:fill="F2DCDB"/>
                  <w:noWrap/>
                  <w:vAlign w:val="center"/>
                  <w:hideMark/>
                </w:tcPr>
                <w:p w14:paraId="2B31A5F8" w14:textId="2261EE18" w:rsidR="008F08D3" w:rsidRPr="001D5294" w:rsidRDefault="008F08D3" w:rsidP="00545EB7">
                  <w:pPr>
                    <w:framePr w:hSpace="180" w:wrap="around" w:vAnchor="text" w:hAnchor="text" w:x="-123" w:y="1"/>
                    <w:suppressOverlap/>
                    <w:jc w:val="center"/>
                    <w:rPr>
                      <w:bCs/>
                      <w:sz w:val="22"/>
                      <w:szCs w:val="22"/>
                    </w:rPr>
                  </w:pPr>
                  <w:r w:rsidRPr="001D5294">
                    <w:rPr>
                      <w:bCs/>
                      <w:sz w:val="22"/>
                      <w:szCs w:val="22"/>
                    </w:rPr>
                    <w:t>4 465 787</w:t>
                  </w:r>
                </w:p>
              </w:tc>
            </w:tr>
          </w:tbl>
          <w:p w14:paraId="5B592958" w14:textId="77777777" w:rsidR="0095526F" w:rsidRPr="001D5294" w:rsidRDefault="0095526F" w:rsidP="008F08D3">
            <w:pPr>
              <w:spacing w:before="60" w:after="60"/>
              <w:jc w:val="both"/>
            </w:pPr>
          </w:p>
        </w:tc>
      </w:tr>
      <w:tr w:rsidR="00B02368" w:rsidRPr="001D5294" w14:paraId="543F2988" w14:textId="77777777" w:rsidTr="004C1D00">
        <w:trPr>
          <w:trHeight w:val="274"/>
        </w:trPr>
        <w:tc>
          <w:tcPr>
            <w:tcW w:w="644" w:type="dxa"/>
            <w:shd w:val="clear" w:color="auto" w:fill="FFFFFF" w:themeFill="background1"/>
          </w:tcPr>
          <w:p w14:paraId="5D4F9EA6" w14:textId="3CC0C1AC" w:rsidR="00B02368" w:rsidRPr="001D5294" w:rsidRDefault="00B02368" w:rsidP="00C4242D">
            <w:pPr>
              <w:numPr>
                <w:ilvl w:val="0"/>
                <w:numId w:val="31"/>
              </w:numPr>
              <w:tabs>
                <w:tab w:val="center" w:pos="284"/>
              </w:tabs>
              <w:spacing w:before="60" w:after="60"/>
              <w:ind w:left="0" w:firstLine="0"/>
            </w:pPr>
          </w:p>
        </w:tc>
        <w:tc>
          <w:tcPr>
            <w:tcW w:w="3039" w:type="dxa"/>
            <w:shd w:val="clear" w:color="auto" w:fill="auto"/>
          </w:tcPr>
          <w:p w14:paraId="52862B28" w14:textId="6E467394" w:rsidR="00B02368" w:rsidRPr="001D5294" w:rsidRDefault="00B02368" w:rsidP="009B414F">
            <w:pPr>
              <w:tabs>
                <w:tab w:val="left" w:pos="1276"/>
              </w:tabs>
              <w:spacing w:before="60" w:after="60"/>
              <w:jc w:val="both"/>
            </w:pPr>
            <w:r w:rsidRPr="001D5294">
              <w:t>21.1.1. pētniecības organizācijas ar saimniecisku darbību nesaistīta pamatdarbība;</w:t>
            </w:r>
          </w:p>
        </w:tc>
        <w:tc>
          <w:tcPr>
            <w:tcW w:w="3547" w:type="dxa"/>
            <w:shd w:val="clear" w:color="auto" w:fill="auto"/>
          </w:tcPr>
          <w:p w14:paraId="1FCCEE3A" w14:textId="77777777" w:rsidR="00B02368" w:rsidRPr="001D5294" w:rsidRDefault="00B02368" w:rsidP="00C4242D">
            <w:pPr>
              <w:pStyle w:val="ListParagraph"/>
              <w:spacing w:before="60" w:after="60"/>
              <w:ind w:left="0"/>
              <w:jc w:val="both"/>
              <w:rPr>
                <w:rFonts w:ascii="Times New Roman" w:hAnsi="Times New Roman"/>
                <w:b/>
                <w:sz w:val="24"/>
                <w:szCs w:val="24"/>
                <w:lang w:eastAsia="lv-LV"/>
              </w:rPr>
            </w:pPr>
            <w:r w:rsidRPr="001D5294">
              <w:rPr>
                <w:rFonts w:ascii="Times New Roman" w:hAnsi="Times New Roman"/>
                <w:b/>
                <w:sz w:val="24"/>
                <w:szCs w:val="24"/>
                <w:lang w:eastAsia="lv-LV"/>
              </w:rPr>
              <w:t>FM 07.08.2020. iebildums:</w:t>
            </w:r>
          </w:p>
          <w:p w14:paraId="00328A1B" w14:textId="3B8C53C3" w:rsidR="00B02368" w:rsidRPr="001D5294" w:rsidRDefault="00BD2BC8" w:rsidP="00C4242D">
            <w:pPr>
              <w:pStyle w:val="ListParagraph"/>
              <w:spacing w:before="60" w:after="60"/>
              <w:ind w:left="0"/>
              <w:jc w:val="both"/>
              <w:rPr>
                <w:rFonts w:ascii="Times New Roman" w:hAnsi="Times New Roman"/>
                <w:sz w:val="24"/>
                <w:szCs w:val="24"/>
                <w:lang w:eastAsia="lv-LV"/>
              </w:rPr>
            </w:pPr>
            <w:r w:rsidRPr="001D5294">
              <w:rPr>
                <w:rFonts w:ascii="Times New Roman" w:hAnsi="Times New Roman"/>
                <w:sz w:val="24"/>
                <w:szCs w:val="24"/>
                <w:lang w:eastAsia="lv-LV"/>
              </w:rPr>
              <w:t xml:space="preserve">Vēršam uzmanību, ka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(turpmāk – MK noteikumi Nr.562) un MK noteikumu projektā netiek lietots </w:t>
            </w:r>
            <w:r w:rsidRPr="001D5294">
              <w:rPr>
                <w:rFonts w:ascii="Times New Roman" w:hAnsi="Times New Roman"/>
                <w:sz w:val="24"/>
                <w:szCs w:val="24"/>
                <w:lang w:eastAsia="lv-LV"/>
              </w:rPr>
              <w:lastRenderedPageBreak/>
              <w:t>termins “pētniecības organizācijas ar saimniecisku darbību nesaistīta pamatdarbība”, kā arī tam nav dota definīcija, aicinām pārskatīt un precizēt MK noteikumu projekta 11.punktā izteikto 21.1.1.apakšpunktu.</w:t>
            </w:r>
          </w:p>
        </w:tc>
        <w:tc>
          <w:tcPr>
            <w:tcW w:w="3685" w:type="dxa"/>
            <w:shd w:val="clear" w:color="auto" w:fill="auto"/>
          </w:tcPr>
          <w:p w14:paraId="7FD776A5" w14:textId="77777777" w:rsidR="00BD2BC8" w:rsidRPr="001D5294" w:rsidRDefault="00BD2BC8" w:rsidP="00BD2BC8">
            <w:pPr>
              <w:spacing w:before="60" w:after="60"/>
              <w:jc w:val="both"/>
              <w:rPr>
                <w:b/>
              </w:rPr>
            </w:pPr>
            <w:r w:rsidRPr="001D5294">
              <w:rPr>
                <w:b/>
              </w:rPr>
              <w:lastRenderedPageBreak/>
              <w:t>Ņemts vērā.</w:t>
            </w:r>
          </w:p>
          <w:p w14:paraId="2DE8E8DB" w14:textId="50F4FF92" w:rsidR="00B02368" w:rsidRPr="001D5294" w:rsidRDefault="00BD2BC8" w:rsidP="00C4242D">
            <w:pPr>
              <w:spacing w:before="60" w:after="60"/>
              <w:jc w:val="both"/>
            </w:pPr>
            <w:r w:rsidRPr="001D5294">
              <w:t>21.1.1. punkts precizēts, izmantojot MK noteikumu Nr. 562 2.4. apakšpunktā norādīto terminu</w:t>
            </w:r>
          </w:p>
        </w:tc>
        <w:tc>
          <w:tcPr>
            <w:tcW w:w="3951" w:type="dxa"/>
            <w:gridSpan w:val="2"/>
            <w:shd w:val="clear" w:color="auto" w:fill="auto"/>
          </w:tcPr>
          <w:p w14:paraId="5B39D221" w14:textId="0FBD2DBD" w:rsidR="00B02368" w:rsidRPr="001D5294" w:rsidRDefault="00BD2BC8" w:rsidP="00BD2BC8">
            <w:pPr>
              <w:pStyle w:val="tv2132"/>
              <w:spacing w:before="60" w:after="60" w:line="240" w:lineRule="auto"/>
              <w:ind w:firstLine="0"/>
              <w:rPr>
                <w:color w:val="auto"/>
                <w:sz w:val="24"/>
                <w:szCs w:val="24"/>
                <w:lang w:val="lv-LV"/>
              </w:rPr>
            </w:pPr>
            <w:r w:rsidRPr="001D5294">
              <w:rPr>
                <w:color w:val="auto"/>
                <w:sz w:val="24"/>
                <w:szCs w:val="24"/>
                <w:lang w:val="lv-LV" w:eastAsia="lv-LV"/>
              </w:rPr>
              <w:t>21.1.1. pētniecības organizācijas darbība, kurai nav saimnieciska rakstura;</w:t>
            </w:r>
          </w:p>
        </w:tc>
      </w:tr>
      <w:tr w:rsidR="008E2CD9" w:rsidRPr="001D5294" w14:paraId="5138D15E" w14:textId="77777777" w:rsidTr="004C1D00">
        <w:trPr>
          <w:trHeight w:val="274"/>
        </w:trPr>
        <w:tc>
          <w:tcPr>
            <w:tcW w:w="644" w:type="dxa"/>
            <w:shd w:val="clear" w:color="auto" w:fill="FFFFFF" w:themeFill="background1"/>
          </w:tcPr>
          <w:p w14:paraId="3C0A6935" w14:textId="13DBEB7C" w:rsidR="004118C7" w:rsidRPr="001D5294" w:rsidRDefault="004118C7" w:rsidP="00C4242D">
            <w:pPr>
              <w:numPr>
                <w:ilvl w:val="0"/>
                <w:numId w:val="31"/>
              </w:numPr>
              <w:tabs>
                <w:tab w:val="center" w:pos="284"/>
              </w:tabs>
              <w:spacing w:before="60" w:after="60"/>
              <w:ind w:left="0" w:firstLine="0"/>
            </w:pPr>
          </w:p>
        </w:tc>
        <w:tc>
          <w:tcPr>
            <w:tcW w:w="3039" w:type="dxa"/>
            <w:shd w:val="clear" w:color="auto" w:fill="auto"/>
          </w:tcPr>
          <w:p w14:paraId="272828D0" w14:textId="77777777" w:rsidR="009B414F" w:rsidRPr="001D5294" w:rsidRDefault="009B414F" w:rsidP="009B414F">
            <w:pPr>
              <w:tabs>
                <w:tab w:val="left" w:pos="1276"/>
              </w:tabs>
              <w:spacing w:before="60" w:after="60"/>
              <w:jc w:val="both"/>
            </w:pPr>
          </w:p>
          <w:p w14:paraId="7672E5FA" w14:textId="4AB2889B" w:rsidR="004118C7" w:rsidRPr="001D5294" w:rsidRDefault="009B414F" w:rsidP="009B414F">
            <w:pPr>
              <w:tabs>
                <w:tab w:val="left" w:pos="1276"/>
              </w:tabs>
              <w:spacing w:before="60" w:after="60"/>
              <w:jc w:val="both"/>
            </w:pPr>
            <w:r w:rsidRPr="001D5294">
              <w:t>21.</w:t>
            </w:r>
            <w:r w:rsidRPr="001D5294">
              <w:rPr>
                <w:vertAlign w:val="superscript"/>
              </w:rPr>
              <w:t>3</w:t>
            </w:r>
            <w:r w:rsidRPr="001D5294">
              <w:t xml:space="preserve"> Šo noteikumu 21.1.2.  apakšpunktā minētajā gadījumā sadarbības iestāde veic projektu ikgadēju uzraudzību un uzkrāj datus visā projektu ietvaros modernizētās infrastruktūras amortizācijas periodā līdz 2035. gada 31. decembrim.</w:t>
            </w:r>
          </w:p>
        </w:tc>
        <w:tc>
          <w:tcPr>
            <w:tcW w:w="3547" w:type="dxa"/>
            <w:shd w:val="clear" w:color="auto" w:fill="auto"/>
          </w:tcPr>
          <w:p w14:paraId="1F4464B3" w14:textId="08BA7114" w:rsidR="00D15494" w:rsidRPr="001D5294" w:rsidRDefault="00C4242D" w:rsidP="00C4242D">
            <w:pPr>
              <w:pStyle w:val="ListParagraph"/>
              <w:spacing w:before="60" w:after="60"/>
              <w:ind w:left="0"/>
              <w:jc w:val="both"/>
              <w:rPr>
                <w:rFonts w:ascii="Times New Roman" w:hAnsi="Times New Roman"/>
                <w:sz w:val="24"/>
                <w:szCs w:val="24"/>
                <w:lang w:eastAsia="lv-LV"/>
              </w:rPr>
            </w:pPr>
            <w:r w:rsidRPr="001D5294">
              <w:rPr>
                <w:rFonts w:ascii="Times New Roman" w:hAnsi="Times New Roman"/>
                <w:b/>
                <w:sz w:val="24"/>
                <w:szCs w:val="24"/>
                <w:lang w:eastAsia="lv-LV"/>
              </w:rPr>
              <w:t xml:space="preserve">FM: </w:t>
            </w:r>
            <w:r w:rsidR="00D15494" w:rsidRPr="001D5294">
              <w:rPr>
                <w:rFonts w:ascii="Times New Roman" w:hAnsi="Times New Roman"/>
                <w:sz w:val="24"/>
                <w:szCs w:val="24"/>
                <w:lang w:eastAsia="lv-LV"/>
              </w:rPr>
              <w:t>MK noteikumu projekta 5.punkts paredz papildināt MK noteikumus ar 21.</w:t>
            </w:r>
            <w:r w:rsidR="00D15494" w:rsidRPr="001D5294">
              <w:rPr>
                <w:rFonts w:ascii="Times New Roman" w:hAnsi="Times New Roman"/>
                <w:sz w:val="24"/>
                <w:szCs w:val="24"/>
                <w:vertAlign w:val="superscript"/>
                <w:lang w:eastAsia="lv-LV"/>
              </w:rPr>
              <w:t>3</w:t>
            </w:r>
            <w:r w:rsidR="00D15494" w:rsidRPr="001D5294">
              <w:rPr>
                <w:rFonts w:ascii="Times New Roman" w:hAnsi="Times New Roman"/>
                <w:sz w:val="24"/>
                <w:szCs w:val="24"/>
                <w:lang w:eastAsia="lv-LV"/>
              </w:rPr>
              <w:t xml:space="preserve"> punktu, kurā ir norādīts konkrēts laiks, līdz kuram jāveic uzraudzība, t.i., līdz 2035.gada 31.decembrim, atsaucoties uz Regulā Nr.480/2014 minēto pārskata periodu. Vienlaikus MK noteikumu Nr. 562 26.punktā ir izvirzīti nosacījumi izmaksu un ieguvumu analīzes izstrādei, kas visiem projektiem iesniedzot projekta iesniegumus bija obligāta, t.sk., noteica, ka projekta dzīves cikls ir 20 gadi. Tādējādi katram projektam, ņemot vērā plānoto darbību sākumu, izmaksu un ieguvumu analīzes aprēķinos tika noteikts projekta dzīves cikls attiecīgi 2017.-2036.gads vai 2018.-2037.gads. </w:t>
            </w:r>
          </w:p>
          <w:p w14:paraId="30ED8BDA" w14:textId="0E403982" w:rsidR="004118C7" w:rsidRPr="001D5294" w:rsidRDefault="00D15494" w:rsidP="00C4242D">
            <w:pPr>
              <w:pStyle w:val="ListParagraph"/>
              <w:spacing w:before="60" w:after="60"/>
              <w:ind w:left="0"/>
              <w:jc w:val="both"/>
              <w:rPr>
                <w:rFonts w:ascii="Times New Roman" w:hAnsi="Times New Roman"/>
                <w:sz w:val="24"/>
                <w:szCs w:val="24"/>
                <w:lang w:eastAsia="lv-LV"/>
              </w:rPr>
            </w:pPr>
            <w:r w:rsidRPr="001D5294">
              <w:rPr>
                <w:rFonts w:ascii="Times New Roman" w:hAnsi="Times New Roman"/>
                <w:sz w:val="24"/>
                <w:szCs w:val="24"/>
                <w:lang w:eastAsia="lv-LV"/>
              </w:rPr>
              <w:t xml:space="preserve">Lūdzam dzēst šajā punktā minēto termiņu, jo nav lietderīgi norādīt noteikumos konkrētu </w:t>
            </w:r>
            <w:proofErr w:type="spellStart"/>
            <w:r w:rsidRPr="001D5294">
              <w:rPr>
                <w:rFonts w:ascii="Times New Roman" w:hAnsi="Times New Roman"/>
                <w:sz w:val="24"/>
                <w:szCs w:val="24"/>
                <w:lang w:eastAsia="lv-LV"/>
              </w:rPr>
              <w:t>gadskaitli</w:t>
            </w:r>
            <w:proofErr w:type="spellEnd"/>
            <w:r w:rsidRPr="001D5294">
              <w:rPr>
                <w:rFonts w:ascii="Times New Roman" w:hAnsi="Times New Roman"/>
                <w:sz w:val="24"/>
                <w:szCs w:val="24"/>
                <w:lang w:eastAsia="lv-LV"/>
              </w:rPr>
              <w:t xml:space="preserve">, kas neatbilst faktiskajam projektu iesniegumos norādītajam pārskata periodam. Turklāt, noteikumu </w:t>
            </w:r>
            <w:r w:rsidRPr="001D5294">
              <w:rPr>
                <w:rFonts w:ascii="Times New Roman" w:hAnsi="Times New Roman"/>
                <w:sz w:val="24"/>
                <w:szCs w:val="24"/>
                <w:lang w:eastAsia="lv-LV"/>
              </w:rPr>
              <w:lastRenderedPageBreak/>
              <w:t xml:space="preserve">projektā iekļauts termins „pētniecības infrastruktūras amortizācijas periods”, līdz ar to noteikumu </w:t>
            </w:r>
            <w:r w:rsidRPr="001D5294">
              <w:rPr>
                <w:rFonts w:ascii="Times New Roman" w:hAnsi="Times New Roman"/>
                <w:sz w:val="24"/>
                <w:szCs w:val="24"/>
              </w:rPr>
              <w:t xml:space="preserve">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w:t>
            </w:r>
            <w:r w:rsidRPr="001D5294">
              <w:rPr>
                <w:rFonts w:ascii="Times New Roman" w:hAnsi="Times New Roman"/>
                <w:sz w:val="24"/>
                <w:szCs w:val="24"/>
                <w:lang w:eastAsia="lv-LV"/>
              </w:rPr>
              <w:t>punktā būtu dzēšami vārdi “līdz 2035. gada 31. decembrim”;</w:t>
            </w:r>
          </w:p>
        </w:tc>
        <w:tc>
          <w:tcPr>
            <w:tcW w:w="3685" w:type="dxa"/>
            <w:shd w:val="clear" w:color="auto" w:fill="auto"/>
          </w:tcPr>
          <w:p w14:paraId="27B5CB2B" w14:textId="77777777" w:rsidR="004118C7" w:rsidRPr="001D5294" w:rsidRDefault="00D347AD" w:rsidP="00C4242D">
            <w:pPr>
              <w:spacing w:before="60" w:after="60"/>
              <w:jc w:val="both"/>
              <w:rPr>
                <w:b/>
              </w:rPr>
            </w:pPr>
            <w:r w:rsidRPr="001D5294">
              <w:rPr>
                <w:b/>
              </w:rPr>
              <w:lastRenderedPageBreak/>
              <w:t>Ņemts vērā.</w:t>
            </w:r>
          </w:p>
          <w:p w14:paraId="241AF08E" w14:textId="5A174112" w:rsidR="0048011B" w:rsidRPr="001D5294" w:rsidRDefault="0048011B" w:rsidP="0048011B">
            <w:pPr>
              <w:spacing w:before="60" w:after="60"/>
              <w:jc w:val="both"/>
            </w:pPr>
            <w:r w:rsidRPr="001D5294">
              <w:t>dzēsti vārdi “līdz 2035. gada 31. decembrim”</w:t>
            </w:r>
          </w:p>
        </w:tc>
        <w:tc>
          <w:tcPr>
            <w:tcW w:w="3951" w:type="dxa"/>
            <w:gridSpan w:val="2"/>
            <w:shd w:val="clear" w:color="auto" w:fill="auto"/>
          </w:tcPr>
          <w:p w14:paraId="388B4091" w14:textId="1EC73AAD" w:rsidR="004118C7" w:rsidRPr="001D5294" w:rsidRDefault="00D347AD" w:rsidP="00D347AD">
            <w:pPr>
              <w:pStyle w:val="tv2132"/>
              <w:spacing w:before="60" w:after="60" w:line="240" w:lineRule="auto"/>
              <w:ind w:firstLine="0"/>
              <w:rPr>
                <w:sz w:val="24"/>
                <w:szCs w:val="24"/>
              </w:rPr>
            </w:pPr>
            <w:r w:rsidRPr="001D5294">
              <w:rPr>
                <w:color w:val="auto"/>
                <w:sz w:val="24"/>
                <w:szCs w:val="24"/>
                <w:lang w:val="lv-LV"/>
              </w:rPr>
              <w:t>21.</w:t>
            </w:r>
            <w:r w:rsidRPr="001D5294">
              <w:rPr>
                <w:color w:val="auto"/>
                <w:sz w:val="24"/>
                <w:szCs w:val="24"/>
                <w:vertAlign w:val="superscript"/>
                <w:lang w:val="lv-LV"/>
              </w:rPr>
              <w:t>3</w:t>
            </w:r>
            <w:r w:rsidRPr="001D5294">
              <w:rPr>
                <w:color w:val="auto"/>
                <w:sz w:val="24"/>
                <w:szCs w:val="24"/>
                <w:lang w:val="lv-LV"/>
              </w:rPr>
              <w:t xml:space="preserve"> Šo noteikumu 21.1.2.  apakšpunktā minētajā gadījumā sadarbības iestāde veic projektu ikgadēju uzraudzību un uzkrāj datus visā projektu ietvaros modernizētās infrastruktūras amortizācijas periodā</w:t>
            </w:r>
          </w:p>
        </w:tc>
      </w:tr>
      <w:tr w:rsidR="008E2CD9" w:rsidRPr="001D5294" w14:paraId="19385132" w14:textId="77777777" w:rsidTr="004C1D00">
        <w:trPr>
          <w:trHeight w:val="274"/>
        </w:trPr>
        <w:tc>
          <w:tcPr>
            <w:tcW w:w="644" w:type="dxa"/>
            <w:shd w:val="clear" w:color="auto" w:fill="FFFFFF" w:themeFill="background1"/>
          </w:tcPr>
          <w:p w14:paraId="58EAE0AC" w14:textId="77777777" w:rsidR="004118C7" w:rsidRPr="001D5294" w:rsidRDefault="004118C7" w:rsidP="00C4242D">
            <w:pPr>
              <w:numPr>
                <w:ilvl w:val="0"/>
                <w:numId w:val="31"/>
              </w:numPr>
              <w:tabs>
                <w:tab w:val="center" w:pos="284"/>
              </w:tabs>
              <w:spacing w:before="60" w:after="60"/>
              <w:ind w:left="0" w:firstLine="0"/>
            </w:pPr>
          </w:p>
        </w:tc>
        <w:tc>
          <w:tcPr>
            <w:tcW w:w="3039" w:type="dxa"/>
            <w:shd w:val="clear" w:color="auto" w:fill="auto"/>
          </w:tcPr>
          <w:p w14:paraId="45BA06C4" w14:textId="03B7DE4A" w:rsidR="004118C7" w:rsidRPr="001D5294" w:rsidRDefault="009B414F" w:rsidP="00C4242D">
            <w:pPr>
              <w:tabs>
                <w:tab w:val="left" w:pos="1276"/>
              </w:tabs>
              <w:spacing w:before="60" w:after="60"/>
              <w:jc w:val="both"/>
            </w:pPr>
            <w:r w:rsidRPr="001D5294">
              <w:t>21.1.2. saimnieciska rakstura darbības:</w:t>
            </w:r>
          </w:p>
        </w:tc>
        <w:tc>
          <w:tcPr>
            <w:tcW w:w="3547" w:type="dxa"/>
            <w:shd w:val="clear" w:color="auto" w:fill="auto"/>
          </w:tcPr>
          <w:p w14:paraId="0CA276B5" w14:textId="2E17E44F" w:rsidR="004118C7" w:rsidRPr="001D5294" w:rsidRDefault="00C4242D" w:rsidP="00C4242D">
            <w:pPr>
              <w:pStyle w:val="ListParagraph"/>
              <w:spacing w:before="60" w:after="60"/>
              <w:ind w:left="0"/>
              <w:jc w:val="both"/>
              <w:rPr>
                <w:rFonts w:ascii="Times New Roman" w:hAnsi="Times New Roman"/>
                <w:sz w:val="24"/>
                <w:szCs w:val="24"/>
              </w:rPr>
            </w:pPr>
            <w:r w:rsidRPr="001D5294">
              <w:rPr>
                <w:rFonts w:ascii="Times New Roman" w:hAnsi="Times New Roman"/>
                <w:b/>
                <w:sz w:val="24"/>
                <w:szCs w:val="24"/>
                <w:lang w:eastAsia="lv-LV"/>
              </w:rPr>
              <w:t xml:space="preserve">FM: </w:t>
            </w:r>
            <w:r w:rsidR="00D15494" w:rsidRPr="001D5294">
              <w:rPr>
                <w:rFonts w:ascii="Times New Roman" w:hAnsi="Times New Roman"/>
                <w:sz w:val="24"/>
                <w:szCs w:val="24"/>
              </w:rPr>
              <w:t xml:space="preserve">Ņemot vērā, ka ar saimniecisku darbību nesaistīta projekta </w:t>
            </w:r>
            <w:r w:rsidR="00D15494" w:rsidRPr="001D5294">
              <w:rPr>
                <w:rFonts w:ascii="Times New Roman" w:hAnsi="Times New Roman"/>
                <w:sz w:val="24"/>
                <w:szCs w:val="24"/>
                <w:lang w:eastAsia="lv-LV"/>
              </w:rPr>
              <w:t xml:space="preserve">ietvaros modernizēto infrastruktūru var izmatot tikai pētniecības organizācijas ar saimniecisku darbību nesaistītai pamatdarbībai, ierobežotas jomas darbībai, nepārsniedzot 20 procentus no attiecīgās infrastruktūras kopējās gada finansiālās vai laika resursu kapacitātes un parastiem papildpakalpojumiem, lai neradītu </w:t>
            </w:r>
            <w:r w:rsidR="00D15494" w:rsidRPr="001D5294">
              <w:rPr>
                <w:rFonts w:ascii="Times New Roman" w:hAnsi="Times New Roman"/>
                <w:sz w:val="24"/>
                <w:szCs w:val="24"/>
                <w:lang w:eastAsia="lv-LV"/>
              </w:rPr>
              <w:lastRenderedPageBreak/>
              <w:t>interpretācijas iespējas, lūdzam dzēst MK noteikumu projekta 21.1.2.punktu – saimnieciska rakstura darbības – un 21.1.2.1. un 21.1.2.2. apakšpunktus numurēt kā 21.1.2. un 21.1.3.</w:t>
            </w:r>
          </w:p>
        </w:tc>
        <w:tc>
          <w:tcPr>
            <w:tcW w:w="3685" w:type="dxa"/>
            <w:shd w:val="clear" w:color="auto" w:fill="auto"/>
          </w:tcPr>
          <w:p w14:paraId="53547F8A" w14:textId="77777777" w:rsidR="004118C7" w:rsidRPr="001D5294" w:rsidRDefault="00D347AD" w:rsidP="00C4242D">
            <w:pPr>
              <w:spacing w:before="60" w:after="60"/>
              <w:jc w:val="both"/>
              <w:rPr>
                <w:b/>
              </w:rPr>
            </w:pPr>
            <w:r w:rsidRPr="001D5294">
              <w:rPr>
                <w:b/>
              </w:rPr>
              <w:lastRenderedPageBreak/>
              <w:t>Ņemts vērā.</w:t>
            </w:r>
          </w:p>
          <w:p w14:paraId="4FB0A7A3" w14:textId="2421876A" w:rsidR="00D347AD" w:rsidRPr="001D5294" w:rsidRDefault="00D347AD" w:rsidP="00D347AD">
            <w:pPr>
              <w:spacing w:before="60" w:after="60"/>
              <w:jc w:val="both"/>
            </w:pPr>
            <w:r w:rsidRPr="001D5294">
              <w:t xml:space="preserve">21.1.2. apakšpunkts dzēsts, attiecīgi precizēta </w:t>
            </w:r>
            <w:r w:rsidR="0048011B" w:rsidRPr="001D5294">
              <w:t xml:space="preserve">21. punkta apakšpunktu </w:t>
            </w:r>
            <w:r w:rsidRPr="001D5294">
              <w:t>numerācija</w:t>
            </w:r>
          </w:p>
        </w:tc>
        <w:tc>
          <w:tcPr>
            <w:tcW w:w="3951" w:type="dxa"/>
            <w:gridSpan w:val="2"/>
            <w:shd w:val="clear" w:color="auto" w:fill="auto"/>
          </w:tcPr>
          <w:p w14:paraId="471C06A9" w14:textId="158BA6F2" w:rsidR="004118C7" w:rsidRPr="001D5294" w:rsidRDefault="004118C7" w:rsidP="00C4242D">
            <w:pPr>
              <w:pStyle w:val="tv2132"/>
              <w:spacing w:before="60" w:after="60" w:line="240" w:lineRule="auto"/>
              <w:ind w:firstLine="0"/>
              <w:rPr>
                <w:sz w:val="24"/>
                <w:szCs w:val="24"/>
                <w:lang w:val="lv-LV"/>
              </w:rPr>
            </w:pPr>
          </w:p>
        </w:tc>
      </w:tr>
      <w:tr w:rsidR="001950B0" w:rsidRPr="001D5294" w14:paraId="7797440C" w14:textId="77777777" w:rsidTr="004C1D00">
        <w:trPr>
          <w:trHeight w:val="274"/>
        </w:trPr>
        <w:tc>
          <w:tcPr>
            <w:tcW w:w="644" w:type="dxa"/>
            <w:shd w:val="clear" w:color="auto" w:fill="FFFFFF" w:themeFill="background1"/>
          </w:tcPr>
          <w:p w14:paraId="292044B9" w14:textId="77777777" w:rsidR="001950B0" w:rsidRPr="001D5294" w:rsidRDefault="001950B0" w:rsidP="00C4242D">
            <w:pPr>
              <w:numPr>
                <w:ilvl w:val="0"/>
                <w:numId w:val="31"/>
              </w:numPr>
              <w:tabs>
                <w:tab w:val="center" w:pos="284"/>
              </w:tabs>
              <w:spacing w:before="60" w:after="60"/>
              <w:ind w:left="0" w:firstLine="0"/>
            </w:pPr>
          </w:p>
        </w:tc>
        <w:tc>
          <w:tcPr>
            <w:tcW w:w="3039" w:type="dxa"/>
            <w:shd w:val="clear" w:color="auto" w:fill="auto"/>
          </w:tcPr>
          <w:p w14:paraId="071DCC77" w14:textId="77777777" w:rsidR="001950B0" w:rsidRPr="001D5294" w:rsidRDefault="001950B0" w:rsidP="001950B0">
            <w:pPr>
              <w:tabs>
                <w:tab w:val="left" w:pos="1276"/>
              </w:tabs>
              <w:spacing w:before="60" w:after="60"/>
              <w:jc w:val="both"/>
            </w:pPr>
            <w:r w:rsidRPr="001D5294">
              <w:t>14. Aizstāt 47.</w:t>
            </w:r>
            <w:r w:rsidRPr="001D5294">
              <w:rPr>
                <w:vertAlign w:val="superscript"/>
              </w:rPr>
              <w:t>1</w:t>
            </w:r>
            <w:r w:rsidRPr="001D5294">
              <w:t xml:space="preserve"> punktā skaitli un vārdu "47. punktā" ar skaitļiem un vārdiem "21.1. un 21.2.1. apakšpunktā".</w:t>
            </w:r>
          </w:p>
          <w:p w14:paraId="1D39AA96" w14:textId="77777777" w:rsidR="001950B0" w:rsidRPr="001D5294" w:rsidRDefault="001950B0" w:rsidP="001950B0">
            <w:pPr>
              <w:tabs>
                <w:tab w:val="left" w:pos="1276"/>
              </w:tabs>
              <w:spacing w:before="60" w:after="60"/>
              <w:jc w:val="both"/>
            </w:pPr>
          </w:p>
          <w:p w14:paraId="55F94519" w14:textId="4851FD49" w:rsidR="001950B0" w:rsidRPr="001D5294" w:rsidRDefault="001950B0" w:rsidP="001950B0">
            <w:pPr>
              <w:tabs>
                <w:tab w:val="left" w:pos="1276"/>
              </w:tabs>
              <w:spacing w:before="60" w:after="60"/>
              <w:jc w:val="both"/>
            </w:pPr>
            <w:r w:rsidRPr="001D5294">
              <w:t>15. Aizstāt 55.</w:t>
            </w:r>
            <w:r w:rsidRPr="001D5294">
              <w:rPr>
                <w:vertAlign w:val="superscript"/>
              </w:rPr>
              <w:t>1</w:t>
            </w:r>
            <w:r w:rsidRPr="001D5294">
              <w:t xml:space="preserve"> punktā vārdus "Ja šo noteikumu 52. punktā minētajā gadījumā finansējuma saņēmējs ir pārkāpis Komisijas regulas Nr. 651/2014 nosacījumus" ar vārdiem "Ja šo noteikumu 21.2.2. punktā minētajā gadījumā tiek konstatēti Komisijas regulas Nr. 651/2014 nosacījumu pārkāpumi".</w:t>
            </w:r>
          </w:p>
        </w:tc>
        <w:tc>
          <w:tcPr>
            <w:tcW w:w="3547" w:type="dxa"/>
            <w:shd w:val="clear" w:color="auto" w:fill="auto"/>
          </w:tcPr>
          <w:p w14:paraId="44C74A5B" w14:textId="77777777" w:rsidR="001950B0" w:rsidRPr="001D5294" w:rsidRDefault="001950B0" w:rsidP="00C4242D">
            <w:pPr>
              <w:pStyle w:val="ListParagraph"/>
              <w:spacing w:before="60" w:after="60"/>
              <w:ind w:left="0"/>
              <w:jc w:val="both"/>
              <w:rPr>
                <w:rFonts w:ascii="Times New Roman" w:hAnsi="Times New Roman"/>
                <w:b/>
                <w:sz w:val="24"/>
                <w:szCs w:val="24"/>
                <w:lang w:eastAsia="lv-LV"/>
              </w:rPr>
            </w:pPr>
            <w:r w:rsidRPr="001D5294">
              <w:rPr>
                <w:rFonts w:ascii="Times New Roman" w:hAnsi="Times New Roman"/>
                <w:b/>
                <w:sz w:val="24"/>
                <w:szCs w:val="24"/>
                <w:lang w:eastAsia="lv-LV"/>
              </w:rPr>
              <w:t>FM 07.08.2020. iebildums:</w:t>
            </w:r>
          </w:p>
          <w:p w14:paraId="56DCAC65" w14:textId="6C3EEAEC" w:rsidR="001950B0" w:rsidRPr="001D5294" w:rsidRDefault="001950B0" w:rsidP="00C4242D">
            <w:pPr>
              <w:pStyle w:val="ListParagraph"/>
              <w:spacing w:before="60" w:after="60"/>
              <w:ind w:left="0"/>
              <w:jc w:val="both"/>
              <w:rPr>
                <w:rFonts w:ascii="Times New Roman" w:hAnsi="Times New Roman"/>
                <w:sz w:val="24"/>
                <w:szCs w:val="24"/>
                <w:lang w:eastAsia="lv-LV"/>
              </w:rPr>
            </w:pPr>
            <w:r w:rsidRPr="001D5294">
              <w:rPr>
                <w:rFonts w:ascii="Times New Roman" w:hAnsi="Times New Roman"/>
                <w:sz w:val="24"/>
                <w:szCs w:val="24"/>
                <w:lang w:eastAsia="lv-LV"/>
              </w:rPr>
              <w:t>Ievērojot to, ka nelikumīgais publiskais finansējums no finansējuma saņēmēja būs jāatgūst arī tad, ja Eiropas Komisijas 2014. gada 17. jūnija Regulas Nr. 651/2014, ar ko noteiktas atbalsta kategorijas atzīst par saderīgām ar iekšējo tirgu, piemērojot Līguma 107. un 108. pantu (turpmāk – Komisijas regula Nr. 651/2014) prasību pārkāpumu būs pieļāvis, piemēram, atbalsta sniedzējs, lūdzam precizēt MK noteikumu Nr.562 47.</w:t>
            </w:r>
            <w:r w:rsidRPr="001D5294">
              <w:rPr>
                <w:rFonts w:ascii="Times New Roman" w:hAnsi="Times New Roman"/>
                <w:sz w:val="24"/>
                <w:szCs w:val="24"/>
                <w:vertAlign w:val="superscript"/>
                <w:lang w:eastAsia="lv-LV"/>
              </w:rPr>
              <w:t>1</w:t>
            </w:r>
            <w:r w:rsidRPr="001D5294">
              <w:rPr>
                <w:rFonts w:ascii="Times New Roman" w:hAnsi="Times New Roman"/>
                <w:sz w:val="24"/>
                <w:szCs w:val="24"/>
                <w:lang w:eastAsia="lv-LV"/>
              </w:rPr>
              <w:t xml:space="preserve"> un 55.</w:t>
            </w:r>
            <w:r w:rsidRPr="001D5294">
              <w:rPr>
                <w:rFonts w:ascii="Times New Roman" w:hAnsi="Times New Roman"/>
                <w:sz w:val="24"/>
                <w:szCs w:val="24"/>
                <w:vertAlign w:val="superscript"/>
                <w:lang w:eastAsia="lv-LV"/>
              </w:rPr>
              <w:t xml:space="preserve">1 </w:t>
            </w:r>
            <w:r w:rsidRPr="001D5294">
              <w:rPr>
                <w:rFonts w:ascii="Times New Roman" w:hAnsi="Times New Roman"/>
                <w:sz w:val="24"/>
                <w:szCs w:val="24"/>
                <w:lang w:eastAsia="lv-LV"/>
              </w:rPr>
              <w:t>punktus, to sākuma daļā ietverot vispārinājumu – ja ir pārkāpti Komisijas regulas Nr. 651/2014 nosacījumi</w:t>
            </w:r>
          </w:p>
        </w:tc>
        <w:tc>
          <w:tcPr>
            <w:tcW w:w="3685" w:type="dxa"/>
            <w:shd w:val="clear" w:color="auto" w:fill="auto"/>
          </w:tcPr>
          <w:p w14:paraId="0FC0CCA1" w14:textId="77777777" w:rsidR="001950B0" w:rsidRPr="001D5294" w:rsidRDefault="001950B0" w:rsidP="001950B0">
            <w:pPr>
              <w:spacing w:before="60" w:after="60"/>
              <w:jc w:val="both"/>
              <w:rPr>
                <w:b/>
              </w:rPr>
            </w:pPr>
            <w:r w:rsidRPr="001D5294">
              <w:rPr>
                <w:b/>
              </w:rPr>
              <w:t>Ņemts vērā.</w:t>
            </w:r>
          </w:p>
          <w:p w14:paraId="6ACE7023" w14:textId="77777777" w:rsidR="001950B0" w:rsidRPr="001D5294" w:rsidRDefault="001950B0" w:rsidP="0048011B">
            <w:pPr>
              <w:spacing w:before="60" w:after="60"/>
              <w:jc w:val="both"/>
              <w:rPr>
                <w:b/>
              </w:rPr>
            </w:pPr>
          </w:p>
        </w:tc>
        <w:tc>
          <w:tcPr>
            <w:tcW w:w="3951" w:type="dxa"/>
            <w:gridSpan w:val="2"/>
            <w:shd w:val="clear" w:color="auto" w:fill="auto"/>
          </w:tcPr>
          <w:p w14:paraId="35B297F4" w14:textId="77777777" w:rsidR="00153D5A" w:rsidRPr="001D5294" w:rsidRDefault="00153D5A" w:rsidP="00153D5A">
            <w:pPr>
              <w:tabs>
                <w:tab w:val="left" w:pos="1276"/>
              </w:tabs>
              <w:spacing w:before="60" w:after="60"/>
              <w:jc w:val="both"/>
            </w:pPr>
            <w:r w:rsidRPr="001D5294">
              <w:t>14. Aizstāt 47.1 punktā skaitļus un vārdus "Ja šo noteikumu 47. punktā minētajā gadījumā finansējuma saņēmējs ir pārkāpis Komisijas regulas Nr.  651/2014 nosacījumus" ar vārdiem "Ja šo noteikumu 21.1. un 21.2.1. apakšpunktā minētajā gadījumā ir pārkāpti Komisijas regulas Nr. 651/2014 nosacījumi".</w:t>
            </w:r>
          </w:p>
          <w:p w14:paraId="1F7C2EC7" w14:textId="77777777" w:rsidR="00153D5A" w:rsidRPr="001D5294" w:rsidRDefault="00153D5A" w:rsidP="00153D5A">
            <w:pPr>
              <w:tabs>
                <w:tab w:val="left" w:pos="1276"/>
              </w:tabs>
              <w:spacing w:before="60" w:after="60"/>
              <w:jc w:val="both"/>
            </w:pPr>
          </w:p>
          <w:p w14:paraId="0CB0D991" w14:textId="7A1B588A" w:rsidR="001950B0" w:rsidRPr="001D5294" w:rsidRDefault="00153D5A" w:rsidP="00153D5A">
            <w:pPr>
              <w:tabs>
                <w:tab w:val="left" w:pos="1276"/>
              </w:tabs>
              <w:spacing w:before="60" w:after="60"/>
              <w:jc w:val="both"/>
            </w:pPr>
            <w:r w:rsidRPr="001D5294">
              <w:t>15. Aizstāt 55.1 punktā vārdus "Ja šo noteikumu 52. punktā minētajā gadījumā finansējuma saņēmējs ir pārkāpis Komisijas regulas Nr. 651/2014 nosacījumus" ar vārdiem "Ja šo noteikumu 52. punktā minētajā gadījumā ir pārkāpti Komisijas regulas Nr. 651/2014 nosacījumi".</w:t>
            </w:r>
          </w:p>
        </w:tc>
      </w:tr>
      <w:tr w:rsidR="00593C6E" w:rsidRPr="001D5294" w14:paraId="5A81E718" w14:textId="77777777" w:rsidTr="004C1D00">
        <w:trPr>
          <w:trHeight w:val="274"/>
        </w:trPr>
        <w:tc>
          <w:tcPr>
            <w:tcW w:w="644" w:type="dxa"/>
            <w:shd w:val="clear" w:color="auto" w:fill="FFFFFF" w:themeFill="background1"/>
          </w:tcPr>
          <w:p w14:paraId="0B16A71E" w14:textId="2C7C712E" w:rsidR="00593C6E" w:rsidRPr="001D5294" w:rsidRDefault="00593C6E" w:rsidP="00C4242D">
            <w:pPr>
              <w:numPr>
                <w:ilvl w:val="0"/>
                <w:numId w:val="31"/>
              </w:numPr>
              <w:tabs>
                <w:tab w:val="center" w:pos="284"/>
              </w:tabs>
              <w:spacing w:before="60" w:after="60"/>
              <w:ind w:left="0" w:firstLine="0"/>
            </w:pPr>
          </w:p>
        </w:tc>
        <w:tc>
          <w:tcPr>
            <w:tcW w:w="3039" w:type="dxa"/>
            <w:vMerge w:val="restart"/>
            <w:shd w:val="clear" w:color="auto" w:fill="auto"/>
          </w:tcPr>
          <w:p w14:paraId="1B394A7E" w14:textId="77777777" w:rsidR="00593C6E" w:rsidRPr="001D5294" w:rsidRDefault="00593C6E" w:rsidP="00593C6E">
            <w:pPr>
              <w:tabs>
                <w:tab w:val="left" w:pos="1276"/>
              </w:tabs>
              <w:spacing w:before="60" w:after="60"/>
              <w:jc w:val="both"/>
            </w:pPr>
            <w:r w:rsidRPr="001D5294">
              <w:t>63.</w:t>
            </w:r>
            <w:r w:rsidRPr="001D5294">
              <w:rPr>
                <w:vertAlign w:val="superscript"/>
              </w:rPr>
              <w:t>1</w:t>
            </w:r>
            <w:r w:rsidRPr="001D5294">
              <w:t> Atbildīgā iestāde, ievērojot Komisijas regulas Nr. </w:t>
            </w:r>
            <w:hyperlink r:id="rId8" w:tgtFrame="_blank" w:history="1">
              <w:r w:rsidRPr="001D5294">
                <w:rPr>
                  <w:rStyle w:val="Hyperlink"/>
                </w:rPr>
                <w:t>651/2014</w:t>
              </w:r>
            </w:hyperlink>
            <w:r w:rsidRPr="001D5294">
              <w:t> 26. panta 7. punkta un šo noteikumu 47.</w:t>
            </w:r>
            <w:r w:rsidRPr="001D5294">
              <w:rPr>
                <w:vertAlign w:val="superscript"/>
              </w:rPr>
              <w:t>1</w:t>
            </w:r>
            <w:r w:rsidRPr="001D5294">
              <w:t>, 55.</w:t>
            </w:r>
            <w:r w:rsidRPr="001D5294">
              <w:rPr>
                <w:vertAlign w:val="superscript"/>
              </w:rPr>
              <w:t>1</w:t>
            </w:r>
            <w:r w:rsidRPr="001D5294">
              <w:t xml:space="preserve"> punkta nosacījumus, izstrādā ikgadēju publiskā finansējuma uzraudzības un </w:t>
            </w:r>
            <w:r w:rsidRPr="001D5294">
              <w:lastRenderedPageBreak/>
              <w:t>atgūšanas mehānismu, kuru sadarbības iestāde piemēro visā infrastruktūras amortizācijas periodā šādos gadījumos:</w:t>
            </w:r>
          </w:p>
          <w:p w14:paraId="7FEB9644" w14:textId="77777777" w:rsidR="00593C6E" w:rsidRPr="001D5294" w:rsidRDefault="00593C6E" w:rsidP="00593C6E">
            <w:pPr>
              <w:tabs>
                <w:tab w:val="left" w:pos="1276"/>
              </w:tabs>
              <w:spacing w:before="60" w:after="60"/>
              <w:jc w:val="both"/>
            </w:pPr>
            <w:r w:rsidRPr="001D5294">
              <w:t>63.</w:t>
            </w:r>
            <w:r w:rsidRPr="001D5294">
              <w:rPr>
                <w:vertAlign w:val="superscript"/>
              </w:rPr>
              <w:t>1</w:t>
            </w:r>
            <w:r w:rsidRPr="001D5294">
              <w:t> 1. ja konstatē, ka šo noteikumu 21.1.2. un 21.2.1. gadījumā tiek pārsniegti šo noteikumu 2.5. apakšpunktā minētie ierobežojumi;</w:t>
            </w:r>
          </w:p>
          <w:p w14:paraId="7F15DA26" w14:textId="0BF0AE62" w:rsidR="00593C6E" w:rsidRPr="001D5294" w:rsidRDefault="00593C6E" w:rsidP="00593C6E">
            <w:pPr>
              <w:tabs>
                <w:tab w:val="left" w:pos="1276"/>
              </w:tabs>
              <w:spacing w:before="60" w:after="60"/>
              <w:jc w:val="both"/>
            </w:pPr>
            <w:r w:rsidRPr="001D5294">
              <w:t>63.</w:t>
            </w:r>
            <w:r w:rsidRPr="001D5294">
              <w:rPr>
                <w:vertAlign w:val="superscript"/>
              </w:rPr>
              <w:t>1</w:t>
            </w:r>
            <w:r w:rsidRPr="001D5294">
              <w:t> 2. ja konstatē, ka šo noteikumu 21.2.2. apakšpunktā minētajā gadījumā saimnieciskās darbības īpatsvars infrastruktūras ir lielāks, nekā valsts atbalsta piešķiršanas dienā prognozēts</w:t>
            </w:r>
          </w:p>
        </w:tc>
        <w:tc>
          <w:tcPr>
            <w:tcW w:w="3547" w:type="dxa"/>
            <w:shd w:val="clear" w:color="auto" w:fill="auto"/>
          </w:tcPr>
          <w:p w14:paraId="045EE31D" w14:textId="779F5108" w:rsidR="00593C6E" w:rsidRPr="001D5294" w:rsidRDefault="00593C6E" w:rsidP="00C4242D">
            <w:pPr>
              <w:pStyle w:val="ListParagraph"/>
              <w:spacing w:before="60" w:after="60"/>
              <w:ind w:left="0"/>
              <w:jc w:val="both"/>
              <w:rPr>
                <w:rFonts w:ascii="Times New Roman" w:hAnsi="Times New Roman"/>
                <w:sz w:val="24"/>
                <w:szCs w:val="24"/>
                <w:lang w:eastAsia="lv-LV"/>
              </w:rPr>
            </w:pPr>
            <w:r w:rsidRPr="001D5294">
              <w:rPr>
                <w:rFonts w:ascii="Times New Roman" w:hAnsi="Times New Roman"/>
                <w:b/>
                <w:sz w:val="24"/>
                <w:szCs w:val="24"/>
                <w:lang w:eastAsia="lv-LV"/>
              </w:rPr>
              <w:lastRenderedPageBreak/>
              <w:t>FM:</w:t>
            </w:r>
            <w:r w:rsidRPr="001D5294">
              <w:rPr>
                <w:rFonts w:ascii="Times New Roman" w:hAnsi="Times New Roman"/>
                <w:sz w:val="24"/>
                <w:szCs w:val="24"/>
                <w:lang w:eastAsia="lv-LV"/>
              </w:rPr>
              <w:t xml:space="preserve"> Lūdzam redakcionāli precizēt MK noteikumu projekta 64.3.punktu tā, lai būtu viennozīmīgi skaidrs, ka uzraudzība un atgūšana ir nepieciešama visiem (gan ar </w:t>
            </w:r>
            <w:r w:rsidRPr="001D5294">
              <w:rPr>
                <w:rFonts w:ascii="Times New Roman" w:hAnsi="Times New Roman"/>
                <w:sz w:val="24"/>
                <w:szCs w:val="24"/>
              </w:rPr>
              <w:t xml:space="preserve">saimniecisku darbību nesaistītiem, gan saimniecisku darbību </w:t>
            </w:r>
            <w:r w:rsidRPr="001D5294">
              <w:rPr>
                <w:rFonts w:ascii="Times New Roman" w:hAnsi="Times New Roman"/>
                <w:sz w:val="24"/>
                <w:szCs w:val="24"/>
              </w:rPr>
              <w:lastRenderedPageBreak/>
              <w:t>saistītiem)</w:t>
            </w:r>
            <w:r w:rsidRPr="001D5294">
              <w:rPr>
                <w:rFonts w:ascii="Times New Roman" w:hAnsi="Times New Roman"/>
                <w:sz w:val="24"/>
                <w:szCs w:val="24"/>
                <w:lang w:eastAsia="lv-LV"/>
              </w:rPr>
              <w:t xml:space="preserve"> projektiem, lai nodrošinātu, ka saimnieciskās darbības īpatsvars nepārsniedz sākotnējās prognozes un pieļaujamo intensitāti, kas noteikta Komisijas 2014. gada 17. jūnija Regulas Nr. 651/2014, ar kuru noteiktas atbalsta kategorijas atzīst par saderīgām ar iekšējo tirgu, piemērojot Līguma 107. un 108.pantu (turpmāk -  Komisijas regula Nr.  651/2014) 26.panta 7.punktā vai noteikumos noteiktos ierobežojumus. </w:t>
            </w:r>
          </w:p>
        </w:tc>
        <w:tc>
          <w:tcPr>
            <w:tcW w:w="3685" w:type="dxa"/>
            <w:shd w:val="clear" w:color="auto" w:fill="auto"/>
          </w:tcPr>
          <w:p w14:paraId="76F3527C" w14:textId="77777777" w:rsidR="00593C6E" w:rsidRPr="001D5294" w:rsidRDefault="00593C6E" w:rsidP="0048011B">
            <w:pPr>
              <w:spacing w:before="60" w:after="60"/>
              <w:jc w:val="both"/>
              <w:rPr>
                <w:b/>
              </w:rPr>
            </w:pPr>
            <w:r w:rsidRPr="001D5294">
              <w:rPr>
                <w:b/>
              </w:rPr>
              <w:lastRenderedPageBreak/>
              <w:t>Ņemts vērā.</w:t>
            </w:r>
          </w:p>
          <w:p w14:paraId="473B7406" w14:textId="1A89FAB9" w:rsidR="00593C6E" w:rsidRPr="001D5294" w:rsidRDefault="00593C6E" w:rsidP="00C4242D">
            <w:pPr>
              <w:spacing w:before="60" w:after="60"/>
              <w:jc w:val="both"/>
            </w:pPr>
          </w:p>
        </w:tc>
        <w:tc>
          <w:tcPr>
            <w:tcW w:w="3951" w:type="dxa"/>
            <w:gridSpan w:val="2"/>
            <w:vMerge w:val="restart"/>
            <w:shd w:val="clear" w:color="auto" w:fill="auto"/>
          </w:tcPr>
          <w:p w14:paraId="05B15E4D" w14:textId="622FD217" w:rsidR="00593C6E" w:rsidRPr="001D5294" w:rsidRDefault="00593C6E" w:rsidP="00593C6E">
            <w:pPr>
              <w:tabs>
                <w:tab w:val="left" w:pos="1276"/>
              </w:tabs>
              <w:spacing w:before="60" w:after="60"/>
              <w:jc w:val="both"/>
            </w:pPr>
            <w:r w:rsidRPr="001D5294">
              <w:t>63.</w:t>
            </w:r>
            <w:r w:rsidRPr="001D5294">
              <w:rPr>
                <w:vertAlign w:val="superscript"/>
              </w:rPr>
              <w:t>1</w:t>
            </w:r>
            <w:r w:rsidRPr="001D5294">
              <w:t> Lai ievērotu Komisijas regulas Nr. </w:t>
            </w:r>
            <w:hyperlink r:id="rId9" w:tgtFrame="_blank" w:history="1">
              <w:r w:rsidRPr="001D5294">
                <w:rPr>
                  <w:rStyle w:val="Hyperlink"/>
                </w:rPr>
                <w:t>651/2014</w:t>
              </w:r>
            </w:hyperlink>
            <w:r w:rsidRPr="001D5294">
              <w:t> 26. panta 7. punkta un šo noteikumu 47.</w:t>
            </w:r>
            <w:r w:rsidRPr="001D5294">
              <w:rPr>
                <w:vertAlign w:val="superscript"/>
              </w:rPr>
              <w:t>1</w:t>
            </w:r>
            <w:r w:rsidRPr="001D5294">
              <w:t>, 55.</w:t>
            </w:r>
            <w:r w:rsidRPr="001D5294">
              <w:rPr>
                <w:vertAlign w:val="superscript"/>
              </w:rPr>
              <w:t>1</w:t>
            </w:r>
            <w:r w:rsidRPr="001D5294">
              <w:t xml:space="preserve"> punkta nosacījumus, atbildīgā iestāde izstrādā ikgadēju publiskā finansējuma uzraudzības un atgūšanas mehānismu, kuru sadarbības iestāde piemēro visā </w:t>
            </w:r>
            <w:r w:rsidRPr="001D5294">
              <w:lastRenderedPageBreak/>
              <w:t>infrastruktūras amortizācijas periodā šādos gadījumos:</w:t>
            </w:r>
          </w:p>
          <w:p w14:paraId="007B578A" w14:textId="77777777" w:rsidR="00593C6E" w:rsidRPr="001D5294" w:rsidRDefault="00593C6E" w:rsidP="00593C6E">
            <w:pPr>
              <w:tabs>
                <w:tab w:val="left" w:pos="1276"/>
              </w:tabs>
              <w:spacing w:before="60" w:after="60"/>
              <w:jc w:val="both"/>
            </w:pPr>
            <w:r w:rsidRPr="001D5294">
              <w:t>63.</w:t>
            </w:r>
            <w:r w:rsidRPr="001D5294">
              <w:rPr>
                <w:vertAlign w:val="superscript"/>
              </w:rPr>
              <w:t>1</w:t>
            </w:r>
            <w:r w:rsidRPr="001D5294">
              <w:t> 1. ja konstatē, ka šo noteikumu 21.1.2. un 21.2.1. gadījumā tiek pārsniegti šo noteikumu 2.5. apakšpunktā minētie ierobežojumi;</w:t>
            </w:r>
          </w:p>
          <w:p w14:paraId="4EDEF5A0" w14:textId="16D9F904" w:rsidR="00593C6E" w:rsidRPr="001D5294" w:rsidRDefault="00593C6E" w:rsidP="00593C6E">
            <w:pPr>
              <w:tabs>
                <w:tab w:val="left" w:pos="1276"/>
              </w:tabs>
              <w:spacing w:before="60" w:after="60"/>
              <w:jc w:val="both"/>
            </w:pPr>
            <w:r w:rsidRPr="001D5294">
              <w:t>63.</w:t>
            </w:r>
            <w:r w:rsidRPr="001D5294">
              <w:rPr>
                <w:vertAlign w:val="superscript"/>
              </w:rPr>
              <w:t>1</w:t>
            </w:r>
            <w:r w:rsidRPr="001D5294">
              <w:t> 2. ja konstatē, ka šo noteikumu 21.2.2. apakšpunktā minētajā gadījumā saimnieciskās darbības īpatsvars ir lielāks, nekā valsts atbalsta piešķiršanas dienā prognozēts.</w:t>
            </w:r>
          </w:p>
        </w:tc>
      </w:tr>
      <w:tr w:rsidR="00593C6E" w:rsidRPr="001D5294" w14:paraId="5DCA7C1A" w14:textId="77777777" w:rsidTr="004C1D00">
        <w:trPr>
          <w:trHeight w:val="274"/>
        </w:trPr>
        <w:tc>
          <w:tcPr>
            <w:tcW w:w="644" w:type="dxa"/>
            <w:shd w:val="clear" w:color="auto" w:fill="FFFFFF" w:themeFill="background1"/>
          </w:tcPr>
          <w:p w14:paraId="2E436175" w14:textId="3CBA9376" w:rsidR="00593C6E" w:rsidRPr="001D5294" w:rsidRDefault="00593C6E" w:rsidP="00C4242D">
            <w:pPr>
              <w:numPr>
                <w:ilvl w:val="0"/>
                <w:numId w:val="31"/>
              </w:numPr>
              <w:tabs>
                <w:tab w:val="center" w:pos="284"/>
              </w:tabs>
              <w:spacing w:before="60" w:after="60"/>
              <w:ind w:left="0" w:firstLine="0"/>
            </w:pPr>
          </w:p>
        </w:tc>
        <w:tc>
          <w:tcPr>
            <w:tcW w:w="3039" w:type="dxa"/>
            <w:vMerge/>
            <w:shd w:val="clear" w:color="auto" w:fill="auto"/>
          </w:tcPr>
          <w:p w14:paraId="62FF1AE3" w14:textId="2A584332" w:rsidR="00593C6E" w:rsidRPr="001D5294" w:rsidRDefault="00593C6E" w:rsidP="00C4242D">
            <w:pPr>
              <w:spacing w:before="60" w:after="60"/>
              <w:jc w:val="both"/>
            </w:pPr>
          </w:p>
        </w:tc>
        <w:tc>
          <w:tcPr>
            <w:tcW w:w="3547" w:type="dxa"/>
            <w:shd w:val="clear" w:color="auto" w:fill="auto"/>
          </w:tcPr>
          <w:p w14:paraId="18D95CAF" w14:textId="77777777" w:rsidR="00593C6E" w:rsidRPr="001D5294" w:rsidRDefault="00593C6E" w:rsidP="00C4242D">
            <w:pPr>
              <w:pStyle w:val="ListParagraph"/>
              <w:spacing w:before="60" w:after="60"/>
              <w:ind w:left="0"/>
              <w:jc w:val="both"/>
              <w:rPr>
                <w:rFonts w:ascii="Times New Roman" w:hAnsi="Times New Roman"/>
                <w:sz w:val="24"/>
                <w:szCs w:val="24"/>
                <w:lang w:eastAsia="lv-LV"/>
              </w:rPr>
            </w:pPr>
            <w:r w:rsidRPr="001D5294">
              <w:rPr>
                <w:rFonts w:ascii="Times New Roman" w:hAnsi="Times New Roman"/>
                <w:b/>
                <w:sz w:val="24"/>
                <w:szCs w:val="24"/>
                <w:lang w:eastAsia="lv-LV"/>
              </w:rPr>
              <w:t xml:space="preserve">FM: </w:t>
            </w:r>
            <w:r w:rsidRPr="001D5294">
              <w:rPr>
                <w:rFonts w:ascii="Times New Roman" w:hAnsi="Times New Roman"/>
                <w:sz w:val="24"/>
                <w:szCs w:val="24"/>
                <w:lang w:eastAsia="lv-LV"/>
              </w:rPr>
              <w:t>Vēršam uzmanību, ka CFLA uzņemas izstrādāt iekšējās procedūras un pārbaudes lapas, taču uzraudzības un atgūšanas mehānisma principus nosaka Izglītības un zinātnes ministrija kā atbildīgā iestāde. Tādēļ lūdzam izteikt MK noteikumu 64.3.apakšpunktu šādā redakcijā: “Atbildīgā iestāde atbilstoši Komisijas regulas Nr. 651/2014 26. panta 7. punktam izstrādā uzraudzības un atgūšanas mehānismu, kuru sadarbības iestāde labuma guvējam piemēro šādos gadījumos …”;</w:t>
            </w:r>
          </w:p>
          <w:p w14:paraId="65C56D21" w14:textId="77777777" w:rsidR="00593C6E" w:rsidRPr="001D5294" w:rsidRDefault="00593C6E" w:rsidP="00C4242D">
            <w:pPr>
              <w:pStyle w:val="ListParagraph"/>
              <w:spacing w:before="60" w:after="60"/>
              <w:ind w:left="0"/>
              <w:jc w:val="both"/>
              <w:rPr>
                <w:rFonts w:ascii="Times New Roman" w:hAnsi="Times New Roman"/>
                <w:b/>
                <w:sz w:val="24"/>
                <w:szCs w:val="24"/>
                <w:lang w:eastAsia="lv-LV"/>
              </w:rPr>
            </w:pPr>
            <w:r w:rsidRPr="001D5294">
              <w:rPr>
                <w:rFonts w:ascii="Times New Roman" w:hAnsi="Times New Roman"/>
                <w:b/>
                <w:sz w:val="24"/>
                <w:szCs w:val="24"/>
                <w:lang w:eastAsia="lv-LV"/>
              </w:rPr>
              <w:t>FM 07.08.20. iebildums:</w:t>
            </w:r>
          </w:p>
          <w:p w14:paraId="6A875B5B" w14:textId="20EF42B3" w:rsidR="00593C6E" w:rsidRPr="001D5294" w:rsidRDefault="00593C6E" w:rsidP="00593C6E">
            <w:pPr>
              <w:pStyle w:val="ListParagraph"/>
              <w:spacing w:before="60" w:after="60"/>
              <w:ind w:left="0"/>
              <w:jc w:val="both"/>
              <w:rPr>
                <w:rFonts w:ascii="Times New Roman" w:hAnsi="Times New Roman"/>
                <w:sz w:val="24"/>
                <w:szCs w:val="24"/>
                <w:lang w:eastAsia="lv-LV"/>
              </w:rPr>
            </w:pPr>
            <w:r w:rsidRPr="001D5294">
              <w:rPr>
                <w:rFonts w:ascii="Times New Roman" w:hAnsi="Times New Roman"/>
                <w:sz w:val="24"/>
                <w:szCs w:val="24"/>
                <w:lang w:eastAsia="lv-LV"/>
              </w:rPr>
              <w:t>3.</w:t>
            </w:r>
            <w:r w:rsidRPr="001D5294">
              <w:rPr>
                <w:rFonts w:ascii="Times New Roman" w:hAnsi="Times New Roman"/>
                <w:sz w:val="24"/>
                <w:szCs w:val="24"/>
                <w:lang w:eastAsia="lv-LV"/>
              </w:rPr>
              <w:tab/>
              <w:t xml:space="preserve">Lūdzam pārskatīt un precizēt MK noteikumu projektā </w:t>
            </w:r>
            <w:r w:rsidRPr="001D5294">
              <w:rPr>
                <w:rFonts w:ascii="Times New Roman" w:hAnsi="Times New Roman"/>
                <w:sz w:val="24"/>
                <w:szCs w:val="24"/>
                <w:lang w:eastAsia="lv-LV"/>
              </w:rPr>
              <w:lastRenderedPageBreak/>
              <w:t>16.punktā ietvertā 63.</w:t>
            </w:r>
            <w:r w:rsidRPr="001D5294">
              <w:rPr>
                <w:rFonts w:ascii="Times New Roman" w:hAnsi="Times New Roman"/>
                <w:sz w:val="24"/>
                <w:szCs w:val="24"/>
                <w:vertAlign w:val="superscript"/>
                <w:lang w:eastAsia="lv-LV"/>
              </w:rPr>
              <w:t>1</w:t>
            </w:r>
            <w:r w:rsidRPr="001D5294">
              <w:rPr>
                <w:rFonts w:ascii="Times New Roman" w:hAnsi="Times New Roman"/>
                <w:sz w:val="24"/>
                <w:szCs w:val="24"/>
                <w:lang w:eastAsia="lv-LV"/>
              </w:rPr>
              <w:t xml:space="preserve"> punkta nosacījumus. Vēršam uzmanību, ka anotācijas I. sadaļā jau ir korekti norādīts, ka ierobežotas jomas darbībai (papildinoša saimnieciska darbība) piešķirtajai kapacitātei ir jānodrošina ikgadēja uzraudzība, lai pārliecinātos par to, ka ierobežotas jomas darbības procentuālais limits tiek ievērots visā infrastruktūras amortizācijas periodā, attiecīgi šis nosacījums būtu ietverams arī MK noteikumu projektā. Vienlaikus šobrīd nav skaidra arī MK noteikumu projekta 16.punktā ietvertā 63.</w:t>
            </w:r>
            <w:r w:rsidRPr="001D5294">
              <w:rPr>
                <w:rFonts w:ascii="Times New Roman" w:hAnsi="Times New Roman"/>
                <w:sz w:val="24"/>
                <w:szCs w:val="24"/>
                <w:vertAlign w:val="superscript"/>
                <w:lang w:eastAsia="lv-LV"/>
              </w:rPr>
              <w:t>1</w:t>
            </w:r>
            <w:r w:rsidRPr="001D5294">
              <w:rPr>
                <w:rFonts w:ascii="Times New Roman" w:hAnsi="Times New Roman"/>
                <w:sz w:val="24"/>
                <w:szCs w:val="24"/>
                <w:lang w:eastAsia="lv-LV"/>
              </w:rPr>
              <w:t xml:space="preserve"> punkta nosacījumu primāra sasaiste ar nelikumīga atbalsta atgūšanas normām, šajā sakarā vēršam uzmanību, ka primāri būtu nodrošināma gan ar saimniecisku darbību nesaistītu, gan ar saimniecisku darbību saistītu projektu uzraudzība un atgūšanas normas ir pielietojamas tikai tad, ja uzraudzības rezultātā tiek konstatēts projekta ietvaros radītās infrastruktūras izmantojuma nosacījumu pārkāpums. Attiecīgi aicinām šo normu sadalīt divos punktos, kur viens noteiktu uzraudzības kārtību un otrs atgūšanu, ja uzraudzības rezultātā tiek konstatēts projekta ietvaros </w:t>
            </w:r>
            <w:r w:rsidRPr="001D5294">
              <w:rPr>
                <w:rFonts w:ascii="Times New Roman" w:hAnsi="Times New Roman"/>
                <w:sz w:val="24"/>
                <w:szCs w:val="24"/>
                <w:lang w:eastAsia="lv-LV"/>
              </w:rPr>
              <w:lastRenderedPageBreak/>
              <w:t>radītās infrastruktūras izmantojuma nosacījumu pārkāpums.</w:t>
            </w:r>
          </w:p>
        </w:tc>
        <w:tc>
          <w:tcPr>
            <w:tcW w:w="3685" w:type="dxa"/>
            <w:shd w:val="clear" w:color="auto" w:fill="auto"/>
          </w:tcPr>
          <w:p w14:paraId="2D1D6A42" w14:textId="77777777" w:rsidR="00593C6E" w:rsidRPr="001D5294" w:rsidRDefault="00593C6E" w:rsidP="0048011B">
            <w:pPr>
              <w:spacing w:before="60" w:after="60"/>
              <w:jc w:val="both"/>
              <w:rPr>
                <w:b/>
              </w:rPr>
            </w:pPr>
            <w:r w:rsidRPr="001D5294">
              <w:rPr>
                <w:b/>
              </w:rPr>
              <w:lastRenderedPageBreak/>
              <w:t>Ņemts vērā.</w:t>
            </w:r>
          </w:p>
          <w:p w14:paraId="50F73261" w14:textId="77777777" w:rsidR="00593C6E" w:rsidRPr="001D5294" w:rsidRDefault="00593C6E" w:rsidP="005F148D">
            <w:pPr>
              <w:spacing w:before="60" w:after="60"/>
              <w:jc w:val="both"/>
            </w:pPr>
            <w:r w:rsidRPr="001D5294">
              <w:t>Noteikumu projekts precizēts atbilstoši Regulas Nr. 651/2014 26. panta 7. punkta nosacījumiem, ka dalībvalstis izveido „uzraudzības un atgūšanas mehānismu”.</w:t>
            </w:r>
          </w:p>
          <w:p w14:paraId="5E7A10E0" w14:textId="052D8D1A" w:rsidR="00593C6E" w:rsidRPr="001D5294" w:rsidRDefault="00593C6E" w:rsidP="005F148D">
            <w:pPr>
              <w:spacing w:before="60" w:after="60"/>
              <w:jc w:val="both"/>
            </w:pPr>
            <w:r w:rsidRPr="001D5294">
              <w:t>Vienlaikus noteikumu projekts paredz, ka sadarbības iestāde atgūšanas mehānismu piemēro, ja konstatēti pārkāpumi.</w:t>
            </w:r>
          </w:p>
        </w:tc>
        <w:tc>
          <w:tcPr>
            <w:tcW w:w="3951" w:type="dxa"/>
            <w:gridSpan w:val="2"/>
            <w:vMerge/>
            <w:shd w:val="clear" w:color="auto" w:fill="auto"/>
          </w:tcPr>
          <w:p w14:paraId="4B42D3F7" w14:textId="7A47E2C4" w:rsidR="00593C6E" w:rsidRPr="001D5294" w:rsidRDefault="00593C6E" w:rsidP="00C4242D">
            <w:pPr>
              <w:spacing w:before="60" w:after="60"/>
              <w:jc w:val="both"/>
            </w:pPr>
          </w:p>
        </w:tc>
      </w:tr>
      <w:tr w:rsidR="00593C6E" w:rsidRPr="001D5294" w14:paraId="3FC24B72" w14:textId="77777777" w:rsidTr="004C1D00">
        <w:trPr>
          <w:trHeight w:val="274"/>
        </w:trPr>
        <w:tc>
          <w:tcPr>
            <w:tcW w:w="644" w:type="dxa"/>
            <w:shd w:val="clear" w:color="auto" w:fill="FFFFFF" w:themeFill="background1"/>
          </w:tcPr>
          <w:p w14:paraId="2E2B8F45" w14:textId="77777777" w:rsidR="00593C6E" w:rsidRPr="001D5294" w:rsidRDefault="00593C6E" w:rsidP="00C4242D">
            <w:pPr>
              <w:numPr>
                <w:ilvl w:val="0"/>
                <w:numId w:val="31"/>
              </w:numPr>
              <w:tabs>
                <w:tab w:val="center" w:pos="284"/>
              </w:tabs>
              <w:spacing w:before="60" w:after="60"/>
              <w:ind w:left="0" w:firstLine="0"/>
            </w:pPr>
          </w:p>
        </w:tc>
        <w:tc>
          <w:tcPr>
            <w:tcW w:w="3039" w:type="dxa"/>
            <w:vMerge/>
            <w:shd w:val="clear" w:color="auto" w:fill="auto"/>
          </w:tcPr>
          <w:p w14:paraId="58240F73" w14:textId="77777777" w:rsidR="00593C6E" w:rsidRPr="001D5294" w:rsidRDefault="00593C6E" w:rsidP="00C4242D">
            <w:pPr>
              <w:spacing w:before="60" w:after="60"/>
              <w:jc w:val="both"/>
            </w:pPr>
          </w:p>
        </w:tc>
        <w:tc>
          <w:tcPr>
            <w:tcW w:w="3547" w:type="dxa"/>
            <w:shd w:val="clear" w:color="auto" w:fill="auto"/>
          </w:tcPr>
          <w:p w14:paraId="154902A5" w14:textId="77777777" w:rsidR="00593C6E" w:rsidRPr="001D5294" w:rsidRDefault="00593C6E" w:rsidP="00C4242D">
            <w:pPr>
              <w:pStyle w:val="ListParagraph"/>
              <w:spacing w:before="60" w:after="60"/>
              <w:ind w:left="0"/>
              <w:jc w:val="both"/>
              <w:rPr>
                <w:rFonts w:ascii="Times New Roman" w:hAnsi="Times New Roman"/>
                <w:b/>
                <w:sz w:val="24"/>
                <w:szCs w:val="24"/>
                <w:lang w:eastAsia="lv-LV"/>
              </w:rPr>
            </w:pPr>
            <w:r w:rsidRPr="001D5294">
              <w:rPr>
                <w:rFonts w:ascii="Times New Roman" w:hAnsi="Times New Roman"/>
                <w:b/>
                <w:sz w:val="24"/>
                <w:szCs w:val="24"/>
                <w:lang w:eastAsia="lv-LV"/>
              </w:rPr>
              <w:t xml:space="preserve">FM 17.09.2020. </w:t>
            </w:r>
            <w:proofErr w:type="spellStart"/>
            <w:r w:rsidRPr="001D5294">
              <w:rPr>
                <w:rFonts w:ascii="Times New Roman" w:hAnsi="Times New Roman"/>
                <w:b/>
                <w:sz w:val="24"/>
                <w:szCs w:val="24"/>
                <w:lang w:eastAsia="lv-LV"/>
              </w:rPr>
              <w:t>priekkšlikums</w:t>
            </w:r>
            <w:proofErr w:type="spellEnd"/>
            <w:r w:rsidRPr="001D5294">
              <w:rPr>
                <w:rFonts w:ascii="Times New Roman" w:hAnsi="Times New Roman"/>
                <w:b/>
                <w:sz w:val="24"/>
                <w:szCs w:val="24"/>
                <w:lang w:eastAsia="lv-LV"/>
              </w:rPr>
              <w:t xml:space="preserve"> </w:t>
            </w:r>
          </w:p>
          <w:p w14:paraId="7A719041" w14:textId="2CF72911" w:rsidR="00593C6E" w:rsidRPr="001D5294" w:rsidRDefault="00593C6E" w:rsidP="00C4242D">
            <w:pPr>
              <w:pStyle w:val="ListParagraph"/>
              <w:spacing w:before="60" w:after="60"/>
              <w:ind w:left="0"/>
              <w:jc w:val="both"/>
              <w:rPr>
                <w:rFonts w:ascii="Times New Roman" w:hAnsi="Times New Roman"/>
                <w:sz w:val="24"/>
                <w:szCs w:val="24"/>
                <w:lang w:eastAsia="lv-LV"/>
              </w:rPr>
            </w:pPr>
            <w:r w:rsidRPr="001D5294">
              <w:rPr>
                <w:rFonts w:ascii="Times New Roman" w:hAnsi="Times New Roman"/>
                <w:sz w:val="24"/>
                <w:szCs w:val="24"/>
                <w:lang w:eastAsia="lv-LV"/>
              </w:rPr>
              <w:t>3.</w:t>
            </w:r>
            <w:r w:rsidRPr="001D5294">
              <w:rPr>
                <w:rFonts w:ascii="Times New Roman" w:hAnsi="Times New Roman"/>
                <w:sz w:val="24"/>
                <w:szCs w:val="24"/>
                <w:lang w:eastAsia="lv-LV"/>
              </w:rPr>
              <w:tab/>
              <w:t>Vēršam uzmanību, ka publiskā finansējuma uzraudzības un atgūšanas mehānisms ir jāizstrādā, lai varētu nodrošināt korektu komercdarbības atbalsta un ierobežotas jomas darbību uzraudzību, attiecīgi aicinām MK noteikumu projekta 16.punktā ietvertajā 63.1 punktā vārdu: “ievērojot” aizstāt ar vārdiem: “lai ievērotu”.</w:t>
            </w:r>
          </w:p>
        </w:tc>
        <w:tc>
          <w:tcPr>
            <w:tcW w:w="3685" w:type="dxa"/>
            <w:shd w:val="clear" w:color="auto" w:fill="auto"/>
          </w:tcPr>
          <w:p w14:paraId="1BD38867" w14:textId="77777777" w:rsidR="00593C6E" w:rsidRPr="001D5294" w:rsidRDefault="00593C6E" w:rsidP="00593C6E">
            <w:pPr>
              <w:spacing w:before="60" w:after="60"/>
              <w:jc w:val="both"/>
              <w:rPr>
                <w:b/>
              </w:rPr>
            </w:pPr>
            <w:r w:rsidRPr="001D5294">
              <w:rPr>
                <w:b/>
              </w:rPr>
              <w:t>Ņemts vērā.</w:t>
            </w:r>
          </w:p>
          <w:p w14:paraId="71B819E0" w14:textId="7BAA9C6F" w:rsidR="00593C6E" w:rsidRPr="001D5294" w:rsidRDefault="00593C6E" w:rsidP="00593C6E">
            <w:pPr>
              <w:spacing w:before="60" w:after="60"/>
              <w:jc w:val="both"/>
              <w:rPr>
                <w:b/>
              </w:rPr>
            </w:pPr>
            <w:r w:rsidRPr="001D5294">
              <w:t>MK noteikumu Nr. 562 63.</w:t>
            </w:r>
            <w:r w:rsidRPr="001D5294">
              <w:rPr>
                <w:vertAlign w:val="superscript"/>
              </w:rPr>
              <w:t>1</w:t>
            </w:r>
            <w:r w:rsidRPr="001D5294">
              <w:t xml:space="preserve"> punktā vārds: “ievērojot” aizstāts ar vārdiem “lai ievērotu”. Vienlaikus veikti redakcionāli precizējumi.</w:t>
            </w:r>
          </w:p>
        </w:tc>
        <w:tc>
          <w:tcPr>
            <w:tcW w:w="3951" w:type="dxa"/>
            <w:gridSpan w:val="2"/>
            <w:vMerge/>
            <w:shd w:val="clear" w:color="auto" w:fill="auto"/>
          </w:tcPr>
          <w:p w14:paraId="3EC5A7C7" w14:textId="77777777" w:rsidR="00593C6E" w:rsidRPr="001D5294" w:rsidRDefault="00593C6E" w:rsidP="00C4242D">
            <w:pPr>
              <w:spacing w:before="60" w:after="60"/>
              <w:jc w:val="both"/>
            </w:pPr>
          </w:p>
        </w:tc>
      </w:tr>
      <w:tr w:rsidR="00C4242D" w:rsidRPr="001D5294" w14:paraId="296FB23D" w14:textId="77777777" w:rsidTr="004C1D00">
        <w:trPr>
          <w:trHeight w:val="274"/>
        </w:trPr>
        <w:tc>
          <w:tcPr>
            <w:tcW w:w="644" w:type="dxa"/>
            <w:shd w:val="clear" w:color="auto" w:fill="FFFFFF" w:themeFill="background1"/>
          </w:tcPr>
          <w:p w14:paraId="30B1685D" w14:textId="61F876BC" w:rsidR="00C4242D" w:rsidRPr="001D5294" w:rsidRDefault="00C4242D" w:rsidP="00C4242D">
            <w:pPr>
              <w:numPr>
                <w:ilvl w:val="0"/>
                <w:numId w:val="31"/>
              </w:numPr>
              <w:tabs>
                <w:tab w:val="center" w:pos="284"/>
              </w:tabs>
              <w:spacing w:before="60" w:after="60"/>
              <w:ind w:left="0" w:firstLine="0"/>
            </w:pPr>
          </w:p>
        </w:tc>
        <w:tc>
          <w:tcPr>
            <w:tcW w:w="3039" w:type="dxa"/>
            <w:shd w:val="clear" w:color="auto" w:fill="auto"/>
          </w:tcPr>
          <w:p w14:paraId="20FD863D" w14:textId="54D73B1F" w:rsidR="00C4242D" w:rsidRPr="001D5294" w:rsidRDefault="00B44CC7" w:rsidP="00C4242D">
            <w:pPr>
              <w:spacing w:before="60" w:after="60"/>
              <w:jc w:val="both"/>
            </w:pPr>
            <w:r w:rsidRPr="001D5294">
              <w:t>21.1.2.2. parastie papildpakalpojumi, ja pakalpojumus galvenokārt izmanto ar saimniecisku darbību nesaistītai pamatdarbībai un tie neietekmē tirdzniecību starp Eiropas Savienības dalībvalstīm (pakalpojumi ir vietēji)</w:t>
            </w:r>
          </w:p>
        </w:tc>
        <w:tc>
          <w:tcPr>
            <w:tcW w:w="3547" w:type="dxa"/>
            <w:shd w:val="clear" w:color="auto" w:fill="auto"/>
          </w:tcPr>
          <w:p w14:paraId="39EAB7FC" w14:textId="0ADCFA6F" w:rsidR="00C4242D" w:rsidRPr="001D5294" w:rsidRDefault="00C4242D" w:rsidP="00C4242D">
            <w:pPr>
              <w:pStyle w:val="ListParagraph"/>
              <w:spacing w:before="60" w:after="60"/>
              <w:ind w:left="0"/>
              <w:jc w:val="both"/>
              <w:rPr>
                <w:rFonts w:ascii="Times New Roman" w:hAnsi="Times New Roman"/>
                <w:b/>
                <w:sz w:val="24"/>
                <w:szCs w:val="24"/>
              </w:rPr>
            </w:pPr>
            <w:r w:rsidRPr="001D5294">
              <w:rPr>
                <w:rFonts w:ascii="Times New Roman" w:hAnsi="Times New Roman"/>
                <w:b/>
                <w:sz w:val="24"/>
                <w:szCs w:val="24"/>
              </w:rPr>
              <w:t>Tieslietu ministrija (TM)</w:t>
            </w:r>
          </w:p>
          <w:p w14:paraId="3D158C5A" w14:textId="77777777" w:rsidR="00C4242D" w:rsidRPr="001D5294" w:rsidRDefault="00C4242D" w:rsidP="00C4242D">
            <w:pPr>
              <w:pStyle w:val="ListParagraph"/>
              <w:spacing w:before="60" w:after="60"/>
              <w:ind w:left="0"/>
              <w:jc w:val="both"/>
              <w:rPr>
                <w:rFonts w:ascii="Times New Roman" w:hAnsi="Times New Roman"/>
                <w:sz w:val="24"/>
                <w:szCs w:val="24"/>
              </w:rPr>
            </w:pPr>
            <w:r w:rsidRPr="001D5294">
              <w:rPr>
                <w:rFonts w:ascii="Times New Roman" w:hAnsi="Times New Roman"/>
                <w:sz w:val="24"/>
                <w:szCs w:val="24"/>
              </w:rPr>
              <w:t xml:space="preserve">2. Vēršam uzmanību, ka noteikumu projekta 4. punktā izteiktais noteikumu 21.1.2.2. apakšpunkts pašreizējā redakcijā ir ļoti plaši interpretējams un subjektīvs. Normā lietotā frāze "parastie pakalpojumi" padara tiesību normu neskaidru. Norādām, ka, ieviešot šādi formulētu regulējumu, netiks skaidri noteikti pakalpojumi, kas atbilst noteikumu 21.1. apakšpunktā noteiktajam. Līdz ar to nepieciešams precizēt minēto noteikumu projekta normu tā, lai tās lietotājs un piemērotājs </w:t>
            </w:r>
            <w:r w:rsidRPr="001D5294">
              <w:rPr>
                <w:rFonts w:ascii="Times New Roman" w:hAnsi="Times New Roman"/>
                <w:sz w:val="24"/>
                <w:szCs w:val="24"/>
              </w:rPr>
              <w:lastRenderedPageBreak/>
              <w:t>gūtu nepārprotamu priekšstatu par saviem pienākumiem un tiesībām.</w:t>
            </w:r>
          </w:p>
          <w:p w14:paraId="39138C75" w14:textId="511F36A6" w:rsidR="00C4242D" w:rsidRPr="001D5294" w:rsidRDefault="00C4242D" w:rsidP="00223516">
            <w:pPr>
              <w:spacing w:before="60" w:after="60"/>
              <w:jc w:val="both"/>
            </w:pPr>
            <w:r w:rsidRPr="001D5294">
              <w:t>Papildus lūdzam noteikumu projekta 4. punktā izteiktajā noteikumu 21.1.2.2. apakšpunktā izvērtēt pieturzīmes iekavas lietojumu, jo šajā gadījumā iekavu lietošana padara tiesību normu neskaidru un apgrūtina tās viennozīmīgu uztveri. Norādām, ka šajā gadījumā iekavās ietvertais skaidrojums sašaurina tiesību normas tvērumu. Attiecīgi lūdzam precizēt noteikumu projekta 4. punktā izteikto noteikumu 21.1.2.2. apakšpunktu, dzēšot pieturzīmi iekavas un vārdus „pakalpojumi ir vietēji”.</w:t>
            </w:r>
          </w:p>
        </w:tc>
        <w:tc>
          <w:tcPr>
            <w:tcW w:w="3685" w:type="dxa"/>
            <w:shd w:val="clear" w:color="auto" w:fill="auto"/>
          </w:tcPr>
          <w:p w14:paraId="5C822969" w14:textId="77777777" w:rsidR="0048011B" w:rsidRPr="001D5294" w:rsidRDefault="0048011B" w:rsidP="0048011B">
            <w:pPr>
              <w:spacing w:before="60" w:after="60"/>
              <w:jc w:val="both"/>
              <w:rPr>
                <w:b/>
              </w:rPr>
            </w:pPr>
            <w:r w:rsidRPr="001D5294">
              <w:rPr>
                <w:b/>
              </w:rPr>
              <w:lastRenderedPageBreak/>
              <w:t>Ņemts vērā.</w:t>
            </w:r>
          </w:p>
          <w:p w14:paraId="3E00241E" w14:textId="77777777" w:rsidR="00C4242D" w:rsidRPr="001D5294" w:rsidRDefault="00C4242D" w:rsidP="00C4242D">
            <w:pPr>
              <w:spacing w:before="60" w:after="60"/>
              <w:jc w:val="both"/>
              <w:rPr>
                <w:b/>
              </w:rPr>
            </w:pPr>
          </w:p>
        </w:tc>
        <w:tc>
          <w:tcPr>
            <w:tcW w:w="3951" w:type="dxa"/>
            <w:gridSpan w:val="2"/>
            <w:shd w:val="clear" w:color="auto" w:fill="auto"/>
          </w:tcPr>
          <w:p w14:paraId="267674E8" w14:textId="61084F9D" w:rsidR="00C4242D" w:rsidRPr="001D5294" w:rsidRDefault="0048011B" w:rsidP="008A41F1">
            <w:pPr>
              <w:spacing w:before="60" w:after="60"/>
              <w:jc w:val="both"/>
            </w:pPr>
            <w:r w:rsidRPr="001D5294">
              <w:t>21.1.3. papildpakalpojumi, tai skaitā ēdināšanas, autostāvvietu, kopēšanas un citi pakalpojumi, kurus sniedz pētniecībā nodarbinātam personālam, lai finansējuma saņēmējs vai sadarbības partneris nodrošinātu ar saimniecisku darbību nesaistītas pamatdarbības īstenošanu, ja minētie papildpakalpojumi neietekmē tirdzniecību starp Eiropas Savienības dalībvalstīm (pakalpojumi ir vietēji);</w:t>
            </w:r>
          </w:p>
        </w:tc>
      </w:tr>
      <w:tr w:rsidR="0048011B" w:rsidRPr="001D5294" w14:paraId="52935872" w14:textId="77777777" w:rsidTr="004C1D00">
        <w:trPr>
          <w:trHeight w:val="274"/>
        </w:trPr>
        <w:tc>
          <w:tcPr>
            <w:tcW w:w="14866" w:type="dxa"/>
            <w:gridSpan w:val="6"/>
            <w:shd w:val="clear" w:color="auto" w:fill="FFFFFF" w:themeFill="background1"/>
          </w:tcPr>
          <w:p w14:paraId="58230568" w14:textId="0C46E219" w:rsidR="0048011B" w:rsidRPr="001D5294" w:rsidRDefault="0048011B" w:rsidP="00C4242D">
            <w:pPr>
              <w:spacing w:before="60" w:after="60"/>
              <w:jc w:val="both"/>
              <w:rPr>
                <w:b/>
              </w:rPr>
            </w:pPr>
            <w:r w:rsidRPr="001D5294">
              <w:rPr>
                <w:b/>
              </w:rPr>
              <w:lastRenderedPageBreak/>
              <w:t>Anotācija</w:t>
            </w:r>
          </w:p>
        </w:tc>
      </w:tr>
      <w:tr w:rsidR="0041691B" w:rsidRPr="001D5294" w14:paraId="752C1E99" w14:textId="07AA3C52" w:rsidTr="004C1D00">
        <w:trPr>
          <w:trHeight w:val="274"/>
        </w:trPr>
        <w:tc>
          <w:tcPr>
            <w:tcW w:w="644" w:type="dxa"/>
            <w:shd w:val="clear" w:color="auto" w:fill="FFFFFF" w:themeFill="background1"/>
          </w:tcPr>
          <w:p w14:paraId="31F01AD8" w14:textId="5454B563" w:rsidR="0041691B" w:rsidRPr="001D5294" w:rsidRDefault="0041691B" w:rsidP="00C4242D">
            <w:pPr>
              <w:numPr>
                <w:ilvl w:val="0"/>
                <w:numId w:val="31"/>
              </w:numPr>
              <w:tabs>
                <w:tab w:val="center" w:pos="284"/>
              </w:tabs>
              <w:spacing w:before="60" w:after="60"/>
              <w:ind w:left="0" w:firstLine="0"/>
            </w:pPr>
          </w:p>
        </w:tc>
        <w:tc>
          <w:tcPr>
            <w:tcW w:w="3039" w:type="dxa"/>
            <w:shd w:val="clear" w:color="auto" w:fill="auto"/>
          </w:tcPr>
          <w:p w14:paraId="6342B073" w14:textId="20888051" w:rsidR="0041691B" w:rsidRPr="001D5294" w:rsidRDefault="0041691B" w:rsidP="00C4242D">
            <w:pPr>
              <w:spacing w:before="60" w:after="60"/>
              <w:jc w:val="both"/>
            </w:pPr>
          </w:p>
        </w:tc>
        <w:tc>
          <w:tcPr>
            <w:tcW w:w="3547" w:type="dxa"/>
            <w:shd w:val="clear" w:color="auto" w:fill="auto"/>
          </w:tcPr>
          <w:p w14:paraId="10781FC5" w14:textId="599AC50A" w:rsidR="0041691B" w:rsidRPr="001D5294" w:rsidRDefault="00C4242D" w:rsidP="00C4242D">
            <w:pPr>
              <w:spacing w:before="60" w:after="60"/>
              <w:contextualSpacing/>
              <w:jc w:val="both"/>
            </w:pPr>
            <w:r w:rsidRPr="001D5294">
              <w:rPr>
                <w:b/>
              </w:rPr>
              <w:t xml:space="preserve">FM: </w:t>
            </w:r>
            <w:r w:rsidR="00D15494" w:rsidRPr="001D5294">
              <w:t>Lūdzam papildināt anotāciju ar informāciju par ierosināto grozījumu ietekmi uz jau uzsāktajiem projektiem.</w:t>
            </w:r>
          </w:p>
        </w:tc>
        <w:tc>
          <w:tcPr>
            <w:tcW w:w="3685" w:type="dxa"/>
            <w:shd w:val="clear" w:color="auto" w:fill="auto"/>
          </w:tcPr>
          <w:p w14:paraId="7E3880A9" w14:textId="77777777" w:rsidR="002C2240" w:rsidRPr="001D5294" w:rsidRDefault="002C2240" w:rsidP="002C2240">
            <w:pPr>
              <w:spacing w:before="60" w:after="60"/>
              <w:jc w:val="both"/>
              <w:rPr>
                <w:b/>
              </w:rPr>
            </w:pPr>
            <w:r w:rsidRPr="001D5294">
              <w:rPr>
                <w:b/>
              </w:rPr>
              <w:t>Ņemts vērā.</w:t>
            </w:r>
          </w:p>
          <w:p w14:paraId="7D16F7C4" w14:textId="5C507C11" w:rsidR="0041691B" w:rsidRPr="001D5294" w:rsidRDefault="0041691B" w:rsidP="00C4242D">
            <w:pPr>
              <w:spacing w:before="60" w:after="60"/>
              <w:jc w:val="both"/>
            </w:pPr>
          </w:p>
        </w:tc>
        <w:tc>
          <w:tcPr>
            <w:tcW w:w="3951" w:type="dxa"/>
            <w:gridSpan w:val="2"/>
            <w:shd w:val="clear" w:color="auto" w:fill="auto"/>
          </w:tcPr>
          <w:p w14:paraId="28D8D0D6" w14:textId="10BF0895" w:rsidR="0041691B" w:rsidRPr="001D5294" w:rsidRDefault="002C2240" w:rsidP="00C4242D">
            <w:pPr>
              <w:spacing w:before="60" w:after="60"/>
              <w:jc w:val="both"/>
            </w:pPr>
            <w:r w:rsidRPr="001D5294">
              <w:rPr>
                <w:color w:val="000000"/>
                <w:sz w:val="26"/>
                <w:szCs w:val="26"/>
              </w:rPr>
              <w:t>Ierosinātajiem MK noteikumu Nr. 562 grozījumiem nav ietekmes uz jau uzsākto projektu īstenošanu, jo noteikumu projektā iekļautie nosacījumi viennozīmīgi skaidro projektu ietvaros modernizētās infrastruktūras izmantošanas nosacījumus pēc projektu īstenošanas infrastruktūras amortizācijas periodā, kad visa projekta ietvaros modernizētā infrastruktūra ir uzņemta bilancē un nodota ekspluatācijā.</w:t>
            </w:r>
          </w:p>
        </w:tc>
      </w:tr>
      <w:tr w:rsidR="00C768F7" w:rsidRPr="001D5294" w14:paraId="37CFFEF8" w14:textId="77777777" w:rsidTr="004C1D00">
        <w:trPr>
          <w:trHeight w:val="274"/>
        </w:trPr>
        <w:tc>
          <w:tcPr>
            <w:tcW w:w="644" w:type="dxa"/>
            <w:shd w:val="clear" w:color="auto" w:fill="FFFFFF" w:themeFill="background1"/>
          </w:tcPr>
          <w:p w14:paraId="69F9FAD1" w14:textId="77777777" w:rsidR="00C768F7" w:rsidRPr="001D5294" w:rsidRDefault="00C768F7" w:rsidP="00C4242D">
            <w:pPr>
              <w:numPr>
                <w:ilvl w:val="0"/>
                <w:numId w:val="31"/>
              </w:numPr>
              <w:tabs>
                <w:tab w:val="center" w:pos="284"/>
              </w:tabs>
              <w:spacing w:before="60" w:after="60"/>
              <w:ind w:left="0" w:firstLine="0"/>
            </w:pPr>
          </w:p>
        </w:tc>
        <w:tc>
          <w:tcPr>
            <w:tcW w:w="3039" w:type="dxa"/>
            <w:shd w:val="clear" w:color="auto" w:fill="auto"/>
          </w:tcPr>
          <w:p w14:paraId="36180A34" w14:textId="148ADFFE" w:rsidR="00C768F7" w:rsidRPr="001D5294" w:rsidRDefault="00C768F7" w:rsidP="00C4242D">
            <w:pPr>
              <w:spacing w:before="60" w:after="60"/>
              <w:jc w:val="both"/>
            </w:pPr>
          </w:p>
        </w:tc>
        <w:tc>
          <w:tcPr>
            <w:tcW w:w="3547" w:type="dxa"/>
            <w:shd w:val="clear" w:color="auto" w:fill="auto"/>
          </w:tcPr>
          <w:p w14:paraId="534C4468" w14:textId="537BE86E" w:rsidR="00C768F7" w:rsidRPr="001D5294" w:rsidRDefault="00C4242D" w:rsidP="00C4242D">
            <w:pPr>
              <w:spacing w:before="60" w:after="60"/>
              <w:contextualSpacing/>
              <w:jc w:val="both"/>
            </w:pPr>
            <w:r w:rsidRPr="001D5294">
              <w:rPr>
                <w:b/>
              </w:rPr>
              <w:t xml:space="preserve">FM: </w:t>
            </w:r>
            <w:r w:rsidR="00D15494" w:rsidRPr="001D5294">
              <w:t>Ņemot vērā iepriekš norādīto par faktiskajiem projektu pārskata periodiem, lūdzam precizēt MK noteikumu anotācijas pielikumu, kurā paredz izmaksas arī 2036.gadam, un atsevišķu proj</w:t>
            </w:r>
            <w:r w:rsidRPr="001D5294">
              <w:t>ektu uzraudzībai arī 2037.gadam</w:t>
            </w:r>
          </w:p>
        </w:tc>
        <w:tc>
          <w:tcPr>
            <w:tcW w:w="3685" w:type="dxa"/>
            <w:shd w:val="clear" w:color="auto" w:fill="auto"/>
          </w:tcPr>
          <w:p w14:paraId="58ACD29F" w14:textId="77777777" w:rsidR="002C2240" w:rsidRPr="001D5294" w:rsidRDefault="002C2240" w:rsidP="002C2240">
            <w:pPr>
              <w:spacing w:before="60" w:after="60"/>
              <w:jc w:val="both"/>
              <w:rPr>
                <w:b/>
              </w:rPr>
            </w:pPr>
            <w:r w:rsidRPr="001D5294">
              <w:rPr>
                <w:b/>
              </w:rPr>
              <w:t>Ņemts vērā.</w:t>
            </w:r>
          </w:p>
          <w:p w14:paraId="2FE9299E" w14:textId="77777777" w:rsidR="00C768F7" w:rsidRPr="001D5294" w:rsidRDefault="00C768F7" w:rsidP="00C4242D">
            <w:pPr>
              <w:spacing w:before="60" w:after="60"/>
              <w:jc w:val="both"/>
              <w:rPr>
                <w:b/>
              </w:rPr>
            </w:pPr>
          </w:p>
        </w:tc>
        <w:tc>
          <w:tcPr>
            <w:tcW w:w="3951" w:type="dxa"/>
            <w:gridSpan w:val="2"/>
            <w:shd w:val="clear" w:color="auto" w:fill="auto"/>
          </w:tcPr>
          <w:p w14:paraId="1EEE5217" w14:textId="5BA4A6E2" w:rsidR="00C768F7" w:rsidRPr="001D5294" w:rsidRDefault="002C2240" w:rsidP="00C4242D">
            <w:pPr>
              <w:spacing w:before="60" w:after="60"/>
              <w:jc w:val="both"/>
            </w:pPr>
            <w:r w:rsidRPr="001D5294">
              <w:t>Skat anotāciju un tās pielikumu.</w:t>
            </w:r>
          </w:p>
        </w:tc>
      </w:tr>
      <w:tr w:rsidR="0041691B" w:rsidRPr="001D5294" w14:paraId="1393AEA0" w14:textId="77777777" w:rsidTr="004C1D00">
        <w:trPr>
          <w:trHeight w:val="274"/>
        </w:trPr>
        <w:tc>
          <w:tcPr>
            <w:tcW w:w="644" w:type="dxa"/>
            <w:shd w:val="clear" w:color="auto" w:fill="FFFFFF" w:themeFill="background1"/>
          </w:tcPr>
          <w:p w14:paraId="299F7321" w14:textId="77777777" w:rsidR="0041691B" w:rsidRPr="001D5294" w:rsidRDefault="0041691B" w:rsidP="00C4242D">
            <w:pPr>
              <w:numPr>
                <w:ilvl w:val="0"/>
                <w:numId w:val="31"/>
              </w:numPr>
              <w:tabs>
                <w:tab w:val="center" w:pos="284"/>
              </w:tabs>
              <w:spacing w:before="60" w:after="60"/>
              <w:ind w:left="0" w:firstLine="0"/>
            </w:pPr>
          </w:p>
        </w:tc>
        <w:tc>
          <w:tcPr>
            <w:tcW w:w="3039" w:type="dxa"/>
            <w:shd w:val="clear" w:color="auto" w:fill="auto"/>
          </w:tcPr>
          <w:p w14:paraId="65109333" w14:textId="28269750" w:rsidR="0041691B" w:rsidRPr="001D5294" w:rsidRDefault="0041691B" w:rsidP="00C4242D">
            <w:pPr>
              <w:spacing w:before="60" w:after="60"/>
              <w:jc w:val="both"/>
            </w:pPr>
          </w:p>
        </w:tc>
        <w:tc>
          <w:tcPr>
            <w:tcW w:w="3547" w:type="dxa"/>
            <w:shd w:val="clear" w:color="auto" w:fill="auto"/>
          </w:tcPr>
          <w:p w14:paraId="47EC000A" w14:textId="5390981B" w:rsidR="0041691B" w:rsidRPr="001D5294" w:rsidRDefault="00C4242D" w:rsidP="00C4242D">
            <w:pPr>
              <w:spacing w:before="60" w:after="60"/>
              <w:contextualSpacing/>
              <w:jc w:val="both"/>
            </w:pPr>
            <w:r w:rsidRPr="001D5294">
              <w:rPr>
                <w:b/>
              </w:rPr>
              <w:t xml:space="preserve">FM: </w:t>
            </w:r>
            <w:r w:rsidRPr="001D5294">
              <w:t xml:space="preserve">Vēršam uzmanību, ka 2021-2027.gada plānošanas periodam paredzētais finansējums ir investīciju finansējums un tas nevar tikt izmantots uzraudzības funkcijai. Ņemot vērā minēto, lūdzam veikt atbilstošus labojumus </w:t>
            </w:r>
            <w:proofErr w:type="spellStart"/>
            <w:r w:rsidRPr="001D5294">
              <w:t>protokollēmuma</w:t>
            </w:r>
            <w:proofErr w:type="spellEnd"/>
            <w:r w:rsidRPr="001D5294">
              <w:t xml:space="preserve"> 2.punktā.</w:t>
            </w:r>
          </w:p>
        </w:tc>
        <w:tc>
          <w:tcPr>
            <w:tcW w:w="3685" w:type="dxa"/>
            <w:shd w:val="clear" w:color="auto" w:fill="auto"/>
          </w:tcPr>
          <w:p w14:paraId="46DA3BDD" w14:textId="77777777" w:rsidR="0041691B" w:rsidRPr="001D5294" w:rsidRDefault="00536637" w:rsidP="00C4242D">
            <w:pPr>
              <w:spacing w:before="60" w:after="60"/>
              <w:jc w:val="both"/>
              <w:rPr>
                <w:b/>
              </w:rPr>
            </w:pPr>
            <w:r w:rsidRPr="001D5294">
              <w:rPr>
                <w:b/>
              </w:rPr>
              <w:t>Ņemts vērā.</w:t>
            </w:r>
          </w:p>
          <w:p w14:paraId="43CA6AC8" w14:textId="0B518D0D" w:rsidR="005C19DC" w:rsidRPr="001D5294" w:rsidRDefault="005C19DC" w:rsidP="00C4242D">
            <w:pPr>
              <w:spacing w:before="60" w:after="60"/>
              <w:jc w:val="both"/>
            </w:pPr>
            <w:r w:rsidRPr="001D5294">
              <w:t xml:space="preserve">Skaidrojam, ka projektu uzraudzību infrastruktūras amortizācijas periodā veic CFLA. Ievērojot minēto, ar projektu uzraudzību saistītās izmaksas nepieciešams plānot tehniskās palīdzības </w:t>
            </w:r>
            <w:r w:rsidR="006A1E41" w:rsidRPr="001D5294">
              <w:t xml:space="preserve">CFLA darbības nodrošināšanai </w:t>
            </w:r>
            <w:r w:rsidRPr="001D5294">
              <w:t>projekta ietvaros</w:t>
            </w:r>
            <w:r w:rsidR="006A1E41" w:rsidRPr="001D5294">
              <w:t>.</w:t>
            </w:r>
          </w:p>
        </w:tc>
        <w:tc>
          <w:tcPr>
            <w:tcW w:w="3951" w:type="dxa"/>
            <w:gridSpan w:val="2"/>
            <w:shd w:val="clear" w:color="auto" w:fill="auto"/>
          </w:tcPr>
          <w:p w14:paraId="476F4AC1" w14:textId="7F75DECB" w:rsidR="0041691B" w:rsidRPr="001D5294" w:rsidRDefault="00536637" w:rsidP="00C4242D">
            <w:pPr>
              <w:spacing w:before="60" w:after="60"/>
              <w:jc w:val="both"/>
            </w:pPr>
            <w:r w:rsidRPr="001D5294">
              <w:t xml:space="preserve">Skat. </w:t>
            </w:r>
            <w:proofErr w:type="spellStart"/>
            <w:r w:rsidRPr="001D5294">
              <w:t>protokollēmuma</w:t>
            </w:r>
            <w:proofErr w:type="spellEnd"/>
            <w:r w:rsidRPr="001D5294">
              <w:t xml:space="preserve"> projektu</w:t>
            </w:r>
          </w:p>
        </w:tc>
      </w:tr>
      <w:tr w:rsidR="006E18B7" w:rsidRPr="001D5294" w14:paraId="3E461FAE" w14:textId="77777777" w:rsidTr="004C1D00">
        <w:trPr>
          <w:trHeight w:val="274"/>
        </w:trPr>
        <w:tc>
          <w:tcPr>
            <w:tcW w:w="644" w:type="dxa"/>
            <w:shd w:val="clear" w:color="auto" w:fill="FFFFFF" w:themeFill="background1"/>
          </w:tcPr>
          <w:p w14:paraId="74BA9DAF" w14:textId="355FCE4B" w:rsidR="006E18B7" w:rsidRPr="001D5294" w:rsidRDefault="006E18B7" w:rsidP="00C4242D">
            <w:pPr>
              <w:numPr>
                <w:ilvl w:val="0"/>
                <w:numId w:val="31"/>
              </w:numPr>
              <w:tabs>
                <w:tab w:val="center" w:pos="284"/>
              </w:tabs>
              <w:spacing w:before="60" w:after="60"/>
              <w:ind w:left="0" w:firstLine="0"/>
            </w:pPr>
          </w:p>
        </w:tc>
        <w:tc>
          <w:tcPr>
            <w:tcW w:w="3039" w:type="dxa"/>
            <w:shd w:val="clear" w:color="auto" w:fill="auto"/>
          </w:tcPr>
          <w:p w14:paraId="36403BBC" w14:textId="77777777" w:rsidR="006E18B7" w:rsidRPr="001D5294" w:rsidRDefault="006E18B7" w:rsidP="00C4242D">
            <w:pPr>
              <w:spacing w:before="60" w:after="60"/>
              <w:jc w:val="both"/>
            </w:pPr>
          </w:p>
        </w:tc>
        <w:tc>
          <w:tcPr>
            <w:tcW w:w="3547" w:type="dxa"/>
            <w:shd w:val="clear" w:color="auto" w:fill="auto"/>
          </w:tcPr>
          <w:p w14:paraId="59406A32" w14:textId="4278D70C" w:rsidR="006E18B7" w:rsidRPr="001D5294" w:rsidRDefault="00C4242D" w:rsidP="00C4242D">
            <w:pPr>
              <w:spacing w:before="60" w:after="60"/>
              <w:contextualSpacing/>
              <w:jc w:val="both"/>
            </w:pPr>
            <w:r w:rsidRPr="001D5294">
              <w:rPr>
                <w:b/>
              </w:rPr>
              <w:t>TM:</w:t>
            </w:r>
            <w:r w:rsidRPr="001D5294">
              <w:t xml:space="preserve"> 1. Lūdzam noteikumu projekta anotācijā </w:t>
            </w:r>
            <w:r w:rsidRPr="001D5294">
              <w:rPr>
                <w:bCs/>
              </w:rPr>
              <w:t>izvērsti skaidrot</w:t>
            </w:r>
            <w:r w:rsidRPr="001D5294">
              <w:t xml:space="preserve"> noteikumu projekta 3. punktā izteiktajā </w:t>
            </w:r>
            <w:r w:rsidRPr="001D5294">
              <w:rPr>
                <w:i/>
              </w:rPr>
              <w:t xml:space="preserve">Ministru kabineta 2016. gada 16. augusta noteikumu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w:t>
            </w:r>
            <w:r w:rsidRPr="001D5294">
              <w:rPr>
                <w:i/>
              </w:rPr>
              <w:lastRenderedPageBreak/>
              <w:t>stiprināšana" īstenošanas noteikumi</w:t>
            </w:r>
            <w:r w:rsidRPr="001D5294">
              <w:rPr>
                <w:i/>
                <w:color w:val="0D0D0D" w:themeColor="text1" w:themeTint="F2"/>
              </w:rPr>
              <w:t>""</w:t>
            </w:r>
            <w:r w:rsidRPr="001D5294">
              <w:rPr>
                <w:iCs/>
                <w:color w:val="0D0D0D" w:themeColor="text1" w:themeTint="F2"/>
              </w:rPr>
              <w:t xml:space="preserve"> </w:t>
            </w:r>
            <w:r w:rsidRPr="001D5294">
              <w:rPr>
                <w:color w:val="0D0D0D" w:themeColor="text1" w:themeTint="F2"/>
              </w:rPr>
              <w:t>(turpmāk – noteikumi)</w:t>
            </w:r>
            <w:r w:rsidRPr="001D5294">
              <w:t xml:space="preserve"> 2.19.</w:t>
            </w:r>
            <w:r w:rsidRPr="001D5294">
              <w:rPr>
                <w:vertAlign w:val="superscript"/>
              </w:rPr>
              <w:t>1</w:t>
            </w:r>
            <w:r w:rsidRPr="001D5294">
              <w:t> apakšpunktā norādīto tirgus cenas noteikšanas kārtību, kas jāveic ievērojot tirgus nosacījumus. Norādām, ka no noteikumu projekta nav skaidrs, kādi soļi projekta iesniedzējam ir jāveic tirgus cenu izpētei, dokumentēšanai un noteikšanai. Vairākos normatīvajos aktos ir noteiktas konkrētas tirgus cenas noteikšanas metodes vai izstrādātas atbilstošas vadlīnijas.</w:t>
            </w:r>
            <w:r w:rsidRPr="001D5294">
              <w:rPr>
                <w:rStyle w:val="FootnoteReference"/>
              </w:rPr>
              <w:footnoteReference w:id="2"/>
            </w:r>
            <w:r w:rsidRPr="001D5294">
              <w:t xml:space="preserve"> Tieslietu ministrija uzskata, ka Izglītības un zinātnes ministrijai būtu jāizvērtē metodikas izstrādes nepieciešamība, kas noteiktu vadlīnijas, principus, metodes un nepieciešamo dokumentāciju projektu iesniedzējiem tirgus izpētes veikšanai. Šādas metodikas izstrāde nodrošinātu projekta iesniedzēju ar nepieciešamo informāciju tirgus izpētes veikšanai, kā arī nodrošinātu atbildīgo iestādi ar informāciju, kas ļautu objektīvi izvērtēt iesniegtos dokumentus par tirgus cenu izpēti. Ja metodikas izstrāde nav nepieciešama vai nav lietderīga, tad lūdzam papildināt </w:t>
            </w:r>
            <w:r w:rsidRPr="001D5294">
              <w:lastRenderedPageBreak/>
              <w:t>noteikumu projektu un tā anotāciju ar detalizētāku tirgus cenas noteikšanas kārtību, tā, lai tās lietotājs un piemērotājs gūtu nepārprotamu priekšstatu par saviem pienākumiem un tiesībām.</w:t>
            </w:r>
          </w:p>
        </w:tc>
        <w:tc>
          <w:tcPr>
            <w:tcW w:w="3685" w:type="dxa"/>
            <w:shd w:val="clear" w:color="auto" w:fill="auto"/>
          </w:tcPr>
          <w:p w14:paraId="485B5262" w14:textId="77777777" w:rsidR="002C2240" w:rsidRPr="001D5294" w:rsidRDefault="002C2240" w:rsidP="002C2240">
            <w:pPr>
              <w:spacing w:before="60" w:after="60"/>
              <w:jc w:val="both"/>
              <w:rPr>
                <w:b/>
              </w:rPr>
            </w:pPr>
            <w:r w:rsidRPr="001D5294">
              <w:rPr>
                <w:b/>
              </w:rPr>
              <w:lastRenderedPageBreak/>
              <w:t>Ņemts vērā.</w:t>
            </w:r>
          </w:p>
          <w:p w14:paraId="1736E445" w14:textId="77777777" w:rsidR="006E18B7" w:rsidRPr="001D5294" w:rsidRDefault="006E18B7" w:rsidP="00C4242D">
            <w:pPr>
              <w:spacing w:before="60" w:after="60"/>
              <w:jc w:val="both"/>
              <w:rPr>
                <w:b/>
              </w:rPr>
            </w:pPr>
          </w:p>
        </w:tc>
        <w:tc>
          <w:tcPr>
            <w:tcW w:w="3951" w:type="dxa"/>
            <w:gridSpan w:val="2"/>
            <w:shd w:val="clear" w:color="auto" w:fill="auto"/>
          </w:tcPr>
          <w:p w14:paraId="2FDFF852" w14:textId="37A5F03C" w:rsidR="006E18B7" w:rsidRPr="001D5294" w:rsidRDefault="00AF51C0" w:rsidP="00C4242D">
            <w:pPr>
              <w:spacing w:before="60" w:after="60"/>
              <w:jc w:val="both"/>
            </w:pPr>
            <w:r w:rsidRPr="001D5294">
              <w:t>Skat. anotācijas 9.-10.lp.</w:t>
            </w:r>
          </w:p>
        </w:tc>
      </w:tr>
      <w:tr w:rsidR="000D4B59" w:rsidRPr="001D5294" w14:paraId="709BB79B" w14:textId="77777777" w:rsidTr="004C1D00">
        <w:trPr>
          <w:trHeight w:val="274"/>
        </w:trPr>
        <w:tc>
          <w:tcPr>
            <w:tcW w:w="644" w:type="dxa"/>
            <w:shd w:val="clear" w:color="auto" w:fill="FFFFFF" w:themeFill="background1"/>
          </w:tcPr>
          <w:p w14:paraId="5ECB60AB" w14:textId="77777777" w:rsidR="000D4B59" w:rsidRPr="001D5294" w:rsidRDefault="000D4B59" w:rsidP="00C4242D">
            <w:pPr>
              <w:numPr>
                <w:ilvl w:val="0"/>
                <w:numId w:val="31"/>
              </w:numPr>
              <w:tabs>
                <w:tab w:val="center" w:pos="284"/>
              </w:tabs>
              <w:spacing w:before="60" w:after="60"/>
              <w:ind w:left="0" w:firstLine="0"/>
            </w:pPr>
          </w:p>
        </w:tc>
        <w:tc>
          <w:tcPr>
            <w:tcW w:w="3039" w:type="dxa"/>
            <w:shd w:val="clear" w:color="auto" w:fill="auto"/>
          </w:tcPr>
          <w:p w14:paraId="3B486E44" w14:textId="77777777" w:rsidR="000D4B59" w:rsidRPr="001D5294" w:rsidRDefault="000D4B59" w:rsidP="00C4242D">
            <w:pPr>
              <w:spacing w:before="60" w:after="60"/>
              <w:jc w:val="both"/>
            </w:pPr>
          </w:p>
        </w:tc>
        <w:tc>
          <w:tcPr>
            <w:tcW w:w="3547" w:type="dxa"/>
            <w:shd w:val="clear" w:color="auto" w:fill="auto"/>
          </w:tcPr>
          <w:p w14:paraId="184596DC" w14:textId="77777777" w:rsidR="000D4B59" w:rsidRPr="001D5294" w:rsidRDefault="000D4B59" w:rsidP="000D4B59">
            <w:pPr>
              <w:spacing w:before="60" w:after="60"/>
              <w:contextualSpacing/>
              <w:jc w:val="both"/>
              <w:rPr>
                <w:b/>
              </w:rPr>
            </w:pPr>
            <w:r w:rsidRPr="001D5294">
              <w:rPr>
                <w:b/>
              </w:rPr>
              <w:t>FM 07.08.2020. iebildums:</w:t>
            </w:r>
          </w:p>
          <w:p w14:paraId="64BB00FD" w14:textId="7F87D00E" w:rsidR="000D4B59" w:rsidRPr="001D5294" w:rsidRDefault="000D4B59" w:rsidP="000D4B59">
            <w:pPr>
              <w:spacing w:before="60" w:after="60"/>
              <w:contextualSpacing/>
              <w:jc w:val="both"/>
              <w:rPr>
                <w:b/>
              </w:rPr>
            </w:pPr>
            <w:r w:rsidRPr="001D5294">
              <w:t>Lūdzam precizēt anotācijas I. sadaļas IV. daļā norādīto informāciju par projektiem (11.lpp), kuriem ir samazināms noteiktais finansējums, norādot ne tikai projektu numurus, bet arī konkrētus finansējuma saņēmējus, kuriem finansējums tiek samazināts, ņemot vērā to, ka MK noteikumu projektā tiek norādīti nevis projektu numuri, bet finansējuma saņēmēji.</w:t>
            </w:r>
          </w:p>
        </w:tc>
        <w:tc>
          <w:tcPr>
            <w:tcW w:w="3685" w:type="dxa"/>
            <w:shd w:val="clear" w:color="auto" w:fill="auto"/>
          </w:tcPr>
          <w:p w14:paraId="5B4DA58A" w14:textId="77777777" w:rsidR="000D4B59" w:rsidRPr="001D5294" w:rsidRDefault="000D4B59" w:rsidP="000D4B59">
            <w:pPr>
              <w:spacing w:before="60" w:after="60"/>
              <w:jc w:val="both"/>
              <w:rPr>
                <w:b/>
              </w:rPr>
            </w:pPr>
            <w:r w:rsidRPr="001D5294">
              <w:rPr>
                <w:b/>
              </w:rPr>
              <w:t>Ņemts vērā.</w:t>
            </w:r>
          </w:p>
          <w:p w14:paraId="7521E564" w14:textId="77777777" w:rsidR="000D4B59" w:rsidRPr="001D5294" w:rsidRDefault="000D4B59" w:rsidP="002C2240">
            <w:pPr>
              <w:spacing w:before="60" w:after="60"/>
              <w:jc w:val="both"/>
              <w:rPr>
                <w:b/>
              </w:rPr>
            </w:pPr>
          </w:p>
        </w:tc>
        <w:tc>
          <w:tcPr>
            <w:tcW w:w="3951" w:type="dxa"/>
            <w:gridSpan w:val="2"/>
            <w:shd w:val="clear" w:color="auto" w:fill="auto"/>
          </w:tcPr>
          <w:p w14:paraId="306A145B" w14:textId="3D5ED818" w:rsidR="000D4B59" w:rsidRPr="001D5294" w:rsidRDefault="00965EA3" w:rsidP="00C4242D">
            <w:pPr>
              <w:spacing w:before="60" w:after="60"/>
              <w:jc w:val="both"/>
            </w:pPr>
            <w:r w:rsidRPr="001D5294">
              <w:t>Skat. anotācijas 10.-11.lp.</w:t>
            </w:r>
          </w:p>
        </w:tc>
      </w:tr>
      <w:tr w:rsidR="00965EA3" w:rsidRPr="001D5294" w14:paraId="0BE7A8C5" w14:textId="77777777" w:rsidTr="004C1D00">
        <w:trPr>
          <w:trHeight w:val="274"/>
        </w:trPr>
        <w:tc>
          <w:tcPr>
            <w:tcW w:w="644" w:type="dxa"/>
            <w:shd w:val="clear" w:color="auto" w:fill="FFFFFF" w:themeFill="background1"/>
          </w:tcPr>
          <w:p w14:paraId="57218A31" w14:textId="77777777" w:rsidR="00965EA3" w:rsidRPr="001D5294" w:rsidRDefault="00965EA3" w:rsidP="00C4242D">
            <w:pPr>
              <w:numPr>
                <w:ilvl w:val="0"/>
                <w:numId w:val="31"/>
              </w:numPr>
              <w:tabs>
                <w:tab w:val="center" w:pos="284"/>
              </w:tabs>
              <w:spacing w:before="60" w:after="60"/>
              <w:ind w:left="0" w:firstLine="0"/>
            </w:pPr>
          </w:p>
        </w:tc>
        <w:tc>
          <w:tcPr>
            <w:tcW w:w="3039" w:type="dxa"/>
            <w:shd w:val="clear" w:color="auto" w:fill="auto"/>
          </w:tcPr>
          <w:p w14:paraId="3CBF6420" w14:textId="77777777" w:rsidR="00965EA3" w:rsidRPr="001D5294" w:rsidRDefault="00965EA3" w:rsidP="00C4242D">
            <w:pPr>
              <w:spacing w:before="60" w:after="60"/>
              <w:jc w:val="both"/>
            </w:pPr>
          </w:p>
        </w:tc>
        <w:tc>
          <w:tcPr>
            <w:tcW w:w="3547" w:type="dxa"/>
            <w:shd w:val="clear" w:color="auto" w:fill="auto"/>
          </w:tcPr>
          <w:p w14:paraId="74168A5D" w14:textId="77777777" w:rsidR="00965EA3" w:rsidRPr="001D5294" w:rsidRDefault="00965EA3" w:rsidP="000D4B59">
            <w:pPr>
              <w:spacing w:before="60" w:after="60"/>
              <w:contextualSpacing/>
              <w:jc w:val="both"/>
              <w:rPr>
                <w:b/>
              </w:rPr>
            </w:pPr>
            <w:r w:rsidRPr="001D5294">
              <w:rPr>
                <w:b/>
              </w:rPr>
              <w:t>FM 07.08.2020. iebildums:</w:t>
            </w:r>
          </w:p>
          <w:p w14:paraId="1570EFCD" w14:textId="4597AA0E" w:rsidR="00965EA3" w:rsidRPr="001D5294" w:rsidRDefault="00965EA3" w:rsidP="000D4B59">
            <w:pPr>
              <w:spacing w:before="60" w:after="60"/>
              <w:contextualSpacing/>
              <w:jc w:val="both"/>
              <w:rPr>
                <w:b/>
              </w:rPr>
            </w:pPr>
            <w:r w:rsidRPr="001D5294">
              <w:t>Lūdzam precizēt anotācijas III. sadaļu “Tiesību akta projekta ietekme uz valsts budžetu un pašvaldību budžetiem”, jo PL projekta 2.punktā paredzēts (atbilstoši šī atzinuma 9.punktā piedāvātajai redakcijai), ka papildu finansējums tiks meklēts laika periodam no 2022. līdz 2038.gadam, ņemot vērā to, ka 2021.gadā projektu uzraudzībai nepieciešamais finansējums tiks nodrošināts CFLA budžeta ietvaros.</w:t>
            </w:r>
          </w:p>
        </w:tc>
        <w:tc>
          <w:tcPr>
            <w:tcW w:w="3685" w:type="dxa"/>
            <w:shd w:val="clear" w:color="auto" w:fill="auto"/>
          </w:tcPr>
          <w:p w14:paraId="23FBAA18" w14:textId="77777777" w:rsidR="00965EA3" w:rsidRPr="001D5294" w:rsidRDefault="00965EA3" w:rsidP="00965EA3">
            <w:pPr>
              <w:spacing w:before="60" w:after="60"/>
              <w:jc w:val="both"/>
              <w:rPr>
                <w:b/>
              </w:rPr>
            </w:pPr>
            <w:r w:rsidRPr="001D5294">
              <w:rPr>
                <w:b/>
              </w:rPr>
              <w:t>Ņemts vērā.</w:t>
            </w:r>
          </w:p>
          <w:p w14:paraId="28AC4C96" w14:textId="1E7EB26F" w:rsidR="00965EA3" w:rsidRPr="001D5294" w:rsidRDefault="00FA7126" w:rsidP="00FA7126">
            <w:pPr>
              <w:spacing w:before="60" w:after="60"/>
              <w:jc w:val="both"/>
            </w:pPr>
            <w:r w:rsidRPr="001D5294">
              <w:t xml:space="preserve">Vienlaikus informējam, ka veikta uzraudzībai nepieciešamā papildu finansējuma aprēķina aktualizācija, ņemot vērā līguma par projekta īstenošanu noslēgšanas gadu. Ja līgums noslēgts 2018.gadā, tad projekta dzīves cikla periods ir laikposmā no 2018.gada līdz 2038.gadam. Attiecīgi ierobežotas jomas darbībai iedalīto kapacitāti par 2028. gadu analizē 2039. gadā.  </w:t>
            </w:r>
          </w:p>
        </w:tc>
        <w:tc>
          <w:tcPr>
            <w:tcW w:w="3951" w:type="dxa"/>
            <w:gridSpan w:val="2"/>
            <w:shd w:val="clear" w:color="auto" w:fill="auto"/>
          </w:tcPr>
          <w:p w14:paraId="7502EA69" w14:textId="77777777" w:rsidR="00965EA3" w:rsidRPr="001D5294" w:rsidRDefault="00965EA3" w:rsidP="00C4242D">
            <w:pPr>
              <w:spacing w:before="60" w:after="60"/>
              <w:jc w:val="both"/>
            </w:pPr>
          </w:p>
        </w:tc>
      </w:tr>
      <w:tr w:rsidR="00250AE6" w:rsidRPr="001D5294" w14:paraId="5BBA8A34" w14:textId="77777777" w:rsidTr="004C1D00">
        <w:trPr>
          <w:trHeight w:val="274"/>
        </w:trPr>
        <w:tc>
          <w:tcPr>
            <w:tcW w:w="644" w:type="dxa"/>
            <w:shd w:val="clear" w:color="auto" w:fill="FFFFFF" w:themeFill="background1"/>
          </w:tcPr>
          <w:p w14:paraId="2A0720F7" w14:textId="77777777" w:rsidR="00250AE6" w:rsidRPr="001D5294" w:rsidRDefault="00250AE6" w:rsidP="00C4242D">
            <w:pPr>
              <w:numPr>
                <w:ilvl w:val="0"/>
                <w:numId w:val="31"/>
              </w:numPr>
              <w:tabs>
                <w:tab w:val="center" w:pos="284"/>
              </w:tabs>
              <w:spacing w:before="60" w:after="60"/>
              <w:ind w:left="0" w:firstLine="0"/>
            </w:pPr>
          </w:p>
        </w:tc>
        <w:tc>
          <w:tcPr>
            <w:tcW w:w="3039" w:type="dxa"/>
            <w:shd w:val="clear" w:color="auto" w:fill="auto"/>
          </w:tcPr>
          <w:p w14:paraId="6E887241" w14:textId="77777777" w:rsidR="00250AE6" w:rsidRPr="001D5294" w:rsidRDefault="00250AE6" w:rsidP="00C4242D">
            <w:pPr>
              <w:spacing w:before="60" w:after="60"/>
              <w:jc w:val="both"/>
            </w:pPr>
          </w:p>
        </w:tc>
        <w:tc>
          <w:tcPr>
            <w:tcW w:w="3547" w:type="dxa"/>
            <w:shd w:val="clear" w:color="auto" w:fill="auto"/>
          </w:tcPr>
          <w:p w14:paraId="11CC4E76" w14:textId="77777777" w:rsidR="00250AE6" w:rsidRPr="001D5294" w:rsidRDefault="00250AE6" w:rsidP="00250AE6">
            <w:pPr>
              <w:spacing w:before="60" w:after="60"/>
              <w:contextualSpacing/>
              <w:jc w:val="both"/>
              <w:rPr>
                <w:b/>
              </w:rPr>
            </w:pPr>
            <w:r w:rsidRPr="001D5294">
              <w:rPr>
                <w:b/>
              </w:rPr>
              <w:t>FM 28.08.2020. iebildums:</w:t>
            </w:r>
          </w:p>
          <w:p w14:paraId="0394263F" w14:textId="51E65149" w:rsidR="00250AE6" w:rsidRPr="001D5294" w:rsidRDefault="00250AE6" w:rsidP="00250AE6">
            <w:pPr>
              <w:spacing w:before="60" w:after="60"/>
              <w:contextualSpacing/>
              <w:jc w:val="both"/>
              <w:rPr>
                <w:b/>
              </w:rPr>
            </w:pPr>
            <w:r w:rsidRPr="001D5294">
              <w:rPr>
                <w:b/>
              </w:rPr>
              <w:t>2.</w:t>
            </w:r>
            <w:r w:rsidRPr="001D5294">
              <w:rPr>
                <w:b/>
              </w:rPr>
              <w:tab/>
            </w:r>
            <w:r w:rsidRPr="001D5294">
              <w:t xml:space="preserve">Eiropas Komisijas paziņojuma Nostādnes par valsts atbalstu pētniecībai, izstrādei un inovācijai (2014/C 198/01) (turpmāk – Pamatnostādnes) 25.punkta b) apakšpunkts nosaka: “ja nepastāv tirgus cena, pētniecības organizācija vai pētniecības infrastruktūra sniedz savus pētījumu pakalpojumus vai </w:t>
            </w:r>
            <w:proofErr w:type="spellStart"/>
            <w:r w:rsidRPr="001D5294">
              <w:t>līgumpētījumus</w:t>
            </w:r>
            <w:proofErr w:type="spellEnd"/>
            <w:r w:rsidRPr="001D5294">
              <w:t xml:space="preserve"> par tādu cenu, kas atspoguļo pakalpojuma pilnas izmaksas un parasti iekļauj uzcenojumu, kas noteikts, atsaucoties uz tiem uzcenojumiem, kurus parasti piemēro uzņēmumi, kuri darbojas attiecīgā pakalpojuma nozarē.” Savukārt, MK noteikumu Nr. 562. 2.19.11. apakšpunktā ietvertā norma nosaka, ka kompensācija par pakalpojuma sniegšanu ir uzskatāma par līdzvērtīgu tirgus cenai, “ja cena atspoguļo pakalpojuma izmaksas, neietverot to nolietojuma izmaksu daļu, kas tiek segta no publiskā finansējuma, un iekļauj uzcenojumu, kas noteikts, pamatojoties uz tādiem uzcenojumiem, ko piemēro uzņēmumi, kuri darbojas attiecīgā </w:t>
            </w:r>
            <w:r w:rsidRPr="001D5294">
              <w:lastRenderedPageBreak/>
              <w:t>pakalpojuma nozarē”. Lūdzam anotācijā skaidrot, kādēļ neiekļaujot nolietojuma izmaksu daļu, kas tiek segta no publiskā finansējuma, pakalpojuma izmaksās ir uzskatāma par līdzvērtīgu tirgus cenai, proti, atbilstošu Pamatnostādnēs noteiktajam.</w:t>
            </w:r>
          </w:p>
        </w:tc>
        <w:tc>
          <w:tcPr>
            <w:tcW w:w="3685" w:type="dxa"/>
            <w:shd w:val="clear" w:color="auto" w:fill="auto"/>
          </w:tcPr>
          <w:p w14:paraId="7A3EC867" w14:textId="77777777" w:rsidR="00250AE6" w:rsidRPr="001D5294" w:rsidRDefault="00FF2874" w:rsidP="00965EA3">
            <w:pPr>
              <w:spacing w:before="60" w:after="60"/>
              <w:jc w:val="both"/>
              <w:rPr>
                <w:b/>
              </w:rPr>
            </w:pPr>
            <w:r w:rsidRPr="001D5294">
              <w:rPr>
                <w:b/>
              </w:rPr>
              <w:lastRenderedPageBreak/>
              <w:t>Ņemts vērā.</w:t>
            </w:r>
          </w:p>
          <w:p w14:paraId="658BF176" w14:textId="3C342F10" w:rsidR="00FF2874" w:rsidRPr="001D5294" w:rsidRDefault="00FF2874" w:rsidP="00965EA3">
            <w:pPr>
              <w:spacing w:before="60" w:after="60"/>
              <w:jc w:val="both"/>
            </w:pPr>
            <w:r w:rsidRPr="001D5294">
              <w:t>Precizēts MK noteikumu Nr. 562 2.19.</w:t>
            </w:r>
            <w:r w:rsidRPr="001D5294">
              <w:rPr>
                <w:vertAlign w:val="superscript"/>
              </w:rPr>
              <w:t>1</w:t>
            </w:r>
            <w:r w:rsidRPr="001D5294">
              <w:t xml:space="preserve"> apakšpunkts un papildināta anotācija.</w:t>
            </w:r>
          </w:p>
        </w:tc>
        <w:tc>
          <w:tcPr>
            <w:tcW w:w="3951" w:type="dxa"/>
            <w:gridSpan w:val="2"/>
            <w:shd w:val="clear" w:color="auto" w:fill="auto"/>
          </w:tcPr>
          <w:p w14:paraId="0C518966" w14:textId="77777777" w:rsidR="00250AE6" w:rsidRPr="001D5294" w:rsidRDefault="00FF2874" w:rsidP="00C4242D">
            <w:pPr>
              <w:spacing w:before="60" w:after="60"/>
              <w:jc w:val="both"/>
            </w:pPr>
            <w:r w:rsidRPr="001D5294">
              <w:t>Anotācija:</w:t>
            </w:r>
          </w:p>
          <w:p w14:paraId="3355B3A1" w14:textId="77777777" w:rsidR="00FF2874" w:rsidRPr="001D5294" w:rsidRDefault="00FF2874" w:rsidP="00FF2874">
            <w:pPr>
              <w:spacing w:before="10"/>
              <w:ind w:left="101" w:right="102"/>
              <w:jc w:val="both"/>
              <w:rPr>
                <w:color w:val="000000"/>
                <w:sz w:val="26"/>
                <w:szCs w:val="26"/>
              </w:rPr>
            </w:pPr>
            <w:r w:rsidRPr="001D5294">
              <w:rPr>
                <w:color w:val="000000"/>
                <w:sz w:val="26"/>
                <w:szCs w:val="26"/>
              </w:rPr>
              <w:t>Noteikumu projekts nodala pakalpojumus, ko sniedz subjektiem, kas:</w:t>
            </w:r>
          </w:p>
          <w:p w14:paraId="79D8E899" w14:textId="77777777" w:rsidR="00FF2874" w:rsidRPr="001D5294" w:rsidRDefault="00FF2874" w:rsidP="00FF2874">
            <w:pPr>
              <w:spacing w:before="10"/>
              <w:ind w:left="101" w:right="102"/>
              <w:jc w:val="both"/>
              <w:rPr>
                <w:color w:val="000000"/>
                <w:sz w:val="26"/>
                <w:szCs w:val="26"/>
              </w:rPr>
            </w:pPr>
            <w:r w:rsidRPr="001D5294">
              <w:rPr>
                <w:color w:val="000000"/>
                <w:sz w:val="26"/>
                <w:szCs w:val="26"/>
              </w:rPr>
              <w:t>a) pētniecības infrastruktūru izmanto ar saimniecisku darbību nesaistītas pamatdarbības veikšanai (noteikumu projekta 21.</w:t>
            </w:r>
            <w:r w:rsidRPr="001D5294">
              <w:rPr>
                <w:color w:val="000000"/>
                <w:sz w:val="26"/>
                <w:szCs w:val="26"/>
                <w:vertAlign w:val="superscript"/>
              </w:rPr>
              <w:t>1</w:t>
            </w:r>
            <w:r w:rsidRPr="001D5294">
              <w:rPr>
                <w:color w:val="000000"/>
                <w:sz w:val="26"/>
                <w:szCs w:val="26"/>
              </w:rPr>
              <w:t> 1.apakšpunkts). Minētajā gadījumā noteikumu projektā ietvertā norma atbilst  Ministru kabineta 2018. gada 20. februāra noteikumu Nr. 97 „Publiskas personas mantas iznomāšanas noteikumi” (turpmāk – MK noteikumi Nr. 97) 3. nodaļā</w:t>
            </w:r>
            <w:r w:rsidRPr="001D5294">
              <w:rPr>
                <w:rStyle w:val="FootnoteReference"/>
                <w:color w:val="000000"/>
                <w:sz w:val="26"/>
                <w:szCs w:val="26"/>
              </w:rPr>
              <w:footnoteReference w:id="3"/>
            </w:r>
            <w:r w:rsidRPr="001D5294">
              <w:rPr>
                <w:color w:val="000000"/>
                <w:sz w:val="26"/>
                <w:szCs w:val="26"/>
              </w:rPr>
              <w:t xml:space="preserve"> noteiktajam;  </w:t>
            </w:r>
          </w:p>
          <w:p w14:paraId="11602FDE" w14:textId="77777777" w:rsidR="00FF2874" w:rsidRPr="001D5294" w:rsidRDefault="00FF2874" w:rsidP="00FF2874">
            <w:pPr>
              <w:spacing w:before="10"/>
              <w:ind w:left="101" w:right="102"/>
              <w:jc w:val="both"/>
              <w:rPr>
                <w:color w:val="000000"/>
                <w:sz w:val="26"/>
                <w:szCs w:val="26"/>
              </w:rPr>
            </w:pPr>
            <w:r w:rsidRPr="001D5294">
              <w:rPr>
                <w:color w:val="000000"/>
                <w:sz w:val="26"/>
                <w:szCs w:val="26"/>
              </w:rPr>
              <w:t>b) pētniecības infrastruktūru izmanto ar saimniecisku darbību saistītas pamatdarbības veikšanai (noteikumu projekta 21.</w:t>
            </w:r>
            <w:r w:rsidRPr="001D5294">
              <w:rPr>
                <w:color w:val="000000"/>
                <w:sz w:val="26"/>
                <w:szCs w:val="26"/>
                <w:vertAlign w:val="superscript"/>
              </w:rPr>
              <w:t>1</w:t>
            </w:r>
            <w:r w:rsidRPr="001D5294">
              <w:rPr>
                <w:color w:val="000000"/>
                <w:sz w:val="26"/>
                <w:szCs w:val="26"/>
              </w:rPr>
              <w:t xml:space="preserve"> 2.apakšpunkts). Minētajā gadījumā uz pakalpojumu sniedzēju attiecas nosacījums par pakalpojumu sniegšanu atbilstoši tirgus cenai, ievērojot Pamatnostādņu 25. punktā un MK </w:t>
            </w:r>
            <w:r w:rsidRPr="001D5294">
              <w:rPr>
                <w:color w:val="000000"/>
                <w:sz w:val="26"/>
                <w:szCs w:val="26"/>
              </w:rPr>
              <w:lastRenderedPageBreak/>
              <w:t>noteikumi Nr. 97 4. nodaļā</w:t>
            </w:r>
            <w:r w:rsidRPr="001D5294">
              <w:rPr>
                <w:rStyle w:val="FootnoteReference"/>
                <w:color w:val="000000"/>
                <w:sz w:val="26"/>
                <w:szCs w:val="26"/>
              </w:rPr>
              <w:footnoteReference w:id="4"/>
            </w:r>
            <w:r w:rsidRPr="001D5294">
              <w:rPr>
                <w:color w:val="000000"/>
                <w:sz w:val="26"/>
                <w:szCs w:val="26"/>
              </w:rPr>
              <w:t xml:space="preserve"> noteikto. </w:t>
            </w:r>
          </w:p>
          <w:p w14:paraId="44BB2D02" w14:textId="38FE3C06" w:rsidR="00FF2874" w:rsidRPr="001D5294" w:rsidRDefault="00FF2874" w:rsidP="00FF2874">
            <w:pPr>
              <w:ind w:left="101" w:right="102"/>
              <w:jc w:val="both"/>
            </w:pPr>
          </w:p>
        </w:tc>
      </w:tr>
      <w:tr w:rsidR="0011404E" w:rsidRPr="001D5294" w14:paraId="6AD8EFBF" w14:textId="77777777" w:rsidTr="004C1D00">
        <w:trPr>
          <w:trHeight w:val="274"/>
        </w:trPr>
        <w:tc>
          <w:tcPr>
            <w:tcW w:w="644" w:type="dxa"/>
            <w:shd w:val="clear" w:color="auto" w:fill="FFFFFF" w:themeFill="background1"/>
          </w:tcPr>
          <w:p w14:paraId="6EA37682" w14:textId="77777777" w:rsidR="0011404E" w:rsidRPr="001D5294" w:rsidRDefault="0011404E" w:rsidP="00C4242D">
            <w:pPr>
              <w:numPr>
                <w:ilvl w:val="0"/>
                <w:numId w:val="31"/>
              </w:numPr>
              <w:tabs>
                <w:tab w:val="center" w:pos="284"/>
              </w:tabs>
              <w:spacing w:before="60" w:after="60"/>
              <w:ind w:left="0" w:firstLine="0"/>
            </w:pPr>
          </w:p>
        </w:tc>
        <w:tc>
          <w:tcPr>
            <w:tcW w:w="3039" w:type="dxa"/>
            <w:shd w:val="clear" w:color="auto" w:fill="auto"/>
          </w:tcPr>
          <w:p w14:paraId="10064221" w14:textId="77777777" w:rsidR="0011404E" w:rsidRPr="001D5294" w:rsidRDefault="0011404E" w:rsidP="00C4242D">
            <w:pPr>
              <w:spacing w:before="60" w:after="60"/>
              <w:jc w:val="both"/>
            </w:pPr>
          </w:p>
        </w:tc>
        <w:tc>
          <w:tcPr>
            <w:tcW w:w="3547" w:type="dxa"/>
            <w:shd w:val="clear" w:color="auto" w:fill="auto"/>
          </w:tcPr>
          <w:p w14:paraId="71BDA889" w14:textId="1B556101" w:rsidR="0011404E" w:rsidRPr="001D5294" w:rsidRDefault="0011404E" w:rsidP="00250AE6">
            <w:pPr>
              <w:spacing w:before="60" w:after="60"/>
              <w:contextualSpacing/>
              <w:jc w:val="both"/>
              <w:rPr>
                <w:b/>
              </w:rPr>
            </w:pPr>
            <w:r w:rsidRPr="001D5294">
              <w:rPr>
                <w:b/>
              </w:rPr>
              <w:t>FM 17.09.2020. atzinumā izteiktais priekšlikums:</w:t>
            </w:r>
          </w:p>
          <w:p w14:paraId="5B23AADA" w14:textId="00810C33" w:rsidR="0011404E" w:rsidRPr="001D5294" w:rsidRDefault="0011404E" w:rsidP="00250AE6">
            <w:pPr>
              <w:spacing w:before="60" w:after="60"/>
              <w:contextualSpacing/>
              <w:jc w:val="both"/>
              <w:rPr>
                <w:b/>
              </w:rPr>
            </w:pPr>
          </w:p>
        </w:tc>
        <w:tc>
          <w:tcPr>
            <w:tcW w:w="3685" w:type="dxa"/>
            <w:shd w:val="clear" w:color="auto" w:fill="auto"/>
          </w:tcPr>
          <w:p w14:paraId="4DF0E8AC" w14:textId="77777777" w:rsidR="0011404E" w:rsidRPr="001D5294" w:rsidRDefault="0011404E" w:rsidP="0011404E">
            <w:pPr>
              <w:spacing w:before="60" w:after="60"/>
              <w:jc w:val="both"/>
              <w:rPr>
                <w:b/>
              </w:rPr>
            </w:pPr>
            <w:r w:rsidRPr="001D5294">
              <w:rPr>
                <w:b/>
              </w:rPr>
              <w:t>Ņemts vērā.</w:t>
            </w:r>
          </w:p>
          <w:p w14:paraId="025E5640" w14:textId="2F9DD1ED" w:rsidR="0011404E" w:rsidRPr="001D5294" w:rsidRDefault="0011404E" w:rsidP="00965EA3">
            <w:pPr>
              <w:spacing w:before="60" w:after="60"/>
              <w:jc w:val="both"/>
            </w:pPr>
            <w:r w:rsidRPr="001D5294">
              <w:t>Papildināta anotācija.</w:t>
            </w:r>
          </w:p>
        </w:tc>
        <w:tc>
          <w:tcPr>
            <w:tcW w:w="3951" w:type="dxa"/>
            <w:gridSpan w:val="2"/>
            <w:shd w:val="clear" w:color="auto" w:fill="auto"/>
          </w:tcPr>
          <w:p w14:paraId="6D5CCEA4" w14:textId="77777777" w:rsidR="0011404E" w:rsidRPr="001D5294" w:rsidRDefault="0011404E" w:rsidP="00C4242D">
            <w:pPr>
              <w:spacing w:before="60" w:after="60"/>
              <w:jc w:val="both"/>
            </w:pPr>
            <w:r w:rsidRPr="001D5294">
              <w:t xml:space="preserve">Skat. anotācijas 12. </w:t>
            </w:r>
            <w:proofErr w:type="spellStart"/>
            <w:r w:rsidRPr="001D5294">
              <w:t>lp</w:t>
            </w:r>
            <w:proofErr w:type="spellEnd"/>
            <w:r w:rsidRPr="001D5294">
              <w:t>.:</w:t>
            </w:r>
          </w:p>
          <w:p w14:paraId="781F7BAF" w14:textId="058E2823" w:rsidR="0011404E" w:rsidRPr="001D5294" w:rsidRDefault="0011404E" w:rsidP="00C4242D">
            <w:pPr>
              <w:spacing w:before="60" w:after="60"/>
              <w:jc w:val="both"/>
            </w:pPr>
            <w:r w:rsidRPr="001D5294">
              <w:t>2. Precizēts MK noteikumu Nr. 562 9.2. apakšpunkts, aktualizējot informāciju par 1.1.1.4. pasākumam pieejamo kopējo attiecināmais publisko finansējumu, kā arī norādot zinātnisko institūciju līdzfinansējuma apmēru</w:t>
            </w:r>
          </w:p>
        </w:tc>
      </w:tr>
      <w:tr w:rsidR="00FA7126" w:rsidRPr="001D5294" w14:paraId="5CFB0F8D" w14:textId="77777777" w:rsidTr="004C1D00">
        <w:trPr>
          <w:trHeight w:val="274"/>
        </w:trPr>
        <w:tc>
          <w:tcPr>
            <w:tcW w:w="14866" w:type="dxa"/>
            <w:gridSpan w:val="6"/>
            <w:shd w:val="clear" w:color="auto" w:fill="FFFFFF" w:themeFill="background1"/>
          </w:tcPr>
          <w:p w14:paraId="1E6D2A43" w14:textId="1C704ECF" w:rsidR="00FA7126" w:rsidRPr="001D5294" w:rsidRDefault="00FA7126" w:rsidP="00C4242D">
            <w:pPr>
              <w:spacing w:before="60" w:after="60"/>
              <w:jc w:val="both"/>
            </w:pPr>
            <w:proofErr w:type="spellStart"/>
            <w:r w:rsidRPr="001D5294">
              <w:t>Protokollēmums</w:t>
            </w:r>
            <w:proofErr w:type="spellEnd"/>
          </w:p>
        </w:tc>
      </w:tr>
      <w:tr w:rsidR="00FA7126" w:rsidRPr="001D5294" w14:paraId="57A641A1" w14:textId="77777777" w:rsidTr="004C1D00">
        <w:trPr>
          <w:trHeight w:val="274"/>
        </w:trPr>
        <w:tc>
          <w:tcPr>
            <w:tcW w:w="644" w:type="dxa"/>
            <w:shd w:val="clear" w:color="auto" w:fill="FFFFFF" w:themeFill="background1"/>
          </w:tcPr>
          <w:p w14:paraId="49048530" w14:textId="77777777" w:rsidR="00FA7126" w:rsidRPr="001D5294" w:rsidRDefault="00FA7126" w:rsidP="00FA7126">
            <w:pPr>
              <w:tabs>
                <w:tab w:val="center" w:pos="284"/>
              </w:tabs>
              <w:spacing w:before="60" w:after="60"/>
            </w:pPr>
          </w:p>
        </w:tc>
        <w:tc>
          <w:tcPr>
            <w:tcW w:w="3039" w:type="dxa"/>
            <w:shd w:val="clear" w:color="auto" w:fill="auto"/>
          </w:tcPr>
          <w:p w14:paraId="4D765801" w14:textId="77777777" w:rsidR="00FA7126" w:rsidRPr="001D5294" w:rsidRDefault="00FA7126" w:rsidP="00C4242D">
            <w:pPr>
              <w:spacing w:before="60" w:after="60"/>
              <w:jc w:val="both"/>
            </w:pPr>
          </w:p>
        </w:tc>
        <w:tc>
          <w:tcPr>
            <w:tcW w:w="3547" w:type="dxa"/>
            <w:shd w:val="clear" w:color="auto" w:fill="auto"/>
          </w:tcPr>
          <w:p w14:paraId="04A5B21F" w14:textId="77777777" w:rsidR="00FA7126" w:rsidRPr="001D5294" w:rsidRDefault="00FA7126" w:rsidP="000D4B59">
            <w:pPr>
              <w:spacing w:before="60" w:after="60"/>
              <w:contextualSpacing/>
              <w:jc w:val="both"/>
              <w:rPr>
                <w:b/>
              </w:rPr>
            </w:pPr>
            <w:r w:rsidRPr="001D5294">
              <w:rPr>
                <w:b/>
              </w:rPr>
              <w:t>FM 07.08.2020. iebildums:</w:t>
            </w:r>
          </w:p>
          <w:p w14:paraId="596B24FE" w14:textId="38E22EF9" w:rsidR="00FA7126" w:rsidRPr="001D5294" w:rsidRDefault="00FA7126" w:rsidP="00FA7126">
            <w:pPr>
              <w:spacing w:before="60" w:after="60"/>
              <w:contextualSpacing/>
              <w:jc w:val="both"/>
            </w:pPr>
            <w:r w:rsidRPr="001D5294">
              <w:t>Lūdzam izteikt PL projekta 2.punktu šādā redakcijā:</w:t>
            </w:r>
          </w:p>
          <w:p w14:paraId="501B08D6" w14:textId="7E77115E" w:rsidR="00FA7126" w:rsidRPr="001D5294" w:rsidRDefault="00FA7126" w:rsidP="00FA7126">
            <w:pPr>
              <w:spacing w:before="60" w:after="60"/>
              <w:contextualSpacing/>
              <w:jc w:val="both"/>
              <w:rPr>
                <w:b/>
              </w:rPr>
            </w:pPr>
            <w:r w:rsidRPr="001D5294">
              <w:t xml:space="preserve">“2. Izglītības un zinātnes ministrijai sadarbībā ar Finanšu ministriju rast risinājumu, lai laikposmā no 2022. gada 1. janvāra līdz 2038. gada 31. decembrim nodrošinātu Centrālajai finanšu un līgumu aģentūrai nepieciešamo plānoto papildu finansējumu provizoriski 201 995 EUR 1.1.1.4. pasākuma “P&amp;A infrastruktūras </w:t>
            </w:r>
            <w:r w:rsidRPr="001D5294">
              <w:lastRenderedPageBreak/>
              <w:t>attīstīšana viedās specializācijas jomās un zinātnisko institūciju institucionālās kapacitātes stiprināšana” projektu komercdarbības atbalsta nosacījumu izpildes uzraudzībai pētniecības infrastruktūras amortizācijas periodā, piesaistot to no Eiropas Savienības Struktūrfondu  un Kohēzijas fonda līdzekļiem, ja iespējams, vai pieprasot no valsts budžeta līdzekļiem, izskatot jautājumu par papildu finansējuma piešķiršanu Ministru kabinetā gadskārtējā valsts budžeta likumprojekta un vidēja termiņa budžeta ietvara likumprojekta sagatavošanas un izskatīšanas procesā kopā ar visu ministriju un centrālo valsts iestāžu iesniegtajiem prioritārajiem pasākumiem atbilstoši valsts budžeta finansiālajām iespējām.”</w:t>
            </w:r>
          </w:p>
        </w:tc>
        <w:tc>
          <w:tcPr>
            <w:tcW w:w="3685" w:type="dxa"/>
            <w:shd w:val="clear" w:color="auto" w:fill="auto"/>
          </w:tcPr>
          <w:p w14:paraId="4D6E898B" w14:textId="77777777" w:rsidR="00FA7126" w:rsidRPr="001D5294" w:rsidRDefault="00FA7126" w:rsidP="00FA7126">
            <w:pPr>
              <w:spacing w:before="60" w:after="60"/>
              <w:jc w:val="both"/>
              <w:rPr>
                <w:b/>
              </w:rPr>
            </w:pPr>
            <w:r w:rsidRPr="001D5294">
              <w:rPr>
                <w:b/>
              </w:rPr>
              <w:lastRenderedPageBreak/>
              <w:t>Ņemts vērā.</w:t>
            </w:r>
          </w:p>
          <w:p w14:paraId="382ED7DA" w14:textId="77777777" w:rsidR="00FA7126" w:rsidRPr="001D5294" w:rsidRDefault="00FA7126" w:rsidP="00965EA3">
            <w:pPr>
              <w:spacing w:before="60" w:after="60"/>
              <w:jc w:val="both"/>
              <w:rPr>
                <w:b/>
              </w:rPr>
            </w:pPr>
          </w:p>
        </w:tc>
        <w:tc>
          <w:tcPr>
            <w:tcW w:w="3951" w:type="dxa"/>
            <w:gridSpan w:val="2"/>
            <w:shd w:val="clear" w:color="auto" w:fill="auto"/>
          </w:tcPr>
          <w:p w14:paraId="781BA56D" w14:textId="77777777" w:rsidR="00FA7126" w:rsidRPr="001D5294" w:rsidRDefault="00FA7126" w:rsidP="00C4242D">
            <w:pPr>
              <w:spacing w:before="60" w:after="60"/>
              <w:jc w:val="both"/>
            </w:pPr>
          </w:p>
        </w:tc>
      </w:tr>
      <w:tr w:rsidR="00C959F2" w:rsidRPr="001D5294" w14:paraId="710ACB66" w14:textId="77777777" w:rsidTr="004C1D00">
        <w:trPr>
          <w:trHeight w:val="699"/>
        </w:trPr>
        <w:tc>
          <w:tcPr>
            <w:tcW w:w="14866" w:type="dxa"/>
            <w:gridSpan w:val="6"/>
            <w:tcBorders>
              <w:left w:val="nil"/>
              <w:bottom w:val="nil"/>
              <w:right w:val="nil"/>
            </w:tcBorders>
            <w:shd w:val="clear" w:color="auto" w:fill="FFFFFF" w:themeFill="background1"/>
          </w:tcPr>
          <w:p w14:paraId="20B25BE7" w14:textId="63AEFB65" w:rsidR="00C959F2" w:rsidRPr="001D5294" w:rsidRDefault="00C959F2" w:rsidP="00C4242D">
            <w:pPr>
              <w:tabs>
                <w:tab w:val="center" w:pos="284"/>
              </w:tabs>
              <w:spacing w:before="60" w:after="60"/>
            </w:pPr>
          </w:p>
          <w:p w14:paraId="6D281CF9" w14:textId="77777777" w:rsidR="00C4242D" w:rsidRPr="001D5294" w:rsidRDefault="00C4242D" w:rsidP="00C4242D">
            <w:pPr>
              <w:tabs>
                <w:tab w:val="center" w:pos="284"/>
              </w:tabs>
              <w:spacing w:before="60" w:after="60"/>
            </w:pPr>
          </w:p>
          <w:p w14:paraId="60464F45" w14:textId="77777777" w:rsidR="00C959F2" w:rsidRPr="001D5294" w:rsidRDefault="00C959F2" w:rsidP="00C4242D">
            <w:pPr>
              <w:spacing w:before="60" w:after="60"/>
            </w:pPr>
            <w:proofErr w:type="spellStart"/>
            <w:r w:rsidRPr="001D5294">
              <w:t>I.Švirksta</w:t>
            </w:r>
            <w:proofErr w:type="spellEnd"/>
            <w:r w:rsidRPr="001D5294">
              <w:t xml:space="preserve"> 67047878</w:t>
            </w:r>
          </w:p>
          <w:p w14:paraId="04F2C8B7" w14:textId="4269329C" w:rsidR="00C959F2" w:rsidRPr="001D5294" w:rsidRDefault="0030107C" w:rsidP="00C4242D">
            <w:pPr>
              <w:tabs>
                <w:tab w:val="left" w:pos="2340"/>
                <w:tab w:val="center" w:pos="4153"/>
                <w:tab w:val="right" w:pos="8306"/>
              </w:tabs>
              <w:spacing w:before="60" w:after="60"/>
            </w:pPr>
            <w:hyperlink r:id="rId10" w:history="1">
              <w:r w:rsidR="00C959F2" w:rsidRPr="001D5294">
                <w:rPr>
                  <w:rStyle w:val="Hyperlink"/>
                  <w:color w:val="auto"/>
                </w:rPr>
                <w:t>inta.svirksta@izm.gov.lv</w:t>
              </w:r>
            </w:hyperlink>
          </w:p>
        </w:tc>
      </w:tr>
    </w:tbl>
    <w:p w14:paraId="0BA0FB95" w14:textId="028F99F9" w:rsidR="006A46C5" w:rsidRPr="001D5294" w:rsidRDefault="006A46C5" w:rsidP="00C4242D">
      <w:pPr>
        <w:spacing w:before="60" w:after="60"/>
      </w:pPr>
    </w:p>
    <w:p w14:paraId="17831BA2" w14:textId="4E2EF6F2" w:rsidR="00CF649C" w:rsidRPr="001D5294" w:rsidRDefault="00CF649C" w:rsidP="00C4242D">
      <w:pPr>
        <w:pStyle w:val="Header"/>
        <w:tabs>
          <w:tab w:val="left" w:pos="2340"/>
        </w:tabs>
        <w:spacing w:before="60" w:after="60"/>
        <w:jc w:val="both"/>
      </w:pPr>
    </w:p>
    <w:sectPr w:rsidR="00CF649C" w:rsidRPr="001D5294" w:rsidSect="004B6353">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2027A" w14:textId="77777777" w:rsidR="0030107C" w:rsidRDefault="0030107C">
      <w:r>
        <w:separator/>
      </w:r>
    </w:p>
  </w:endnote>
  <w:endnote w:type="continuationSeparator" w:id="0">
    <w:p w14:paraId="3B6A05DB" w14:textId="77777777" w:rsidR="0030107C" w:rsidRDefault="0030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
    <w:altName w:val="Times New Roman"/>
    <w:charset w:val="00"/>
    <w:family w:val="auto"/>
    <w:pitch w:val="default"/>
  </w:font>
  <w:font w:name="Times">
    <w:panose1 w:val="02020603050405020304"/>
    <w:charset w:val="BA"/>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325AB" w14:textId="77777777" w:rsidR="00965F2C" w:rsidRDefault="00965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0E1A" w14:textId="1C8F458C" w:rsidR="007775B0" w:rsidRPr="005351B4" w:rsidRDefault="007775B0" w:rsidP="008610BC">
    <w:pPr>
      <w:ind w:left="-567"/>
      <w:contextualSpacing/>
      <w:jc w:val="both"/>
      <w:rPr>
        <w:sz w:val="18"/>
        <w:szCs w:val="18"/>
      </w:rPr>
    </w:pPr>
    <w:r w:rsidRPr="005351B4">
      <w:rPr>
        <w:noProof/>
        <w:color w:val="000000" w:themeColor="text1"/>
        <w:sz w:val="18"/>
        <w:szCs w:val="18"/>
      </w:rPr>
      <w:fldChar w:fldCharType="begin"/>
    </w:r>
    <w:r w:rsidRPr="005351B4">
      <w:rPr>
        <w:noProof/>
        <w:color w:val="000000" w:themeColor="text1"/>
        <w:sz w:val="18"/>
        <w:szCs w:val="18"/>
      </w:rPr>
      <w:instrText xml:space="preserve"> FILENAME   \* MERGEFORMAT </w:instrText>
    </w:r>
    <w:r w:rsidRPr="005351B4">
      <w:rPr>
        <w:noProof/>
        <w:color w:val="000000" w:themeColor="text1"/>
        <w:sz w:val="18"/>
        <w:szCs w:val="18"/>
      </w:rPr>
      <w:fldChar w:fldCharType="separate"/>
    </w:r>
    <w:r w:rsidR="00545EB7">
      <w:rPr>
        <w:noProof/>
        <w:color w:val="000000" w:themeColor="text1"/>
        <w:sz w:val="18"/>
        <w:szCs w:val="18"/>
      </w:rPr>
      <w:t>IZMIzz_051020_1114</w:t>
    </w:r>
    <w:r w:rsidRPr="005351B4">
      <w:rPr>
        <w:noProof/>
        <w:color w:val="000000" w:themeColor="text1"/>
        <w:sz w:val="18"/>
        <w:szCs w:val="18"/>
      </w:rPr>
      <w:fldChar w:fldCharType="end"/>
    </w: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B9DC" w14:textId="2778FF8F" w:rsidR="007775B0" w:rsidRPr="009D1501" w:rsidRDefault="007775B0" w:rsidP="008610BC">
    <w:pPr>
      <w:ind w:left="-567"/>
      <w:contextualSpacing/>
      <w:jc w:val="both"/>
      <w:rPr>
        <w:b/>
        <w:bCs/>
        <w:noProof/>
        <w:vanish/>
        <w:color w:val="000000"/>
        <w:sz w:val="20"/>
        <w:szCs w:val="20"/>
      </w:rPr>
    </w:pPr>
    <w:r>
      <w:rPr>
        <w:noProof/>
        <w:color w:val="000000" w:themeColor="text1"/>
        <w:sz w:val="20"/>
        <w:szCs w:val="20"/>
      </w:rPr>
      <w:fldChar w:fldCharType="begin"/>
    </w:r>
    <w:r>
      <w:rPr>
        <w:noProof/>
        <w:color w:val="000000" w:themeColor="text1"/>
        <w:sz w:val="20"/>
        <w:szCs w:val="20"/>
      </w:rPr>
      <w:instrText xml:space="preserve"> FILENAME   \* MERGEFORMAT </w:instrText>
    </w:r>
    <w:r>
      <w:rPr>
        <w:noProof/>
        <w:color w:val="000000" w:themeColor="text1"/>
        <w:sz w:val="20"/>
        <w:szCs w:val="20"/>
      </w:rPr>
      <w:fldChar w:fldCharType="separate"/>
    </w:r>
    <w:r w:rsidR="00545EB7">
      <w:rPr>
        <w:noProof/>
        <w:color w:val="000000" w:themeColor="text1"/>
        <w:sz w:val="20"/>
        <w:szCs w:val="20"/>
      </w:rPr>
      <w:t>IZMIzz_051020_1114</w:t>
    </w:r>
    <w:r>
      <w:rPr>
        <w:noProof/>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48322" w14:textId="77777777" w:rsidR="0030107C" w:rsidRDefault="0030107C">
      <w:r>
        <w:separator/>
      </w:r>
    </w:p>
  </w:footnote>
  <w:footnote w:type="continuationSeparator" w:id="0">
    <w:p w14:paraId="4895E0E9" w14:textId="77777777" w:rsidR="0030107C" w:rsidRDefault="0030107C">
      <w:r>
        <w:continuationSeparator/>
      </w:r>
    </w:p>
  </w:footnote>
  <w:footnote w:id="1">
    <w:p w14:paraId="39CBD835" w14:textId="77777777" w:rsidR="007775B0" w:rsidRDefault="007775B0" w:rsidP="00D15494">
      <w:pPr>
        <w:pStyle w:val="FootnoteText"/>
      </w:pPr>
      <w:r>
        <w:rPr>
          <w:rStyle w:val="FootnoteReference"/>
        </w:rPr>
        <w:footnoteRef/>
      </w:r>
      <w:r>
        <w:t xml:space="preserve"> </w:t>
      </w:r>
      <w:r>
        <w:rPr>
          <w:shd w:val="clear" w:color="auto" w:fill="FFFFFF"/>
        </w:rPr>
        <w:t>Komisijas Deleģētā regula (ES) Nr. 480/2014 ( 2014. gada 3. marts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2">
    <w:p w14:paraId="7D24477B" w14:textId="77777777" w:rsidR="007775B0" w:rsidRPr="009A0E5A" w:rsidRDefault="007775B0" w:rsidP="00C4242D">
      <w:pPr>
        <w:pStyle w:val="FootnoteText"/>
        <w:rPr>
          <w:rFonts w:ascii="Times" w:hAnsi="Times"/>
          <w:iCs/>
          <w:color w:val="0D0D0D" w:themeColor="text1" w:themeTint="F2"/>
          <w:sz w:val="18"/>
          <w:szCs w:val="18"/>
        </w:rPr>
      </w:pPr>
      <w:r>
        <w:rPr>
          <w:rStyle w:val="FootnoteReference"/>
        </w:rPr>
        <w:footnoteRef/>
      </w:r>
      <w:r>
        <w:t xml:space="preserve"> </w:t>
      </w:r>
      <w:r w:rsidRPr="009A0E5A">
        <w:rPr>
          <w:rFonts w:ascii="Times" w:hAnsi="Times"/>
          <w:sz w:val="18"/>
          <w:szCs w:val="18"/>
        </w:rPr>
        <w:t xml:space="preserve">Piemēram, Ministru kabineta 2017. gada 14. novembra noteikumu Nr. 677 </w:t>
      </w:r>
      <w:r w:rsidRPr="009A0E5A">
        <w:rPr>
          <w:rFonts w:ascii="Times" w:hAnsi="Times"/>
          <w:i/>
          <w:color w:val="0D0D0D" w:themeColor="text1" w:themeTint="F2"/>
          <w:sz w:val="18"/>
          <w:szCs w:val="18"/>
        </w:rPr>
        <w:t>"</w:t>
      </w:r>
      <w:r w:rsidRPr="009A0E5A">
        <w:rPr>
          <w:rFonts w:ascii="Times" w:hAnsi="Times"/>
          <w:sz w:val="18"/>
          <w:szCs w:val="18"/>
        </w:rPr>
        <w:t>Uzņēmumu ienākuma nodokļa likuma normu piemērošanas noteikumi</w:t>
      </w:r>
      <w:r w:rsidRPr="009A0E5A">
        <w:rPr>
          <w:rFonts w:ascii="Times" w:hAnsi="Times"/>
          <w:iCs/>
          <w:color w:val="0D0D0D" w:themeColor="text1" w:themeTint="F2"/>
          <w:sz w:val="18"/>
          <w:szCs w:val="18"/>
        </w:rPr>
        <w:t>" 2. pielikum</w:t>
      </w:r>
      <w:r>
        <w:rPr>
          <w:rFonts w:ascii="Times" w:hAnsi="Times"/>
          <w:iCs/>
          <w:color w:val="0D0D0D" w:themeColor="text1" w:themeTint="F2"/>
          <w:sz w:val="18"/>
          <w:szCs w:val="18"/>
        </w:rPr>
        <w:t xml:space="preserve">s vai </w:t>
      </w:r>
      <w:r w:rsidRPr="009A0E5A">
        <w:rPr>
          <w:rFonts w:ascii="Times" w:hAnsi="Times"/>
          <w:iCs/>
          <w:color w:val="0D0D0D" w:themeColor="text1" w:themeTint="F2"/>
          <w:sz w:val="18"/>
          <w:szCs w:val="18"/>
        </w:rPr>
        <w:t>CFLA vadlīniju 1. pielikums</w:t>
      </w:r>
      <w:r>
        <w:rPr>
          <w:rFonts w:ascii="Times" w:hAnsi="Times"/>
          <w:iCs/>
          <w:color w:val="0D0D0D" w:themeColor="text1" w:themeTint="F2"/>
          <w:sz w:val="18"/>
          <w:szCs w:val="18"/>
        </w:rPr>
        <w:t xml:space="preserve">  (pieejams: </w:t>
      </w:r>
      <w:r w:rsidRPr="009A0E5A">
        <w:rPr>
          <w:rFonts w:ascii="Times" w:hAnsi="Times"/>
          <w:iCs/>
          <w:color w:val="0D0D0D" w:themeColor="text1" w:themeTint="F2"/>
          <w:sz w:val="18"/>
          <w:szCs w:val="18"/>
        </w:rPr>
        <w:t>https://www.cfla.gov.lv/userfiles/files/31511%20%C4%A2imenes%20%C4%81rsti/Metodiskie_noradijumi_31511_tirgus_izpete.pdf</w:t>
      </w:r>
      <w:r>
        <w:rPr>
          <w:rFonts w:ascii="Times" w:hAnsi="Times"/>
          <w:iCs/>
          <w:color w:val="0D0D0D" w:themeColor="text1" w:themeTint="F2"/>
          <w:sz w:val="18"/>
          <w:szCs w:val="18"/>
        </w:rPr>
        <w:t>)</w:t>
      </w:r>
    </w:p>
  </w:footnote>
  <w:footnote w:id="3">
    <w:p w14:paraId="13319083" w14:textId="77777777" w:rsidR="00FF2874" w:rsidRPr="00A674DC" w:rsidRDefault="00FF2874" w:rsidP="00FF2874">
      <w:pPr>
        <w:pStyle w:val="FootnoteText"/>
      </w:pPr>
      <w:r>
        <w:rPr>
          <w:rStyle w:val="FootnoteReference"/>
        </w:rPr>
        <w:footnoteRef/>
      </w:r>
      <w:r>
        <w:t xml:space="preserve"> 3. nodaļa “</w:t>
      </w:r>
      <w:r w:rsidRPr="00A674DC">
        <w:t>Nomas maksas noteikšanas metodika, ja nekustamo īpašumu iznomā publiskai personai vai tās iestādei, kapitālsabiedrībai vai privātpersonai publiskas funkcijas vai deleģēta valsts pārvaldes uzdevuma veikšanai</w:t>
      </w:r>
      <w:r>
        <w:t>”</w:t>
      </w:r>
    </w:p>
  </w:footnote>
  <w:footnote w:id="4">
    <w:p w14:paraId="6F81A0A4" w14:textId="77777777" w:rsidR="00FF2874" w:rsidRPr="00625F2D" w:rsidRDefault="00FF2874" w:rsidP="00FF2874">
      <w:pPr>
        <w:pStyle w:val="FootnoteText"/>
      </w:pPr>
      <w:r>
        <w:rPr>
          <w:rStyle w:val="FootnoteReference"/>
        </w:rPr>
        <w:footnoteRef/>
      </w:r>
      <w:r>
        <w:t xml:space="preserve"> 4. </w:t>
      </w:r>
      <w:r w:rsidRPr="00625F2D">
        <w:t>Nosacītās nomas maksas noteikšanas metodika, ja nomas objektu iznomā privāto tiesību subjektam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FF53" w14:textId="77777777" w:rsidR="007775B0" w:rsidRDefault="007775B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EF3E" w14:textId="77777777" w:rsidR="007775B0" w:rsidRDefault="00777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8F07" w14:textId="77777777" w:rsidR="007775B0" w:rsidRDefault="007775B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EB7">
      <w:rPr>
        <w:rStyle w:val="PageNumber"/>
        <w:noProof/>
      </w:rPr>
      <w:t>2</w:t>
    </w:r>
    <w:r>
      <w:rPr>
        <w:rStyle w:val="PageNumber"/>
      </w:rPr>
      <w:fldChar w:fldCharType="end"/>
    </w:r>
  </w:p>
  <w:p w14:paraId="1F87B2A5" w14:textId="77777777" w:rsidR="007775B0" w:rsidRDefault="00777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0734" w14:textId="77777777" w:rsidR="007775B0" w:rsidRPr="006C4AF5" w:rsidRDefault="007775B0"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770"/>
    <w:multiLevelType w:val="hybridMultilevel"/>
    <w:tmpl w:val="D58875EA"/>
    <w:lvl w:ilvl="0" w:tplc="FAB82618">
      <w:start w:val="1"/>
      <w:numFmt w:val="decimal"/>
      <w:lvlText w:val="%1)"/>
      <w:lvlJc w:val="left"/>
      <w:pPr>
        <w:ind w:left="1080" w:hanging="360"/>
      </w:pPr>
      <w:rPr>
        <w:rFonts w:eastAsia="SimSun"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D1231C"/>
    <w:multiLevelType w:val="hybridMultilevel"/>
    <w:tmpl w:val="A4AAA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4C82618"/>
    <w:multiLevelType w:val="hybridMultilevel"/>
    <w:tmpl w:val="EF88F6CC"/>
    <w:lvl w:ilvl="0" w:tplc="39C4A5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F438D5"/>
    <w:multiLevelType w:val="hybridMultilevel"/>
    <w:tmpl w:val="02CEDA54"/>
    <w:lvl w:ilvl="0" w:tplc="C590D0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5983921"/>
    <w:multiLevelType w:val="hybridMultilevel"/>
    <w:tmpl w:val="AAC60E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671A81"/>
    <w:multiLevelType w:val="hybridMultilevel"/>
    <w:tmpl w:val="E85A4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187A77"/>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F5089"/>
    <w:multiLevelType w:val="hybridMultilevel"/>
    <w:tmpl w:val="9BF80F08"/>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B894291"/>
    <w:multiLevelType w:val="hybridMultilevel"/>
    <w:tmpl w:val="CA9A289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1A521CF"/>
    <w:multiLevelType w:val="hybridMultilevel"/>
    <w:tmpl w:val="7EB203CA"/>
    <w:lvl w:ilvl="0" w:tplc="9D147BF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23A7A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D47318"/>
    <w:multiLevelType w:val="multilevel"/>
    <w:tmpl w:val="E9F03D54"/>
    <w:lvl w:ilvl="0">
      <w:start w:val="30"/>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16F72EC8"/>
    <w:multiLevelType w:val="hybridMultilevel"/>
    <w:tmpl w:val="E8E43440"/>
    <w:lvl w:ilvl="0" w:tplc="17461F08">
      <w:start w:val="1"/>
      <w:numFmt w:val="lowerLetter"/>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AD8062D"/>
    <w:multiLevelType w:val="hybridMultilevel"/>
    <w:tmpl w:val="88688F5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217F3450"/>
    <w:multiLevelType w:val="hybridMultilevel"/>
    <w:tmpl w:val="258E1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15CE6"/>
    <w:multiLevelType w:val="hybridMultilevel"/>
    <w:tmpl w:val="AA32B06A"/>
    <w:lvl w:ilvl="0" w:tplc="82045B3C">
      <w:start w:val="1"/>
      <w:numFmt w:val="decimal"/>
      <w:lvlText w:val="%1."/>
      <w:lvlJc w:val="left"/>
      <w:pPr>
        <w:ind w:left="644" w:hanging="360"/>
      </w:pPr>
      <w:rPr>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644"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235243D2"/>
    <w:multiLevelType w:val="hybridMultilevel"/>
    <w:tmpl w:val="D0D076BE"/>
    <w:lvl w:ilvl="0" w:tplc="C1C8CE18">
      <w:start w:val="1"/>
      <w:numFmt w:val="decimal"/>
      <w:pStyle w:val="Style1"/>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0D0139"/>
    <w:multiLevelType w:val="hybridMultilevel"/>
    <w:tmpl w:val="0D002E2C"/>
    <w:lvl w:ilvl="0" w:tplc="5F604DF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2AD849BB"/>
    <w:multiLevelType w:val="hybridMultilevel"/>
    <w:tmpl w:val="C3AE8FC6"/>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2B701C03"/>
    <w:multiLevelType w:val="hybridMultilevel"/>
    <w:tmpl w:val="7C64870A"/>
    <w:lvl w:ilvl="0" w:tplc="11BC9F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2DED29E9"/>
    <w:multiLevelType w:val="hybridMultilevel"/>
    <w:tmpl w:val="6412972C"/>
    <w:lvl w:ilvl="0" w:tplc="46BAAFF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20080A"/>
    <w:multiLevelType w:val="hybridMultilevel"/>
    <w:tmpl w:val="3CAC1C4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04748C8"/>
    <w:multiLevelType w:val="multilevel"/>
    <w:tmpl w:val="6D9C5786"/>
    <w:lvl w:ilvl="0">
      <w:start w:val="2"/>
      <w:numFmt w:val="decimal"/>
      <w:lvlText w:val="%1."/>
      <w:lvlJc w:val="left"/>
      <w:pPr>
        <w:ind w:left="720" w:hanging="360"/>
      </w:pPr>
      <w:rPr>
        <w:rFonts w:hint="default"/>
        <w:b w:val="0"/>
        <w:i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2966A9B"/>
    <w:multiLevelType w:val="hybridMultilevel"/>
    <w:tmpl w:val="ED3CBD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BEB720F"/>
    <w:multiLevelType w:val="hybridMultilevel"/>
    <w:tmpl w:val="A1A8505C"/>
    <w:lvl w:ilvl="0" w:tplc="FD16EDF0">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25">
    <w:nsid w:val="417A316B"/>
    <w:multiLevelType w:val="hybridMultilevel"/>
    <w:tmpl w:val="19982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9632116"/>
    <w:multiLevelType w:val="hybridMultilevel"/>
    <w:tmpl w:val="15EC67A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4C01778C"/>
    <w:multiLevelType w:val="hybridMultilevel"/>
    <w:tmpl w:val="AA006FDC"/>
    <w:lvl w:ilvl="0" w:tplc="7FC2D93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D0F6EA4"/>
    <w:multiLevelType w:val="hybridMultilevel"/>
    <w:tmpl w:val="084ED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14E6743"/>
    <w:multiLevelType w:val="hybridMultilevel"/>
    <w:tmpl w:val="2EDE66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1D17466"/>
    <w:multiLevelType w:val="hybridMultilevel"/>
    <w:tmpl w:val="1DF82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28F0C64"/>
    <w:multiLevelType w:val="hybridMultilevel"/>
    <w:tmpl w:val="7C6CE16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54DC4A0C"/>
    <w:multiLevelType w:val="hybridMultilevel"/>
    <w:tmpl w:val="32BCA3C0"/>
    <w:lvl w:ilvl="0" w:tplc="B8307814">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8FF6DD8"/>
    <w:multiLevelType w:val="hybridMultilevel"/>
    <w:tmpl w:val="AB9067E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8271C7"/>
    <w:multiLevelType w:val="hybridMultilevel"/>
    <w:tmpl w:val="0952D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BF17CB1"/>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2224D1"/>
    <w:multiLevelType w:val="hybridMultilevel"/>
    <w:tmpl w:val="52F4EC2A"/>
    <w:lvl w:ilvl="0" w:tplc="C09E1B66">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nsid w:val="646258EE"/>
    <w:multiLevelType w:val="hybridMultilevel"/>
    <w:tmpl w:val="917CDCCA"/>
    <w:lvl w:ilvl="0" w:tplc="6C7650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659717EB"/>
    <w:multiLevelType w:val="hybridMultilevel"/>
    <w:tmpl w:val="D58875EA"/>
    <w:lvl w:ilvl="0" w:tplc="FAB82618">
      <w:start w:val="1"/>
      <w:numFmt w:val="decimal"/>
      <w:lvlText w:val="%1)"/>
      <w:lvlJc w:val="left"/>
      <w:pPr>
        <w:ind w:left="1080" w:hanging="360"/>
      </w:pPr>
      <w:rPr>
        <w:rFonts w:eastAsia="SimSun"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nsid w:val="65B34612"/>
    <w:multiLevelType w:val="hybridMultilevel"/>
    <w:tmpl w:val="AC44300E"/>
    <w:lvl w:ilvl="0" w:tplc="93825D88">
      <w:start w:val="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6E52782"/>
    <w:multiLevelType w:val="hybridMultilevel"/>
    <w:tmpl w:val="DEEEE2B2"/>
    <w:lvl w:ilvl="0" w:tplc="539CE9E0">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8D0493C"/>
    <w:multiLevelType w:val="hybridMultilevel"/>
    <w:tmpl w:val="07165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ADD7028"/>
    <w:multiLevelType w:val="hybridMultilevel"/>
    <w:tmpl w:val="0952D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F461263"/>
    <w:multiLevelType w:val="hybridMultilevel"/>
    <w:tmpl w:val="0F58E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nsid w:val="72DF2C08"/>
    <w:multiLevelType w:val="multilevel"/>
    <w:tmpl w:val="DD1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A06B19"/>
    <w:multiLevelType w:val="hybridMultilevel"/>
    <w:tmpl w:val="42FE75B8"/>
    <w:lvl w:ilvl="0" w:tplc="9E8AC608">
      <w:start w:val="1"/>
      <w:numFmt w:val="decimal"/>
      <w:lvlText w:val="%1."/>
      <w:lvlJc w:val="left"/>
      <w:pPr>
        <w:ind w:left="720" w:hanging="360"/>
      </w:pPr>
      <w:rPr>
        <w:rFonts w:ascii="Times New Roman" w:hAnsi="Times New Roman" w:cs="Times New Roman" w:hint="default"/>
        <w:b w:val="0"/>
        <w:i w:val="0"/>
        <w:color w:val="auto"/>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nsid w:val="756C0947"/>
    <w:multiLevelType w:val="hybridMultilevel"/>
    <w:tmpl w:val="39F03C72"/>
    <w:lvl w:ilvl="0" w:tplc="597EAB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nsid w:val="76557685"/>
    <w:multiLevelType w:val="hybridMultilevel"/>
    <w:tmpl w:val="EE6C6008"/>
    <w:lvl w:ilvl="0" w:tplc="4BE63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nsid w:val="7E5B3103"/>
    <w:multiLevelType w:val="hybridMultilevel"/>
    <w:tmpl w:val="ADBED14A"/>
    <w:lvl w:ilvl="0" w:tplc="0426000F">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30"/>
  </w:num>
  <w:num w:numId="3">
    <w:abstractNumId w:val="22"/>
  </w:num>
  <w:num w:numId="4">
    <w:abstractNumId w:val="48"/>
  </w:num>
  <w:num w:numId="5">
    <w:abstractNumId w:val="40"/>
  </w:num>
  <w:num w:numId="6">
    <w:abstractNumId w:val="4"/>
  </w:num>
  <w:num w:numId="7">
    <w:abstractNumId w:val="28"/>
  </w:num>
  <w:num w:numId="8">
    <w:abstractNumId w:val="23"/>
  </w:num>
  <w:num w:numId="9">
    <w:abstractNumId w:val="2"/>
  </w:num>
  <w:num w:numId="10">
    <w:abstractNumId w:val="12"/>
  </w:num>
  <w:num w:numId="11">
    <w:abstractNumId w:val="25"/>
  </w:num>
  <w:num w:numId="12">
    <w:abstractNumId w:val="7"/>
  </w:num>
  <w:num w:numId="13">
    <w:abstractNumId w:val="11"/>
  </w:num>
  <w:num w:numId="14">
    <w:abstractNumId w:val="21"/>
  </w:num>
  <w:num w:numId="15">
    <w:abstractNumId w:val="33"/>
  </w:num>
  <w:num w:numId="16">
    <w:abstractNumId w:val="8"/>
  </w:num>
  <w:num w:numId="17">
    <w:abstractNumId w:val="5"/>
  </w:num>
  <w:num w:numId="18">
    <w:abstractNumId w:val="43"/>
  </w:num>
  <w:num w:numId="19">
    <w:abstractNumId w:val="29"/>
  </w:num>
  <w:num w:numId="20">
    <w:abstractNumId w:val="35"/>
  </w:num>
  <w:num w:numId="21">
    <w:abstractNumId w:val="14"/>
  </w:num>
  <w:num w:numId="22">
    <w:abstractNumId w:val="3"/>
  </w:num>
  <w:num w:numId="23">
    <w:abstractNumId w:val="6"/>
  </w:num>
  <w:num w:numId="24">
    <w:abstractNumId w:val="24"/>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9"/>
  </w:num>
  <w:num w:numId="33">
    <w:abstractNumId w:val="19"/>
  </w:num>
  <w:num w:numId="34">
    <w:abstractNumId w:val="27"/>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41"/>
  </w:num>
  <w:num w:numId="38">
    <w:abstractNumId w:val="37"/>
  </w:num>
  <w:num w:numId="39">
    <w:abstractNumId w:val="46"/>
  </w:num>
  <w:num w:numId="40">
    <w:abstractNumId w:val="47"/>
  </w:num>
  <w:num w:numId="41">
    <w:abstractNumId w:val="32"/>
  </w:num>
  <w:num w:numId="42">
    <w:abstractNumId w:val="39"/>
  </w:num>
  <w:num w:numId="43">
    <w:abstractNumId w:val="31"/>
  </w:num>
  <w:num w:numId="44">
    <w:abstractNumId w:val="16"/>
  </w:num>
  <w:num w:numId="45">
    <w:abstractNumId w:val="26"/>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44"/>
  </w:num>
  <w:num w:numId="49">
    <w:abstractNumId w:val="42"/>
  </w:num>
  <w:num w:numId="5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028"/>
    <w:rsid w:val="00001F89"/>
    <w:rsid w:val="00003049"/>
    <w:rsid w:val="0000331B"/>
    <w:rsid w:val="00003461"/>
    <w:rsid w:val="00003A94"/>
    <w:rsid w:val="00003C53"/>
    <w:rsid w:val="0000456E"/>
    <w:rsid w:val="00004C56"/>
    <w:rsid w:val="00005118"/>
    <w:rsid w:val="0000529C"/>
    <w:rsid w:val="00005344"/>
    <w:rsid w:val="00005456"/>
    <w:rsid w:val="000055EA"/>
    <w:rsid w:val="00005EAD"/>
    <w:rsid w:val="00006473"/>
    <w:rsid w:val="00006A8A"/>
    <w:rsid w:val="00006B67"/>
    <w:rsid w:val="00006BF1"/>
    <w:rsid w:val="00006FB3"/>
    <w:rsid w:val="00007F81"/>
    <w:rsid w:val="000109AA"/>
    <w:rsid w:val="0001118D"/>
    <w:rsid w:val="0001131F"/>
    <w:rsid w:val="00011663"/>
    <w:rsid w:val="00011750"/>
    <w:rsid w:val="000117DB"/>
    <w:rsid w:val="00011950"/>
    <w:rsid w:val="000119A9"/>
    <w:rsid w:val="0001249F"/>
    <w:rsid w:val="000125C0"/>
    <w:rsid w:val="0001270C"/>
    <w:rsid w:val="000136AA"/>
    <w:rsid w:val="00013929"/>
    <w:rsid w:val="00013B4C"/>
    <w:rsid w:val="00013B77"/>
    <w:rsid w:val="00013BF6"/>
    <w:rsid w:val="00013EAF"/>
    <w:rsid w:val="0001405C"/>
    <w:rsid w:val="00015314"/>
    <w:rsid w:val="00015383"/>
    <w:rsid w:val="0001554C"/>
    <w:rsid w:val="00015AB8"/>
    <w:rsid w:val="00015B94"/>
    <w:rsid w:val="00015C77"/>
    <w:rsid w:val="00015DE5"/>
    <w:rsid w:val="000165C7"/>
    <w:rsid w:val="00016F65"/>
    <w:rsid w:val="000172E2"/>
    <w:rsid w:val="00017449"/>
    <w:rsid w:val="00017551"/>
    <w:rsid w:val="0001764C"/>
    <w:rsid w:val="0001799B"/>
    <w:rsid w:val="00020249"/>
    <w:rsid w:val="00021104"/>
    <w:rsid w:val="00022338"/>
    <w:rsid w:val="000223DC"/>
    <w:rsid w:val="0002256C"/>
    <w:rsid w:val="0002296A"/>
    <w:rsid w:val="00022A2A"/>
    <w:rsid w:val="00022B0F"/>
    <w:rsid w:val="00022B9A"/>
    <w:rsid w:val="00022D32"/>
    <w:rsid w:val="0002356D"/>
    <w:rsid w:val="00023BE9"/>
    <w:rsid w:val="00023C9F"/>
    <w:rsid w:val="00023EBF"/>
    <w:rsid w:val="00023FB2"/>
    <w:rsid w:val="00023FD6"/>
    <w:rsid w:val="0002416A"/>
    <w:rsid w:val="0002446C"/>
    <w:rsid w:val="0002481A"/>
    <w:rsid w:val="00024B80"/>
    <w:rsid w:val="00024CCD"/>
    <w:rsid w:val="00024D20"/>
    <w:rsid w:val="000253DB"/>
    <w:rsid w:val="00025CB0"/>
    <w:rsid w:val="00025CDA"/>
    <w:rsid w:val="00026569"/>
    <w:rsid w:val="000265DE"/>
    <w:rsid w:val="00026D23"/>
    <w:rsid w:val="0002700E"/>
    <w:rsid w:val="000273E2"/>
    <w:rsid w:val="00027531"/>
    <w:rsid w:val="000275B3"/>
    <w:rsid w:val="000278E7"/>
    <w:rsid w:val="00027A63"/>
    <w:rsid w:val="00027F9D"/>
    <w:rsid w:val="0003019F"/>
    <w:rsid w:val="0003045A"/>
    <w:rsid w:val="000307B5"/>
    <w:rsid w:val="00030D4D"/>
    <w:rsid w:val="000310AF"/>
    <w:rsid w:val="00032457"/>
    <w:rsid w:val="00032BE2"/>
    <w:rsid w:val="0003393C"/>
    <w:rsid w:val="0003413A"/>
    <w:rsid w:val="000342B8"/>
    <w:rsid w:val="00034709"/>
    <w:rsid w:val="000349CA"/>
    <w:rsid w:val="000349E5"/>
    <w:rsid w:val="00035067"/>
    <w:rsid w:val="0003557A"/>
    <w:rsid w:val="000356FA"/>
    <w:rsid w:val="00035C06"/>
    <w:rsid w:val="00035EF0"/>
    <w:rsid w:val="000366DF"/>
    <w:rsid w:val="00036C6D"/>
    <w:rsid w:val="00036C93"/>
    <w:rsid w:val="00037524"/>
    <w:rsid w:val="000376CD"/>
    <w:rsid w:val="000379CE"/>
    <w:rsid w:val="00037A77"/>
    <w:rsid w:val="00037B6B"/>
    <w:rsid w:val="00037B8C"/>
    <w:rsid w:val="00040A5C"/>
    <w:rsid w:val="00040CCD"/>
    <w:rsid w:val="000417C6"/>
    <w:rsid w:val="0004194C"/>
    <w:rsid w:val="00041F91"/>
    <w:rsid w:val="00042D9E"/>
    <w:rsid w:val="00043005"/>
    <w:rsid w:val="000433A6"/>
    <w:rsid w:val="0004345F"/>
    <w:rsid w:val="00043484"/>
    <w:rsid w:val="000434DA"/>
    <w:rsid w:val="000435C1"/>
    <w:rsid w:val="00043EFE"/>
    <w:rsid w:val="00044026"/>
    <w:rsid w:val="00044106"/>
    <w:rsid w:val="000453CF"/>
    <w:rsid w:val="00045F34"/>
    <w:rsid w:val="00046075"/>
    <w:rsid w:val="00046382"/>
    <w:rsid w:val="00046CAD"/>
    <w:rsid w:val="00046D4C"/>
    <w:rsid w:val="00046F5C"/>
    <w:rsid w:val="00046FFD"/>
    <w:rsid w:val="00047219"/>
    <w:rsid w:val="00047385"/>
    <w:rsid w:val="000477BE"/>
    <w:rsid w:val="00047A6C"/>
    <w:rsid w:val="00047E39"/>
    <w:rsid w:val="00050554"/>
    <w:rsid w:val="00050D42"/>
    <w:rsid w:val="000511FB"/>
    <w:rsid w:val="00051765"/>
    <w:rsid w:val="00052C5A"/>
    <w:rsid w:val="00053706"/>
    <w:rsid w:val="000537B7"/>
    <w:rsid w:val="00053E04"/>
    <w:rsid w:val="00055F7E"/>
    <w:rsid w:val="000560E4"/>
    <w:rsid w:val="000566F0"/>
    <w:rsid w:val="00056AE0"/>
    <w:rsid w:val="00057149"/>
    <w:rsid w:val="00057556"/>
    <w:rsid w:val="000579E6"/>
    <w:rsid w:val="00060E03"/>
    <w:rsid w:val="0006159B"/>
    <w:rsid w:val="000619AB"/>
    <w:rsid w:val="000620A4"/>
    <w:rsid w:val="00062297"/>
    <w:rsid w:val="00062EAA"/>
    <w:rsid w:val="00062EBF"/>
    <w:rsid w:val="000641B8"/>
    <w:rsid w:val="000641CE"/>
    <w:rsid w:val="0006492A"/>
    <w:rsid w:val="00064AB5"/>
    <w:rsid w:val="00065271"/>
    <w:rsid w:val="00065B27"/>
    <w:rsid w:val="00066176"/>
    <w:rsid w:val="0006618D"/>
    <w:rsid w:val="00066885"/>
    <w:rsid w:val="0006694E"/>
    <w:rsid w:val="00066A37"/>
    <w:rsid w:val="00066C2C"/>
    <w:rsid w:val="00066F05"/>
    <w:rsid w:val="0006779E"/>
    <w:rsid w:val="000709AB"/>
    <w:rsid w:val="000709F7"/>
    <w:rsid w:val="00070B47"/>
    <w:rsid w:val="00072483"/>
    <w:rsid w:val="000725BE"/>
    <w:rsid w:val="00072628"/>
    <w:rsid w:val="000728ED"/>
    <w:rsid w:val="000733F5"/>
    <w:rsid w:val="000733FF"/>
    <w:rsid w:val="00073888"/>
    <w:rsid w:val="00073C0D"/>
    <w:rsid w:val="000745ED"/>
    <w:rsid w:val="00074EDF"/>
    <w:rsid w:val="0007526C"/>
    <w:rsid w:val="0007577A"/>
    <w:rsid w:val="000757DA"/>
    <w:rsid w:val="00075AB3"/>
    <w:rsid w:val="00075F21"/>
    <w:rsid w:val="000767DB"/>
    <w:rsid w:val="000775D0"/>
    <w:rsid w:val="00077A80"/>
    <w:rsid w:val="00080A08"/>
    <w:rsid w:val="00080A3E"/>
    <w:rsid w:val="0008109F"/>
    <w:rsid w:val="0008111F"/>
    <w:rsid w:val="00081B0F"/>
    <w:rsid w:val="00081C05"/>
    <w:rsid w:val="00082242"/>
    <w:rsid w:val="00082729"/>
    <w:rsid w:val="0008283D"/>
    <w:rsid w:val="00082BB8"/>
    <w:rsid w:val="00082D17"/>
    <w:rsid w:val="00082FD2"/>
    <w:rsid w:val="00083090"/>
    <w:rsid w:val="00083214"/>
    <w:rsid w:val="000837C4"/>
    <w:rsid w:val="00083B8F"/>
    <w:rsid w:val="00083CFE"/>
    <w:rsid w:val="000848BC"/>
    <w:rsid w:val="00084B11"/>
    <w:rsid w:val="00085322"/>
    <w:rsid w:val="0008656F"/>
    <w:rsid w:val="00086AB9"/>
    <w:rsid w:val="00086BCE"/>
    <w:rsid w:val="00086F36"/>
    <w:rsid w:val="000872E9"/>
    <w:rsid w:val="0008799E"/>
    <w:rsid w:val="00090168"/>
    <w:rsid w:val="00090888"/>
    <w:rsid w:val="00090C76"/>
    <w:rsid w:val="00091033"/>
    <w:rsid w:val="00091E89"/>
    <w:rsid w:val="00091F10"/>
    <w:rsid w:val="000922BF"/>
    <w:rsid w:val="000922E8"/>
    <w:rsid w:val="00092EC4"/>
    <w:rsid w:val="0009302B"/>
    <w:rsid w:val="000934D7"/>
    <w:rsid w:val="00093D05"/>
    <w:rsid w:val="00093EC2"/>
    <w:rsid w:val="00094307"/>
    <w:rsid w:val="000958A2"/>
    <w:rsid w:val="000959A6"/>
    <w:rsid w:val="00095D1D"/>
    <w:rsid w:val="000965E7"/>
    <w:rsid w:val="000965F6"/>
    <w:rsid w:val="0009695E"/>
    <w:rsid w:val="000970AA"/>
    <w:rsid w:val="000978E1"/>
    <w:rsid w:val="00097DF8"/>
    <w:rsid w:val="000A0041"/>
    <w:rsid w:val="000A06FC"/>
    <w:rsid w:val="000A11C6"/>
    <w:rsid w:val="000A137C"/>
    <w:rsid w:val="000A14FA"/>
    <w:rsid w:val="000A1A02"/>
    <w:rsid w:val="000A223E"/>
    <w:rsid w:val="000A2915"/>
    <w:rsid w:val="000A34FF"/>
    <w:rsid w:val="000A3E09"/>
    <w:rsid w:val="000A3E8C"/>
    <w:rsid w:val="000A4035"/>
    <w:rsid w:val="000A483A"/>
    <w:rsid w:val="000A4B5F"/>
    <w:rsid w:val="000A55D2"/>
    <w:rsid w:val="000A5A10"/>
    <w:rsid w:val="000A6046"/>
    <w:rsid w:val="000A6096"/>
    <w:rsid w:val="000A64D3"/>
    <w:rsid w:val="000A6AB6"/>
    <w:rsid w:val="000A77B9"/>
    <w:rsid w:val="000A7877"/>
    <w:rsid w:val="000A7886"/>
    <w:rsid w:val="000A7B4B"/>
    <w:rsid w:val="000A7EA7"/>
    <w:rsid w:val="000B0403"/>
    <w:rsid w:val="000B057B"/>
    <w:rsid w:val="000B06E7"/>
    <w:rsid w:val="000B0C94"/>
    <w:rsid w:val="000B15E5"/>
    <w:rsid w:val="000B1BD7"/>
    <w:rsid w:val="000B2094"/>
    <w:rsid w:val="000B237D"/>
    <w:rsid w:val="000B2382"/>
    <w:rsid w:val="000B24E5"/>
    <w:rsid w:val="000B2FF1"/>
    <w:rsid w:val="000B3171"/>
    <w:rsid w:val="000B34A5"/>
    <w:rsid w:val="000B3739"/>
    <w:rsid w:val="000B3A96"/>
    <w:rsid w:val="000B4746"/>
    <w:rsid w:val="000B5808"/>
    <w:rsid w:val="000B62D8"/>
    <w:rsid w:val="000B6E96"/>
    <w:rsid w:val="000B7966"/>
    <w:rsid w:val="000B7CB1"/>
    <w:rsid w:val="000C03BE"/>
    <w:rsid w:val="000C0402"/>
    <w:rsid w:val="000C0966"/>
    <w:rsid w:val="000C0AE6"/>
    <w:rsid w:val="000C0D0D"/>
    <w:rsid w:val="000C0F55"/>
    <w:rsid w:val="000C1664"/>
    <w:rsid w:val="000C185C"/>
    <w:rsid w:val="000C1F26"/>
    <w:rsid w:val="000C2555"/>
    <w:rsid w:val="000C2565"/>
    <w:rsid w:val="000C29DC"/>
    <w:rsid w:val="000C3077"/>
    <w:rsid w:val="000C3545"/>
    <w:rsid w:val="000C4838"/>
    <w:rsid w:val="000C498A"/>
    <w:rsid w:val="000C4A6E"/>
    <w:rsid w:val="000C4B9A"/>
    <w:rsid w:val="000C4C16"/>
    <w:rsid w:val="000C56FC"/>
    <w:rsid w:val="000C5A7F"/>
    <w:rsid w:val="000C5D56"/>
    <w:rsid w:val="000C6C7B"/>
    <w:rsid w:val="000C7907"/>
    <w:rsid w:val="000C7A11"/>
    <w:rsid w:val="000C7F5E"/>
    <w:rsid w:val="000D00AC"/>
    <w:rsid w:val="000D0AED"/>
    <w:rsid w:val="000D1B36"/>
    <w:rsid w:val="000D2427"/>
    <w:rsid w:val="000D2786"/>
    <w:rsid w:val="000D2A3B"/>
    <w:rsid w:val="000D2A8F"/>
    <w:rsid w:val="000D3602"/>
    <w:rsid w:val="000D3E45"/>
    <w:rsid w:val="000D3FDF"/>
    <w:rsid w:val="000D424E"/>
    <w:rsid w:val="000D42F8"/>
    <w:rsid w:val="000D4358"/>
    <w:rsid w:val="000D47F3"/>
    <w:rsid w:val="000D4B59"/>
    <w:rsid w:val="000D4D89"/>
    <w:rsid w:val="000D640C"/>
    <w:rsid w:val="000D6B7E"/>
    <w:rsid w:val="000D6BBD"/>
    <w:rsid w:val="000D6CDB"/>
    <w:rsid w:val="000D6D90"/>
    <w:rsid w:val="000D7606"/>
    <w:rsid w:val="000D7751"/>
    <w:rsid w:val="000D7769"/>
    <w:rsid w:val="000D7BFE"/>
    <w:rsid w:val="000D7C23"/>
    <w:rsid w:val="000E0527"/>
    <w:rsid w:val="000E0A16"/>
    <w:rsid w:val="000E0C44"/>
    <w:rsid w:val="000E1163"/>
    <w:rsid w:val="000E1665"/>
    <w:rsid w:val="000E1BFA"/>
    <w:rsid w:val="000E2142"/>
    <w:rsid w:val="000E21D0"/>
    <w:rsid w:val="000E29A9"/>
    <w:rsid w:val="000E2A38"/>
    <w:rsid w:val="000E2A39"/>
    <w:rsid w:val="000E2ACC"/>
    <w:rsid w:val="000E2D68"/>
    <w:rsid w:val="000E30C9"/>
    <w:rsid w:val="000E34C2"/>
    <w:rsid w:val="000E3DD3"/>
    <w:rsid w:val="000E3F9A"/>
    <w:rsid w:val="000E4897"/>
    <w:rsid w:val="000E48CA"/>
    <w:rsid w:val="000E541F"/>
    <w:rsid w:val="000E5509"/>
    <w:rsid w:val="000E5704"/>
    <w:rsid w:val="000E585F"/>
    <w:rsid w:val="000E5A75"/>
    <w:rsid w:val="000E5FEE"/>
    <w:rsid w:val="000E61B0"/>
    <w:rsid w:val="000E62C6"/>
    <w:rsid w:val="000E66F8"/>
    <w:rsid w:val="000F054F"/>
    <w:rsid w:val="000F05B0"/>
    <w:rsid w:val="000F079D"/>
    <w:rsid w:val="000F09CF"/>
    <w:rsid w:val="000F0D9D"/>
    <w:rsid w:val="000F1CB4"/>
    <w:rsid w:val="000F1D56"/>
    <w:rsid w:val="000F2534"/>
    <w:rsid w:val="000F28D9"/>
    <w:rsid w:val="000F2D43"/>
    <w:rsid w:val="000F2F9A"/>
    <w:rsid w:val="000F33DB"/>
    <w:rsid w:val="000F3545"/>
    <w:rsid w:val="000F36EE"/>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86"/>
    <w:rsid w:val="000F6A0B"/>
    <w:rsid w:val="000F6E4E"/>
    <w:rsid w:val="000F710C"/>
    <w:rsid w:val="000F722C"/>
    <w:rsid w:val="000F733A"/>
    <w:rsid w:val="000F754F"/>
    <w:rsid w:val="000F7695"/>
    <w:rsid w:val="000F7EBF"/>
    <w:rsid w:val="00100B6C"/>
    <w:rsid w:val="001012E3"/>
    <w:rsid w:val="00101403"/>
    <w:rsid w:val="00101EEB"/>
    <w:rsid w:val="00102311"/>
    <w:rsid w:val="00102BB6"/>
    <w:rsid w:val="00102DF7"/>
    <w:rsid w:val="00103522"/>
    <w:rsid w:val="0010375A"/>
    <w:rsid w:val="0010389C"/>
    <w:rsid w:val="001038ED"/>
    <w:rsid w:val="001042B0"/>
    <w:rsid w:val="001051DF"/>
    <w:rsid w:val="001056A1"/>
    <w:rsid w:val="00105C4A"/>
    <w:rsid w:val="00106CC7"/>
    <w:rsid w:val="00106F4F"/>
    <w:rsid w:val="001071D3"/>
    <w:rsid w:val="001073D7"/>
    <w:rsid w:val="001075A8"/>
    <w:rsid w:val="00107AD5"/>
    <w:rsid w:val="00107DD6"/>
    <w:rsid w:val="00110259"/>
    <w:rsid w:val="001104C5"/>
    <w:rsid w:val="00110AA9"/>
    <w:rsid w:val="001110C2"/>
    <w:rsid w:val="001113AB"/>
    <w:rsid w:val="0011254D"/>
    <w:rsid w:val="00112D97"/>
    <w:rsid w:val="00112DDA"/>
    <w:rsid w:val="00112F8E"/>
    <w:rsid w:val="001135C7"/>
    <w:rsid w:val="001139C2"/>
    <w:rsid w:val="0011404E"/>
    <w:rsid w:val="00114559"/>
    <w:rsid w:val="00114A73"/>
    <w:rsid w:val="00114EA9"/>
    <w:rsid w:val="00115757"/>
    <w:rsid w:val="00115ED0"/>
    <w:rsid w:val="00116012"/>
    <w:rsid w:val="00116235"/>
    <w:rsid w:val="0011683C"/>
    <w:rsid w:val="00117174"/>
    <w:rsid w:val="001179E8"/>
    <w:rsid w:val="00117AE1"/>
    <w:rsid w:val="00117CD7"/>
    <w:rsid w:val="00117D06"/>
    <w:rsid w:val="00117F10"/>
    <w:rsid w:val="0012021B"/>
    <w:rsid w:val="001210AD"/>
    <w:rsid w:val="0012165C"/>
    <w:rsid w:val="0012222D"/>
    <w:rsid w:val="00122740"/>
    <w:rsid w:val="00123224"/>
    <w:rsid w:val="001233D5"/>
    <w:rsid w:val="0012406A"/>
    <w:rsid w:val="001253A0"/>
    <w:rsid w:val="001255E6"/>
    <w:rsid w:val="00125C9B"/>
    <w:rsid w:val="00125E6F"/>
    <w:rsid w:val="00126F8A"/>
    <w:rsid w:val="00127614"/>
    <w:rsid w:val="00127928"/>
    <w:rsid w:val="00127A65"/>
    <w:rsid w:val="00130118"/>
    <w:rsid w:val="0013053A"/>
    <w:rsid w:val="0013066A"/>
    <w:rsid w:val="0013089A"/>
    <w:rsid w:val="00130B1F"/>
    <w:rsid w:val="00130F3D"/>
    <w:rsid w:val="00131593"/>
    <w:rsid w:val="001315EF"/>
    <w:rsid w:val="00131E13"/>
    <w:rsid w:val="00131E54"/>
    <w:rsid w:val="00131F39"/>
    <w:rsid w:val="001322C9"/>
    <w:rsid w:val="00132375"/>
    <w:rsid w:val="00132AEC"/>
    <w:rsid w:val="00132E73"/>
    <w:rsid w:val="001330FA"/>
    <w:rsid w:val="00133505"/>
    <w:rsid w:val="00133AF4"/>
    <w:rsid w:val="00134188"/>
    <w:rsid w:val="0013471C"/>
    <w:rsid w:val="00135437"/>
    <w:rsid w:val="001360E2"/>
    <w:rsid w:val="00136C0D"/>
    <w:rsid w:val="00137403"/>
    <w:rsid w:val="00137A59"/>
    <w:rsid w:val="00137BE9"/>
    <w:rsid w:val="00140044"/>
    <w:rsid w:val="00140706"/>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702D"/>
    <w:rsid w:val="00147177"/>
    <w:rsid w:val="001473D3"/>
    <w:rsid w:val="0014748B"/>
    <w:rsid w:val="00147596"/>
    <w:rsid w:val="001478F3"/>
    <w:rsid w:val="00147E2E"/>
    <w:rsid w:val="00147F08"/>
    <w:rsid w:val="00150624"/>
    <w:rsid w:val="001508D5"/>
    <w:rsid w:val="001516AB"/>
    <w:rsid w:val="001516BD"/>
    <w:rsid w:val="00152718"/>
    <w:rsid w:val="00152B5A"/>
    <w:rsid w:val="00152E65"/>
    <w:rsid w:val="00152F5E"/>
    <w:rsid w:val="001530CF"/>
    <w:rsid w:val="00153172"/>
    <w:rsid w:val="001536BD"/>
    <w:rsid w:val="00153AE1"/>
    <w:rsid w:val="00153C00"/>
    <w:rsid w:val="00153D5A"/>
    <w:rsid w:val="00153F12"/>
    <w:rsid w:val="0015412E"/>
    <w:rsid w:val="001543DB"/>
    <w:rsid w:val="00154602"/>
    <w:rsid w:val="00154DF9"/>
    <w:rsid w:val="00154E6B"/>
    <w:rsid w:val="00154E7E"/>
    <w:rsid w:val="00155473"/>
    <w:rsid w:val="00155817"/>
    <w:rsid w:val="00155DC2"/>
    <w:rsid w:val="00156068"/>
    <w:rsid w:val="00156CF9"/>
    <w:rsid w:val="00156D90"/>
    <w:rsid w:val="00156E9F"/>
    <w:rsid w:val="00157599"/>
    <w:rsid w:val="00157A57"/>
    <w:rsid w:val="00157A5B"/>
    <w:rsid w:val="00157A9B"/>
    <w:rsid w:val="00157DB6"/>
    <w:rsid w:val="00157EC2"/>
    <w:rsid w:val="001613A2"/>
    <w:rsid w:val="00161478"/>
    <w:rsid w:val="00161B3A"/>
    <w:rsid w:val="001620AA"/>
    <w:rsid w:val="001620D9"/>
    <w:rsid w:val="00162114"/>
    <w:rsid w:val="00162A68"/>
    <w:rsid w:val="00162C51"/>
    <w:rsid w:val="00162E08"/>
    <w:rsid w:val="001633F1"/>
    <w:rsid w:val="00163600"/>
    <w:rsid w:val="0016363B"/>
    <w:rsid w:val="0016416D"/>
    <w:rsid w:val="00164477"/>
    <w:rsid w:val="00164ED9"/>
    <w:rsid w:val="0016531E"/>
    <w:rsid w:val="0016565C"/>
    <w:rsid w:val="00165A08"/>
    <w:rsid w:val="00166314"/>
    <w:rsid w:val="00166746"/>
    <w:rsid w:val="0016680B"/>
    <w:rsid w:val="00166A1F"/>
    <w:rsid w:val="00167590"/>
    <w:rsid w:val="00167918"/>
    <w:rsid w:val="00167922"/>
    <w:rsid w:val="00167A9A"/>
    <w:rsid w:val="00167C1E"/>
    <w:rsid w:val="0017037A"/>
    <w:rsid w:val="0017043B"/>
    <w:rsid w:val="0017052B"/>
    <w:rsid w:val="001706A1"/>
    <w:rsid w:val="00170752"/>
    <w:rsid w:val="00170914"/>
    <w:rsid w:val="00170DF2"/>
    <w:rsid w:val="00171E71"/>
    <w:rsid w:val="0017257D"/>
    <w:rsid w:val="0017299F"/>
    <w:rsid w:val="0017350B"/>
    <w:rsid w:val="00173D50"/>
    <w:rsid w:val="00173F16"/>
    <w:rsid w:val="00174841"/>
    <w:rsid w:val="00174ABB"/>
    <w:rsid w:val="00174B72"/>
    <w:rsid w:val="00174ECD"/>
    <w:rsid w:val="00175B20"/>
    <w:rsid w:val="001761FD"/>
    <w:rsid w:val="0017623B"/>
    <w:rsid w:val="001766F1"/>
    <w:rsid w:val="0017788E"/>
    <w:rsid w:val="00177D61"/>
    <w:rsid w:val="00180125"/>
    <w:rsid w:val="001808CA"/>
    <w:rsid w:val="00180923"/>
    <w:rsid w:val="00180CE5"/>
    <w:rsid w:val="00180DF6"/>
    <w:rsid w:val="0018147D"/>
    <w:rsid w:val="00181853"/>
    <w:rsid w:val="00181BAA"/>
    <w:rsid w:val="00181D2D"/>
    <w:rsid w:val="001820A4"/>
    <w:rsid w:val="0018210A"/>
    <w:rsid w:val="001828FD"/>
    <w:rsid w:val="00182DE0"/>
    <w:rsid w:val="00183249"/>
    <w:rsid w:val="00183627"/>
    <w:rsid w:val="00183787"/>
    <w:rsid w:val="0018386C"/>
    <w:rsid w:val="00184479"/>
    <w:rsid w:val="0018455F"/>
    <w:rsid w:val="0018457C"/>
    <w:rsid w:val="0018472C"/>
    <w:rsid w:val="00184792"/>
    <w:rsid w:val="0018480F"/>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96E"/>
    <w:rsid w:val="00191ED8"/>
    <w:rsid w:val="0019257C"/>
    <w:rsid w:val="001926F2"/>
    <w:rsid w:val="00192BB0"/>
    <w:rsid w:val="00192DF0"/>
    <w:rsid w:val="00192F32"/>
    <w:rsid w:val="00193408"/>
    <w:rsid w:val="00193B69"/>
    <w:rsid w:val="00193BCE"/>
    <w:rsid w:val="001945D2"/>
    <w:rsid w:val="00194B87"/>
    <w:rsid w:val="00194ED9"/>
    <w:rsid w:val="001950B0"/>
    <w:rsid w:val="0019569A"/>
    <w:rsid w:val="00195962"/>
    <w:rsid w:val="00195A92"/>
    <w:rsid w:val="001973E6"/>
    <w:rsid w:val="00197533"/>
    <w:rsid w:val="001977E7"/>
    <w:rsid w:val="00197CCA"/>
    <w:rsid w:val="001A04E6"/>
    <w:rsid w:val="001A0973"/>
    <w:rsid w:val="001A0D8A"/>
    <w:rsid w:val="001A192D"/>
    <w:rsid w:val="001A2310"/>
    <w:rsid w:val="001A2D06"/>
    <w:rsid w:val="001A31E5"/>
    <w:rsid w:val="001A3950"/>
    <w:rsid w:val="001A3DE0"/>
    <w:rsid w:val="001A4AD7"/>
    <w:rsid w:val="001A4B38"/>
    <w:rsid w:val="001A4B3B"/>
    <w:rsid w:val="001A5082"/>
    <w:rsid w:val="001A5212"/>
    <w:rsid w:val="001A5223"/>
    <w:rsid w:val="001A531C"/>
    <w:rsid w:val="001A5C13"/>
    <w:rsid w:val="001A61CB"/>
    <w:rsid w:val="001A662A"/>
    <w:rsid w:val="001A6A1C"/>
    <w:rsid w:val="001A6D86"/>
    <w:rsid w:val="001A7147"/>
    <w:rsid w:val="001A72A7"/>
    <w:rsid w:val="001A76CC"/>
    <w:rsid w:val="001A78E6"/>
    <w:rsid w:val="001A7C72"/>
    <w:rsid w:val="001B084B"/>
    <w:rsid w:val="001B0CEC"/>
    <w:rsid w:val="001B0DED"/>
    <w:rsid w:val="001B0FFC"/>
    <w:rsid w:val="001B104E"/>
    <w:rsid w:val="001B1623"/>
    <w:rsid w:val="001B1CF2"/>
    <w:rsid w:val="001B2494"/>
    <w:rsid w:val="001B2509"/>
    <w:rsid w:val="001B2B3F"/>
    <w:rsid w:val="001B329B"/>
    <w:rsid w:val="001B3824"/>
    <w:rsid w:val="001B3C2B"/>
    <w:rsid w:val="001B3ED9"/>
    <w:rsid w:val="001B4005"/>
    <w:rsid w:val="001B4388"/>
    <w:rsid w:val="001B463E"/>
    <w:rsid w:val="001B49E0"/>
    <w:rsid w:val="001B4D46"/>
    <w:rsid w:val="001B5302"/>
    <w:rsid w:val="001B5377"/>
    <w:rsid w:val="001B5864"/>
    <w:rsid w:val="001B5B79"/>
    <w:rsid w:val="001B5DC4"/>
    <w:rsid w:val="001B5DDA"/>
    <w:rsid w:val="001B5FBA"/>
    <w:rsid w:val="001B6553"/>
    <w:rsid w:val="001B6647"/>
    <w:rsid w:val="001B6A47"/>
    <w:rsid w:val="001B6B0A"/>
    <w:rsid w:val="001B6C3C"/>
    <w:rsid w:val="001C0089"/>
    <w:rsid w:val="001C0824"/>
    <w:rsid w:val="001C0901"/>
    <w:rsid w:val="001C0A15"/>
    <w:rsid w:val="001C0B83"/>
    <w:rsid w:val="001C1004"/>
    <w:rsid w:val="001C100B"/>
    <w:rsid w:val="001C1220"/>
    <w:rsid w:val="001C13CE"/>
    <w:rsid w:val="001C1510"/>
    <w:rsid w:val="001C17E2"/>
    <w:rsid w:val="001C1989"/>
    <w:rsid w:val="001C1ED2"/>
    <w:rsid w:val="001C2033"/>
    <w:rsid w:val="001C2066"/>
    <w:rsid w:val="001C28FD"/>
    <w:rsid w:val="001C309E"/>
    <w:rsid w:val="001C3163"/>
    <w:rsid w:val="001C3349"/>
    <w:rsid w:val="001C3E58"/>
    <w:rsid w:val="001C47FD"/>
    <w:rsid w:val="001C4ABA"/>
    <w:rsid w:val="001C509E"/>
    <w:rsid w:val="001C546B"/>
    <w:rsid w:val="001C553B"/>
    <w:rsid w:val="001C5EA2"/>
    <w:rsid w:val="001C6608"/>
    <w:rsid w:val="001C6680"/>
    <w:rsid w:val="001C6C7D"/>
    <w:rsid w:val="001C79E3"/>
    <w:rsid w:val="001C7A3E"/>
    <w:rsid w:val="001D01B3"/>
    <w:rsid w:val="001D0393"/>
    <w:rsid w:val="001D0BF6"/>
    <w:rsid w:val="001D1CB1"/>
    <w:rsid w:val="001D2232"/>
    <w:rsid w:val="001D260F"/>
    <w:rsid w:val="001D2AC0"/>
    <w:rsid w:val="001D2DBA"/>
    <w:rsid w:val="001D2FD0"/>
    <w:rsid w:val="001D3830"/>
    <w:rsid w:val="001D39B3"/>
    <w:rsid w:val="001D3A53"/>
    <w:rsid w:val="001D3BA6"/>
    <w:rsid w:val="001D4F43"/>
    <w:rsid w:val="001D4F79"/>
    <w:rsid w:val="001D4FEC"/>
    <w:rsid w:val="001D5294"/>
    <w:rsid w:val="001D5564"/>
    <w:rsid w:val="001D593A"/>
    <w:rsid w:val="001D5D62"/>
    <w:rsid w:val="001D67A2"/>
    <w:rsid w:val="001D6FAA"/>
    <w:rsid w:val="001D70FA"/>
    <w:rsid w:val="001D736D"/>
    <w:rsid w:val="001D7617"/>
    <w:rsid w:val="001D768C"/>
    <w:rsid w:val="001D787D"/>
    <w:rsid w:val="001D7BA9"/>
    <w:rsid w:val="001E00EF"/>
    <w:rsid w:val="001E039D"/>
    <w:rsid w:val="001E0CFC"/>
    <w:rsid w:val="001E1398"/>
    <w:rsid w:val="001E22E7"/>
    <w:rsid w:val="001E2714"/>
    <w:rsid w:val="001E385E"/>
    <w:rsid w:val="001E398C"/>
    <w:rsid w:val="001E4094"/>
    <w:rsid w:val="001E40BB"/>
    <w:rsid w:val="001E4456"/>
    <w:rsid w:val="001E480E"/>
    <w:rsid w:val="001E4DDC"/>
    <w:rsid w:val="001E58C0"/>
    <w:rsid w:val="001E5EAA"/>
    <w:rsid w:val="001E62BC"/>
    <w:rsid w:val="001E6BFD"/>
    <w:rsid w:val="001E73AA"/>
    <w:rsid w:val="001E7716"/>
    <w:rsid w:val="001E774F"/>
    <w:rsid w:val="001E78AC"/>
    <w:rsid w:val="001E7C1D"/>
    <w:rsid w:val="001E7F44"/>
    <w:rsid w:val="001E7F89"/>
    <w:rsid w:val="001F073F"/>
    <w:rsid w:val="001F07B8"/>
    <w:rsid w:val="001F19B5"/>
    <w:rsid w:val="001F1AD9"/>
    <w:rsid w:val="001F2AA2"/>
    <w:rsid w:val="001F2B2E"/>
    <w:rsid w:val="001F3009"/>
    <w:rsid w:val="001F3358"/>
    <w:rsid w:val="001F35CB"/>
    <w:rsid w:val="001F36A2"/>
    <w:rsid w:val="001F390F"/>
    <w:rsid w:val="001F3A8B"/>
    <w:rsid w:val="001F3AFB"/>
    <w:rsid w:val="001F550B"/>
    <w:rsid w:val="001F5CD1"/>
    <w:rsid w:val="001F5DEF"/>
    <w:rsid w:val="001F6810"/>
    <w:rsid w:val="001F7257"/>
    <w:rsid w:val="001F72CD"/>
    <w:rsid w:val="001F7739"/>
    <w:rsid w:val="001F7BB6"/>
    <w:rsid w:val="001F7BFA"/>
    <w:rsid w:val="0020011B"/>
    <w:rsid w:val="0020084A"/>
    <w:rsid w:val="0020084C"/>
    <w:rsid w:val="00200886"/>
    <w:rsid w:val="00200B57"/>
    <w:rsid w:val="00200F51"/>
    <w:rsid w:val="00201097"/>
    <w:rsid w:val="00201449"/>
    <w:rsid w:val="002014D7"/>
    <w:rsid w:val="0020187E"/>
    <w:rsid w:val="00201CF1"/>
    <w:rsid w:val="00201DC6"/>
    <w:rsid w:val="00201DE8"/>
    <w:rsid w:val="00201EB6"/>
    <w:rsid w:val="00202116"/>
    <w:rsid w:val="00202375"/>
    <w:rsid w:val="002024ED"/>
    <w:rsid w:val="002025EA"/>
    <w:rsid w:val="00202884"/>
    <w:rsid w:val="00202E44"/>
    <w:rsid w:val="00203556"/>
    <w:rsid w:val="002046CF"/>
    <w:rsid w:val="00204B13"/>
    <w:rsid w:val="00204D0F"/>
    <w:rsid w:val="00204DB6"/>
    <w:rsid w:val="002056ED"/>
    <w:rsid w:val="00205C3A"/>
    <w:rsid w:val="00207D61"/>
    <w:rsid w:val="00210B53"/>
    <w:rsid w:val="00211273"/>
    <w:rsid w:val="002114BA"/>
    <w:rsid w:val="00211548"/>
    <w:rsid w:val="00211698"/>
    <w:rsid w:val="00211793"/>
    <w:rsid w:val="002117BD"/>
    <w:rsid w:val="0021187E"/>
    <w:rsid w:val="002119B2"/>
    <w:rsid w:val="00211C11"/>
    <w:rsid w:val="00212345"/>
    <w:rsid w:val="002129DC"/>
    <w:rsid w:val="00213029"/>
    <w:rsid w:val="00213210"/>
    <w:rsid w:val="00213469"/>
    <w:rsid w:val="002138A2"/>
    <w:rsid w:val="00214069"/>
    <w:rsid w:val="002143C4"/>
    <w:rsid w:val="00214412"/>
    <w:rsid w:val="0021457C"/>
    <w:rsid w:val="00214809"/>
    <w:rsid w:val="00214902"/>
    <w:rsid w:val="002149A1"/>
    <w:rsid w:val="00214E7A"/>
    <w:rsid w:val="002152DA"/>
    <w:rsid w:val="00215769"/>
    <w:rsid w:val="00215785"/>
    <w:rsid w:val="002159DF"/>
    <w:rsid w:val="00215BFE"/>
    <w:rsid w:val="00215C44"/>
    <w:rsid w:val="00215E45"/>
    <w:rsid w:val="00216E73"/>
    <w:rsid w:val="0021774C"/>
    <w:rsid w:val="00217FF6"/>
    <w:rsid w:val="00220012"/>
    <w:rsid w:val="0022024E"/>
    <w:rsid w:val="00220B96"/>
    <w:rsid w:val="00220E0E"/>
    <w:rsid w:val="0022146C"/>
    <w:rsid w:val="002216B3"/>
    <w:rsid w:val="00221B2E"/>
    <w:rsid w:val="00221EBE"/>
    <w:rsid w:val="00222386"/>
    <w:rsid w:val="0022272B"/>
    <w:rsid w:val="002228A8"/>
    <w:rsid w:val="00222D42"/>
    <w:rsid w:val="00222F51"/>
    <w:rsid w:val="002230E1"/>
    <w:rsid w:val="00223361"/>
    <w:rsid w:val="00223443"/>
    <w:rsid w:val="00223516"/>
    <w:rsid w:val="00223A95"/>
    <w:rsid w:val="002244BA"/>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69"/>
    <w:rsid w:val="002308FA"/>
    <w:rsid w:val="00230C8C"/>
    <w:rsid w:val="0023132F"/>
    <w:rsid w:val="00231670"/>
    <w:rsid w:val="00231AA5"/>
    <w:rsid w:val="00232D9A"/>
    <w:rsid w:val="00232DD8"/>
    <w:rsid w:val="00232E05"/>
    <w:rsid w:val="00232F90"/>
    <w:rsid w:val="0023339B"/>
    <w:rsid w:val="0023366D"/>
    <w:rsid w:val="00233CD3"/>
    <w:rsid w:val="002342B4"/>
    <w:rsid w:val="0023469C"/>
    <w:rsid w:val="00234C4B"/>
    <w:rsid w:val="00234C71"/>
    <w:rsid w:val="00235511"/>
    <w:rsid w:val="00235E33"/>
    <w:rsid w:val="0023626A"/>
    <w:rsid w:val="00236402"/>
    <w:rsid w:val="002366E0"/>
    <w:rsid w:val="00236729"/>
    <w:rsid w:val="00236DE1"/>
    <w:rsid w:val="002372EE"/>
    <w:rsid w:val="002372FD"/>
    <w:rsid w:val="0023764D"/>
    <w:rsid w:val="00237834"/>
    <w:rsid w:val="002400D7"/>
    <w:rsid w:val="00240C8D"/>
    <w:rsid w:val="00240E49"/>
    <w:rsid w:val="002415BC"/>
    <w:rsid w:val="00241F37"/>
    <w:rsid w:val="002424B6"/>
    <w:rsid w:val="002427C6"/>
    <w:rsid w:val="00242918"/>
    <w:rsid w:val="0024298B"/>
    <w:rsid w:val="00242A7D"/>
    <w:rsid w:val="00242E2D"/>
    <w:rsid w:val="0024338E"/>
    <w:rsid w:val="002434B2"/>
    <w:rsid w:val="00243C65"/>
    <w:rsid w:val="0024418E"/>
    <w:rsid w:val="002442F4"/>
    <w:rsid w:val="002445C4"/>
    <w:rsid w:val="002445EA"/>
    <w:rsid w:val="00244B2A"/>
    <w:rsid w:val="00244ECE"/>
    <w:rsid w:val="00244FC5"/>
    <w:rsid w:val="0024503E"/>
    <w:rsid w:val="00245CC5"/>
    <w:rsid w:val="00245D1D"/>
    <w:rsid w:val="00246035"/>
    <w:rsid w:val="00246B5B"/>
    <w:rsid w:val="00247DD7"/>
    <w:rsid w:val="00247F32"/>
    <w:rsid w:val="00250229"/>
    <w:rsid w:val="00250340"/>
    <w:rsid w:val="00250AE6"/>
    <w:rsid w:val="00250EDA"/>
    <w:rsid w:val="00251108"/>
    <w:rsid w:val="00251356"/>
    <w:rsid w:val="00251502"/>
    <w:rsid w:val="002518E8"/>
    <w:rsid w:val="00251C10"/>
    <w:rsid w:val="002520B5"/>
    <w:rsid w:val="00252267"/>
    <w:rsid w:val="00252A85"/>
    <w:rsid w:val="00252E1E"/>
    <w:rsid w:val="00253080"/>
    <w:rsid w:val="00253451"/>
    <w:rsid w:val="00253587"/>
    <w:rsid w:val="002537D1"/>
    <w:rsid w:val="002538BA"/>
    <w:rsid w:val="00254192"/>
    <w:rsid w:val="0025469D"/>
    <w:rsid w:val="0025472F"/>
    <w:rsid w:val="002552B1"/>
    <w:rsid w:val="002557C3"/>
    <w:rsid w:val="0025580A"/>
    <w:rsid w:val="00255A10"/>
    <w:rsid w:val="00255D01"/>
    <w:rsid w:val="0025667C"/>
    <w:rsid w:val="00256AE9"/>
    <w:rsid w:val="00256E55"/>
    <w:rsid w:val="00257188"/>
    <w:rsid w:val="00257E0E"/>
    <w:rsid w:val="00257FF4"/>
    <w:rsid w:val="002607E2"/>
    <w:rsid w:val="00260BD2"/>
    <w:rsid w:val="00260FCB"/>
    <w:rsid w:val="002615F5"/>
    <w:rsid w:val="002616B9"/>
    <w:rsid w:val="0026217B"/>
    <w:rsid w:val="002629E4"/>
    <w:rsid w:val="00262B00"/>
    <w:rsid w:val="00262B78"/>
    <w:rsid w:val="00262D19"/>
    <w:rsid w:val="00263325"/>
    <w:rsid w:val="002633B1"/>
    <w:rsid w:val="002636CE"/>
    <w:rsid w:val="002637AA"/>
    <w:rsid w:val="00263FE3"/>
    <w:rsid w:val="00264089"/>
    <w:rsid w:val="0026484B"/>
    <w:rsid w:val="00264B86"/>
    <w:rsid w:val="00265417"/>
    <w:rsid w:val="002654F6"/>
    <w:rsid w:val="00265593"/>
    <w:rsid w:val="00265A04"/>
    <w:rsid w:val="00265AB7"/>
    <w:rsid w:val="00266271"/>
    <w:rsid w:val="00266CDD"/>
    <w:rsid w:val="002675EA"/>
    <w:rsid w:val="00267BC5"/>
    <w:rsid w:val="00267C38"/>
    <w:rsid w:val="00267CBE"/>
    <w:rsid w:val="00267E0B"/>
    <w:rsid w:val="0027008A"/>
    <w:rsid w:val="002705CC"/>
    <w:rsid w:val="00270680"/>
    <w:rsid w:val="00271103"/>
    <w:rsid w:val="00271AA3"/>
    <w:rsid w:val="002721FA"/>
    <w:rsid w:val="0027230C"/>
    <w:rsid w:val="00272B99"/>
    <w:rsid w:val="0027300F"/>
    <w:rsid w:val="002732E0"/>
    <w:rsid w:val="0027333D"/>
    <w:rsid w:val="00273485"/>
    <w:rsid w:val="0027380D"/>
    <w:rsid w:val="002738AC"/>
    <w:rsid w:val="00273974"/>
    <w:rsid w:val="00273BE6"/>
    <w:rsid w:val="00274097"/>
    <w:rsid w:val="002740C8"/>
    <w:rsid w:val="0027468E"/>
    <w:rsid w:val="00274826"/>
    <w:rsid w:val="00274E43"/>
    <w:rsid w:val="00275005"/>
    <w:rsid w:val="002752AB"/>
    <w:rsid w:val="002756D6"/>
    <w:rsid w:val="0027573C"/>
    <w:rsid w:val="00275805"/>
    <w:rsid w:val="00276B5A"/>
    <w:rsid w:val="00277860"/>
    <w:rsid w:val="00277905"/>
    <w:rsid w:val="00277DFF"/>
    <w:rsid w:val="00277F1D"/>
    <w:rsid w:val="0028148A"/>
    <w:rsid w:val="002814A7"/>
    <w:rsid w:val="002815D0"/>
    <w:rsid w:val="002820A7"/>
    <w:rsid w:val="002827B0"/>
    <w:rsid w:val="002836A6"/>
    <w:rsid w:val="00283B82"/>
    <w:rsid w:val="00283E13"/>
    <w:rsid w:val="00283F3B"/>
    <w:rsid w:val="00284763"/>
    <w:rsid w:val="00284A2D"/>
    <w:rsid w:val="0028532A"/>
    <w:rsid w:val="00286478"/>
    <w:rsid w:val="002866A8"/>
    <w:rsid w:val="00286A8E"/>
    <w:rsid w:val="00286B53"/>
    <w:rsid w:val="00287222"/>
    <w:rsid w:val="0028727C"/>
    <w:rsid w:val="00287EDD"/>
    <w:rsid w:val="00290A94"/>
    <w:rsid w:val="0029141B"/>
    <w:rsid w:val="00291F6D"/>
    <w:rsid w:val="0029202F"/>
    <w:rsid w:val="002927D3"/>
    <w:rsid w:val="00292EC8"/>
    <w:rsid w:val="002938AD"/>
    <w:rsid w:val="00293DC7"/>
    <w:rsid w:val="00294BDE"/>
    <w:rsid w:val="00294EA6"/>
    <w:rsid w:val="00295DB6"/>
    <w:rsid w:val="002965C0"/>
    <w:rsid w:val="00296E1A"/>
    <w:rsid w:val="00296E3F"/>
    <w:rsid w:val="0029788B"/>
    <w:rsid w:val="00297D1B"/>
    <w:rsid w:val="00297F4D"/>
    <w:rsid w:val="002A0226"/>
    <w:rsid w:val="002A0290"/>
    <w:rsid w:val="002A0661"/>
    <w:rsid w:val="002A0B7F"/>
    <w:rsid w:val="002A1CF2"/>
    <w:rsid w:val="002A1F59"/>
    <w:rsid w:val="002A2018"/>
    <w:rsid w:val="002A2044"/>
    <w:rsid w:val="002A2ED0"/>
    <w:rsid w:val="002A329F"/>
    <w:rsid w:val="002A33D9"/>
    <w:rsid w:val="002A3474"/>
    <w:rsid w:val="002A35BF"/>
    <w:rsid w:val="002A3A84"/>
    <w:rsid w:val="002A3BBF"/>
    <w:rsid w:val="002A3CEC"/>
    <w:rsid w:val="002A4223"/>
    <w:rsid w:val="002A4AA8"/>
    <w:rsid w:val="002A4C3E"/>
    <w:rsid w:val="002A56BC"/>
    <w:rsid w:val="002A5C53"/>
    <w:rsid w:val="002A6156"/>
    <w:rsid w:val="002A6AD6"/>
    <w:rsid w:val="002A72CC"/>
    <w:rsid w:val="002A76AB"/>
    <w:rsid w:val="002A79C7"/>
    <w:rsid w:val="002A7A4F"/>
    <w:rsid w:val="002A7AFE"/>
    <w:rsid w:val="002B011D"/>
    <w:rsid w:val="002B01DB"/>
    <w:rsid w:val="002B0464"/>
    <w:rsid w:val="002B05EB"/>
    <w:rsid w:val="002B09C0"/>
    <w:rsid w:val="002B100F"/>
    <w:rsid w:val="002B107A"/>
    <w:rsid w:val="002B125E"/>
    <w:rsid w:val="002B13B3"/>
    <w:rsid w:val="002B183D"/>
    <w:rsid w:val="002B1A70"/>
    <w:rsid w:val="002B1B11"/>
    <w:rsid w:val="002B1DBF"/>
    <w:rsid w:val="002B1DC8"/>
    <w:rsid w:val="002B1DD8"/>
    <w:rsid w:val="002B207F"/>
    <w:rsid w:val="002B24E0"/>
    <w:rsid w:val="002B2A48"/>
    <w:rsid w:val="002B2BEE"/>
    <w:rsid w:val="002B30FC"/>
    <w:rsid w:val="002B31AD"/>
    <w:rsid w:val="002B3471"/>
    <w:rsid w:val="002B3EA7"/>
    <w:rsid w:val="002B465E"/>
    <w:rsid w:val="002B4ABD"/>
    <w:rsid w:val="002B4ACB"/>
    <w:rsid w:val="002B4BAE"/>
    <w:rsid w:val="002B4F67"/>
    <w:rsid w:val="002B50A2"/>
    <w:rsid w:val="002B538B"/>
    <w:rsid w:val="002B5520"/>
    <w:rsid w:val="002B578A"/>
    <w:rsid w:val="002B581B"/>
    <w:rsid w:val="002B6176"/>
    <w:rsid w:val="002B6732"/>
    <w:rsid w:val="002B6C7C"/>
    <w:rsid w:val="002B7D9C"/>
    <w:rsid w:val="002B7E7E"/>
    <w:rsid w:val="002C00C2"/>
    <w:rsid w:val="002C019F"/>
    <w:rsid w:val="002C0745"/>
    <w:rsid w:val="002C1543"/>
    <w:rsid w:val="002C196B"/>
    <w:rsid w:val="002C1A02"/>
    <w:rsid w:val="002C1EF3"/>
    <w:rsid w:val="002C2240"/>
    <w:rsid w:val="002C2448"/>
    <w:rsid w:val="002C2892"/>
    <w:rsid w:val="002C2E22"/>
    <w:rsid w:val="002C4037"/>
    <w:rsid w:val="002C43D0"/>
    <w:rsid w:val="002C4992"/>
    <w:rsid w:val="002C5081"/>
    <w:rsid w:val="002C54AB"/>
    <w:rsid w:val="002C58AB"/>
    <w:rsid w:val="002C5A6E"/>
    <w:rsid w:val="002C64F1"/>
    <w:rsid w:val="002C652C"/>
    <w:rsid w:val="002C6B15"/>
    <w:rsid w:val="002C6D84"/>
    <w:rsid w:val="002C6EE1"/>
    <w:rsid w:val="002C7D21"/>
    <w:rsid w:val="002C7D8E"/>
    <w:rsid w:val="002D10B2"/>
    <w:rsid w:val="002D1564"/>
    <w:rsid w:val="002D190C"/>
    <w:rsid w:val="002D1B9B"/>
    <w:rsid w:val="002D1CA4"/>
    <w:rsid w:val="002D1CFA"/>
    <w:rsid w:val="002D1FF8"/>
    <w:rsid w:val="002D29FD"/>
    <w:rsid w:val="002D2C09"/>
    <w:rsid w:val="002D2C45"/>
    <w:rsid w:val="002D2D40"/>
    <w:rsid w:val="002D3461"/>
    <w:rsid w:val="002D4324"/>
    <w:rsid w:val="002D4366"/>
    <w:rsid w:val="002D4969"/>
    <w:rsid w:val="002D4EE1"/>
    <w:rsid w:val="002D4F01"/>
    <w:rsid w:val="002D4F49"/>
    <w:rsid w:val="002D58AB"/>
    <w:rsid w:val="002D608B"/>
    <w:rsid w:val="002D69B7"/>
    <w:rsid w:val="002D778E"/>
    <w:rsid w:val="002D7AFC"/>
    <w:rsid w:val="002D7EC3"/>
    <w:rsid w:val="002D7F3D"/>
    <w:rsid w:val="002E0161"/>
    <w:rsid w:val="002E04D7"/>
    <w:rsid w:val="002E06DD"/>
    <w:rsid w:val="002E0AFE"/>
    <w:rsid w:val="002E0F5B"/>
    <w:rsid w:val="002E13BE"/>
    <w:rsid w:val="002E171A"/>
    <w:rsid w:val="002E17EF"/>
    <w:rsid w:val="002E194A"/>
    <w:rsid w:val="002E1D62"/>
    <w:rsid w:val="002E1E81"/>
    <w:rsid w:val="002E1EA1"/>
    <w:rsid w:val="002E2A24"/>
    <w:rsid w:val="002E2B38"/>
    <w:rsid w:val="002E2B44"/>
    <w:rsid w:val="002E2D2C"/>
    <w:rsid w:val="002E3D66"/>
    <w:rsid w:val="002E3F11"/>
    <w:rsid w:val="002E4B11"/>
    <w:rsid w:val="002E4F70"/>
    <w:rsid w:val="002E5042"/>
    <w:rsid w:val="002E57CE"/>
    <w:rsid w:val="002E5886"/>
    <w:rsid w:val="002E5AD3"/>
    <w:rsid w:val="002E635D"/>
    <w:rsid w:val="002E645A"/>
    <w:rsid w:val="002E7562"/>
    <w:rsid w:val="002E7AE1"/>
    <w:rsid w:val="002E7F8A"/>
    <w:rsid w:val="002F071F"/>
    <w:rsid w:val="002F16D5"/>
    <w:rsid w:val="002F17FF"/>
    <w:rsid w:val="002F1A24"/>
    <w:rsid w:val="002F1A90"/>
    <w:rsid w:val="002F1C2F"/>
    <w:rsid w:val="002F2151"/>
    <w:rsid w:val="002F254B"/>
    <w:rsid w:val="002F297E"/>
    <w:rsid w:val="002F347F"/>
    <w:rsid w:val="002F3D1C"/>
    <w:rsid w:val="002F4EA1"/>
    <w:rsid w:val="002F52DE"/>
    <w:rsid w:val="002F55C1"/>
    <w:rsid w:val="002F5715"/>
    <w:rsid w:val="002F5E1A"/>
    <w:rsid w:val="002F64DE"/>
    <w:rsid w:val="002F797A"/>
    <w:rsid w:val="002F7C2A"/>
    <w:rsid w:val="002F7D9C"/>
    <w:rsid w:val="00300483"/>
    <w:rsid w:val="0030107C"/>
    <w:rsid w:val="003012BB"/>
    <w:rsid w:val="0030133B"/>
    <w:rsid w:val="00301B1D"/>
    <w:rsid w:val="00301C91"/>
    <w:rsid w:val="00301EE7"/>
    <w:rsid w:val="003026F0"/>
    <w:rsid w:val="00302E83"/>
    <w:rsid w:val="003033B5"/>
    <w:rsid w:val="00303F2B"/>
    <w:rsid w:val="00303FE0"/>
    <w:rsid w:val="003042C9"/>
    <w:rsid w:val="00304607"/>
    <w:rsid w:val="0030467A"/>
    <w:rsid w:val="00304D4E"/>
    <w:rsid w:val="00304D61"/>
    <w:rsid w:val="00304EF8"/>
    <w:rsid w:val="00304FFD"/>
    <w:rsid w:val="00305069"/>
    <w:rsid w:val="00305608"/>
    <w:rsid w:val="00305B72"/>
    <w:rsid w:val="00305C41"/>
    <w:rsid w:val="0030610A"/>
    <w:rsid w:val="00306627"/>
    <w:rsid w:val="0030675F"/>
    <w:rsid w:val="003069DD"/>
    <w:rsid w:val="00306CAB"/>
    <w:rsid w:val="0030777A"/>
    <w:rsid w:val="00307C25"/>
    <w:rsid w:val="00310DB4"/>
    <w:rsid w:val="00310E75"/>
    <w:rsid w:val="003110A8"/>
    <w:rsid w:val="00311100"/>
    <w:rsid w:val="003111F4"/>
    <w:rsid w:val="0031146F"/>
    <w:rsid w:val="0031150D"/>
    <w:rsid w:val="00311747"/>
    <w:rsid w:val="00311795"/>
    <w:rsid w:val="003117B1"/>
    <w:rsid w:val="00311B70"/>
    <w:rsid w:val="00311CBE"/>
    <w:rsid w:val="00312280"/>
    <w:rsid w:val="0031237C"/>
    <w:rsid w:val="00312766"/>
    <w:rsid w:val="00312CD0"/>
    <w:rsid w:val="00312F94"/>
    <w:rsid w:val="003130B8"/>
    <w:rsid w:val="00313F60"/>
    <w:rsid w:val="00313F6A"/>
    <w:rsid w:val="0031449F"/>
    <w:rsid w:val="003145A5"/>
    <w:rsid w:val="003148B9"/>
    <w:rsid w:val="00314A2E"/>
    <w:rsid w:val="00314B4E"/>
    <w:rsid w:val="00315223"/>
    <w:rsid w:val="00315246"/>
    <w:rsid w:val="00315266"/>
    <w:rsid w:val="00315580"/>
    <w:rsid w:val="00315763"/>
    <w:rsid w:val="003160A9"/>
    <w:rsid w:val="0031682B"/>
    <w:rsid w:val="0031693B"/>
    <w:rsid w:val="003169CE"/>
    <w:rsid w:val="00316F0A"/>
    <w:rsid w:val="00316F8A"/>
    <w:rsid w:val="003178A5"/>
    <w:rsid w:val="00317DC7"/>
    <w:rsid w:val="003200F9"/>
    <w:rsid w:val="003202E0"/>
    <w:rsid w:val="00320CEB"/>
    <w:rsid w:val="00320F38"/>
    <w:rsid w:val="00321183"/>
    <w:rsid w:val="00321694"/>
    <w:rsid w:val="003217DE"/>
    <w:rsid w:val="00321F0A"/>
    <w:rsid w:val="0032216D"/>
    <w:rsid w:val="003223CE"/>
    <w:rsid w:val="0032255A"/>
    <w:rsid w:val="00322A2D"/>
    <w:rsid w:val="00322C61"/>
    <w:rsid w:val="00322E80"/>
    <w:rsid w:val="00323002"/>
    <w:rsid w:val="00323DF7"/>
    <w:rsid w:val="00324D5B"/>
    <w:rsid w:val="00325045"/>
    <w:rsid w:val="0032580D"/>
    <w:rsid w:val="00325AF2"/>
    <w:rsid w:val="00325D91"/>
    <w:rsid w:val="00325E20"/>
    <w:rsid w:val="00326349"/>
    <w:rsid w:val="003267B4"/>
    <w:rsid w:val="00326F51"/>
    <w:rsid w:val="003278EC"/>
    <w:rsid w:val="00327A31"/>
    <w:rsid w:val="00327EF6"/>
    <w:rsid w:val="0033015C"/>
    <w:rsid w:val="003303B7"/>
    <w:rsid w:val="00330931"/>
    <w:rsid w:val="00331193"/>
    <w:rsid w:val="00331F2E"/>
    <w:rsid w:val="00333172"/>
    <w:rsid w:val="003333D4"/>
    <w:rsid w:val="00333A95"/>
    <w:rsid w:val="00333EFE"/>
    <w:rsid w:val="0033421D"/>
    <w:rsid w:val="00334317"/>
    <w:rsid w:val="00334951"/>
    <w:rsid w:val="0033537E"/>
    <w:rsid w:val="003356D6"/>
    <w:rsid w:val="003357E7"/>
    <w:rsid w:val="00336115"/>
    <w:rsid w:val="0033621D"/>
    <w:rsid w:val="003362A9"/>
    <w:rsid w:val="003363E9"/>
    <w:rsid w:val="00336411"/>
    <w:rsid w:val="00336687"/>
    <w:rsid w:val="00336694"/>
    <w:rsid w:val="0033678D"/>
    <w:rsid w:val="00336813"/>
    <w:rsid w:val="00336DCF"/>
    <w:rsid w:val="003370BD"/>
    <w:rsid w:val="0033720D"/>
    <w:rsid w:val="003373E8"/>
    <w:rsid w:val="00337823"/>
    <w:rsid w:val="00337A7B"/>
    <w:rsid w:val="00337B08"/>
    <w:rsid w:val="00340558"/>
    <w:rsid w:val="00341A21"/>
    <w:rsid w:val="00342C07"/>
    <w:rsid w:val="003437BC"/>
    <w:rsid w:val="00343C71"/>
    <w:rsid w:val="00344138"/>
    <w:rsid w:val="00344147"/>
    <w:rsid w:val="0034430D"/>
    <w:rsid w:val="003443DD"/>
    <w:rsid w:val="0034486D"/>
    <w:rsid w:val="00344CE5"/>
    <w:rsid w:val="00344D5A"/>
    <w:rsid w:val="00344E9B"/>
    <w:rsid w:val="00345D63"/>
    <w:rsid w:val="00345F7F"/>
    <w:rsid w:val="003460DF"/>
    <w:rsid w:val="003463D4"/>
    <w:rsid w:val="0034691F"/>
    <w:rsid w:val="00346E9C"/>
    <w:rsid w:val="00346EB6"/>
    <w:rsid w:val="00347874"/>
    <w:rsid w:val="00347EDB"/>
    <w:rsid w:val="00350529"/>
    <w:rsid w:val="00350797"/>
    <w:rsid w:val="00351A85"/>
    <w:rsid w:val="00351F9D"/>
    <w:rsid w:val="003522E8"/>
    <w:rsid w:val="003522FA"/>
    <w:rsid w:val="003523AF"/>
    <w:rsid w:val="0035298C"/>
    <w:rsid w:val="003530F2"/>
    <w:rsid w:val="0035370E"/>
    <w:rsid w:val="00353989"/>
    <w:rsid w:val="003539A7"/>
    <w:rsid w:val="00353E06"/>
    <w:rsid w:val="00354E3F"/>
    <w:rsid w:val="003556CC"/>
    <w:rsid w:val="00355B7A"/>
    <w:rsid w:val="0035617C"/>
    <w:rsid w:val="00356E7E"/>
    <w:rsid w:val="00356EB8"/>
    <w:rsid w:val="00356F8F"/>
    <w:rsid w:val="00357236"/>
    <w:rsid w:val="003573A6"/>
    <w:rsid w:val="00357791"/>
    <w:rsid w:val="00357B83"/>
    <w:rsid w:val="00360152"/>
    <w:rsid w:val="00360216"/>
    <w:rsid w:val="0036139F"/>
    <w:rsid w:val="003614A6"/>
    <w:rsid w:val="003614A8"/>
    <w:rsid w:val="0036160E"/>
    <w:rsid w:val="00361665"/>
    <w:rsid w:val="003616B3"/>
    <w:rsid w:val="00361767"/>
    <w:rsid w:val="00361883"/>
    <w:rsid w:val="00361A4C"/>
    <w:rsid w:val="00361DCA"/>
    <w:rsid w:val="00361FDD"/>
    <w:rsid w:val="00362262"/>
    <w:rsid w:val="00362610"/>
    <w:rsid w:val="003629AD"/>
    <w:rsid w:val="00362B6E"/>
    <w:rsid w:val="003630EA"/>
    <w:rsid w:val="0036324C"/>
    <w:rsid w:val="00363830"/>
    <w:rsid w:val="00363D2D"/>
    <w:rsid w:val="00363F6A"/>
    <w:rsid w:val="0036430C"/>
    <w:rsid w:val="00364838"/>
    <w:rsid w:val="003649AD"/>
    <w:rsid w:val="00364BB6"/>
    <w:rsid w:val="00364CBA"/>
    <w:rsid w:val="00364D6B"/>
    <w:rsid w:val="003651DA"/>
    <w:rsid w:val="00365408"/>
    <w:rsid w:val="003659CC"/>
    <w:rsid w:val="00365CC0"/>
    <w:rsid w:val="003666BE"/>
    <w:rsid w:val="003668DF"/>
    <w:rsid w:val="00366D05"/>
    <w:rsid w:val="0036735D"/>
    <w:rsid w:val="003675DD"/>
    <w:rsid w:val="00367688"/>
    <w:rsid w:val="003679DE"/>
    <w:rsid w:val="003703FB"/>
    <w:rsid w:val="00371B54"/>
    <w:rsid w:val="00372221"/>
    <w:rsid w:val="003729E8"/>
    <w:rsid w:val="00372CF2"/>
    <w:rsid w:val="00373368"/>
    <w:rsid w:val="00373A53"/>
    <w:rsid w:val="00374726"/>
    <w:rsid w:val="003749F1"/>
    <w:rsid w:val="00374ADE"/>
    <w:rsid w:val="00374C7E"/>
    <w:rsid w:val="00374F80"/>
    <w:rsid w:val="003761C7"/>
    <w:rsid w:val="003761FE"/>
    <w:rsid w:val="0037639F"/>
    <w:rsid w:val="00377353"/>
    <w:rsid w:val="0037736B"/>
    <w:rsid w:val="0037798B"/>
    <w:rsid w:val="00377B8B"/>
    <w:rsid w:val="003803C5"/>
    <w:rsid w:val="003809F9"/>
    <w:rsid w:val="00381BDA"/>
    <w:rsid w:val="00381F57"/>
    <w:rsid w:val="0038216E"/>
    <w:rsid w:val="003822E5"/>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7F14"/>
    <w:rsid w:val="003903CE"/>
    <w:rsid w:val="003905A1"/>
    <w:rsid w:val="00391041"/>
    <w:rsid w:val="00391368"/>
    <w:rsid w:val="00391EF8"/>
    <w:rsid w:val="003921AE"/>
    <w:rsid w:val="00392447"/>
    <w:rsid w:val="00392FBD"/>
    <w:rsid w:val="00393B5B"/>
    <w:rsid w:val="00393BC8"/>
    <w:rsid w:val="00394EAB"/>
    <w:rsid w:val="00394FAD"/>
    <w:rsid w:val="00397458"/>
    <w:rsid w:val="003974B5"/>
    <w:rsid w:val="00397982"/>
    <w:rsid w:val="00397A96"/>
    <w:rsid w:val="003A0263"/>
    <w:rsid w:val="003A02EE"/>
    <w:rsid w:val="003A04A5"/>
    <w:rsid w:val="003A0546"/>
    <w:rsid w:val="003A09C4"/>
    <w:rsid w:val="003A157A"/>
    <w:rsid w:val="003A18CC"/>
    <w:rsid w:val="003A2634"/>
    <w:rsid w:val="003A283F"/>
    <w:rsid w:val="003A2A16"/>
    <w:rsid w:val="003A2B4C"/>
    <w:rsid w:val="003A2FDD"/>
    <w:rsid w:val="003A38FE"/>
    <w:rsid w:val="003A3AFD"/>
    <w:rsid w:val="003A3C43"/>
    <w:rsid w:val="003A422B"/>
    <w:rsid w:val="003A4285"/>
    <w:rsid w:val="003A59AD"/>
    <w:rsid w:val="003A5ABE"/>
    <w:rsid w:val="003A5CCC"/>
    <w:rsid w:val="003A5E66"/>
    <w:rsid w:val="003A6B7F"/>
    <w:rsid w:val="003A6F92"/>
    <w:rsid w:val="003A70FF"/>
    <w:rsid w:val="003A74D2"/>
    <w:rsid w:val="003A756B"/>
    <w:rsid w:val="003A764B"/>
    <w:rsid w:val="003A7902"/>
    <w:rsid w:val="003A7BD4"/>
    <w:rsid w:val="003B083F"/>
    <w:rsid w:val="003B119F"/>
    <w:rsid w:val="003B136A"/>
    <w:rsid w:val="003B14EA"/>
    <w:rsid w:val="003B1679"/>
    <w:rsid w:val="003B23D7"/>
    <w:rsid w:val="003B252C"/>
    <w:rsid w:val="003B312D"/>
    <w:rsid w:val="003B34CB"/>
    <w:rsid w:val="003B38F9"/>
    <w:rsid w:val="003B3AB4"/>
    <w:rsid w:val="003B3AFF"/>
    <w:rsid w:val="003B3CA8"/>
    <w:rsid w:val="003B42A6"/>
    <w:rsid w:val="003B45D5"/>
    <w:rsid w:val="003B494E"/>
    <w:rsid w:val="003B5124"/>
    <w:rsid w:val="003B52FE"/>
    <w:rsid w:val="003B55EE"/>
    <w:rsid w:val="003B572A"/>
    <w:rsid w:val="003B5779"/>
    <w:rsid w:val="003B5A50"/>
    <w:rsid w:val="003B5E1A"/>
    <w:rsid w:val="003B60D7"/>
    <w:rsid w:val="003B6325"/>
    <w:rsid w:val="003B64A5"/>
    <w:rsid w:val="003B67A1"/>
    <w:rsid w:val="003B69D3"/>
    <w:rsid w:val="003B70A3"/>
    <w:rsid w:val="003B71E0"/>
    <w:rsid w:val="003B7509"/>
    <w:rsid w:val="003B7861"/>
    <w:rsid w:val="003B78A4"/>
    <w:rsid w:val="003C063B"/>
    <w:rsid w:val="003C1393"/>
    <w:rsid w:val="003C144E"/>
    <w:rsid w:val="003C149C"/>
    <w:rsid w:val="003C17E2"/>
    <w:rsid w:val="003C1A07"/>
    <w:rsid w:val="003C1E74"/>
    <w:rsid w:val="003C20A2"/>
    <w:rsid w:val="003C2673"/>
    <w:rsid w:val="003C27A2"/>
    <w:rsid w:val="003C2BDF"/>
    <w:rsid w:val="003C2FA1"/>
    <w:rsid w:val="003C52B7"/>
    <w:rsid w:val="003C5320"/>
    <w:rsid w:val="003C567C"/>
    <w:rsid w:val="003C58D3"/>
    <w:rsid w:val="003C59B8"/>
    <w:rsid w:val="003C5DB1"/>
    <w:rsid w:val="003C6506"/>
    <w:rsid w:val="003C6809"/>
    <w:rsid w:val="003C6904"/>
    <w:rsid w:val="003C6B00"/>
    <w:rsid w:val="003C75F3"/>
    <w:rsid w:val="003C7897"/>
    <w:rsid w:val="003C79C8"/>
    <w:rsid w:val="003D0937"/>
    <w:rsid w:val="003D0BF1"/>
    <w:rsid w:val="003D0C92"/>
    <w:rsid w:val="003D16AB"/>
    <w:rsid w:val="003D17E6"/>
    <w:rsid w:val="003D1A20"/>
    <w:rsid w:val="003D1AC9"/>
    <w:rsid w:val="003D280C"/>
    <w:rsid w:val="003D2AC9"/>
    <w:rsid w:val="003D2CD8"/>
    <w:rsid w:val="003D34DE"/>
    <w:rsid w:val="003D3724"/>
    <w:rsid w:val="003D4035"/>
    <w:rsid w:val="003D42AB"/>
    <w:rsid w:val="003D46A7"/>
    <w:rsid w:val="003D4B4C"/>
    <w:rsid w:val="003D5DB8"/>
    <w:rsid w:val="003D62CF"/>
    <w:rsid w:val="003D6376"/>
    <w:rsid w:val="003D67CE"/>
    <w:rsid w:val="003D70BE"/>
    <w:rsid w:val="003D7168"/>
    <w:rsid w:val="003D76CC"/>
    <w:rsid w:val="003D7B6E"/>
    <w:rsid w:val="003E0258"/>
    <w:rsid w:val="003E05EE"/>
    <w:rsid w:val="003E0C75"/>
    <w:rsid w:val="003E1235"/>
    <w:rsid w:val="003E16BC"/>
    <w:rsid w:val="003E2493"/>
    <w:rsid w:val="003E275B"/>
    <w:rsid w:val="003E2A35"/>
    <w:rsid w:val="003E2B56"/>
    <w:rsid w:val="003E2CE1"/>
    <w:rsid w:val="003E2DCB"/>
    <w:rsid w:val="003E30E6"/>
    <w:rsid w:val="003E389A"/>
    <w:rsid w:val="003E40BF"/>
    <w:rsid w:val="003E4C3F"/>
    <w:rsid w:val="003E4D7C"/>
    <w:rsid w:val="003E4F12"/>
    <w:rsid w:val="003E5CFD"/>
    <w:rsid w:val="003E5FA8"/>
    <w:rsid w:val="003E6060"/>
    <w:rsid w:val="003E6252"/>
    <w:rsid w:val="003E626A"/>
    <w:rsid w:val="003E6669"/>
    <w:rsid w:val="003E6B6A"/>
    <w:rsid w:val="003E6B81"/>
    <w:rsid w:val="003E7DDB"/>
    <w:rsid w:val="003F0478"/>
    <w:rsid w:val="003F06EA"/>
    <w:rsid w:val="003F0B2C"/>
    <w:rsid w:val="003F1200"/>
    <w:rsid w:val="003F1421"/>
    <w:rsid w:val="003F1844"/>
    <w:rsid w:val="003F1E21"/>
    <w:rsid w:val="003F241E"/>
    <w:rsid w:val="003F28C0"/>
    <w:rsid w:val="003F363B"/>
    <w:rsid w:val="003F3B45"/>
    <w:rsid w:val="003F3EE6"/>
    <w:rsid w:val="003F500C"/>
    <w:rsid w:val="003F52B2"/>
    <w:rsid w:val="003F656E"/>
    <w:rsid w:val="003F65EF"/>
    <w:rsid w:val="003F6748"/>
    <w:rsid w:val="003F716E"/>
    <w:rsid w:val="003F733C"/>
    <w:rsid w:val="003F7634"/>
    <w:rsid w:val="003F775D"/>
    <w:rsid w:val="003F7A7E"/>
    <w:rsid w:val="003F7DB7"/>
    <w:rsid w:val="00400061"/>
    <w:rsid w:val="0040068A"/>
    <w:rsid w:val="00400755"/>
    <w:rsid w:val="00400813"/>
    <w:rsid w:val="00400E17"/>
    <w:rsid w:val="00400F9D"/>
    <w:rsid w:val="004010D5"/>
    <w:rsid w:val="004013AD"/>
    <w:rsid w:val="004013C9"/>
    <w:rsid w:val="00402215"/>
    <w:rsid w:val="004022AA"/>
    <w:rsid w:val="00402B69"/>
    <w:rsid w:val="00402C35"/>
    <w:rsid w:val="00402D97"/>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5A3"/>
    <w:rsid w:val="00407973"/>
    <w:rsid w:val="00410182"/>
    <w:rsid w:val="00410C48"/>
    <w:rsid w:val="0041109D"/>
    <w:rsid w:val="00411638"/>
    <w:rsid w:val="004118C7"/>
    <w:rsid w:val="00412B3F"/>
    <w:rsid w:val="0041310F"/>
    <w:rsid w:val="004132FD"/>
    <w:rsid w:val="00414066"/>
    <w:rsid w:val="00415294"/>
    <w:rsid w:val="004155A0"/>
    <w:rsid w:val="004155EF"/>
    <w:rsid w:val="00415ADC"/>
    <w:rsid w:val="00415D75"/>
    <w:rsid w:val="00416277"/>
    <w:rsid w:val="00416621"/>
    <w:rsid w:val="0041691B"/>
    <w:rsid w:val="00416B1D"/>
    <w:rsid w:val="00416E24"/>
    <w:rsid w:val="0041754D"/>
    <w:rsid w:val="00417DCA"/>
    <w:rsid w:val="0042009F"/>
    <w:rsid w:val="0042015A"/>
    <w:rsid w:val="0042063D"/>
    <w:rsid w:val="00420841"/>
    <w:rsid w:val="004214A7"/>
    <w:rsid w:val="00421706"/>
    <w:rsid w:val="004219BD"/>
    <w:rsid w:val="00421CBF"/>
    <w:rsid w:val="00422387"/>
    <w:rsid w:val="00422B23"/>
    <w:rsid w:val="004233B9"/>
    <w:rsid w:val="00423A60"/>
    <w:rsid w:val="00423C47"/>
    <w:rsid w:val="00423E03"/>
    <w:rsid w:val="0042574E"/>
    <w:rsid w:val="004262F1"/>
    <w:rsid w:val="0042651C"/>
    <w:rsid w:val="00426703"/>
    <w:rsid w:val="00426C32"/>
    <w:rsid w:val="00426E9B"/>
    <w:rsid w:val="00427149"/>
    <w:rsid w:val="004271DE"/>
    <w:rsid w:val="00427A75"/>
    <w:rsid w:val="00427ABC"/>
    <w:rsid w:val="00427D55"/>
    <w:rsid w:val="00430429"/>
    <w:rsid w:val="0043083F"/>
    <w:rsid w:val="00430A76"/>
    <w:rsid w:val="00431DB2"/>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626B"/>
    <w:rsid w:val="0043649F"/>
    <w:rsid w:val="00437129"/>
    <w:rsid w:val="0043718A"/>
    <w:rsid w:val="004373E1"/>
    <w:rsid w:val="004374A3"/>
    <w:rsid w:val="00437A7E"/>
    <w:rsid w:val="00437B6C"/>
    <w:rsid w:val="00437EEB"/>
    <w:rsid w:val="00440144"/>
    <w:rsid w:val="0044064E"/>
    <w:rsid w:val="00440805"/>
    <w:rsid w:val="004412E1"/>
    <w:rsid w:val="00441554"/>
    <w:rsid w:val="00441CD7"/>
    <w:rsid w:val="004421DA"/>
    <w:rsid w:val="00442E48"/>
    <w:rsid w:val="0044388E"/>
    <w:rsid w:val="00443DCD"/>
    <w:rsid w:val="00443E7E"/>
    <w:rsid w:val="004445CC"/>
    <w:rsid w:val="00444BE9"/>
    <w:rsid w:val="00444C06"/>
    <w:rsid w:val="004454DF"/>
    <w:rsid w:val="00445EC3"/>
    <w:rsid w:val="00446804"/>
    <w:rsid w:val="004478D4"/>
    <w:rsid w:val="00450380"/>
    <w:rsid w:val="0045056A"/>
    <w:rsid w:val="004505C6"/>
    <w:rsid w:val="00450E8E"/>
    <w:rsid w:val="00451D59"/>
    <w:rsid w:val="00451E95"/>
    <w:rsid w:val="004520CD"/>
    <w:rsid w:val="00452A16"/>
    <w:rsid w:val="00452AD5"/>
    <w:rsid w:val="00452DF3"/>
    <w:rsid w:val="00452FCA"/>
    <w:rsid w:val="004534F5"/>
    <w:rsid w:val="00453765"/>
    <w:rsid w:val="004546CC"/>
    <w:rsid w:val="00454EC3"/>
    <w:rsid w:val="0045502D"/>
    <w:rsid w:val="004552E4"/>
    <w:rsid w:val="0045530A"/>
    <w:rsid w:val="004554AE"/>
    <w:rsid w:val="004554C3"/>
    <w:rsid w:val="00455FB6"/>
    <w:rsid w:val="004562AB"/>
    <w:rsid w:val="004563C5"/>
    <w:rsid w:val="00456BE2"/>
    <w:rsid w:val="00456C21"/>
    <w:rsid w:val="00457197"/>
    <w:rsid w:val="00457555"/>
    <w:rsid w:val="0045765A"/>
    <w:rsid w:val="00457790"/>
    <w:rsid w:val="004577CF"/>
    <w:rsid w:val="00457971"/>
    <w:rsid w:val="00457DD8"/>
    <w:rsid w:val="00457F98"/>
    <w:rsid w:val="004601E1"/>
    <w:rsid w:val="004603D0"/>
    <w:rsid w:val="0046069E"/>
    <w:rsid w:val="00461A03"/>
    <w:rsid w:val="00461DBB"/>
    <w:rsid w:val="004620C6"/>
    <w:rsid w:val="004624AE"/>
    <w:rsid w:val="0046250E"/>
    <w:rsid w:val="004629A8"/>
    <w:rsid w:val="00462E9C"/>
    <w:rsid w:val="00463220"/>
    <w:rsid w:val="0046333A"/>
    <w:rsid w:val="00463515"/>
    <w:rsid w:val="0046395E"/>
    <w:rsid w:val="00464AA5"/>
    <w:rsid w:val="00464B48"/>
    <w:rsid w:val="00465231"/>
    <w:rsid w:val="004661AF"/>
    <w:rsid w:val="004662AD"/>
    <w:rsid w:val="00466516"/>
    <w:rsid w:val="00466692"/>
    <w:rsid w:val="004671CD"/>
    <w:rsid w:val="00467B65"/>
    <w:rsid w:val="004712A4"/>
    <w:rsid w:val="00471833"/>
    <w:rsid w:val="00471AF8"/>
    <w:rsid w:val="00471EA5"/>
    <w:rsid w:val="004720C9"/>
    <w:rsid w:val="00472144"/>
    <w:rsid w:val="00472257"/>
    <w:rsid w:val="00472E49"/>
    <w:rsid w:val="004732BB"/>
    <w:rsid w:val="00473678"/>
    <w:rsid w:val="00473A55"/>
    <w:rsid w:val="00474761"/>
    <w:rsid w:val="0047476F"/>
    <w:rsid w:val="00474C60"/>
    <w:rsid w:val="00475913"/>
    <w:rsid w:val="00475944"/>
    <w:rsid w:val="00475DF0"/>
    <w:rsid w:val="004762F3"/>
    <w:rsid w:val="004763D7"/>
    <w:rsid w:val="00476525"/>
    <w:rsid w:val="004767B7"/>
    <w:rsid w:val="00476935"/>
    <w:rsid w:val="00476DA7"/>
    <w:rsid w:val="004770F9"/>
    <w:rsid w:val="00477210"/>
    <w:rsid w:val="004772E2"/>
    <w:rsid w:val="0047739F"/>
    <w:rsid w:val="004773EE"/>
    <w:rsid w:val="00477BB0"/>
    <w:rsid w:val="00477F97"/>
    <w:rsid w:val="0048011B"/>
    <w:rsid w:val="00480460"/>
    <w:rsid w:val="0048054B"/>
    <w:rsid w:val="0048065F"/>
    <w:rsid w:val="00480A2D"/>
    <w:rsid w:val="00480AFB"/>
    <w:rsid w:val="00481247"/>
    <w:rsid w:val="0048183A"/>
    <w:rsid w:val="00482406"/>
    <w:rsid w:val="004828D1"/>
    <w:rsid w:val="004828DC"/>
    <w:rsid w:val="00482FF7"/>
    <w:rsid w:val="00483098"/>
    <w:rsid w:val="00483AFB"/>
    <w:rsid w:val="0048402B"/>
    <w:rsid w:val="004840F3"/>
    <w:rsid w:val="0048414A"/>
    <w:rsid w:val="004848FA"/>
    <w:rsid w:val="00484D9A"/>
    <w:rsid w:val="0048550E"/>
    <w:rsid w:val="00485C56"/>
    <w:rsid w:val="00485D18"/>
    <w:rsid w:val="00486B79"/>
    <w:rsid w:val="00486CA2"/>
    <w:rsid w:val="00487F62"/>
    <w:rsid w:val="00490B25"/>
    <w:rsid w:val="00490FD6"/>
    <w:rsid w:val="00491168"/>
    <w:rsid w:val="004911C4"/>
    <w:rsid w:val="00491AD5"/>
    <w:rsid w:val="00492C5E"/>
    <w:rsid w:val="00492EAB"/>
    <w:rsid w:val="00493AAE"/>
    <w:rsid w:val="00494490"/>
    <w:rsid w:val="00494CC8"/>
    <w:rsid w:val="004952FE"/>
    <w:rsid w:val="004955E7"/>
    <w:rsid w:val="0049569E"/>
    <w:rsid w:val="0049589C"/>
    <w:rsid w:val="00495EF1"/>
    <w:rsid w:val="00496035"/>
    <w:rsid w:val="00496337"/>
    <w:rsid w:val="004965D0"/>
    <w:rsid w:val="004967C8"/>
    <w:rsid w:val="0049684E"/>
    <w:rsid w:val="00496ED4"/>
    <w:rsid w:val="00497D4A"/>
    <w:rsid w:val="00497F68"/>
    <w:rsid w:val="004A0441"/>
    <w:rsid w:val="004A084C"/>
    <w:rsid w:val="004A0A40"/>
    <w:rsid w:val="004A0F07"/>
    <w:rsid w:val="004A15B3"/>
    <w:rsid w:val="004A1D01"/>
    <w:rsid w:val="004A246D"/>
    <w:rsid w:val="004A2A54"/>
    <w:rsid w:val="004A2EF3"/>
    <w:rsid w:val="004A3B0D"/>
    <w:rsid w:val="004A44A1"/>
    <w:rsid w:val="004A4743"/>
    <w:rsid w:val="004A50AF"/>
    <w:rsid w:val="004A52F5"/>
    <w:rsid w:val="004A58C4"/>
    <w:rsid w:val="004A5D3A"/>
    <w:rsid w:val="004A5D52"/>
    <w:rsid w:val="004A6302"/>
    <w:rsid w:val="004A6897"/>
    <w:rsid w:val="004A692B"/>
    <w:rsid w:val="004A6DE8"/>
    <w:rsid w:val="004A6E82"/>
    <w:rsid w:val="004A6EB6"/>
    <w:rsid w:val="004A70BC"/>
    <w:rsid w:val="004A735E"/>
    <w:rsid w:val="004A75D6"/>
    <w:rsid w:val="004A767E"/>
    <w:rsid w:val="004A78F8"/>
    <w:rsid w:val="004A794C"/>
    <w:rsid w:val="004A7CCF"/>
    <w:rsid w:val="004B0A74"/>
    <w:rsid w:val="004B17F2"/>
    <w:rsid w:val="004B1F07"/>
    <w:rsid w:val="004B22F8"/>
    <w:rsid w:val="004B2B2A"/>
    <w:rsid w:val="004B2CAD"/>
    <w:rsid w:val="004B3AC8"/>
    <w:rsid w:val="004B3E61"/>
    <w:rsid w:val="004B3EC7"/>
    <w:rsid w:val="004B4216"/>
    <w:rsid w:val="004B5664"/>
    <w:rsid w:val="004B592C"/>
    <w:rsid w:val="004B61C6"/>
    <w:rsid w:val="004B6353"/>
    <w:rsid w:val="004B63DA"/>
    <w:rsid w:val="004B67A1"/>
    <w:rsid w:val="004B6E09"/>
    <w:rsid w:val="004C01AC"/>
    <w:rsid w:val="004C047A"/>
    <w:rsid w:val="004C079C"/>
    <w:rsid w:val="004C0CAB"/>
    <w:rsid w:val="004C1204"/>
    <w:rsid w:val="004C1D00"/>
    <w:rsid w:val="004C2107"/>
    <w:rsid w:val="004C2E42"/>
    <w:rsid w:val="004C3A76"/>
    <w:rsid w:val="004C4F79"/>
    <w:rsid w:val="004C56A1"/>
    <w:rsid w:val="004C5B8C"/>
    <w:rsid w:val="004C5FC6"/>
    <w:rsid w:val="004C6435"/>
    <w:rsid w:val="004C649B"/>
    <w:rsid w:val="004C6AF2"/>
    <w:rsid w:val="004C6CB2"/>
    <w:rsid w:val="004C6F8E"/>
    <w:rsid w:val="004C706F"/>
    <w:rsid w:val="004C70BF"/>
    <w:rsid w:val="004C78A4"/>
    <w:rsid w:val="004C7B60"/>
    <w:rsid w:val="004C7B9C"/>
    <w:rsid w:val="004C7D55"/>
    <w:rsid w:val="004C7F66"/>
    <w:rsid w:val="004D089A"/>
    <w:rsid w:val="004D0A9A"/>
    <w:rsid w:val="004D0FB8"/>
    <w:rsid w:val="004D1097"/>
    <w:rsid w:val="004D1324"/>
    <w:rsid w:val="004D164C"/>
    <w:rsid w:val="004D1CB7"/>
    <w:rsid w:val="004D1FA2"/>
    <w:rsid w:val="004D3184"/>
    <w:rsid w:val="004D33C9"/>
    <w:rsid w:val="004D3A2E"/>
    <w:rsid w:val="004D3DDD"/>
    <w:rsid w:val="004D41CB"/>
    <w:rsid w:val="004D480E"/>
    <w:rsid w:val="004D4ACF"/>
    <w:rsid w:val="004D5030"/>
    <w:rsid w:val="004D6045"/>
    <w:rsid w:val="004D62FA"/>
    <w:rsid w:val="004D63A5"/>
    <w:rsid w:val="004D6C1D"/>
    <w:rsid w:val="004D7080"/>
    <w:rsid w:val="004D7546"/>
    <w:rsid w:val="004D7EC5"/>
    <w:rsid w:val="004E0023"/>
    <w:rsid w:val="004E02B0"/>
    <w:rsid w:val="004E09CC"/>
    <w:rsid w:val="004E0B29"/>
    <w:rsid w:val="004E0E11"/>
    <w:rsid w:val="004E0F08"/>
    <w:rsid w:val="004E1546"/>
    <w:rsid w:val="004E158B"/>
    <w:rsid w:val="004E19DC"/>
    <w:rsid w:val="004E2165"/>
    <w:rsid w:val="004E280F"/>
    <w:rsid w:val="004E2880"/>
    <w:rsid w:val="004E2897"/>
    <w:rsid w:val="004E2C77"/>
    <w:rsid w:val="004E2C8E"/>
    <w:rsid w:val="004E35E8"/>
    <w:rsid w:val="004E38EB"/>
    <w:rsid w:val="004E4879"/>
    <w:rsid w:val="004E50F0"/>
    <w:rsid w:val="004E6A03"/>
    <w:rsid w:val="004E6BCF"/>
    <w:rsid w:val="004E763A"/>
    <w:rsid w:val="004E7E7A"/>
    <w:rsid w:val="004F0070"/>
    <w:rsid w:val="004F0087"/>
    <w:rsid w:val="004F0409"/>
    <w:rsid w:val="004F0468"/>
    <w:rsid w:val="004F0C3D"/>
    <w:rsid w:val="004F0C51"/>
    <w:rsid w:val="004F118A"/>
    <w:rsid w:val="004F2073"/>
    <w:rsid w:val="004F263C"/>
    <w:rsid w:val="004F2BB1"/>
    <w:rsid w:val="004F2EC7"/>
    <w:rsid w:val="004F38B8"/>
    <w:rsid w:val="004F3CE8"/>
    <w:rsid w:val="004F3FD2"/>
    <w:rsid w:val="004F44AD"/>
    <w:rsid w:val="004F5D78"/>
    <w:rsid w:val="004F6BFB"/>
    <w:rsid w:val="004F7160"/>
    <w:rsid w:val="004F7170"/>
    <w:rsid w:val="004F741F"/>
    <w:rsid w:val="004F7E4A"/>
    <w:rsid w:val="00500402"/>
    <w:rsid w:val="0050147C"/>
    <w:rsid w:val="0050182B"/>
    <w:rsid w:val="00501AF3"/>
    <w:rsid w:val="00502579"/>
    <w:rsid w:val="005025FC"/>
    <w:rsid w:val="00502805"/>
    <w:rsid w:val="005029F7"/>
    <w:rsid w:val="005033B9"/>
    <w:rsid w:val="00503C42"/>
    <w:rsid w:val="00503D4C"/>
    <w:rsid w:val="00504C0C"/>
    <w:rsid w:val="00504E48"/>
    <w:rsid w:val="00505E0E"/>
    <w:rsid w:val="00505FBD"/>
    <w:rsid w:val="00506191"/>
    <w:rsid w:val="005070FF"/>
    <w:rsid w:val="00507172"/>
    <w:rsid w:val="0050794A"/>
    <w:rsid w:val="00510605"/>
    <w:rsid w:val="00510EFE"/>
    <w:rsid w:val="00511393"/>
    <w:rsid w:val="005114D4"/>
    <w:rsid w:val="00511CB0"/>
    <w:rsid w:val="00512868"/>
    <w:rsid w:val="00512A71"/>
    <w:rsid w:val="00512BBC"/>
    <w:rsid w:val="0051335E"/>
    <w:rsid w:val="005134FB"/>
    <w:rsid w:val="005135FD"/>
    <w:rsid w:val="0051366C"/>
    <w:rsid w:val="00513D51"/>
    <w:rsid w:val="005141E9"/>
    <w:rsid w:val="00514267"/>
    <w:rsid w:val="005155DB"/>
    <w:rsid w:val="0051595F"/>
    <w:rsid w:val="00515BBA"/>
    <w:rsid w:val="00515F0A"/>
    <w:rsid w:val="00516503"/>
    <w:rsid w:val="0051684F"/>
    <w:rsid w:val="00516A92"/>
    <w:rsid w:val="00516B9F"/>
    <w:rsid w:val="00517693"/>
    <w:rsid w:val="00517B30"/>
    <w:rsid w:val="00520496"/>
    <w:rsid w:val="005205AB"/>
    <w:rsid w:val="00520909"/>
    <w:rsid w:val="00520FE0"/>
    <w:rsid w:val="0052200C"/>
    <w:rsid w:val="00522302"/>
    <w:rsid w:val="00522491"/>
    <w:rsid w:val="00522BE8"/>
    <w:rsid w:val="005231CD"/>
    <w:rsid w:val="00523378"/>
    <w:rsid w:val="0052346C"/>
    <w:rsid w:val="005243F1"/>
    <w:rsid w:val="005244FB"/>
    <w:rsid w:val="005247F9"/>
    <w:rsid w:val="00524EFD"/>
    <w:rsid w:val="00525101"/>
    <w:rsid w:val="00525222"/>
    <w:rsid w:val="0052550F"/>
    <w:rsid w:val="00525E2F"/>
    <w:rsid w:val="00526C0F"/>
    <w:rsid w:val="0052702A"/>
    <w:rsid w:val="005272C0"/>
    <w:rsid w:val="005273BD"/>
    <w:rsid w:val="005276E9"/>
    <w:rsid w:val="00530397"/>
    <w:rsid w:val="005303FC"/>
    <w:rsid w:val="00530717"/>
    <w:rsid w:val="0053084C"/>
    <w:rsid w:val="00530F73"/>
    <w:rsid w:val="005327B5"/>
    <w:rsid w:val="005327C0"/>
    <w:rsid w:val="00532A7B"/>
    <w:rsid w:val="00533438"/>
    <w:rsid w:val="005337FE"/>
    <w:rsid w:val="005339A2"/>
    <w:rsid w:val="00533B8E"/>
    <w:rsid w:val="00533C7F"/>
    <w:rsid w:val="00533E09"/>
    <w:rsid w:val="00533FF3"/>
    <w:rsid w:val="00534143"/>
    <w:rsid w:val="0053435F"/>
    <w:rsid w:val="005351B4"/>
    <w:rsid w:val="00535417"/>
    <w:rsid w:val="0053564E"/>
    <w:rsid w:val="00535833"/>
    <w:rsid w:val="00535EF6"/>
    <w:rsid w:val="00536637"/>
    <w:rsid w:val="00536D28"/>
    <w:rsid w:val="00536F7B"/>
    <w:rsid w:val="005372C5"/>
    <w:rsid w:val="005377A5"/>
    <w:rsid w:val="00537A26"/>
    <w:rsid w:val="005404E7"/>
    <w:rsid w:val="005408A9"/>
    <w:rsid w:val="00540E47"/>
    <w:rsid w:val="005413CC"/>
    <w:rsid w:val="005417F5"/>
    <w:rsid w:val="00541D29"/>
    <w:rsid w:val="00542140"/>
    <w:rsid w:val="00542292"/>
    <w:rsid w:val="00542E2F"/>
    <w:rsid w:val="00543283"/>
    <w:rsid w:val="005432C1"/>
    <w:rsid w:val="005435A3"/>
    <w:rsid w:val="0054364C"/>
    <w:rsid w:val="00543F44"/>
    <w:rsid w:val="00543F6B"/>
    <w:rsid w:val="00543FF0"/>
    <w:rsid w:val="0054480A"/>
    <w:rsid w:val="00545A8F"/>
    <w:rsid w:val="00545EB7"/>
    <w:rsid w:val="00546329"/>
    <w:rsid w:val="00546747"/>
    <w:rsid w:val="0054695C"/>
    <w:rsid w:val="00546F54"/>
    <w:rsid w:val="00547510"/>
    <w:rsid w:val="005479A7"/>
    <w:rsid w:val="00547ECC"/>
    <w:rsid w:val="0055068E"/>
    <w:rsid w:val="005515D0"/>
    <w:rsid w:val="00551D5A"/>
    <w:rsid w:val="00551EC3"/>
    <w:rsid w:val="00552276"/>
    <w:rsid w:val="0055232E"/>
    <w:rsid w:val="0055257D"/>
    <w:rsid w:val="00552C1D"/>
    <w:rsid w:val="005536F0"/>
    <w:rsid w:val="005540A6"/>
    <w:rsid w:val="00554744"/>
    <w:rsid w:val="0055475E"/>
    <w:rsid w:val="005548F4"/>
    <w:rsid w:val="00554A44"/>
    <w:rsid w:val="00554C53"/>
    <w:rsid w:val="00554F18"/>
    <w:rsid w:val="00555220"/>
    <w:rsid w:val="00555427"/>
    <w:rsid w:val="005555F0"/>
    <w:rsid w:val="00555739"/>
    <w:rsid w:val="00556211"/>
    <w:rsid w:val="00556280"/>
    <w:rsid w:val="00556E75"/>
    <w:rsid w:val="005571AA"/>
    <w:rsid w:val="00557C25"/>
    <w:rsid w:val="00557D87"/>
    <w:rsid w:val="005605E0"/>
    <w:rsid w:val="0056069A"/>
    <w:rsid w:val="00560C3B"/>
    <w:rsid w:val="00560DBA"/>
    <w:rsid w:val="005610F7"/>
    <w:rsid w:val="00561B22"/>
    <w:rsid w:val="00561E36"/>
    <w:rsid w:val="00561EA1"/>
    <w:rsid w:val="00562251"/>
    <w:rsid w:val="00562799"/>
    <w:rsid w:val="00562800"/>
    <w:rsid w:val="00562994"/>
    <w:rsid w:val="005630F5"/>
    <w:rsid w:val="00563556"/>
    <w:rsid w:val="0056362B"/>
    <w:rsid w:val="005636BE"/>
    <w:rsid w:val="00563BA5"/>
    <w:rsid w:val="00563E1E"/>
    <w:rsid w:val="00563E37"/>
    <w:rsid w:val="005642E6"/>
    <w:rsid w:val="00564804"/>
    <w:rsid w:val="00565598"/>
    <w:rsid w:val="00565651"/>
    <w:rsid w:val="00565B5A"/>
    <w:rsid w:val="00566C62"/>
    <w:rsid w:val="0056741D"/>
    <w:rsid w:val="00567E8F"/>
    <w:rsid w:val="00570240"/>
    <w:rsid w:val="005702D6"/>
    <w:rsid w:val="00570455"/>
    <w:rsid w:val="0057066F"/>
    <w:rsid w:val="00570BA0"/>
    <w:rsid w:val="00571276"/>
    <w:rsid w:val="00571DEF"/>
    <w:rsid w:val="00572588"/>
    <w:rsid w:val="00572807"/>
    <w:rsid w:val="00573072"/>
    <w:rsid w:val="00573A50"/>
    <w:rsid w:val="00573D2C"/>
    <w:rsid w:val="0057468D"/>
    <w:rsid w:val="005746D2"/>
    <w:rsid w:val="0057495A"/>
    <w:rsid w:val="00574E8A"/>
    <w:rsid w:val="00575CEA"/>
    <w:rsid w:val="005772D8"/>
    <w:rsid w:val="00577775"/>
    <w:rsid w:val="00577AE1"/>
    <w:rsid w:val="00577D95"/>
    <w:rsid w:val="00577E35"/>
    <w:rsid w:val="00580182"/>
    <w:rsid w:val="005804F0"/>
    <w:rsid w:val="005807A2"/>
    <w:rsid w:val="00580B4C"/>
    <w:rsid w:val="0058121A"/>
    <w:rsid w:val="0058179C"/>
    <w:rsid w:val="00581863"/>
    <w:rsid w:val="00581DE7"/>
    <w:rsid w:val="00581EA3"/>
    <w:rsid w:val="0058205A"/>
    <w:rsid w:val="0058260B"/>
    <w:rsid w:val="00582920"/>
    <w:rsid w:val="00582C15"/>
    <w:rsid w:val="00582FD0"/>
    <w:rsid w:val="005837AF"/>
    <w:rsid w:val="005844AC"/>
    <w:rsid w:val="005844AD"/>
    <w:rsid w:val="005846C1"/>
    <w:rsid w:val="00584D1E"/>
    <w:rsid w:val="00584DC4"/>
    <w:rsid w:val="00585475"/>
    <w:rsid w:val="00586795"/>
    <w:rsid w:val="005867CB"/>
    <w:rsid w:val="00586A68"/>
    <w:rsid w:val="00586A6C"/>
    <w:rsid w:val="00586B82"/>
    <w:rsid w:val="00587539"/>
    <w:rsid w:val="00587672"/>
    <w:rsid w:val="0058778A"/>
    <w:rsid w:val="005879E9"/>
    <w:rsid w:val="00587C77"/>
    <w:rsid w:val="00587E13"/>
    <w:rsid w:val="00587F51"/>
    <w:rsid w:val="005901E1"/>
    <w:rsid w:val="005906DD"/>
    <w:rsid w:val="00591023"/>
    <w:rsid w:val="00591815"/>
    <w:rsid w:val="00591D8E"/>
    <w:rsid w:val="00591F71"/>
    <w:rsid w:val="00592AEC"/>
    <w:rsid w:val="005933AA"/>
    <w:rsid w:val="00593549"/>
    <w:rsid w:val="0059364B"/>
    <w:rsid w:val="005936B8"/>
    <w:rsid w:val="00593C6E"/>
    <w:rsid w:val="005940AA"/>
    <w:rsid w:val="00594614"/>
    <w:rsid w:val="00594E10"/>
    <w:rsid w:val="0059500D"/>
    <w:rsid w:val="005951B1"/>
    <w:rsid w:val="005957A2"/>
    <w:rsid w:val="00595C0E"/>
    <w:rsid w:val="00595D31"/>
    <w:rsid w:val="005962A4"/>
    <w:rsid w:val="00596306"/>
    <w:rsid w:val="00596487"/>
    <w:rsid w:val="0059675D"/>
    <w:rsid w:val="005976FC"/>
    <w:rsid w:val="005979F2"/>
    <w:rsid w:val="005A07E8"/>
    <w:rsid w:val="005A0809"/>
    <w:rsid w:val="005A0A3F"/>
    <w:rsid w:val="005A0B91"/>
    <w:rsid w:val="005A0DE3"/>
    <w:rsid w:val="005A0EF3"/>
    <w:rsid w:val="005A1494"/>
    <w:rsid w:val="005A252D"/>
    <w:rsid w:val="005A27D7"/>
    <w:rsid w:val="005A308A"/>
    <w:rsid w:val="005A3127"/>
    <w:rsid w:val="005A31EB"/>
    <w:rsid w:val="005A3389"/>
    <w:rsid w:val="005A34FA"/>
    <w:rsid w:val="005A3590"/>
    <w:rsid w:val="005A4219"/>
    <w:rsid w:val="005A4A1C"/>
    <w:rsid w:val="005A4C0D"/>
    <w:rsid w:val="005A5BD8"/>
    <w:rsid w:val="005A692A"/>
    <w:rsid w:val="005A6AB8"/>
    <w:rsid w:val="005A7495"/>
    <w:rsid w:val="005A773F"/>
    <w:rsid w:val="005B0412"/>
    <w:rsid w:val="005B0613"/>
    <w:rsid w:val="005B0925"/>
    <w:rsid w:val="005B0A6B"/>
    <w:rsid w:val="005B11C2"/>
    <w:rsid w:val="005B14CD"/>
    <w:rsid w:val="005B16D6"/>
    <w:rsid w:val="005B180A"/>
    <w:rsid w:val="005B25B7"/>
    <w:rsid w:val="005B2AB4"/>
    <w:rsid w:val="005B320F"/>
    <w:rsid w:val="005B322F"/>
    <w:rsid w:val="005B382C"/>
    <w:rsid w:val="005B3C11"/>
    <w:rsid w:val="005B3E89"/>
    <w:rsid w:val="005B3F92"/>
    <w:rsid w:val="005B40DA"/>
    <w:rsid w:val="005B40F5"/>
    <w:rsid w:val="005B4226"/>
    <w:rsid w:val="005B4528"/>
    <w:rsid w:val="005B4A83"/>
    <w:rsid w:val="005B5A12"/>
    <w:rsid w:val="005B5AA4"/>
    <w:rsid w:val="005B656B"/>
    <w:rsid w:val="005B6AC1"/>
    <w:rsid w:val="005B71B3"/>
    <w:rsid w:val="005B76A4"/>
    <w:rsid w:val="005B7B00"/>
    <w:rsid w:val="005C04A7"/>
    <w:rsid w:val="005C088F"/>
    <w:rsid w:val="005C0E8C"/>
    <w:rsid w:val="005C17A4"/>
    <w:rsid w:val="005C1929"/>
    <w:rsid w:val="005C19DC"/>
    <w:rsid w:val="005C1A33"/>
    <w:rsid w:val="005C2373"/>
    <w:rsid w:val="005C2775"/>
    <w:rsid w:val="005C27CC"/>
    <w:rsid w:val="005C3224"/>
    <w:rsid w:val="005C370D"/>
    <w:rsid w:val="005C3992"/>
    <w:rsid w:val="005C487C"/>
    <w:rsid w:val="005C489B"/>
    <w:rsid w:val="005C4A36"/>
    <w:rsid w:val="005C4BA7"/>
    <w:rsid w:val="005C4D2F"/>
    <w:rsid w:val="005C4D8A"/>
    <w:rsid w:val="005C504E"/>
    <w:rsid w:val="005C5458"/>
    <w:rsid w:val="005C5469"/>
    <w:rsid w:val="005C5D46"/>
    <w:rsid w:val="005C5D4F"/>
    <w:rsid w:val="005C6153"/>
    <w:rsid w:val="005C7430"/>
    <w:rsid w:val="005C78B0"/>
    <w:rsid w:val="005C7B95"/>
    <w:rsid w:val="005D01EB"/>
    <w:rsid w:val="005D0DFB"/>
    <w:rsid w:val="005D0E87"/>
    <w:rsid w:val="005D1112"/>
    <w:rsid w:val="005D1470"/>
    <w:rsid w:val="005D184F"/>
    <w:rsid w:val="005D237C"/>
    <w:rsid w:val="005D25E2"/>
    <w:rsid w:val="005D25FF"/>
    <w:rsid w:val="005D2632"/>
    <w:rsid w:val="005D28E6"/>
    <w:rsid w:val="005D2CFD"/>
    <w:rsid w:val="005D38E0"/>
    <w:rsid w:val="005D3F32"/>
    <w:rsid w:val="005D4C6E"/>
    <w:rsid w:val="005D4E3E"/>
    <w:rsid w:val="005D5DEF"/>
    <w:rsid w:val="005D5EED"/>
    <w:rsid w:val="005D61A3"/>
    <w:rsid w:val="005D6793"/>
    <w:rsid w:val="005D67F7"/>
    <w:rsid w:val="005D7D7E"/>
    <w:rsid w:val="005D7EEF"/>
    <w:rsid w:val="005E0B59"/>
    <w:rsid w:val="005E1105"/>
    <w:rsid w:val="005E13F5"/>
    <w:rsid w:val="005E162F"/>
    <w:rsid w:val="005E1D75"/>
    <w:rsid w:val="005E21A5"/>
    <w:rsid w:val="005E21D9"/>
    <w:rsid w:val="005E27AE"/>
    <w:rsid w:val="005E2C60"/>
    <w:rsid w:val="005E2D72"/>
    <w:rsid w:val="005E2F41"/>
    <w:rsid w:val="005E31F6"/>
    <w:rsid w:val="005E3453"/>
    <w:rsid w:val="005E3622"/>
    <w:rsid w:val="005E4119"/>
    <w:rsid w:val="005E42C8"/>
    <w:rsid w:val="005E48A6"/>
    <w:rsid w:val="005E51C0"/>
    <w:rsid w:val="005E60B3"/>
    <w:rsid w:val="005E64C5"/>
    <w:rsid w:val="005E64CF"/>
    <w:rsid w:val="005E65F8"/>
    <w:rsid w:val="005E676C"/>
    <w:rsid w:val="005E6CB9"/>
    <w:rsid w:val="005E7005"/>
    <w:rsid w:val="005E7AB0"/>
    <w:rsid w:val="005E7C18"/>
    <w:rsid w:val="005E7F14"/>
    <w:rsid w:val="005E7FA8"/>
    <w:rsid w:val="005F0154"/>
    <w:rsid w:val="005F0176"/>
    <w:rsid w:val="005F021D"/>
    <w:rsid w:val="005F1179"/>
    <w:rsid w:val="005F148D"/>
    <w:rsid w:val="005F1AD3"/>
    <w:rsid w:val="005F1EAC"/>
    <w:rsid w:val="005F1FEC"/>
    <w:rsid w:val="005F2C99"/>
    <w:rsid w:val="005F2D9A"/>
    <w:rsid w:val="005F308F"/>
    <w:rsid w:val="005F38B5"/>
    <w:rsid w:val="005F399D"/>
    <w:rsid w:val="005F3E49"/>
    <w:rsid w:val="005F4869"/>
    <w:rsid w:val="005F4BFD"/>
    <w:rsid w:val="005F52D8"/>
    <w:rsid w:val="005F5702"/>
    <w:rsid w:val="005F5748"/>
    <w:rsid w:val="005F5834"/>
    <w:rsid w:val="005F5D4B"/>
    <w:rsid w:val="005F5DF0"/>
    <w:rsid w:val="005F5E11"/>
    <w:rsid w:val="005F6071"/>
    <w:rsid w:val="005F6743"/>
    <w:rsid w:val="005F6B0A"/>
    <w:rsid w:val="005F6CC7"/>
    <w:rsid w:val="005F6FA8"/>
    <w:rsid w:val="005F79FE"/>
    <w:rsid w:val="00600325"/>
    <w:rsid w:val="006003E5"/>
    <w:rsid w:val="006009FD"/>
    <w:rsid w:val="00600E63"/>
    <w:rsid w:val="0060113C"/>
    <w:rsid w:val="00601561"/>
    <w:rsid w:val="0060196F"/>
    <w:rsid w:val="00601E55"/>
    <w:rsid w:val="00602037"/>
    <w:rsid w:val="006025DA"/>
    <w:rsid w:val="00602872"/>
    <w:rsid w:val="006029DD"/>
    <w:rsid w:val="00602C6A"/>
    <w:rsid w:val="00602D82"/>
    <w:rsid w:val="00603014"/>
    <w:rsid w:val="00603AF5"/>
    <w:rsid w:val="006041C2"/>
    <w:rsid w:val="00604C54"/>
    <w:rsid w:val="00605310"/>
    <w:rsid w:val="0060537B"/>
    <w:rsid w:val="006053E9"/>
    <w:rsid w:val="00605A40"/>
    <w:rsid w:val="00605EC3"/>
    <w:rsid w:val="00606379"/>
    <w:rsid w:val="00606C66"/>
    <w:rsid w:val="006075B7"/>
    <w:rsid w:val="00607935"/>
    <w:rsid w:val="00610145"/>
    <w:rsid w:val="00610D1F"/>
    <w:rsid w:val="00610F4A"/>
    <w:rsid w:val="00611AD8"/>
    <w:rsid w:val="006121A5"/>
    <w:rsid w:val="006123C6"/>
    <w:rsid w:val="00612967"/>
    <w:rsid w:val="00612C02"/>
    <w:rsid w:val="00612CDD"/>
    <w:rsid w:val="00612D72"/>
    <w:rsid w:val="006131B2"/>
    <w:rsid w:val="00613718"/>
    <w:rsid w:val="00613A42"/>
    <w:rsid w:val="006149F7"/>
    <w:rsid w:val="00614C71"/>
    <w:rsid w:val="00614DD7"/>
    <w:rsid w:val="00615075"/>
    <w:rsid w:val="00615222"/>
    <w:rsid w:val="0061562E"/>
    <w:rsid w:val="00615D10"/>
    <w:rsid w:val="00616A1A"/>
    <w:rsid w:val="00616D41"/>
    <w:rsid w:val="00617292"/>
    <w:rsid w:val="006200A9"/>
    <w:rsid w:val="0062144B"/>
    <w:rsid w:val="00622225"/>
    <w:rsid w:val="00622D03"/>
    <w:rsid w:val="00622DCD"/>
    <w:rsid w:val="00622F57"/>
    <w:rsid w:val="00623DD5"/>
    <w:rsid w:val="00623E21"/>
    <w:rsid w:val="00624269"/>
    <w:rsid w:val="006244A2"/>
    <w:rsid w:val="00624A34"/>
    <w:rsid w:val="0062568D"/>
    <w:rsid w:val="006256D3"/>
    <w:rsid w:val="00625DC9"/>
    <w:rsid w:val="00625E12"/>
    <w:rsid w:val="006263A2"/>
    <w:rsid w:val="006267F5"/>
    <w:rsid w:val="00626C85"/>
    <w:rsid w:val="00626F2D"/>
    <w:rsid w:val="00627006"/>
    <w:rsid w:val="00627337"/>
    <w:rsid w:val="00630069"/>
    <w:rsid w:val="00630583"/>
    <w:rsid w:val="006305A8"/>
    <w:rsid w:val="00630D2E"/>
    <w:rsid w:val="00630D39"/>
    <w:rsid w:val="00631E19"/>
    <w:rsid w:val="00632076"/>
    <w:rsid w:val="00632209"/>
    <w:rsid w:val="006329F5"/>
    <w:rsid w:val="00633146"/>
    <w:rsid w:val="00633E76"/>
    <w:rsid w:val="00633EC9"/>
    <w:rsid w:val="006340F5"/>
    <w:rsid w:val="00634273"/>
    <w:rsid w:val="00634542"/>
    <w:rsid w:val="00634E8F"/>
    <w:rsid w:val="00635379"/>
    <w:rsid w:val="006354EB"/>
    <w:rsid w:val="00635E4D"/>
    <w:rsid w:val="0063620C"/>
    <w:rsid w:val="00636567"/>
    <w:rsid w:val="006368D1"/>
    <w:rsid w:val="00637859"/>
    <w:rsid w:val="00637E18"/>
    <w:rsid w:val="0064032E"/>
    <w:rsid w:val="0064038D"/>
    <w:rsid w:val="00640A19"/>
    <w:rsid w:val="00641A0B"/>
    <w:rsid w:val="00641D5A"/>
    <w:rsid w:val="00641E06"/>
    <w:rsid w:val="006428DC"/>
    <w:rsid w:val="00643007"/>
    <w:rsid w:val="006431D0"/>
    <w:rsid w:val="00643232"/>
    <w:rsid w:val="006432C5"/>
    <w:rsid w:val="006436FA"/>
    <w:rsid w:val="00643852"/>
    <w:rsid w:val="00643C27"/>
    <w:rsid w:val="0064403C"/>
    <w:rsid w:val="0064447A"/>
    <w:rsid w:val="00644874"/>
    <w:rsid w:val="00644B1B"/>
    <w:rsid w:val="006455E7"/>
    <w:rsid w:val="00645758"/>
    <w:rsid w:val="00645812"/>
    <w:rsid w:val="006461A1"/>
    <w:rsid w:val="00646872"/>
    <w:rsid w:val="00646DAC"/>
    <w:rsid w:val="006471A3"/>
    <w:rsid w:val="00647422"/>
    <w:rsid w:val="00647E6B"/>
    <w:rsid w:val="00650E84"/>
    <w:rsid w:val="0065198B"/>
    <w:rsid w:val="006523CE"/>
    <w:rsid w:val="006525AF"/>
    <w:rsid w:val="0065266A"/>
    <w:rsid w:val="00652EF8"/>
    <w:rsid w:val="0065313F"/>
    <w:rsid w:val="006537B1"/>
    <w:rsid w:val="00653815"/>
    <w:rsid w:val="0065388D"/>
    <w:rsid w:val="00653F32"/>
    <w:rsid w:val="00653F9C"/>
    <w:rsid w:val="006540B7"/>
    <w:rsid w:val="006548F1"/>
    <w:rsid w:val="006549E8"/>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72"/>
    <w:rsid w:val="006607AA"/>
    <w:rsid w:val="00660897"/>
    <w:rsid w:val="00660C51"/>
    <w:rsid w:val="00661028"/>
    <w:rsid w:val="00661342"/>
    <w:rsid w:val="0066159A"/>
    <w:rsid w:val="006617BD"/>
    <w:rsid w:val="00661836"/>
    <w:rsid w:val="0066194D"/>
    <w:rsid w:val="00661CD3"/>
    <w:rsid w:val="0066262D"/>
    <w:rsid w:val="00662E52"/>
    <w:rsid w:val="0066324A"/>
    <w:rsid w:val="00663C29"/>
    <w:rsid w:val="00663F5D"/>
    <w:rsid w:val="00664695"/>
    <w:rsid w:val="00664840"/>
    <w:rsid w:val="00664B44"/>
    <w:rsid w:val="0066501A"/>
    <w:rsid w:val="006652BF"/>
    <w:rsid w:val="006656BF"/>
    <w:rsid w:val="0066630C"/>
    <w:rsid w:val="00666D02"/>
    <w:rsid w:val="00667A33"/>
    <w:rsid w:val="00667BBD"/>
    <w:rsid w:val="00667D69"/>
    <w:rsid w:val="00667E77"/>
    <w:rsid w:val="00671149"/>
    <w:rsid w:val="0067137F"/>
    <w:rsid w:val="00671615"/>
    <w:rsid w:val="00671741"/>
    <w:rsid w:val="00671766"/>
    <w:rsid w:val="00671911"/>
    <w:rsid w:val="0067231B"/>
    <w:rsid w:val="00672914"/>
    <w:rsid w:val="00672A01"/>
    <w:rsid w:val="00672DD5"/>
    <w:rsid w:val="0067392D"/>
    <w:rsid w:val="00673E1C"/>
    <w:rsid w:val="006744C3"/>
    <w:rsid w:val="00674597"/>
    <w:rsid w:val="006752EE"/>
    <w:rsid w:val="0067537F"/>
    <w:rsid w:val="0067555E"/>
    <w:rsid w:val="0067575D"/>
    <w:rsid w:val="00675CD6"/>
    <w:rsid w:val="00675F12"/>
    <w:rsid w:val="0067625F"/>
    <w:rsid w:val="00676410"/>
    <w:rsid w:val="00676CAE"/>
    <w:rsid w:val="00676F75"/>
    <w:rsid w:val="00680509"/>
    <w:rsid w:val="006805CB"/>
    <w:rsid w:val="00680DA5"/>
    <w:rsid w:val="006811E4"/>
    <w:rsid w:val="00681CC1"/>
    <w:rsid w:val="0068233B"/>
    <w:rsid w:val="00682A31"/>
    <w:rsid w:val="00682E11"/>
    <w:rsid w:val="00683081"/>
    <w:rsid w:val="006830F2"/>
    <w:rsid w:val="0068335B"/>
    <w:rsid w:val="006845BD"/>
    <w:rsid w:val="00684C95"/>
    <w:rsid w:val="006850D3"/>
    <w:rsid w:val="00685249"/>
    <w:rsid w:val="006856B9"/>
    <w:rsid w:val="00685BDE"/>
    <w:rsid w:val="00686085"/>
    <w:rsid w:val="00686761"/>
    <w:rsid w:val="00687423"/>
    <w:rsid w:val="006877E4"/>
    <w:rsid w:val="00687B1C"/>
    <w:rsid w:val="00687C0D"/>
    <w:rsid w:val="00690E99"/>
    <w:rsid w:val="00691237"/>
    <w:rsid w:val="006914CC"/>
    <w:rsid w:val="00691854"/>
    <w:rsid w:val="00691887"/>
    <w:rsid w:val="00691C2D"/>
    <w:rsid w:val="006920E6"/>
    <w:rsid w:val="0069222D"/>
    <w:rsid w:val="00692555"/>
    <w:rsid w:val="006925B0"/>
    <w:rsid w:val="00693324"/>
    <w:rsid w:val="00693540"/>
    <w:rsid w:val="00694069"/>
    <w:rsid w:val="00694189"/>
    <w:rsid w:val="0069580D"/>
    <w:rsid w:val="00695DFD"/>
    <w:rsid w:val="00696566"/>
    <w:rsid w:val="006966BA"/>
    <w:rsid w:val="00696A38"/>
    <w:rsid w:val="00696D80"/>
    <w:rsid w:val="00696E5A"/>
    <w:rsid w:val="0069722D"/>
    <w:rsid w:val="006977EA"/>
    <w:rsid w:val="00697BEF"/>
    <w:rsid w:val="00697DF4"/>
    <w:rsid w:val="006A0052"/>
    <w:rsid w:val="006A0419"/>
    <w:rsid w:val="006A0845"/>
    <w:rsid w:val="006A0A9E"/>
    <w:rsid w:val="006A0E88"/>
    <w:rsid w:val="006A1D37"/>
    <w:rsid w:val="006A1E41"/>
    <w:rsid w:val="006A1ED5"/>
    <w:rsid w:val="006A1F1C"/>
    <w:rsid w:val="006A2532"/>
    <w:rsid w:val="006A30DF"/>
    <w:rsid w:val="006A3836"/>
    <w:rsid w:val="006A3DD3"/>
    <w:rsid w:val="006A4625"/>
    <w:rsid w:val="006A46C5"/>
    <w:rsid w:val="006A47AE"/>
    <w:rsid w:val="006A48AE"/>
    <w:rsid w:val="006A4C66"/>
    <w:rsid w:val="006A58CB"/>
    <w:rsid w:val="006A5B22"/>
    <w:rsid w:val="006A5B5E"/>
    <w:rsid w:val="006A67CB"/>
    <w:rsid w:val="006A7BFB"/>
    <w:rsid w:val="006A7D2A"/>
    <w:rsid w:val="006B02AA"/>
    <w:rsid w:val="006B0368"/>
    <w:rsid w:val="006B0A7F"/>
    <w:rsid w:val="006B0F6E"/>
    <w:rsid w:val="006B1D7B"/>
    <w:rsid w:val="006B1FBC"/>
    <w:rsid w:val="006B2070"/>
    <w:rsid w:val="006B270D"/>
    <w:rsid w:val="006B2796"/>
    <w:rsid w:val="006B27B2"/>
    <w:rsid w:val="006B27C7"/>
    <w:rsid w:val="006B27D4"/>
    <w:rsid w:val="006B288B"/>
    <w:rsid w:val="006B2C9C"/>
    <w:rsid w:val="006B3518"/>
    <w:rsid w:val="006B3B80"/>
    <w:rsid w:val="006B3DE2"/>
    <w:rsid w:val="006B41C7"/>
    <w:rsid w:val="006B4867"/>
    <w:rsid w:val="006B48EB"/>
    <w:rsid w:val="006B4A78"/>
    <w:rsid w:val="006B4C00"/>
    <w:rsid w:val="006B523A"/>
    <w:rsid w:val="006B56D1"/>
    <w:rsid w:val="006B56FC"/>
    <w:rsid w:val="006B6017"/>
    <w:rsid w:val="006B659A"/>
    <w:rsid w:val="006B678D"/>
    <w:rsid w:val="006B6B03"/>
    <w:rsid w:val="006B6DDA"/>
    <w:rsid w:val="006B73D9"/>
    <w:rsid w:val="006B7DF0"/>
    <w:rsid w:val="006B7E74"/>
    <w:rsid w:val="006C0166"/>
    <w:rsid w:val="006C05EE"/>
    <w:rsid w:val="006C0B12"/>
    <w:rsid w:val="006C0D75"/>
    <w:rsid w:val="006C1C48"/>
    <w:rsid w:val="006C1E7C"/>
    <w:rsid w:val="006C1E8A"/>
    <w:rsid w:val="006C1F03"/>
    <w:rsid w:val="006C20BF"/>
    <w:rsid w:val="006C323D"/>
    <w:rsid w:val="006C3C1D"/>
    <w:rsid w:val="006C3C7E"/>
    <w:rsid w:val="006C41FF"/>
    <w:rsid w:val="006C442E"/>
    <w:rsid w:val="006C4AC6"/>
    <w:rsid w:val="006C4AF5"/>
    <w:rsid w:val="006C5145"/>
    <w:rsid w:val="006C584D"/>
    <w:rsid w:val="006C5B6D"/>
    <w:rsid w:val="006C5FB6"/>
    <w:rsid w:val="006C6398"/>
    <w:rsid w:val="006C65A8"/>
    <w:rsid w:val="006C6E85"/>
    <w:rsid w:val="006C705B"/>
    <w:rsid w:val="006C78CF"/>
    <w:rsid w:val="006C7A69"/>
    <w:rsid w:val="006D022A"/>
    <w:rsid w:val="006D05AD"/>
    <w:rsid w:val="006D086A"/>
    <w:rsid w:val="006D0C5A"/>
    <w:rsid w:val="006D0EC1"/>
    <w:rsid w:val="006D0FEC"/>
    <w:rsid w:val="006D155E"/>
    <w:rsid w:val="006D16F8"/>
    <w:rsid w:val="006D1813"/>
    <w:rsid w:val="006D1AF5"/>
    <w:rsid w:val="006D24A9"/>
    <w:rsid w:val="006D2AF3"/>
    <w:rsid w:val="006D2FE1"/>
    <w:rsid w:val="006D30E8"/>
    <w:rsid w:val="006D3FE9"/>
    <w:rsid w:val="006D4718"/>
    <w:rsid w:val="006D4C0A"/>
    <w:rsid w:val="006D4D79"/>
    <w:rsid w:val="006D4FBD"/>
    <w:rsid w:val="006D530A"/>
    <w:rsid w:val="006D5364"/>
    <w:rsid w:val="006D5879"/>
    <w:rsid w:val="006D618C"/>
    <w:rsid w:val="006D63FD"/>
    <w:rsid w:val="006D65B4"/>
    <w:rsid w:val="006D6A4F"/>
    <w:rsid w:val="006D6CE5"/>
    <w:rsid w:val="006D754A"/>
    <w:rsid w:val="006D7B9C"/>
    <w:rsid w:val="006E0025"/>
    <w:rsid w:val="006E04C6"/>
    <w:rsid w:val="006E0A65"/>
    <w:rsid w:val="006E18B7"/>
    <w:rsid w:val="006E1B01"/>
    <w:rsid w:val="006E1E2A"/>
    <w:rsid w:val="006E2A7A"/>
    <w:rsid w:val="006E3872"/>
    <w:rsid w:val="006E3E3D"/>
    <w:rsid w:val="006E3EEB"/>
    <w:rsid w:val="006E4836"/>
    <w:rsid w:val="006E5DDD"/>
    <w:rsid w:val="006E7811"/>
    <w:rsid w:val="006F04DA"/>
    <w:rsid w:val="006F0557"/>
    <w:rsid w:val="006F0EA3"/>
    <w:rsid w:val="006F1B5D"/>
    <w:rsid w:val="006F1E18"/>
    <w:rsid w:val="006F212B"/>
    <w:rsid w:val="006F28FE"/>
    <w:rsid w:val="006F3110"/>
    <w:rsid w:val="006F34AC"/>
    <w:rsid w:val="006F34EA"/>
    <w:rsid w:val="006F359D"/>
    <w:rsid w:val="006F37F7"/>
    <w:rsid w:val="006F4044"/>
    <w:rsid w:val="006F4575"/>
    <w:rsid w:val="006F469A"/>
    <w:rsid w:val="006F4A61"/>
    <w:rsid w:val="006F4ADC"/>
    <w:rsid w:val="006F4CAD"/>
    <w:rsid w:val="006F510A"/>
    <w:rsid w:val="006F51E3"/>
    <w:rsid w:val="006F578A"/>
    <w:rsid w:val="006F5799"/>
    <w:rsid w:val="006F5893"/>
    <w:rsid w:val="006F5C06"/>
    <w:rsid w:val="006F643D"/>
    <w:rsid w:val="006F6497"/>
    <w:rsid w:val="006F657F"/>
    <w:rsid w:val="006F675C"/>
    <w:rsid w:val="006F6AC4"/>
    <w:rsid w:val="006F6D13"/>
    <w:rsid w:val="006F75CB"/>
    <w:rsid w:val="006F75D3"/>
    <w:rsid w:val="006F7759"/>
    <w:rsid w:val="006F7D95"/>
    <w:rsid w:val="00700C3B"/>
    <w:rsid w:val="00700D41"/>
    <w:rsid w:val="00701524"/>
    <w:rsid w:val="00701ACF"/>
    <w:rsid w:val="00701B21"/>
    <w:rsid w:val="00701D0B"/>
    <w:rsid w:val="007022AF"/>
    <w:rsid w:val="00702384"/>
    <w:rsid w:val="00702D00"/>
    <w:rsid w:val="00703346"/>
    <w:rsid w:val="00703482"/>
    <w:rsid w:val="00703BFB"/>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A12"/>
    <w:rsid w:val="00710A59"/>
    <w:rsid w:val="00710ED2"/>
    <w:rsid w:val="00710FDE"/>
    <w:rsid w:val="007116C7"/>
    <w:rsid w:val="00711B59"/>
    <w:rsid w:val="00711C5A"/>
    <w:rsid w:val="007128C7"/>
    <w:rsid w:val="00712B2B"/>
    <w:rsid w:val="00712B66"/>
    <w:rsid w:val="00712FCB"/>
    <w:rsid w:val="00713C31"/>
    <w:rsid w:val="0071428D"/>
    <w:rsid w:val="00714317"/>
    <w:rsid w:val="007143BE"/>
    <w:rsid w:val="007144C9"/>
    <w:rsid w:val="00715049"/>
    <w:rsid w:val="0071593D"/>
    <w:rsid w:val="00715A4B"/>
    <w:rsid w:val="00716B3C"/>
    <w:rsid w:val="007170C2"/>
    <w:rsid w:val="00717EE4"/>
    <w:rsid w:val="00717F2D"/>
    <w:rsid w:val="00720453"/>
    <w:rsid w:val="0072078F"/>
    <w:rsid w:val="00720853"/>
    <w:rsid w:val="00721087"/>
    <w:rsid w:val="0072178E"/>
    <w:rsid w:val="00721C58"/>
    <w:rsid w:val="00721C9F"/>
    <w:rsid w:val="00722129"/>
    <w:rsid w:val="0072278B"/>
    <w:rsid w:val="00722A24"/>
    <w:rsid w:val="00722EF6"/>
    <w:rsid w:val="00723912"/>
    <w:rsid w:val="00723E10"/>
    <w:rsid w:val="00724173"/>
    <w:rsid w:val="00724380"/>
    <w:rsid w:val="007250A9"/>
    <w:rsid w:val="00725635"/>
    <w:rsid w:val="007258C4"/>
    <w:rsid w:val="007260F4"/>
    <w:rsid w:val="00726730"/>
    <w:rsid w:val="0072681F"/>
    <w:rsid w:val="0072695A"/>
    <w:rsid w:val="00730598"/>
    <w:rsid w:val="00730F8D"/>
    <w:rsid w:val="007312D7"/>
    <w:rsid w:val="00731C24"/>
    <w:rsid w:val="007320A7"/>
    <w:rsid w:val="0073257E"/>
    <w:rsid w:val="00732863"/>
    <w:rsid w:val="00732A32"/>
    <w:rsid w:val="00732DF4"/>
    <w:rsid w:val="00733066"/>
    <w:rsid w:val="00733469"/>
    <w:rsid w:val="0073348A"/>
    <w:rsid w:val="00733539"/>
    <w:rsid w:val="00733700"/>
    <w:rsid w:val="00733A56"/>
    <w:rsid w:val="00733BFA"/>
    <w:rsid w:val="00733FF8"/>
    <w:rsid w:val="00734937"/>
    <w:rsid w:val="007353EF"/>
    <w:rsid w:val="00735557"/>
    <w:rsid w:val="00735612"/>
    <w:rsid w:val="007356B4"/>
    <w:rsid w:val="00737108"/>
    <w:rsid w:val="00737628"/>
    <w:rsid w:val="007379CE"/>
    <w:rsid w:val="00737B64"/>
    <w:rsid w:val="00737CC6"/>
    <w:rsid w:val="007402A9"/>
    <w:rsid w:val="0074038E"/>
    <w:rsid w:val="007414EF"/>
    <w:rsid w:val="007419A7"/>
    <w:rsid w:val="00741B21"/>
    <w:rsid w:val="00741DD8"/>
    <w:rsid w:val="00741E49"/>
    <w:rsid w:val="0074250D"/>
    <w:rsid w:val="00742D16"/>
    <w:rsid w:val="007433CD"/>
    <w:rsid w:val="0074362F"/>
    <w:rsid w:val="007445E2"/>
    <w:rsid w:val="00744A84"/>
    <w:rsid w:val="00744F42"/>
    <w:rsid w:val="007451B4"/>
    <w:rsid w:val="00745496"/>
    <w:rsid w:val="007460DA"/>
    <w:rsid w:val="0074705B"/>
    <w:rsid w:val="007470EC"/>
    <w:rsid w:val="00747118"/>
    <w:rsid w:val="00747408"/>
    <w:rsid w:val="007479F8"/>
    <w:rsid w:val="00747F19"/>
    <w:rsid w:val="0075020B"/>
    <w:rsid w:val="00750AD7"/>
    <w:rsid w:val="00751017"/>
    <w:rsid w:val="00751960"/>
    <w:rsid w:val="00751EDF"/>
    <w:rsid w:val="00752582"/>
    <w:rsid w:val="00753273"/>
    <w:rsid w:val="007533A5"/>
    <w:rsid w:val="007535C7"/>
    <w:rsid w:val="0075493D"/>
    <w:rsid w:val="00755043"/>
    <w:rsid w:val="0075646C"/>
    <w:rsid w:val="00756551"/>
    <w:rsid w:val="00757066"/>
    <w:rsid w:val="007572B8"/>
    <w:rsid w:val="00757769"/>
    <w:rsid w:val="0075782D"/>
    <w:rsid w:val="0076067E"/>
    <w:rsid w:val="007609CE"/>
    <w:rsid w:val="00761008"/>
    <w:rsid w:val="0076111E"/>
    <w:rsid w:val="0076158B"/>
    <w:rsid w:val="007618A1"/>
    <w:rsid w:val="00761BFD"/>
    <w:rsid w:val="00761C02"/>
    <w:rsid w:val="00761D5C"/>
    <w:rsid w:val="00761FE5"/>
    <w:rsid w:val="00762476"/>
    <w:rsid w:val="00762A18"/>
    <w:rsid w:val="00762D34"/>
    <w:rsid w:val="00763990"/>
    <w:rsid w:val="00763AE2"/>
    <w:rsid w:val="00763B76"/>
    <w:rsid w:val="00763F73"/>
    <w:rsid w:val="00764259"/>
    <w:rsid w:val="0076442C"/>
    <w:rsid w:val="00764517"/>
    <w:rsid w:val="0076467D"/>
    <w:rsid w:val="00764767"/>
    <w:rsid w:val="007649AD"/>
    <w:rsid w:val="00764B66"/>
    <w:rsid w:val="00764BD6"/>
    <w:rsid w:val="00764EB3"/>
    <w:rsid w:val="00765531"/>
    <w:rsid w:val="007657EB"/>
    <w:rsid w:val="007658F1"/>
    <w:rsid w:val="00765B6E"/>
    <w:rsid w:val="00765FC5"/>
    <w:rsid w:val="00766153"/>
    <w:rsid w:val="00766D90"/>
    <w:rsid w:val="0076730D"/>
    <w:rsid w:val="00767C19"/>
    <w:rsid w:val="00767D4E"/>
    <w:rsid w:val="00770441"/>
    <w:rsid w:val="00770BD8"/>
    <w:rsid w:val="00771067"/>
    <w:rsid w:val="00771274"/>
    <w:rsid w:val="00771889"/>
    <w:rsid w:val="007721EB"/>
    <w:rsid w:val="007722ED"/>
    <w:rsid w:val="00772693"/>
    <w:rsid w:val="00773AB1"/>
    <w:rsid w:val="00773D38"/>
    <w:rsid w:val="00774AF6"/>
    <w:rsid w:val="00774EC8"/>
    <w:rsid w:val="00775669"/>
    <w:rsid w:val="00775B57"/>
    <w:rsid w:val="00776781"/>
    <w:rsid w:val="00777446"/>
    <w:rsid w:val="0077746F"/>
    <w:rsid w:val="007775B0"/>
    <w:rsid w:val="007776CC"/>
    <w:rsid w:val="007777FC"/>
    <w:rsid w:val="00777922"/>
    <w:rsid w:val="00777CE9"/>
    <w:rsid w:val="007802F6"/>
    <w:rsid w:val="0078056B"/>
    <w:rsid w:val="00780D05"/>
    <w:rsid w:val="00782058"/>
    <w:rsid w:val="00782AB1"/>
    <w:rsid w:val="00782BBD"/>
    <w:rsid w:val="007839AC"/>
    <w:rsid w:val="00783B28"/>
    <w:rsid w:val="00783C7B"/>
    <w:rsid w:val="0078415B"/>
    <w:rsid w:val="00784C24"/>
    <w:rsid w:val="00784EBA"/>
    <w:rsid w:val="00784EE6"/>
    <w:rsid w:val="0078556C"/>
    <w:rsid w:val="007855C5"/>
    <w:rsid w:val="007856D3"/>
    <w:rsid w:val="00785983"/>
    <w:rsid w:val="00785ABD"/>
    <w:rsid w:val="00785F35"/>
    <w:rsid w:val="007860C6"/>
    <w:rsid w:val="00786254"/>
    <w:rsid w:val="0078630C"/>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334B"/>
    <w:rsid w:val="00793368"/>
    <w:rsid w:val="007935C6"/>
    <w:rsid w:val="00794129"/>
    <w:rsid w:val="00794162"/>
    <w:rsid w:val="00794516"/>
    <w:rsid w:val="00794878"/>
    <w:rsid w:val="00794CCB"/>
    <w:rsid w:val="00794E22"/>
    <w:rsid w:val="00795367"/>
    <w:rsid w:val="00795512"/>
    <w:rsid w:val="007956C9"/>
    <w:rsid w:val="007958B1"/>
    <w:rsid w:val="00795A32"/>
    <w:rsid w:val="00795AB7"/>
    <w:rsid w:val="00795E37"/>
    <w:rsid w:val="00796227"/>
    <w:rsid w:val="00796743"/>
    <w:rsid w:val="00796786"/>
    <w:rsid w:val="0079694C"/>
    <w:rsid w:val="00796D89"/>
    <w:rsid w:val="00796DA2"/>
    <w:rsid w:val="007A0056"/>
    <w:rsid w:val="007A0415"/>
    <w:rsid w:val="007A06BA"/>
    <w:rsid w:val="007A0CB9"/>
    <w:rsid w:val="007A1570"/>
    <w:rsid w:val="007A27BD"/>
    <w:rsid w:val="007A294A"/>
    <w:rsid w:val="007A3433"/>
    <w:rsid w:val="007A37E4"/>
    <w:rsid w:val="007A4C96"/>
    <w:rsid w:val="007A51A6"/>
    <w:rsid w:val="007A523D"/>
    <w:rsid w:val="007A53FB"/>
    <w:rsid w:val="007A5629"/>
    <w:rsid w:val="007A56E5"/>
    <w:rsid w:val="007A5AB0"/>
    <w:rsid w:val="007A5AD4"/>
    <w:rsid w:val="007A60CA"/>
    <w:rsid w:val="007A6195"/>
    <w:rsid w:val="007A6F0F"/>
    <w:rsid w:val="007A6FEC"/>
    <w:rsid w:val="007A705C"/>
    <w:rsid w:val="007A708C"/>
    <w:rsid w:val="007A73EB"/>
    <w:rsid w:val="007A75B5"/>
    <w:rsid w:val="007A7985"/>
    <w:rsid w:val="007A7ABE"/>
    <w:rsid w:val="007A7D66"/>
    <w:rsid w:val="007A7E95"/>
    <w:rsid w:val="007B03C5"/>
    <w:rsid w:val="007B21FD"/>
    <w:rsid w:val="007B26E1"/>
    <w:rsid w:val="007B2C10"/>
    <w:rsid w:val="007B2C3D"/>
    <w:rsid w:val="007B3045"/>
    <w:rsid w:val="007B3180"/>
    <w:rsid w:val="007B33AF"/>
    <w:rsid w:val="007B3B55"/>
    <w:rsid w:val="007B4C0F"/>
    <w:rsid w:val="007B4D48"/>
    <w:rsid w:val="007B50FA"/>
    <w:rsid w:val="007B547F"/>
    <w:rsid w:val="007B5822"/>
    <w:rsid w:val="007B58FC"/>
    <w:rsid w:val="007B5E25"/>
    <w:rsid w:val="007B613A"/>
    <w:rsid w:val="007B6398"/>
    <w:rsid w:val="007B6E0E"/>
    <w:rsid w:val="007B7F7D"/>
    <w:rsid w:val="007C0B5B"/>
    <w:rsid w:val="007C14B4"/>
    <w:rsid w:val="007C2355"/>
    <w:rsid w:val="007C27FB"/>
    <w:rsid w:val="007C2BBE"/>
    <w:rsid w:val="007C2CBB"/>
    <w:rsid w:val="007C2E5B"/>
    <w:rsid w:val="007C309C"/>
    <w:rsid w:val="007C31F3"/>
    <w:rsid w:val="007C3675"/>
    <w:rsid w:val="007C374F"/>
    <w:rsid w:val="007C4209"/>
    <w:rsid w:val="007C42F9"/>
    <w:rsid w:val="007C47FA"/>
    <w:rsid w:val="007C4DEB"/>
    <w:rsid w:val="007C500F"/>
    <w:rsid w:val="007C5845"/>
    <w:rsid w:val="007C5B69"/>
    <w:rsid w:val="007C5EB9"/>
    <w:rsid w:val="007C64FF"/>
    <w:rsid w:val="007C674D"/>
    <w:rsid w:val="007C6A93"/>
    <w:rsid w:val="007C6B98"/>
    <w:rsid w:val="007C6CBB"/>
    <w:rsid w:val="007C6CE4"/>
    <w:rsid w:val="007C7449"/>
    <w:rsid w:val="007C7536"/>
    <w:rsid w:val="007C79E2"/>
    <w:rsid w:val="007C7A03"/>
    <w:rsid w:val="007C7A90"/>
    <w:rsid w:val="007C7E83"/>
    <w:rsid w:val="007C7EA5"/>
    <w:rsid w:val="007D0245"/>
    <w:rsid w:val="007D07E6"/>
    <w:rsid w:val="007D08EF"/>
    <w:rsid w:val="007D135B"/>
    <w:rsid w:val="007D18D9"/>
    <w:rsid w:val="007D1983"/>
    <w:rsid w:val="007D1A95"/>
    <w:rsid w:val="007D245E"/>
    <w:rsid w:val="007D327B"/>
    <w:rsid w:val="007D3764"/>
    <w:rsid w:val="007D3C0E"/>
    <w:rsid w:val="007D3E38"/>
    <w:rsid w:val="007D458B"/>
    <w:rsid w:val="007D458E"/>
    <w:rsid w:val="007D46FE"/>
    <w:rsid w:val="007D485A"/>
    <w:rsid w:val="007D49EF"/>
    <w:rsid w:val="007D50B5"/>
    <w:rsid w:val="007D54FF"/>
    <w:rsid w:val="007D57D4"/>
    <w:rsid w:val="007D5C39"/>
    <w:rsid w:val="007D5E67"/>
    <w:rsid w:val="007D6315"/>
    <w:rsid w:val="007D724A"/>
    <w:rsid w:val="007D736A"/>
    <w:rsid w:val="007D7545"/>
    <w:rsid w:val="007D75A3"/>
    <w:rsid w:val="007D798C"/>
    <w:rsid w:val="007E04A3"/>
    <w:rsid w:val="007E06A3"/>
    <w:rsid w:val="007E0BC6"/>
    <w:rsid w:val="007E0D81"/>
    <w:rsid w:val="007E0F93"/>
    <w:rsid w:val="007E1513"/>
    <w:rsid w:val="007E16E2"/>
    <w:rsid w:val="007E19EC"/>
    <w:rsid w:val="007E19FE"/>
    <w:rsid w:val="007E1AAC"/>
    <w:rsid w:val="007E2C7E"/>
    <w:rsid w:val="007E3B9C"/>
    <w:rsid w:val="007E3E25"/>
    <w:rsid w:val="007E4A2F"/>
    <w:rsid w:val="007E4F4E"/>
    <w:rsid w:val="007E587D"/>
    <w:rsid w:val="007E5A25"/>
    <w:rsid w:val="007E5A30"/>
    <w:rsid w:val="007E5C4A"/>
    <w:rsid w:val="007E5FB0"/>
    <w:rsid w:val="007E6915"/>
    <w:rsid w:val="007E6B2D"/>
    <w:rsid w:val="007E7215"/>
    <w:rsid w:val="007E74CA"/>
    <w:rsid w:val="007E74F0"/>
    <w:rsid w:val="007E756D"/>
    <w:rsid w:val="007E7582"/>
    <w:rsid w:val="007E7A5D"/>
    <w:rsid w:val="007E7AD3"/>
    <w:rsid w:val="007E7CD5"/>
    <w:rsid w:val="007F0070"/>
    <w:rsid w:val="007F0441"/>
    <w:rsid w:val="007F083B"/>
    <w:rsid w:val="007F0DFB"/>
    <w:rsid w:val="007F0E99"/>
    <w:rsid w:val="007F1A83"/>
    <w:rsid w:val="007F1BE9"/>
    <w:rsid w:val="007F20F1"/>
    <w:rsid w:val="007F2A38"/>
    <w:rsid w:val="007F3767"/>
    <w:rsid w:val="007F380E"/>
    <w:rsid w:val="007F401E"/>
    <w:rsid w:val="007F4224"/>
    <w:rsid w:val="007F4DD2"/>
    <w:rsid w:val="007F4FB9"/>
    <w:rsid w:val="007F5065"/>
    <w:rsid w:val="007F56E5"/>
    <w:rsid w:val="007F5785"/>
    <w:rsid w:val="007F69E2"/>
    <w:rsid w:val="007F6E63"/>
    <w:rsid w:val="007F7022"/>
    <w:rsid w:val="007F71D8"/>
    <w:rsid w:val="007F7690"/>
    <w:rsid w:val="00800B70"/>
    <w:rsid w:val="00800BC4"/>
    <w:rsid w:val="008011CC"/>
    <w:rsid w:val="00801363"/>
    <w:rsid w:val="00801404"/>
    <w:rsid w:val="008017AA"/>
    <w:rsid w:val="008017EC"/>
    <w:rsid w:val="00801CBA"/>
    <w:rsid w:val="00801D92"/>
    <w:rsid w:val="008020D0"/>
    <w:rsid w:val="00802A4F"/>
    <w:rsid w:val="008041B8"/>
    <w:rsid w:val="00804BCF"/>
    <w:rsid w:val="00804F83"/>
    <w:rsid w:val="00804FA4"/>
    <w:rsid w:val="00805275"/>
    <w:rsid w:val="00805883"/>
    <w:rsid w:val="0080590D"/>
    <w:rsid w:val="008063DF"/>
    <w:rsid w:val="00806A62"/>
    <w:rsid w:val="00806E55"/>
    <w:rsid w:val="00806EFB"/>
    <w:rsid w:val="0080716A"/>
    <w:rsid w:val="008075CE"/>
    <w:rsid w:val="00807D35"/>
    <w:rsid w:val="0081096A"/>
    <w:rsid w:val="00810AD4"/>
    <w:rsid w:val="00810E00"/>
    <w:rsid w:val="008111CB"/>
    <w:rsid w:val="00811325"/>
    <w:rsid w:val="00811CA9"/>
    <w:rsid w:val="00812179"/>
    <w:rsid w:val="0081239C"/>
    <w:rsid w:val="008124E2"/>
    <w:rsid w:val="0081299C"/>
    <w:rsid w:val="00812D10"/>
    <w:rsid w:val="0081300B"/>
    <w:rsid w:val="0081303D"/>
    <w:rsid w:val="0081373B"/>
    <w:rsid w:val="00813928"/>
    <w:rsid w:val="00815321"/>
    <w:rsid w:val="00815D9A"/>
    <w:rsid w:val="008166DB"/>
    <w:rsid w:val="0081688E"/>
    <w:rsid w:val="008173E0"/>
    <w:rsid w:val="008175C1"/>
    <w:rsid w:val="00817DB6"/>
    <w:rsid w:val="00820074"/>
    <w:rsid w:val="008200D4"/>
    <w:rsid w:val="00820370"/>
    <w:rsid w:val="00820CC6"/>
    <w:rsid w:val="00821A0F"/>
    <w:rsid w:val="00821F13"/>
    <w:rsid w:val="00822C41"/>
    <w:rsid w:val="00823DEB"/>
    <w:rsid w:val="0082471B"/>
    <w:rsid w:val="00824ACF"/>
    <w:rsid w:val="00825043"/>
    <w:rsid w:val="00825267"/>
    <w:rsid w:val="008264EC"/>
    <w:rsid w:val="00826886"/>
    <w:rsid w:val="008268BF"/>
    <w:rsid w:val="00826A65"/>
    <w:rsid w:val="00826CA2"/>
    <w:rsid w:val="00827668"/>
    <w:rsid w:val="0082796E"/>
    <w:rsid w:val="00827C0D"/>
    <w:rsid w:val="0083032E"/>
    <w:rsid w:val="00830642"/>
    <w:rsid w:val="00830F26"/>
    <w:rsid w:val="00831020"/>
    <w:rsid w:val="0083103B"/>
    <w:rsid w:val="00831250"/>
    <w:rsid w:val="00831411"/>
    <w:rsid w:val="008315AD"/>
    <w:rsid w:val="0083184A"/>
    <w:rsid w:val="00831B4E"/>
    <w:rsid w:val="00831D1D"/>
    <w:rsid w:val="00831D8D"/>
    <w:rsid w:val="00831F3E"/>
    <w:rsid w:val="008322D9"/>
    <w:rsid w:val="00832D5E"/>
    <w:rsid w:val="00832EC3"/>
    <w:rsid w:val="0083310A"/>
    <w:rsid w:val="008331CD"/>
    <w:rsid w:val="008333B7"/>
    <w:rsid w:val="008334B0"/>
    <w:rsid w:val="0083354D"/>
    <w:rsid w:val="008336EC"/>
    <w:rsid w:val="008337B9"/>
    <w:rsid w:val="00833A95"/>
    <w:rsid w:val="00834DDE"/>
    <w:rsid w:val="00834FD2"/>
    <w:rsid w:val="00835084"/>
    <w:rsid w:val="008350C2"/>
    <w:rsid w:val="00835184"/>
    <w:rsid w:val="00835569"/>
    <w:rsid w:val="00835651"/>
    <w:rsid w:val="00835802"/>
    <w:rsid w:val="00836295"/>
    <w:rsid w:val="00836FE0"/>
    <w:rsid w:val="008370EE"/>
    <w:rsid w:val="00837B8B"/>
    <w:rsid w:val="00837FF4"/>
    <w:rsid w:val="00840198"/>
    <w:rsid w:val="0084093F"/>
    <w:rsid w:val="0084098A"/>
    <w:rsid w:val="00840C24"/>
    <w:rsid w:val="00840DB0"/>
    <w:rsid w:val="00840EDE"/>
    <w:rsid w:val="008418A5"/>
    <w:rsid w:val="008420B6"/>
    <w:rsid w:val="00843088"/>
    <w:rsid w:val="008431F0"/>
    <w:rsid w:val="00843548"/>
    <w:rsid w:val="0084383C"/>
    <w:rsid w:val="00843CC0"/>
    <w:rsid w:val="00843CF4"/>
    <w:rsid w:val="00844018"/>
    <w:rsid w:val="00844ADD"/>
    <w:rsid w:val="00844DAC"/>
    <w:rsid w:val="00844E4C"/>
    <w:rsid w:val="00845058"/>
    <w:rsid w:val="0084534E"/>
    <w:rsid w:val="00845397"/>
    <w:rsid w:val="00846062"/>
    <w:rsid w:val="0084627E"/>
    <w:rsid w:val="0084636B"/>
    <w:rsid w:val="00846842"/>
    <w:rsid w:val="0084687C"/>
    <w:rsid w:val="008474C1"/>
    <w:rsid w:val="00847A02"/>
    <w:rsid w:val="00847A97"/>
    <w:rsid w:val="00847C1C"/>
    <w:rsid w:val="00847CA4"/>
    <w:rsid w:val="008500AD"/>
    <w:rsid w:val="008501FD"/>
    <w:rsid w:val="0085031E"/>
    <w:rsid w:val="0085055E"/>
    <w:rsid w:val="00850951"/>
    <w:rsid w:val="00850C3B"/>
    <w:rsid w:val="00851605"/>
    <w:rsid w:val="008520D2"/>
    <w:rsid w:val="00852CA0"/>
    <w:rsid w:val="00852D85"/>
    <w:rsid w:val="00852EB8"/>
    <w:rsid w:val="00852EBE"/>
    <w:rsid w:val="00852F6C"/>
    <w:rsid w:val="008540C6"/>
    <w:rsid w:val="0085465C"/>
    <w:rsid w:val="00854967"/>
    <w:rsid w:val="00854F9F"/>
    <w:rsid w:val="0085540B"/>
    <w:rsid w:val="00855511"/>
    <w:rsid w:val="0085582C"/>
    <w:rsid w:val="008559E2"/>
    <w:rsid w:val="00855FD3"/>
    <w:rsid w:val="0085665F"/>
    <w:rsid w:val="0085669D"/>
    <w:rsid w:val="008566AF"/>
    <w:rsid w:val="00856727"/>
    <w:rsid w:val="008568A3"/>
    <w:rsid w:val="00857086"/>
    <w:rsid w:val="00857572"/>
    <w:rsid w:val="008575E6"/>
    <w:rsid w:val="00860485"/>
    <w:rsid w:val="00860886"/>
    <w:rsid w:val="00860F4D"/>
    <w:rsid w:val="008610BC"/>
    <w:rsid w:val="008611DE"/>
    <w:rsid w:val="00861375"/>
    <w:rsid w:val="00861C56"/>
    <w:rsid w:val="00861F29"/>
    <w:rsid w:val="008620A2"/>
    <w:rsid w:val="00862741"/>
    <w:rsid w:val="00862BBD"/>
    <w:rsid w:val="00863ABC"/>
    <w:rsid w:val="00863B14"/>
    <w:rsid w:val="00863BA5"/>
    <w:rsid w:val="00863C9F"/>
    <w:rsid w:val="008645D6"/>
    <w:rsid w:val="00864986"/>
    <w:rsid w:val="0086552B"/>
    <w:rsid w:val="008655A2"/>
    <w:rsid w:val="008656B2"/>
    <w:rsid w:val="0086584F"/>
    <w:rsid w:val="00865A50"/>
    <w:rsid w:val="00865CD4"/>
    <w:rsid w:val="00866113"/>
    <w:rsid w:val="00866A1A"/>
    <w:rsid w:val="0086715D"/>
    <w:rsid w:val="008671C7"/>
    <w:rsid w:val="00867A44"/>
    <w:rsid w:val="00867B5D"/>
    <w:rsid w:val="00867BAD"/>
    <w:rsid w:val="00867EB8"/>
    <w:rsid w:val="00870335"/>
    <w:rsid w:val="00870AA2"/>
    <w:rsid w:val="00870D4B"/>
    <w:rsid w:val="00871262"/>
    <w:rsid w:val="0087133B"/>
    <w:rsid w:val="008718ED"/>
    <w:rsid w:val="00871C6E"/>
    <w:rsid w:val="008727DC"/>
    <w:rsid w:val="00872DE3"/>
    <w:rsid w:val="00872FFE"/>
    <w:rsid w:val="00873A9E"/>
    <w:rsid w:val="00873D88"/>
    <w:rsid w:val="0087433B"/>
    <w:rsid w:val="008750E0"/>
    <w:rsid w:val="00876077"/>
    <w:rsid w:val="0087621E"/>
    <w:rsid w:val="008767B2"/>
    <w:rsid w:val="00876D11"/>
    <w:rsid w:val="00876EF9"/>
    <w:rsid w:val="0087714C"/>
    <w:rsid w:val="00877265"/>
    <w:rsid w:val="00877328"/>
    <w:rsid w:val="00877431"/>
    <w:rsid w:val="00877809"/>
    <w:rsid w:val="0087787A"/>
    <w:rsid w:val="00880168"/>
    <w:rsid w:val="008802F0"/>
    <w:rsid w:val="00880992"/>
    <w:rsid w:val="0088167D"/>
    <w:rsid w:val="00881690"/>
    <w:rsid w:val="00881692"/>
    <w:rsid w:val="0088207F"/>
    <w:rsid w:val="0088210E"/>
    <w:rsid w:val="00882B26"/>
    <w:rsid w:val="00882E73"/>
    <w:rsid w:val="00883143"/>
    <w:rsid w:val="008840E7"/>
    <w:rsid w:val="0088504D"/>
    <w:rsid w:val="00885B38"/>
    <w:rsid w:val="00885C69"/>
    <w:rsid w:val="00885C94"/>
    <w:rsid w:val="00886154"/>
    <w:rsid w:val="00886DEB"/>
    <w:rsid w:val="00887CDA"/>
    <w:rsid w:val="00887D68"/>
    <w:rsid w:val="00890277"/>
    <w:rsid w:val="0089061A"/>
    <w:rsid w:val="00890E5F"/>
    <w:rsid w:val="008915C6"/>
    <w:rsid w:val="00891677"/>
    <w:rsid w:val="008918CB"/>
    <w:rsid w:val="0089251C"/>
    <w:rsid w:val="008926FD"/>
    <w:rsid w:val="008927DF"/>
    <w:rsid w:val="00892C8A"/>
    <w:rsid w:val="00892DB5"/>
    <w:rsid w:val="00892E41"/>
    <w:rsid w:val="008932E9"/>
    <w:rsid w:val="00893719"/>
    <w:rsid w:val="00894368"/>
    <w:rsid w:val="008947C1"/>
    <w:rsid w:val="00894B61"/>
    <w:rsid w:val="00895255"/>
    <w:rsid w:val="008959E0"/>
    <w:rsid w:val="00895DF1"/>
    <w:rsid w:val="00896639"/>
    <w:rsid w:val="00896645"/>
    <w:rsid w:val="0089672D"/>
    <w:rsid w:val="00896B86"/>
    <w:rsid w:val="00896FAB"/>
    <w:rsid w:val="00897245"/>
    <w:rsid w:val="0089729C"/>
    <w:rsid w:val="008974C2"/>
    <w:rsid w:val="008975D2"/>
    <w:rsid w:val="008976AE"/>
    <w:rsid w:val="008977FC"/>
    <w:rsid w:val="00897939"/>
    <w:rsid w:val="00897C39"/>
    <w:rsid w:val="00897F91"/>
    <w:rsid w:val="008A035B"/>
    <w:rsid w:val="008A0452"/>
    <w:rsid w:val="008A0459"/>
    <w:rsid w:val="008A0463"/>
    <w:rsid w:val="008A0637"/>
    <w:rsid w:val="008A0A70"/>
    <w:rsid w:val="008A0C23"/>
    <w:rsid w:val="008A1218"/>
    <w:rsid w:val="008A15B6"/>
    <w:rsid w:val="008A1A6E"/>
    <w:rsid w:val="008A202A"/>
    <w:rsid w:val="008A2CFF"/>
    <w:rsid w:val="008A34FD"/>
    <w:rsid w:val="008A369F"/>
    <w:rsid w:val="008A36C9"/>
    <w:rsid w:val="008A41F1"/>
    <w:rsid w:val="008A4ED9"/>
    <w:rsid w:val="008A52FF"/>
    <w:rsid w:val="008A5378"/>
    <w:rsid w:val="008A571D"/>
    <w:rsid w:val="008A5AF9"/>
    <w:rsid w:val="008A5E18"/>
    <w:rsid w:val="008A68D0"/>
    <w:rsid w:val="008A7028"/>
    <w:rsid w:val="008A771F"/>
    <w:rsid w:val="008B0343"/>
    <w:rsid w:val="008B16DE"/>
    <w:rsid w:val="008B1B86"/>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5E13"/>
    <w:rsid w:val="008B5E7B"/>
    <w:rsid w:val="008B6869"/>
    <w:rsid w:val="008B6934"/>
    <w:rsid w:val="008B6CF8"/>
    <w:rsid w:val="008B70A6"/>
    <w:rsid w:val="008B7154"/>
    <w:rsid w:val="008B72F6"/>
    <w:rsid w:val="008B7E4C"/>
    <w:rsid w:val="008C0D50"/>
    <w:rsid w:val="008C119E"/>
    <w:rsid w:val="008C1E24"/>
    <w:rsid w:val="008C296B"/>
    <w:rsid w:val="008C2A46"/>
    <w:rsid w:val="008C3087"/>
    <w:rsid w:val="008C3158"/>
    <w:rsid w:val="008C31AE"/>
    <w:rsid w:val="008C3719"/>
    <w:rsid w:val="008C37DC"/>
    <w:rsid w:val="008C4278"/>
    <w:rsid w:val="008C520E"/>
    <w:rsid w:val="008C563B"/>
    <w:rsid w:val="008C567E"/>
    <w:rsid w:val="008C5DEE"/>
    <w:rsid w:val="008C6285"/>
    <w:rsid w:val="008C6BF8"/>
    <w:rsid w:val="008C6E15"/>
    <w:rsid w:val="008C7182"/>
    <w:rsid w:val="008C7268"/>
    <w:rsid w:val="008C7CA5"/>
    <w:rsid w:val="008C7D9D"/>
    <w:rsid w:val="008C7EA8"/>
    <w:rsid w:val="008D0250"/>
    <w:rsid w:val="008D0416"/>
    <w:rsid w:val="008D0420"/>
    <w:rsid w:val="008D0AF2"/>
    <w:rsid w:val="008D0C2B"/>
    <w:rsid w:val="008D13C6"/>
    <w:rsid w:val="008D13D3"/>
    <w:rsid w:val="008D1576"/>
    <w:rsid w:val="008D198F"/>
    <w:rsid w:val="008D1B04"/>
    <w:rsid w:val="008D1BBE"/>
    <w:rsid w:val="008D20C2"/>
    <w:rsid w:val="008D22AC"/>
    <w:rsid w:val="008D2888"/>
    <w:rsid w:val="008D2F85"/>
    <w:rsid w:val="008D3212"/>
    <w:rsid w:val="008D3235"/>
    <w:rsid w:val="008D33C8"/>
    <w:rsid w:val="008D3893"/>
    <w:rsid w:val="008D3D37"/>
    <w:rsid w:val="008D418E"/>
    <w:rsid w:val="008D4207"/>
    <w:rsid w:val="008D45CD"/>
    <w:rsid w:val="008D4B13"/>
    <w:rsid w:val="008D554F"/>
    <w:rsid w:val="008D55F1"/>
    <w:rsid w:val="008D5BEE"/>
    <w:rsid w:val="008D5CD7"/>
    <w:rsid w:val="008D6D32"/>
    <w:rsid w:val="008D718E"/>
    <w:rsid w:val="008D7240"/>
    <w:rsid w:val="008D728B"/>
    <w:rsid w:val="008D7874"/>
    <w:rsid w:val="008E04C1"/>
    <w:rsid w:val="008E0629"/>
    <w:rsid w:val="008E09C5"/>
    <w:rsid w:val="008E0AA7"/>
    <w:rsid w:val="008E17D0"/>
    <w:rsid w:val="008E1DF8"/>
    <w:rsid w:val="008E1FCF"/>
    <w:rsid w:val="008E2355"/>
    <w:rsid w:val="008E2CD9"/>
    <w:rsid w:val="008E2F44"/>
    <w:rsid w:val="008E3018"/>
    <w:rsid w:val="008E3151"/>
    <w:rsid w:val="008E32EE"/>
    <w:rsid w:val="008E3386"/>
    <w:rsid w:val="008E3F53"/>
    <w:rsid w:val="008E461C"/>
    <w:rsid w:val="008E46EF"/>
    <w:rsid w:val="008E4CDE"/>
    <w:rsid w:val="008E5409"/>
    <w:rsid w:val="008E5410"/>
    <w:rsid w:val="008E5A3F"/>
    <w:rsid w:val="008E5F24"/>
    <w:rsid w:val="008E5FEA"/>
    <w:rsid w:val="008E6658"/>
    <w:rsid w:val="008E7209"/>
    <w:rsid w:val="008E7256"/>
    <w:rsid w:val="008E7263"/>
    <w:rsid w:val="008E7391"/>
    <w:rsid w:val="008E7448"/>
    <w:rsid w:val="008E7793"/>
    <w:rsid w:val="008E7A54"/>
    <w:rsid w:val="008E7D8C"/>
    <w:rsid w:val="008F0388"/>
    <w:rsid w:val="008F08D3"/>
    <w:rsid w:val="008F11BB"/>
    <w:rsid w:val="008F16FF"/>
    <w:rsid w:val="008F182F"/>
    <w:rsid w:val="008F193C"/>
    <w:rsid w:val="008F1CD3"/>
    <w:rsid w:val="008F1E95"/>
    <w:rsid w:val="008F1F76"/>
    <w:rsid w:val="008F2304"/>
    <w:rsid w:val="008F443C"/>
    <w:rsid w:val="008F57DD"/>
    <w:rsid w:val="008F5AEE"/>
    <w:rsid w:val="008F5DAB"/>
    <w:rsid w:val="008F617B"/>
    <w:rsid w:val="008F625E"/>
    <w:rsid w:val="008F64A2"/>
    <w:rsid w:val="008F6964"/>
    <w:rsid w:val="008F69B1"/>
    <w:rsid w:val="008F6B98"/>
    <w:rsid w:val="008F6EAA"/>
    <w:rsid w:val="008F77FF"/>
    <w:rsid w:val="008F7800"/>
    <w:rsid w:val="008F7BCA"/>
    <w:rsid w:val="00900824"/>
    <w:rsid w:val="00900F4D"/>
    <w:rsid w:val="00900FCB"/>
    <w:rsid w:val="00901408"/>
    <w:rsid w:val="00901611"/>
    <w:rsid w:val="0090167B"/>
    <w:rsid w:val="00901BEB"/>
    <w:rsid w:val="00901BF0"/>
    <w:rsid w:val="009021E1"/>
    <w:rsid w:val="00902BD1"/>
    <w:rsid w:val="00902DEC"/>
    <w:rsid w:val="0090342E"/>
    <w:rsid w:val="00903981"/>
    <w:rsid w:val="00903BDC"/>
    <w:rsid w:val="00903D3A"/>
    <w:rsid w:val="009044B9"/>
    <w:rsid w:val="009047B1"/>
    <w:rsid w:val="00904C86"/>
    <w:rsid w:val="00904E21"/>
    <w:rsid w:val="009067F5"/>
    <w:rsid w:val="0090680D"/>
    <w:rsid w:val="00906C65"/>
    <w:rsid w:val="00907B6C"/>
    <w:rsid w:val="0091045D"/>
    <w:rsid w:val="009106FD"/>
    <w:rsid w:val="009110BF"/>
    <w:rsid w:val="0091129E"/>
    <w:rsid w:val="00911CDC"/>
    <w:rsid w:val="00911DCF"/>
    <w:rsid w:val="00911E48"/>
    <w:rsid w:val="00911ED8"/>
    <w:rsid w:val="00912098"/>
    <w:rsid w:val="0091281A"/>
    <w:rsid w:val="0091298B"/>
    <w:rsid w:val="00912B24"/>
    <w:rsid w:val="00913774"/>
    <w:rsid w:val="009139B5"/>
    <w:rsid w:val="00913A3C"/>
    <w:rsid w:val="00913D2A"/>
    <w:rsid w:val="00914514"/>
    <w:rsid w:val="00914549"/>
    <w:rsid w:val="00914BFC"/>
    <w:rsid w:val="00914C08"/>
    <w:rsid w:val="00914C3F"/>
    <w:rsid w:val="00914F2F"/>
    <w:rsid w:val="00915FE0"/>
    <w:rsid w:val="00916057"/>
    <w:rsid w:val="0091667F"/>
    <w:rsid w:val="00916905"/>
    <w:rsid w:val="00916AD1"/>
    <w:rsid w:val="00917637"/>
    <w:rsid w:val="00917946"/>
    <w:rsid w:val="00917FEE"/>
    <w:rsid w:val="0092023D"/>
    <w:rsid w:val="0092035F"/>
    <w:rsid w:val="00920472"/>
    <w:rsid w:val="00920916"/>
    <w:rsid w:val="00920CC8"/>
    <w:rsid w:val="00921034"/>
    <w:rsid w:val="009210EF"/>
    <w:rsid w:val="00921251"/>
    <w:rsid w:val="00921736"/>
    <w:rsid w:val="00921861"/>
    <w:rsid w:val="00921865"/>
    <w:rsid w:val="0092189E"/>
    <w:rsid w:val="009219FD"/>
    <w:rsid w:val="00921DF7"/>
    <w:rsid w:val="00922BBE"/>
    <w:rsid w:val="00922FC0"/>
    <w:rsid w:val="009236BD"/>
    <w:rsid w:val="0092480D"/>
    <w:rsid w:val="00924C8F"/>
    <w:rsid w:val="0092504C"/>
    <w:rsid w:val="009257B0"/>
    <w:rsid w:val="009258BD"/>
    <w:rsid w:val="00925DEB"/>
    <w:rsid w:val="00925F48"/>
    <w:rsid w:val="009261B0"/>
    <w:rsid w:val="009263C0"/>
    <w:rsid w:val="009265C7"/>
    <w:rsid w:val="00927D0B"/>
    <w:rsid w:val="009302D4"/>
    <w:rsid w:val="009303D4"/>
    <w:rsid w:val="009307F2"/>
    <w:rsid w:val="0093084E"/>
    <w:rsid w:val="009308C6"/>
    <w:rsid w:val="00930CEC"/>
    <w:rsid w:val="00930F4A"/>
    <w:rsid w:val="00931158"/>
    <w:rsid w:val="00932068"/>
    <w:rsid w:val="0093279F"/>
    <w:rsid w:val="00932B2D"/>
    <w:rsid w:val="0093340C"/>
    <w:rsid w:val="0093375E"/>
    <w:rsid w:val="00933BEF"/>
    <w:rsid w:val="009340CA"/>
    <w:rsid w:val="00934B8B"/>
    <w:rsid w:val="00934B9D"/>
    <w:rsid w:val="00934FFC"/>
    <w:rsid w:val="00935321"/>
    <w:rsid w:val="0093787E"/>
    <w:rsid w:val="00940A67"/>
    <w:rsid w:val="009412CC"/>
    <w:rsid w:val="009427EB"/>
    <w:rsid w:val="00942A91"/>
    <w:rsid w:val="00942B2D"/>
    <w:rsid w:val="009431A9"/>
    <w:rsid w:val="00943419"/>
    <w:rsid w:val="0094388B"/>
    <w:rsid w:val="00943D09"/>
    <w:rsid w:val="00943D78"/>
    <w:rsid w:val="00943D96"/>
    <w:rsid w:val="00944826"/>
    <w:rsid w:val="00944F91"/>
    <w:rsid w:val="009451CD"/>
    <w:rsid w:val="00945586"/>
    <w:rsid w:val="009457A1"/>
    <w:rsid w:val="0094626C"/>
    <w:rsid w:val="00947086"/>
    <w:rsid w:val="00947C5D"/>
    <w:rsid w:val="00947CA9"/>
    <w:rsid w:val="00947FE2"/>
    <w:rsid w:val="00950478"/>
    <w:rsid w:val="0095067C"/>
    <w:rsid w:val="00950888"/>
    <w:rsid w:val="00950A28"/>
    <w:rsid w:val="00950AF9"/>
    <w:rsid w:val="00950B5F"/>
    <w:rsid w:val="00950D35"/>
    <w:rsid w:val="0095144C"/>
    <w:rsid w:val="0095165B"/>
    <w:rsid w:val="009519D0"/>
    <w:rsid w:val="00951B17"/>
    <w:rsid w:val="00951B8D"/>
    <w:rsid w:val="009522F5"/>
    <w:rsid w:val="00952EC9"/>
    <w:rsid w:val="009532AF"/>
    <w:rsid w:val="009536A8"/>
    <w:rsid w:val="0095397E"/>
    <w:rsid w:val="0095458D"/>
    <w:rsid w:val="00954596"/>
    <w:rsid w:val="0095526F"/>
    <w:rsid w:val="00955851"/>
    <w:rsid w:val="00957E23"/>
    <w:rsid w:val="0096037A"/>
    <w:rsid w:val="009610A9"/>
    <w:rsid w:val="00961466"/>
    <w:rsid w:val="00961487"/>
    <w:rsid w:val="00961825"/>
    <w:rsid w:val="00961BA7"/>
    <w:rsid w:val="00961F01"/>
    <w:rsid w:val="00962162"/>
    <w:rsid w:val="009623BC"/>
    <w:rsid w:val="009628BE"/>
    <w:rsid w:val="00962AF0"/>
    <w:rsid w:val="00962B23"/>
    <w:rsid w:val="00962C47"/>
    <w:rsid w:val="009631C8"/>
    <w:rsid w:val="00963AE4"/>
    <w:rsid w:val="00963C14"/>
    <w:rsid w:val="0096403E"/>
    <w:rsid w:val="00964075"/>
    <w:rsid w:val="009645CD"/>
    <w:rsid w:val="00964CC5"/>
    <w:rsid w:val="00965113"/>
    <w:rsid w:val="00965940"/>
    <w:rsid w:val="00965A4E"/>
    <w:rsid w:val="00965EA3"/>
    <w:rsid w:val="00965F2C"/>
    <w:rsid w:val="00966BE5"/>
    <w:rsid w:val="00966EB0"/>
    <w:rsid w:val="00966F74"/>
    <w:rsid w:val="0097043C"/>
    <w:rsid w:val="009704FD"/>
    <w:rsid w:val="00970D0B"/>
    <w:rsid w:val="00970FC2"/>
    <w:rsid w:val="00971116"/>
    <w:rsid w:val="00972032"/>
    <w:rsid w:val="0097287E"/>
    <w:rsid w:val="00972B55"/>
    <w:rsid w:val="00972C24"/>
    <w:rsid w:val="00972D0E"/>
    <w:rsid w:val="00972E28"/>
    <w:rsid w:val="00972E6A"/>
    <w:rsid w:val="00973030"/>
    <w:rsid w:val="009733F3"/>
    <w:rsid w:val="0097405A"/>
    <w:rsid w:val="0097419A"/>
    <w:rsid w:val="009748E4"/>
    <w:rsid w:val="00975EC7"/>
    <w:rsid w:val="00976A6E"/>
    <w:rsid w:val="00976BA8"/>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132"/>
    <w:rsid w:val="00983314"/>
    <w:rsid w:val="00983DF2"/>
    <w:rsid w:val="009842CF"/>
    <w:rsid w:val="0098433A"/>
    <w:rsid w:val="00984C66"/>
    <w:rsid w:val="00984F6C"/>
    <w:rsid w:val="00985675"/>
    <w:rsid w:val="00985726"/>
    <w:rsid w:val="00985939"/>
    <w:rsid w:val="0098637F"/>
    <w:rsid w:val="009864C5"/>
    <w:rsid w:val="009864CE"/>
    <w:rsid w:val="00986A9B"/>
    <w:rsid w:val="00986B9C"/>
    <w:rsid w:val="00987B14"/>
    <w:rsid w:val="00987BAB"/>
    <w:rsid w:val="009905F8"/>
    <w:rsid w:val="009906BF"/>
    <w:rsid w:val="00990A0A"/>
    <w:rsid w:val="009913F3"/>
    <w:rsid w:val="00991DA1"/>
    <w:rsid w:val="009927F1"/>
    <w:rsid w:val="0099291A"/>
    <w:rsid w:val="00992DD9"/>
    <w:rsid w:val="009936C4"/>
    <w:rsid w:val="00993E3A"/>
    <w:rsid w:val="009943AD"/>
    <w:rsid w:val="009948ED"/>
    <w:rsid w:val="00994987"/>
    <w:rsid w:val="00994A29"/>
    <w:rsid w:val="00994BFC"/>
    <w:rsid w:val="009952B4"/>
    <w:rsid w:val="00995861"/>
    <w:rsid w:val="00995ADA"/>
    <w:rsid w:val="009962C4"/>
    <w:rsid w:val="0099643A"/>
    <w:rsid w:val="00996719"/>
    <w:rsid w:val="00997431"/>
    <w:rsid w:val="009974CB"/>
    <w:rsid w:val="0099780E"/>
    <w:rsid w:val="00997959"/>
    <w:rsid w:val="009A04A6"/>
    <w:rsid w:val="009A0AD5"/>
    <w:rsid w:val="009A0BAF"/>
    <w:rsid w:val="009A0CAA"/>
    <w:rsid w:val="009A0F31"/>
    <w:rsid w:val="009A13B9"/>
    <w:rsid w:val="009A1431"/>
    <w:rsid w:val="009A153D"/>
    <w:rsid w:val="009A1634"/>
    <w:rsid w:val="009A16B8"/>
    <w:rsid w:val="009A1B91"/>
    <w:rsid w:val="009A1F18"/>
    <w:rsid w:val="009A28F9"/>
    <w:rsid w:val="009A2972"/>
    <w:rsid w:val="009A351B"/>
    <w:rsid w:val="009A3A34"/>
    <w:rsid w:val="009A3FE2"/>
    <w:rsid w:val="009A400C"/>
    <w:rsid w:val="009A4B2C"/>
    <w:rsid w:val="009A5592"/>
    <w:rsid w:val="009A59BA"/>
    <w:rsid w:val="009A613B"/>
    <w:rsid w:val="009A6417"/>
    <w:rsid w:val="009A6A9C"/>
    <w:rsid w:val="009A6F53"/>
    <w:rsid w:val="009A7412"/>
    <w:rsid w:val="009A7B97"/>
    <w:rsid w:val="009B01DF"/>
    <w:rsid w:val="009B020D"/>
    <w:rsid w:val="009B0239"/>
    <w:rsid w:val="009B02DE"/>
    <w:rsid w:val="009B072F"/>
    <w:rsid w:val="009B0773"/>
    <w:rsid w:val="009B07A1"/>
    <w:rsid w:val="009B09CC"/>
    <w:rsid w:val="009B0C0C"/>
    <w:rsid w:val="009B0FBF"/>
    <w:rsid w:val="009B173B"/>
    <w:rsid w:val="009B192A"/>
    <w:rsid w:val="009B1A1A"/>
    <w:rsid w:val="009B1FC1"/>
    <w:rsid w:val="009B22A0"/>
    <w:rsid w:val="009B23FF"/>
    <w:rsid w:val="009B2608"/>
    <w:rsid w:val="009B2939"/>
    <w:rsid w:val="009B2A71"/>
    <w:rsid w:val="009B2CCD"/>
    <w:rsid w:val="009B2E67"/>
    <w:rsid w:val="009B36D3"/>
    <w:rsid w:val="009B4027"/>
    <w:rsid w:val="009B414F"/>
    <w:rsid w:val="009B435F"/>
    <w:rsid w:val="009B4975"/>
    <w:rsid w:val="009B5348"/>
    <w:rsid w:val="009B53CB"/>
    <w:rsid w:val="009B561F"/>
    <w:rsid w:val="009B569F"/>
    <w:rsid w:val="009B5773"/>
    <w:rsid w:val="009B5D2D"/>
    <w:rsid w:val="009B5E61"/>
    <w:rsid w:val="009B609E"/>
    <w:rsid w:val="009B6228"/>
    <w:rsid w:val="009B6FC6"/>
    <w:rsid w:val="009B799C"/>
    <w:rsid w:val="009B7AF7"/>
    <w:rsid w:val="009C058F"/>
    <w:rsid w:val="009C1355"/>
    <w:rsid w:val="009C16E0"/>
    <w:rsid w:val="009C1CBE"/>
    <w:rsid w:val="009C2B3E"/>
    <w:rsid w:val="009C2EA2"/>
    <w:rsid w:val="009C30DE"/>
    <w:rsid w:val="009C3256"/>
    <w:rsid w:val="009C3721"/>
    <w:rsid w:val="009C4141"/>
    <w:rsid w:val="009C4B55"/>
    <w:rsid w:val="009C4F84"/>
    <w:rsid w:val="009C506C"/>
    <w:rsid w:val="009C56B2"/>
    <w:rsid w:val="009C5FCC"/>
    <w:rsid w:val="009C601A"/>
    <w:rsid w:val="009C61A2"/>
    <w:rsid w:val="009C651F"/>
    <w:rsid w:val="009C65C8"/>
    <w:rsid w:val="009C662B"/>
    <w:rsid w:val="009C6D3D"/>
    <w:rsid w:val="009C6DF6"/>
    <w:rsid w:val="009C6E92"/>
    <w:rsid w:val="009C7360"/>
    <w:rsid w:val="009C7510"/>
    <w:rsid w:val="009C7A4A"/>
    <w:rsid w:val="009D04F7"/>
    <w:rsid w:val="009D1163"/>
    <w:rsid w:val="009D1501"/>
    <w:rsid w:val="009D1589"/>
    <w:rsid w:val="009D1B37"/>
    <w:rsid w:val="009D2003"/>
    <w:rsid w:val="009D292E"/>
    <w:rsid w:val="009D2C15"/>
    <w:rsid w:val="009D2FD3"/>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19B"/>
    <w:rsid w:val="009E02DC"/>
    <w:rsid w:val="009E1062"/>
    <w:rsid w:val="009E1098"/>
    <w:rsid w:val="009E13FD"/>
    <w:rsid w:val="009E1B5E"/>
    <w:rsid w:val="009E1C19"/>
    <w:rsid w:val="009E1F2F"/>
    <w:rsid w:val="009E2040"/>
    <w:rsid w:val="009E26F8"/>
    <w:rsid w:val="009E2A4D"/>
    <w:rsid w:val="009E2D45"/>
    <w:rsid w:val="009E3851"/>
    <w:rsid w:val="009E40F9"/>
    <w:rsid w:val="009E46CD"/>
    <w:rsid w:val="009E49AE"/>
    <w:rsid w:val="009E4A8E"/>
    <w:rsid w:val="009E4DC7"/>
    <w:rsid w:val="009E5488"/>
    <w:rsid w:val="009E5AFE"/>
    <w:rsid w:val="009E5B12"/>
    <w:rsid w:val="009E5B92"/>
    <w:rsid w:val="009E660A"/>
    <w:rsid w:val="009E68FC"/>
    <w:rsid w:val="009E6B64"/>
    <w:rsid w:val="009E72E5"/>
    <w:rsid w:val="009E7636"/>
    <w:rsid w:val="009F062A"/>
    <w:rsid w:val="009F06D4"/>
    <w:rsid w:val="009F0E72"/>
    <w:rsid w:val="009F0FB3"/>
    <w:rsid w:val="009F299C"/>
    <w:rsid w:val="009F2B21"/>
    <w:rsid w:val="009F2E46"/>
    <w:rsid w:val="009F2EFD"/>
    <w:rsid w:val="009F2F1C"/>
    <w:rsid w:val="009F366E"/>
    <w:rsid w:val="009F4068"/>
    <w:rsid w:val="009F46C8"/>
    <w:rsid w:val="009F4F2A"/>
    <w:rsid w:val="009F5485"/>
    <w:rsid w:val="009F5A4F"/>
    <w:rsid w:val="009F660B"/>
    <w:rsid w:val="009F671E"/>
    <w:rsid w:val="009F67F2"/>
    <w:rsid w:val="009F6F96"/>
    <w:rsid w:val="009F7142"/>
    <w:rsid w:val="009F7ED1"/>
    <w:rsid w:val="00A00303"/>
    <w:rsid w:val="00A00A46"/>
    <w:rsid w:val="00A00F76"/>
    <w:rsid w:val="00A01164"/>
    <w:rsid w:val="00A0149B"/>
    <w:rsid w:val="00A0156F"/>
    <w:rsid w:val="00A01607"/>
    <w:rsid w:val="00A0162D"/>
    <w:rsid w:val="00A018D4"/>
    <w:rsid w:val="00A019E6"/>
    <w:rsid w:val="00A0240C"/>
    <w:rsid w:val="00A028E0"/>
    <w:rsid w:val="00A02F9D"/>
    <w:rsid w:val="00A033DE"/>
    <w:rsid w:val="00A03685"/>
    <w:rsid w:val="00A03767"/>
    <w:rsid w:val="00A038E7"/>
    <w:rsid w:val="00A0394A"/>
    <w:rsid w:val="00A03AC4"/>
    <w:rsid w:val="00A04099"/>
    <w:rsid w:val="00A04587"/>
    <w:rsid w:val="00A04834"/>
    <w:rsid w:val="00A04C82"/>
    <w:rsid w:val="00A04D4D"/>
    <w:rsid w:val="00A05628"/>
    <w:rsid w:val="00A05D40"/>
    <w:rsid w:val="00A07C44"/>
    <w:rsid w:val="00A07C4D"/>
    <w:rsid w:val="00A07DCF"/>
    <w:rsid w:val="00A1032A"/>
    <w:rsid w:val="00A10506"/>
    <w:rsid w:val="00A10E36"/>
    <w:rsid w:val="00A11BD9"/>
    <w:rsid w:val="00A11BEA"/>
    <w:rsid w:val="00A11D3C"/>
    <w:rsid w:val="00A12114"/>
    <w:rsid w:val="00A12835"/>
    <w:rsid w:val="00A12979"/>
    <w:rsid w:val="00A131A9"/>
    <w:rsid w:val="00A13222"/>
    <w:rsid w:val="00A13894"/>
    <w:rsid w:val="00A1496E"/>
    <w:rsid w:val="00A14D6B"/>
    <w:rsid w:val="00A14F84"/>
    <w:rsid w:val="00A15060"/>
    <w:rsid w:val="00A156D5"/>
    <w:rsid w:val="00A16037"/>
    <w:rsid w:val="00A1650A"/>
    <w:rsid w:val="00A16D6D"/>
    <w:rsid w:val="00A16D6F"/>
    <w:rsid w:val="00A175B0"/>
    <w:rsid w:val="00A17C75"/>
    <w:rsid w:val="00A20DBF"/>
    <w:rsid w:val="00A21039"/>
    <w:rsid w:val="00A211C8"/>
    <w:rsid w:val="00A21203"/>
    <w:rsid w:val="00A2121E"/>
    <w:rsid w:val="00A21E7C"/>
    <w:rsid w:val="00A21EAC"/>
    <w:rsid w:val="00A21FA2"/>
    <w:rsid w:val="00A21FC3"/>
    <w:rsid w:val="00A221DE"/>
    <w:rsid w:val="00A22598"/>
    <w:rsid w:val="00A228FD"/>
    <w:rsid w:val="00A229D4"/>
    <w:rsid w:val="00A22CB2"/>
    <w:rsid w:val="00A22D65"/>
    <w:rsid w:val="00A23138"/>
    <w:rsid w:val="00A2349C"/>
    <w:rsid w:val="00A23940"/>
    <w:rsid w:val="00A23ECC"/>
    <w:rsid w:val="00A24509"/>
    <w:rsid w:val="00A24717"/>
    <w:rsid w:val="00A24CD3"/>
    <w:rsid w:val="00A250AB"/>
    <w:rsid w:val="00A25129"/>
    <w:rsid w:val="00A25461"/>
    <w:rsid w:val="00A25897"/>
    <w:rsid w:val="00A25993"/>
    <w:rsid w:val="00A25EAF"/>
    <w:rsid w:val="00A261D7"/>
    <w:rsid w:val="00A26367"/>
    <w:rsid w:val="00A2678A"/>
    <w:rsid w:val="00A269E1"/>
    <w:rsid w:val="00A26A7C"/>
    <w:rsid w:val="00A26D5D"/>
    <w:rsid w:val="00A27343"/>
    <w:rsid w:val="00A27372"/>
    <w:rsid w:val="00A27509"/>
    <w:rsid w:val="00A27B8D"/>
    <w:rsid w:val="00A27C1C"/>
    <w:rsid w:val="00A27CBC"/>
    <w:rsid w:val="00A305AE"/>
    <w:rsid w:val="00A309EC"/>
    <w:rsid w:val="00A30F6A"/>
    <w:rsid w:val="00A3184D"/>
    <w:rsid w:val="00A32AEA"/>
    <w:rsid w:val="00A32D36"/>
    <w:rsid w:val="00A32F32"/>
    <w:rsid w:val="00A335A9"/>
    <w:rsid w:val="00A33862"/>
    <w:rsid w:val="00A33E80"/>
    <w:rsid w:val="00A33EFE"/>
    <w:rsid w:val="00A340C4"/>
    <w:rsid w:val="00A34401"/>
    <w:rsid w:val="00A35718"/>
    <w:rsid w:val="00A35A93"/>
    <w:rsid w:val="00A35FBF"/>
    <w:rsid w:val="00A361C5"/>
    <w:rsid w:val="00A36806"/>
    <w:rsid w:val="00A37817"/>
    <w:rsid w:val="00A37C4F"/>
    <w:rsid w:val="00A400AD"/>
    <w:rsid w:val="00A40525"/>
    <w:rsid w:val="00A40949"/>
    <w:rsid w:val="00A4148D"/>
    <w:rsid w:val="00A415CD"/>
    <w:rsid w:val="00A41BBB"/>
    <w:rsid w:val="00A4245B"/>
    <w:rsid w:val="00A424F4"/>
    <w:rsid w:val="00A42533"/>
    <w:rsid w:val="00A427D9"/>
    <w:rsid w:val="00A429AB"/>
    <w:rsid w:val="00A43D34"/>
    <w:rsid w:val="00A43DDC"/>
    <w:rsid w:val="00A444DF"/>
    <w:rsid w:val="00A44518"/>
    <w:rsid w:val="00A44D0E"/>
    <w:rsid w:val="00A45128"/>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3C5"/>
    <w:rsid w:val="00A534A8"/>
    <w:rsid w:val="00A53572"/>
    <w:rsid w:val="00A5388C"/>
    <w:rsid w:val="00A5397B"/>
    <w:rsid w:val="00A53BE1"/>
    <w:rsid w:val="00A54644"/>
    <w:rsid w:val="00A54B90"/>
    <w:rsid w:val="00A555B2"/>
    <w:rsid w:val="00A55921"/>
    <w:rsid w:val="00A560E3"/>
    <w:rsid w:val="00A5617E"/>
    <w:rsid w:val="00A56225"/>
    <w:rsid w:val="00A5628F"/>
    <w:rsid w:val="00A564AF"/>
    <w:rsid w:val="00A566A8"/>
    <w:rsid w:val="00A56D0B"/>
    <w:rsid w:val="00A5775C"/>
    <w:rsid w:val="00A57A0F"/>
    <w:rsid w:val="00A57DA9"/>
    <w:rsid w:val="00A57E39"/>
    <w:rsid w:val="00A60CA5"/>
    <w:rsid w:val="00A60E72"/>
    <w:rsid w:val="00A60FA5"/>
    <w:rsid w:val="00A60FAC"/>
    <w:rsid w:val="00A6176D"/>
    <w:rsid w:val="00A61C7D"/>
    <w:rsid w:val="00A61F0C"/>
    <w:rsid w:val="00A61FF0"/>
    <w:rsid w:val="00A62580"/>
    <w:rsid w:val="00A62CB9"/>
    <w:rsid w:val="00A62D9E"/>
    <w:rsid w:val="00A6357E"/>
    <w:rsid w:val="00A63717"/>
    <w:rsid w:val="00A63AC9"/>
    <w:rsid w:val="00A64370"/>
    <w:rsid w:val="00A64502"/>
    <w:rsid w:val="00A64B5F"/>
    <w:rsid w:val="00A64D4F"/>
    <w:rsid w:val="00A64F17"/>
    <w:rsid w:val="00A65125"/>
    <w:rsid w:val="00A65EA0"/>
    <w:rsid w:val="00A66517"/>
    <w:rsid w:val="00A66A69"/>
    <w:rsid w:val="00A66E80"/>
    <w:rsid w:val="00A673F1"/>
    <w:rsid w:val="00A674EE"/>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37"/>
    <w:rsid w:val="00A739AC"/>
    <w:rsid w:val="00A73E29"/>
    <w:rsid w:val="00A745C8"/>
    <w:rsid w:val="00A75E02"/>
    <w:rsid w:val="00A76C7E"/>
    <w:rsid w:val="00A76E79"/>
    <w:rsid w:val="00A7771B"/>
    <w:rsid w:val="00A77758"/>
    <w:rsid w:val="00A778C8"/>
    <w:rsid w:val="00A779CE"/>
    <w:rsid w:val="00A77B53"/>
    <w:rsid w:val="00A77F8F"/>
    <w:rsid w:val="00A80346"/>
    <w:rsid w:val="00A811F1"/>
    <w:rsid w:val="00A81BE1"/>
    <w:rsid w:val="00A82887"/>
    <w:rsid w:val="00A83010"/>
    <w:rsid w:val="00A8331D"/>
    <w:rsid w:val="00A835A9"/>
    <w:rsid w:val="00A8373A"/>
    <w:rsid w:val="00A83986"/>
    <w:rsid w:val="00A83AAC"/>
    <w:rsid w:val="00A83BF5"/>
    <w:rsid w:val="00A849ED"/>
    <w:rsid w:val="00A84CD1"/>
    <w:rsid w:val="00A84DC4"/>
    <w:rsid w:val="00A84EE8"/>
    <w:rsid w:val="00A85906"/>
    <w:rsid w:val="00A85C82"/>
    <w:rsid w:val="00A85E2E"/>
    <w:rsid w:val="00A861F3"/>
    <w:rsid w:val="00A8660B"/>
    <w:rsid w:val="00A86BFC"/>
    <w:rsid w:val="00A87285"/>
    <w:rsid w:val="00A8728F"/>
    <w:rsid w:val="00A873E4"/>
    <w:rsid w:val="00A8756A"/>
    <w:rsid w:val="00A87754"/>
    <w:rsid w:val="00A879B8"/>
    <w:rsid w:val="00A87F7D"/>
    <w:rsid w:val="00A906B7"/>
    <w:rsid w:val="00A9070E"/>
    <w:rsid w:val="00A908B8"/>
    <w:rsid w:val="00A91331"/>
    <w:rsid w:val="00A91873"/>
    <w:rsid w:val="00A92692"/>
    <w:rsid w:val="00A92741"/>
    <w:rsid w:val="00A92DD4"/>
    <w:rsid w:val="00A92FC6"/>
    <w:rsid w:val="00A9326D"/>
    <w:rsid w:val="00A933D5"/>
    <w:rsid w:val="00A93534"/>
    <w:rsid w:val="00A9365C"/>
    <w:rsid w:val="00A938E6"/>
    <w:rsid w:val="00A94200"/>
    <w:rsid w:val="00A946AB"/>
    <w:rsid w:val="00A94D0F"/>
    <w:rsid w:val="00A94DFA"/>
    <w:rsid w:val="00A94F13"/>
    <w:rsid w:val="00A955E0"/>
    <w:rsid w:val="00A9568C"/>
    <w:rsid w:val="00A95BED"/>
    <w:rsid w:val="00A95C74"/>
    <w:rsid w:val="00A95C7A"/>
    <w:rsid w:val="00A95EA2"/>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FE"/>
    <w:rsid w:val="00AA17E2"/>
    <w:rsid w:val="00AA1DB3"/>
    <w:rsid w:val="00AA1E7E"/>
    <w:rsid w:val="00AA21B7"/>
    <w:rsid w:val="00AA2EDE"/>
    <w:rsid w:val="00AA3827"/>
    <w:rsid w:val="00AA382D"/>
    <w:rsid w:val="00AA390F"/>
    <w:rsid w:val="00AA3FD2"/>
    <w:rsid w:val="00AA431E"/>
    <w:rsid w:val="00AA4A2C"/>
    <w:rsid w:val="00AA4CEB"/>
    <w:rsid w:val="00AA579A"/>
    <w:rsid w:val="00AA59A6"/>
    <w:rsid w:val="00AA5E5C"/>
    <w:rsid w:val="00AA6109"/>
    <w:rsid w:val="00AA6299"/>
    <w:rsid w:val="00AA66B6"/>
    <w:rsid w:val="00AA674E"/>
    <w:rsid w:val="00AA6E05"/>
    <w:rsid w:val="00AA6E60"/>
    <w:rsid w:val="00AA71B7"/>
    <w:rsid w:val="00AA78EA"/>
    <w:rsid w:val="00AB0099"/>
    <w:rsid w:val="00AB0262"/>
    <w:rsid w:val="00AB0356"/>
    <w:rsid w:val="00AB0556"/>
    <w:rsid w:val="00AB069A"/>
    <w:rsid w:val="00AB0A6D"/>
    <w:rsid w:val="00AB11F1"/>
    <w:rsid w:val="00AB14A1"/>
    <w:rsid w:val="00AB1BA0"/>
    <w:rsid w:val="00AB1BFF"/>
    <w:rsid w:val="00AB202A"/>
    <w:rsid w:val="00AB2DAC"/>
    <w:rsid w:val="00AB39B5"/>
    <w:rsid w:val="00AB3DA7"/>
    <w:rsid w:val="00AB3E56"/>
    <w:rsid w:val="00AB3FA9"/>
    <w:rsid w:val="00AB415A"/>
    <w:rsid w:val="00AB44F4"/>
    <w:rsid w:val="00AB4A3C"/>
    <w:rsid w:val="00AB4C55"/>
    <w:rsid w:val="00AB4D42"/>
    <w:rsid w:val="00AB4F20"/>
    <w:rsid w:val="00AB51C6"/>
    <w:rsid w:val="00AB5265"/>
    <w:rsid w:val="00AB5328"/>
    <w:rsid w:val="00AB5555"/>
    <w:rsid w:val="00AB55AD"/>
    <w:rsid w:val="00AB5D1B"/>
    <w:rsid w:val="00AB60EE"/>
    <w:rsid w:val="00AB6243"/>
    <w:rsid w:val="00AB6918"/>
    <w:rsid w:val="00AB6B40"/>
    <w:rsid w:val="00AB6FA3"/>
    <w:rsid w:val="00AB740A"/>
    <w:rsid w:val="00AB767F"/>
    <w:rsid w:val="00AB7828"/>
    <w:rsid w:val="00AB7E0A"/>
    <w:rsid w:val="00AC0595"/>
    <w:rsid w:val="00AC07CA"/>
    <w:rsid w:val="00AC0CDE"/>
    <w:rsid w:val="00AC1215"/>
    <w:rsid w:val="00AC19B5"/>
    <w:rsid w:val="00AC1DA5"/>
    <w:rsid w:val="00AC1F6A"/>
    <w:rsid w:val="00AC216B"/>
    <w:rsid w:val="00AC2690"/>
    <w:rsid w:val="00AC26B1"/>
    <w:rsid w:val="00AC2837"/>
    <w:rsid w:val="00AC2CFF"/>
    <w:rsid w:val="00AC317E"/>
    <w:rsid w:val="00AC392C"/>
    <w:rsid w:val="00AC42B8"/>
    <w:rsid w:val="00AC45C5"/>
    <w:rsid w:val="00AC4791"/>
    <w:rsid w:val="00AC4A76"/>
    <w:rsid w:val="00AC4FB6"/>
    <w:rsid w:val="00AC4FD1"/>
    <w:rsid w:val="00AC500B"/>
    <w:rsid w:val="00AC525D"/>
    <w:rsid w:val="00AC5666"/>
    <w:rsid w:val="00AC5841"/>
    <w:rsid w:val="00AC5FEF"/>
    <w:rsid w:val="00AC6036"/>
    <w:rsid w:val="00AC6243"/>
    <w:rsid w:val="00AC7831"/>
    <w:rsid w:val="00AC7B06"/>
    <w:rsid w:val="00AD0328"/>
    <w:rsid w:val="00AD0756"/>
    <w:rsid w:val="00AD0B00"/>
    <w:rsid w:val="00AD11DC"/>
    <w:rsid w:val="00AD1885"/>
    <w:rsid w:val="00AD1966"/>
    <w:rsid w:val="00AD19E8"/>
    <w:rsid w:val="00AD1DAE"/>
    <w:rsid w:val="00AD1E25"/>
    <w:rsid w:val="00AD21D8"/>
    <w:rsid w:val="00AD2253"/>
    <w:rsid w:val="00AD2B03"/>
    <w:rsid w:val="00AD2E07"/>
    <w:rsid w:val="00AD2F3E"/>
    <w:rsid w:val="00AD322C"/>
    <w:rsid w:val="00AD3237"/>
    <w:rsid w:val="00AD38A9"/>
    <w:rsid w:val="00AD3E97"/>
    <w:rsid w:val="00AD4071"/>
    <w:rsid w:val="00AD44EA"/>
    <w:rsid w:val="00AD4516"/>
    <w:rsid w:val="00AD4782"/>
    <w:rsid w:val="00AD4B47"/>
    <w:rsid w:val="00AD4BFF"/>
    <w:rsid w:val="00AD5236"/>
    <w:rsid w:val="00AD527D"/>
    <w:rsid w:val="00AD54E0"/>
    <w:rsid w:val="00AD5F0C"/>
    <w:rsid w:val="00AD5F36"/>
    <w:rsid w:val="00AD5F3C"/>
    <w:rsid w:val="00AD6008"/>
    <w:rsid w:val="00AD6153"/>
    <w:rsid w:val="00AD64F5"/>
    <w:rsid w:val="00AD6EF1"/>
    <w:rsid w:val="00AD758E"/>
    <w:rsid w:val="00AD7AB5"/>
    <w:rsid w:val="00AE0063"/>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F7"/>
    <w:rsid w:val="00AE503A"/>
    <w:rsid w:val="00AE5547"/>
    <w:rsid w:val="00AE5B1F"/>
    <w:rsid w:val="00AE5C82"/>
    <w:rsid w:val="00AE5F7D"/>
    <w:rsid w:val="00AE6051"/>
    <w:rsid w:val="00AE66CA"/>
    <w:rsid w:val="00AE68E2"/>
    <w:rsid w:val="00AF0157"/>
    <w:rsid w:val="00AF22E1"/>
    <w:rsid w:val="00AF2A92"/>
    <w:rsid w:val="00AF2EC7"/>
    <w:rsid w:val="00AF30D5"/>
    <w:rsid w:val="00AF3613"/>
    <w:rsid w:val="00AF3AC0"/>
    <w:rsid w:val="00AF4595"/>
    <w:rsid w:val="00AF4A19"/>
    <w:rsid w:val="00AF4F4A"/>
    <w:rsid w:val="00AF51C0"/>
    <w:rsid w:val="00AF5C0B"/>
    <w:rsid w:val="00AF5D3E"/>
    <w:rsid w:val="00AF66BA"/>
    <w:rsid w:val="00AF687C"/>
    <w:rsid w:val="00AF75F5"/>
    <w:rsid w:val="00AF7A6C"/>
    <w:rsid w:val="00B0076F"/>
    <w:rsid w:val="00B009A9"/>
    <w:rsid w:val="00B00C24"/>
    <w:rsid w:val="00B00DB3"/>
    <w:rsid w:val="00B00F93"/>
    <w:rsid w:val="00B013C3"/>
    <w:rsid w:val="00B01555"/>
    <w:rsid w:val="00B01BBE"/>
    <w:rsid w:val="00B02368"/>
    <w:rsid w:val="00B02E28"/>
    <w:rsid w:val="00B03399"/>
    <w:rsid w:val="00B03EFF"/>
    <w:rsid w:val="00B03F92"/>
    <w:rsid w:val="00B043C6"/>
    <w:rsid w:val="00B049C6"/>
    <w:rsid w:val="00B054EB"/>
    <w:rsid w:val="00B055D8"/>
    <w:rsid w:val="00B0564D"/>
    <w:rsid w:val="00B059C5"/>
    <w:rsid w:val="00B05D72"/>
    <w:rsid w:val="00B0625C"/>
    <w:rsid w:val="00B06392"/>
    <w:rsid w:val="00B068F4"/>
    <w:rsid w:val="00B06CD6"/>
    <w:rsid w:val="00B06EBC"/>
    <w:rsid w:val="00B0708A"/>
    <w:rsid w:val="00B07232"/>
    <w:rsid w:val="00B075D7"/>
    <w:rsid w:val="00B07A16"/>
    <w:rsid w:val="00B1031A"/>
    <w:rsid w:val="00B10D22"/>
    <w:rsid w:val="00B11341"/>
    <w:rsid w:val="00B11B1A"/>
    <w:rsid w:val="00B11C0C"/>
    <w:rsid w:val="00B11D2D"/>
    <w:rsid w:val="00B1223C"/>
    <w:rsid w:val="00B123F0"/>
    <w:rsid w:val="00B12891"/>
    <w:rsid w:val="00B12E7E"/>
    <w:rsid w:val="00B12FA5"/>
    <w:rsid w:val="00B143E3"/>
    <w:rsid w:val="00B146C1"/>
    <w:rsid w:val="00B146E7"/>
    <w:rsid w:val="00B147DD"/>
    <w:rsid w:val="00B14A57"/>
    <w:rsid w:val="00B14D0B"/>
    <w:rsid w:val="00B156DF"/>
    <w:rsid w:val="00B159CF"/>
    <w:rsid w:val="00B15ABB"/>
    <w:rsid w:val="00B15CF8"/>
    <w:rsid w:val="00B15D3D"/>
    <w:rsid w:val="00B160CF"/>
    <w:rsid w:val="00B16973"/>
    <w:rsid w:val="00B16BB1"/>
    <w:rsid w:val="00B16F9E"/>
    <w:rsid w:val="00B17027"/>
    <w:rsid w:val="00B2036A"/>
    <w:rsid w:val="00B206F9"/>
    <w:rsid w:val="00B20713"/>
    <w:rsid w:val="00B21057"/>
    <w:rsid w:val="00B214ED"/>
    <w:rsid w:val="00B21894"/>
    <w:rsid w:val="00B21B23"/>
    <w:rsid w:val="00B21C3C"/>
    <w:rsid w:val="00B2202B"/>
    <w:rsid w:val="00B2206C"/>
    <w:rsid w:val="00B22097"/>
    <w:rsid w:val="00B22D3F"/>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7050"/>
    <w:rsid w:val="00B278BD"/>
    <w:rsid w:val="00B27B9F"/>
    <w:rsid w:val="00B27E2A"/>
    <w:rsid w:val="00B30028"/>
    <w:rsid w:val="00B3009C"/>
    <w:rsid w:val="00B30C2A"/>
    <w:rsid w:val="00B30F19"/>
    <w:rsid w:val="00B31467"/>
    <w:rsid w:val="00B31530"/>
    <w:rsid w:val="00B31E8D"/>
    <w:rsid w:val="00B32A9A"/>
    <w:rsid w:val="00B32B22"/>
    <w:rsid w:val="00B32FAD"/>
    <w:rsid w:val="00B32FC6"/>
    <w:rsid w:val="00B3313B"/>
    <w:rsid w:val="00B331E8"/>
    <w:rsid w:val="00B331EA"/>
    <w:rsid w:val="00B33796"/>
    <w:rsid w:val="00B33EEB"/>
    <w:rsid w:val="00B341F4"/>
    <w:rsid w:val="00B34732"/>
    <w:rsid w:val="00B347CB"/>
    <w:rsid w:val="00B34CFB"/>
    <w:rsid w:val="00B34D82"/>
    <w:rsid w:val="00B34DC9"/>
    <w:rsid w:val="00B353B8"/>
    <w:rsid w:val="00B35A93"/>
    <w:rsid w:val="00B35BEB"/>
    <w:rsid w:val="00B35C56"/>
    <w:rsid w:val="00B35F0A"/>
    <w:rsid w:val="00B36248"/>
    <w:rsid w:val="00B363B1"/>
    <w:rsid w:val="00B36736"/>
    <w:rsid w:val="00B36AD4"/>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9D0"/>
    <w:rsid w:val="00B443BF"/>
    <w:rsid w:val="00B446EE"/>
    <w:rsid w:val="00B44CC7"/>
    <w:rsid w:val="00B44D74"/>
    <w:rsid w:val="00B44FAA"/>
    <w:rsid w:val="00B46957"/>
    <w:rsid w:val="00B46CFD"/>
    <w:rsid w:val="00B46DB0"/>
    <w:rsid w:val="00B47921"/>
    <w:rsid w:val="00B47B54"/>
    <w:rsid w:val="00B50B29"/>
    <w:rsid w:val="00B50E99"/>
    <w:rsid w:val="00B51926"/>
    <w:rsid w:val="00B51F9A"/>
    <w:rsid w:val="00B5244A"/>
    <w:rsid w:val="00B529EA"/>
    <w:rsid w:val="00B52B18"/>
    <w:rsid w:val="00B53EDB"/>
    <w:rsid w:val="00B53F1C"/>
    <w:rsid w:val="00B54050"/>
    <w:rsid w:val="00B54111"/>
    <w:rsid w:val="00B5452F"/>
    <w:rsid w:val="00B54DA7"/>
    <w:rsid w:val="00B54E17"/>
    <w:rsid w:val="00B551D6"/>
    <w:rsid w:val="00B55F31"/>
    <w:rsid w:val="00B56D17"/>
    <w:rsid w:val="00B57477"/>
    <w:rsid w:val="00B600C6"/>
    <w:rsid w:val="00B60167"/>
    <w:rsid w:val="00B60FC0"/>
    <w:rsid w:val="00B61281"/>
    <w:rsid w:val="00B6155A"/>
    <w:rsid w:val="00B61665"/>
    <w:rsid w:val="00B6229D"/>
    <w:rsid w:val="00B63528"/>
    <w:rsid w:val="00B63922"/>
    <w:rsid w:val="00B63C3F"/>
    <w:rsid w:val="00B63D38"/>
    <w:rsid w:val="00B63DAF"/>
    <w:rsid w:val="00B63E98"/>
    <w:rsid w:val="00B6405E"/>
    <w:rsid w:val="00B640B9"/>
    <w:rsid w:val="00B6416E"/>
    <w:rsid w:val="00B65754"/>
    <w:rsid w:val="00B661AA"/>
    <w:rsid w:val="00B66235"/>
    <w:rsid w:val="00B66242"/>
    <w:rsid w:val="00B670D3"/>
    <w:rsid w:val="00B6787B"/>
    <w:rsid w:val="00B67958"/>
    <w:rsid w:val="00B67B45"/>
    <w:rsid w:val="00B701D1"/>
    <w:rsid w:val="00B711A9"/>
    <w:rsid w:val="00B713B7"/>
    <w:rsid w:val="00B715A3"/>
    <w:rsid w:val="00B716BB"/>
    <w:rsid w:val="00B716FD"/>
    <w:rsid w:val="00B71D48"/>
    <w:rsid w:val="00B72339"/>
    <w:rsid w:val="00B72443"/>
    <w:rsid w:val="00B734C2"/>
    <w:rsid w:val="00B73BDA"/>
    <w:rsid w:val="00B73CEE"/>
    <w:rsid w:val="00B73D55"/>
    <w:rsid w:val="00B74053"/>
    <w:rsid w:val="00B747AF"/>
    <w:rsid w:val="00B74DAE"/>
    <w:rsid w:val="00B7592D"/>
    <w:rsid w:val="00B75A61"/>
    <w:rsid w:val="00B761EA"/>
    <w:rsid w:val="00B765A0"/>
    <w:rsid w:val="00B768D8"/>
    <w:rsid w:val="00B769E6"/>
    <w:rsid w:val="00B76B27"/>
    <w:rsid w:val="00B76C02"/>
    <w:rsid w:val="00B778C2"/>
    <w:rsid w:val="00B77BD2"/>
    <w:rsid w:val="00B8008E"/>
    <w:rsid w:val="00B800A1"/>
    <w:rsid w:val="00B80CE6"/>
    <w:rsid w:val="00B80EE7"/>
    <w:rsid w:val="00B814CB"/>
    <w:rsid w:val="00B81B6A"/>
    <w:rsid w:val="00B820F4"/>
    <w:rsid w:val="00B824EA"/>
    <w:rsid w:val="00B830D0"/>
    <w:rsid w:val="00B833A3"/>
    <w:rsid w:val="00B835E0"/>
    <w:rsid w:val="00B83747"/>
    <w:rsid w:val="00B83893"/>
    <w:rsid w:val="00B8396D"/>
    <w:rsid w:val="00B83D33"/>
    <w:rsid w:val="00B83E78"/>
    <w:rsid w:val="00B842DE"/>
    <w:rsid w:val="00B847AE"/>
    <w:rsid w:val="00B8492F"/>
    <w:rsid w:val="00B84BC5"/>
    <w:rsid w:val="00B84BE8"/>
    <w:rsid w:val="00B84F83"/>
    <w:rsid w:val="00B85185"/>
    <w:rsid w:val="00B86E68"/>
    <w:rsid w:val="00B87507"/>
    <w:rsid w:val="00B87E35"/>
    <w:rsid w:val="00B87E74"/>
    <w:rsid w:val="00B87E90"/>
    <w:rsid w:val="00B87ED4"/>
    <w:rsid w:val="00B90331"/>
    <w:rsid w:val="00B903ED"/>
    <w:rsid w:val="00B90A07"/>
    <w:rsid w:val="00B90B2D"/>
    <w:rsid w:val="00B90B6F"/>
    <w:rsid w:val="00B91AD7"/>
    <w:rsid w:val="00B91C28"/>
    <w:rsid w:val="00B923CB"/>
    <w:rsid w:val="00B924B8"/>
    <w:rsid w:val="00B92631"/>
    <w:rsid w:val="00B931CB"/>
    <w:rsid w:val="00B935A1"/>
    <w:rsid w:val="00B93FCE"/>
    <w:rsid w:val="00B9408B"/>
    <w:rsid w:val="00B94C2F"/>
    <w:rsid w:val="00B95DAD"/>
    <w:rsid w:val="00B9607B"/>
    <w:rsid w:val="00B96C0C"/>
    <w:rsid w:val="00B96D51"/>
    <w:rsid w:val="00B9734D"/>
    <w:rsid w:val="00B9772B"/>
    <w:rsid w:val="00B97732"/>
    <w:rsid w:val="00B97B97"/>
    <w:rsid w:val="00B97FBA"/>
    <w:rsid w:val="00BA055F"/>
    <w:rsid w:val="00BA0AD5"/>
    <w:rsid w:val="00BA1FD3"/>
    <w:rsid w:val="00BA27F4"/>
    <w:rsid w:val="00BA29AF"/>
    <w:rsid w:val="00BA2BEE"/>
    <w:rsid w:val="00BA2E40"/>
    <w:rsid w:val="00BA3CB7"/>
    <w:rsid w:val="00BA41DE"/>
    <w:rsid w:val="00BA4566"/>
    <w:rsid w:val="00BA495B"/>
    <w:rsid w:val="00BA4DAA"/>
    <w:rsid w:val="00BA501B"/>
    <w:rsid w:val="00BA556C"/>
    <w:rsid w:val="00BA6F7C"/>
    <w:rsid w:val="00BA7417"/>
    <w:rsid w:val="00BA773F"/>
    <w:rsid w:val="00BA7C6E"/>
    <w:rsid w:val="00BB064F"/>
    <w:rsid w:val="00BB0D73"/>
    <w:rsid w:val="00BB0DDF"/>
    <w:rsid w:val="00BB0E17"/>
    <w:rsid w:val="00BB0F31"/>
    <w:rsid w:val="00BB140F"/>
    <w:rsid w:val="00BB15AB"/>
    <w:rsid w:val="00BB1734"/>
    <w:rsid w:val="00BB189B"/>
    <w:rsid w:val="00BB1D21"/>
    <w:rsid w:val="00BB2A3A"/>
    <w:rsid w:val="00BB2E51"/>
    <w:rsid w:val="00BB3235"/>
    <w:rsid w:val="00BB37A0"/>
    <w:rsid w:val="00BB3D9C"/>
    <w:rsid w:val="00BB4BEA"/>
    <w:rsid w:val="00BB4C1A"/>
    <w:rsid w:val="00BB4FD1"/>
    <w:rsid w:val="00BB50AB"/>
    <w:rsid w:val="00BB50C8"/>
    <w:rsid w:val="00BB554C"/>
    <w:rsid w:val="00BB599E"/>
    <w:rsid w:val="00BB6664"/>
    <w:rsid w:val="00BB682C"/>
    <w:rsid w:val="00BB6BEB"/>
    <w:rsid w:val="00BB762A"/>
    <w:rsid w:val="00BB7703"/>
    <w:rsid w:val="00BC01FC"/>
    <w:rsid w:val="00BC02D4"/>
    <w:rsid w:val="00BC033E"/>
    <w:rsid w:val="00BC0377"/>
    <w:rsid w:val="00BC0B0A"/>
    <w:rsid w:val="00BC0D57"/>
    <w:rsid w:val="00BC0E78"/>
    <w:rsid w:val="00BC1B81"/>
    <w:rsid w:val="00BC1BD9"/>
    <w:rsid w:val="00BC1F79"/>
    <w:rsid w:val="00BC21A9"/>
    <w:rsid w:val="00BC2201"/>
    <w:rsid w:val="00BC244A"/>
    <w:rsid w:val="00BC2C4E"/>
    <w:rsid w:val="00BC3930"/>
    <w:rsid w:val="00BC3C7A"/>
    <w:rsid w:val="00BC49BC"/>
    <w:rsid w:val="00BC4BB8"/>
    <w:rsid w:val="00BC5748"/>
    <w:rsid w:val="00BC713C"/>
    <w:rsid w:val="00BC7A0C"/>
    <w:rsid w:val="00BC7DC6"/>
    <w:rsid w:val="00BD0B25"/>
    <w:rsid w:val="00BD1039"/>
    <w:rsid w:val="00BD129A"/>
    <w:rsid w:val="00BD13B5"/>
    <w:rsid w:val="00BD15E7"/>
    <w:rsid w:val="00BD1F70"/>
    <w:rsid w:val="00BD270B"/>
    <w:rsid w:val="00BD2BC8"/>
    <w:rsid w:val="00BD2C4B"/>
    <w:rsid w:val="00BD2E32"/>
    <w:rsid w:val="00BD2EFC"/>
    <w:rsid w:val="00BD340E"/>
    <w:rsid w:val="00BD3F0A"/>
    <w:rsid w:val="00BD3F8D"/>
    <w:rsid w:val="00BD43E4"/>
    <w:rsid w:val="00BD4857"/>
    <w:rsid w:val="00BD4D39"/>
    <w:rsid w:val="00BD5C74"/>
    <w:rsid w:val="00BD5E04"/>
    <w:rsid w:val="00BD60AD"/>
    <w:rsid w:val="00BD6C02"/>
    <w:rsid w:val="00BD6D46"/>
    <w:rsid w:val="00BD729E"/>
    <w:rsid w:val="00BE05D9"/>
    <w:rsid w:val="00BE1244"/>
    <w:rsid w:val="00BE165D"/>
    <w:rsid w:val="00BE1BF1"/>
    <w:rsid w:val="00BE2394"/>
    <w:rsid w:val="00BE269A"/>
    <w:rsid w:val="00BE2702"/>
    <w:rsid w:val="00BE2BC8"/>
    <w:rsid w:val="00BE363D"/>
    <w:rsid w:val="00BE38D3"/>
    <w:rsid w:val="00BE39A7"/>
    <w:rsid w:val="00BE4131"/>
    <w:rsid w:val="00BE4326"/>
    <w:rsid w:val="00BE44C2"/>
    <w:rsid w:val="00BE50D2"/>
    <w:rsid w:val="00BE5477"/>
    <w:rsid w:val="00BE5E36"/>
    <w:rsid w:val="00BE5F4F"/>
    <w:rsid w:val="00BE60DB"/>
    <w:rsid w:val="00BE6C01"/>
    <w:rsid w:val="00BE7249"/>
    <w:rsid w:val="00BE7F96"/>
    <w:rsid w:val="00BF0191"/>
    <w:rsid w:val="00BF0804"/>
    <w:rsid w:val="00BF0B05"/>
    <w:rsid w:val="00BF1257"/>
    <w:rsid w:val="00BF13EC"/>
    <w:rsid w:val="00BF1C07"/>
    <w:rsid w:val="00BF1E36"/>
    <w:rsid w:val="00BF26BD"/>
    <w:rsid w:val="00BF2853"/>
    <w:rsid w:val="00BF2A60"/>
    <w:rsid w:val="00BF3085"/>
    <w:rsid w:val="00BF34E9"/>
    <w:rsid w:val="00BF3863"/>
    <w:rsid w:val="00BF3DEE"/>
    <w:rsid w:val="00BF4AE6"/>
    <w:rsid w:val="00BF54AC"/>
    <w:rsid w:val="00BF54BD"/>
    <w:rsid w:val="00BF58B5"/>
    <w:rsid w:val="00BF5C34"/>
    <w:rsid w:val="00BF6B8E"/>
    <w:rsid w:val="00BF6EE5"/>
    <w:rsid w:val="00BF7406"/>
    <w:rsid w:val="00C00F23"/>
    <w:rsid w:val="00C01082"/>
    <w:rsid w:val="00C0176E"/>
    <w:rsid w:val="00C018E1"/>
    <w:rsid w:val="00C01B0D"/>
    <w:rsid w:val="00C01B2F"/>
    <w:rsid w:val="00C0233D"/>
    <w:rsid w:val="00C0251E"/>
    <w:rsid w:val="00C025A5"/>
    <w:rsid w:val="00C03C78"/>
    <w:rsid w:val="00C04EDE"/>
    <w:rsid w:val="00C04FA3"/>
    <w:rsid w:val="00C04FD3"/>
    <w:rsid w:val="00C05057"/>
    <w:rsid w:val="00C065A2"/>
    <w:rsid w:val="00C0697C"/>
    <w:rsid w:val="00C07679"/>
    <w:rsid w:val="00C07919"/>
    <w:rsid w:val="00C079FE"/>
    <w:rsid w:val="00C1017A"/>
    <w:rsid w:val="00C1025B"/>
    <w:rsid w:val="00C103F9"/>
    <w:rsid w:val="00C104AC"/>
    <w:rsid w:val="00C10F52"/>
    <w:rsid w:val="00C110E1"/>
    <w:rsid w:val="00C1198F"/>
    <w:rsid w:val="00C11FA1"/>
    <w:rsid w:val="00C1288D"/>
    <w:rsid w:val="00C12E21"/>
    <w:rsid w:val="00C12E65"/>
    <w:rsid w:val="00C12EE9"/>
    <w:rsid w:val="00C13163"/>
    <w:rsid w:val="00C13848"/>
    <w:rsid w:val="00C13C20"/>
    <w:rsid w:val="00C13F74"/>
    <w:rsid w:val="00C144F3"/>
    <w:rsid w:val="00C146D3"/>
    <w:rsid w:val="00C14704"/>
    <w:rsid w:val="00C15B23"/>
    <w:rsid w:val="00C15BF3"/>
    <w:rsid w:val="00C15C63"/>
    <w:rsid w:val="00C16118"/>
    <w:rsid w:val="00C16209"/>
    <w:rsid w:val="00C162A8"/>
    <w:rsid w:val="00C168D4"/>
    <w:rsid w:val="00C16BE0"/>
    <w:rsid w:val="00C2041D"/>
    <w:rsid w:val="00C2073A"/>
    <w:rsid w:val="00C20BCF"/>
    <w:rsid w:val="00C21161"/>
    <w:rsid w:val="00C215F4"/>
    <w:rsid w:val="00C216A3"/>
    <w:rsid w:val="00C21733"/>
    <w:rsid w:val="00C21C39"/>
    <w:rsid w:val="00C22685"/>
    <w:rsid w:val="00C229CF"/>
    <w:rsid w:val="00C22A91"/>
    <w:rsid w:val="00C230B5"/>
    <w:rsid w:val="00C2325C"/>
    <w:rsid w:val="00C239ED"/>
    <w:rsid w:val="00C23AC1"/>
    <w:rsid w:val="00C23DAC"/>
    <w:rsid w:val="00C246A3"/>
    <w:rsid w:val="00C2489E"/>
    <w:rsid w:val="00C24D9D"/>
    <w:rsid w:val="00C257FA"/>
    <w:rsid w:val="00C25CF3"/>
    <w:rsid w:val="00C263E9"/>
    <w:rsid w:val="00C267BB"/>
    <w:rsid w:val="00C26AEB"/>
    <w:rsid w:val="00C26B3A"/>
    <w:rsid w:val="00C26D74"/>
    <w:rsid w:val="00C26EB7"/>
    <w:rsid w:val="00C2775A"/>
    <w:rsid w:val="00C27886"/>
    <w:rsid w:val="00C30316"/>
    <w:rsid w:val="00C3063A"/>
    <w:rsid w:val="00C306B9"/>
    <w:rsid w:val="00C308B6"/>
    <w:rsid w:val="00C30BAD"/>
    <w:rsid w:val="00C30E93"/>
    <w:rsid w:val="00C311AB"/>
    <w:rsid w:val="00C31E8F"/>
    <w:rsid w:val="00C322D1"/>
    <w:rsid w:val="00C3323F"/>
    <w:rsid w:val="00C332C7"/>
    <w:rsid w:val="00C33429"/>
    <w:rsid w:val="00C3355E"/>
    <w:rsid w:val="00C3359F"/>
    <w:rsid w:val="00C335DA"/>
    <w:rsid w:val="00C33D3E"/>
    <w:rsid w:val="00C33EFA"/>
    <w:rsid w:val="00C33F43"/>
    <w:rsid w:val="00C34970"/>
    <w:rsid w:val="00C35AEA"/>
    <w:rsid w:val="00C35CC0"/>
    <w:rsid w:val="00C35D9C"/>
    <w:rsid w:val="00C362E0"/>
    <w:rsid w:val="00C363AF"/>
    <w:rsid w:val="00C36743"/>
    <w:rsid w:val="00C36BB0"/>
    <w:rsid w:val="00C36ED4"/>
    <w:rsid w:val="00C36FAF"/>
    <w:rsid w:val="00C376CC"/>
    <w:rsid w:val="00C37B91"/>
    <w:rsid w:val="00C400F7"/>
    <w:rsid w:val="00C40185"/>
    <w:rsid w:val="00C40699"/>
    <w:rsid w:val="00C40EC6"/>
    <w:rsid w:val="00C417AA"/>
    <w:rsid w:val="00C419AD"/>
    <w:rsid w:val="00C41B5F"/>
    <w:rsid w:val="00C41B7E"/>
    <w:rsid w:val="00C41BD0"/>
    <w:rsid w:val="00C41C0F"/>
    <w:rsid w:val="00C4242D"/>
    <w:rsid w:val="00C43029"/>
    <w:rsid w:val="00C436E3"/>
    <w:rsid w:val="00C437BA"/>
    <w:rsid w:val="00C44094"/>
    <w:rsid w:val="00C4426E"/>
    <w:rsid w:val="00C44395"/>
    <w:rsid w:val="00C443B3"/>
    <w:rsid w:val="00C45CE8"/>
    <w:rsid w:val="00C465E7"/>
    <w:rsid w:val="00C46637"/>
    <w:rsid w:val="00C46A8C"/>
    <w:rsid w:val="00C46BFD"/>
    <w:rsid w:val="00C46F06"/>
    <w:rsid w:val="00C479A5"/>
    <w:rsid w:val="00C47D22"/>
    <w:rsid w:val="00C47DA6"/>
    <w:rsid w:val="00C50173"/>
    <w:rsid w:val="00C503F9"/>
    <w:rsid w:val="00C508F4"/>
    <w:rsid w:val="00C50982"/>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D62"/>
    <w:rsid w:val="00C52EF3"/>
    <w:rsid w:val="00C533D4"/>
    <w:rsid w:val="00C53A4C"/>
    <w:rsid w:val="00C5400E"/>
    <w:rsid w:val="00C5434F"/>
    <w:rsid w:val="00C5448D"/>
    <w:rsid w:val="00C5477F"/>
    <w:rsid w:val="00C547B7"/>
    <w:rsid w:val="00C54B9A"/>
    <w:rsid w:val="00C5503B"/>
    <w:rsid w:val="00C55167"/>
    <w:rsid w:val="00C55A32"/>
    <w:rsid w:val="00C564F2"/>
    <w:rsid w:val="00C56525"/>
    <w:rsid w:val="00C5658B"/>
    <w:rsid w:val="00C56B12"/>
    <w:rsid w:val="00C56F11"/>
    <w:rsid w:val="00C576B0"/>
    <w:rsid w:val="00C60330"/>
    <w:rsid w:val="00C60E5E"/>
    <w:rsid w:val="00C610A7"/>
    <w:rsid w:val="00C615A2"/>
    <w:rsid w:val="00C61E88"/>
    <w:rsid w:val="00C61F3A"/>
    <w:rsid w:val="00C61FDF"/>
    <w:rsid w:val="00C629CB"/>
    <w:rsid w:val="00C62B75"/>
    <w:rsid w:val="00C639FA"/>
    <w:rsid w:val="00C63AD4"/>
    <w:rsid w:val="00C6454F"/>
    <w:rsid w:val="00C64C1E"/>
    <w:rsid w:val="00C65078"/>
    <w:rsid w:val="00C651EE"/>
    <w:rsid w:val="00C657B5"/>
    <w:rsid w:val="00C659DF"/>
    <w:rsid w:val="00C661E1"/>
    <w:rsid w:val="00C66686"/>
    <w:rsid w:val="00C6673C"/>
    <w:rsid w:val="00C67363"/>
    <w:rsid w:val="00C678A5"/>
    <w:rsid w:val="00C678C4"/>
    <w:rsid w:val="00C679AD"/>
    <w:rsid w:val="00C701BD"/>
    <w:rsid w:val="00C703A9"/>
    <w:rsid w:val="00C70827"/>
    <w:rsid w:val="00C70E5B"/>
    <w:rsid w:val="00C710BE"/>
    <w:rsid w:val="00C71215"/>
    <w:rsid w:val="00C71309"/>
    <w:rsid w:val="00C7216B"/>
    <w:rsid w:val="00C724DC"/>
    <w:rsid w:val="00C725F9"/>
    <w:rsid w:val="00C727BE"/>
    <w:rsid w:val="00C732A9"/>
    <w:rsid w:val="00C73448"/>
    <w:rsid w:val="00C73E2E"/>
    <w:rsid w:val="00C7453B"/>
    <w:rsid w:val="00C74546"/>
    <w:rsid w:val="00C74639"/>
    <w:rsid w:val="00C7482A"/>
    <w:rsid w:val="00C748E2"/>
    <w:rsid w:val="00C7491B"/>
    <w:rsid w:val="00C75061"/>
    <w:rsid w:val="00C75BED"/>
    <w:rsid w:val="00C76333"/>
    <w:rsid w:val="00C768F7"/>
    <w:rsid w:val="00C77087"/>
    <w:rsid w:val="00C7776C"/>
    <w:rsid w:val="00C777BC"/>
    <w:rsid w:val="00C81586"/>
    <w:rsid w:val="00C81AB2"/>
    <w:rsid w:val="00C827E8"/>
    <w:rsid w:val="00C82EB1"/>
    <w:rsid w:val="00C830C2"/>
    <w:rsid w:val="00C837B8"/>
    <w:rsid w:val="00C8398D"/>
    <w:rsid w:val="00C83AF7"/>
    <w:rsid w:val="00C84BC2"/>
    <w:rsid w:val="00C84D13"/>
    <w:rsid w:val="00C84F50"/>
    <w:rsid w:val="00C85139"/>
    <w:rsid w:val="00C85657"/>
    <w:rsid w:val="00C8566D"/>
    <w:rsid w:val="00C860B8"/>
    <w:rsid w:val="00C870B9"/>
    <w:rsid w:val="00C873D8"/>
    <w:rsid w:val="00C87E6C"/>
    <w:rsid w:val="00C9046C"/>
    <w:rsid w:val="00C90475"/>
    <w:rsid w:val="00C90819"/>
    <w:rsid w:val="00C91618"/>
    <w:rsid w:val="00C91989"/>
    <w:rsid w:val="00C91C88"/>
    <w:rsid w:val="00C91DF2"/>
    <w:rsid w:val="00C929DA"/>
    <w:rsid w:val="00C92DBF"/>
    <w:rsid w:val="00C939C3"/>
    <w:rsid w:val="00C94228"/>
    <w:rsid w:val="00C94657"/>
    <w:rsid w:val="00C9527B"/>
    <w:rsid w:val="00C9543D"/>
    <w:rsid w:val="00C959F2"/>
    <w:rsid w:val="00C966E7"/>
    <w:rsid w:val="00C96C75"/>
    <w:rsid w:val="00C96D56"/>
    <w:rsid w:val="00C97509"/>
    <w:rsid w:val="00C977E6"/>
    <w:rsid w:val="00C97D3F"/>
    <w:rsid w:val="00CA0020"/>
    <w:rsid w:val="00CA0592"/>
    <w:rsid w:val="00CA0664"/>
    <w:rsid w:val="00CA0B2E"/>
    <w:rsid w:val="00CA1566"/>
    <w:rsid w:val="00CA18CA"/>
    <w:rsid w:val="00CA1EA8"/>
    <w:rsid w:val="00CA2557"/>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841"/>
    <w:rsid w:val="00CB08A8"/>
    <w:rsid w:val="00CB0C6E"/>
    <w:rsid w:val="00CB0C89"/>
    <w:rsid w:val="00CB1E97"/>
    <w:rsid w:val="00CB226B"/>
    <w:rsid w:val="00CB229B"/>
    <w:rsid w:val="00CB3185"/>
    <w:rsid w:val="00CB33B4"/>
    <w:rsid w:val="00CB3685"/>
    <w:rsid w:val="00CB3D93"/>
    <w:rsid w:val="00CB4441"/>
    <w:rsid w:val="00CB4769"/>
    <w:rsid w:val="00CB4B1A"/>
    <w:rsid w:val="00CB4B9F"/>
    <w:rsid w:val="00CB4E1F"/>
    <w:rsid w:val="00CB5713"/>
    <w:rsid w:val="00CB5EC6"/>
    <w:rsid w:val="00CB65F2"/>
    <w:rsid w:val="00CB7872"/>
    <w:rsid w:val="00CB78C6"/>
    <w:rsid w:val="00CB7FF0"/>
    <w:rsid w:val="00CC00CF"/>
    <w:rsid w:val="00CC117C"/>
    <w:rsid w:val="00CC1209"/>
    <w:rsid w:val="00CC147E"/>
    <w:rsid w:val="00CC152E"/>
    <w:rsid w:val="00CC1EC9"/>
    <w:rsid w:val="00CC2044"/>
    <w:rsid w:val="00CC2493"/>
    <w:rsid w:val="00CC3222"/>
    <w:rsid w:val="00CC35F1"/>
    <w:rsid w:val="00CC35FF"/>
    <w:rsid w:val="00CC3A62"/>
    <w:rsid w:val="00CC415D"/>
    <w:rsid w:val="00CC4333"/>
    <w:rsid w:val="00CC4E62"/>
    <w:rsid w:val="00CC4E79"/>
    <w:rsid w:val="00CC5300"/>
    <w:rsid w:val="00CC5D2F"/>
    <w:rsid w:val="00CC60CB"/>
    <w:rsid w:val="00CC610F"/>
    <w:rsid w:val="00CC6738"/>
    <w:rsid w:val="00CC67E3"/>
    <w:rsid w:val="00CC791B"/>
    <w:rsid w:val="00CC7B9D"/>
    <w:rsid w:val="00CC7DA8"/>
    <w:rsid w:val="00CD099B"/>
    <w:rsid w:val="00CD0E6E"/>
    <w:rsid w:val="00CD10C6"/>
    <w:rsid w:val="00CD1CF5"/>
    <w:rsid w:val="00CD1FDC"/>
    <w:rsid w:val="00CD23AE"/>
    <w:rsid w:val="00CD263D"/>
    <w:rsid w:val="00CD275D"/>
    <w:rsid w:val="00CD27DF"/>
    <w:rsid w:val="00CD2D8A"/>
    <w:rsid w:val="00CD2D8C"/>
    <w:rsid w:val="00CD3AFC"/>
    <w:rsid w:val="00CD3BAC"/>
    <w:rsid w:val="00CD3FF2"/>
    <w:rsid w:val="00CD472D"/>
    <w:rsid w:val="00CD4A65"/>
    <w:rsid w:val="00CD4BF4"/>
    <w:rsid w:val="00CD4F83"/>
    <w:rsid w:val="00CD531F"/>
    <w:rsid w:val="00CD6210"/>
    <w:rsid w:val="00CD624A"/>
    <w:rsid w:val="00CD6702"/>
    <w:rsid w:val="00CD6FA3"/>
    <w:rsid w:val="00CD717C"/>
    <w:rsid w:val="00CD75B9"/>
    <w:rsid w:val="00CD7D61"/>
    <w:rsid w:val="00CE0D13"/>
    <w:rsid w:val="00CE1AE5"/>
    <w:rsid w:val="00CE2184"/>
    <w:rsid w:val="00CE28FA"/>
    <w:rsid w:val="00CE2C1F"/>
    <w:rsid w:val="00CE3A8C"/>
    <w:rsid w:val="00CE3B7F"/>
    <w:rsid w:val="00CE3E55"/>
    <w:rsid w:val="00CE3FA2"/>
    <w:rsid w:val="00CE41A0"/>
    <w:rsid w:val="00CE4243"/>
    <w:rsid w:val="00CE4958"/>
    <w:rsid w:val="00CE4AC6"/>
    <w:rsid w:val="00CE63C1"/>
    <w:rsid w:val="00CE652B"/>
    <w:rsid w:val="00CE663A"/>
    <w:rsid w:val="00CE68E2"/>
    <w:rsid w:val="00CE69AC"/>
    <w:rsid w:val="00CE6BA3"/>
    <w:rsid w:val="00CE706E"/>
    <w:rsid w:val="00CE70B1"/>
    <w:rsid w:val="00CE7117"/>
    <w:rsid w:val="00CE7AE4"/>
    <w:rsid w:val="00CE7D47"/>
    <w:rsid w:val="00CF059C"/>
    <w:rsid w:val="00CF08E4"/>
    <w:rsid w:val="00CF0A4C"/>
    <w:rsid w:val="00CF0EA8"/>
    <w:rsid w:val="00CF150A"/>
    <w:rsid w:val="00CF15F4"/>
    <w:rsid w:val="00CF1E4E"/>
    <w:rsid w:val="00CF1E5A"/>
    <w:rsid w:val="00CF2225"/>
    <w:rsid w:val="00CF25E7"/>
    <w:rsid w:val="00CF2C29"/>
    <w:rsid w:val="00CF30BC"/>
    <w:rsid w:val="00CF377B"/>
    <w:rsid w:val="00CF39B5"/>
    <w:rsid w:val="00CF3A45"/>
    <w:rsid w:val="00CF3C77"/>
    <w:rsid w:val="00CF3D22"/>
    <w:rsid w:val="00CF3F5B"/>
    <w:rsid w:val="00CF40F0"/>
    <w:rsid w:val="00CF45A2"/>
    <w:rsid w:val="00CF474F"/>
    <w:rsid w:val="00CF4D76"/>
    <w:rsid w:val="00CF4E2A"/>
    <w:rsid w:val="00CF52E7"/>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603"/>
    <w:rsid w:val="00D03708"/>
    <w:rsid w:val="00D0391A"/>
    <w:rsid w:val="00D03B14"/>
    <w:rsid w:val="00D04A20"/>
    <w:rsid w:val="00D04DA4"/>
    <w:rsid w:val="00D051D3"/>
    <w:rsid w:val="00D06776"/>
    <w:rsid w:val="00D06E46"/>
    <w:rsid w:val="00D06F95"/>
    <w:rsid w:val="00D07012"/>
    <w:rsid w:val="00D07357"/>
    <w:rsid w:val="00D104C7"/>
    <w:rsid w:val="00D1158C"/>
    <w:rsid w:val="00D11600"/>
    <w:rsid w:val="00D118C1"/>
    <w:rsid w:val="00D118E6"/>
    <w:rsid w:val="00D119A2"/>
    <w:rsid w:val="00D123ED"/>
    <w:rsid w:val="00D1248A"/>
    <w:rsid w:val="00D12657"/>
    <w:rsid w:val="00D12E31"/>
    <w:rsid w:val="00D13069"/>
    <w:rsid w:val="00D137F9"/>
    <w:rsid w:val="00D1458C"/>
    <w:rsid w:val="00D150FB"/>
    <w:rsid w:val="00D15494"/>
    <w:rsid w:val="00D15AD5"/>
    <w:rsid w:val="00D15E61"/>
    <w:rsid w:val="00D1620E"/>
    <w:rsid w:val="00D16867"/>
    <w:rsid w:val="00D16B91"/>
    <w:rsid w:val="00D16C21"/>
    <w:rsid w:val="00D16EEC"/>
    <w:rsid w:val="00D171E3"/>
    <w:rsid w:val="00D1792B"/>
    <w:rsid w:val="00D20216"/>
    <w:rsid w:val="00D2047A"/>
    <w:rsid w:val="00D20631"/>
    <w:rsid w:val="00D207FC"/>
    <w:rsid w:val="00D20AF0"/>
    <w:rsid w:val="00D20D68"/>
    <w:rsid w:val="00D21312"/>
    <w:rsid w:val="00D2183C"/>
    <w:rsid w:val="00D2258A"/>
    <w:rsid w:val="00D2260B"/>
    <w:rsid w:val="00D22CF0"/>
    <w:rsid w:val="00D22D49"/>
    <w:rsid w:val="00D23930"/>
    <w:rsid w:val="00D23A23"/>
    <w:rsid w:val="00D24056"/>
    <w:rsid w:val="00D24D8A"/>
    <w:rsid w:val="00D24DA4"/>
    <w:rsid w:val="00D25235"/>
    <w:rsid w:val="00D252EF"/>
    <w:rsid w:val="00D25383"/>
    <w:rsid w:val="00D25670"/>
    <w:rsid w:val="00D258E0"/>
    <w:rsid w:val="00D2591D"/>
    <w:rsid w:val="00D26DED"/>
    <w:rsid w:val="00D301AF"/>
    <w:rsid w:val="00D301FF"/>
    <w:rsid w:val="00D30557"/>
    <w:rsid w:val="00D30690"/>
    <w:rsid w:val="00D31DC4"/>
    <w:rsid w:val="00D3257F"/>
    <w:rsid w:val="00D32733"/>
    <w:rsid w:val="00D33851"/>
    <w:rsid w:val="00D3385C"/>
    <w:rsid w:val="00D33DDF"/>
    <w:rsid w:val="00D340E2"/>
    <w:rsid w:val="00D347AD"/>
    <w:rsid w:val="00D34DF6"/>
    <w:rsid w:val="00D35277"/>
    <w:rsid w:val="00D35C6B"/>
    <w:rsid w:val="00D35DC1"/>
    <w:rsid w:val="00D35E80"/>
    <w:rsid w:val="00D36018"/>
    <w:rsid w:val="00D36242"/>
    <w:rsid w:val="00D36251"/>
    <w:rsid w:val="00D36887"/>
    <w:rsid w:val="00D369BC"/>
    <w:rsid w:val="00D37105"/>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648"/>
    <w:rsid w:val="00D43984"/>
    <w:rsid w:val="00D439D1"/>
    <w:rsid w:val="00D43C68"/>
    <w:rsid w:val="00D444B2"/>
    <w:rsid w:val="00D45038"/>
    <w:rsid w:val="00D45101"/>
    <w:rsid w:val="00D453E4"/>
    <w:rsid w:val="00D46678"/>
    <w:rsid w:val="00D46A17"/>
    <w:rsid w:val="00D46B81"/>
    <w:rsid w:val="00D47226"/>
    <w:rsid w:val="00D4742E"/>
    <w:rsid w:val="00D502F8"/>
    <w:rsid w:val="00D503E5"/>
    <w:rsid w:val="00D508BE"/>
    <w:rsid w:val="00D50B21"/>
    <w:rsid w:val="00D50CE9"/>
    <w:rsid w:val="00D51349"/>
    <w:rsid w:val="00D516F8"/>
    <w:rsid w:val="00D51D06"/>
    <w:rsid w:val="00D521DE"/>
    <w:rsid w:val="00D524CA"/>
    <w:rsid w:val="00D526C8"/>
    <w:rsid w:val="00D527AF"/>
    <w:rsid w:val="00D52853"/>
    <w:rsid w:val="00D529E1"/>
    <w:rsid w:val="00D52D09"/>
    <w:rsid w:val="00D534C2"/>
    <w:rsid w:val="00D5410F"/>
    <w:rsid w:val="00D54461"/>
    <w:rsid w:val="00D54AFD"/>
    <w:rsid w:val="00D54EA3"/>
    <w:rsid w:val="00D54F60"/>
    <w:rsid w:val="00D5514A"/>
    <w:rsid w:val="00D5574D"/>
    <w:rsid w:val="00D564AE"/>
    <w:rsid w:val="00D564DF"/>
    <w:rsid w:val="00D56BDA"/>
    <w:rsid w:val="00D56CF0"/>
    <w:rsid w:val="00D56FAA"/>
    <w:rsid w:val="00D576DD"/>
    <w:rsid w:val="00D57CB4"/>
    <w:rsid w:val="00D6118E"/>
    <w:rsid w:val="00D61477"/>
    <w:rsid w:val="00D61764"/>
    <w:rsid w:val="00D619E2"/>
    <w:rsid w:val="00D61E89"/>
    <w:rsid w:val="00D62036"/>
    <w:rsid w:val="00D620CC"/>
    <w:rsid w:val="00D6223F"/>
    <w:rsid w:val="00D6253E"/>
    <w:rsid w:val="00D62F1C"/>
    <w:rsid w:val="00D63305"/>
    <w:rsid w:val="00D634B8"/>
    <w:rsid w:val="00D63EF3"/>
    <w:rsid w:val="00D63F6C"/>
    <w:rsid w:val="00D6407C"/>
    <w:rsid w:val="00D642F4"/>
    <w:rsid w:val="00D64441"/>
    <w:rsid w:val="00D6449E"/>
    <w:rsid w:val="00D645D9"/>
    <w:rsid w:val="00D64DF1"/>
    <w:rsid w:val="00D64FA4"/>
    <w:rsid w:val="00D6511E"/>
    <w:rsid w:val="00D65497"/>
    <w:rsid w:val="00D654DA"/>
    <w:rsid w:val="00D6609E"/>
    <w:rsid w:val="00D661DD"/>
    <w:rsid w:val="00D66562"/>
    <w:rsid w:val="00D66AC3"/>
    <w:rsid w:val="00D678E2"/>
    <w:rsid w:val="00D67A9F"/>
    <w:rsid w:val="00D67C20"/>
    <w:rsid w:val="00D70034"/>
    <w:rsid w:val="00D7033F"/>
    <w:rsid w:val="00D70C1B"/>
    <w:rsid w:val="00D70CCA"/>
    <w:rsid w:val="00D70E5C"/>
    <w:rsid w:val="00D71014"/>
    <w:rsid w:val="00D71045"/>
    <w:rsid w:val="00D713F5"/>
    <w:rsid w:val="00D7146C"/>
    <w:rsid w:val="00D718CD"/>
    <w:rsid w:val="00D7364A"/>
    <w:rsid w:val="00D7365C"/>
    <w:rsid w:val="00D7416F"/>
    <w:rsid w:val="00D7453E"/>
    <w:rsid w:val="00D74592"/>
    <w:rsid w:val="00D755F2"/>
    <w:rsid w:val="00D76197"/>
    <w:rsid w:val="00D762AC"/>
    <w:rsid w:val="00D7712C"/>
    <w:rsid w:val="00D77222"/>
    <w:rsid w:val="00D775E7"/>
    <w:rsid w:val="00D777D5"/>
    <w:rsid w:val="00D777E7"/>
    <w:rsid w:val="00D77813"/>
    <w:rsid w:val="00D77B9E"/>
    <w:rsid w:val="00D77CD6"/>
    <w:rsid w:val="00D80534"/>
    <w:rsid w:val="00D818AB"/>
    <w:rsid w:val="00D81A7C"/>
    <w:rsid w:val="00D81CA9"/>
    <w:rsid w:val="00D81E4E"/>
    <w:rsid w:val="00D82203"/>
    <w:rsid w:val="00D822C4"/>
    <w:rsid w:val="00D83707"/>
    <w:rsid w:val="00D837A6"/>
    <w:rsid w:val="00D839D8"/>
    <w:rsid w:val="00D83F9E"/>
    <w:rsid w:val="00D840C2"/>
    <w:rsid w:val="00D84207"/>
    <w:rsid w:val="00D84562"/>
    <w:rsid w:val="00D84D2E"/>
    <w:rsid w:val="00D85000"/>
    <w:rsid w:val="00D85685"/>
    <w:rsid w:val="00D85882"/>
    <w:rsid w:val="00D85C16"/>
    <w:rsid w:val="00D86169"/>
    <w:rsid w:val="00D862E7"/>
    <w:rsid w:val="00D8669F"/>
    <w:rsid w:val="00D86990"/>
    <w:rsid w:val="00D8717B"/>
    <w:rsid w:val="00D8732E"/>
    <w:rsid w:val="00D8765A"/>
    <w:rsid w:val="00D87BFD"/>
    <w:rsid w:val="00D90BA5"/>
    <w:rsid w:val="00D90CEF"/>
    <w:rsid w:val="00D91294"/>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4F7A"/>
    <w:rsid w:val="00D95F32"/>
    <w:rsid w:val="00D973A2"/>
    <w:rsid w:val="00D975F4"/>
    <w:rsid w:val="00DA0214"/>
    <w:rsid w:val="00DA024A"/>
    <w:rsid w:val="00DA07EE"/>
    <w:rsid w:val="00DA0A58"/>
    <w:rsid w:val="00DA0A59"/>
    <w:rsid w:val="00DA0F87"/>
    <w:rsid w:val="00DA1C85"/>
    <w:rsid w:val="00DA1CC9"/>
    <w:rsid w:val="00DA2A67"/>
    <w:rsid w:val="00DA2C81"/>
    <w:rsid w:val="00DA2E58"/>
    <w:rsid w:val="00DA3050"/>
    <w:rsid w:val="00DA328E"/>
    <w:rsid w:val="00DA3AA6"/>
    <w:rsid w:val="00DA3E54"/>
    <w:rsid w:val="00DA408C"/>
    <w:rsid w:val="00DA42C0"/>
    <w:rsid w:val="00DA46C1"/>
    <w:rsid w:val="00DA5BD2"/>
    <w:rsid w:val="00DA5C96"/>
    <w:rsid w:val="00DA5FAD"/>
    <w:rsid w:val="00DA6463"/>
    <w:rsid w:val="00DA6913"/>
    <w:rsid w:val="00DA70DD"/>
    <w:rsid w:val="00DA7C13"/>
    <w:rsid w:val="00DB06E1"/>
    <w:rsid w:val="00DB088F"/>
    <w:rsid w:val="00DB0B4A"/>
    <w:rsid w:val="00DB1487"/>
    <w:rsid w:val="00DB168E"/>
    <w:rsid w:val="00DB19B4"/>
    <w:rsid w:val="00DB19F1"/>
    <w:rsid w:val="00DB1F04"/>
    <w:rsid w:val="00DB23B7"/>
    <w:rsid w:val="00DB26AE"/>
    <w:rsid w:val="00DB291E"/>
    <w:rsid w:val="00DB2DFC"/>
    <w:rsid w:val="00DB3884"/>
    <w:rsid w:val="00DB40C3"/>
    <w:rsid w:val="00DB41EA"/>
    <w:rsid w:val="00DB4258"/>
    <w:rsid w:val="00DB4411"/>
    <w:rsid w:val="00DB466D"/>
    <w:rsid w:val="00DB4C3D"/>
    <w:rsid w:val="00DB50EA"/>
    <w:rsid w:val="00DB5471"/>
    <w:rsid w:val="00DB5FD0"/>
    <w:rsid w:val="00DB6051"/>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612"/>
    <w:rsid w:val="00DC198F"/>
    <w:rsid w:val="00DC1B9A"/>
    <w:rsid w:val="00DC2344"/>
    <w:rsid w:val="00DC2E4F"/>
    <w:rsid w:val="00DC32E9"/>
    <w:rsid w:val="00DC35F7"/>
    <w:rsid w:val="00DC384C"/>
    <w:rsid w:val="00DC3C7E"/>
    <w:rsid w:val="00DC40C4"/>
    <w:rsid w:val="00DC4AFD"/>
    <w:rsid w:val="00DC4D87"/>
    <w:rsid w:val="00DC4D8A"/>
    <w:rsid w:val="00DC4FD7"/>
    <w:rsid w:val="00DC5BE1"/>
    <w:rsid w:val="00DC65A1"/>
    <w:rsid w:val="00DC6DF6"/>
    <w:rsid w:val="00DC72E3"/>
    <w:rsid w:val="00DC7BF0"/>
    <w:rsid w:val="00DC7BFE"/>
    <w:rsid w:val="00DD08C7"/>
    <w:rsid w:val="00DD1386"/>
    <w:rsid w:val="00DD1523"/>
    <w:rsid w:val="00DD1A10"/>
    <w:rsid w:val="00DD1A62"/>
    <w:rsid w:val="00DD1DBB"/>
    <w:rsid w:val="00DD200D"/>
    <w:rsid w:val="00DD2446"/>
    <w:rsid w:val="00DD25FF"/>
    <w:rsid w:val="00DD2990"/>
    <w:rsid w:val="00DD2FE9"/>
    <w:rsid w:val="00DD3541"/>
    <w:rsid w:val="00DD3A7E"/>
    <w:rsid w:val="00DD3BF9"/>
    <w:rsid w:val="00DD4255"/>
    <w:rsid w:val="00DD434E"/>
    <w:rsid w:val="00DD4402"/>
    <w:rsid w:val="00DD45C6"/>
    <w:rsid w:val="00DD465E"/>
    <w:rsid w:val="00DD4C01"/>
    <w:rsid w:val="00DD4F27"/>
    <w:rsid w:val="00DD53ED"/>
    <w:rsid w:val="00DD55DE"/>
    <w:rsid w:val="00DD56F3"/>
    <w:rsid w:val="00DD5700"/>
    <w:rsid w:val="00DD5824"/>
    <w:rsid w:val="00DD60CE"/>
    <w:rsid w:val="00DD60D0"/>
    <w:rsid w:val="00DD6200"/>
    <w:rsid w:val="00DD686C"/>
    <w:rsid w:val="00DD6E86"/>
    <w:rsid w:val="00DE0E5D"/>
    <w:rsid w:val="00DE0F26"/>
    <w:rsid w:val="00DE1288"/>
    <w:rsid w:val="00DE1994"/>
    <w:rsid w:val="00DE1F74"/>
    <w:rsid w:val="00DE2414"/>
    <w:rsid w:val="00DE2DE1"/>
    <w:rsid w:val="00DE359B"/>
    <w:rsid w:val="00DE35D5"/>
    <w:rsid w:val="00DE373A"/>
    <w:rsid w:val="00DE3BDD"/>
    <w:rsid w:val="00DE3C47"/>
    <w:rsid w:val="00DE447F"/>
    <w:rsid w:val="00DE48F0"/>
    <w:rsid w:val="00DE490D"/>
    <w:rsid w:val="00DE4A77"/>
    <w:rsid w:val="00DE4D8A"/>
    <w:rsid w:val="00DE5369"/>
    <w:rsid w:val="00DE58B3"/>
    <w:rsid w:val="00DE68EE"/>
    <w:rsid w:val="00DE6D24"/>
    <w:rsid w:val="00DE6E33"/>
    <w:rsid w:val="00DE6E84"/>
    <w:rsid w:val="00DE7285"/>
    <w:rsid w:val="00DE7A60"/>
    <w:rsid w:val="00DE7C40"/>
    <w:rsid w:val="00DE7CF5"/>
    <w:rsid w:val="00DF039A"/>
    <w:rsid w:val="00DF0ABC"/>
    <w:rsid w:val="00DF0EA5"/>
    <w:rsid w:val="00DF133D"/>
    <w:rsid w:val="00DF187A"/>
    <w:rsid w:val="00DF1F1D"/>
    <w:rsid w:val="00DF23A5"/>
    <w:rsid w:val="00DF26D2"/>
    <w:rsid w:val="00DF2F90"/>
    <w:rsid w:val="00DF3AAE"/>
    <w:rsid w:val="00DF4586"/>
    <w:rsid w:val="00DF4905"/>
    <w:rsid w:val="00DF4C6E"/>
    <w:rsid w:val="00DF50B2"/>
    <w:rsid w:val="00DF5560"/>
    <w:rsid w:val="00DF5744"/>
    <w:rsid w:val="00DF59BB"/>
    <w:rsid w:val="00DF5A29"/>
    <w:rsid w:val="00DF5CA4"/>
    <w:rsid w:val="00DF6666"/>
    <w:rsid w:val="00DF745E"/>
    <w:rsid w:val="00DF762E"/>
    <w:rsid w:val="00E00019"/>
    <w:rsid w:val="00E0044E"/>
    <w:rsid w:val="00E00816"/>
    <w:rsid w:val="00E0224C"/>
    <w:rsid w:val="00E0239F"/>
    <w:rsid w:val="00E0267B"/>
    <w:rsid w:val="00E02E70"/>
    <w:rsid w:val="00E03A6C"/>
    <w:rsid w:val="00E04041"/>
    <w:rsid w:val="00E04441"/>
    <w:rsid w:val="00E04846"/>
    <w:rsid w:val="00E04B19"/>
    <w:rsid w:val="00E05805"/>
    <w:rsid w:val="00E05ADD"/>
    <w:rsid w:val="00E05F03"/>
    <w:rsid w:val="00E05F74"/>
    <w:rsid w:val="00E060A5"/>
    <w:rsid w:val="00E06297"/>
    <w:rsid w:val="00E06370"/>
    <w:rsid w:val="00E06B7B"/>
    <w:rsid w:val="00E06E20"/>
    <w:rsid w:val="00E07D1E"/>
    <w:rsid w:val="00E07DD9"/>
    <w:rsid w:val="00E07E0D"/>
    <w:rsid w:val="00E102F8"/>
    <w:rsid w:val="00E10494"/>
    <w:rsid w:val="00E105BB"/>
    <w:rsid w:val="00E1073E"/>
    <w:rsid w:val="00E108EA"/>
    <w:rsid w:val="00E10E08"/>
    <w:rsid w:val="00E11D8F"/>
    <w:rsid w:val="00E11EA3"/>
    <w:rsid w:val="00E129AC"/>
    <w:rsid w:val="00E12FCF"/>
    <w:rsid w:val="00E13273"/>
    <w:rsid w:val="00E13379"/>
    <w:rsid w:val="00E138A7"/>
    <w:rsid w:val="00E139EE"/>
    <w:rsid w:val="00E14525"/>
    <w:rsid w:val="00E14D83"/>
    <w:rsid w:val="00E14FA6"/>
    <w:rsid w:val="00E1590E"/>
    <w:rsid w:val="00E1592A"/>
    <w:rsid w:val="00E15A0D"/>
    <w:rsid w:val="00E15B8D"/>
    <w:rsid w:val="00E15FC6"/>
    <w:rsid w:val="00E16640"/>
    <w:rsid w:val="00E16B19"/>
    <w:rsid w:val="00E16CE8"/>
    <w:rsid w:val="00E1740F"/>
    <w:rsid w:val="00E200CF"/>
    <w:rsid w:val="00E21398"/>
    <w:rsid w:val="00E22E89"/>
    <w:rsid w:val="00E23535"/>
    <w:rsid w:val="00E237C7"/>
    <w:rsid w:val="00E237EF"/>
    <w:rsid w:val="00E24287"/>
    <w:rsid w:val="00E25573"/>
    <w:rsid w:val="00E258B8"/>
    <w:rsid w:val="00E25FE3"/>
    <w:rsid w:val="00E261F0"/>
    <w:rsid w:val="00E2675D"/>
    <w:rsid w:val="00E27C34"/>
    <w:rsid w:val="00E30193"/>
    <w:rsid w:val="00E303FB"/>
    <w:rsid w:val="00E310F8"/>
    <w:rsid w:val="00E31367"/>
    <w:rsid w:val="00E31471"/>
    <w:rsid w:val="00E3181C"/>
    <w:rsid w:val="00E31BB2"/>
    <w:rsid w:val="00E328E1"/>
    <w:rsid w:val="00E32EF3"/>
    <w:rsid w:val="00E3320C"/>
    <w:rsid w:val="00E33629"/>
    <w:rsid w:val="00E336E3"/>
    <w:rsid w:val="00E33BD1"/>
    <w:rsid w:val="00E33E21"/>
    <w:rsid w:val="00E34BC4"/>
    <w:rsid w:val="00E34EF6"/>
    <w:rsid w:val="00E34F89"/>
    <w:rsid w:val="00E3540C"/>
    <w:rsid w:val="00E3582D"/>
    <w:rsid w:val="00E35CDB"/>
    <w:rsid w:val="00E35FF5"/>
    <w:rsid w:val="00E36187"/>
    <w:rsid w:val="00E36332"/>
    <w:rsid w:val="00E36C9B"/>
    <w:rsid w:val="00E372F7"/>
    <w:rsid w:val="00E37533"/>
    <w:rsid w:val="00E37638"/>
    <w:rsid w:val="00E37B8D"/>
    <w:rsid w:val="00E37E9D"/>
    <w:rsid w:val="00E37EE3"/>
    <w:rsid w:val="00E4032F"/>
    <w:rsid w:val="00E40361"/>
    <w:rsid w:val="00E40442"/>
    <w:rsid w:val="00E40918"/>
    <w:rsid w:val="00E41039"/>
    <w:rsid w:val="00E415A1"/>
    <w:rsid w:val="00E41852"/>
    <w:rsid w:val="00E41934"/>
    <w:rsid w:val="00E41B71"/>
    <w:rsid w:val="00E41C49"/>
    <w:rsid w:val="00E42569"/>
    <w:rsid w:val="00E428DF"/>
    <w:rsid w:val="00E434A0"/>
    <w:rsid w:val="00E43847"/>
    <w:rsid w:val="00E440D3"/>
    <w:rsid w:val="00E4441D"/>
    <w:rsid w:val="00E44D30"/>
    <w:rsid w:val="00E454A9"/>
    <w:rsid w:val="00E4597F"/>
    <w:rsid w:val="00E4698A"/>
    <w:rsid w:val="00E46CB7"/>
    <w:rsid w:val="00E46CD7"/>
    <w:rsid w:val="00E471A3"/>
    <w:rsid w:val="00E4723D"/>
    <w:rsid w:val="00E47469"/>
    <w:rsid w:val="00E47C7E"/>
    <w:rsid w:val="00E50514"/>
    <w:rsid w:val="00E5077C"/>
    <w:rsid w:val="00E509F7"/>
    <w:rsid w:val="00E50EC8"/>
    <w:rsid w:val="00E510C3"/>
    <w:rsid w:val="00E514D9"/>
    <w:rsid w:val="00E5159B"/>
    <w:rsid w:val="00E515AD"/>
    <w:rsid w:val="00E515C6"/>
    <w:rsid w:val="00E5166F"/>
    <w:rsid w:val="00E51BDA"/>
    <w:rsid w:val="00E52E0D"/>
    <w:rsid w:val="00E52FE2"/>
    <w:rsid w:val="00E537C5"/>
    <w:rsid w:val="00E53A24"/>
    <w:rsid w:val="00E54027"/>
    <w:rsid w:val="00E54629"/>
    <w:rsid w:val="00E54715"/>
    <w:rsid w:val="00E549FE"/>
    <w:rsid w:val="00E54D6B"/>
    <w:rsid w:val="00E54E6F"/>
    <w:rsid w:val="00E55161"/>
    <w:rsid w:val="00E55338"/>
    <w:rsid w:val="00E566EB"/>
    <w:rsid w:val="00E569AF"/>
    <w:rsid w:val="00E56E79"/>
    <w:rsid w:val="00E57349"/>
    <w:rsid w:val="00E5774E"/>
    <w:rsid w:val="00E577B0"/>
    <w:rsid w:val="00E57CBB"/>
    <w:rsid w:val="00E57EAE"/>
    <w:rsid w:val="00E57EEB"/>
    <w:rsid w:val="00E60318"/>
    <w:rsid w:val="00E60BA8"/>
    <w:rsid w:val="00E60D3A"/>
    <w:rsid w:val="00E60E6A"/>
    <w:rsid w:val="00E6116D"/>
    <w:rsid w:val="00E6127D"/>
    <w:rsid w:val="00E61E25"/>
    <w:rsid w:val="00E61E28"/>
    <w:rsid w:val="00E62426"/>
    <w:rsid w:val="00E62695"/>
    <w:rsid w:val="00E6275F"/>
    <w:rsid w:val="00E628E4"/>
    <w:rsid w:val="00E62FA5"/>
    <w:rsid w:val="00E64453"/>
    <w:rsid w:val="00E647F7"/>
    <w:rsid w:val="00E64CFA"/>
    <w:rsid w:val="00E64EAB"/>
    <w:rsid w:val="00E65588"/>
    <w:rsid w:val="00E65FF5"/>
    <w:rsid w:val="00E66857"/>
    <w:rsid w:val="00E668D4"/>
    <w:rsid w:val="00E66DC2"/>
    <w:rsid w:val="00E673EA"/>
    <w:rsid w:val="00E67556"/>
    <w:rsid w:val="00E679C5"/>
    <w:rsid w:val="00E70257"/>
    <w:rsid w:val="00E70E8A"/>
    <w:rsid w:val="00E71225"/>
    <w:rsid w:val="00E71A18"/>
    <w:rsid w:val="00E7252F"/>
    <w:rsid w:val="00E7255C"/>
    <w:rsid w:val="00E72F4A"/>
    <w:rsid w:val="00E737C1"/>
    <w:rsid w:val="00E73FC2"/>
    <w:rsid w:val="00E740FC"/>
    <w:rsid w:val="00E74481"/>
    <w:rsid w:val="00E74517"/>
    <w:rsid w:val="00E74707"/>
    <w:rsid w:val="00E74F13"/>
    <w:rsid w:val="00E750D8"/>
    <w:rsid w:val="00E755D7"/>
    <w:rsid w:val="00E7566D"/>
    <w:rsid w:val="00E766A6"/>
    <w:rsid w:val="00E76E91"/>
    <w:rsid w:val="00E774B4"/>
    <w:rsid w:val="00E778F5"/>
    <w:rsid w:val="00E802B1"/>
    <w:rsid w:val="00E80E7C"/>
    <w:rsid w:val="00E8119B"/>
    <w:rsid w:val="00E8166D"/>
    <w:rsid w:val="00E81779"/>
    <w:rsid w:val="00E81E76"/>
    <w:rsid w:val="00E81ED0"/>
    <w:rsid w:val="00E8205B"/>
    <w:rsid w:val="00E82444"/>
    <w:rsid w:val="00E82B1C"/>
    <w:rsid w:val="00E82F52"/>
    <w:rsid w:val="00E83014"/>
    <w:rsid w:val="00E8341C"/>
    <w:rsid w:val="00E837CA"/>
    <w:rsid w:val="00E83ACD"/>
    <w:rsid w:val="00E840B8"/>
    <w:rsid w:val="00E84885"/>
    <w:rsid w:val="00E8559A"/>
    <w:rsid w:val="00E8602B"/>
    <w:rsid w:val="00E86B5F"/>
    <w:rsid w:val="00E87647"/>
    <w:rsid w:val="00E87D05"/>
    <w:rsid w:val="00E90A6A"/>
    <w:rsid w:val="00E9109C"/>
    <w:rsid w:val="00E914F3"/>
    <w:rsid w:val="00E91614"/>
    <w:rsid w:val="00E91F96"/>
    <w:rsid w:val="00E925E0"/>
    <w:rsid w:val="00E92E99"/>
    <w:rsid w:val="00E932FF"/>
    <w:rsid w:val="00E94E00"/>
    <w:rsid w:val="00E9503E"/>
    <w:rsid w:val="00E95B5D"/>
    <w:rsid w:val="00E95BED"/>
    <w:rsid w:val="00E96305"/>
    <w:rsid w:val="00E968FD"/>
    <w:rsid w:val="00E96D55"/>
    <w:rsid w:val="00E97993"/>
    <w:rsid w:val="00EA04B5"/>
    <w:rsid w:val="00EA09D9"/>
    <w:rsid w:val="00EA0AD8"/>
    <w:rsid w:val="00EA0D5D"/>
    <w:rsid w:val="00EA1192"/>
    <w:rsid w:val="00EA153F"/>
    <w:rsid w:val="00EA1847"/>
    <w:rsid w:val="00EA1B57"/>
    <w:rsid w:val="00EA2332"/>
    <w:rsid w:val="00EA2788"/>
    <w:rsid w:val="00EA2A9F"/>
    <w:rsid w:val="00EA2C6E"/>
    <w:rsid w:val="00EA38EB"/>
    <w:rsid w:val="00EA4155"/>
    <w:rsid w:val="00EA4192"/>
    <w:rsid w:val="00EA46DB"/>
    <w:rsid w:val="00EA4964"/>
    <w:rsid w:val="00EA4C95"/>
    <w:rsid w:val="00EA4F1A"/>
    <w:rsid w:val="00EA5F1E"/>
    <w:rsid w:val="00EA6F03"/>
    <w:rsid w:val="00EA7331"/>
    <w:rsid w:val="00EA75D4"/>
    <w:rsid w:val="00EA788F"/>
    <w:rsid w:val="00EA7A64"/>
    <w:rsid w:val="00EA7CC8"/>
    <w:rsid w:val="00EB02DE"/>
    <w:rsid w:val="00EB0A07"/>
    <w:rsid w:val="00EB112F"/>
    <w:rsid w:val="00EB1630"/>
    <w:rsid w:val="00EB1B69"/>
    <w:rsid w:val="00EB1C78"/>
    <w:rsid w:val="00EB2AFA"/>
    <w:rsid w:val="00EB2C05"/>
    <w:rsid w:val="00EB2E04"/>
    <w:rsid w:val="00EB3B46"/>
    <w:rsid w:val="00EB44E1"/>
    <w:rsid w:val="00EB47DF"/>
    <w:rsid w:val="00EB48DD"/>
    <w:rsid w:val="00EB4B27"/>
    <w:rsid w:val="00EB4CE6"/>
    <w:rsid w:val="00EB4F08"/>
    <w:rsid w:val="00EB5660"/>
    <w:rsid w:val="00EB5B01"/>
    <w:rsid w:val="00EB5B5A"/>
    <w:rsid w:val="00EB5C04"/>
    <w:rsid w:val="00EB6723"/>
    <w:rsid w:val="00EB6876"/>
    <w:rsid w:val="00EB7C72"/>
    <w:rsid w:val="00EB7D48"/>
    <w:rsid w:val="00EC03D4"/>
    <w:rsid w:val="00EC0C5B"/>
    <w:rsid w:val="00EC107A"/>
    <w:rsid w:val="00EC1ADE"/>
    <w:rsid w:val="00EC208D"/>
    <w:rsid w:val="00EC215B"/>
    <w:rsid w:val="00EC2507"/>
    <w:rsid w:val="00EC256E"/>
    <w:rsid w:val="00EC2BF1"/>
    <w:rsid w:val="00EC2E07"/>
    <w:rsid w:val="00EC37D5"/>
    <w:rsid w:val="00EC43C7"/>
    <w:rsid w:val="00EC465D"/>
    <w:rsid w:val="00EC4A05"/>
    <w:rsid w:val="00EC5C89"/>
    <w:rsid w:val="00EC5CF6"/>
    <w:rsid w:val="00EC65E3"/>
    <w:rsid w:val="00EC66D2"/>
    <w:rsid w:val="00EC67E7"/>
    <w:rsid w:val="00EC69F8"/>
    <w:rsid w:val="00EC6DF4"/>
    <w:rsid w:val="00EC6FC8"/>
    <w:rsid w:val="00EC7410"/>
    <w:rsid w:val="00EC783C"/>
    <w:rsid w:val="00EC7884"/>
    <w:rsid w:val="00EC78FB"/>
    <w:rsid w:val="00ED021B"/>
    <w:rsid w:val="00ED044E"/>
    <w:rsid w:val="00ED0A1B"/>
    <w:rsid w:val="00ED0F71"/>
    <w:rsid w:val="00ED1FC1"/>
    <w:rsid w:val="00ED211A"/>
    <w:rsid w:val="00ED21BC"/>
    <w:rsid w:val="00ED2FEC"/>
    <w:rsid w:val="00ED3496"/>
    <w:rsid w:val="00ED3891"/>
    <w:rsid w:val="00ED3F67"/>
    <w:rsid w:val="00ED40CD"/>
    <w:rsid w:val="00ED43D7"/>
    <w:rsid w:val="00ED440A"/>
    <w:rsid w:val="00ED460D"/>
    <w:rsid w:val="00ED4F54"/>
    <w:rsid w:val="00ED50EA"/>
    <w:rsid w:val="00ED52C0"/>
    <w:rsid w:val="00ED5346"/>
    <w:rsid w:val="00ED66CC"/>
    <w:rsid w:val="00ED7971"/>
    <w:rsid w:val="00ED7E96"/>
    <w:rsid w:val="00EE0748"/>
    <w:rsid w:val="00EE089B"/>
    <w:rsid w:val="00EE1095"/>
    <w:rsid w:val="00EE15D6"/>
    <w:rsid w:val="00EE29A0"/>
    <w:rsid w:val="00EE2A4A"/>
    <w:rsid w:val="00EE2A60"/>
    <w:rsid w:val="00EE2CEA"/>
    <w:rsid w:val="00EE3365"/>
    <w:rsid w:val="00EE382D"/>
    <w:rsid w:val="00EE4591"/>
    <w:rsid w:val="00EE48DF"/>
    <w:rsid w:val="00EE4AB3"/>
    <w:rsid w:val="00EE570E"/>
    <w:rsid w:val="00EE6173"/>
    <w:rsid w:val="00EE6F32"/>
    <w:rsid w:val="00EE7405"/>
    <w:rsid w:val="00EE7FEA"/>
    <w:rsid w:val="00EF02EF"/>
    <w:rsid w:val="00EF033E"/>
    <w:rsid w:val="00EF06EC"/>
    <w:rsid w:val="00EF07BE"/>
    <w:rsid w:val="00EF07F1"/>
    <w:rsid w:val="00EF0874"/>
    <w:rsid w:val="00EF107D"/>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5FD7"/>
    <w:rsid w:val="00EF616E"/>
    <w:rsid w:val="00EF6439"/>
    <w:rsid w:val="00EF6D3C"/>
    <w:rsid w:val="00EF6FA7"/>
    <w:rsid w:val="00EF7A15"/>
    <w:rsid w:val="00F00F78"/>
    <w:rsid w:val="00F01F8C"/>
    <w:rsid w:val="00F02532"/>
    <w:rsid w:val="00F028F9"/>
    <w:rsid w:val="00F02D93"/>
    <w:rsid w:val="00F035A6"/>
    <w:rsid w:val="00F039F8"/>
    <w:rsid w:val="00F03BA2"/>
    <w:rsid w:val="00F04AD0"/>
    <w:rsid w:val="00F055F6"/>
    <w:rsid w:val="00F05ED3"/>
    <w:rsid w:val="00F06009"/>
    <w:rsid w:val="00F0621F"/>
    <w:rsid w:val="00F06709"/>
    <w:rsid w:val="00F07585"/>
    <w:rsid w:val="00F0786A"/>
    <w:rsid w:val="00F10033"/>
    <w:rsid w:val="00F10450"/>
    <w:rsid w:val="00F10848"/>
    <w:rsid w:val="00F10B68"/>
    <w:rsid w:val="00F1105D"/>
    <w:rsid w:val="00F11870"/>
    <w:rsid w:val="00F11F55"/>
    <w:rsid w:val="00F12D0E"/>
    <w:rsid w:val="00F12DEC"/>
    <w:rsid w:val="00F12FFA"/>
    <w:rsid w:val="00F13151"/>
    <w:rsid w:val="00F1327B"/>
    <w:rsid w:val="00F13A02"/>
    <w:rsid w:val="00F13AEC"/>
    <w:rsid w:val="00F14B13"/>
    <w:rsid w:val="00F15523"/>
    <w:rsid w:val="00F15F38"/>
    <w:rsid w:val="00F1600C"/>
    <w:rsid w:val="00F16309"/>
    <w:rsid w:val="00F16391"/>
    <w:rsid w:val="00F16904"/>
    <w:rsid w:val="00F16EAC"/>
    <w:rsid w:val="00F1779D"/>
    <w:rsid w:val="00F2062B"/>
    <w:rsid w:val="00F209DE"/>
    <w:rsid w:val="00F20B19"/>
    <w:rsid w:val="00F21A18"/>
    <w:rsid w:val="00F21E61"/>
    <w:rsid w:val="00F220EA"/>
    <w:rsid w:val="00F222CD"/>
    <w:rsid w:val="00F223A5"/>
    <w:rsid w:val="00F2245C"/>
    <w:rsid w:val="00F24EA4"/>
    <w:rsid w:val="00F25159"/>
    <w:rsid w:val="00F2582D"/>
    <w:rsid w:val="00F2625A"/>
    <w:rsid w:val="00F27597"/>
    <w:rsid w:val="00F31A03"/>
    <w:rsid w:val="00F31C15"/>
    <w:rsid w:val="00F31CEC"/>
    <w:rsid w:val="00F3283C"/>
    <w:rsid w:val="00F32B0E"/>
    <w:rsid w:val="00F32D0F"/>
    <w:rsid w:val="00F339C4"/>
    <w:rsid w:val="00F33A63"/>
    <w:rsid w:val="00F34004"/>
    <w:rsid w:val="00F343F0"/>
    <w:rsid w:val="00F34620"/>
    <w:rsid w:val="00F34804"/>
    <w:rsid w:val="00F34AAB"/>
    <w:rsid w:val="00F34C4D"/>
    <w:rsid w:val="00F350CF"/>
    <w:rsid w:val="00F35582"/>
    <w:rsid w:val="00F3568D"/>
    <w:rsid w:val="00F35A98"/>
    <w:rsid w:val="00F37004"/>
    <w:rsid w:val="00F37200"/>
    <w:rsid w:val="00F376A1"/>
    <w:rsid w:val="00F37B8E"/>
    <w:rsid w:val="00F37E50"/>
    <w:rsid w:val="00F40F2E"/>
    <w:rsid w:val="00F415F9"/>
    <w:rsid w:val="00F41746"/>
    <w:rsid w:val="00F41E79"/>
    <w:rsid w:val="00F4315F"/>
    <w:rsid w:val="00F4386D"/>
    <w:rsid w:val="00F44000"/>
    <w:rsid w:val="00F445AC"/>
    <w:rsid w:val="00F445F6"/>
    <w:rsid w:val="00F44B04"/>
    <w:rsid w:val="00F4512F"/>
    <w:rsid w:val="00F45763"/>
    <w:rsid w:val="00F45A5C"/>
    <w:rsid w:val="00F45BCF"/>
    <w:rsid w:val="00F45BEA"/>
    <w:rsid w:val="00F45CFE"/>
    <w:rsid w:val="00F46877"/>
    <w:rsid w:val="00F46B04"/>
    <w:rsid w:val="00F47F3E"/>
    <w:rsid w:val="00F47F76"/>
    <w:rsid w:val="00F506B7"/>
    <w:rsid w:val="00F50DA9"/>
    <w:rsid w:val="00F511B6"/>
    <w:rsid w:val="00F5120B"/>
    <w:rsid w:val="00F51793"/>
    <w:rsid w:val="00F522F1"/>
    <w:rsid w:val="00F52AD4"/>
    <w:rsid w:val="00F530E6"/>
    <w:rsid w:val="00F532C7"/>
    <w:rsid w:val="00F5380B"/>
    <w:rsid w:val="00F5393C"/>
    <w:rsid w:val="00F5416F"/>
    <w:rsid w:val="00F54929"/>
    <w:rsid w:val="00F549A4"/>
    <w:rsid w:val="00F54EE5"/>
    <w:rsid w:val="00F5504E"/>
    <w:rsid w:val="00F55358"/>
    <w:rsid w:val="00F55B5B"/>
    <w:rsid w:val="00F5603C"/>
    <w:rsid w:val="00F5605C"/>
    <w:rsid w:val="00F564B9"/>
    <w:rsid w:val="00F57522"/>
    <w:rsid w:val="00F57905"/>
    <w:rsid w:val="00F57909"/>
    <w:rsid w:val="00F57B94"/>
    <w:rsid w:val="00F6050E"/>
    <w:rsid w:val="00F609C0"/>
    <w:rsid w:val="00F60AA4"/>
    <w:rsid w:val="00F6106F"/>
    <w:rsid w:val="00F612D6"/>
    <w:rsid w:val="00F61D27"/>
    <w:rsid w:val="00F6272A"/>
    <w:rsid w:val="00F63400"/>
    <w:rsid w:val="00F636C6"/>
    <w:rsid w:val="00F63BFE"/>
    <w:rsid w:val="00F63C17"/>
    <w:rsid w:val="00F63C2F"/>
    <w:rsid w:val="00F64211"/>
    <w:rsid w:val="00F64298"/>
    <w:rsid w:val="00F6433D"/>
    <w:rsid w:val="00F6486C"/>
    <w:rsid w:val="00F65363"/>
    <w:rsid w:val="00F6573E"/>
    <w:rsid w:val="00F65D3C"/>
    <w:rsid w:val="00F662EB"/>
    <w:rsid w:val="00F66FCE"/>
    <w:rsid w:val="00F67606"/>
    <w:rsid w:val="00F67B2E"/>
    <w:rsid w:val="00F67CD0"/>
    <w:rsid w:val="00F70327"/>
    <w:rsid w:val="00F70E7F"/>
    <w:rsid w:val="00F70FEF"/>
    <w:rsid w:val="00F72297"/>
    <w:rsid w:val="00F72FA8"/>
    <w:rsid w:val="00F73060"/>
    <w:rsid w:val="00F73419"/>
    <w:rsid w:val="00F75415"/>
    <w:rsid w:val="00F7583C"/>
    <w:rsid w:val="00F76599"/>
    <w:rsid w:val="00F76762"/>
    <w:rsid w:val="00F76EFE"/>
    <w:rsid w:val="00F773F9"/>
    <w:rsid w:val="00F77C6D"/>
    <w:rsid w:val="00F8010C"/>
    <w:rsid w:val="00F8024B"/>
    <w:rsid w:val="00F804E7"/>
    <w:rsid w:val="00F80A02"/>
    <w:rsid w:val="00F8101C"/>
    <w:rsid w:val="00F81027"/>
    <w:rsid w:val="00F81030"/>
    <w:rsid w:val="00F817B9"/>
    <w:rsid w:val="00F81CB7"/>
    <w:rsid w:val="00F82280"/>
    <w:rsid w:val="00F822B8"/>
    <w:rsid w:val="00F8235F"/>
    <w:rsid w:val="00F82949"/>
    <w:rsid w:val="00F8356C"/>
    <w:rsid w:val="00F83A22"/>
    <w:rsid w:val="00F83A97"/>
    <w:rsid w:val="00F83B42"/>
    <w:rsid w:val="00F843AF"/>
    <w:rsid w:val="00F844F0"/>
    <w:rsid w:val="00F84710"/>
    <w:rsid w:val="00F84895"/>
    <w:rsid w:val="00F84E9D"/>
    <w:rsid w:val="00F8626F"/>
    <w:rsid w:val="00F862EC"/>
    <w:rsid w:val="00F8659E"/>
    <w:rsid w:val="00F869CC"/>
    <w:rsid w:val="00F86CE4"/>
    <w:rsid w:val="00F86F42"/>
    <w:rsid w:val="00F87D39"/>
    <w:rsid w:val="00F90433"/>
    <w:rsid w:val="00F912F9"/>
    <w:rsid w:val="00F914B6"/>
    <w:rsid w:val="00F9152E"/>
    <w:rsid w:val="00F91828"/>
    <w:rsid w:val="00F91941"/>
    <w:rsid w:val="00F92E3F"/>
    <w:rsid w:val="00F93697"/>
    <w:rsid w:val="00F937A0"/>
    <w:rsid w:val="00F938D2"/>
    <w:rsid w:val="00F93BA9"/>
    <w:rsid w:val="00F9515E"/>
    <w:rsid w:val="00F959E2"/>
    <w:rsid w:val="00F95B9D"/>
    <w:rsid w:val="00F96057"/>
    <w:rsid w:val="00F960FF"/>
    <w:rsid w:val="00F96389"/>
    <w:rsid w:val="00F9650E"/>
    <w:rsid w:val="00F96B73"/>
    <w:rsid w:val="00F96D6E"/>
    <w:rsid w:val="00F96EA6"/>
    <w:rsid w:val="00F9755E"/>
    <w:rsid w:val="00F977C7"/>
    <w:rsid w:val="00F97C0B"/>
    <w:rsid w:val="00F97C96"/>
    <w:rsid w:val="00FA0890"/>
    <w:rsid w:val="00FA0BC3"/>
    <w:rsid w:val="00FA0BF5"/>
    <w:rsid w:val="00FA0CFA"/>
    <w:rsid w:val="00FA164A"/>
    <w:rsid w:val="00FA1959"/>
    <w:rsid w:val="00FA1D3C"/>
    <w:rsid w:val="00FA21DD"/>
    <w:rsid w:val="00FA251C"/>
    <w:rsid w:val="00FA2533"/>
    <w:rsid w:val="00FA261D"/>
    <w:rsid w:val="00FA2703"/>
    <w:rsid w:val="00FA3513"/>
    <w:rsid w:val="00FA3BFC"/>
    <w:rsid w:val="00FA3F3E"/>
    <w:rsid w:val="00FA4272"/>
    <w:rsid w:val="00FA4855"/>
    <w:rsid w:val="00FA4ACD"/>
    <w:rsid w:val="00FA55FF"/>
    <w:rsid w:val="00FA5F14"/>
    <w:rsid w:val="00FA6428"/>
    <w:rsid w:val="00FA6ADE"/>
    <w:rsid w:val="00FA6FB3"/>
    <w:rsid w:val="00FA6FDC"/>
    <w:rsid w:val="00FA7126"/>
    <w:rsid w:val="00FA7144"/>
    <w:rsid w:val="00FA7184"/>
    <w:rsid w:val="00FA794C"/>
    <w:rsid w:val="00FB0119"/>
    <w:rsid w:val="00FB08F3"/>
    <w:rsid w:val="00FB0D2F"/>
    <w:rsid w:val="00FB13A2"/>
    <w:rsid w:val="00FB1938"/>
    <w:rsid w:val="00FB1AB7"/>
    <w:rsid w:val="00FB1D9D"/>
    <w:rsid w:val="00FB1FFB"/>
    <w:rsid w:val="00FB250C"/>
    <w:rsid w:val="00FB3304"/>
    <w:rsid w:val="00FB433E"/>
    <w:rsid w:val="00FB46B8"/>
    <w:rsid w:val="00FB4A91"/>
    <w:rsid w:val="00FB4B38"/>
    <w:rsid w:val="00FB53A7"/>
    <w:rsid w:val="00FB54BB"/>
    <w:rsid w:val="00FB5AC0"/>
    <w:rsid w:val="00FB69A2"/>
    <w:rsid w:val="00FB6C91"/>
    <w:rsid w:val="00FB74E8"/>
    <w:rsid w:val="00FB7905"/>
    <w:rsid w:val="00FC0263"/>
    <w:rsid w:val="00FC0348"/>
    <w:rsid w:val="00FC0451"/>
    <w:rsid w:val="00FC0FB5"/>
    <w:rsid w:val="00FC102A"/>
    <w:rsid w:val="00FC154C"/>
    <w:rsid w:val="00FC172C"/>
    <w:rsid w:val="00FC1BA5"/>
    <w:rsid w:val="00FC1DBC"/>
    <w:rsid w:val="00FC1F0E"/>
    <w:rsid w:val="00FC2637"/>
    <w:rsid w:val="00FC28CA"/>
    <w:rsid w:val="00FC2B1A"/>
    <w:rsid w:val="00FC2DEC"/>
    <w:rsid w:val="00FC2E93"/>
    <w:rsid w:val="00FC32BC"/>
    <w:rsid w:val="00FC393B"/>
    <w:rsid w:val="00FC3A4C"/>
    <w:rsid w:val="00FC3FA9"/>
    <w:rsid w:val="00FC4052"/>
    <w:rsid w:val="00FC4330"/>
    <w:rsid w:val="00FC44DD"/>
    <w:rsid w:val="00FC47D9"/>
    <w:rsid w:val="00FC4EA6"/>
    <w:rsid w:val="00FC5252"/>
    <w:rsid w:val="00FC632E"/>
    <w:rsid w:val="00FC6356"/>
    <w:rsid w:val="00FC6408"/>
    <w:rsid w:val="00FC6AB3"/>
    <w:rsid w:val="00FC6C09"/>
    <w:rsid w:val="00FC79FF"/>
    <w:rsid w:val="00FC7D01"/>
    <w:rsid w:val="00FD0130"/>
    <w:rsid w:val="00FD0373"/>
    <w:rsid w:val="00FD04C8"/>
    <w:rsid w:val="00FD0582"/>
    <w:rsid w:val="00FD0852"/>
    <w:rsid w:val="00FD0C9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5B"/>
    <w:rsid w:val="00FD52A3"/>
    <w:rsid w:val="00FD5394"/>
    <w:rsid w:val="00FD58B9"/>
    <w:rsid w:val="00FD6140"/>
    <w:rsid w:val="00FD67D9"/>
    <w:rsid w:val="00FD68D4"/>
    <w:rsid w:val="00FD6D0D"/>
    <w:rsid w:val="00FE00D9"/>
    <w:rsid w:val="00FE0699"/>
    <w:rsid w:val="00FE1186"/>
    <w:rsid w:val="00FE177A"/>
    <w:rsid w:val="00FE1FC5"/>
    <w:rsid w:val="00FE240A"/>
    <w:rsid w:val="00FE28CD"/>
    <w:rsid w:val="00FE2A46"/>
    <w:rsid w:val="00FE3C87"/>
    <w:rsid w:val="00FE3E3C"/>
    <w:rsid w:val="00FE419B"/>
    <w:rsid w:val="00FE43B1"/>
    <w:rsid w:val="00FE43E7"/>
    <w:rsid w:val="00FE44FC"/>
    <w:rsid w:val="00FE48EB"/>
    <w:rsid w:val="00FE4B37"/>
    <w:rsid w:val="00FE4B66"/>
    <w:rsid w:val="00FE4DFE"/>
    <w:rsid w:val="00FE4E1C"/>
    <w:rsid w:val="00FE4F18"/>
    <w:rsid w:val="00FE4F6E"/>
    <w:rsid w:val="00FE5202"/>
    <w:rsid w:val="00FE583F"/>
    <w:rsid w:val="00FE5B49"/>
    <w:rsid w:val="00FE5CC4"/>
    <w:rsid w:val="00FE5CE0"/>
    <w:rsid w:val="00FE6B13"/>
    <w:rsid w:val="00FE7437"/>
    <w:rsid w:val="00FE7575"/>
    <w:rsid w:val="00FF1070"/>
    <w:rsid w:val="00FF1203"/>
    <w:rsid w:val="00FF13E2"/>
    <w:rsid w:val="00FF1951"/>
    <w:rsid w:val="00FF1A27"/>
    <w:rsid w:val="00FF1A42"/>
    <w:rsid w:val="00FF2237"/>
    <w:rsid w:val="00FF2874"/>
    <w:rsid w:val="00FF2934"/>
    <w:rsid w:val="00FF3399"/>
    <w:rsid w:val="00FF343E"/>
    <w:rsid w:val="00FF3645"/>
    <w:rsid w:val="00FF409E"/>
    <w:rsid w:val="00FF41D2"/>
    <w:rsid w:val="00FF48E7"/>
    <w:rsid w:val="00FF4953"/>
    <w:rsid w:val="00FF4DBA"/>
    <w:rsid w:val="00FF5728"/>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2E81C"/>
  <w15:chartTrackingRefBased/>
  <w15:docId w15:val="{01967ECC-CCDD-406C-9A48-48930E34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FB"/>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uiPriority w:val="99"/>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2 Char,Saraksta rindkopa Char,Saraksta rindkopa1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Saraksta rindkopa,Saraksta rindkopa1"/>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paragraph" w:customStyle="1" w:styleId="Style1">
    <w:name w:val="Style1"/>
    <w:basedOn w:val="ListParagraph"/>
    <w:link w:val="Style1Char"/>
    <w:qFormat/>
    <w:rsid w:val="00B12E7E"/>
    <w:pPr>
      <w:numPr>
        <w:numId w:val="44"/>
      </w:numPr>
      <w:ind w:left="0" w:firstLine="720"/>
      <w:jc w:val="both"/>
    </w:pPr>
    <w:rPr>
      <w:rFonts w:ascii="Times New Roman" w:hAnsi="Times New Roman"/>
      <w:sz w:val="28"/>
      <w:szCs w:val="28"/>
    </w:rPr>
  </w:style>
  <w:style w:type="paragraph" w:customStyle="1" w:styleId="tv2132">
    <w:name w:val="tv2132"/>
    <w:basedOn w:val="Normal"/>
    <w:rsid w:val="008C37DC"/>
    <w:pPr>
      <w:spacing w:line="360" w:lineRule="auto"/>
      <w:ind w:firstLine="300"/>
      <w:jc w:val="both"/>
    </w:pPr>
    <w:rPr>
      <w:color w:val="414142"/>
      <w:sz w:val="20"/>
      <w:szCs w:val="20"/>
      <w:lang w:val="en-US" w:eastAsia="en-US"/>
    </w:rPr>
  </w:style>
  <w:style w:type="character" w:customStyle="1" w:styleId="Style1Char">
    <w:name w:val="Style1 Char"/>
    <w:link w:val="Style1"/>
    <w:rsid w:val="00543F44"/>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3705125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7185878">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65631652">
      <w:bodyDiv w:val="1"/>
      <w:marLeft w:val="0"/>
      <w:marRight w:val="0"/>
      <w:marTop w:val="0"/>
      <w:marBottom w:val="0"/>
      <w:divBdr>
        <w:top w:val="none" w:sz="0" w:space="0" w:color="auto"/>
        <w:left w:val="none" w:sz="0" w:space="0" w:color="auto"/>
        <w:bottom w:val="none" w:sz="0" w:space="0" w:color="auto"/>
        <w:right w:val="none" w:sz="0" w:space="0" w:color="auto"/>
      </w:divBdr>
      <w:divsChild>
        <w:div w:id="11691782">
          <w:marLeft w:val="0"/>
          <w:marRight w:val="0"/>
          <w:marTop w:val="0"/>
          <w:marBottom w:val="0"/>
          <w:divBdr>
            <w:top w:val="none" w:sz="0" w:space="0" w:color="auto"/>
            <w:left w:val="none" w:sz="0" w:space="0" w:color="auto"/>
            <w:bottom w:val="none" w:sz="0" w:space="0" w:color="auto"/>
            <w:right w:val="none" w:sz="0" w:space="0" w:color="auto"/>
          </w:divBdr>
          <w:divsChild>
            <w:div w:id="1790709334">
              <w:marLeft w:val="0"/>
              <w:marRight w:val="0"/>
              <w:marTop w:val="0"/>
              <w:marBottom w:val="0"/>
              <w:divBdr>
                <w:top w:val="none" w:sz="0" w:space="0" w:color="auto"/>
                <w:left w:val="none" w:sz="0" w:space="0" w:color="auto"/>
                <w:bottom w:val="none" w:sz="0" w:space="0" w:color="auto"/>
                <w:right w:val="none" w:sz="0" w:space="0" w:color="auto"/>
              </w:divBdr>
              <w:divsChild>
                <w:div w:id="352928031">
                  <w:marLeft w:val="0"/>
                  <w:marRight w:val="0"/>
                  <w:marTop w:val="0"/>
                  <w:marBottom w:val="0"/>
                  <w:divBdr>
                    <w:top w:val="none" w:sz="0" w:space="0" w:color="auto"/>
                    <w:left w:val="none" w:sz="0" w:space="0" w:color="auto"/>
                    <w:bottom w:val="none" w:sz="0" w:space="0" w:color="auto"/>
                    <w:right w:val="none" w:sz="0" w:space="0" w:color="auto"/>
                  </w:divBdr>
                  <w:divsChild>
                    <w:div w:id="1133328955">
                      <w:marLeft w:val="0"/>
                      <w:marRight w:val="0"/>
                      <w:marTop w:val="0"/>
                      <w:marBottom w:val="0"/>
                      <w:divBdr>
                        <w:top w:val="none" w:sz="0" w:space="0" w:color="auto"/>
                        <w:left w:val="none" w:sz="0" w:space="0" w:color="auto"/>
                        <w:bottom w:val="none" w:sz="0" w:space="0" w:color="auto"/>
                        <w:right w:val="none" w:sz="0" w:space="0" w:color="auto"/>
                      </w:divBdr>
                      <w:divsChild>
                        <w:div w:id="1880584601">
                          <w:marLeft w:val="0"/>
                          <w:marRight w:val="0"/>
                          <w:marTop w:val="0"/>
                          <w:marBottom w:val="0"/>
                          <w:divBdr>
                            <w:top w:val="none" w:sz="0" w:space="0" w:color="auto"/>
                            <w:left w:val="none" w:sz="0" w:space="0" w:color="auto"/>
                            <w:bottom w:val="none" w:sz="0" w:space="0" w:color="auto"/>
                            <w:right w:val="none" w:sz="0" w:space="0" w:color="auto"/>
                          </w:divBdr>
                          <w:divsChild>
                            <w:div w:id="628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2056">
      <w:bodyDiv w:val="1"/>
      <w:marLeft w:val="0"/>
      <w:marRight w:val="0"/>
      <w:marTop w:val="0"/>
      <w:marBottom w:val="0"/>
      <w:divBdr>
        <w:top w:val="none" w:sz="0" w:space="0" w:color="auto"/>
        <w:left w:val="none" w:sz="0" w:space="0" w:color="auto"/>
        <w:bottom w:val="none" w:sz="0" w:space="0" w:color="auto"/>
        <w:right w:val="none" w:sz="0" w:space="0" w:color="auto"/>
      </w:divBdr>
      <w:divsChild>
        <w:div w:id="806706159">
          <w:marLeft w:val="0"/>
          <w:marRight w:val="0"/>
          <w:marTop w:val="480"/>
          <w:marBottom w:val="240"/>
          <w:divBdr>
            <w:top w:val="none" w:sz="0" w:space="0" w:color="auto"/>
            <w:left w:val="none" w:sz="0" w:space="0" w:color="auto"/>
            <w:bottom w:val="none" w:sz="0" w:space="0" w:color="auto"/>
            <w:right w:val="none" w:sz="0" w:space="0" w:color="auto"/>
          </w:divBdr>
        </w:div>
        <w:div w:id="2004895989">
          <w:marLeft w:val="0"/>
          <w:marRight w:val="0"/>
          <w:marTop w:val="0"/>
          <w:marBottom w:val="567"/>
          <w:divBdr>
            <w:top w:val="none" w:sz="0" w:space="0" w:color="auto"/>
            <w:left w:val="none" w:sz="0" w:space="0" w:color="auto"/>
            <w:bottom w:val="none" w:sz="0" w:space="0" w:color="auto"/>
            <w:right w:val="none" w:sz="0" w:space="0" w:color="auto"/>
          </w:divBdr>
        </w:div>
      </w:divsChild>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5406619">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64210895">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46729033">
      <w:bodyDiv w:val="1"/>
      <w:marLeft w:val="0"/>
      <w:marRight w:val="0"/>
      <w:marTop w:val="0"/>
      <w:marBottom w:val="0"/>
      <w:divBdr>
        <w:top w:val="none" w:sz="0" w:space="0" w:color="auto"/>
        <w:left w:val="none" w:sz="0" w:space="0" w:color="auto"/>
        <w:bottom w:val="none" w:sz="0" w:space="0" w:color="auto"/>
        <w:right w:val="none" w:sz="0" w:space="0" w:color="auto"/>
      </w:divBdr>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787507025">
      <w:bodyDiv w:val="1"/>
      <w:marLeft w:val="0"/>
      <w:marRight w:val="0"/>
      <w:marTop w:val="0"/>
      <w:marBottom w:val="0"/>
      <w:divBdr>
        <w:top w:val="none" w:sz="0" w:space="0" w:color="auto"/>
        <w:left w:val="none" w:sz="0" w:space="0" w:color="auto"/>
        <w:bottom w:val="none" w:sz="0" w:space="0" w:color="auto"/>
        <w:right w:val="none" w:sz="0" w:space="0" w:color="auto"/>
      </w:divBdr>
      <w:divsChild>
        <w:div w:id="1481386204">
          <w:marLeft w:val="0"/>
          <w:marRight w:val="0"/>
          <w:marTop w:val="0"/>
          <w:marBottom w:val="0"/>
          <w:divBdr>
            <w:top w:val="none" w:sz="0" w:space="0" w:color="auto"/>
            <w:left w:val="none" w:sz="0" w:space="0" w:color="auto"/>
            <w:bottom w:val="none" w:sz="0" w:space="0" w:color="auto"/>
            <w:right w:val="none" w:sz="0" w:space="0" w:color="auto"/>
          </w:divBdr>
        </w:div>
      </w:divsChild>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40665678">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23742231">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6454412">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48711647">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04567182">
      <w:bodyDiv w:val="1"/>
      <w:marLeft w:val="0"/>
      <w:marRight w:val="0"/>
      <w:marTop w:val="0"/>
      <w:marBottom w:val="0"/>
      <w:divBdr>
        <w:top w:val="none" w:sz="0" w:space="0" w:color="auto"/>
        <w:left w:val="none" w:sz="0" w:space="0" w:color="auto"/>
        <w:bottom w:val="none" w:sz="0" w:space="0" w:color="auto"/>
        <w:right w:val="none" w:sz="0" w:space="0" w:color="auto"/>
      </w:divBdr>
    </w:div>
    <w:div w:id="2121101369">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ta.svirksta@izm.gov.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1B6F-1447-4C56-96F2-C98A820F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28570</Words>
  <Characters>16285</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2016. gada 16. augusta noteikumos Nr. 562 "Darbības programmas "Izaugsme un nodarbinātība" 1.1.1. specifiskā atbalsta mērķa "Palielināt Latv</vt:lpstr>
    </vt:vector>
  </TitlesOfParts>
  <Company>LabMin</Company>
  <LinksUpToDate>false</LinksUpToDate>
  <CharactersWithSpaces>44766</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dc:title>
  <dc:subject>Izziņa</dc:subject>
  <dc:creator>Inta Švirksta</dc:creator>
  <cp:keywords/>
  <dc:description>inta.svirksta@izm.gov.lv, 67047878</dc:description>
  <cp:lastModifiedBy>Inta Švirksta</cp:lastModifiedBy>
  <cp:revision>5</cp:revision>
  <cp:lastPrinted>2019-03-29T08:40:00Z</cp:lastPrinted>
  <dcterms:created xsi:type="dcterms:W3CDTF">2020-09-24T07:29:00Z</dcterms:created>
  <dcterms:modified xsi:type="dcterms:W3CDTF">2020-10-05T09:12:00Z</dcterms:modified>
  <cp:category>Izglītības un zinātnes  ministrija</cp:category>
</cp:coreProperties>
</file>