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B6A74" w14:textId="77777777" w:rsidR="0096300F" w:rsidRDefault="0096300F" w:rsidP="0096300F">
      <w:pPr>
        <w:spacing w:after="0" w:line="240" w:lineRule="auto"/>
        <w:jc w:val="center"/>
        <w:rPr>
          <w:rFonts w:ascii="Times New Roman" w:hAnsi="Times New Roman" w:cs="Times New Roman"/>
          <w:b/>
          <w:sz w:val="32"/>
          <w:szCs w:val="32"/>
        </w:rPr>
      </w:pPr>
      <w:bookmarkStart w:id="0" w:name="_GoBack"/>
      <w:bookmarkEnd w:id="0"/>
    </w:p>
    <w:p w14:paraId="2A453B52" w14:textId="77777777" w:rsidR="00BE292C" w:rsidRDefault="00BE292C" w:rsidP="0096300F">
      <w:pPr>
        <w:spacing w:after="0" w:line="240" w:lineRule="auto"/>
        <w:jc w:val="center"/>
        <w:rPr>
          <w:rFonts w:ascii="Times New Roman" w:hAnsi="Times New Roman" w:cs="Times New Roman"/>
          <w:b/>
          <w:sz w:val="32"/>
          <w:szCs w:val="32"/>
        </w:rPr>
      </w:pPr>
    </w:p>
    <w:p w14:paraId="3D016F6A" w14:textId="77777777" w:rsidR="00BE292C" w:rsidRDefault="00BE292C" w:rsidP="0096300F">
      <w:pPr>
        <w:spacing w:after="0" w:line="240" w:lineRule="auto"/>
        <w:jc w:val="center"/>
        <w:rPr>
          <w:rFonts w:ascii="Times New Roman" w:hAnsi="Times New Roman" w:cs="Times New Roman"/>
          <w:b/>
          <w:sz w:val="32"/>
          <w:szCs w:val="32"/>
        </w:rPr>
      </w:pPr>
    </w:p>
    <w:p w14:paraId="23CFCF5D" w14:textId="77777777" w:rsidR="0096300F" w:rsidRDefault="0096300F" w:rsidP="0096300F">
      <w:pPr>
        <w:spacing w:after="0" w:line="240" w:lineRule="auto"/>
        <w:jc w:val="center"/>
        <w:rPr>
          <w:rFonts w:ascii="Times New Roman" w:hAnsi="Times New Roman" w:cs="Times New Roman"/>
          <w:b/>
          <w:sz w:val="32"/>
          <w:szCs w:val="32"/>
        </w:rPr>
      </w:pPr>
    </w:p>
    <w:p w14:paraId="7652F9D9" w14:textId="77777777" w:rsidR="0096300F" w:rsidRDefault="0096300F" w:rsidP="0096300F">
      <w:pPr>
        <w:spacing w:after="0" w:line="240" w:lineRule="auto"/>
        <w:jc w:val="center"/>
        <w:rPr>
          <w:rFonts w:ascii="Times New Roman" w:hAnsi="Times New Roman" w:cs="Times New Roman"/>
          <w:b/>
          <w:sz w:val="32"/>
          <w:szCs w:val="32"/>
        </w:rPr>
      </w:pPr>
    </w:p>
    <w:p w14:paraId="6847FC94" w14:textId="77777777" w:rsidR="0096300F" w:rsidRDefault="0096300F" w:rsidP="0096300F">
      <w:pPr>
        <w:spacing w:after="0" w:line="240" w:lineRule="auto"/>
        <w:jc w:val="center"/>
        <w:rPr>
          <w:rFonts w:ascii="Times New Roman" w:hAnsi="Times New Roman" w:cs="Times New Roman"/>
          <w:b/>
          <w:sz w:val="32"/>
          <w:szCs w:val="32"/>
        </w:rPr>
      </w:pPr>
    </w:p>
    <w:p w14:paraId="2CB1B89F" w14:textId="40E3D5A3" w:rsidR="0096300F" w:rsidRPr="00490155" w:rsidRDefault="00AC6A47" w:rsidP="0096300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Konceptuālais</w:t>
      </w:r>
      <w:r w:rsidR="0096300F" w:rsidRPr="00490155">
        <w:rPr>
          <w:rFonts w:ascii="Times New Roman" w:hAnsi="Times New Roman" w:cs="Times New Roman"/>
          <w:b/>
          <w:sz w:val="32"/>
          <w:szCs w:val="32"/>
        </w:rPr>
        <w:t xml:space="preserve"> ziņojums </w:t>
      </w:r>
    </w:p>
    <w:p w14:paraId="39047318" w14:textId="59E344CB" w:rsidR="0096300F" w:rsidRPr="006660E2" w:rsidRDefault="0096300F" w:rsidP="0096300F">
      <w:pPr>
        <w:spacing w:after="0" w:line="240" w:lineRule="auto"/>
        <w:jc w:val="center"/>
        <w:rPr>
          <w:rFonts w:ascii="Times New Roman" w:hAnsi="Times New Roman" w:cs="Times New Roman"/>
          <w:sz w:val="32"/>
          <w:szCs w:val="32"/>
        </w:rPr>
      </w:pPr>
      <w:r>
        <w:rPr>
          <w:rFonts w:ascii="Times New Roman" w:hAnsi="Times New Roman" w:cs="Times New Roman"/>
          <w:b/>
          <w:sz w:val="32"/>
          <w:szCs w:val="32"/>
        </w:rPr>
        <w:t>„</w:t>
      </w:r>
      <w:r w:rsidRPr="0096300F">
        <w:rPr>
          <w:rFonts w:ascii="Times New Roman" w:hAnsi="Times New Roman" w:cs="Times New Roman"/>
          <w:b/>
          <w:sz w:val="32"/>
          <w:szCs w:val="32"/>
        </w:rPr>
        <w:t xml:space="preserve">Par profesionālās izglītības </w:t>
      </w:r>
      <w:r w:rsidR="00FF48B4">
        <w:rPr>
          <w:rFonts w:ascii="Times New Roman" w:hAnsi="Times New Roman" w:cs="Times New Roman"/>
          <w:b/>
          <w:sz w:val="32"/>
          <w:szCs w:val="32"/>
        </w:rPr>
        <w:t>programmu</w:t>
      </w:r>
      <w:r w:rsidR="00FF48B4" w:rsidRPr="0096300F">
        <w:rPr>
          <w:rFonts w:ascii="Times New Roman" w:hAnsi="Times New Roman" w:cs="Times New Roman"/>
          <w:b/>
          <w:sz w:val="32"/>
          <w:szCs w:val="32"/>
        </w:rPr>
        <w:t xml:space="preserve"> </w:t>
      </w:r>
      <w:r w:rsidRPr="0096300F">
        <w:rPr>
          <w:rFonts w:ascii="Times New Roman" w:hAnsi="Times New Roman" w:cs="Times New Roman"/>
          <w:b/>
          <w:sz w:val="32"/>
          <w:szCs w:val="32"/>
        </w:rPr>
        <w:t>finansēšanu</w:t>
      </w:r>
      <w:r>
        <w:rPr>
          <w:rFonts w:ascii="Times New Roman" w:hAnsi="Times New Roman" w:cs="Times New Roman"/>
          <w:b/>
          <w:sz w:val="32"/>
          <w:szCs w:val="32"/>
        </w:rPr>
        <w:t>”</w:t>
      </w:r>
      <w:r w:rsidRPr="006660E2">
        <w:rPr>
          <w:rFonts w:ascii="Times New Roman" w:hAnsi="Times New Roman" w:cs="Times New Roman"/>
          <w:b/>
          <w:sz w:val="32"/>
          <w:szCs w:val="32"/>
        </w:rPr>
        <w:t xml:space="preserve"> </w:t>
      </w:r>
    </w:p>
    <w:p w14:paraId="7AC0368F" w14:textId="77777777" w:rsidR="0096300F" w:rsidRDefault="0096300F" w:rsidP="0096300F">
      <w:pPr>
        <w:jc w:val="center"/>
        <w:rPr>
          <w:rFonts w:ascii="Times New Roman" w:hAnsi="Times New Roman" w:cs="Times New Roman"/>
          <w:sz w:val="32"/>
          <w:szCs w:val="32"/>
        </w:rPr>
      </w:pPr>
    </w:p>
    <w:p w14:paraId="3AF9F9CB" w14:textId="77777777" w:rsidR="0096300F" w:rsidRDefault="0096300F" w:rsidP="0096300F">
      <w:pPr>
        <w:jc w:val="center"/>
        <w:rPr>
          <w:rFonts w:ascii="Times New Roman" w:hAnsi="Times New Roman" w:cs="Times New Roman"/>
          <w:sz w:val="32"/>
          <w:szCs w:val="32"/>
        </w:rPr>
      </w:pPr>
    </w:p>
    <w:p w14:paraId="22F0C5AD" w14:textId="77777777" w:rsidR="0096300F" w:rsidRDefault="0096300F" w:rsidP="0096300F">
      <w:pPr>
        <w:jc w:val="center"/>
        <w:rPr>
          <w:rFonts w:ascii="Times New Roman" w:hAnsi="Times New Roman" w:cs="Times New Roman"/>
          <w:sz w:val="32"/>
          <w:szCs w:val="32"/>
        </w:rPr>
      </w:pPr>
    </w:p>
    <w:p w14:paraId="09DC4B07" w14:textId="77777777" w:rsidR="0096300F" w:rsidRDefault="0096300F" w:rsidP="0096300F">
      <w:pPr>
        <w:jc w:val="center"/>
        <w:rPr>
          <w:rFonts w:ascii="Times New Roman" w:hAnsi="Times New Roman" w:cs="Times New Roman"/>
          <w:sz w:val="32"/>
          <w:szCs w:val="32"/>
        </w:rPr>
      </w:pPr>
    </w:p>
    <w:p w14:paraId="63370277" w14:textId="77777777" w:rsidR="0096300F" w:rsidRDefault="0096300F" w:rsidP="0096300F">
      <w:pPr>
        <w:jc w:val="center"/>
        <w:rPr>
          <w:rFonts w:ascii="Times New Roman" w:hAnsi="Times New Roman" w:cs="Times New Roman"/>
          <w:sz w:val="32"/>
          <w:szCs w:val="32"/>
        </w:rPr>
      </w:pPr>
    </w:p>
    <w:p w14:paraId="50666E8A" w14:textId="77777777" w:rsidR="0096300F" w:rsidRDefault="0096300F" w:rsidP="0096300F">
      <w:pPr>
        <w:jc w:val="center"/>
        <w:rPr>
          <w:rFonts w:ascii="Times New Roman" w:hAnsi="Times New Roman" w:cs="Times New Roman"/>
          <w:sz w:val="32"/>
          <w:szCs w:val="32"/>
        </w:rPr>
      </w:pPr>
    </w:p>
    <w:p w14:paraId="04AB7FC6" w14:textId="77777777" w:rsidR="0096300F" w:rsidRDefault="0096300F" w:rsidP="0096300F">
      <w:pPr>
        <w:jc w:val="center"/>
        <w:rPr>
          <w:rFonts w:ascii="Times New Roman" w:hAnsi="Times New Roman" w:cs="Times New Roman"/>
          <w:sz w:val="32"/>
          <w:szCs w:val="32"/>
        </w:rPr>
      </w:pPr>
    </w:p>
    <w:p w14:paraId="42518806" w14:textId="77777777" w:rsidR="0096300F" w:rsidRDefault="0096300F" w:rsidP="0096300F">
      <w:pPr>
        <w:jc w:val="center"/>
        <w:rPr>
          <w:rFonts w:ascii="Times New Roman" w:hAnsi="Times New Roman" w:cs="Times New Roman"/>
          <w:sz w:val="32"/>
          <w:szCs w:val="32"/>
        </w:rPr>
      </w:pPr>
    </w:p>
    <w:p w14:paraId="4CDC37C1" w14:textId="77777777" w:rsidR="0096300F" w:rsidRDefault="0096300F" w:rsidP="0096300F">
      <w:pPr>
        <w:jc w:val="center"/>
        <w:rPr>
          <w:rFonts w:ascii="Times New Roman" w:hAnsi="Times New Roman" w:cs="Times New Roman"/>
          <w:sz w:val="32"/>
          <w:szCs w:val="32"/>
        </w:rPr>
      </w:pPr>
    </w:p>
    <w:p w14:paraId="3753BE55" w14:textId="77777777" w:rsidR="0096300F" w:rsidRDefault="0096300F" w:rsidP="0096300F">
      <w:pPr>
        <w:jc w:val="center"/>
        <w:rPr>
          <w:rFonts w:ascii="Times New Roman" w:hAnsi="Times New Roman" w:cs="Times New Roman"/>
          <w:sz w:val="32"/>
          <w:szCs w:val="32"/>
        </w:rPr>
      </w:pPr>
    </w:p>
    <w:p w14:paraId="22B986D7" w14:textId="77777777" w:rsidR="0096300F" w:rsidRDefault="0096300F" w:rsidP="0096300F">
      <w:pPr>
        <w:jc w:val="center"/>
        <w:rPr>
          <w:rFonts w:ascii="Times New Roman" w:hAnsi="Times New Roman" w:cs="Times New Roman"/>
          <w:sz w:val="32"/>
          <w:szCs w:val="32"/>
        </w:rPr>
      </w:pPr>
    </w:p>
    <w:p w14:paraId="4276B647" w14:textId="77777777" w:rsidR="0096300F" w:rsidRDefault="0096300F" w:rsidP="0096300F">
      <w:pPr>
        <w:jc w:val="center"/>
        <w:rPr>
          <w:rFonts w:ascii="Times New Roman" w:hAnsi="Times New Roman" w:cs="Times New Roman"/>
          <w:sz w:val="32"/>
          <w:szCs w:val="32"/>
        </w:rPr>
      </w:pPr>
    </w:p>
    <w:p w14:paraId="5F3BA944" w14:textId="77777777" w:rsidR="0096300F" w:rsidRDefault="0096300F" w:rsidP="0096300F">
      <w:pPr>
        <w:jc w:val="center"/>
        <w:rPr>
          <w:rFonts w:ascii="Times New Roman" w:hAnsi="Times New Roman" w:cs="Times New Roman"/>
          <w:sz w:val="32"/>
          <w:szCs w:val="32"/>
        </w:rPr>
      </w:pPr>
    </w:p>
    <w:p w14:paraId="0ED98FFD" w14:textId="77777777" w:rsidR="0096300F" w:rsidRDefault="0096300F" w:rsidP="0096300F">
      <w:pPr>
        <w:jc w:val="center"/>
        <w:rPr>
          <w:rFonts w:ascii="Times New Roman" w:hAnsi="Times New Roman" w:cs="Times New Roman"/>
          <w:sz w:val="32"/>
          <w:szCs w:val="32"/>
        </w:rPr>
      </w:pPr>
    </w:p>
    <w:p w14:paraId="4B75A12B" w14:textId="77777777" w:rsidR="0096300F" w:rsidRDefault="0096300F" w:rsidP="0096300F">
      <w:pPr>
        <w:jc w:val="center"/>
        <w:rPr>
          <w:rFonts w:ascii="Times New Roman" w:hAnsi="Times New Roman" w:cs="Times New Roman"/>
          <w:sz w:val="32"/>
          <w:szCs w:val="32"/>
        </w:rPr>
      </w:pPr>
    </w:p>
    <w:p w14:paraId="7AB4DAAA" w14:textId="77777777" w:rsidR="0096300F" w:rsidRDefault="0096300F" w:rsidP="0096300F">
      <w:pPr>
        <w:jc w:val="center"/>
        <w:rPr>
          <w:rFonts w:ascii="Times New Roman" w:hAnsi="Times New Roman" w:cs="Times New Roman"/>
          <w:sz w:val="32"/>
          <w:szCs w:val="32"/>
        </w:rPr>
      </w:pPr>
    </w:p>
    <w:p w14:paraId="0735A91E" w14:textId="77777777" w:rsidR="0096300F" w:rsidRDefault="0096300F" w:rsidP="0096300F">
      <w:pPr>
        <w:jc w:val="center"/>
        <w:rPr>
          <w:rFonts w:ascii="Times New Roman" w:hAnsi="Times New Roman" w:cs="Times New Roman"/>
          <w:sz w:val="32"/>
          <w:szCs w:val="32"/>
        </w:rPr>
      </w:pPr>
    </w:p>
    <w:p w14:paraId="30A59308" w14:textId="77777777" w:rsidR="0096300F" w:rsidRDefault="0096300F" w:rsidP="0096300F">
      <w:pPr>
        <w:jc w:val="center"/>
        <w:rPr>
          <w:rFonts w:ascii="Times New Roman" w:hAnsi="Times New Roman" w:cs="Times New Roman"/>
          <w:sz w:val="32"/>
          <w:szCs w:val="32"/>
        </w:rPr>
      </w:pPr>
    </w:p>
    <w:p w14:paraId="5B06570C" w14:textId="77777777" w:rsidR="0096300F" w:rsidRDefault="0096300F" w:rsidP="0096300F">
      <w:pPr>
        <w:jc w:val="center"/>
        <w:rPr>
          <w:rFonts w:ascii="Times New Roman" w:hAnsi="Times New Roman" w:cs="Times New Roman"/>
          <w:sz w:val="32"/>
          <w:szCs w:val="32"/>
        </w:rPr>
      </w:pPr>
    </w:p>
    <w:p w14:paraId="1D464998" w14:textId="14607A94" w:rsidR="0096300F" w:rsidRPr="006660E2" w:rsidRDefault="0096300F" w:rsidP="0096300F">
      <w:pPr>
        <w:jc w:val="center"/>
        <w:rPr>
          <w:rFonts w:ascii="Times New Roman" w:hAnsi="Times New Roman" w:cs="Times New Roman"/>
          <w:sz w:val="32"/>
          <w:szCs w:val="32"/>
        </w:rPr>
      </w:pPr>
      <w:r w:rsidRPr="00E074B6">
        <w:rPr>
          <w:rFonts w:ascii="Times New Roman" w:hAnsi="Times New Roman" w:cs="Times New Roman"/>
          <w:color w:val="000000" w:themeColor="text1"/>
          <w:sz w:val="28"/>
          <w:szCs w:val="28"/>
        </w:rPr>
        <w:t>Rīgā</w:t>
      </w:r>
      <w:r w:rsidR="00AC6A47">
        <w:rPr>
          <w:rFonts w:ascii="Times New Roman" w:hAnsi="Times New Roman" w:cs="Times New Roman"/>
          <w:color w:val="000000" w:themeColor="text1"/>
          <w:sz w:val="28"/>
          <w:szCs w:val="28"/>
        </w:rPr>
        <w:t>, 2020</w:t>
      </w:r>
    </w:p>
    <w:p w14:paraId="12FBB8AD" w14:textId="77777777" w:rsidR="0096300F" w:rsidRDefault="0096300F" w:rsidP="00C1346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sdt>
      <w:sdtPr>
        <w:rPr>
          <w:rFonts w:asciiTheme="minorHAnsi" w:eastAsiaTheme="minorEastAsia" w:hAnsiTheme="minorHAnsi" w:cstheme="minorBidi"/>
          <w:color w:val="auto"/>
          <w:sz w:val="22"/>
          <w:szCs w:val="22"/>
          <w:lang w:val="lv-LV" w:eastAsia="lv-LV"/>
        </w:rPr>
        <w:id w:val="-1199321299"/>
        <w:docPartObj>
          <w:docPartGallery w:val="Table of Contents"/>
          <w:docPartUnique/>
        </w:docPartObj>
      </w:sdtPr>
      <w:sdtEndPr>
        <w:rPr>
          <w:b/>
          <w:bCs/>
          <w:noProof/>
        </w:rPr>
      </w:sdtEndPr>
      <w:sdtContent>
        <w:p w14:paraId="5DE8704E" w14:textId="77777777" w:rsidR="0096300F" w:rsidRPr="00414B18" w:rsidRDefault="0096300F" w:rsidP="0096300F">
          <w:pPr>
            <w:pStyle w:val="TOCHeading"/>
            <w:spacing w:after="120"/>
            <w:jc w:val="center"/>
            <w:rPr>
              <w:rFonts w:ascii="Times New Roman" w:hAnsi="Times New Roman" w:cs="Times New Roman"/>
              <w:b/>
              <w:color w:val="000000" w:themeColor="text1"/>
              <w:sz w:val="24"/>
              <w:szCs w:val="24"/>
              <w:lang w:val="lv-LV"/>
            </w:rPr>
          </w:pPr>
          <w:r w:rsidRPr="00414B18">
            <w:rPr>
              <w:rFonts w:ascii="Times New Roman" w:hAnsi="Times New Roman" w:cs="Times New Roman"/>
              <w:b/>
              <w:color w:val="000000" w:themeColor="text1"/>
              <w:sz w:val="24"/>
              <w:szCs w:val="24"/>
              <w:lang w:val="lv-LV"/>
            </w:rPr>
            <w:t>Satura rādītājs</w:t>
          </w:r>
        </w:p>
        <w:p w14:paraId="52FC5F7B" w14:textId="77777777" w:rsidR="00915614" w:rsidRPr="00915614" w:rsidRDefault="0096300F">
          <w:pPr>
            <w:pStyle w:val="TOC1"/>
            <w:rPr>
              <w:rFonts w:ascii="Times New Roman" w:hAnsi="Times New Roman" w:cs="Times New Roman"/>
              <w:noProof/>
              <w:sz w:val="24"/>
              <w:szCs w:val="24"/>
            </w:rPr>
          </w:pPr>
          <w:r w:rsidRPr="00915614">
            <w:rPr>
              <w:rFonts w:ascii="Times New Roman" w:hAnsi="Times New Roman" w:cs="Times New Roman"/>
              <w:color w:val="000000" w:themeColor="text1"/>
              <w:sz w:val="24"/>
              <w:szCs w:val="24"/>
            </w:rPr>
            <w:fldChar w:fldCharType="begin"/>
          </w:r>
          <w:r w:rsidRPr="00915614">
            <w:rPr>
              <w:rFonts w:ascii="Times New Roman" w:hAnsi="Times New Roman" w:cs="Times New Roman"/>
              <w:color w:val="000000" w:themeColor="text1"/>
              <w:sz w:val="24"/>
              <w:szCs w:val="24"/>
            </w:rPr>
            <w:instrText xml:space="preserve"> TOC \o "1-3" \h \z \u </w:instrText>
          </w:r>
          <w:r w:rsidRPr="00915614">
            <w:rPr>
              <w:rFonts w:ascii="Times New Roman" w:hAnsi="Times New Roman" w:cs="Times New Roman"/>
              <w:color w:val="000000" w:themeColor="text1"/>
              <w:sz w:val="24"/>
              <w:szCs w:val="24"/>
            </w:rPr>
            <w:fldChar w:fldCharType="separate"/>
          </w:r>
          <w:hyperlink w:anchor="_Toc53136175" w:history="1">
            <w:r w:rsidR="00915614" w:rsidRPr="00915614">
              <w:rPr>
                <w:rStyle w:val="Hyperlink"/>
                <w:rFonts w:ascii="Times New Roman" w:eastAsia="Times New Roman" w:hAnsi="Times New Roman" w:cs="Times New Roman"/>
                <w:noProof/>
                <w:sz w:val="24"/>
                <w:szCs w:val="24"/>
              </w:rPr>
              <w:t>1.</w:t>
            </w:r>
            <w:r w:rsidR="00915614" w:rsidRPr="00915614">
              <w:rPr>
                <w:rFonts w:ascii="Times New Roman" w:hAnsi="Times New Roman" w:cs="Times New Roman"/>
                <w:noProof/>
                <w:sz w:val="24"/>
                <w:szCs w:val="24"/>
              </w:rPr>
              <w:tab/>
            </w:r>
            <w:r w:rsidR="00915614" w:rsidRPr="00915614">
              <w:rPr>
                <w:rStyle w:val="Hyperlink"/>
                <w:rFonts w:ascii="Times New Roman" w:eastAsia="Times New Roman" w:hAnsi="Times New Roman" w:cs="Times New Roman"/>
                <w:noProof/>
                <w:sz w:val="24"/>
                <w:szCs w:val="24"/>
              </w:rPr>
              <w:t>Kopsavilkums</w:t>
            </w:r>
            <w:r w:rsidR="00915614" w:rsidRPr="00915614">
              <w:rPr>
                <w:rFonts w:ascii="Times New Roman" w:hAnsi="Times New Roman" w:cs="Times New Roman"/>
                <w:noProof/>
                <w:webHidden/>
                <w:sz w:val="24"/>
                <w:szCs w:val="24"/>
              </w:rPr>
              <w:tab/>
            </w:r>
            <w:r w:rsidR="00915614" w:rsidRPr="00915614">
              <w:rPr>
                <w:rFonts w:ascii="Times New Roman" w:hAnsi="Times New Roman" w:cs="Times New Roman"/>
                <w:noProof/>
                <w:webHidden/>
                <w:sz w:val="24"/>
                <w:szCs w:val="24"/>
              </w:rPr>
              <w:fldChar w:fldCharType="begin"/>
            </w:r>
            <w:r w:rsidR="00915614" w:rsidRPr="00915614">
              <w:rPr>
                <w:rFonts w:ascii="Times New Roman" w:hAnsi="Times New Roman" w:cs="Times New Roman"/>
                <w:noProof/>
                <w:webHidden/>
                <w:sz w:val="24"/>
                <w:szCs w:val="24"/>
              </w:rPr>
              <w:instrText xml:space="preserve"> PAGEREF _Toc53136175 \h </w:instrText>
            </w:r>
            <w:r w:rsidR="00915614" w:rsidRPr="00915614">
              <w:rPr>
                <w:rFonts w:ascii="Times New Roman" w:hAnsi="Times New Roman" w:cs="Times New Roman"/>
                <w:noProof/>
                <w:webHidden/>
                <w:sz w:val="24"/>
                <w:szCs w:val="24"/>
              </w:rPr>
            </w:r>
            <w:r w:rsidR="00915614" w:rsidRPr="00915614">
              <w:rPr>
                <w:rFonts w:ascii="Times New Roman" w:hAnsi="Times New Roman" w:cs="Times New Roman"/>
                <w:noProof/>
                <w:webHidden/>
                <w:sz w:val="24"/>
                <w:szCs w:val="24"/>
              </w:rPr>
              <w:fldChar w:fldCharType="separate"/>
            </w:r>
            <w:r w:rsidR="00915614" w:rsidRPr="00915614">
              <w:rPr>
                <w:rFonts w:ascii="Times New Roman" w:hAnsi="Times New Roman" w:cs="Times New Roman"/>
                <w:noProof/>
                <w:webHidden/>
                <w:sz w:val="24"/>
                <w:szCs w:val="24"/>
              </w:rPr>
              <w:t>3</w:t>
            </w:r>
            <w:r w:rsidR="00915614" w:rsidRPr="00915614">
              <w:rPr>
                <w:rFonts w:ascii="Times New Roman" w:hAnsi="Times New Roman" w:cs="Times New Roman"/>
                <w:noProof/>
                <w:webHidden/>
                <w:sz w:val="24"/>
                <w:szCs w:val="24"/>
              </w:rPr>
              <w:fldChar w:fldCharType="end"/>
            </w:r>
          </w:hyperlink>
        </w:p>
        <w:p w14:paraId="36E7CBF9" w14:textId="77777777" w:rsidR="00915614" w:rsidRPr="00915614" w:rsidRDefault="00756E17">
          <w:pPr>
            <w:pStyle w:val="TOC1"/>
            <w:rPr>
              <w:rFonts w:ascii="Times New Roman" w:hAnsi="Times New Roman" w:cs="Times New Roman"/>
              <w:noProof/>
              <w:sz w:val="24"/>
              <w:szCs w:val="24"/>
            </w:rPr>
          </w:pPr>
          <w:hyperlink w:anchor="_Toc53136176" w:history="1">
            <w:r w:rsidR="00915614" w:rsidRPr="00915614">
              <w:rPr>
                <w:rStyle w:val="Hyperlink"/>
                <w:rFonts w:ascii="Times New Roman" w:eastAsia="Times New Roman" w:hAnsi="Times New Roman" w:cs="Times New Roman"/>
                <w:noProof/>
                <w:sz w:val="24"/>
                <w:szCs w:val="24"/>
              </w:rPr>
              <w:t>2.</w:t>
            </w:r>
            <w:r w:rsidR="00915614" w:rsidRPr="00915614">
              <w:rPr>
                <w:rFonts w:ascii="Times New Roman" w:hAnsi="Times New Roman" w:cs="Times New Roman"/>
                <w:noProof/>
                <w:sz w:val="24"/>
                <w:szCs w:val="24"/>
              </w:rPr>
              <w:tab/>
            </w:r>
            <w:r w:rsidR="00915614" w:rsidRPr="00915614">
              <w:rPr>
                <w:rStyle w:val="Hyperlink"/>
                <w:rFonts w:ascii="Times New Roman" w:eastAsia="Times New Roman" w:hAnsi="Times New Roman" w:cs="Times New Roman"/>
                <w:noProof/>
                <w:sz w:val="24"/>
                <w:szCs w:val="24"/>
              </w:rPr>
              <w:t>Esošās situācijas apraksts</w:t>
            </w:r>
            <w:r w:rsidR="00915614" w:rsidRPr="00915614">
              <w:rPr>
                <w:rFonts w:ascii="Times New Roman" w:hAnsi="Times New Roman" w:cs="Times New Roman"/>
                <w:noProof/>
                <w:webHidden/>
                <w:sz w:val="24"/>
                <w:szCs w:val="24"/>
              </w:rPr>
              <w:tab/>
            </w:r>
            <w:r w:rsidR="00915614" w:rsidRPr="00915614">
              <w:rPr>
                <w:rFonts w:ascii="Times New Roman" w:hAnsi="Times New Roman" w:cs="Times New Roman"/>
                <w:noProof/>
                <w:webHidden/>
                <w:sz w:val="24"/>
                <w:szCs w:val="24"/>
              </w:rPr>
              <w:fldChar w:fldCharType="begin"/>
            </w:r>
            <w:r w:rsidR="00915614" w:rsidRPr="00915614">
              <w:rPr>
                <w:rFonts w:ascii="Times New Roman" w:hAnsi="Times New Roman" w:cs="Times New Roman"/>
                <w:noProof/>
                <w:webHidden/>
                <w:sz w:val="24"/>
                <w:szCs w:val="24"/>
              </w:rPr>
              <w:instrText xml:space="preserve"> PAGEREF _Toc53136176 \h </w:instrText>
            </w:r>
            <w:r w:rsidR="00915614" w:rsidRPr="00915614">
              <w:rPr>
                <w:rFonts w:ascii="Times New Roman" w:hAnsi="Times New Roman" w:cs="Times New Roman"/>
                <w:noProof/>
                <w:webHidden/>
                <w:sz w:val="24"/>
                <w:szCs w:val="24"/>
              </w:rPr>
            </w:r>
            <w:r w:rsidR="00915614" w:rsidRPr="00915614">
              <w:rPr>
                <w:rFonts w:ascii="Times New Roman" w:hAnsi="Times New Roman" w:cs="Times New Roman"/>
                <w:noProof/>
                <w:webHidden/>
                <w:sz w:val="24"/>
                <w:szCs w:val="24"/>
              </w:rPr>
              <w:fldChar w:fldCharType="separate"/>
            </w:r>
            <w:r w:rsidR="00915614" w:rsidRPr="00915614">
              <w:rPr>
                <w:rFonts w:ascii="Times New Roman" w:hAnsi="Times New Roman" w:cs="Times New Roman"/>
                <w:noProof/>
                <w:webHidden/>
                <w:sz w:val="24"/>
                <w:szCs w:val="24"/>
              </w:rPr>
              <w:t>4</w:t>
            </w:r>
            <w:r w:rsidR="00915614" w:rsidRPr="00915614">
              <w:rPr>
                <w:rFonts w:ascii="Times New Roman" w:hAnsi="Times New Roman" w:cs="Times New Roman"/>
                <w:noProof/>
                <w:webHidden/>
                <w:sz w:val="24"/>
                <w:szCs w:val="24"/>
              </w:rPr>
              <w:fldChar w:fldCharType="end"/>
            </w:r>
          </w:hyperlink>
        </w:p>
        <w:p w14:paraId="7588E493" w14:textId="77777777" w:rsidR="00915614" w:rsidRPr="00915614" w:rsidRDefault="00756E17">
          <w:pPr>
            <w:pStyle w:val="TOC2"/>
            <w:tabs>
              <w:tab w:val="left" w:pos="880"/>
              <w:tab w:val="right" w:leader="dot" w:pos="9061"/>
            </w:tabs>
            <w:rPr>
              <w:rFonts w:ascii="Times New Roman" w:hAnsi="Times New Roman" w:cs="Times New Roman"/>
              <w:noProof/>
              <w:sz w:val="24"/>
              <w:szCs w:val="24"/>
            </w:rPr>
          </w:pPr>
          <w:hyperlink w:anchor="_Toc53136177" w:history="1">
            <w:r w:rsidR="00915614" w:rsidRPr="00915614">
              <w:rPr>
                <w:rStyle w:val="Hyperlink"/>
                <w:rFonts w:ascii="Times New Roman" w:hAnsi="Times New Roman" w:cs="Times New Roman"/>
                <w:noProof/>
                <w:sz w:val="24"/>
                <w:szCs w:val="24"/>
              </w:rPr>
              <w:t>2.1.</w:t>
            </w:r>
            <w:r w:rsidR="00915614" w:rsidRPr="00915614">
              <w:rPr>
                <w:rFonts w:ascii="Times New Roman" w:hAnsi="Times New Roman" w:cs="Times New Roman"/>
                <w:noProof/>
                <w:sz w:val="24"/>
                <w:szCs w:val="24"/>
              </w:rPr>
              <w:tab/>
            </w:r>
            <w:r w:rsidR="00915614" w:rsidRPr="00915614">
              <w:rPr>
                <w:rStyle w:val="Hyperlink"/>
                <w:rFonts w:ascii="Times New Roman" w:hAnsi="Times New Roman" w:cs="Times New Roman"/>
                <w:noProof/>
                <w:sz w:val="24"/>
                <w:szCs w:val="24"/>
              </w:rPr>
              <w:t>Profesionālās izglītības programmu īstenošana un finansēšana</w:t>
            </w:r>
            <w:r w:rsidR="00915614" w:rsidRPr="00915614">
              <w:rPr>
                <w:rFonts w:ascii="Times New Roman" w:hAnsi="Times New Roman" w:cs="Times New Roman"/>
                <w:noProof/>
                <w:webHidden/>
                <w:sz w:val="24"/>
                <w:szCs w:val="24"/>
              </w:rPr>
              <w:tab/>
            </w:r>
            <w:r w:rsidR="00915614" w:rsidRPr="00915614">
              <w:rPr>
                <w:rFonts w:ascii="Times New Roman" w:hAnsi="Times New Roman" w:cs="Times New Roman"/>
                <w:noProof/>
                <w:webHidden/>
                <w:sz w:val="24"/>
                <w:szCs w:val="24"/>
              </w:rPr>
              <w:fldChar w:fldCharType="begin"/>
            </w:r>
            <w:r w:rsidR="00915614" w:rsidRPr="00915614">
              <w:rPr>
                <w:rFonts w:ascii="Times New Roman" w:hAnsi="Times New Roman" w:cs="Times New Roman"/>
                <w:noProof/>
                <w:webHidden/>
                <w:sz w:val="24"/>
                <w:szCs w:val="24"/>
              </w:rPr>
              <w:instrText xml:space="preserve"> PAGEREF _Toc53136177 \h </w:instrText>
            </w:r>
            <w:r w:rsidR="00915614" w:rsidRPr="00915614">
              <w:rPr>
                <w:rFonts w:ascii="Times New Roman" w:hAnsi="Times New Roman" w:cs="Times New Roman"/>
                <w:noProof/>
                <w:webHidden/>
                <w:sz w:val="24"/>
                <w:szCs w:val="24"/>
              </w:rPr>
            </w:r>
            <w:r w:rsidR="00915614" w:rsidRPr="00915614">
              <w:rPr>
                <w:rFonts w:ascii="Times New Roman" w:hAnsi="Times New Roman" w:cs="Times New Roman"/>
                <w:noProof/>
                <w:webHidden/>
                <w:sz w:val="24"/>
                <w:szCs w:val="24"/>
              </w:rPr>
              <w:fldChar w:fldCharType="separate"/>
            </w:r>
            <w:r w:rsidR="00915614" w:rsidRPr="00915614">
              <w:rPr>
                <w:rFonts w:ascii="Times New Roman" w:hAnsi="Times New Roman" w:cs="Times New Roman"/>
                <w:noProof/>
                <w:webHidden/>
                <w:sz w:val="24"/>
                <w:szCs w:val="24"/>
              </w:rPr>
              <w:t>4</w:t>
            </w:r>
            <w:r w:rsidR="00915614" w:rsidRPr="00915614">
              <w:rPr>
                <w:rFonts w:ascii="Times New Roman" w:hAnsi="Times New Roman" w:cs="Times New Roman"/>
                <w:noProof/>
                <w:webHidden/>
                <w:sz w:val="24"/>
                <w:szCs w:val="24"/>
              </w:rPr>
              <w:fldChar w:fldCharType="end"/>
            </w:r>
          </w:hyperlink>
        </w:p>
        <w:p w14:paraId="1FB5C26E" w14:textId="77777777" w:rsidR="00915614" w:rsidRPr="00915614" w:rsidRDefault="00756E17">
          <w:pPr>
            <w:pStyle w:val="TOC2"/>
            <w:tabs>
              <w:tab w:val="left" w:pos="880"/>
              <w:tab w:val="right" w:leader="dot" w:pos="9061"/>
            </w:tabs>
            <w:rPr>
              <w:rFonts w:ascii="Times New Roman" w:hAnsi="Times New Roman" w:cs="Times New Roman"/>
              <w:noProof/>
              <w:sz w:val="24"/>
              <w:szCs w:val="24"/>
            </w:rPr>
          </w:pPr>
          <w:hyperlink w:anchor="_Toc53136178" w:history="1">
            <w:r w:rsidR="00915614" w:rsidRPr="00915614">
              <w:rPr>
                <w:rStyle w:val="Hyperlink"/>
                <w:rFonts w:ascii="Times New Roman" w:eastAsia="Times New Roman" w:hAnsi="Times New Roman" w:cs="Times New Roman"/>
                <w:noProof/>
                <w:sz w:val="24"/>
                <w:szCs w:val="24"/>
              </w:rPr>
              <w:t>2.2.</w:t>
            </w:r>
            <w:r w:rsidR="00915614" w:rsidRPr="00915614">
              <w:rPr>
                <w:rFonts w:ascii="Times New Roman" w:hAnsi="Times New Roman" w:cs="Times New Roman"/>
                <w:noProof/>
                <w:sz w:val="24"/>
                <w:szCs w:val="24"/>
              </w:rPr>
              <w:tab/>
            </w:r>
            <w:r w:rsidR="00915614" w:rsidRPr="00915614">
              <w:rPr>
                <w:rStyle w:val="Hyperlink"/>
                <w:rFonts w:ascii="Times New Roman" w:eastAsia="Times New Roman" w:hAnsi="Times New Roman" w:cs="Times New Roman"/>
                <w:noProof/>
                <w:sz w:val="24"/>
                <w:szCs w:val="24"/>
              </w:rPr>
              <w:t>Izglītojamo uzņemšanas plānošana profesionālās izglītības programmās</w:t>
            </w:r>
            <w:r w:rsidR="00915614" w:rsidRPr="00915614">
              <w:rPr>
                <w:rFonts w:ascii="Times New Roman" w:hAnsi="Times New Roman" w:cs="Times New Roman"/>
                <w:noProof/>
                <w:webHidden/>
                <w:sz w:val="24"/>
                <w:szCs w:val="24"/>
              </w:rPr>
              <w:tab/>
            </w:r>
            <w:r w:rsidR="00915614" w:rsidRPr="00915614">
              <w:rPr>
                <w:rFonts w:ascii="Times New Roman" w:hAnsi="Times New Roman" w:cs="Times New Roman"/>
                <w:noProof/>
                <w:webHidden/>
                <w:sz w:val="24"/>
                <w:szCs w:val="24"/>
              </w:rPr>
              <w:fldChar w:fldCharType="begin"/>
            </w:r>
            <w:r w:rsidR="00915614" w:rsidRPr="00915614">
              <w:rPr>
                <w:rFonts w:ascii="Times New Roman" w:hAnsi="Times New Roman" w:cs="Times New Roman"/>
                <w:noProof/>
                <w:webHidden/>
                <w:sz w:val="24"/>
                <w:szCs w:val="24"/>
              </w:rPr>
              <w:instrText xml:space="preserve"> PAGEREF _Toc53136178 \h </w:instrText>
            </w:r>
            <w:r w:rsidR="00915614" w:rsidRPr="00915614">
              <w:rPr>
                <w:rFonts w:ascii="Times New Roman" w:hAnsi="Times New Roman" w:cs="Times New Roman"/>
                <w:noProof/>
                <w:webHidden/>
                <w:sz w:val="24"/>
                <w:szCs w:val="24"/>
              </w:rPr>
            </w:r>
            <w:r w:rsidR="00915614" w:rsidRPr="00915614">
              <w:rPr>
                <w:rFonts w:ascii="Times New Roman" w:hAnsi="Times New Roman" w:cs="Times New Roman"/>
                <w:noProof/>
                <w:webHidden/>
                <w:sz w:val="24"/>
                <w:szCs w:val="24"/>
              </w:rPr>
              <w:fldChar w:fldCharType="separate"/>
            </w:r>
            <w:r w:rsidR="00915614" w:rsidRPr="00915614">
              <w:rPr>
                <w:rFonts w:ascii="Times New Roman" w:hAnsi="Times New Roman" w:cs="Times New Roman"/>
                <w:noProof/>
                <w:webHidden/>
                <w:sz w:val="24"/>
                <w:szCs w:val="24"/>
              </w:rPr>
              <w:t>5</w:t>
            </w:r>
            <w:r w:rsidR="00915614" w:rsidRPr="00915614">
              <w:rPr>
                <w:rFonts w:ascii="Times New Roman" w:hAnsi="Times New Roman" w:cs="Times New Roman"/>
                <w:noProof/>
                <w:webHidden/>
                <w:sz w:val="24"/>
                <w:szCs w:val="24"/>
              </w:rPr>
              <w:fldChar w:fldCharType="end"/>
            </w:r>
          </w:hyperlink>
        </w:p>
        <w:p w14:paraId="1AF0C683" w14:textId="77777777" w:rsidR="00915614" w:rsidRPr="00915614" w:rsidRDefault="00756E17">
          <w:pPr>
            <w:pStyle w:val="TOC2"/>
            <w:tabs>
              <w:tab w:val="left" w:pos="880"/>
              <w:tab w:val="right" w:leader="dot" w:pos="9061"/>
            </w:tabs>
            <w:rPr>
              <w:rFonts w:ascii="Times New Roman" w:hAnsi="Times New Roman" w:cs="Times New Roman"/>
              <w:noProof/>
              <w:sz w:val="24"/>
              <w:szCs w:val="24"/>
            </w:rPr>
          </w:pPr>
          <w:hyperlink w:anchor="_Toc53136179" w:history="1">
            <w:r w:rsidR="00915614" w:rsidRPr="00915614">
              <w:rPr>
                <w:rStyle w:val="Hyperlink"/>
                <w:rFonts w:ascii="Times New Roman" w:eastAsia="Times New Roman" w:hAnsi="Times New Roman" w:cs="Times New Roman"/>
                <w:noProof/>
                <w:sz w:val="24"/>
                <w:szCs w:val="24"/>
              </w:rPr>
              <w:t>2.3.</w:t>
            </w:r>
            <w:r w:rsidR="00915614" w:rsidRPr="00915614">
              <w:rPr>
                <w:rFonts w:ascii="Times New Roman" w:hAnsi="Times New Roman" w:cs="Times New Roman"/>
                <w:noProof/>
                <w:sz w:val="24"/>
                <w:szCs w:val="24"/>
              </w:rPr>
              <w:tab/>
            </w:r>
            <w:r w:rsidR="00915614" w:rsidRPr="00915614">
              <w:rPr>
                <w:rStyle w:val="Hyperlink"/>
                <w:rFonts w:ascii="Times New Roman" w:eastAsia="Times New Roman" w:hAnsi="Times New Roman" w:cs="Times New Roman"/>
                <w:noProof/>
                <w:sz w:val="24"/>
                <w:szCs w:val="24"/>
              </w:rPr>
              <w:t>Izmaiņu nepieciešamība profesionālās izglītības programmu finansēšanā</w:t>
            </w:r>
            <w:r w:rsidR="00915614" w:rsidRPr="00915614">
              <w:rPr>
                <w:rFonts w:ascii="Times New Roman" w:hAnsi="Times New Roman" w:cs="Times New Roman"/>
                <w:noProof/>
                <w:webHidden/>
                <w:sz w:val="24"/>
                <w:szCs w:val="24"/>
              </w:rPr>
              <w:tab/>
            </w:r>
            <w:r w:rsidR="00915614" w:rsidRPr="00915614">
              <w:rPr>
                <w:rFonts w:ascii="Times New Roman" w:hAnsi="Times New Roman" w:cs="Times New Roman"/>
                <w:noProof/>
                <w:webHidden/>
                <w:sz w:val="24"/>
                <w:szCs w:val="24"/>
              </w:rPr>
              <w:fldChar w:fldCharType="begin"/>
            </w:r>
            <w:r w:rsidR="00915614" w:rsidRPr="00915614">
              <w:rPr>
                <w:rFonts w:ascii="Times New Roman" w:hAnsi="Times New Roman" w:cs="Times New Roman"/>
                <w:noProof/>
                <w:webHidden/>
                <w:sz w:val="24"/>
                <w:szCs w:val="24"/>
              </w:rPr>
              <w:instrText xml:space="preserve"> PAGEREF _Toc53136179 \h </w:instrText>
            </w:r>
            <w:r w:rsidR="00915614" w:rsidRPr="00915614">
              <w:rPr>
                <w:rFonts w:ascii="Times New Roman" w:hAnsi="Times New Roman" w:cs="Times New Roman"/>
                <w:noProof/>
                <w:webHidden/>
                <w:sz w:val="24"/>
                <w:szCs w:val="24"/>
              </w:rPr>
            </w:r>
            <w:r w:rsidR="00915614" w:rsidRPr="00915614">
              <w:rPr>
                <w:rFonts w:ascii="Times New Roman" w:hAnsi="Times New Roman" w:cs="Times New Roman"/>
                <w:noProof/>
                <w:webHidden/>
                <w:sz w:val="24"/>
                <w:szCs w:val="24"/>
              </w:rPr>
              <w:fldChar w:fldCharType="separate"/>
            </w:r>
            <w:r w:rsidR="00915614" w:rsidRPr="00915614">
              <w:rPr>
                <w:rFonts w:ascii="Times New Roman" w:hAnsi="Times New Roman" w:cs="Times New Roman"/>
                <w:noProof/>
                <w:webHidden/>
                <w:sz w:val="24"/>
                <w:szCs w:val="24"/>
              </w:rPr>
              <w:t>7</w:t>
            </w:r>
            <w:r w:rsidR="00915614" w:rsidRPr="00915614">
              <w:rPr>
                <w:rFonts w:ascii="Times New Roman" w:hAnsi="Times New Roman" w:cs="Times New Roman"/>
                <w:noProof/>
                <w:webHidden/>
                <w:sz w:val="24"/>
                <w:szCs w:val="24"/>
              </w:rPr>
              <w:fldChar w:fldCharType="end"/>
            </w:r>
          </w:hyperlink>
        </w:p>
        <w:p w14:paraId="21FC4D2F" w14:textId="77777777" w:rsidR="00915614" w:rsidRPr="00915614" w:rsidRDefault="00756E17">
          <w:pPr>
            <w:pStyle w:val="TOC1"/>
            <w:rPr>
              <w:rFonts w:ascii="Times New Roman" w:hAnsi="Times New Roman" w:cs="Times New Roman"/>
              <w:noProof/>
              <w:sz w:val="24"/>
              <w:szCs w:val="24"/>
            </w:rPr>
          </w:pPr>
          <w:hyperlink w:anchor="_Toc53136180" w:history="1">
            <w:r w:rsidR="00915614" w:rsidRPr="00915614">
              <w:rPr>
                <w:rStyle w:val="Hyperlink"/>
                <w:rFonts w:ascii="Times New Roman" w:eastAsia="Times New Roman" w:hAnsi="Times New Roman" w:cs="Times New Roman"/>
                <w:noProof/>
                <w:sz w:val="24"/>
                <w:szCs w:val="24"/>
              </w:rPr>
              <w:t>3.</w:t>
            </w:r>
            <w:r w:rsidR="00915614" w:rsidRPr="00915614">
              <w:rPr>
                <w:rFonts w:ascii="Times New Roman" w:hAnsi="Times New Roman" w:cs="Times New Roman"/>
                <w:noProof/>
                <w:sz w:val="24"/>
                <w:szCs w:val="24"/>
              </w:rPr>
              <w:tab/>
            </w:r>
            <w:r w:rsidR="00915614" w:rsidRPr="00915614">
              <w:rPr>
                <w:rStyle w:val="Hyperlink"/>
                <w:rFonts w:ascii="Times New Roman" w:eastAsia="Times New Roman" w:hAnsi="Times New Roman" w:cs="Times New Roman"/>
                <w:noProof/>
                <w:sz w:val="24"/>
                <w:szCs w:val="24"/>
              </w:rPr>
              <w:t>Priekšlikumi profesionālās izglītības programmu finansēšanas pilnveidei</w:t>
            </w:r>
            <w:r w:rsidR="00915614" w:rsidRPr="00915614">
              <w:rPr>
                <w:rFonts w:ascii="Times New Roman" w:hAnsi="Times New Roman" w:cs="Times New Roman"/>
                <w:noProof/>
                <w:webHidden/>
                <w:sz w:val="24"/>
                <w:szCs w:val="24"/>
              </w:rPr>
              <w:tab/>
            </w:r>
            <w:r w:rsidR="00915614" w:rsidRPr="00915614">
              <w:rPr>
                <w:rFonts w:ascii="Times New Roman" w:hAnsi="Times New Roman" w:cs="Times New Roman"/>
                <w:noProof/>
                <w:webHidden/>
                <w:sz w:val="24"/>
                <w:szCs w:val="24"/>
              </w:rPr>
              <w:fldChar w:fldCharType="begin"/>
            </w:r>
            <w:r w:rsidR="00915614" w:rsidRPr="00915614">
              <w:rPr>
                <w:rFonts w:ascii="Times New Roman" w:hAnsi="Times New Roman" w:cs="Times New Roman"/>
                <w:noProof/>
                <w:webHidden/>
                <w:sz w:val="24"/>
                <w:szCs w:val="24"/>
              </w:rPr>
              <w:instrText xml:space="preserve"> PAGEREF _Toc53136180 \h </w:instrText>
            </w:r>
            <w:r w:rsidR="00915614" w:rsidRPr="00915614">
              <w:rPr>
                <w:rFonts w:ascii="Times New Roman" w:hAnsi="Times New Roman" w:cs="Times New Roman"/>
                <w:noProof/>
                <w:webHidden/>
                <w:sz w:val="24"/>
                <w:szCs w:val="24"/>
              </w:rPr>
            </w:r>
            <w:r w:rsidR="00915614" w:rsidRPr="00915614">
              <w:rPr>
                <w:rFonts w:ascii="Times New Roman" w:hAnsi="Times New Roman" w:cs="Times New Roman"/>
                <w:noProof/>
                <w:webHidden/>
                <w:sz w:val="24"/>
                <w:szCs w:val="24"/>
              </w:rPr>
              <w:fldChar w:fldCharType="separate"/>
            </w:r>
            <w:r w:rsidR="00915614" w:rsidRPr="00915614">
              <w:rPr>
                <w:rFonts w:ascii="Times New Roman" w:hAnsi="Times New Roman" w:cs="Times New Roman"/>
                <w:noProof/>
                <w:webHidden/>
                <w:sz w:val="24"/>
                <w:szCs w:val="24"/>
              </w:rPr>
              <w:t>10</w:t>
            </w:r>
            <w:r w:rsidR="00915614" w:rsidRPr="00915614">
              <w:rPr>
                <w:rFonts w:ascii="Times New Roman" w:hAnsi="Times New Roman" w:cs="Times New Roman"/>
                <w:noProof/>
                <w:webHidden/>
                <w:sz w:val="24"/>
                <w:szCs w:val="24"/>
              </w:rPr>
              <w:fldChar w:fldCharType="end"/>
            </w:r>
          </w:hyperlink>
        </w:p>
        <w:p w14:paraId="6729C363" w14:textId="77777777" w:rsidR="00915614" w:rsidRPr="00915614" w:rsidRDefault="00756E17">
          <w:pPr>
            <w:pStyle w:val="TOC2"/>
            <w:tabs>
              <w:tab w:val="left" w:pos="880"/>
              <w:tab w:val="right" w:leader="dot" w:pos="9061"/>
            </w:tabs>
            <w:rPr>
              <w:rFonts w:ascii="Times New Roman" w:hAnsi="Times New Roman" w:cs="Times New Roman"/>
              <w:noProof/>
              <w:sz w:val="24"/>
              <w:szCs w:val="24"/>
            </w:rPr>
          </w:pPr>
          <w:hyperlink w:anchor="_Toc53136181" w:history="1">
            <w:r w:rsidR="00915614" w:rsidRPr="00915614">
              <w:rPr>
                <w:rStyle w:val="Hyperlink"/>
                <w:rFonts w:ascii="Times New Roman" w:eastAsia="Times New Roman" w:hAnsi="Times New Roman" w:cs="Times New Roman"/>
                <w:noProof/>
                <w:sz w:val="24"/>
                <w:szCs w:val="24"/>
              </w:rPr>
              <w:t>3.1.</w:t>
            </w:r>
            <w:r w:rsidR="00915614" w:rsidRPr="00915614">
              <w:rPr>
                <w:rFonts w:ascii="Times New Roman" w:hAnsi="Times New Roman" w:cs="Times New Roman"/>
                <w:noProof/>
                <w:sz w:val="24"/>
                <w:szCs w:val="24"/>
              </w:rPr>
              <w:tab/>
            </w:r>
            <w:r w:rsidR="00915614" w:rsidRPr="00915614">
              <w:rPr>
                <w:rStyle w:val="Hyperlink"/>
                <w:rFonts w:ascii="Times New Roman" w:eastAsia="Times New Roman" w:hAnsi="Times New Roman" w:cs="Times New Roman"/>
                <w:noProof/>
                <w:sz w:val="24"/>
                <w:szCs w:val="24"/>
              </w:rPr>
              <w:t>Bāzes finansējuma noteikšana profesionālās izglītības programmu īstenošanai</w:t>
            </w:r>
            <w:r w:rsidR="00915614" w:rsidRPr="00915614">
              <w:rPr>
                <w:rFonts w:ascii="Times New Roman" w:hAnsi="Times New Roman" w:cs="Times New Roman"/>
                <w:noProof/>
                <w:webHidden/>
                <w:sz w:val="24"/>
                <w:szCs w:val="24"/>
              </w:rPr>
              <w:tab/>
            </w:r>
            <w:r w:rsidR="00915614" w:rsidRPr="00915614">
              <w:rPr>
                <w:rFonts w:ascii="Times New Roman" w:hAnsi="Times New Roman" w:cs="Times New Roman"/>
                <w:noProof/>
                <w:webHidden/>
                <w:sz w:val="24"/>
                <w:szCs w:val="24"/>
              </w:rPr>
              <w:fldChar w:fldCharType="begin"/>
            </w:r>
            <w:r w:rsidR="00915614" w:rsidRPr="00915614">
              <w:rPr>
                <w:rFonts w:ascii="Times New Roman" w:hAnsi="Times New Roman" w:cs="Times New Roman"/>
                <w:noProof/>
                <w:webHidden/>
                <w:sz w:val="24"/>
                <w:szCs w:val="24"/>
              </w:rPr>
              <w:instrText xml:space="preserve"> PAGEREF _Toc53136181 \h </w:instrText>
            </w:r>
            <w:r w:rsidR="00915614" w:rsidRPr="00915614">
              <w:rPr>
                <w:rFonts w:ascii="Times New Roman" w:hAnsi="Times New Roman" w:cs="Times New Roman"/>
                <w:noProof/>
                <w:webHidden/>
                <w:sz w:val="24"/>
                <w:szCs w:val="24"/>
              </w:rPr>
            </w:r>
            <w:r w:rsidR="00915614" w:rsidRPr="00915614">
              <w:rPr>
                <w:rFonts w:ascii="Times New Roman" w:hAnsi="Times New Roman" w:cs="Times New Roman"/>
                <w:noProof/>
                <w:webHidden/>
                <w:sz w:val="24"/>
                <w:szCs w:val="24"/>
              </w:rPr>
              <w:fldChar w:fldCharType="separate"/>
            </w:r>
            <w:r w:rsidR="00915614" w:rsidRPr="00915614">
              <w:rPr>
                <w:rFonts w:ascii="Times New Roman" w:hAnsi="Times New Roman" w:cs="Times New Roman"/>
                <w:noProof/>
                <w:webHidden/>
                <w:sz w:val="24"/>
                <w:szCs w:val="24"/>
              </w:rPr>
              <w:t>10</w:t>
            </w:r>
            <w:r w:rsidR="00915614" w:rsidRPr="00915614">
              <w:rPr>
                <w:rFonts w:ascii="Times New Roman" w:hAnsi="Times New Roman" w:cs="Times New Roman"/>
                <w:noProof/>
                <w:webHidden/>
                <w:sz w:val="24"/>
                <w:szCs w:val="24"/>
              </w:rPr>
              <w:fldChar w:fldCharType="end"/>
            </w:r>
          </w:hyperlink>
        </w:p>
        <w:p w14:paraId="48399976" w14:textId="77777777" w:rsidR="00915614" w:rsidRPr="00915614" w:rsidRDefault="00756E17">
          <w:pPr>
            <w:pStyle w:val="TOC2"/>
            <w:tabs>
              <w:tab w:val="left" w:pos="880"/>
              <w:tab w:val="right" w:leader="dot" w:pos="9061"/>
            </w:tabs>
            <w:rPr>
              <w:rFonts w:ascii="Times New Roman" w:hAnsi="Times New Roman" w:cs="Times New Roman"/>
              <w:noProof/>
              <w:sz w:val="24"/>
              <w:szCs w:val="24"/>
            </w:rPr>
          </w:pPr>
          <w:hyperlink w:anchor="_Toc53136182" w:history="1">
            <w:r w:rsidR="00915614" w:rsidRPr="00915614">
              <w:rPr>
                <w:rStyle w:val="Hyperlink"/>
                <w:rFonts w:ascii="Times New Roman" w:eastAsia="Times New Roman" w:hAnsi="Times New Roman" w:cs="Times New Roman"/>
                <w:noProof/>
                <w:sz w:val="24"/>
                <w:szCs w:val="24"/>
              </w:rPr>
              <w:t>3.2.</w:t>
            </w:r>
            <w:r w:rsidR="00915614" w:rsidRPr="00915614">
              <w:rPr>
                <w:rFonts w:ascii="Times New Roman" w:hAnsi="Times New Roman" w:cs="Times New Roman"/>
                <w:noProof/>
                <w:sz w:val="24"/>
                <w:szCs w:val="24"/>
              </w:rPr>
              <w:tab/>
            </w:r>
            <w:r w:rsidR="00915614" w:rsidRPr="00915614">
              <w:rPr>
                <w:rStyle w:val="Hyperlink"/>
                <w:rFonts w:ascii="Times New Roman" w:eastAsia="Times New Roman" w:hAnsi="Times New Roman" w:cs="Times New Roman"/>
                <w:noProof/>
                <w:sz w:val="24"/>
                <w:szCs w:val="24"/>
              </w:rPr>
              <w:t>Profesionālās izglītības programmu finansēšana pašvaldību un citu dibinātāju izglītības iestādēs</w:t>
            </w:r>
            <w:r w:rsidR="00915614" w:rsidRPr="00915614">
              <w:rPr>
                <w:rFonts w:ascii="Times New Roman" w:hAnsi="Times New Roman" w:cs="Times New Roman"/>
                <w:noProof/>
                <w:webHidden/>
                <w:sz w:val="24"/>
                <w:szCs w:val="24"/>
              </w:rPr>
              <w:tab/>
            </w:r>
            <w:r w:rsidR="00915614" w:rsidRPr="00915614">
              <w:rPr>
                <w:rFonts w:ascii="Times New Roman" w:hAnsi="Times New Roman" w:cs="Times New Roman"/>
                <w:noProof/>
                <w:webHidden/>
                <w:sz w:val="24"/>
                <w:szCs w:val="24"/>
              </w:rPr>
              <w:fldChar w:fldCharType="begin"/>
            </w:r>
            <w:r w:rsidR="00915614" w:rsidRPr="00915614">
              <w:rPr>
                <w:rFonts w:ascii="Times New Roman" w:hAnsi="Times New Roman" w:cs="Times New Roman"/>
                <w:noProof/>
                <w:webHidden/>
                <w:sz w:val="24"/>
                <w:szCs w:val="24"/>
              </w:rPr>
              <w:instrText xml:space="preserve"> PAGEREF _Toc53136182 \h </w:instrText>
            </w:r>
            <w:r w:rsidR="00915614" w:rsidRPr="00915614">
              <w:rPr>
                <w:rFonts w:ascii="Times New Roman" w:hAnsi="Times New Roman" w:cs="Times New Roman"/>
                <w:noProof/>
                <w:webHidden/>
                <w:sz w:val="24"/>
                <w:szCs w:val="24"/>
              </w:rPr>
            </w:r>
            <w:r w:rsidR="00915614" w:rsidRPr="00915614">
              <w:rPr>
                <w:rFonts w:ascii="Times New Roman" w:hAnsi="Times New Roman" w:cs="Times New Roman"/>
                <w:noProof/>
                <w:webHidden/>
                <w:sz w:val="24"/>
                <w:szCs w:val="24"/>
              </w:rPr>
              <w:fldChar w:fldCharType="separate"/>
            </w:r>
            <w:r w:rsidR="00915614" w:rsidRPr="00915614">
              <w:rPr>
                <w:rFonts w:ascii="Times New Roman" w:hAnsi="Times New Roman" w:cs="Times New Roman"/>
                <w:noProof/>
                <w:webHidden/>
                <w:sz w:val="24"/>
                <w:szCs w:val="24"/>
              </w:rPr>
              <w:t>14</w:t>
            </w:r>
            <w:r w:rsidR="00915614" w:rsidRPr="00915614">
              <w:rPr>
                <w:rFonts w:ascii="Times New Roman" w:hAnsi="Times New Roman" w:cs="Times New Roman"/>
                <w:noProof/>
                <w:webHidden/>
                <w:sz w:val="24"/>
                <w:szCs w:val="24"/>
              </w:rPr>
              <w:fldChar w:fldCharType="end"/>
            </w:r>
          </w:hyperlink>
        </w:p>
        <w:p w14:paraId="64C11E4E" w14:textId="77777777" w:rsidR="00915614" w:rsidRPr="00915614" w:rsidRDefault="00756E17">
          <w:pPr>
            <w:pStyle w:val="TOC1"/>
            <w:rPr>
              <w:rFonts w:ascii="Times New Roman" w:hAnsi="Times New Roman" w:cs="Times New Roman"/>
              <w:noProof/>
              <w:sz w:val="24"/>
              <w:szCs w:val="24"/>
            </w:rPr>
          </w:pPr>
          <w:hyperlink w:anchor="_Toc53136183" w:history="1">
            <w:r w:rsidR="00915614" w:rsidRPr="00915614">
              <w:rPr>
                <w:rStyle w:val="Hyperlink"/>
                <w:rFonts w:ascii="Times New Roman" w:eastAsia="Times New Roman" w:hAnsi="Times New Roman" w:cs="Times New Roman"/>
                <w:noProof/>
                <w:sz w:val="24"/>
                <w:szCs w:val="24"/>
              </w:rPr>
              <w:t>4.</w:t>
            </w:r>
            <w:r w:rsidR="00915614" w:rsidRPr="00915614">
              <w:rPr>
                <w:rFonts w:ascii="Times New Roman" w:hAnsi="Times New Roman" w:cs="Times New Roman"/>
                <w:noProof/>
                <w:sz w:val="24"/>
                <w:szCs w:val="24"/>
              </w:rPr>
              <w:tab/>
            </w:r>
            <w:r w:rsidR="00915614" w:rsidRPr="00915614">
              <w:rPr>
                <w:rStyle w:val="Hyperlink"/>
                <w:rFonts w:ascii="Times New Roman" w:eastAsia="Times New Roman" w:hAnsi="Times New Roman" w:cs="Times New Roman"/>
                <w:noProof/>
                <w:sz w:val="24"/>
                <w:szCs w:val="24"/>
              </w:rPr>
              <w:t>Ieteikumi profesionālās izglītības programmu finansēšanas turpmākajai attīstībai</w:t>
            </w:r>
            <w:r w:rsidR="00915614" w:rsidRPr="00915614">
              <w:rPr>
                <w:rFonts w:ascii="Times New Roman" w:hAnsi="Times New Roman" w:cs="Times New Roman"/>
                <w:noProof/>
                <w:webHidden/>
                <w:sz w:val="24"/>
                <w:szCs w:val="24"/>
              </w:rPr>
              <w:tab/>
            </w:r>
            <w:r w:rsidR="00915614" w:rsidRPr="00915614">
              <w:rPr>
                <w:rFonts w:ascii="Times New Roman" w:hAnsi="Times New Roman" w:cs="Times New Roman"/>
                <w:noProof/>
                <w:webHidden/>
                <w:sz w:val="24"/>
                <w:szCs w:val="24"/>
              </w:rPr>
              <w:fldChar w:fldCharType="begin"/>
            </w:r>
            <w:r w:rsidR="00915614" w:rsidRPr="00915614">
              <w:rPr>
                <w:rFonts w:ascii="Times New Roman" w:hAnsi="Times New Roman" w:cs="Times New Roman"/>
                <w:noProof/>
                <w:webHidden/>
                <w:sz w:val="24"/>
                <w:szCs w:val="24"/>
              </w:rPr>
              <w:instrText xml:space="preserve"> PAGEREF _Toc53136183 \h </w:instrText>
            </w:r>
            <w:r w:rsidR="00915614" w:rsidRPr="00915614">
              <w:rPr>
                <w:rFonts w:ascii="Times New Roman" w:hAnsi="Times New Roman" w:cs="Times New Roman"/>
                <w:noProof/>
                <w:webHidden/>
                <w:sz w:val="24"/>
                <w:szCs w:val="24"/>
              </w:rPr>
            </w:r>
            <w:r w:rsidR="00915614" w:rsidRPr="00915614">
              <w:rPr>
                <w:rFonts w:ascii="Times New Roman" w:hAnsi="Times New Roman" w:cs="Times New Roman"/>
                <w:noProof/>
                <w:webHidden/>
                <w:sz w:val="24"/>
                <w:szCs w:val="24"/>
              </w:rPr>
              <w:fldChar w:fldCharType="separate"/>
            </w:r>
            <w:r w:rsidR="00915614" w:rsidRPr="00915614">
              <w:rPr>
                <w:rFonts w:ascii="Times New Roman" w:hAnsi="Times New Roman" w:cs="Times New Roman"/>
                <w:noProof/>
                <w:webHidden/>
                <w:sz w:val="24"/>
                <w:szCs w:val="24"/>
              </w:rPr>
              <w:t>18</w:t>
            </w:r>
            <w:r w:rsidR="00915614" w:rsidRPr="00915614">
              <w:rPr>
                <w:rFonts w:ascii="Times New Roman" w:hAnsi="Times New Roman" w:cs="Times New Roman"/>
                <w:noProof/>
                <w:webHidden/>
                <w:sz w:val="24"/>
                <w:szCs w:val="24"/>
              </w:rPr>
              <w:fldChar w:fldCharType="end"/>
            </w:r>
          </w:hyperlink>
        </w:p>
        <w:p w14:paraId="5FB47964" w14:textId="77777777" w:rsidR="00915614" w:rsidRPr="00915614" w:rsidRDefault="00756E17">
          <w:pPr>
            <w:pStyle w:val="TOC2"/>
            <w:tabs>
              <w:tab w:val="left" w:pos="880"/>
              <w:tab w:val="right" w:leader="dot" w:pos="9061"/>
            </w:tabs>
            <w:rPr>
              <w:rFonts w:ascii="Times New Roman" w:hAnsi="Times New Roman" w:cs="Times New Roman"/>
              <w:noProof/>
              <w:sz w:val="24"/>
              <w:szCs w:val="24"/>
            </w:rPr>
          </w:pPr>
          <w:hyperlink w:anchor="_Toc53136184" w:history="1">
            <w:r w:rsidR="00915614" w:rsidRPr="00915614">
              <w:rPr>
                <w:rStyle w:val="Hyperlink"/>
                <w:rFonts w:ascii="Times New Roman" w:eastAsia="Times New Roman" w:hAnsi="Times New Roman" w:cs="Times New Roman"/>
                <w:noProof/>
                <w:sz w:val="24"/>
                <w:szCs w:val="24"/>
              </w:rPr>
              <w:t>4.1.</w:t>
            </w:r>
            <w:r w:rsidR="00915614" w:rsidRPr="00915614">
              <w:rPr>
                <w:rFonts w:ascii="Times New Roman" w:hAnsi="Times New Roman" w:cs="Times New Roman"/>
                <w:noProof/>
                <w:sz w:val="24"/>
                <w:szCs w:val="24"/>
              </w:rPr>
              <w:tab/>
            </w:r>
            <w:r w:rsidR="00915614" w:rsidRPr="00915614">
              <w:rPr>
                <w:rStyle w:val="Hyperlink"/>
                <w:rFonts w:ascii="Times New Roman" w:eastAsia="Times New Roman" w:hAnsi="Times New Roman" w:cs="Times New Roman"/>
                <w:noProof/>
                <w:sz w:val="24"/>
                <w:szCs w:val="24"/>
              </w:rPr>
              <w:t>Normējamo un nenormējamo izmaksu struktūras pārskatīšana</w:t>
            </w:r>
            <w:r w:rsidR="00915614" w:rsidRPr="00915614">
              <w:rPr>
                <w:rFonts w:ascii="Times New Roman" w:hAnsi="Times New Roman" w:cs="Times New Roman"/>
                <w:noProof/>
                <w:webHidden/>
                <w:sz w:val="24"/>
                <w:szCs w:val="24"/>
              </w:rPr>
              <w:tab/>
            </w:r>
            <w:r w:rsidR="00915614" w:rsidRPr="00915614">
              <w:rPr>
                <w:rFonts w:ascii="Times New Roman" w:hAnsi="Times New Roman" w:cs="Times New Roman"/>
                <w:noProof/>
                <w:webHidden/>
                <w:sz w:val="24"/>
                <w:szCs w:val="24"/>
              </w:rPr>
              <w:fldChar w:fldCharType="begin"/>
            </w:r>
            <w:r w:rsidR="00915614" w:rsidRPr="00915614">
              <w:rPr>
                <w:rFonts w:ascii="Times New Roman" w:hAnsi="Times New Roman" w:cs="Times New Roman"/>
                <w:noProof/>
                <w:webHidden/>
                <w:sz w:val="24"/>
                <w:szCs w:val="24"/>
              </w:rPr>
              <w:instrText xml:space="preserve"> PAGEREF _Toc53136184 \h </w:instrText>
            </w:r>
            <w:r w:rsidR="00915614" w:rsidRPr="00915614">
              <w:rPr>
                <w:rFonts w:ascii="Times New Roman" w:hAnsi="Times New Roman" w:cs="Times New Roman"/>
                <w:noProof/>
                <w:webHidden/>
                <w:sz w:val="24"/>
                <w:szCs w:val="24"/>
              </w:rPr>
            </w:r>
            <w:r w:rsidR="00915614" w:rsidRPr="00915614">
              <w:rPr>
                <w:rFonts w:ascii="Times New Roman" w:hAnsi="Times New Roman" w:cs="Times New Roman"/>
                <w:noProof/>
                <w:webHidden/>
                <w:sz w:val="24"/>
                <w:szCs w:val="24"/>
              </w:rPr>
              <w:fldChar w:fldCharType="separate"/>
            </w:r>
            <w:r w:rsidR="00915614" w:rsidRPr="00915614">
              <w:rPr>
                <w:rFonts w:ascii="Times New Roman" w:hAnsi="Times New Roman" w:cs="Times New Roman"/>
                <w:noProof/>
                <w:webHidden/>
                <w:sz w:val="24"/>
                <w:szCs w:val="24"/>
              </w:rPr>
              <w:t>18</w:t>
            </w:r>
            <w:r w:rsidR="00915614" w:rsidRPr="00915614">
              <w:rPr>
                <w:rFonts w:ascii="Times New Roman" w:hAnsi="Times New Roman" w:cs="Times New Roman"/>
                <w:noProof/>
                <w:webHidden/>
                <w:sz w:val="24"/>
                <w:szCs w:val="24"/>
              </w:rPr>
              <w:fldChar w:fldCharType="end"/>
            </w:r>
          </w:hyperlink>
        </w:p>
        <w:p w14:paraId="29A1D01D" w14:textId="77777777" w:rsidR="00915614" w:rsidRPr="00915614" w:rsidRDefault="00756E17">
          <w:pPr>
            <w:pStyle w:val="TOC2"/>
            <w:tabs>
              <w:tab w:val="left" w:pos="880"/>
              <w:tab w:val="right" w:leader="dot" w:pos="9061"/>
            </w:tabs>
            <w:rPr>
              <w:rFonts w:ascii="Times New Roman" w:hAnsi="Times New Roman" w:cs="Times New Roman"/>
              <w:noProof/>
              <w:sz w:val="24"/>
              <w:szCs w:val="24"/>
            </w:rPr>
          </w:pPr>
          <w:hyperlink w:anchor="_Toc53136185" w:history="1">
            <w:r w:rsidR="00915614" w:rsidRPr="00915614">
              <w:rPr>
                <w:rStyle w:val="Hyperlink"/>
                <w:rFonts w:ascii="Times New Roman" w:hAnsi="Times New Roman" w:cs="Times New Roman"/>
                <w:noProof/>
                <w:sz w:val="24"/>
                <w:szCs w:val="24"/>
              </w:rPr>
              <w:t>4.2.</w:t>
            </w:r>
            <w:r w:rsidR="00915614" w:rsidRPr="00915614">
              <w:rPr>
                <w:rFonts w:ascii="Times New Roman" w:hAnsi="Times New Roman" w:cs="Times New Roman"/>
                <w:noProof/>
                <w:sz w:val="24"/>
                <w:szCs w:val="24"/>
              </w:rPr>
              <w:tab/>
            </w:r>
            <w:r w:rsidR="00915614" w:rsidRPr="00915614">
              <w:rPr>
                <w:rStyle w:val="Hyperlink"/>
                <w:rFonts w:ascii="Times New Roman" w:hAnsi="Times New Roman" w:cs="Times New Roman"/>
                <w:noProof/>
                <w:sz w:val="24"/>
                <w:szCs w:val="24"/>
              </w:rPr>
              <w:t>Izglītības programmu izmaksu koeficientu piemērošanas metodikas pārskatīšana</w:t>
            </w:r>
            <w:r w:rsidR="00915614" w:rsidRPr="00915614">
              <w:rPr>
                <w:rFonts w:ascii="Times New Roman" w:hAnsi="Times New Roman" w:cs="Times New Roman"/>
                <w:noProof/>
                <w:webHidden/>
                <w:sz w:val="24"/>
                <w:szCs w:val="24"/>
              </w:rPr>
              <w:tab/>
            </w:r>
            <w:r w:rsidR="00915614" w:rsidRPr="00915614">
              <w:rPr>
                <w:rFonts w:ascii="Times New Roman" w:hAnsi="Times New Roman" w:cs="Times New Roman"/>
                <w:noProof/>
                <w:webHidden/>
                <w:sz w:val="24"/>
                <w:szCs w:val="24"/>
              </w:rPr>
              <w:fldChar w:fldCharType="begin"/>
            </w:r>
            <w:r w:rsidR="00915614" w:rsidRPr="00915614">
              <w:rPr>
                <w:rFonts w:ascii="Times New Roman" w:hAnsi="Times New Roman" w:cs="Times New Roman"/>
                <w:noProof/>
                <w:webHidden/>
                <w:sz w:val="24"/>
                <w:szCs w:val="24"/>
              </w:rPr>
              <w:instrText xml:space="preserve"> PAGEREF _Toc53136185 \h </w:instrText>
            </w:r>
            <w:r w:rsidR="00915614" w:rsidRPr="00915614">
              <w:rPr>
                <w:rFonts w:ascii="Times New Roman" w:hAnsi="Times New Roman" w:cs="Times New Roman"/>
                <w:noProof/>
                <w:webHidden/>
                <w:sz w:val="24"/>
                <w:szCs w:val="24"/>
              </w:rPr>
            </w:r>
            <w:r w:rsidR="00915614" w:rsidRPr="00915614">
              <w:rPr>
                <w:rFonts w:ascii="Times New Roman" w:hAnsi="Times New Roman" w:cs="Times New Roman"/>
                <w:noProof/>
                <w:webHidden/>
                <w:sz w:val="24"/>
                <w:szCs w:val="24"/>
              </w:rPr>
              <w:fldChar w:fldCharType="separate"/>
            </w:r>
            <w:r w:rsidR="00915614" w:rsidRPr="00915614">
              <w:rPr>
                <w:rFonts w:ascii="Times New Roman" w:hAnsi="Times New Roman" w:cs="Times New Roman"/>
                <w:noProof/>
                <w:webHidden/>
                <w:sz w:val="24"/>
                <w:szCs w:val="24"/>
              </w:rPr>
              <w:t>18</w:t>
            </w:r>
            <w:r w:rsidR="00915614" w:rsidRPr="00915614">
              <w:rPr>
                <w:rFonts w:ascii="Times New Roman" w:hAnsi="Times New Roman" w:cs="Times New Roman"/>
                <w:noProof/>
                <w:webHidden/>
                <w:sz w:val="24"/>
                <w:szCs w:val="24"/>
              </w:rPr>
              <w:fldChar w:fldCharType="end"/>
            </w:r>
          </w:hyperlink>
        </w:p>
        <w:p w14:paraId="3FB9B9C2" w14:textId="77777777" w:rsidR="00915614" w:rsidRPr="00915614" w:rsidRDefault="00756E17">
          <w:pPr>
            <w:pStyle w:val="TOC2"/>
            <w:tabs>
              <w:tab w:val="left" w:pos="880"/>
              <w:tab w:val="right" w:leader="dot" w:pos="9061"/>
            </w:tabs>
            <w:rPr>
              <w:rFonts w:ascii="Times New Roman" w:hAnsi="Times New Roman" w:cs="Times New Roman"/>
              <w:noProof/>
              <w:sz w:val="24"/>
              <w:szCs w:val="24"/>
            </w:rPr>
          </w:pPr>
          <w:hyperlink w:anchor="_Toc53136186" w:history="1">
            <w:r w:rsidR="00915614" w:rsidRPr="00915614">
              <w:rPr>
                <w:rStyle w:val="Hyperlink"/>
                <w:rFonts w:ascii="Times New Roman" w:eastAsia="Times New Roman" w:hAnsi="Times New Roman" w:cs="Times New Roman"/>
                <w:noProof/>
                <w:sz w:val="24"/>
                <w:szCs w:val="24"/>
              </w:rPr>
              <w:t>4.3.</w:t>
            </w:r>
            <w:r w:rsidR="00915614" w:rsidRPr="00915614">
              <w:rPr>
                <w:rFonts w:ascii="Times New Roman" w:hAnsi="Times New Roman" w:cs="Times New Roman"/>
                <w:noProof/>
                <w:sz w:val="24"/>
                <w:szCs w:val="24"/>
              </w:rPr>
              <w:tab/>
            </w:r>
            <w:r w:rsidR="00915614" w:rsidRPr="00915614">
              <w:rPr>
                <w:rStyle w:val="Hyperlink"/>
                <w:rFonts w:ascii="Times New Roman" w:eastAsia="Times New Roman" w:hAnsi="Times New Roman" w:cs="Times New Roman"/>
                <w:noProof/>
                <w:sz w:val="24"/>
                <w:szCs w:val="24"/>
              </w:rPr>
              <w:t>Izglītības programmu izmaksu koeficientu aktualizēšana</w:t>
            </w:r>
            <w:r w:rsidR="00915614" w:rsidRPr="00915614">
              <w:rPr>
                <w:rFonts w:ascii="Times New Roman" w:hAnsi="Times New Roman" w:cs="Times New Roman"/>
                <w:noProof/>
                <w:webHidden/>
                <w:sz w:val="24"/>
                <w:szCs w:val="24"/>
              </w:rPr>
              <w:tab/>
            </w:r>
            <w:r w:rsidR="00915614" w:rsidRPr="00915614">
              <w:rPr>
                <w:rFonts w:ascii="Times New Roman" w:hAnsi="Times New Roman" w:cs="Times New Roman"/>
                <w:noProof/>
                <w:webHidden/>
                <w:sz w:val="24"/>
                <w:szCs w:val="24"/>
              </w:rPr>
              <w:fldChar w:fldCharType="begin"/>
            </w:r>
            <w:r w:rsidR="00915614" w:rsidRPr="00915614">
              <w:rPr>
                <w:rFonts w:ascii="Times New Roman" w:hAnsi="Times New Roman" w:cs="Times New Roman"/>
                <w:noProof/>
                <w:webHidden/>
                <w:sz w:val="24"/>
                <w:szCs w:val="24"/>
              </w:rPr>
              <w:instrText xml:space="preserve"> PAGEREF _Toc53136186 \h </w:instrText>
            </w:r>
            <w:r w:rsidR="00915614" w:rsidRPr="00915614">
              <w:rPr>
                <w:rFonts w:ascii="Times New Roman" w:hAnsi="Times New Roman" w:cs="Times New Roman"/>
                <w:noProof/>
                <w:webHidden/>
                <w:sz w:val="24"/>
                <w:szCs w:val="24"/>
              </w:rPr>
            </w:r>
            <w:r w:rsidR="00915614" w:rsidRPr="00915614">
              <w:rPr>
                <w:rFonts w:ascii="Times New Roman" w:hAnsi="Times New Roman" w:cs="Times New Roman"/>
                <w:noProof/>
                <w:webHidden/>
                <w:sz w:val="24"/>
                <w:szCs w:val="24"/>
              </w:rPr>
              <w:fldChar w:fldCharType="separate"/>
            </w:r>
            <w:r w:rsidR="00915614" w:rsidRPr="00915614">
              <w:rPr>
                <w:rFonts w:ascii="Times New Roman" w:hAnsi="Times New Roman" w:cs="Times New Roman"/>
                <w:noProof/>
                <w:webHidden/>
                <w:sz w:val="24"/>
                <w:szCs w:val="24"/>
              </w:rPr>
              <w:t>19</w:t>
            </w:r>
            <w:r w:rsidR="00915614" w:rsidRPr="00915614">
              <w:rPr>
                <w:rFonts w:ascii="Times New Roman" w:hAnsi="Times New Roman" w:cs="Times New Roman"/>
                <w:noProof/>
                <w:webHidden/>
                <w:sz w:val="24"/>
                <w:szCs w:val="24"/>
              </w:rPr>
              <w:fldChar w:fldCharType="end"/>
            </w:r>
          </w:hyperlink>
        </w:p>
        <w:p w14:paraId="53181D6B" w14:textId="77777777" w:rsidR="00915614" w:rsidRPr="00915614" w:rsidRDefault="00756E17">
          <w:pPr>
            <w:pStyle w:val="TOC2"/>
            <w:tabs>
              <w:tab w:val="left" w:pos="880"/>
              <w:tab w:val="right" w:leader="dot" w:pos="9061"/>
            </w:tabs>
            <w:rPr>
              <w:rFonts w:ascii="Times New Roman" w:hAnsi="Times New Roman" w:cs="Times New Roman"/>
              <w:noProof/>
              <w:sz w:val="24"/>
              <w:szCs w:val="24"/>
            </w:rPr>
          </w:pPr>
          <w:hyperlink w:anchor="_Toc53136187" w:history="1">
            <w:r w:rsidR="00915614" w:rsidRPr="00915614">
              <w:rPr>
                <w:rStyle w:val="Hyperlink"/>
                <w:rFonts w:ascii="Times New Roman" w:eastAsia="Times New Roman" w:hAnsi="Times New Roman" w:cs="Times New Roman"/>
                <w:noProof/>
                <w:sz w:val="24"/>
                <w:szCs w:val="24"/>
              </w:rPr>
              <w:t>4.4.</w:t>
            </w:r>
            <w:r w:rsidR="00915614" w:rsidRPr="00915614">
              <w:rPr>
                <w:rFonts w:ascii="Times New Roman" w:hAnsi="Times New Roman" w:cs="Times New Roman"/>
                <w:noProof/>
                <w:sz w:val="24"/>
                <w:szCs w:val="24"/>
              </w:rPr>
              <w:tab/>
            </w:r>
            <w:r w:rsidR="00915614" w:rsidRPr="00915614">
              <w:rPr>
                <w:rStyle w:val="Hyperlink"/>
                <w:rFonts w:ascii="Times New Roman" w:eastAsia="Times New Roman" w:hAnsi="Times New Roman" w:cs="Times New Roman"/>
                <w:noProof/>
                <w:sz w:val="24"/>
                <w:szCs w:val="24"/>
              </w:rPr>
              <w:t>Īsā cikla profesionālās izglītības programmu īstenošana</w:t>
            </w:r>
            <w:r w:rsidR="00915614" w:rsidRPr="00915614">
              <w:rPr>
                <w:rFonts w:ascii="Times New Roman" w:hAnsi="Times New Roman" w:cs="Times New Roman"/>
                <w:noProof/>
                <w:webHidden/>
                <w:sz w:val="24"/>
                <w:szCs w:val="24"/>
              </w:rPr>
              <w:tab/>
            </w:r>
            <w:r w:rsidR="00915614" w:rsidRPr="00915614">
              <w:rPr>
                <w:rFonts w:ascii="Times New Roman" w:hAnsi="Times New Roman" w:cs="Times New Roman"/>
                <w:noProof/>
                <w:webHidden/>
                <w:sz w:val="24"/>
                <w:szCs w:val="24"/>
              </w:rPr>
              <w:fldChar w:fldCharType="begin"/>
            </w:r>
            <w:r w:rsidR="00915614" w:rsidRPr="00915614">
              <w:rPr>
                <w:rFonts w:ascii="Times New Roman" w:hAnsi="Times New Roman" w:cs="Times New Roman"/>
                <w:noProof/>
                <w:webHidden/>
                <w:sz w:val="24"/>
                <w:szCs w:val="24"/>
              </w:rPr>
              <w:instrText xml:space="preserve"> PAGEREF _Toc53136187 \h </w:instrText>
            </w:r>
            <w:r w:rsidR="00915614" w:rsidRPr="00915614">
              <w:rPr>
                <w:rFonts w:ascii="Times New Roman" w:hAnsi="Times New Roman" w:cs="Times New Roman"/>
                <w:noProof/>
                <w:webHidden/>
                <w:sz w:val="24"/>
                <w:szCs w:val="24"/>
              </w:rPr>
            </w:r>
            <w:r w:rsidR="00915614" w:rsidRPr="00915614">
              <w:rPr>
                <w:rFonts w:ascii="Times New Roman" w:hAnsi="Times New Roman" w:cs="Times New Roman"/>
                <w:noProof/>
                <w:webHidden/>
                <w:sz w:val="24"/>
                <w:szCs w:val="24"/>
              </w:rPr>
              <w:fldChar w:fldCharType="separate"/>
            </w:r>
            <w:r w:rsidR="00915614" w:rsidRPr="00915614">
              <w:rPr>
                <w:rFonts w:ascii="Times New Roman" w:hAnsi="Times New Roman" w:cs="Times New Roman"/>
                <w:noProof/>
                <w:webHidden/>
                <w:sz w:val="24"/>
                <w:szCs w:val="24"/>
              </w:rPr>
              <w:t>19</w:t>
            </w:r>
            <w:r w:rsidR="00915614" w:rsidRPr="00915614">
              <w:rPr>
                <w:rFonts w:ascii="Times New Roman" w:hAnsi="Times New Roman" w:cs="Times New Roman"/>
                <w:noProof/>
                <w:webHidden/>
                <w:sz w:val="24"/>
                <w:szCs w:val="24"/>
              </w:rPr>
              <w:fldChar w:fldCharType="end"/>
            </w:r>
          </w:hyperlink>
        </w:p>
        <w:p w14:paraId="5F2D78D2" w14:textId="77777777" w:rsidR="00915614" w:rsidRPr="00915614" w:rsidRDefault="00756E17">
          <w:pPr>
            <w:pStyle w:val="TOC2"/>
            <w:tabs>
              <w:tab w:val="left" w:pos="880"/>
              <w:tab w:val="right" w:leader="dot" w:pos="9061"/>
            </w:tabs>
            <w:rPr>
              <w:rFonts w:ascii="Times New Roman" w:hAnsi="Times New Roman" w:cs="Times New Roman"/>
              <w:noProof/>
              <w:sz w:val="24"/>
              <w:szCs w:val="24"/>
            </w:rPr>
          </w:pPr>
          <w:hyperlink w:anchor="_Toc53136188" w:history="1">
            <w:r w:rsidR="00915614" w:rsidRPr="00915614">
              <w:rPr>
                <w:rStyle w:val="Hyperlink"/>
                <w:rFonts w:ascii="Times New Roman" w:hAnsi="Times New Roman" w:cs="Times New Roman"/>
                <w:noProof/>
                <w:sz w:val="24"/>
                <w:szCs w:val="24"/>
              </w:rPr>
              <w:t>4.5.</w:t>
            </w:r>
            <w:r w:rsidR="00915614" w:rsidRPr="00915614">
              <w:rPr>
                <w:rFonts w:ascii="Times New Roman" w:hAnsi="Times New Roman" w:cs="Times New Roman"/>
                <w:noProof/>
                <w:sz w:val="24"/>
                <w:szCs w:val="24"/>
              </w:rPr>
              <w:tab/>
            </w:r>
            <w:r w:rsidR="00915614" w:rsidRPr="00915614">
              <w:rPr>
                <w:rStyle w:val="Hyperlink"/>
                <w:rFonts w:ascii="Times New Roman" w:hAnsi="Times New Roman" w:cs="Times New Roman"/>
                <w:noProof/>
                <w:sz w:val="24"/>
                <w:szCs w:val="24"/>
              </w:rPr>
              <w:t>Absolventu nodarbinātības monitoringa ieviešana</w:t>
            </w:r>
            <w:r w:rsidR="00915614" w:rsidRPr="00915614">
              <w:rPr>
                <w:rFonts w:ascii="Times New Roman" w:hAnsi="Times New Roman" w:cs="Times New Roman"/>
                <w:noProof/>
                <w:webHidden/>
                <w:sz w:val="24"/>
                <w:szCs w:val="24"/>
              </w:rPr>
              <w:tab/>
            </w:r>
            <w:r w:rsidR="00915614" w:rsidRPr="00915614">
              <w:rPr>
                <w:rFonts w:ascii="Times New Roman" w:hAnsi="Times New Roman" w:cs="Times New Roman"/>
                <w:noProof/>
                <w:webHidden/>
                <w:sz w:val="24"/>
                <w:szCs w:val="24"/>
              </w:rPr>
              <w:fldChar w:fldCharType="begin"/>
            </w:r>
            <w:r w:rsidR="00915614" w:rsidRPr="00915614">
              <w:rPr>
                <w:rFonts w:ascii="Times New Roman" w:hAnsi="Times New Roman" w:cs="Times New Roman"/>
                <w:noProof/>
                <w:webHidden/>
                <w:sz w:val="24"/>
                <w:szCs w:val="24"/>
              </w:rPr>
              <w:instrText xml:space="preserve"> PAGEREF _Toc53136188 \h </w:instrText>
            </w:r>
            <w:r w:rsidR="00915614" w:rsidRPr="00915614">
              <w:rPr>
                <w:rFonts w:ascii="Times New Roman" w:hAnsi="Times New Roman" w:cs="Times New Roman"/>
                <w:noProof/>
                <w:webHidden/>
                <w:sz w:val="24"/>
                <w:szCs w:val="24"/>
              </w:rPr>
            </w:r>
            <w:r w:rsidR="00915614" w:rsidRPr="00915614">
              <w:rPr>
                <w:rFonts w:ascii="Times New Roman" w:hAnsi="Times New Roman" w:cs="Times New Roman"/>
                <w:noProof/>
                <w:webHidden/>
                <w:sz w:val="24"/>
                <w:szCs w:val="24"/>
              </w:rPr>
              <w:fldChar w:fldCharType="separate"/>
            </w:r>
            <w:r w:rsidR="00915614" w:rsidRPr="00915614">
              <w:rPr>
                <w:rFonts w:ascii="Times New Roman" w:hAnsi="Times New Roman" w:cs="Times New Roman"/>
                <w:noProof/>
                <w:webHidden/>
                <w:sz w:val="24"/>
                <w:szCs w:val="24"/>
              </w:rPr>
              <w:t>20</w:t>
            </w:r>
            <w:r w:rsidR="00915614" w:rsidRPr="00915614">
              <w:rPr>
                <w:rFonts w:ascii="Times New Roman" w:hAnsi="Times New Roman" w:cs="Times New Roman"/>
                <w:noProof/>
                <w:webHidden/>
                <w:sz w:val="24"/>
                <w:szCs w:val="24"/>
              </w:rPr>
              <w:fldChar w:fldCharType="end"/>
            </w:r>
          </w:hyperlink>
        </w:p>
        <w:p w14:paraId="6E810028" w14:textId="77777777" w:rsidR="00915614" w:rsidRPr="00915614" w:rsidRDefault="00756E17">
          <w:pPr>
            <w:pStyle w:val="TOC2"/>
            <w:tabs>
              <w:tab w:val="left" w:pos="880"/>
              <w:tab w:val="right" w:leader="dot" w:pos="9061"/>
            </w:tabs>
            <w:rPr>
              <w:rFonts w:ascii="Times New Roman" w:hAnsi="Times New Roman" w:cs="Times New Roman"/>
              <w:noProof/>
              <w:sz w:val="24"/>
              <w:szCs w:val="24"/>
            </w:rPr>
          </w:pPr>
          <w:hyperlink w:anchor="_Toc53136189" w:history="1">
            <w:r w:rsidR="00915614" w:rsidRPr="00915614">
              <w:rPr>
                <w:rStyle w:val="Hyperlink"/>
                <w:rFonts w:ascii="Times New Roman" w:hAnsi="Times New Roman" w:cs="Times New Roman"/>
                <w:noProof/>
                <w:sz w:val="24"/>
                <w:szCs w:val="24"/>
              </w:rPr>
              <w:t>4.6.</w:t>
            </w:r>
            <w:r w:rsidR="00915614" w:rsidRPr="00915614">
              <w:rPr>
                <w:rFonts w:ascii="Times New Roman" w:hAnsi="Times New Roman" w:cs="Times New Roman"/>
                <w:noProof/>
                <w:sz w:val="24"/>
                <w:szCs w:val="24"/>
              </w:rPr>
              <w:tab/>
            </w:r>
            <w:r w:rsidR="00915614" w:rsidRPr="00915614">
              <w:rPr>
                <w:rStyle w:val="Hyperlink"/>
                <w:rFonts w:ascii="Times New Roman" w:hAnsi="Times New Roman" w:cs="Times New Roman"/>
                <w:noProof/>
                <w:sz w:val="24"/>
                <w:szCs w:val="24"/>
              </w:rPr>
              <w:t>Snieguma finansējuma ieviešana</w:t>
            </w:r>
            <w:r w:rsidR="00915614" w:rsidRPr="00915614">
              <w:rPr>
                <w:rFonts w:ascii="Times New Roman" w:hAnsi="Times New Roman" w:cs="Times New Roman"/>
                <w:noProof/>
                <w:webHidden/>
                <w:sz w:val="24"/>
                <w:szCs w:val="24"/>
              </w:rPr>
              <w:tab/>
            </w:r>
            <w:r w:rsidR="00915614" w:rsidRPr="00915614">
              <w:rPr>
                <w:rFonts w:ascii="Times New Roman" w:hAnsi="Times New Roman" w:cs="Times New Roman"/>
                <w:noProof/>
                <w:webHidden/>
                <w:sz w:val="24"/>
                <w:szCs w:val="24"/>
              </w:rPr>
              <w:fldChar w:fldCharType="begin"/>
            </w:r>
            <w:r w:rsidR="00915614" w:rsidRPr="00915614">
              <w:rPr>
                <w:rFonts w:ascii="Times New Roman" w:hAnsi="Times New Roman" w:cs="Times New Roman"/>
                <w:noProof/>
                <w:webHidden/>
                <w:sz w:val="24"/>
                <w:szCs w:val="24"/>
              </w:rPr>
              <w:instrText xml:space="preserve"> PAGEREF _Toc53136189 \h </w:instrText>
            </w:r>
            <w:r w:rsidR="00915614" w:rsidRPr="00915614">
              <w:rPr>
                <w:rFonts w:ascii="Times New Roman" w:hAnsi="Times New Roman" w:cs="Times New Roman"/>
                <w:noProof/>
                <w:webHidden/>
                <w:sz w:val="24"/>
                <w:szCs w:val="24"/>
              </w:rPr>
            </w:r>
            <w:r w:rsidR="00915614" w:rsidRPr="00915614">
              <w:rPr>
                <w:rFonts w:ascii="Times New Roman" w:hAnsi="Times New Roman" w:cs="Times New Roman"/>
                <w:noProof/>
                <w:webHidden/>
                <w:sz w:val="24"/>
                <w:szCs w:val="24"/>
              </w:rPr>
              <w:fldChar w:fldCharType="separate"/>
            </w:r>
            <w:r w:rsidR="00915614" w:rsidRPr="00915614">
              <w:rPr>
                <w:rFonts w:ascii="Times New Roman" w:hAnsi="Times New Roman" w:cs="Times New Roman"/>
                <w:noProof/>
                <w:webHidden/>
                <w:sz w:val="24"/>
                <w:szCs w:val="24"/>
              </w:rPr>
              <w:t>21</w:t>
            </w:r>
            <w:r w:rsidR="00915614" w:rsidRPr="00915614">
              <w:rPr>
                <w:rFonts w:ascii="Times New Roman" w:hAnsi="Times New Roman" w:cs="Times New Roman"/>
                <w:noProof/>
                <w:webHidden/>
                <w:sz w:val="24"/>
                <w:szCs w:val="24"/>
              </w:rPr>
              <w:fldChar w:fldCharType="end"/>
            </w:r>
          </w:hyperlink>
        </w:p>
        <w:p w14:paraId="65EFDFA3" w14:textId="77777777" w:rsidR="00915614" w:rsidRPr="00915614" w:rsidRDefault="00756E17">
          <w:pPr>
            <w:pStyle w:val="TOC1"/>
            <w:rPr>
              <w:rFonts w:ascii="Times New Roman" w:hAnsi="Times New Roman" w:cs="Times New Roman"/>
              <w:noProof/>
              <w:sz w:val="24"/>
              <w:szCs w:val="24"/>
            </w:rPr>
          </w:pPr>
          <w:hyperlink w:anchor="_Toc53136190" w:history="1">
            <w:r w:rsidR="00915614" w:rsidRPr="00915614">
              <w:rPr>
                <w:rStyle w:val="Hyperlink"/>
                <w:rFonts w:ascii="Times New Roman" w:hAnsi="Times New Roman" w:cs="Times New Roman"/>
                <w:noProof/>
                <w:sz w:val="24"/>
                <w:szCs w:val="24"/>
              </w:rPr>
              <w:t>5.</w:t>
            </w:r>
            <w:r w:rsidR="00915614" w:rsidRPr="00915614">
              <w:rPr>
                <w:rFonts w:ascii="Times New Roman" w:hAnsi="Times New Roman" w:cs="Times New Roman"/>
                <w:noProof/>
                <w:sz w:val="24"/>
                <w:szCs w:val="24"/>
              </w:rPr>
              <w:tab/>
            </w:r>
            <w:r w:rsidR="00915614" w:rsidRPr="00915614">
              <w:rPr>
                <w:rStyle w:val="Hyperlink"/>
                <w:rFonts w:ascii="Times New Roman" w:hAnsi="Times New Roman" w:cs="Times New Roman"/>
                <w:noProof/>
                <w:sz w:val="24"/>
                <w:szCs w:val="24"/>
              </w:rPr>
              <w:t>Ietekme uz problēmas risināšanu un riski, ja situācija nemainās</w:t>
            </w:r>
            <w:r w:rsidR="00915614" w:rsidRPr="00915614">
              <w:rPr>
                <w:rFonts w:ascii="Times New Roman" w:hAnsi="Times New Roman" w:cs="Times New Roman"/>
                <w:noProof/>
                <w:webHidden/>
                <w:sz w:val="24"/>
                <w:szCs w:val="24"/>
              </w:rPr>
              <w:tab/>
            </w:r>
            <w:r w:rsidR="00915614" w:rsidRPr="00915614">
              <w:rPr>
                <w:rFonts w:ascii="Times New Roman" w:hAnsi="Times New Roman" w:cs="Times New Roman"/>
                <w:noProof/>
                <w:webHidden/>
                <w:sz w:val="24"/>
                <w:szCs w:val="24"/>
              </w:rPr>
              <w:fldChar w:fldCharType="begin"/>
            </w:r>
            <w:r w:rsidR="00915614" w:rsidRPr="00915614">
              <w:rPr>
                <w:rFonts w:ascii="Times New Roman" w:hAnsi="Times New Roman" w:cs="Times New Roman"/>
                <w:noProof/>
                <w:webHidden/>
                <w:sz w:val="24"/>
                <w:szCs w:val="24"/>
              </w:rPr>
              <w:instrText xml:space="preserve"> PAGEREF _Toc53136190 \h </w:instrText>
            </w:r>
            <w:r w:rsidR="00915614" w:rsidRPr="00915614">
              <w:rPr>
                <w:rFonts w:ascii="Times New Roman" w:hAnsi="Times New Roman" w:cs="Times New Roman"/>
                <w:noProof/>
                <w:webHidden/>
                <w:sz w:val="24"/>
                <w:szCs w:val="24"/>
              </w:rPr>
            </w:r>
            <w:r w:rsidR="00915614" w:rsidRPr="00915614">
              <w:rPr>
                <w:rFonts w:ascii="Times New Roman" w:hAnsi="Times New Roman" w:cs="Times New Roman"/>
                <w:noProof/>
                <w:webHidden/>
                <w:sz w:val="24"/>
                <w:szCs w:val="24"/>
              </w:rPr>
              <w:fldChar w:fldCharType="separate"/>
            </w:r>
            <w:r w:rsidR="00915614" w:rsidRPr="00915614">
              <w:rPr>
                <w:rFonts w:ascii="Times New Roman" w:hAnsi="Times New Roman" w:cs="Times New Roman"/>
                <w:noProof/>
                <w:webHidden/>
                <w:sz w:val="24"/>
                <w:szCs w:val="24"/>
              </w:rPr>
              <w:t>21</w:t>
            </w:r>
            <w:r w:rsidR="00915614" w:rsidRPr="00915614">
              <w:rPr>
                <w:rFonts w:ascii="Times New Roman" w:hAnsi="Times New Roman" w:cs="Times New Roman"/>
                <w:noProof/>
                <w:webHidden/>
                <w:sz w:val="24"/>
                <w:szCs w:val="24"/>
              </w:rPr>
              <w:fldChar w:fldCharType="end"/>
            </w:r>
          </w:hyperlink>
        </w:p>
        <w:p w14:paraId="3E6359A4" w14:textId="77777777" w:rsidR="00915614" w:rsidRPr="00915614" w:rsidRDefault="00756E17">
          <w:pPr>
            <w:pStyle w:val="TOC1"/>
            <w:rPr>
              <w:rFonts w:ascii="Times New Roman" w:hAnsi="Times New Roman" w:cs="Times New Roman"/>
              <w:noProof/>
              <w:sz w:val="24"/>
              <w:szCs w:val="24"/>
            </w:rPr>
          </w:pPr>
          <w:hyperlink w:anchor="_Toc53136191" w:history="1">
            <w:r w:rsidR="00915614" w:rsidRPr="00915614">
              <w:rPr>
                <w:rStyle w:val="Hyperlink"/>
                <w:rFonts w:ascii="Times New Roman" w:hAnsi="Times New Roman" w:cs="Times New Roman"/>
                <w:noProof/>
                <w:sz w:val="24"/>
                <w:szCs w:val="24"/>
              </w:rPr>
              <w:t>6.</w:t>
            </w:r>
            <w:r w:rsidR="00915614" w:rsidRPr="00915614">
              <w:rPr>
                <w:rFonts w:ascii="Times New Roman" w:hAnsi="Times New Roman" w:cs="Times New Roman"/>
                <w:noProof/>
                <w:sz w:val="24"/>
                <w:szCs w:val="24"/>
              </w:rPr>
              <w:tab/>
            </w:r>
            <w:r w:rsidR="00915614" w:rsidRPr="00915614">
              <w:rPr>
                <w:rStyle w:val="Hyperlink"/>
                <w:rFonts w:ascii="Times New Roman" w:hAnsi="Times New Roman" w:cs="Times New Roman"/>
                <w:noProof/>
                <w:sz w:val="24"/>
                <w:szCs w:val="24"/>
              </w:rPr>
              <w:t>Risinājuma sākotnējās ietekmes izvērtējums</w:t>
            </w:r>
            <w:r w:rsidR="00915614" w:rsidRPr="00915614">
              <w:rPr>
                <w:rFonts w:ascii="Times New Roman" w:hAnsi="Times New Roman" w:cs="Times New Roman"/>
                <w:noProof/>
                <w:webHidden/>
                <w:sz w:val="24"/>
                <w:szCs w:val="24"/>
              </w:rPr>
              <w:tab/>
            </w:r>
            <w:r w:rsidR="00915614" w:rsidRPr="00915614">
              <w:rPr>
                <w:rFonts w:ascii="Times New Roman" w:hAnsi="Times New Roman" w:cs="Times New Roman"/>
                <w:noProof/>
                <w:webHidden/>
                <w:sz w:val="24"/>
                <w:szCs w:val="24"/>
              </w:rPr>
              <w:fldChar w:fldCharType="begin"/>
            </w:r>
            <w:r w:rsidR="00915614" w:rsidRPr="00915614">
              <w:rPr>
                <w:rFonts w:ascii="Times New Roman" w:hAnsi="Times New Roman" w:cs="Times New Roman"/>
                <w:noProof/>
                <w:webHidden/>
                <w:sz w:val="24"/>
                <w:szCs w:val="24"/>
              </w:rPr>
              <w:instrText xml:space="preserve"> PAGEREF _Toc53136191 \h </w:instrText>
            </w:r>
            <w:r w:rsidR="00915614" w:rsidRPr="00915614">
              <w:rPr>
                <w:rFonts w:ascii="Times New Roman" w:hAnsi="Times New Roman" w:cs="Times New Roman"/>
                <w:noProof/>
                <w:webHidden/>
                <w:sz w:val="24"/>
                <w:szCs w:val="24"/>
              </w:rPr>
            </w:r>
            <w:r w:rsidR="00915614" w:rsidRPr="00915614">
              <w:rPr>
                <w:rFonts w:ascii="Times New Roman" w:hAnsi="Times New Roman" w:cs="Times New Roman"/>
                <w:noProof/>
                <w:webHidden/>
                <w:sz w:val="24"/>
                <w:szCs w:val="24"/>
              </w:rPr>
              <w:fldChar w:fldCharType="separate"/>
            </w:r>
            <w:r w:rsidR="00915614" w:rsidRPr="00915614">
              <w:rPr>
                <w:rFonts w:ascii="Times New Roman" w:hAnsi="Times New Roman" w:cs="Times New Roman"/>
                <w:noProof/>
                <w:webHidden/>
                <w:sz w:val="24"/>
                <w:szCs w:val="24"/>
              </w:rPr>
              <w:t>22</w:t>
            </w:r>
            <w:r w:rsidR="00915614" w:rsidRPr="00915614">
              <w:rPr>
                <w:rFonts w:ascii="Times New Roman" w:hAnsi="Times New Roman" w:cs="Times New Roman"/>
                <w:noProof/>
                <w:webHidden/>
                <w:sz w:val="24"/>
                <w:szCs w:val="24"/>
              </w:rPr>
              <w:fldChar w:fldCharType="end"/>
            </w:r>
          </w:hyperlink>
        </w:p>
        <w:p w14:paraId="0472B1DD" w14:textId="77777777" w:rsidR="00915614" w:rsidRPr="00915614" w:rsidRDefault="00756E17">
          <w:pPr>
            <w:pStyle w:val="TOC1"/>
            <w:rPr>
              <w:rFonts w:ascii="Times New Roman" w:hAnsi="Times New Roman" w:cs="Times New Roman"/>
              <w:noProof/>
              <w:sz w:val="24"/>
              <w:szCs w:val="24"/>
            </w:rPr>
          </w:pPr>
          <w:hyperlink w:anchor="_Toc53136192" w:history="1">
            <w:r w:rsidR="00915614" w:rsidRPr="00915614">
              <w:rPr>
                <w:rStyle w:val="Hyperlink"/>
                <w:rFonts w:ascii="Times New Roman" w:hAnsi="Times New Roman" w:cs="Times New Roman"/>
                <w:noProof/>
                <w:sz w:val="24"/>
                <w:szCs w:val="24"/>
              </w:rPr>
              <w:t>7.</w:t>
            </w:r>
            <w:r w:rsidR="00915614" w:rsidRPr="00915614">
              <w:rPr>
                <w:rFonts w:ascii="Times New Roman" w:hAnsi="Times New Roman" w:cs="Times New Roman"/>
                <w:noProof/>
                <w:sz w:val="24"/>
                <w:szCs w:val="24"/>
              </w:rPr>
              <w:tab/>
            </w:r>
            <w:r w:rsidR="00915614" w:rsidRPr="00915614">
              <w:rPr>
                <w:rStyle w:val="Hyperlink"/>
                <w:rFonts w:ascii="Times New Roman" w:hAnsi="Times New Roman" w:cs="Times New Roman"/>
                <w:noProof/>
                <w:sz w:val="24"/>
                <w:szCs w:val="24"/>
              </w:rPr>
              <w:t>Ietekme uz valsts un pašvaldību budžetu</w:t>
            </w:r>
            <w:r w:rsidR="00915614" w:rsidRPr="00915614">
              <w:rPr>
                <w:rFonts w:ascii="Times New Roman" w:hAnsi="Times New Roman" w:cs="Times New Roman"/>
                <w:noProof/>
                <w:webHidden/>
                <w:sz w:val="24"/>
                <w:szCs w:val="24"/>
              </w:rPr>
              <w:tab/>
            </w:r>
            <w:r w:rsidR="00915614" w:rsidRPr="00915614">
              <w:rPr>
                <w:rFonts w:ascii="Times New Roman" w:hAnsi="Times New Roman" w:cs="Times New Roman"/>
                <w:noProof/>
                <w:webHidden/>
                <w:sz w:val="24"/>
                <w:szCs w:val="24"/>
              </w:rPr>
              <w:fldChar w:fldCharType="begin"/>
            </w:r>
            <w:r w:rsidR="00915614" w:rsidRPr="00915614">
              <w:rPr>
                <w:rFonts w:ascii="Times New Roman" w:hAnsi="Times New Roman" w:cs="Times New Roman"/>
                <w:noProof/>
                <w:webHidden/>
                <w:sz w:val="24"/>
                <w:szCs w:val="24"/>
              </w:rPr>
              <w:instrText xml:space="preserve"> PAGEREF _Toc53136192 \h </w:instrText>
            </w:r>
            <w:r w:rsidR="00915614" w:rsidRPr="00915614">
              <w:rPr>
                <w:rFonts w:ascii="Times New Roman" w:hAnsi="Times New Roman" w:cs="Times New Roman"/>
                <w:noProof/>
                <w:webHidden/>
                <w:sz w:val="24"/>
                <w:szCs w:val="24"/>
              </w:rPr>
            </w:r>
            <w:r w:rsidR="00915614" w:rsidRPr="00915614">
              <w:rPr>
                <w:rFonts w:ascii="Times New Roman" w:hAnsi="Times New Roman" w:cs="Times New Roman"/>
                <w:noProof/>
                <w:webHidden/>
                <w:sz w:val="24"/>
                <w:szCs w:val="24"/>
              </w:rPr>
              <w:fldChar w:fldCharType="separate"/>
            </w:r>
            <w:r w:rsidR="00915614" w:rsidRPr="00915614">
              <w:rPr>
                <w:rFonts w:ascii="Times New Roman" w:hAnsi="Times New Roman" w:cs="Times New Roman"/>
                <w:noProof/>
                <w:webHidden/>
                <w:sz w:val="24"/>
                <w:szCs w:val="24"/>
              </w:rPr>
              <w:t>22</w:t>
            </w:r>
            <w:r w:rsidR="00915614" w:rsidRPr="00915614">
              <w:rPr>
                <w:rFonts w:ascii="Times New Roman" w:hAnsi="Times New Roman" w:cs="Times New Roman"/>
                <w:noProof/>
                <w:webHidden/>
                <w:sz w:val="24"/>
                <w:szCs w:val="24"/>
              </w:rPr>
              <w:fldChar w:fldCharType="end"/>
            </w:r>
          </w:hyperlink>
        </w:p>
        <w:p w14:paraId="3F1E1120" w14:textId="77777777" w:rsidR="00915614" w:rsidRPr="00915614" w:rsidRDefault="00756E17">
          <w:pPr>
            <w:pStyle w:val="TOC1"/>
            <w:rPr>
              <w:rFonts w:ascii="Times New Roman" w:hAnsi="Times New Roman" w:cs="Times New Roman"/>
              <w:noProof/>
              <w:sz w:val="24"/>
              <w:szCs w:val="24"/>
            </w:rPr>
          </w:pPr>
          <w:hyperlink w:anchor="_Toc53136193" w:history="1">
            <w:r w:rsidR="00915614" w:rsidRPr="00915614">
              <w:rPr>
                <w:rStyle w:val="Hyperlink"/>
                <w:rFonts w:ascii="Times New Roman" w:hAnsi="Times New Roman" w:cs="Times New Roman"/>
                <w:bCs/>
                <w:noProof/>
                <w:sz w:val="24"/>
                <w:szCs w:val="24"/>
              </w:rPr>
              <w:t>8.</w:t>
            </w:r>
            <w:r w:rsidR="00915614" w:rsidRPr="00915614">
              <w:rPr>
                <w:rFonts w:ascii="Times New Roman" w:hAnsi="Times New Roman" w:cs="Times New Roman"/>
                <w:noProof/>
                <w:sz w:val="24"/>
                <w:szCs w:val="24"/>
              </w:rPr>
              <w:tab/>
            </w:r>
            <w:r w:rsidR="00915614" w:rsidRPr="00915614">
              <w:rPr>
                <w:rStyle w:val="Hyperlink"/>
                <w:rFonts w:ascii="Times New Roman" w:hAnsi="Times New Roman" w:cs="Times New Roman"/>
                <w:noProof/>
                <w:sz w:val="24"/>
                <w:szCs w:val="24"/>
              </w:rPr>
              <w:t>Profesionālās izglītības programmu finansēšanas pilnveides laika grafiks</w:t>
            </w:r>
            <w:r w:rsidR="00915614" w:rsidRPr="00915614">
              <w:rPr>
                <w:rFonts w:ascii="Times New Roman" w:hAnsi="Times New Roman" w:cs="Times New Roman"/>
                <w:noProof/>
                <w:webHidden/>
                <w:sz w:val="24"/>
                <w:szCs w:val="24"/>
              </w:rPr>
              <w:tab/>
            </w:r>
            <w:r w:rsidR="00915614" w:rsidRPr="00915614">
              <w:rPr>
                <w:rFonts w:ascii="Times New Roman" w:hAnsi="Times New Roman" w:cs="Times New Roman"/>
                <w:noProof/>
                <w:webHidden/>
                <w:sz w:val="24"/>
                <w:szCs w:val="24"/>
              </w:rPr>
              <w:fldChar w:fldCharType="begin"/>
            </w:r>
            <w:r w:rsidR="00915614" w:rsidRPr="00915614">
              <w:rPr>
                <w:rFonts w:ascii="Times New Roman" w:hAnsi="Times New Roman" w:cs="Times New Roman"/>
                <w:noProof/>
                <w:webHidden/>
                <w:sz w:val="24"/>
                <w:szCs w:val="24"/>
              </w:rPr>
              <w:instrText xml:space="preserve"> PAGEREF _Toc53136193 \h </w:instrText>
            </w:r>
            <w:r w:rsidR="00915614" w:rsidRPr="00915614">
              <w:rPr>
                <w:rFonts w:ascii="Times New Roman" w:hAnsi="Times New Roman" w:cs="Times New Roman"/>
                <w:noProof/>
                <w:webHidden/>
                <w:sz w:val="24"/>
                <w:szCs w:val="24"/>
              </w:rPr>
            </w:r>
            <w:r w:rsidR="00915614" w:rsidRPr="00915614">
              <w:rPr>
                <w:rFonts w:ascii="Times New Roman" w:hAnsi="Times New Roman" w:cs="Times New Roman"/>
                <w:noProof/>
                <w:webHidden/>
                <w:sz w:val="24"/>
                <w:szCs w:val="24"/>
              </w:rPr>
              <w:fldChar w:fldCharType="separate"/>
            </w:r>
            <w:r w:rsidR="00915614" w:rsidRPr="00915614">
              <w:rPr>
                <w:rFonts w:ascii="Times New Roman" w:hAnsi="Times New Roman" w:cs="Times New Roman"/>
                <w:noProof/>
                <w:webHidden/>
                <w:sz w:val="24"/>
                <w:szCs w:val="24"/>
              </w:rPr>
              <w:t>24</w:t>
            </w:r>
            <w:r w:rsidR="00915614" w:rsidRPr="00915614">
              <w:rPr>
                <w:rFonts w:ascii="Times New Roman" w:hAnsi="Times New Roman" w:cs="Times New Roman"/>
                <w:noProof/>
                <w:webHidden/>
                <w:sz w:val="24"/>
                <w:szCs w:val="24"/>
              </w:rPr>
              <w:fldChar w:fldCharType="end"/>
            </w:r>
          </w:hyperlink>
        </w:p>
        <w:p w14:paraId="7F83C80C" w14:textId="77777777" w:rsidR="00915614" w:rsidRPr="00915614" w:rsidRDefault="00756E17">
          <w:pPr>
            <w:pStyle w:val="TOC1"/>
            <w:rPr>
              <w:rFonts w:ascii="Times New Roman" w:hAnsi="Times New Roman" w:cs="Times New Roman"/>
              <w:noProof/>
              <w:sz w:val="24"/>
              <w:szCs w:val="24"/>
            </w:rPr>
          </w:pPr>
          <w:hyperlink w:anchor="_Toc53136194" w:history="1">
            <w:r w:rsidR="00915614" w:rsidRPr="00915614">
              <w:rPr>
                <w:rStyle w:val="Hyperlink"/>
                <w:rFonts w:ascii="Times New Roman" w:hAnsi="Times New Roman" w:cs="Times New Roman"/>
                <w:iCs/>
                <w:noProof/>
                <w:sz w:val="24"/>
                <w:szCs w:val="24"/>
              </w:rPr>
              <w:t>Pielikums</w:t>
            </w:r>
            <w:r w:rsidR="00915614" w:rsidRPr="00915614">
              <w:rPr>
                <w:rFonts w:ascii="Times New Roman" w:hAnsi="Times New Roman" w:cs="Times New Roman"/>
                <w:noProof/>
                <w:webHidden/>
                <w:sz w:val="24"/>
                <w:szCs w:val="24"/>
              </w:rPr>
              <w:tab/>
            </w:r>
            <w:r w:rsidR="00915614" w:rsidRPr="00915614">
              <w:rPr>
                <w:rFonts w:ascii="Times New Roman" w:hAnsi="Times New Roman" w:cs="Times New Roman"/>
                <w:noProof/>
                <w:webHidden/>
                <w:sz w:val="24"/>
                <w:szCs w:val="24"/>
              </w:rPr>
              <w:fldChar w:fldCharType="begin"/>
            </w:r>
            <w:r w:rsidR="00915614" w:rsidRPr="00915614">
              <w:rPr>
                <w:rFonts w:ascii="Times New Roman" w:hAnsi="Times New Roman" w:cs="Times New Roman"/>
                <w:noProof/>
                <w:webHidden/>
                <w:sz w:val="24"/>
                <w:szCs w:val="24"/>
              </w:rPr>
              <w:instrText xml:space="preserve"> PAGEREF _Toc53136194 \h </w:instrText>
            </w:r>
            <w:r w:rsidR="00915614" w:rsidRPr="00915614">
              <w:rPr>
                <w:rFonts w:ascii="Times New Roman" w:hAnsi="Times New Roman" w:cs="Times New Roman"/>
                <w:noProof/>
                <w:webHidden/>
                <w:sz w:val="24"/>
                <w:szCs w:val="24"/>
              </w:rPr>
            </w:r>
            <w:r w:rsidR="00915614" w:rsidRPr="00915614">
              <w:rPr>
                <w:rFonts w:ascii="Times New Roman" w:hAnsi="Times New Roman" w:cs="Times New Roman"/>
                <w:noProof/>
                <w:webHidden/>
                <w:sz w:val="24"/>
                <w:szCs w:val="24"/>
              </w:rPr>
              <w:fldChar w:fldCharType="separate"/>
            </w:r>
            <w:r w:rsidR="00915614" w:rsidRPr="00915614">
              <w:rPr>
                <w:rFonts w:ascii="Times New Roman" w:hAnsi="Times New Roman" w:cs="Times New Roman"/>
                <w:noProof/>
                <w:webHidden/>
                <w:sz w:val="24"/>
                <w:szCs w:val="24"/>
              </w:rPr>
              <w:t>26</w:t>
            </w:r>
            <w:r w:rsidR="00915614" w:rsidRPr="00915614">
              <w:rPr>
                <w:rFonts w:ascii="Times New Roman" w:hAnsi="Times New Roman" w:cs="Times New Roman"/>
                <w:noProof/>
                <w:webHidden/>
                <w:sz w:val="24"/>
                <w:szCs w:val="24"/>
              </w:rPr>
              <w:fldChar w:fldCharType="end"/>
            </w:r>
          </w:hyperlink>
        </w:p>
        <w:p w14:paraId="1E9F36CE" w14:textId="3C3C092E" w:rsidR="0096300F" w:rsidRDefault="0096300F">
          <w:r w:rsidRPr="00915614">
            <w:rPr>
              <w:rFonts w:ascii="Times New Roman" w:hAnsi="Times New Roman" w:cs="Times New Roman"/>
              <w:bCs/>
              <w:noProof/>
              <w:color w:val="000000" w:themeColor="text1"/>
              <w:sz w:val="24"/>
              <w:szCs w:val="24"/>
            </w:rPr>
            <w:fldChar w:fldCharType="end"/>
          </w:r>
          <w:r w:rsidR="00807240">
            <w:rPr>
              <w:b/>
              <w:bCs/>
              <w:noProof/>
            </w:rPr>
            <w:t xml:space="preserve"> </w:t>
          </w:r>
        </w:p>
      </w:sdtContent>
    </w:sdt>
    <w:p w14:paraId="7AF9B677" w14:textId="77777777" w:rsidR="00AC6A47" w:rsidRDefault="0096300F" w:rsidP="00AC6A4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9F8C994" w14:textId="2540FF4A" w:rsidR="00AC6A47" w:rsidRPr="00A104FC" w:rsidRDefault="008E5A4E" w:rsidP="00A510E4">
      <w:pPr>
        <w:pStyle w:val="Heading1"/>
        <w:numPr>
          <w:ilvl w:val="0"/>
          <w:numId w:val="3"/>
        </w:numPr>
        <w:spacing w:before="0" w:after="120" w:line="276" w:lineRule="auto"/>
        <w:ind w:left="714" w:hanging="357"/>
        <w:jc w:val="center"/>
        <w:rPr>
          <w:rFonts w:ascii="Times New Roman" w:eastAsia="Times New Roman" w:hAnsi="Times New Roman" w:cs="Times New Roman"/>
          <w:b/>
          <w:color w:val="000000" w:themeColor="text1"/>
          <w:sz w:val="28"/>
          <w:szCs w:val="24"/>
        </w:rPr>
      </w:pPr>
      <w:bookmarkStart w:id="1" w:name="_Toc53136175"/>
      <w:r w:rsidRPr="00A104FC">
        <w:rPr>
          <w:rFonts w:ascii="Times New Roman" w:eastAsia="Times New Roman" w:hAnsi="Times New Roman" w:cs="Times New Roman"/>
          <w:b/>
          <w:color w:val="000000" w:themeColor="text1"/>
          <w:sz w:val="28"/>
          <w:szCs w:val="24"/>
        </w:rPr>
        <w:lastRenderedPageBreak/>
        <w:t>Kopsavilkums</w:t>
      </w:r>
      <w:bookmarkEnd w:id="1"/>
    </w:p>
    <w:p w14:paraId="2CB4FFCC" w14:textId="3EE7A7C5" w:rsidR="00AC6A47" w:rsidRDefault="00AC6A47" w:rsidP="004E229C">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Konceptuālais</w:t>
      </w:r>
      <w:r w:rsidRPr="008A239A">
        <w:rPr>
          <w:rFonts w:ascii="Times New Roman" w:eastAsia="Times New Roman" w:hAnsi="Times New Roman" w:cs="Times New Roman"/>
          <w:sz w:val="24"/>
          <w:szCs w:val="24"/>
        </w:rPr>
        <w:t xml:space="preserve"> ziņojums „Par profesionālās izglītības </w:t>
      </w:r>
      <w:r>
        <w:rPr>
          <w:rFonts w:ascii="Times New Roman" w:eastAsia="Times New Roman" w:hAnsi="Times New Roman" w:cs="Times New Roman"/>
          <w:sz w:val="24"/>
          <w:szCs w:val="24"/>
        </w:rPr>
        <w:t xml:space="preserve">programmu </w:t>
      </w:r>
      <w:r w:rsidRPr="008A239A">
        <w:rPr>
          <w:rFonts w:ascii="Times New Roman" w:eastAsia="Times New Roman" w:hAnsi="Times New Roman" w:cs="Times New Roman"/>
          <w:sz w:val="24"/>
          <w:szCs w:val="24"/>
        </w:rPr>
        <w:t>finansēšanu” (turpmāk –</w:t>
      </w:r>
      <w:r>
        <w:rPr>
          <w:rFonts w:ascii="Times New Roman" w:eastAsia="Times New Roman" w:hAnsi="Times New Roman" w:cs="Times New Roman"/>
          <w:sz w:val="24"/>
          <w:szCs w:val="24"/>
        </w:rPr>
        <w:t xml:space="preserve"> </w:t>
      </w:r>
      <w:r w:rsidRPr="008A239A">
        <w:rPr>
          <w:rFonts w:ascii="Times New Roman" w:eastAsia="Times New Roman" w:hAnsi="Times New Roman" w:cs="Times New Roman"/>
          <w:sz w:val="24"/>
          <w:szCs w:val="24"/>
        </w:rPr>
        <w:t>ziņojums) sagatavots, lai īstenotu ar Ministru kabineta 20</w:t>
      </w:r>
      <w:r w:rsidR="00D6206D">
        <w:rPr>
          <w:rFonts w:ascii="Times New Roman" w:eastAsia="Times New Roman" w:hAnsi="Times New Roman" w:cs="Times New Roman"/>
          <w:sz w:val="24"/>
          <w:szCs w:val="24"/>
        </w:rPr>
        <w:t>19.gada 7.maija rīkojumu Nr. 210</w:t>
      </w:r>
      <w:r w:rsidRPr="008A239A">
        <w:rPr>
          <w:rFonts w:ascii="Times New Roman" w:eastAsia="Times New Roman" w:hAnsi="Times New Roman" w:cs="Times New Roman"/>
          <w:sz w:val="24"/>
          <w:szCs w:val="24"/>
        </w:rPr>
        <w:t xml:space="preserve"> </w:t>
      </w:r>
      <w:r w:rsidR="00E53E68">
        <w:rPr>
          <w:rFonts w:ascii="Times New Roman" w:eastAsia="Times New Roman" w:hAnsi="Times New Roman" w:cs="Times New Roman"/>
          <w:sz w:val="24"/>
          <w:szCs w:val="24"/>
        </w:rPr>
        <w:t xml:space="preserve">apstiprinātā </w:t>
      </w:r>
      <w:r w:rsidRPr="009B14D1">
        <w:rPr>
          <w:rFonts w:ascii="Times New Roman" w:eastAsia="Times New Roman" w:hAnsi="Times New Roman" w:cs="Times New Roman"/>
          <w:sz w:val="24"/>
          <w:szCs w:val="24"/>
        </w:rPr>
        <w:t>Valdības</w:t>
      </w:r>
      <w:r w:rsidR="00E53E68">
        <w:rPr>
          <w:rFonts w:ascii="Times New Roman" w:eastAsia="Times New Roman" w:hAnsi="Times New Roman" w:cs="Times New Roman"/>
          <w:sz w:val="24"/>
          <w:szCs w:val="24"/>
        </w:rPr>
        <w:t xml:space="preserve"> rīcības plāna</w:t>
      </w:r>
      <w:r w:rsidRPr="00AC6A47">
        <w:rPr>
          <w:rFonts w:ascii="Times New Roman" w:eastAsia="Times New Roman" w:hAnsi="Times New Roman" w:cs="Times New Roman"/>
          <w:sz w:val="24"/>
          <w:szCs w:val="24"/>
        </w:rPr>
        <w:t xml:space="preserve"> Deklarācijas par Artura Krišjāņa Kariņa vadītā Ministru kabineta iecerēto darbību īstenošanai</w:t>
      </w:r>
      <w:r w:rsidRPr="008A239A">
        <w:rPr>
          <w:rFonts w:ascii="Times New Roman" w:eastAsia="Times New Roman" w:hAnsi="Times New Roman" w:cs="Times New Roman"/>
          <w:sz w:val="24"/>
          <w:szCs w:val="24"/>
        </w:rPr>
        <w:t xml:space="preserve"> Izglītības un zinātnes ministrijai (turpmāk – </w:t>
      </w:r>
      <w:r>
        <w:rPr>
          <w:rFonts w:ascii="Times New Roman" w:eastAsia="Times New Roman" w:hAnsi="Times New Roman" w:cs="Times New Roman"/>
          <w:sz w:val="24"/>
          <w:szCs w:val="24"/>
        </w:rPr>
        <w:t>IZM) noteikto pasākumu Nr. 123.1.</w:t>
      </w:r>
      <w:r w:rsidRPr="008A239A">
        <w:rPr>
          <w:rFonts w:ascii="Times New Roman" w:eastAsia="Times New Roman" w:hAnsi="Times New Roman" w:cs="Times New Roman"/>
          <w:sz w:val="24"/>
          <w:szCs w:val="24"/>
        </w:rPr>
        <w:t xml:space="preserve"> </w:t>
      </w:r>
      <w:r w:rsidR="00D6206D">
        <w:rPr>
          <w:rFonts w:ascii="Times New Roman" w:eastAsia="Times New Roman" w:hAnsi="Times New Roman" w:cs="Times New Roman"/>
          <w:sz w:val="24"/>
          <w:szCs w:val="24"/>
        </w:rPr>
        <w:t>p</w:t>
      </w:r>
      <w:r w:rsidR="00D6206D" w:rsidRPr="00D6206D">
        <w:rPr>
          <w:rFonts w:ascii="Times New Roman" w:eastAsia="Times New Roman" w:hAnsi="Times New Roman" w:cs="Times New Roman"/>
          <w:sz w:val="24"/>
          <w:szCs w:val="24"/>
        </w:rPr>
        <w:t>ārskatīt profesionālās izglītības</w:t>
      </w:r>
      <w:r w:rsidR="00D6206D">
        <w:rPr>
          <w:rFonts w:ascii="Times New Roman" w:eastAsia="Times New Roman" w:hAnsi="Times New Roman" w:cs="Times New Roman"/>
          <w:sz w:val="24"/>
          <w:szCs w:val="24"/>
        </w:rPr>
        <w:t xml:space="preserve"> programmu finansēšanas kārtību</w:t>
      </w:r>
      <w:r w:rsidRPr="008A239A">
        <w:rPr>
          <w:rFonts w:ascii="Times New Roman" w:eastAsia="Times New Roman" w:hAnsi="Times New Roman" w:cs="Times New Roman"/>
          <w:sz w:val="24"/>
          <w:szCs w:val="24"/>
        </w:rPr>
        <w:t>.</w:t>
      </w:r>
      <w:r w:rsidR="00D6206D">
        <w:rPr>
          <w:rFonts w:ascii="Times New Roman" w:eastAsia="Times New Roman" w:hAnsi="Times New Roman" w:cs="Times New Roman"/>
          <w:sz w:val="24"/>
          <w:szCs w:val="24"/>
        </w:rPr>
        <w:t xml:space="preserve"> </w:t>
      </w:r>
    </w:p>
    <w:p w14:paraId="36C60C2D" w14:textId="4A5BF0B3" w:rsidR="00AC6A47" w:rsidRDefault="00AC6A47" w:rsidP="004E229C">
      <w:pPr>
        <w:spacing w:after="120" w:line="276" w:lineRule="auto"/>
        <w:jc w:val="both"/>
        <w:rPr>
          <w:rFonts w:ascii="Times New Roman" w:eastAsia="Times New Roman" w:hAnsi="Times New Roman" w:cs="Times New Roman"/>
          <w:sz w:val="24"/>
          <w:szCs w:val="24"/>
        </w:rPr>
      </w:pPr>
      <w:r w:rsidRPr="008A239A">
        <w:rPr>
          <w:rFonts w:ascii="Times New Roman" w:eastAsia="Times New Roman" w:hAnsi="Times New Roman" w:cs="Times New Roman"/>
          <w:sz w:val="24"/>
          <w:szCs w:val="24"/>
        </w:rPr>
        <w:t>Saskaņā ar Ministru kabineta un Lat</w:t>
      </w:r>
      <w:r>
        <w:rPr>
          <w:rFonts w:ascii="Times New Roman" w:eastAsia="Times New Roman" w:hAnsi="Times New Roman" w:cs="Times New Roman"/>
          <w:sz w:val="24"/>
          <w:szCs w:val="24"/>
        </w:rPr>
        <w:t>vijas Pašvaldību savienības 2019</w:t>
      </w:r>
      <w:r w:rsidRPr="008A239A">
        <w:rPr>
          <w:rFonts w:ascii="Times New Roman" w:eastAsia="Times New Roman" w:hAnsi="Times New Roman" w:cs="Times New Roman"/>
          <w:sz w:val="24"/>
          <w:szCs w:val="24"/>
        </w:rPr>
        <w:t>.gada vienošanās un domstarpību protokola (turpmāk - vienošanās un domstarpību protokols) II daļas 5.sadaļā noteikto</w:t>
      </w:r>
      <w:r>
        <w:rPr>
          <w:rFonts w:ascii="Times New Roman" w:eastAsia="Times New Roman" w:hAnsi="Times New Roman" w:cs="Times New Roman"/>
          <w:sz w:val="24"/>
          <w:szCs w:val="24"/>
        </w:rPr>
        <w:t>,</w:t>
      </w:r>
      <w:r w:rsidRPr="008A23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IZM līdz 2020</w:t>
      </w:r>
      <w:r w:rsidRPr="008A239A">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3</w:t>
      </w:r>
      <w:r w:rsidRPr="008A239A">
        <w:rPr>
          <w:rFonts w:ascii="Times New Roman" w:eastAsia="Times New Roman" w:hAnsi="Times New Roman" w:cs="Times New Roman"/>
          <w:sz w:val="24"/>
          <w:szCs w:val="24"/>
        </w:rPr>
        <w:t>1.</w:t>
      </w:r>
      <w:r>
        <w:rPr>
          <w:rFonts w:ascii="Times New Roman" w:eastAsia="Times New Roman" w:hAnsi="Times New Roman" w:cs="Times New Roman"/>
          <w:sz w:val="24"/>
          <w:szCs w:val="24"/>
        </w:rPr>
        <w:t>martam jāizstrādā konceptuālais ziņojums</w:t>
      </w:r>
      <w:r w:rsidRPr="00AC6A47">
        <w:rPr>
          <w:rFonts w:ascii="Times New Roman" w:eastAsia="Times New Roman" w:hAnsi="Times New Roman" w:cs="Times New Roman"/>
          <w:sz w:val="24"/>
          <w:szCs w:val="24"/>
        </w:rPr>
        <w:t xml:space="preserve"> par profesionālās izglītības programmu finansēšanu un </w:t>
      </w:r>
      <w:r>
        <w:rPr>
          <w:rFonts w:ascii="Times New Roman" w:eastAsia="Times New Roman" w:hAnsi="Times New Roman" w:cs="Times New Roman"/>
          <w:sz w:val="24"/>
          <w:szCs w:val="24"/>
        </w:rPr>
        <w:t xml:space="preserve">jāiesniedz izskatīšanai Ministru kabinetā (turpmāk </w:t>
      </w:r>
      <w:r w:rsidR="00D6206D" w:rsidRPr="008A23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MK).</w:t>
      </w:r>
    </w:p>
    <w:p w14:paraId="6CFBB9AF" w14:textId="0E562DF4" w:rsidR="00203149" w:rsidRPr="00203149" w:rsidRDefault="00203149" w:rsidP="004E229C">
      <w:pPr>
        <w:spacing w:after="120" w:line="276" w:lineRule="auto"/>
        <w:jc w:val="both"/>
        <w:rPr>
          <w:rFonts w:ascii="Times New Roman" w:eastAsia="Times New Roman" w:hAnsi="Times New Roman" w:cs="Times New Roman"/>
          <w:sz w:val="24"/>
          <w:szCs w:val="24"/>
        </w:rPr>
      </w:pPr>
      <w:r w:rsidRPr="00203149">
        <w:rPr>
          <w:rFonts w:ascii="Times New Roman" w:eastAsia="Times New Roman" w:hAnsi="Times New Roman" w:cs="Times New Roman"/>
          <w:sz w:val="24"/>
          <w:szCs w:val="24"/>
        </w:rPr>
        <w:t>Ministru kabineta 2016.gada 31.maija sēdes protokola Nr. </w:t>
      </w:r>
      <w:r>
        <w:rPr>
          <w:rFonts w:ascii="Times New Roman" w:eastAsia="Times New Roman" w:hAnsi="Times New Roman" w:cs="Times New Roman"/>
          <w:sz w:val="24"/>
          <w:szCs w:val="24"/>
        </w:rPr>
        <w:t>26 39.§ Informatīvais ziņojums “</w:t>
      </w:r>
      <w:r w:rsidRPr="00203149">
        <w:rPr>
          <w:rFonts w:ascii="Times New Roman" w:eastAsia="Times New Roman" w:hAnsi="Times New Roman" w:cs="Times New Roman"/>
          <w:sz w:val="24"/>
          <w:szCs w:val="24"/>
        </w:rPr>
        <w:t>Par valsts budžeta izdevumu pārskatīšanas 2017., 2018. un 2019.gadam rezultātiem un priekšlikumi par šo rezul</w:t>
      </w:r>
      <w:r>
        <w:rPr>
          <w:rFonts w:ascii="Times New Roman" w:eastAsia="Times New Roman" w:hAnsi="Times New Roman" w:cs="Times New Roman"/>
          <w:sz w:val="24"/>
          <w:szCs w:val="24"/>
        </w:rPr>
        <w:t>tātu izmantošanu likumprojekta “</w:t>
      </w:r>
      <w:r w:rsidRPr="00203149">
        <w:rPr>
          <w:rFonts w:ascii="Times New Roman" w:eastAsia="Times New Roman" w:hAnsi="Times New Roman" w:cs="Times New Roman"/>
          <w:sz w:val="24"/>
          <w:szCs w:val="24"/>
        </w:rPr>
        <w:t>Par vidēja termiņa bud</w:t>
      </w:r>
      <w:r>
        <w:rPr>
          <w:rFonts w:ascii="Times New Roman" w:eastAsia="Times New Roman" w:hAnsi="Times New Roman" w:cs="Times New Roman"/>
          <w:sz w:val="24"/>
          <w:szCs w:val="24"/>
        </w:rPr>
        <w:t>žeta 2017., 2018. un 2019.gadam” un likumprojekta “Par valsts budžetu 2017.gadam” izstrādes procesā”</w:t>
      </w:r>
      <w:r w:rsidRPr="00203149">
        <w:rPr>
          <w:rFonts w:ascii="Times New Roman" w:eastAsia="Times New Roman" w:hAnsi="Times New Roman" w:cs="Times New Roman"/>
          <w:sz w:val="24"/>
          <w:szCs w:val="24"/>
        </w:rPr>
        <w:t>, 6.9. apakšpunktā dotais uzdevums (Nr. 2016-UZD-1353) Izglītības un zinātnes ministrijai profesionālās izglītības reformas ietvaros sagatavot un iesniegt izskatīšanai Ministru kabinetā profesionālās izglītības programmu finansēšanas modeli, tajā skaitā finansēšanas principus citu dibinātāju profesionālajām izglītības iestādēm</w:t>
      </w:r>
      <w:r w:rsidR="00E53E68">
        <w:rPr>
          <w:rStyle w:val="FootnoteReference"/>
          <w:rFonts w:ascii="Times New Roman" w:eastAsia="Times New Roman" w:hAnsi="Times New Roman" w:cs="Times New Roman"/>
          <w:sz w:val="24"/>
          <w:szCs w:val="24"/>
        </w:rPr>
        <w:footnoteReference w:id="1"/>
      </w:r>
      <w:r w:rsidRPr="00203149">
        <w:rPr>
          <w:rFonts w:ascii="Times New Roman" w:eastAsia="Times New Roman" w:hAnsi="Times New Roman" w:cs="Times New Roman"/>
          <w:sz w:val="24"/>
          <w:szCs w:val="24"/>
        </w:rPr>
        <w:t>.</w:t>
      </w:r>
    </w:p>
    <w:p w14:paraId="4B62916E" w14:textId="1B2DA776" w:rsidR="00203149" w:rsidRPr="008A239A" w:rsidRDefault="00203149" w:rsidP="004E229C">
      <w:pPr>
        <w:spacing w:after="120" w:line="276" w:lineRule="auto"/>
        <w:jc w:val="both"/>
        <w:rPr>
          <w:rFonts w:ascii="Times New Roman" w:eastAsia="Times New Roman" w:hAnsi="Times New Roman" w:cs="Times New Roman"/>
          <w:sz w:val="24"/>
          <w:szCs w:val="24"/>
        </w:rPr>
      </w:pPr>
      <w:r w:rsidRPr="00203149">
        <w:rPr>
          <w:rFonts w:ascii="Times New Roman" w:eastAsia="Times New Roman" w:hAnsi="Times New Roman" w:cs="Times New Roman"/>
          <w:sz w:val="24"/>
          <w:szCs w:val="24"/>
        </w:rPr>
        <w:t>Ministru kabineta 2017.gada 29.augusta sēdes protokola Nr. 42 45</w:t>
      </w:r>
      <w:r>
        <w:rPr>
          <w:rFonts w:ascii="Times New Roman" w:eastAsia="Times New Roman" w:hAnsi="Times New Roman" w:cs="Times New Roman"/>
          <w:sz w:val="24"/>
          <w:szCs w:val="24"/>
        </w:rPr>
        <w:t>.§ Informatīvais ziņojums “</w:t>
      </w:r>
      <w:r w:rsidRPr="00203149">
        <w:rPr>
          <w:rFonts w:ascii="Times New Roman" w:eastAsia="Times New Roman" w:hAnsi="Times New Roman" w:cs="Times New Roman"/>
          <w:sz w:val="24"/>
          <w:szCs w:val="24"/>
        </w:rPr>
        <w:t>Par darba grupas, kas izveidota ar Ministru prezidenta 2017.</w:t>
      </w:r>
      <w:r>
        <w:rPr>
          <w:rFonts w:ascii="Times New Roman" w:eastAsia="Times New Roman" w:hAnsi="Times New Roman" w:cs="Times New Roman"/>
          <w:sz w:val="24"/>
          <w:szCs w:val="24"/>
        </w:rPr>
        <w:t>gada 12.aprīļa rīkojumu Nr.106 “Par darba grupu” rezultātiem”</w:t>
      </w:r>
      <w:r w:rsidRPr="00203149">
        <w:rPr>
          <w:rFonts w:ascii="Times New Roman" w:eastAsia="Times New Roman" w:hAnsi="Times New Roman" w:cs="Times New Roman"/>
          <w:sz w:val="24"/>
          <w:szCs w:val="24"/>
        </w:rPr>
        <w:t xml:space="preserve"> 4.punktā dotais uzdevums (Nr. 2017-UZD- 2375) Izglītības un zinātnes ministrijai sagatavot un iesniegt izskatīšanai Ministru kabinetā informatīvo ziņojumu par snieguma finansējuma ieviešanas iespējām un nosacījumiem valsts profesionālās izglītības iestādēs</w:t>
      </w:r>
      <w:r w:rsidR="00E53E68">
        <w:rPr>
          <w:rStyle w:val="FootnoteReference"/>
          <w:rFonts w:ascii="Times New Roman" w:eastAsia="Times New Roman" w:hAnsi="Times New Roman" w:cs="Times New Roman"/>
          <w:sz w:val="24"/>
          <w:szCs w:val="24"/>
        </w:rPr>
        <w:footnoteReference w:id="2"/>
      </w:r>
      <w:r w:rsidRPr="00203149">
        <w:rPr>
          <w:rFonts w:ascii="Times New Roman" w:eastAsia="Times New Roman" w:hAnsi="Times New Roman" w:cs="Times New Roman"/>
          <w:sz w:val="24"/>
          <w:szCs w:val="24"/>
        </w:rPr>
        <w:t xml:space="preserve">. </w:t>
      </w:r>
    </w:p>
    <w:p w14:paraId="290408D0" w14:textId="4E2A667E" w:rsidR="00013298" w:rsidRPr="00CF01AA" w:rsidRDefault="009C286F" w:rsidP="004E229C">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AC6A47" w:rsidRPr="008A239A">
        <w:rPr>
          <w:rFonts w:ascii="Times New Roman" w:eastAsia="Times New Roman" w:hAnsi="Times New Roman" w:cs="Times New Roman"/>
          <w:sz w:val="24"/>
          <w:szCs w:val="24"/>
        </w:rPr>
        <w:t xml:space="preserve">iņojumā </w:t>
      </w:r>
      <w:r w:rsidR="00D6206D">
        <w:rPr>
          <w:rFonts w:ascii="Times New Roman" w:eastAsia="Times New Roman" w:hAnsi="Times New Roman" w:cs="Times New Roman"/>
          <w:sz w:val="24"/>
          <w:szCs w:val="24"/>
        </w:rPr>
        <w:t>izvērtēta esošā</w:t>
      </w:r>
      <w:r w:rsidR="00AC6A47" w:rsidRPr="008A239A">
        <w:rPr>
          <w:rFonts w:ascii="Times New Roman" w:eastAsia="Times New Roman" w:hAnsi="Times New Roman" w:cs="Times New Roman"/>
          <w:sz w:val="24"/>
          <w:szCs w:val="24"/>
        </w:rPr>
        <w:t xml:space="preserve"> </w:t>
      </w:r>
      <w:r w:rsidR="00D6206D">
        <w:rPr>
          <w:rFonts w:ascii="Times New Roman" w:eastAsia="Times New Roman" w:hAnsi="Times New Roman" w:cs="Times New Roman"/>
          <w:sz w:val="24"/>
          <w:szCs w:val="24"/>
        </w:rPr>
        <w:t>pro</w:t>
      </w:r>
      <w:r w:rsidR="002F7905">
        <w:rPr>
          <w:rFonts w:ascii="Times New Roman" w:eastAsia="Times New Roman" w:hAnsi="Times New Roman" w:cs="Times New Roman"/>
          <w:sz w:val="24"/>
          <w:szCs w:val="24"/>
        </w:rPr>
        <w:t xml:space="preserve">fesionālās izglītības programmu </w:t>
      </w:r>
      <w:r w:rsidR="00D6206D">
        <w:rPr>
          <w:rFonts w:ascii="Times New Roman" w:eastAsia="Times New Roman" w:hAnsi="Times New Roman" w:cs="Times New Roman"/>
          <w:sz w:val="24"/>
          <w:szCs w:val="24"/>
        </w:rPr>
        <w:t>īstenošanas un finansēšanas kārtība, ņ</w:t>
      </w:r>
      <w:r w:rsidR="00D6206D" w:rsidRPr="00A25DF6">
        <w:rPr>
          <w:rFonts w:ascii="Times New Roman" w:eastAsia="Times New Roman" w:hAnsi="Times New Roman" w:cs="Times New Roman"/>
          <w:sz w:val="24"/>
          <w:szCs w:val="24"/>
        </w:rPr>
        <w:t>emot vērā</w:t>
      </w:r>
      <w:r w:rsidR="00D6206D" w:rsidRPr="00D6206D">
        <w:rPr>
          <w:rFonts w:ascii="Times New Roman" w:eastAsia="Times New Roman" w:hAnsi="Times New Roman" w:cs="Times New Roman"/>
          <w:sz w:val="24"/>
          <w:szCs w:val="24"/>
        </w:rPr>
        <w:t xml:space="preserve"> </w:t>
      </w:r>
      <w:r w:rsidR="00D6206D" w:rsidRPr="00A25DF6">
        <w:rPr>
          <w:rFonts w:ascii="Times New Roman" w:eastAsia="Times New Roman" w:hAnsi="Times New Roman" w:cs="Times New Roman"/>
          <w:sz w:val="24"/>
          <w:szCs w:val="24"/>
        </w:rPr>
        <w:t xml:space="preserve">profesionālās izglītības </w:t>
      </w:r>
      <w:r w:rsidR="00EC4A25">
        <w:rPr>
          <w:rFonts w:ascii="Times New Roman" w:eastAsia="Times New Roman" w:hAnsi="Times New Roman" w:cs="Times New Roman"/>
          <w:sz w:val="24"/>
          <w:szCs w:val="24"/>
        </w:rPr>
        <w:t xml:space="preserve">specifiku un to, </w:t>
      </w:r>
      <w:r w:rsidR="00D6206D">
        <w:rPr>
          <w:rFonts w:ascii="Times New Roman" w:eastAsia="Times New Roman" w:hAnsi="Times New Roman" w:cs="Times New Roman"/>
          <w:sz w:val="24"/>
          <w:szCs w:val="24"/>
        </w:rPr>
        <w:t xml:space="preserve">ka profesionālās </w:t>
      </w:r>
      <w:r w:rsidR="00D6206D" w:rsidRPr="00A25DF6">
        <w:rPr>
          <w:rFonts w:ascii="Times New Roman" w:eastAsia="Times New Roman" w:hAnsi="Times New Roman" w:cs="Times New Roman"/>
          <w:sz w:val="24"/>
          <w:szCs w:val="24"/>
        </w:rPr>
        <w:t>vidējās izgl</w:t>
      </w:r>
      <w:r w:rsidR="00D6206D">
        <w:rPr>
          <w:rFonts w:ascii="Times New Roman" w:eastAsia="Times New Roman" w:hAnsi="Times New Roman" w:cs="Times New Roman"/>
          <w:sz w:val="24"/>
          <w:szCs w:val="24"/>
        </w:rPr>
        <w:t>ītības nodrošināšanā iesaistītas vairākas institūcijas.</w:t>
      </w:r>
      <w:r>
        <w:rPr>
          <w:rFonts w:ascii="Times New Roman" w:eastAsia="Times New Roman" w:hAnsi="Times New Roman" w:cs="Times New Roman"/>
          <w:sz w:val="24"/>
          <w:szCs w:val="24"/>
        </w:rPr>
        <w:t xml:space="preserve"> </w:t>
      </w:r>
      <w:r w:rsidR="00EC4A25">
        <w:rPr>
          <w:rFonts w:ascii="Times New Roman" w:eastAsia="Times New Roman" w:hAnsi="Times New Roman" w:cs="Times New Roman"/>
          <w:sz w:val="24"/>
          <w:szCs w:val="24"/>
        </w:rPr>
        <w:t>Ziņojumā sniegts ieskats i</w:t>
      </w:r>
      <w:r w:rsidR="00EC4A25" w:rsidRPr="00EC4A25">
        <w:rPr>
          <w:rFonts w:ascii="Times New Roman" w:eastAsia="Times New Roman" w:hAnsi="Times New Roman" w:cs="Times New Roman"/>
          <w:sz w:val="24"/>
          <w:szCs w:val="24"/>
        </w:rPr>
        <w:t>zglītojamo uzņemšanas plānošana</w:t>
      </w:r>
      <w:r w:rsidR="00EC4A25">
        <w:rPr>
          <w:rFonts w:ascii="Times New Roman" w:eastAsia="Times New Roman" w:hAnsi="Times New Roman" w:cs="Times New Roman"/>
          <w:sz w:val="24"/>
          <w:szCs w:val="24"/>
        </w:rPr>
        <w:t>s procesā</w:t>
      </w:r>
      <w:r w:rsidR="00EC4A25" w:rsidRPr="00EC4A25">
        <w:rPr>
          <w:rFonts w:ascii="Times New Roman" w:eastAsia="Times New Roman" w:hAnsi="Times New Roman" w:cs="Times New Roman"/>
          <w:sz w:val="24"/>
          <w:szCs w:val="24"/>
        </w:rPr>
        <w:t xml:space="preserve"> profesionālās </w:t>
      </w:r>
      <w:r w:rsidR="002F7905">
        <w:rPr>
          <w:rFonts w:ascii="Times New Roman" w:hAnsi="Times New Roman" w:cs="Times New Roman"/>
          <w:sz w:val="24"/>
          <w:szCs w:val="24"/>
        </w:rPr>
        <w:t>izglītības programmās</w:t>
      </w:r>
      <w:r w:rsidR="00E14FD1">
        <w:rPr>
          <w:rFonts w:ascii="Times New Roman" w:hAnsi="Times New Roman" w:cs="Times New Roman"/>
          <w:sz w:val="24"/>
          <w:szCs w:val="24"/>
        </w:rPr>
        <w:t xml:space="preserve"> IZM padotības iestādēs</w:t>
      </w:r>
      <w:r w:rsidR="00EC4A25">
        <w:rPr>
          <w:rFonts w:ascii="Times New Roman" w:eastAsia="Times New Roman" w:hAnsi="Times New Roman" w:cs="Times New Roman"/>
          <w:sz w:val="24"/>
          <w:szCs w:val="24"/>
        </w:rPr>
        <w:t>, tāpat arī apskatīti principi</w:t>
      </w:r>
      <w:r w:rsidR="00EC4A25" w:rsidRPr="008A239A">
        <w:rPr>
          <w:rFonts w:ascii="Times New Roman" w:eastAsia="Times New Roman" w:hAnsi="Times New Roman" w:cs="Times New Roman"/>
          <w:sz w:val="24"/>
          <w:szCs w:val="24"/>
        </w:rPr>
        <w:t xml:space="preserve">, kas nosaka </w:t>
      </w:r>
      <w:r w:rsidR="00EC4A25">
        <w:rPr>
          <w:rFonts w:ascii="Times New Roman" w:eastAsia="Times New Roman" w:hAnsi="Times New Roman" w:cs="Times New Roman"/>
          <w:sz w:val="24"/>
          <w:szCs w:val="24"/>
        </w:rPr>
        <w:t>IZM</w:t>
      </w:r>
      <w:r w:rsidR="00EC4A25" w:rsidRPr="008A239A">
        <w:rPr>
          <w:rFonts w:ascii="Times New Roman" w:eastAsia="Times New Roman" w:hAnsi="Times New Roman" w:cs="Times New Roman"/>
          <w:sz w:val="24"/>
          <w:szCs w:val="24"/>
        </w:rPr>
        <w:t xml:space="preserve"> valsts budžeta piešķīrumu </w:t>
      </w:r>
      <w:r w:rsidR="00EC4A25" w:rsidRPr="007663FB">
        <w:rPr>
          <w:rFonts w:ascii="Times New Roman" w:hAnsi="Times New Roman" w:cs="Times New Roman"/>
          <w:sz w:val="24"/>
          <w:szCs w:val="24"/>
        </w:rPr>
        <w:t xml:space="preserve">Latvijas izglītības klasifikācijā iekļauto </w:t>
      </w:r>
      <w:r w:rsidR="00EC4A25" w:rsidRPr="008A239A">
        <w:rPr>
          <w:rFonts w:ascii="Times New Roman" w:eastAsia="Times New Roman" w:hAnsi="Times New Roman" w:cs="Times New Roman"/>
          <w:sz w:val="24"/>
          <w:szCs w:val="24"/>
        </w:rPr>
        <w:t>profesionālās pamatizglītības, arodizglītības un profesionālās vidējās</w:t>
      </w:r>
      <w:r w:rsidR="0041630A">
        <w:rPr>
          <w:rFonts w:ascii="Times New Roman" w:eastAsia="Times New Roman" w:hAnsi="Times New Roman" w:cs="Times New Roman"/>
          <w:sz w:val="24"/>
          <w:szCs w:val="24"/>
        </w:rPr>
        <w:t xml:space="preserve"> izglītības programmu (turpmāk </w:t>
      </w:r>
      <w:r w:rsidR="00EC4A25" w:rsidRPr="008A239A">
        <w:rPr>
          <w:rFonts w:ascii="Times New Roman" w:eastAsia="Times New Roman" w:hAnsi="Times New Roman" w:cs="Times New Roman"/>
          <w:sz w:val="24"/>
          <w:szCs w:val="24"/>
        </w:rPr>
        <w:t>–</w:t>
      </w:r>
      <w:r w:rsidR="00EC4A25">
        <w:rPr>
          <w:rFonts w:ascii="Times New Roman" w:eastAsia="Times New Roman" w:hAnsi="Times New Roman" w:cs="Times New Roman"/>
          <w:sz w:val="24"/>
          <w:szCs w:val="24"/>
        </w:rPr>
        <w:t xml:space="preserve"> </w:t>
      </w:r>
      <w:r w:rsidR="00EC4A25" w:rsidRPr="008A239A">
        <w:rPr>
          <w:rFonts w:ascii="Times New Roman" w:eastAsia="Times New Roman" w:hAnsi="Times New Roman" w:cs="Times New Roman"/>
          <w:sz w:val="24"/>
          <w:szCs w:val="24"/>
        </w:rPr>
        <w:t>profesionālās izglītības programmas) īstenošanas finansēšanai.</w:t>
      </w:r>
      <w:r w:rsidR="00EC4A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Ziņojumā</w:t>
      </w:r>
      <w:r w:rsidR="00A77A59">
        <w:rPr>
          <w:rFonts w:ascii="Times New Roman" w:eastAsia="Times New Roman" w:hAnsi="Times New Roman" w:cs="Times New Roman"/>
          <w:sz w:val="24"/>
          <w:szCs w:val="24"/>
        </w:rPr>
        <w:t xml:space="preserve"> pamatota</w:t>
      </w:r>
      <w:r>
        <w:rPr>
          <w:rFonts w:ascii="Times New Roman" w:eastAsia="Times New Roman" w:hAnsi="Times New Roman" w:cs="Times New Roman"/>
          <w:sz w:val="24"/>
          <w:szCs w:val="24"/>
        </w:rPr>
        <w:t xml:space="preserve"> </w:t>
      </w:r>
      <w:r w:rsidR="00A77A59">
        <w:rPr>
          <w:rFonts w:ascii="Times New Roman" w:eastAsia="Times New Roman" w:hAnsi="Times New Roman" w:cs="Times New Roman"/>
          <w:sz w:val="24"/>
          <w:szCs w:val="24"/>
        </w:rPr>
        <w:t>i</w:t>
      </w:r>
      <w:r w:rsidR="00A77A59" w:rsidRPr="00A77A59">
        <w:rPr>
          <w:rFonts w:ascii="Times New Roman" w:eastAsia="Times New Roman" w:hAnsi="Times New Roman" w:cs="Times New Roman"/>
          <w:sz w:val="24"/>
          <w:szCs w:val="24"/>
        </w:rPr>
        <w:t xml:space="preserve">zmaiņu nepieciešamība profesionālās </w:t>
      </w:r>
      <w:r w:rsidR="002F7905">
        <w:rPr>
          <w:rFonts w:ascii="Times New Roman" w:hAnsi="Times New Roman" w:cs="Times New Roman"/>
          <w:sz w:val="24"/>
          <w:szCs w:val="24"/>
        </w:rPr>
        <w:t>izglītības programmu</w:t>
      </w:r>
      <w:r w:rsidR="00A77A59" w:rsidRPr="00A77A59">
        <w:rPr>
          <w:rFonts w:ascii="Times New Roman" w:eastAsia="Times New Roman" w:hAnsi="Times New Roman" w:cs="Times New Roman"/>
          <w:sz w:val="24"/>
          <w:szCs w:val="24"/>
        </w:rPr>
        <w:t xml:space="preserve"> finansēšanā</w:t>
      </w:r>
      <w:r w:rsidR="00A77A59">
        <w:rPr>
          <w:rFonts w:ascii="Times New Roman" w:eastAsia="Times New Roman" w:hAnsi="Times New Roman" w:cs="Times New Roman"/>
          <w:sz w:val="24"/>
          <w:szCs w:val="24"/>
        </w:rPr>
        <w:t xml:space="preserve">, </w:t>
      </w:r>
      <w:r w:rsidR="00A23924">
        <w:rPr>
          <w:rFonts w:ascii="Times New Roman" w:eastAsia="Times New Roman" w:hAnsi="Times New Roman" w:cs="Times New Roman"/>
          <w:sz w:val="24"/>
          <w:szCs w:val="24"/>
        </w:rPr>
        <w:t>izstrādāti</w:t>
      </w:r>
      <w:r>
        <w:rPr>
          <w:rFonts w:ascii="Times New Roman" w:eastAsia="Times New Roman" w:hAnsi="Times New Roman" w:cs="Times New Roman"/>
          <w:sz w:val="24"/>
          <w:szCs w:val="24"/>
        </w:rPr>
        <w:t xml:space="preserve"> priekšlikumi </w:t>
      </w:r>
      <w:r w:rsidR="00AC6A47" w:rsidRPr="008A239A">
        <w:rPr>
          <w:rFonts w:ascii="Times New Roman" w:eastAsia="Times New Roman" w:hAnsi="Times New Roman" w:cs="Times New Roman"/>
          <w:sz w:val="24"/>
          <w:szCs w:val="24"/>
        </w:rPr>
        <w:t xml:space="preserve">profesionālās </w:t>
      </w:r>
      <w:r w:rsidR="002F7905">
        <w:rPr>
          <w:rFonts w:ascii="Times New Roman" w:hAnsi="Times New Roman" w:cs="Times New Roman"/>
          <w:sz w:val="24"/>
          <w:szCs w:val="24"/>
        </w:rPr>
        <w:t>izglītības programmu</w:t>
      </w:r>
      <w:r w:rsidR="00AC6A47">
        <w:rPr>
          <w:rFonts w:ascii="Times New Roman" w:eastAsia="Times New Roman" w:hAnsi="Times New Roman" w:cs="Times New Roman"/>
          <w:sz w:val="24"/>
          <w:szCs w:val="24"/>
        </w:rPr>
        <w:t xml:space="preserve"> </w:t>
      </w:r>
      <w:r w:rsidR="00AC6A47" w:rsidRPr="008A239A">
        <w:rPr>
          <w:rFonts w:ascii="Times New Roman" w:eastAsia="Times New Roman" w:hAnsi="Times New Roman" w:cs="Times New Roman"/>
          <w:sz w:val="24"/>
          <w:szCs w:val="24"/>
        </w:rPr>
        <w:t>finansēšanas pilnveidei,</w:t>
      </w:r>
      <w:r w:rsidR="00A77A59">
        <w:rPr>
          <w:rFonts w:ascii="Times New Roman" w:eastAsia="Times New Roman" w:hAnsi="Times New Roman" w:cs="Times New Roman"/>
          <w:sz w:val="24"/>
          <w:szCs w:val="24"/>
        </w:rPr>
        <w:t xml:space="preserve"> kā arī </w:t>
      </w:r>
      <w:r w:rsidR="00A23924">
        <w:rPr>
          <w:rFonts w:ascii="Times New Roman" w:eastAsia="Times New Roman" w:hAnsi="Times New Roman" w:cs="Times New Roman"/>
          <w:sz w:val="24"/>
          <w:szCs w:val="24"/>
        </w:rPr>
        <w:t xml:space="preserve">sniegti ieteikumi </w:t>
      </w:r>
      <w:r w:rsidR="00A77A59">
        <w:rPr>
          <w:rFonts w:ascii="Times New Roman" w:eastAsia="Times New Roman" w:hAnsi="Times New Roman" w:cs="Times New Roman"/>
          <w:sz w:val="24"/>
          <w:szCs w:val="24"/>
        </w:rPr>
        <w:t>tā</w:t>
      </w:r>
      <w:r w:rsidR="00A23924">
        <w:rPr>
          <w:rFonts w:ascii="Times New Roman" w:eastAsia="Times New Roman" w:hAnsi="Times New Roman" w:cs="Times New Roman"/>
          <w:sz w:val="24"/>
          <w:szCs w:val="24"/>
        </w:rPr>
        <w:t>s</w:t>
      </w:r>
      <w:r w:rsidR="00A77A59">
        <w:rPr>
          <w:rFonts w:ascii="Times New Roman" w:eastAsia="Times New Roman" w:hAnsi="Times New Roman" w:cs="Times New Roman"/>
          <w:sz w:val="24"/>
          <w:szCs w:val="24"/>
        </w:rPr>
        <w:t xml:space="preserve"> turpmākajai attīstībai</w:t>
      </w:r>
      <w:r w:rsidR="00552AF0">
        <w:rPr>
          <w:rFonts w:ascii="Times New Roman" w:eastAsia="Times New Roman" w:hAnsi="Times New Roman" w:cs="Times New Roman"/>
          <w:sz w:val="24"/>
          <w:szCs w:val="24"/>
        </w:rPr>
        <w:t>. Ziņojuma 3</w:t>
      </w:r>
      <w:r w:rsidR="00013298">
        <w:rPr>
          <w:rFonts w:ascii="Times New Roman" w:eastAsia="Times New Roman" w:hAnsi="Times New Roman" w:cs="Times New Roman"/>
          <w:sz w:val="24"/>
          <w:szCs w:val="24"/>
        </w:rPr>
        <w:t xml:space="preserve">.nodaļā sniegti priekšlikumi, kuru </w:t>
      </w:r>
      <w:r w:rsidR="005C738B">
        <w:rPr>
          <w:rFonts w:ascii="Times New Roman" w:eastAsia="Times New Roman" w:hAnsi="Times New Roman" w:cs="Times New Roman"/>
          <w:sz w:val="24"/>
          <w:szCs w:val="24"/>
        </w:rPr>
        <w:t>īstenošanai ir skaidrs turpmākais</w:t>
      </w:r>
      <w:r w:rsidR="00013298">
        <w:rPr>
          <w:rFonts w:ascii="Times New Roman" w:eastAsia="Times New Roman" w:hAnsi="Times New Roman" w:cs="Times New Roman"/>
          <w:sz w:val="24"/>
          <w:szCs w:val="24"/>
        </w:rPr>
        <w:t xml:space="preserve"> rīcības plāns un apzināts pasākumu īstenošanai nepieciešamais valsts budžeta finansējums, </w:t>
      </w:r>
      <w:r w:rsidR="00BE292C">
        <w:rPr>
          <w:rFonts w:ascii="Times New Roman" w:eastAsia="Times New Roman" w:hAnsi="Times New Roman" w:cs="Times New Roman"/>
          <w:sz w:val="24"/>
          <w:szCs w:val="24"/>
        </w:rPr>
        <w:t xml:space="preserve">savukārt </w:t>
      </w:r>
      <w:r w:rsidR="00552AF0">
        <w:rPr>
          <w:rFonts w:ascii="Times New Roman" w:eastAsia="Times New Roman" w:hAnsi="Times New Roman" w:cs="Times New Roman"/>
          <w:sz w:val="24"/>
          <w:szCs w:val="24"/>
        </w:rPr>
        <w:t>4</w:t>
      </w:r>
      <w:r w:rsidR="00013298">
        <w:rPr>
          <w:rFonts w:ascii="Times New Roman" w:eastAsia="Times New Roman" w:hAnsi="Times New Roman" w:cs="Times New Roman"/>
          <w:sz w:val="24"/>
          <w:szCs w:val="24"/>
        </w:rPr>
        <w:t xml:space="preserve">.nodaļā sniegti </w:t>
      </w:r>
      <w:r w:rsidR="00A23924">
        <w:rPr>
          <w:rFonts w:ascii="Times New Roman" w:eastAsia="Times New Roman" w:hAnsi="Times New Roman" w:cs="Times New Roman"/>
          <w:sz w:val="24"/>
          <w:szCs w:val="24"/>
        </w:rPr>
        <w:t>ieteikumi</w:t>
      </w:r>
      <w:r w:rsidR="007C7C69">
        <w:rPr>
          <w:rFonts w:ascii="Times New Roman" w:eastAsia="Times New Roman" w:hAnsi="Times New Roman" w:cs="Times New Roman"/>
          <w:sz w:val="24"/>
          <w:szCs w:val="24"/>
        </w:rPr>
        <w:t xml:space="preserve"> profesionālās </w:t>
      </w:r>
      <w:r w:rsidR="007C7C69">
        <w:rPr>
          <w:rFonts w:ascii="Times New Roman" w:hAnsi="Times New Roman" w:cs="Times New Roman"/>
          <w:sz w:val="24"/>
          <w:szCs w:val="24"/>
        </w:rPr>
        <w:t>izglītības programmu</w:t>
      </w:r>
      <w:r w:rsidR="005C738B">
        <w:rPr>
          <w:rFonts w:ascii="Times New Roman" w:eastAsia="Times New Roman" w:hAnsi="Times New Roman" w:cs="Times New Roman"/>
          <w:sz w:val="24"/>
          <w:szCs w:val="24"/>
        </w:rPr>
        <w:t xml:space="preserve"> finansēšanas pilnveidei nākotnē</w:t>
      </w:r>
      <w:r w:rsidR="00013298">
        <w:rPr>
          <w:rFonts w:ascii="Times New Roman" w:eastAsia="Times New Roman" w:hAnsi="Times New Roman" w:cs="Times New Roman"/>
          <w:sz w:val="24"/>
          <w:szCs w:val="24"/>
        </w:rPr>
        <w:t>, kuru īstenošanai konkrēts rīcības plāns</w:t>
      </w:r>
      <w:r w:rsidR="00BE292C">
        <w:rPr>
          <w:rFonts w:ascii="Times New Roman" w:eastAsia="Times New Roman" w:hAnsi="Times New Roman" w:cs="Times New Roman"/>
          <w:sz w:val="24"/>
          <w:szCs w:val="24"/>
        </w:rPr>
        <w:t>,</w:t>
      </w:r>
      <w:r w:rsidR="00013298">
        <w:rPr>
          <w:rFonts w:ascii="Times New Roman" w:eastAsia="Times New Roman" w:hAnsi="Times New Roman" w:cs="Times New Roman"/>
          <w:sz w:val="24"/>
          <w:szCs w:val="24"/>
        </w:rPr>
        <w:t xml:space="preserve"> </w:t>
      </w:r>
      <w:r w:rsidR="00BE292C">
        <w:rPr>
          <w:rFonts w:ascii="Times New Roman" w:eastAsia="Times New Roman" w:hAnsi="Times New Roman" w:cs="Times New Roman"/>
          <w:sz w:val="24"/>
          <w:szCs w:val="24"/>
        </w:rPr>
        <w:t xml:space="preserve">tāpat arī plānoto pasākumu ietekmes uz valsts budžetu izvērtējums </w:t>
      </w:r>
      <w:r w:rsidR="005C738B">
        <w:rPr>
          <w:rFonts w:ascii="Times New Roman" w:eastAsia="Times New Roman" w:hAnsi="Times New Roman" w:cs="Times New Roman"/>
          <w:sz w:val="24"/>
          <w:szCs w:val="24"/>
        </w:rPr>
        <w:t xml:space="preserve">būtu </w:t>
      </w:r>
      <w:r w:rsidR="00013298">
        <w:rPr>
          <w:rFonts w:ascii="Times New Roman" w:eastAsia="Times New Roman" w:hAnsi="Times New Roman" w:cs="Times New Roman"/>
          <w:sz w:val="24"/>
          <w:szCs w:val="24"/>
        </w:rPr>
        <w:t>jāizstrādā.</w:t>
      </w:r>
    </w:p>
    <w:p w14:paraId="0ADA5FFF" w14:textId="78B7ED8F" w:rsidR="00CF01AA" w:rsidRPr="00A104FC" w:rsidRDefault="00313B2A" w:rsidP="00A510E4">
      <w:pPr>
        <w:pStyle w:val="Heading1"/>
        <w:numPr>
          <w:ilvl w:val="0"/>
          <w:numId w:val="3"/>
        </w:numPr>
        <w:spacing w:before="0" w:after="120" w:line="276" w:lineRule="auto"/>
        <w:ind w:left="714" w:hanging="357"/>
        <w:jc w:val="center"/>
        <w:rPr>
          <w:rFonts w:ascii="Times New Roman" w:eastAsia="Times New Roman" w:hAnsi="Times New Roman" w:cs="Times New Roman"/>
          <w:b/>
          <w:color w:val="000000" w:themeColor="text1"/>
          <w:sz w:val="28"/>
        </w:rPr>
      </w:pPr>
      <w:bookmarkStart w:id="2" w:name="_Toc53136176"/>
      <w:r w:rsidRPr="00A104FC">
        <w:rPr>
          <w:rFonts w:ascii="Times New Roman" w:eastAsia="Times New Roman" w:hAnsi="Times New Roman" w:cs="Times New Roman"/>
          <w:b/>
          <w:color w:val="000000" w:themeColor="text1"/>
          <w:sz w:val="28"/>
        </w:rPr>
        <w:lastRenderedPageBreak/>
        <w:t>Esošās situācijas apraksts</w:t>
      </w:r>
      <w:bookmarkEnd w:id="2"/>
    </w:p>
    <w:p w14:paraId="50A503A6" w14:textId="744B62F4" w:rsidR="00A104FC" w:rsidRPr="00A104FC" w:rsidRDefault="00A104FC" w:rsidP="00A510E4">
      <w:pPr>
        <w:pStyle w:val="Heading2"/>
        <w:numPr>
          <w:ilvl w:val="1"/>
          <w:numId w:val="3"/>
        </w:numPr>
        <w:spacing w:before="0" w:after="120" w:line="276" w:lineRule="auto"/>
        <w:ind w:left="1077"/>
        <w:jc w:val="center"/>
        <w:rPr>
          <w:rFonts w:ascii="Times New Roman" w:hAnsi="Times New Roman" w:cs="Times New Roman"/>
          <w:b/>
          <w:color w:val="000000" w:themeColor="text1"/>
          <w:sz w:val="24"/>
          <w:szCs w:val="24"/>
        </w:rPr>
      </w:pPr>
      <w:bookmarkStart w:id="3" w:name="_Toc53136177"/>
      <w:r w:rsidRPr="00A104FC">
        <w:rPr>
          <w:rFonts w:ascii="Times New Roman" w:hAnsi="Times New Roman" w:cs="Times New Roman"/>
          <w:b/>
          <w:color w:val="000000" w:themeColor="text1"/>
          <w:sz w:val="24"/>
          <w:szCs w:val="24"/>
        </w:rPr>
        <w:t>Profesionālās izglītības programmu īstenošana un finansēšana</w:t>
      </w:r>
      <w:bookmarkEnd w:id="3"/>
    </w:p>
    <w:p w14:paraId="0C294BC4" w14:textId="1E4CE8ED" w:rsidR="00DC27AA" w:rsidRDefault="00CF01AA" w:rsidP="004E229C">
      <w:pPr>
        <w:spacing w:after="120" w:line="276" w:lineRule="auto"/>
        <w:jc w:val="both"/>
        <w:rPr>
          <w:rFonts w:ascii="Times New Roman" w:eastAsia="Times New Roman" w:hAnsi="Times New Roman" w:cs="Times New Roman"/>
          <w:sz w:val="24"/>
          <w:szCs w:val="24"/>
        </w:rPr>
      </w:pPr>
      <w:r w:rsidRPr="006117EB">
        <w:rPr>
          <w:rFonts w:ascii="Times New Roman" w:eastAsia="Times New Roman" w:hAnsi="Times New Roman" w:cs="Times New Roman"/>
          <w:sz w:val="24"/>
          <w:szCs w:val="24"/>
        </w:rPr>
        <w:t>2019./2020.mācību gadā profesi</w:t>
      </w:r>
      <w:r w:rsidR="00DC27AA">
        <w:rPr>
          <w:rFonts w:ascii="Times New Roman" w:eastAsia="Times New Roman" w:hAnsi="Times New Roman" w:cs="Times New Roman"/>
          <w:sz w:val="24"/>
          <w:szCs w:val="24"/>
        </w:rPr>
        <w:t xml:space="preserve">onālo izglītību valstī īstenoja </w:t>
      </w:r>
      <w:r w:rsidR="00641F9C">
        <w:rPr>
          <w:rFonts w:ascii="Times New Roman" w:eastAsia="Times New Roman" w:hAnsi="Times New Roman" w:cs="Times New Roman"/>
          <w:sz w:val="24"/>
          <w:szCs w:val="24"/>
        </w:rPr>
        <w:t xml:space="preserve">58 izglītības iestādes, t.sk. </w:t>
      </w:r>
      <w:r w:rsidR="00DC27AA">
        <w:rPr>
          <w:rFonts w:ascii="Times New Roman" w:eastAsia="Times New Roman" w:hAnsi="Times New Roman" w:cs="Times New Roman"/>
          <w:sz w:val="24"/>
          <w:szCs w:val="24"/>
        </w:rPr>
        <w:t>46</w:t>
      </w:r>
      <w:r w:rsidRPr="006117EB">
        <w:rPr>
          <w:rFonts w:ascii="Times New Roman" w:eastAsia="Times New Roman" w:hAnsi="Times New Roman" w:cs="Times New Roman"/>
          <w:sz w:val="24"/>
          <w:szCs w:val="24"/>
        </w:rPr>
        <w:t xml:space="preserve"> profesionālās pamata un vidēj</w:t>
      </w:r>
      <w:r w:rsidR="00854214">
        <w:rPr>
          <w:rFonts w:ascii="Times New Roman" w:eastAsia="Times New Roman" w:hAnsi="Times New Roman" w:cs="Times New Roman"/>
          <w:sz w:val="24"/>
          <w:szCs w:val="24"/>
        </w:rPr>
        <w:t>ās izglītības iestādes (</w:t>
      </w:r>
      <w:r w:rsidR="00DC27AA">
        <w:rPr>
          <w:rFonts w:ascii="Times New Roman" w:eastAsia="Times New Roman" w:hAnsi="Times New Roman" w:cs="Times New Roman"/>
          <w:sz w:val="24"/>
          <w:szCs w:val="24"/>
        </w:rPr>
        <w:t>21</w:t>
      </w:r>
      <w:r w:rsidRPr="006117EB">
        <w:rPr>
          <w:rFonts w:ascii="Times New Roman" w:eastAsia="Times New Roman" w:hAnsi="Times New Roman" w:cs="Times New Roman"/>
          <w:sz w:val="24"/>
          <w:szCs w:val="24"/>
        </w:rPr>
        <w:t xml:space="preserve"> profesionālās vidējās izglītības iestāde, 22 profesionālās izglītības kompetences centri, </w:t>
      </w:r>
      <w:r w:rsidR="0041630A">
        <w:rPr>
          <w:rFonts w:ascii="Times New Roman" w:eastAsia="Times New Roman" w:hAnsi="Times New Roman" w:cs="Times New Roman"/>
          <w:sz w:val="24"/>
          <w:szCs w:val="24"/>
        </w:rPr>
        <w:t>viena</w:t>
      </w:r>
      <w:r w:rsidR="00854214">
        <w:rPr>
          <w:rFonts w:ascii="Times New Roman" w:eastAsia="Times New Roman" w:hAnsi="Times New Roman" w:cs="Times New Roman"/>
          <w:sz w:val="24"/>
          <w:szCs w:val="24"/>
        </w:rPr>
        <w:t xml:space="preserve"> arodizglītības iestāde un </w:t>
      </w:r>
      <w:r w:rsidR="0041630A">
        <w:rPr>
          <w:rFonts w:ascii="Times New Roman" w:eastAsia="Times New Roman" w:hAnsi="Times New Roman" w:cs="Times New Roman"/>
          <w:sz w:val="24"/>
          <w:szCs w:val="24"/>
        </w:rPr>
        <w:t>divas</w:t>
      </w:r>
      <w:r w:rsidR="00854214">
        <w:rPr>
          <w:rFonts w:ascii="Times New Roman" w:eastAsia="Times New Roman" w:hAnsi="Times New Roman" w:cs="Times New Roman"/>
          <w:sz w:val="24"/>
          <w:szCs w:val="24"/>
        </w:rPr>
        <w:t xml:space="preserve"> vispārējās izglītības iestādes)</w:t>
      </w:r>
      <w:r w:rsidRPr="006117EB">
        <w:rPr>
          <w:rFonts w:ascii="Times New Roman" w:eastAsia="Times New Roman" w:hAnsi="Times New Roman" w:cs="Times New Roman"/>
          <w:sz w:val="24"/>
          <w:szCs w:val="24"/>
        </w:rPr>
        <w:t>.</w:t>
      </w:r>
      <w:r w:rsidR="00DC27AA">
        <w:rPr>
          <w:rFonts w:ascii="Times New Roman" w:eastAsia="Times New Roman" w:hAnsi="Times New Roman" w:cs="Times New Roman"/>
          <w:sz w:val="24"/>
          <w:szCs w:val="24"/>
        </w:rPr>
        <w:t xml:space="preserve"> </w:t>
      </w:r>
      <w:r w:rsidR="00DC27AA" w:rsidRPr="004449D7">
        <w:rPr>
          <w:rFonts w:ascii="Times New Roman" w:eastAsia="Times New Roman" w:hAnsi="Times New Roman" w:cs="Times New Roman"/>
          <w:sz w:val="24"/>
          <w:szCs w:val="24"/>
        </w:rPr>
        <w:t xml:space="preserve">Iespēja apgūt profesionālās </w:t>
      </w:r>
      <w:r w:rsidR="00DC27AA">
        <w:rPr>
          <w:rFonts w:ascii="Times New Roman" w:hAnsi="Times New Roman" w:cs="Times New Roman"/>
          <w:sz w:val="24"/>
          <w:szCs w:val="24"/>
        </w:rPr>
        <w:t>izglītības programmas</w:t>
      </w:r>
      <w:r w:rsidR="00DC27AA" w:rsidRPr="004449D7">
        <w:rPr>
          <w:rFonts w:ascii="Times New Roman" w:eastAsia="Times New Roman" w:hAnsi="Times New Roman" w:cs="Times New Roman"/>
          <w:sz w:val="24"/>
          <w:szCs w:val="24"/>
        </w:rPr>
        <w:t xml:space="preserve"> tiek piedāvāta arī 11 koledžās (izglītības iestādes, kas īsteno pirmā līmeņa profesionālās augstākās </w:t>
      </w:r>
      <w:r w:rsidR="00DC27AA">
        <w:rPr>
          <w:rFonts w:ascii="Times New Roman" w:hAnsi="Times New Roman" w:cs="Times New Roman"/>
          <w:sz w:val="24"/>
          <w:szCs w:val="24"/>
        </w:rPr>
        <w:t>izglītības programmas</w:t>
      </w:r>
      <w:r w:rsidR="00DC27AA" w:rsidRPr="004449D7">
        <w:rPr>
          <w:rFonts w:ascii="Times New Roman" w:eastAsia="Times New Roman" w:hAnsi="Times New Roman" w:cs="Times New Roman"/>
          <w:sz w:val="24"/>
          <w:szCs w:val="24"/>
        </w:rPr>
        <w:t xml:space="preserve">), kas atrodas </w:t>
      </w:r>
      <w:r w:rsidR="00DC27AA">
        <w:rPr>
          <w:rFonts w:ascii="Times New Roman" w:eastAsia="Times New Roman" w:hAnsi="Times New Roman" w:cs="Times New Roman"/>
          <w:sz w:val="24"/>
          <w:szCs w:val="24"/>
        </w:rPr>
        <w:t xml:space="preserve">IZM, Veselības ministrijas, Iekšlietu ministrijas, kā </w:t>
      </w:r>
      <w:r w:rsidR="00DC27AA" w:rsidRPr="00531C3D">
        <w:rPr>
          <w:rFonts w:ascii="Times New Roman" w:eastAsia="Times New Roman" w:hAnsi="Times New Roman" w:cs="Times New Roman"/>
          <w:sz w:val="24"/>
          <w:szCs w:val="24"/>
        </w:rPr>
        <w:t xml:space="preserve">arī </w:t>
      </w:r>
      <w:r w:rsidR="00DC27AA">
        <w:rPr>
          <w:rFonts w:ascii="Times New Roman" w:eastAsia="Times New Roman" w:hAnsi="Times New Roman" w:cs="Times New Roman"/>
          <w:sz w:val="24"/>
          <w:szCs w:val="24"/>
        </w:rPr>
        <w:t xml:space="preserve">augstskolu </w:t>
      </w:r>
      <w:r w:rsidR="00DC27AA" w:rsidRPr="00531C3D">
        <w:rPr>
          <w:rFonts w:ascii="Times New Roman" w:eastAsia="Times New Roman" w:hAnsi="Times New Roman" w:cs="Times New Roman"/>
          <w:sz w:val="24"/>
          <w:szCs w:val="24"/>
        </w:rPr>
        <w:t>padotībā</w:t>
      </w:r>
      <w:r w:rsidR="00DC27AA">
        <w:rPr>
          <w:rFonts w:ascii="Times New Roman" w:eastAsia="Times New Roman" w:hAnsi="Times New Roman" w:cs="Times New Roman"/>
          <w:sz w:val="24"/>
          <w:szCs w:val="24"/>
        </w:rPr>
        <w:t xml:space="preserve">. Profesionālās izglītības programmas iespējams </w:t>
      </w:r>
      <w:r w:rsidR="00DC27AA" w:rsidRPr="008E4ECE">
        <w:rPr>
          <w:rFonts w:ascii="Times New Roman" w:eastAsia="Times New Roman" w:hAnsi="Times New Roman" w:cs="Times New Roman"/>
          <w:sz w:val="24"/>
          <w:szCs w:val="24"/>
        </w:rPr>
        <w:t>apgūt arī Latvijas Jūras akadēmijas Jūrskolā, kas ir juridiskas personas dibināta izglītības iestādes struktūrvienība.</w:t>
      </w:r>
    </w:p>
    <w:p w14:paraId="3F2F8019" w14:textId="1815CB8B" w:rsidR="00CF01AA" w:rsidRPr="0085398B" w:rsidRDefault="00CF01AA" w:rsidP="004E229C">
      <w:pPr>
        <w:spacing w:after="120" w:line="276" w:lineRule="auto"/>
        <w:jc w:val="both"/>
        <w:rPr>
          <w:rFonts w:ascii="Times New Roman" w:eastAsia="Times New Roman" w:hAnsi="Times New Roman" w:cs="Times New Roman"/>
          <w:sz w:val="24"/>
          <w:szCs w:val="24"/>
        </w:rPr>
      </w:pPr>
      <w:r w:rsidRPr="004449D7">
        <w:rPr>
          <w:rFonts w:ascii="Times New Roman" w:eastAsia="Times New Roman" w:hAnsi="Times New Roman" w:cs="Times New Roman"/>
          <w:sz w:val="24"/>
          <w:szCs w:val="24"/>
        </w:rPr>
        <w:t xml:space="preserve">Profesionālās izglītības iestādes var iedalīt pēc to dibinātāja, valsts tiešās pārvaldes iestāžu padotībā darbojas </w:t>
      </w:r>
      <w:r w:rsidR="001A540C">
        <w:rPr>
          <w:rFonts w:ascii="Times New Roman" w:eastAsia="Times New Roman" w:hAnsi="Times New Roman" w:cs="Times New Roman"/>
          <w:sz w:val="24"/>
          <w:szCs w:val="24"/>
        </w:rPr>
        <w:t>33</w:t>
      </w:r>
      <w:r w:rsidRPr="001A540C">
        <w:rPr>
          <w:rFonts w:ascii="Times New Roman" w:eastAsia="Times New Roman" w:hAnsi="Times New Roman" w:cs="Times New Roman"/>
          <w:sz w:val="24"/>
          <w:szCs w:val="24"/>
        </w:rPr>
        <w:t xml:space="preserve"> p</w:t>
      </w:r>
      <w:r w:rsidRPr="004449D7">
        <w:rPr>
          <w:rFonts w:ascii="Times New Roman" w:eastAsia="Times New Roman" w:hAnsi="Times New Roman" w:cs="Times New Roman"/>
          <w:sz w:val="24"/>
          <w:szCs w:val="24"/>
        </w:rPr>
        <w:t xml:space="preserve">rofesionālās izglītības iestādes (t.sk. </w:t>
      </w:r>
      <w:r>
        <w:rPr>
          <w:rFonts w:ascii="Times New Roman" w:eastAsia="Times New Roman" w:hAnsi="Times New Roman" w:cs="Times New Roman"/>
          <w:sz w:val="24"/>
          <w:szCs w:val="24"/>
        </w:rPr>
        <w:t>IZM</w:t>
      </w:r>
      <w:r w:rsidRPr="004449D7">
        <w:rPr>
          <w:rFonts w:ascii="Times New Roman" w:eastAsia="Times New Roman" w:hAnsi="Times New Roman" w:cs="Times New Roman"/>
          <w:sz w:val="24"/>
          <w:szCs w:val="24"/>
        </w:rPr>
        <w:t xml:space="preserve"> </w:t>
      </w:r>
      <w:r w:rsidR="006F6AC8">
        <w:rPr>
          <w:rFonts w:ascii="Times New Roman" w:eastAsia="Times New Roman" w:hAnsi="Times New Roman" w:cs="Times New Roman"/>
          <w:sz w:val="24"/>
          <w:szCs w:val="24"/>
        </w:rPr>
        <w:t>–</w:t>
      </w:r>
      <w:r w:rsidRPr="004449D7">
        <w:rPr>
          <w:rFonts w:ascii="Times New Roman" w:eastAsia="Times New Roman" w:hAnsi="Times New Roman" w:cs="Times New Roman"/>
          <w:sz w:val="24"/>
          <w:szCs w:val="24"/>
        </w:rPr>
        <w:t xml:space="preserve"> 2</w:t>
      </w:r>
      <w:r w:rsidR="00641F9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Kultūras ministrijas – 10, </w:t>
      </w:r>
      <w:r w:rsidRPr="004449D7">
        <w:rPr>
          <w:rFonts w:ascii="Times New Roman" w:eastAsia="Times New Roman" w:hAnsi="Times New Roman" w:cs="Times New Roman"/>
          <w:sz w:val="24"/>
          <w:szCs w:val="24"/>
        </w:rPr>
        <w:t xml:space="preserve">Labklājības ministrijas </w:t>
      </w:r>
      <w:r w:rsidR="0041630A">
        <w:rPr>
          <w:rFonts w:ascii="Times New Roman" w:eastAsia="Times New Roman" w:hAnsi="Times New Roman" w:cs="Times New Roman"/>
          <w:sz w:val="24"/>
          <w:szCs w:val="24"/>
        </w:rPr>
        <w:t>– viena</w:t>
      </w:r>
      <w:r>
        <w:rPr>
          <w:rFonts w:ascii="Times New Roman" w:eastAsia="Times New Roman" w:hAnsi="Times New Roman" w:cs="Times New Roman"/>
          <w:sz w:val="24"/>
          <w:szCs w:val="24"/>
        </w:rPr>
        <w:t xml:space="preserve"> un</w:t>
      </w:r>
      <w:r w:rsidRPr="00234C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Zemkopības ministrijas </w:t>
      </w:r>
      <w:r w:rsidRPr="004449D7">
        <w:rPr>
          <w:rFonts w:ascii="Times New Roman" w:eastAsia="Times New Roman" w:hAnsi="Times New Roman" w:cs="Times New Roman"/>
          <w:sz w:val="24"/>
          <w:szCs w:val="24"/>
        </w:rPr>
        <w:t xml:space="preserve">padotībā </w:t>
      </w:r>
      <w:r w:rsidR="0041630A">
        <w:rPr>
          <w:rFonts w:ascii="Times New Roman" w:eastAsia="Times New Roman" w:hAnsi="Times New Roman" w:cs="Times New Roman"/>
          <w:sz w:val="24"/>
          <w:szCs w:val="24"/>
        </w:rPr>
        <w:t>– viena</w:t>
      </w:r>
      <w:r>
        <w:rPr>
          <w:rFonts w:ascii="Times New Roman" w:eastAsia="Times New Roman" w:hAnsi="Times New Roman" w:cs="Times New Roman"/>
          <w:sz w:val="24"/>
          <w:szCs w:val="24"/>
        </w:rPr>
        <w:t xml:space="preserve"> </w:t>
      </w:r>
      <w:r w:rsidRPr="004449D7">
        <w:rPr>
          <w:rFonts w:ascii="Times New Roman" w:eastAsia="Times New Roman" w:hAnsi="Times New Roman" w:cs="Times New Roman"/>
          <w:sz w:val="24"/>
          <w:szCs w:val="24"/>
        </w:rPr>
        <w:t xml:space="preserve">izglītības iestāde). Vienlaikus valstī profesionālo izglītību nodrošina arī </w:t>
      </w:r>
      <w:r w:rsidR="0041630A">
        <w:rPr>
          <w:rFonts w:ascii="Times New Roman" w:eastAsia="Times New Roman" w:hAnsi="Times New Roman" w:cs="Times New Roman"/>
          <w:sz w:val="24"/>
          <w:szCs w:val="24"/>
        </w:rPr>
        <w:t>viena</w:t>
      </w:r>
      <w:r w:rsidR="00E53E68">
        <w:rPr>
          <w:rFonts w:ascii="Times New Roman" w:eastAsia="Times New Roman" w:hAnsi="Times New Roman" w:cs="Times New Roman"/>
          <w:sz w:val="24"/>
          <w:szCs w:val="24"/>
        </w:rPr>
        <w:t xml:space="preserve"> privāto tiesību</w:t>
      </w:r>
      <w:r>
        <w:rPr>
          <w:rFonts w:ascii="Times New Roman" w:eastAsia="Times New Roman" w:hAnsi="Times New Roman" w:cs="Times New Roman"/>
          <w:sz w:val="24"/>
          <w:szCs w:val="24"/>
        </w:rPr>
        <w:t xml:space="preserve"> juridiskas</w:t>
      </w:r>
      <w:r w:rsidRPr="004449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personas dibināta </w:t>
      </w:r>
      <w:r w:rsidRPr="004449D7">
        <w:rPr>
          <w:rFonts w:ascii="Times New Roman" w:eastAsia="Times New Roman" w:hAnsi="Times New Roman" w:cs="Times New Roman"/>
          <w:sz w:val="24"/>
          <w:szCs w:val="24"/>
        </w:rPr>
        <w:t>profesionālās izglītības iestāde</w:t>
      </w:r>
      <w:r>
        <w:rPr>
          <w:rFonts w:ascii="Times New Roman" w:eastAsia="Times New Roman" w:hAnsi="Times New Roman" w:cs="Times New Roman"/>
          <w:sz w:val="24"/>
          <w:szCs w:val="24"/>
        </w:rPr>
        <w:t xml:space="preserve"> – </w:t>
      </w:r>
      <w:r w:rsidRPr="00234C43">
        <w:rPr>
          <w:rFonts w:ascii="Times New Roman" w:eastAsia="Times New Roman" w:hAnsi="Times New Roman" w:cs="Times New Roman"/>
          <w:sz w:val="24"/>
          <w:szCs w:val="24"/>
        </w:rPr>
        <w:t xml:space="preserve">Ģenerāļa Pētera Radziņa Staiceles Sporta profesionālā vidusskola </w:t>
      </w:r>
      <w:r>
        <w:rPr>
          <w:rFonts w:ascii="Times New Roman" w:eastAsia="Times New Roman" w:hAnsi="Times New Roman" w:cs="Times New Roman"/>
          <w:sz w:val="24"/>
          <w:szCs w:val="24"/>
        </w:rPr>
        <w:t xml:space="preserve">un </w:t>
      </w:r>
      <w:r w:rsidR="0041630A">
        <w:rPr>
          <w:rFonts w:ascii="Times New Roman" w:eastAsia="Times New Roman" w:hAnsi="Times New Roman" w:cs="Times New Roman"/>
          <w:sz w:val="24"/>
          <w:szCs w:val="24"/>
        </w:rPr>
        <w:t>piecas</w:t>
      </w:r>
      <w:r w:rsidRPr="00641F9C">
        <w:rPr>
          <w:rFonts w:ascii="Times New Roman" w:eastAsia="Times New Roman" w:hAnsi="Times New Roman" w:cs="Times New Roman"/>
          <w:sz w:val="24"/>
          <w:szCs w:val="24"/>
        </w:rPr>
        <w:t xml:space="preserve"> fizisku personu dibinātas profesionālās izglītības iestādes, kā</w:t>
      </w:r>
      <w:r>
        <w:rPr>
          <w:rFonts w:ascii="Times New Roman" w:eastAsia="Times New Roman" w:hAnsi="Times New Roman" w:cs="Times New Roman"/>
          <w:sz w:val="24"/>
          <w:szCs w:val="24"/>
        </w:rPr>
        <w:t xml:space="preserve"> arī </w:t>
      </w:r>
      <w:r w:rsidR="0041630A">
        <w:rPr>
          <w:rFonts w:ascii="Times New Roman" w:eastAsia="Times New Roman" w:hAnsi="Times New Roman" w:cs="Times New Roman"/>
          <w:sz w:val="24"/>
          <w:szCs w:val="24"/>
        </w:rPr>
        <w:t xml:space="preserve">piecas </w:t>
      </w:r>
      <w:r>
        <w:rPr>
          <w:rFonts w:ascii="Times New Roman" w:eastAsia="Times New Roman" w:hAnsi="Times New Roman" w:cs="Times New Roman"/>
          <w:sz w:val="24"/>
          <w:szCs w:val="24"/>
        </w:rPr>
        <w:t xml:space="preserve">pašvaldību </w:t>
      </w:r>
      <w:r w:rsidRPr="004449D7">
        <w:rPr>
          <w:rFonts w:ascii="Times New Roman" w:eastAsia="Times New Roman" w:hAnsi="Times New Roman" w:cs="Times New Roman"/>
          <w:sz w:val="24"/>
          <w:szCs w:val="24"/>
        </w:rPr>
        <w:t>dibinātas pro</w:t>
      </w:r>
      <w:r w:rsidR="0041630A">
        <w:rPr>
          <w:rFonts w:ascii="Times New Roman" w:eastAsia="Times New Roman" w:hAnsi="Times New Roman" w:cs="Times New Roman"/>
          <w:sz w:val="24"/>
          <w:szCs w:val="24"/>
        </w:rPr>
        <w:t>fesionālās izglītības iestādes</w:t>
      </w:r>
      <w:r>
        <w:rPr>
          <w:rFonts w:ascii="Times New Roman" w:eastAsia="Times New Roman" w:hAnsi="Times New Roman" w:cs="Times New Roman"/>
          <w:sz w:val="24"/>
          <w:szCs w:val="24"/>
        </w:rPr>
        <w:t xml:space="preserve">. </w:t>
      </w:r>
      <w:r w:rsidRPr="004449D7">
        <w:rPr>
          <w:rFonts w:ascii="Times New Roman" w:eastAsia="Times New Roman" w:hAnsi="Times New Roman" w:cs="Times New Roman"/>
          <w:sz w:val="24"/>
          <w:szCs w:val="24"/>
        </w:rPr>
        <w:t xml:space="preserve">Profesionālās </w:t>
      </w:r>
      <w:r w:rsidR="00E53E68">
        <w:rPr>
          <w:rFonts w:ascii="Times New Roman" w:eastAsia="Times New Roman" w:hAnsi="Times New Roman" w:cs="Times New Roman"/>
          <w:sz w:val="24"/>
          <w:szCs w:val="24"/>
        </w:rPr>
        <w:t xml:space="preserve">izglītības programmas </w:t>
      </w:r>
      <w:r w:rsidRPr="004449D7">
        <w:rPr>
          <w:rFonts w:ascii="Times New Roman" w:eastAsia="Times New Roman" w:hAnsi="Times New Roman" w:cs="Times New Roman"/>
          <w:sz w:val="24"/>
          <w:szCs w:val="24"/>
        </w:rPr>
        <w:t xml:space="preserve">īsteno arī </w:t>
      </w:r>
      <w:r w:rsidR="0041630A">
        <w:rPr>
          <w:rFonts w:ascii="Times New Roman" w:eastAsia="Times New Roman" w:hAnsi="Times New Roman" w:cs="Times New Roman"/>
          <w:sz w:val="24"/>
          <w:szCs w:val="24"/>
        </w:rPr>
        <w:t>divas</w:t>
      </w:r>
      <w:r>
        <w:rPr>
          <w:rFonts w:ascii="Times New Roman" w:eastAsia="Times New Roman" w:hAnsi="Times New Roman" w:cs="Times New Roman"/>
          <w:sz w:val="24"/>
          <w:szCs w:val="24"/>
        </w:rPr>
        <w:t xml:space="preserve"> </w:t>
      </w:r>
      <w:r w:rsidRPr="004449D7">
        <w:rPr>
          <w:rFonts w:ascii="Times New Roman" w:eastAsia="Times New Roman" w:hAnsi="Times New Roman" w:cs="Times New Roman"/>
          <w:sz w:val="24"/>
          <w:szCs w:val="24"/>
        </w:rPr>
        <w:t>pašvaldības vispārējās izglītības iestādes Zaļenieku komerciālā un amatniecības vidusskola un Bebrenes vispārizglītojošā un profesionālā vidusskola</w:t>
      </w:r>
      <w:r w:rsidR="00DC27AA">
        <w:rPr>
          <w:rFonts w:ascii="Times New Roman" w:eastAsia="Times New Roman" w:hAnsi="Times New Roman" w:cs="Times New Roman"/>
          <w:sz w:val="24"/>
          <w:szCs w:val="24"/>
        </w:rPr>
        <w:t xml:space="preserve"> (izglītības iestāžu sarakstu, kas īsteno </w:t>
      </w:r>
      <w:r w:rsidR="00DC27AA" w:rsidRPr="00DC27AA">
        <w:rPr>
          <w:rFonts w:ascii="Times New Roman" w:eastAsia="Times New Roman" w:hAnsi="Times New Roman" w:cs="Times New Roman"/>
          <w:sz w:val="24"/>
          <w:szCs w:val="24"/>
        </w:rPr>
        <w:t>profesionālās</w:t>
      </w:r>
      <w:r w:rsidR="00DC27AA">
        <w:rPr>
          <w:rFonts w:ascii="Times New Roman" w:eastAsia="Times New Roman" w:hAnsi="Times New Roman" w:cs="Times New Roman"/>
          <w:sz w:val="24"/>
          <w:szCs w:val="24"/>
        </w:rPr>
        <w:t xml:space="preserve"> </w:t>
      </w:r>
      <w:r w:rsidR="00DC2B96">
        <w:rPr>
          <w:rFonts w:ascii="Times New Roman" w:eastAsia="Times New Roman" w:hAnsi="Times New Roman" w:cs="Times New Roman"/>
          <w:sz w:val="24"/>
          <w:szCs w:val="24"/>
        </w:rPr>
        <w:t xml:space="preserve">izglītības programmas </w:t>
      </w:r>
      <w:r w:rsidR="00DC27AA">
        <w:rPr>
          <w:rFonts w:ascii="Times New Roman" w:eastAsia="Times New Roman" w:hAnsi="Times New Roman" w:cs="Times New Roman"/>
          <w:sz w:val="24"/>
          <w:szCs w:val="24"/>
        </w:rPr>
        <w:t>skatīt</w:t>
      </w:r>
      <w:r w:rsidR="00D841DF">
        <w:rPr>
          <w:rFonts w:ascii="Times New Roman" w:eastAsia="Times New Roman" w:hAnsi="Times New Roman" w:cs="Times New Roman"/>
          <w:sz w:val="24"/>
          <w:szCs w:val="24"/>
        </w:rPr>
        <w:t xml:space="preserve"> </w:t>
      </w:r>
      <w:r w:rsidR="00D841DF" w:rsidRPr="00D841DF">
        <w:rPr>
          <w:rFonts w:ascii="Times New Roman" w:eastAsia="Times New Roman" w:hAnsi="Times New Roman" w:cs="Times New Roman"/>
          <w:sz w:val="24"/>
          <w:szCs w:val="24"/>
        </w:rPr>
        <w:fldChar w:fldCharType="begin"/>
      </w:r>
      <w:r w:rsidR="00D841DF" w:rsidRPr="00D841DF">
        <w:rPr>
          <w:rFonts w:ascii="Times New Roman" w:eastAsia="Times New Roman" w:hAnsi="Times New Roman" w:cs="Times New Roman"/>
          <w:sz w:val="24"/>
          <w:szCs w:val="24"/>
        </w:rPr>
        <w:instrText xml:space="preserve"> REF _Ref52271443 \h  \* MERGEFORMAT </w:instrText>
      </w:r>
      <w:r w:rsidR="00D841DF" w:rsidRPr="00D841DF">
        <w:rPr>
          <w:rFonts w:ascii="Times New Roman" w:eastAsia="Times New Roman" w:hAnsi="Times New Roman" w:cs="Times New Roman"/>
          <w:sz w:val="24"/>
          <w:szCs w:val="24"/>
        </w:rPr>
      </w:r>
      <w:r w:rsidR="00D841DF" w:rsidRPr="00D841DF">
        <w:rPr>
          <w:rFonts w:ascii="Times New Roman" w:eastAsia="Times New Roman" w:hAnsi="Times New Roman" w:cs="Times New Roman"/>
          <w:sz w:val="24"/>
          <w:szCs w:val="24"/>
        </w:rPr>
        <w:fldChar w:fldCharType="separate"/>
      </w:r>
      <w:r w:rsidR="00D841DF" w:rsidRPr="00D841DF">
        <w:rPr>
          <w:rFonts w:ascii="Times New Roman" w:hAnsi="Times New Roman" w:cs="Times New Roman"/>
          <w:color w:val="000000" w:themeColor="text1"/>
          <w:sz w:val="24"/>
          <w:szCs w:val="24"/>
        </w:rPr>
        <w:t xml:space="preserve">Pielikums Nr. </w:t>
      </w:r>
      <w:r w:rsidR="00D841DF" w:rsidRPr="00D841DF">
        <w:rPr>
          <w:rFonts w:ascii="Times New Roman" w:hAnsi="Times New Roman" w:cs="Times New Roman"/>
          <w:noProof/>
          <w:color w:val="000000" w:themeColor="text1"/>
          <w:sz w:val="24"/>
          <w:szCs w:val="24"/>
        </w:rPr>
        <w:t>1</w:t>
      </w:r>
      <w:r w:rsidR="00D841DF" w:rsidRPr="00D841DF">
        <w:rPr>
          <w:rFonts w:ascii="Times New Roman" w:eastAsia="Times New Roman" w:hAnsi="Times New Roman" w:cs="Times New Roman"/>
          <w:sz w:val="24"/>
          <w:szCs w:val="24"/>
        </w:rPr>
        <w:fldChar w:fldCharType="end"/>
      </w:r>
      <w:r w:rsidR="00DC27AA">
        <w:rPr>
          <w:rFonts w:ascii="Times New Roman" w:eastAsia="Times New Roman" w:hAnsi="Times New Roman" w:cs="Times New Roman"/>
          <w:sz w:val="24"/>
          <w:szCs w:val="24"/>
        </w:rPr>
        <w:t>)</w:t>
      </w:r>
      <w:r w:rsidRPr="004449D7">
        <w:rPr>
          <w:rFonts w:ascii="Times New Roman" w:eastAsia="Times New Roman" w:hAnsi="Times New Roman" w:cs="Times New Roman"/>
          <w:sz w:val="24"/>
          <w:szCs w:val="24"/>
        </w:rPr>
        <w:t xml:space="preserve">. </w:t>
      </w:r>
    </w:p>
    <w:p w14:paraId="42B93565" w14:textId="6E58B6E7" w:rsidR="001871C6" w:rsidRPr="001871C6" w:rsidRDefault="00CF01AA" w:rsidP="001871C6">
      <w:pPr>
        <w:spacing w:after="120" w:line="276" w:lineRule="auto"/>
        <w:jc w:val="both"/>
        <w:rPr>
          <w:rFonts w:ascii="Times New Roman" w:eastAsia="Times New Roman" w:hAnsi="Times New Roman" w:cs="Times New Roman"/>
          <w:sz w:val="24"/>
          <w:szCs w:val="24"/>
        </w:rPr>
      </w:pPr>
      <w:r w:rsidRPr="008A239A">
        <w:rPr>
          <w:rFonts w:ascii="Times New Roman" w:eastAsia="Times New Roman" w:hAnsi="Times New Roman" w:cs="Times New Roman"/>
          <w:sz w:val="24"/>
          <w:szCs w:val="24"/>
        </w:rPr>
        <w:t xml:space="preserve">Saskaņā ar Izglītības likuma 59.pantu izglītības iestādes finansē to dibinātāji. </w:t>
      </w:r>
      <w:r w:rsidR="004E0521" w:rsidRPr="00B6260F">
        <w:rPr>
          <w:rFonts w:ascii="Times New Roman" w:eastAsia="Times New Roman" w:hAnsi="Times New Roman" w:cs="Times New Roman"/>
          <w:sz w:val="24"/>
          <w:szCs w:val="24"/>
        </w:rPr>
        <w:t xml:space="preserve">Atbilstoši </w:t>
      </w:r>
      <w:r w:rsidR="004E0521" w:rsidRPr="00563F65">
        <w:rPr>
          <w:rFonts w:ascii="Times New Roman" w:eastAsia="Times New Roman" w:hAnsi="Times New Roman" w:cs="Times New Roman"/>
          <w:sz w:val="24"/>
          <w:szCs w:val="24"/>
        </w:rPr>
        <w:t>Profesionālās izglītība</w:t>
      </w:r>
      <w:r w:rsidR="0041630A">
        <w:rPr>
          <w:rFonts w:ascii="Times New Roman" w:eastAsia="Times New Roman" w:hAnsi="Times New Roman" w:cs="Times New Roman"/>
          <w:sz w:val="24"/>
          <w:szCs w:val="24"/>
        </w:rPr>
        <w:t>s likuma 31.panta otrajai daļai</w:t>
      </w:r>
      <w:r w:rsidR="004E0521" w:rsidRPr="00563F65">
        <w:rPr>
          <w:rFonts w:ascii="Times New Roman" w:eastAsia="Times New Roman" w:hAnsi="Times New Roman" w:cs="Times New Roman"/>
          <w:sz w:val="24"/>
          <w:szCs w:val="24"/>
        </w:rPr>
        <w:t xml:space="preserve"> IZM un nozaru ministrijas var noteikt valsts finansēto vietu skaitu izglītības iestāžu prof</w:t>
      </w:r>
      <w:r w:rsidR="00563F65" w:rsidRPr="00563F65">
        <w:rPr>
          <w:rFonts w:ascii="Times New Roman" w:eastAsia="Times New Roman" w:hAnsi="Times New Roman" w:cs="Times New Roman"/>
          <w:sz w:val="24"/>
          <w:szCs w:val="24"/>
        </w:rPr>
        <w:t>esionālā</w:t>
      </w:r>
      <w:r w:rsidR="0041630A">
        <w:rPr>
          <w:rFonts w:ascii="Times New Roman" w:eastAsia="Times New Roman" w:hAnsi="Times New Roman" w:cs="Times New Roman"/>
          <w:sz w:val="24"/>
          <w:szCs w:val="24"/>
        </w:rPr>
        <w:t>s</w:t>
      </w:r>
      <w:r w:rsidR="00563F65" w:rsidRPr="00563F65">
        <w:rPr>
          <w:rFonts w:ascii="Times New Roman" w:eastAsia="Times New Roman" w:hAnsi="Times New Roman" w:cs="Times New Roman"/>
          <w:sz w:val="24"/>
          <w:szCs w:val="24"/>
        </w:rPr>
        <w:t xml:space="preserve"> </w:t>
      </w:r>
      <w:r w:rsidR="00DC2B96">
        <w:rPr>
          <w:rFonts w:ascii="Times New Roman" w:eastAsia="Times New Roman" w:hAnsi="Times New Roman" w:cs="Times New Roman"/>
          <w:sz w:val="24"/>
          <w:szCs w:val="24"/>
        </w:rPr>
        <w:t>izglītības programmās</w:t>
      </w:r>
      <w:r w:rsidR="00563F65" w:rsidRPr="00563F65">
        <w:rPr>
          <w:rFonts w:ascii="Times New Roman" w:eastAsia="Times New Roman" w:hAnsi="Times New Roman" w:cs="Times New Roman"/>
          <w:sz w:val="24"/>
          <w:szCs w:val="24"/>
        </w:rPr>
        <w:t xml:space="preserve">, tas attiecas arī uz profesionālās </w:t>
      </w:r>
      <w:r w:rsidR="00DC2B96">
        <w:rPr>
          <w:rFonts w:ascii="Times New Roman" w:eastAsia="Times New Roman" w:hAnsi="Times New Roman" w:cs="Times New Roman"/>
          <w:sz w:val="24"/>
          <w:szCs w:val="24"/>
        </w:rPr>
        <w:t>izglītības programmu</w:t>
      </w:r>
      <w:r w:rsidR="00563F65">
        <w:rPr>
          <w:rFonts w:ascii="Times New Roman" w:eastAsia="Times New Roman" w:hAnsi="Times New Roman" w:cs="Times New Roman"/>
          <w:sz w:val="24"/>
          <w:szCs w:val="24"/>
        </w:rPr>
        <w:t xml:space="preserve"> </w:t>
      </w:r>
      <w:r w:rsidR="00563F65" w:rsidRPr="00563F65">
        <w:rPr>
          <w:rFonts w:ascii="Times New Roman" w:eastAsia="Times New Roman" w:hAnsi="Times New Roman" w:cs="Times New Roman"/>
          <w:sz w:val="24"/>
          <w:szCs w:val="24"/>
        </w:rPr>
        <w:t>īstenošanu augstākās izglītības iestāžu struktūrvienībās</w:t>
      </w:r>
      <w:r w:rsidR="00472B05">
        <w:rPr>
          <w:rFonts w:ascii="Times New Roman" w:eastAsia="Times New Roman" w:hAnsi="Times New Roman" w:cs="Times New Roman"/>
          <w:sz w:val="24"/>
          <w:szCs w:val="24"/>
        </w:rPr>
        <w:t xml:space="preserve"> un pašvaldību dibināt</w:t>
      </w:r>
      <w:r w:rsidR="0041630A">
        <w:rPr>
          <w:rFonts w:ascii="Times New Roman" w:eastAsia="Times New Roman" w:hAnsi="Times New Roman" w:cs="Times New Roman"/>
          <w:sz w:val="24"/>
          <w:szCs w:val="24"/>
        </w:rPr>
        <w:t>ās</w:t>
      </w:r>
      <w:r w:rsidR="00472B05">
        <w:rPr>
          <w:rFonts w:ascii="Times New Roman" w:eastAsia="Times New Roman" w:hAnsi="Times New Roman" w:cs="Times New Roman"/>
          <w:sz w:val="24"/>
          <w:szCs w:val="24"/>
        </w:rPr>
        <w:t xml:space="preserve"> izglītības iestādē</w:t>
      </w:r>
      <w:r w:rsidR="0041630A">
        <w:rPr>
          <w:rFonts w:ascii="Times New Roman" w:eastAsia="Times New Roman" w:hAnsi="Times New Roman" w:cs="Times New Roman"/>
          <w:sz w:val="24"/>
          <w:szCs w:val="24"/>
        </w:rPr>
        <w:t>s</w:t>
      </w:r>
      <w:r w:rsidR="00563F65" w:rsidRPr="00563F65">
        <w:rPr>
          <w:rFonts w:ascii="Times New Roman" w:eastAsia="Times New Roman" w:hAnsi="Times New Roman" w:cs="Times New Roman"/>
          <w:sz w:val="24"/>
          <w:szCs w:val="24"/>
        </w:rPr>
        <w:t>.</w:t>
      </w:r>
      <w:r w:rsidR="00563F65">
        <w:rPr>
          <w:rFonts w:ascii="Times New Roman" w:eastAsia="Times New Roman" w:hAnsi="Times New Roman" w:cs="Times New Roman"/>
          <w:sz w:val="24"/>
          <w:szCs w:val="24"/>
        </w:rPr>
        <w:t xml:space="preserve"> </w:t>
      </w:r>
      <w:r w:rsidRPr="008A239A">
        <w:rPr>
          <w:rFonts w:ascii="Times New Roman" w:eastAsia="Times New Roman" w:hAnsi="Times New Roman" w:cs="Times New Roman"/>
          <w:sz w:val="24"/>
          <w:szCs w:val="24"/>
        </w:rPr>
        <w:t xml:space="preserve">Valsts izglītības iestādes finansē no valsts budžeta saskaņā ar gadskārtējo valsts budžeta likumu, </w:t>
      </w:r>
      <w:r w:rsidRPr="002C34EB">
        <w:rPr>
          <w:rFonts w:ascii="Times New Roman" w:eastAsia="Times New Roman" w:hAnsi="Times New Roman" w:cs="Times New Roman"/>
          <w:sz w:val="24"/>
          <w:szCs w:val="24"/>
        </w:rPr>
        <w:t>pašvaldību izglītības iestādes finansē no pašvaldību budžetiem, privātās izglītības iestādes finansē to dibinātāji</w:t>
      </w:r>
      <w:r w:rsidR="001C3CB6" w:rsidRPr="002C34EB">
        <w:rPr>
          <w:rFonts w:ascii="Times New Roman" w:eastAsia="Times New Roman" w:hAnsi="Times New Roman" w:cs="Times New Roman"/>
          <w:sz w:val="24"/>
          <w:szCs w:val="24"/>
        </w:rPr>
        <w:t xml:space="preserve"> – fiziskas vai juridiskas personas</w:t>
      </w:r>
      <w:r w:rsidRPr="002C34EB">
        <w:rPr>
          <w:rFonts w:ascii="Times New Roman" w:eastAsia="Times New Roman" w:hAnsi="Times New Roman" w:cs="Times New Roman"/>
          <w:sz w:val="24"/>
          <w:szCs w:val="24"/>
        </w:rPr>
        <w:t xml:space="preserve">. </w:t>
      </w:r>
    </w:p>
    <w:p w14:paraId="10C1CAD6" w14:textId="50DC1498" w:rsidR="00A46341" w:rsidRPr="002C34EB" w:rsidRDefault="001871C6" w:rsidP="00A46341">
      <w:pPr>
        <w:spacing w:after="120" w:line="276" w:lineRule="auto"/>
        <w:jc w:val="both"/>
        <w:rPr>
          <w:rFonts w:ascii="Times New Roman" w:eastAsia="Times New Roman" w:hAnsi="Times New Roman" w:cs="Times New Roman"/>
          <w:sz w:val="24"/>
          <w:szCs w:val="24"/>
        </w:rPr>
      </w:pPr>
      <w:r w:rsidRPr="001871C6">
        <w:rPr>
          <w:rFonts w:ascii="Times New Roman" w:eastAsia="Times New Roman" w:hAnsi="Times New Roman" w:cs="Times New Roman"/>
          <w:sz w:val="24"/>
          <w:szCs w:val="24"/>
        </w:rPr>
        <w:t>A</w:t>
      </w:r>
      <w:r w:rsidR="00A46341">
        <w:rPr>
          <w:rFonts w:ascii="Times New Roman" w:eastAsia="Times New Roman" w:hAnsi="Times New Roman" w:cs="Times New Roman"/>
          <w:sz w:val="24"/>
          <w:szCs w:val="24"/>
        </w:rPr>
        <w:t>tbilstoši Izglītības likuma 60</w:t>
      </w:r>
      <w:r w:rsidRPr="001871C6">
        <w:rPr>
          <w:rFonts w:ascii="Times New Roman" w:eastAsia="Times New Roman" w:hAnsi="Times New Roman" w:cs="Times New Roman"/>
          <w:sz w:val="24"/>
          <w:szCs w:val="24"/>
        </w:rPr>
        <w:t>.pantam</w:t>
      </w:r>
      <w:r w:rsidR="00AE2DB7">
        <w:rPr>
          <w:rFonts w:ascii="Times New Roman" w:eastAsia="Times New Roman" w:hAnsi="Times New Roman" w:cs="Times New Roman"/>
          <w:sz w:val="24"/>
          <w:szCs w:val="24"/>
        </w:rPr>
        <w:t xml:space="preserve"> </w:t>
      </w:r>
      <w:r w:rsidRPr="001871C6">
        <w:rPr>
          <w:rFonts w:ascii="Times New Roman" w:eastAsia="Times New Roman" w:hAnsi="Times New Roman" w:cs="Times New Roman"/>
          <w:sz w:val="24"/>
          <w:szCs w:val="24"/>
        </w:rPr>
        <w:t xml:space="preserve">izglītības iestādes dibinātājam ir </w:t>
      </w:r>
      <w:r w:rsidR="00A46341">
        <w:rPr>
          <w:rFonts w:ascii="Times New Roman" w:eastAsia="Times New Roman" w:hAnsi="Times New Roman" w:cs="Times New Roman"/>
          <w:sz w:val="24"/>
          <w:szCs w:val="24"/>
        </w:rPr>
        <w:t xml:space="preserve">jānodrošina </w:t>
      </w:r>
      <w:r w:rsidR="00A46341" w:rsidRPr="00A46341">
        <w:rPr>
          <w:rFonts w:ascii="Times New Roman" w:eastAsia="Times New Roman" w:hAnsi="Times New Roman" w:cs="Times New Roman"/>
          <w:sz w:val="24"/>
          <w:szCs w:val="24"/>
        </w:rPr>
        <w:t>Ministru kabineta noteikto izglītības programmu īstenošanas izmaks</w:t>
      </w:r>
      <w:r w:rsidR="00A46341">
        <w:rPr>
          <w:rFonts w:ascii="Times New Roman" w:eastAsia="Times New Roman" w:hAnsi="Times New Roman" w:cs="Times New Roman"/>
          <w:sz w:val="24"/>
          <w:szCs w:val="24"/>
        </w:rPr>
        <w:t>u minimumu uz vienu izglītojamo,</w:t>
      </w:r>
      <w:r w:rsidR="00A46341" w:rsidRPr="00A46341">
        <w:rPr>
          <w:rFonts w:ascii="Times New Roman" w:eastAsia="Times New Roman" w:hAnsi="Times New Roman" w:cs="Times New Roman"/>
          <w:sz w:val="24"/>
          <w:szCs w:val="24"/>
        </w:rPr>
        <w:t xml:space="preserve"> izglītības iestāžu uzturēšanas un sai</w:t>
      </w:r>
      <w:r w:rsidR="00A46341">
        <w:rPr>
          <w:rFonts w:ascii="Times New Roman" w:eastAsia="Times New Roman" w:hAnsi="Times New Roman" w:cs="Times New Roman"/>
          <w:sz w:val="24"/>
          <w:szCs w:val="24"/>
        </w:rPr>
        <w:t>mnieciskos izdevumus, t.sk.</w:t>
      </w:r>
      <w:r w:rsidR="00A46341" w:rsidRPr="00A46341">
        <w:rPr>
          <w:rFonts w:ascii="Times New Roman" w:eastAsia="Times New Roman" w:hAnsi="Times New Roman" w:cs="Times New Roman"/>
          <w:sz w:val="24"/>
          <w:szCs w:val="24"/>
        </w:rPr>
        <w:t xml:space="preserve"> saim</w:t>
      </w:r>
      <w:r w:rsidR="00AE2DB7">
        <w:rPr>
          <w:rFonts w:ascii="Times New Roman" w:eastAsia="Times New Roman" w:hAnsi="Times New Roman" w:cs="Times New Roman"/>
          <w:sz w:val="24"/>
          <w:szCs w:val="24"/>
        </w:rPr>
        <w:t xml:space="preserve">nieciskā personāla darba algas, </w:t>
      </w:r>
      <w:r w:rsidR="00A46341" w:rsidRPr="00A46341">
        <w:rPr>
          <w:rFonts w:ascii="Times New Roman" w:eastAsia="Times New Roman" w:hAnsi="Times New Roman" w:cs="Times New Roman"/>
          <w:sz w:val="24"/>
          <w:szCs w:val="24"/>
        </w:rPr>
        <w:t xml:space="preserve">kā arī ar starptautisko sadarbību saistītos izdevumus </w:t>
      </w:r>
      <w:r w:rsidR="00A46341">
        <w:rPr>
          <w:rFonts w:ascii="Times New Roman" w:eastAsia="Times New Roman" w:hAnsi="Times New Roman" w:cs="Times New Roman"/>
          <w:sz w:val="24"/>
          <w:szCs w:val="24"/>
        </w:rPr>
        <w:t xml:space="preserve">un </w:t>
      </w:r>
      <w:r w:rsidR="00A46341" w:rsidRPr="00A46341">
        <w:rPr>
          <w:rFonts w:ascii="Times New Roman" w:eastAsia="Times New Roman" w:hAnsi="Times New Roman" w:cs="Times New Roman"/>
          <w:sz w:val="24"/>
          <w:szCs w:val="24"/>
        </w:rPr>
        <w:t>izglītojamo uzturēšanas izdevumus izglītības iestādē</w:t>
      </w:r>
      <w:r w:rsidR="00A46341">
        <w:rPr>
          <w:rFonts w:ascii="Times New Roman" w:eastAsia="Times New Roman" w:hAnsi="Times New Roman" w:cs="Times New Roman"/>
          <w:sz w:val="24"/>
          <w:szCs w:val="24"/>
        </w:rPr>
        <w:t>.</w:t>
      </w:r>
    </w:p>
    <w:p w14:paraId="06B1DDEF" w14:textId="55D82596" w:rsidR="00CF01AA" w:rsidRDefault="00CF01AA" w:rsidP="00AE64E9">
      <w:pPr>
        <w:spacing w:after="120" w:line="276" w:lineRule="auto"/>
        <w:jc w:val="both"/>
        <w:rPr>
          <w:rFonts w:ascii="Times New Roman" w:eastAsia="Times New Roman" w:hAnsi="Times New Roman" w:cs="Times New Roman"/>
          <w:sz w:val="24"/>
          <w:szCs w:val="24"/>
        </w:rPr>
      </w:pPr>
      <w:r w:rsidRPr="00E14FD1">
        <w:rPr>
          <w:rFonts w:ascii="Times New Roman" w:eastAsia="Times New Roman" w:hAnsi="Times New Roman" w:cs="Times New Roman"/>
          <w:sz w:val="24"/>
          <w:szCs w:val="24"/>
        </w:rPr>
        <w:t xml:space="preserve">Izglītības likuma 60.panta trešā daļa nosaka, ka pedagogu darba samaksa valsts izglītības iestādēs tiek nodrošināta no valsts budžeta līdzekļiem, savukārt pašvaldības izglītības iestādēs - no valsts budžeta mērķdotācijām. 2015.gada 18.jūnijā Saeimā pieņemtie grozījumi Izglītības likuma 59.panta otrajā daļā paredz, ka no 2023.gada 1.janvāra privātās izglītības iestādes saņems valsts budžeta finansējumu pedagogu darba samaksai, ja privātās izglītības iestādēs tiek īstenotas akreditētas arodizglītības un profesionālās vidējās </w:t>
      </w:r>
      <w:r w:rsidR="002F7905" w:rsidRPr="00E14FD1">
        <w:rPr>
          <w:rFonts w:ascii="Times New Roman" w:hAnsi="Times New Roman" w:cs="Times New Roman"/>
          <w:sz w:val="24"/>
          <w:szCs w:val="24"/>
        </w:rPr>
        <w:t>izglītības programmas</w:t>
      </w:r>
      <w:r w:rsidRPr="00E14FD1">
        <w:rPr>
          <w:rFonts w:ascii="Times New Roman" w:eastAsia="Times New Roman" w:hAnsi="Times New Roman" w:cs="Times New Roman"/>
          <w:sz w:val="24"/>
          <w:szCs w:val="24"/>
        </w:rPr>
        <w:t>.</w:t>
      </w:r>
    </w:p>
    <w:p w14:paraId="709BD038" w14:textId="449F8CD0" w:rsidR="00CF01AA" w:rsidRDefault="00CF01AA" w:rsidP="004E229C">
      <w:pPr>
        <w:spacing w:after="120" w:line="276" w:lineRule="auto"/>
        <w:jc w:val="both"/>
        <w:rPr>
          <w:rFonts w:ascii="Times New Roman" w:hAnsi="Times New Roman"/>
          <w:sz w:val="24"/>
          <w:szCs w:val="24"/>
        </w:rPr>
      </w:pPr>
      <w:r w:rsidRPr="00422D2A">
        <w:rPr>
          <w:rFonts w:ascii="Times New Roman" w:eastAsia="Times New Roman" w:hAnsi="Times New Roman" w:cs="Times New Roman"/>
          <w:sz w:val="24"/>
          <w:szCs w:val="24"/>
        </w:rPr>
        <w:t>201</w:t>
      </w:r>
      <w:r w:rsidR="00370813">
        <w:rPr>
          <w:rFonts w:ascii="Times New Roman" w:eastAsia="Times New Roman" w:hAnsi="Times New Roman" w:cs="Times New Roman"/>
          <w:sz w:val="24"/>
          <w:szCs w:val="24"/>
        </w:rPr>
        <w:t>9</w:t>
      </w:r>
      <w:r w:rsidRPr="00422D2A">
        <w:rPr>
          <w:rFonts w:ascii="Times New Roman" w:eastAsia="Times New Roman" w:hAnsi="Times New Roman" w:cs="Times New Roman"/>
          <w:sz w:val="24"/>
          <w:szCs w:val="24"/>
        </w:rPr>
        <w:t>.gada valsts budžetā (</w:t>
      </w:r>
      <w:r w:rsidR="00370813">
        <w:rPr>
          <w:rFonts w:ascii="Times New Roman" w:eastAsia="Times New Roman" w:hAnsi="Times New Roman" w:cs="Times New Roman"/>
          <w:sz w:val="24"/>
          <w:szCs w:val="24"/>
        </w:rPr>
        <w:t xml:space="preserve">administrē </w:t>
      </w:r>
      <w:r w:rsidRPr="00422D2A">
        <w:rPr>
          <w:rFonts w:ascii="Times New Roman" w:eastAsia="Times New Roman" w:hAnsi="Times New Roman" w:cs="Times New Roman"/>
          <w:sz w:val="24"/>
          <w:szCs w:val="24"/>
        </w:rPr>
        <w:t xml:space="preserve">IZM) mērķdotācijas pašvaldību izglītības iestādēm veidoja </w:t>
      </w:r>
      <w:r w:rsidR="00370813">
        <w:rPr>
          <w:rFonts w:ascii="Times New Roman" w:eastAsia="Times New Roman" w:hAnsi="Times New Roman" w:cs="Times New Roman"/>
          <w:sz w:val="24"/>
          <w:szCs w:val="24"/>
        </w:rPr>
        <w:t>368,7</w:t>
      </w:r>
      <w:r w:rsidRPr="00422D2A">
        <w:rPr>
          <w:rFonts w:ascii="Times New Roman" w:eastAsia="Times New Roman" w:hAnsi="Times New Roman" w:cs="Times New Roman"/>
          <w:sz w:val="24"/>
          <w:szCs w:val="24"/>
        </w:rPr>
        <w:t xml:space="preserve"> milj. EUR, no tiem </w:t>
      </w:r>
      <w:r w:rsidRPr="00422D2A">
        <w:rPr>
          <w:rFonts w:ascii="Times New Roman" w:hAnsi="Times New Roman"/>
          <w:sz w:val="24"/>
          <w:szCs w:val="24"/>
        </w:rPr>
        <w:t xml:space="preserve">pašvaldību pamata un vispārējās vidējās izglītības iestāžu, pašvaldību speciālās izglītības iestāžu, pašvaldību profesionālās izglītības iestāžu un daļējai </w:t>
      </w:r>
      <w:r w:rsidRPr="00422D2A">
        <w:rPr>
          <w:rFonts w:ascii="Times New Roman" w:hAnsi="Times New Roman"/>
          <w:sz w:val="24"/>
          <w:szCs w:val="24"/>
        </w:rPr>
        <w:lastRenderedPageBreak/>
        <w:t xml:space="preserve">interešu </w:t>
      </w:r>
      <w:r w:rsidR="007C7C69">
        <w:rPr>
          <w:rFonts w:ascii="Times New Roman" w:hAnsi="Times New Roman" w:cs="Times New Roman"/>
          <w:sz w:val="24"/>
          <w:szCs w:val="24"/>
        </w:rPr>
        <w:t>izglītības programmu</w:t>
      </w:r>
      <w:r w:rsidRPr="00422D2A">
        <w:rPr>
          <w:rFonts w:ascii="Times New Roman" w:hAnsi="Times New Roman"/>
          <w:sz w:val="24"/>
          <w:szCs w:val="24"/>
        </w:rPr>
        <w:t xml:space="preserve"> pedagogu darba samaksai un valsts sociālās apdrošināšanas obligātajām iemaksām sastādīja </w:t>
      </w:r>
      <w:r w:rsidR="00370813">
        <w:rPr>
          <w:rFonts w:ascii="Times New Roman" w:hAnsi="Times New Roman"/>
          <w:sz w:val="24"/>
          <w:szCs w:val="24"/>
        </w:rPr>
        <w:t>272,0</w:t>
      </w:r>
      <w:r w:rsidRPr="00422D2A">
        <w:rPr>
          <w:rFonts w:ascii="Times New Roman" w:hAnsi="Times New Roman"/>
          <w:sz w:val="24"/>
          <w:szCs w:val="24"/>
        </w:rPr>
        <w:t xml:space="preserve"> milj. EUR, </w:t>
      </w:r>
      <w:r w:rsidR="00370813">
        <w:rPr>
          <w:rFonts w:ascii="Times New Roman" w:hAnsi="Times New Roman"/>
          <w:sz w:val="24"/>
          <w:szCs w:val="24"/>
        </w:rPr>
        <w:t>tajā skaitā</w:t>
      </w:r>
      <w:r w:rsidR="00370813" w:rsidRPr="00422D2A">
        <w:rPr>
          <w:rFonts w:ascii="Times New Roman" w:hAnsi="Times New Roman"/>
          <w:sz w:val="24"/>
          <w:szCs w:val="24"/>
        </w:rPr>
        <w:t xml:space="preserve"> </w:t>
      </w:r>
      <w:r w:rsidRPr="00422D2A">
        <w:rPr>
          <w:rFonts w:ascii="Times New Roman" w:hAnsi="Times New Roman"/>
          <w:sz w:val="24"/>
          <w:szCs w:val="24"/>
        </w:rPr>
        <w:t>mērķdotācijas pašvaldību profesionālās izglītības iestādēm pedagogu darba samaksai veidoja 1,</w:t>
      </w:r>
      <w:r w:rsidR="00370813">
        <w:rPr>
          <w:rFonts w:ascii="Times New Roman" w:hAnsi="Times New Roman"/>
          <w:sz w:val="24"/>
          <w:szCs w:val="24"/>
        </w:rPr>
        <w:t>4</w:t>
      </w:r>
      <w:r w:rsidRPr="00422D2A">
        <w:rPr>
          <w:rFonts w:ascii="Times New Roman" w:hAnsi="Times New Roman"/>
          <w:sz w:val="24"/>
          <w:szCs w:val="24"/>
        </w:rPr>
        <w:t xml:space="preserve"> milj. EUR.</w:t>
      </w:r>
      <w:r>
        <w:rPr>
          <w:rFonts w:ascii="Times New Roman" w:hAnsi="Times New Roman"/>
          <w:sz w:val="24"/>
          <w:szCs w:val="24"/>
        </w:rPr>
        <w:t xml:space="preserve"> </w:t>
      </w:r>
    </w:p>
    <w:p w14:paraId="248FEF9A" w14:textId="24BC94A7" w:rsidR="00CF01AA" w:rsidRDefault="00CF01AA" w:rsidP="004E229C">
      <w:pPr>
        <w:spacing w:after="120" w:line="276" w:lineRule="auto"/>
        <w:jc w:val="both"/>
        <w:rPr>
          <w:rFonts w:ascii="Times New Roman" w:eastAsia="Times New Roman" w:hAnsi="Times New Roman" w:cs="Times New Roman"/>
          <w:sz w:val="24"/>
          <w:szCs w:val="24"/>
        </w:rPr>
      </w:pPr>
      <w:r w:rsidRPr="005B4702">
        <w:rPr>
          <w:rFonts w:ascii="Times New Roman" w:eastAsia="Times New Roman" w:hAnsi="Times New Roman" w:cs="Times New Roman"/>
          <w:sz w:val="24"/>
          <w:szCs w:val="24"/>
        </w:rPr>
        <w:t xml:space="preserve">Profesionālās </w:t>
      </w:r>
      <w:r w:rsidR="002F7905">
        <w:rPr>
          <w:rFonts w:ascii="Times New Roman" w:hAnsi="Times New Roman" w:cs="Times New Roman"/>
          <w:sz w:val="24"/>
          <w:szCs w:val="24"/>
        </w:rPr>
        <w:t>izglītības programmu</w:t>
      </w:r>
      <w:r w:rsidRPr="005B47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īstenošanai</w:t>
      </w:r>
      <w:r w:rsidRPr="005B4702">
        <w:rPr>
          <w:rFonts w:ascii="Times New Roman" w:eastAsia="Times New Roman" w:hAnsi="Times New Roman" w:cs="Times New Roman"/>
          <w:sz w:val="24"/>
          <w:szCs w:val="24"/>
        </w:rPr>
        <w:t xml:space="preserve"> valsts budžeta dotācija </w:t>
      </w:r>
      <w:r w:rsidR="00370813" w:rsidRPr="005B4702">
        <w:rPr>
          <w:rFonts w:ascii="Times New Roman" w:eastAsia="Times New Roman" w:hAnsi="Times New Roman" w:cs="Times New Roman"/>
          <w:sz w:val="24"/>
          <w:szCs w:val="24"/>
        </w:rPr>
        <w:t>201</w:t>
      </w:r>
      <w:r w:rsidR="00370813">
        <w:rPr>
          <w:rFonts w:ascii="Times New Roman" w:eastAsia="Times New Roman" w:hAnsi="Times New Roman" w:cs="Times New Roman"/>
          <w:sz w:val="24"/>
          <w:szCs w:val="24"/>
        </w:rPr>
        <w:t>9</w:t>
      </w:r>
      <w:r w:rsidRPr="005B4702">
        <w:rPr>
          <w:rFonts w:ascii="Times New Roman" w:eastAsia="Times New Roman" w:hAnsi="Times New Roman" w:cs="Times New Roman"/>
          <w:sz w:val="24"/>
          <w:szCs w:val="24"/>
        </w:rPr>
        <w:t xml:space="preserve">.gadā veidoja </w:t>
      </w:r>
      <w:r w:rsidR="00370813">
        <w:rPr>
          <w:rFonts w:ascii="Times New Roman" w:eastAsia="Times New Roman" w:hAnsi="Times New Roman" w:cs="Times New Roman"/>
          <w:sz w:val="24"/>
          <w:szCs w:val="24"/>
        </w:rPr>
        <w:t>71,8</w:t>
      </w:r>
      <w:r w:rsidR="00646363">
        <w:rPr>
          <w:rFonts w:ascii="Times New Roman" w:eastAsia="Times New Roman" w:hAnsi="Times New Roman" w:cs="Times New Roman"/>
          <w:sz w:val="24"/>
          <w:szCs w:val="24"/>
        </w:rPr>
        <w:t> </w:t>
      </w:r>
      <w:r w:rsidRPr="005B4702">
        <w:rPr>
          <w:rFonts w:ascii="Times New Roman" w:eastAsia="Times New Roman" w:hAnsi="Times New Roman" w:cs="Times New Roman"/>
          <w:sz w:val="24"/>
          <w:szCs w:val="24"/>
        </w:rPr>
        <w:t>milj. EUR</w:t>
      </w:r>
      <w:r>
        <w:rPr>
          <w:rFonts w:ascii="Times New Roman" w:eastAsia="Times New Roman" w:hAnsi="Times New Roman" w:cs="Times New Roman"/>
          <w:sz w:val="24"/>
          <w:szCs w:val="24"/>
        </w:rPr>
        <w:t xml:space="preserve"> (IZM resora)</w:t>
      </w:r>
      <w:r w:rsidRPr="005B47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Līdz 2017.gada 31.augustam valsts finansējums 683 tūkst. EUR apmērā tika piešķirts piecu pašvaldību profesionālās izglītības iestāžu profesionālās </w:t>
      </w:r>
      <w:r w:rsidR="002F7905">
        <w:rPr>
          <w:rFonts w:ascii="Times New Roman" w:hAnsi="Times New Roman" w:cs="Times New Roman"/>
          <w:sz w:val="24"/>
          <w:szCs w:val="24"/>
        </w:rPr>
        <w:t>izglītības programmu</w:t>
      </w:r>
      <w:r>
        <w:rPr>
          <w:rFonts w:ascii="Times New Roman" w:eastAsia="Times New Roman" w:hAnsi="Times New Roman" w:cs="Times New Roman"/>
          <w:sz w:val="24"/>
          <w:szCs w:val="24"/>
        </w:rPr>
        <w:t xml:space="preserve"> īstenošanai - </w:t>
      </w:r>
      <w:r w:rsidRPr="00DF6F76">
        <w:rPr>
          <w:rFonts w:ascii="Times New Roman" w:eastAsia="Times New Roman" w:hAnsi="Times New Roman" w:cs="Times New Roman"/>
          <w:sz w:val="24"/>
          <w:szCs w:val="24"/>
        </w:rPr>
        <w:t>Cēsu Profesionālā vidusskola</w:t>
      </w:r>
      <w:r>
        <w:rPr>
          <w:rFonts w:ascii="Times New Roman" w:eastAsia="Times New Roman" w:hAnsi="Times New Roman" w:cs="Times New Roman"/>
          <w:sz w:val="24"/>
          <w:szCs w:val="24"/>
        </w:rPr>
        <w:t xml:space="preserve"> (šobrīd Vidzemes Tehnoloģiju un Dizaina tehnikums), </w:t>
      </w:r>
      <w:r w:rsidRPr="00DF6F76">
        <w:rPr>
          <w:rFonts w:ascii="Times New Roman" w:eastAsia="Times New Roman" w:hAnsi="Times New Roman" w:cs="Times New Roman"/>
          <w:sz w:val="24"/>
          <w:szCs w:val="24"/>
        </w:rPr>
        <w:t>Vecbebru Profesionālā</w:t>
      </w:r>
      <w:r>
        <w:rPr>
          <w:rFonts w:ascii="Times New Roman" w:eastAsia="Times New Roman" w:hAnsi="Times New Roman" w:cs="Times New Roman"/>
          <w:sz w:val="24"/>
          <w:szCs w:val="24"/>
        </w:rPr>
        <w:t xml:space="preserve"> un vispārizglītojošā internāt</w:t>
      </w:r>
      <w:r w:rsidRPr="00DF6F76">
        <w:rPr>
          <w:rFonts w:ascii="Times New Roman" w:eastAsia="Times New Roman" w:hAnsi="Times New Roman" w:cs="Times New Roman"/>
          <w:sz w:val="24"/>
          <w:szCs w:val="24"/>
        </w:rPr>
        <w:t>vidusskola (</w:t>
      </w:r>
      <w:r>
        <w:rPr>
          <w:rFonts w:ascii="Times New Roman" w:eastAsia="Times New Roman" w:hAnsi="Times New Roman" w:cs="Times New Roman"/>
          <w:sz w:val="24"/>
          <w:szCs w:val="24"/>
        </w:rPr>
        <w:t>2017.gadā likvidēta), Mālpils</w:t>
      </w:r>
      <w:r w:rsidRPr="00DF6F76">
        <w:rPr>
          <w:rFonts w:ascii="Times New Roman" w:eastAsia="Times New Roman" w:hAnsi="Times New Roman" w:cs="Times New Roman"/>
          <w:sz w:val="24"/>
          <w:szCs w:val="24"/>
        </w:rPr>
        <w:t xml:space="preserve"> Profesionālā vidusskola</w:t>
      </w:r>
      <w:r>
        <w:rPr>
          <w:rFonts w:ascii="Times New Roman" w:eastAsia="Times New Roman" w:hAnsi="Times New Roman" w:cs="Times New Roman"/>
          <w:sz w:val="24"/>
          <w:szCs w:val="24"/>
        </w:rPr>
        <w:t xml:space="preserve"> (2017.gadā likvidēta)</w:t>
      </w:r>
      <w:r w:rsidRPr="007C0932">
        <w:rPr>
          <w:rFonts w:ascii="Times New Roman" w:eastAsia="Times New Roman" w:hAnsi="Times New Roman" w:cs="Times New Roman"/>
          <w:sz w:val="24"/>
          <w:szCs w:val="24"/>
        </w:rPr>
        <w:t>, Apguldes Profesionālā vidusskola (šobrīd - Dobeles Amatniecības un vispārizglītojošās vidusskolas struktūrvienība Apguldē), Zaļenieku</w:t>
      </w:r>
      <w:r w:rsidRPr="00DF6F76">
        <w:rPr>
          <w:rFonts w:ascii="Times New Roman" w:eastAsia="Times New Roman" w:hAnsi="Times New Roman" w:cs="Times New Roman"/>
          <w:sz w:val="24"/>
          <w:szCs w:val="24"/>
        </w:rPr>
        <w:t xml:space="preserve"> Profesionālā vidusskola (šobrīd integrēta izglītības iestāde - Zaļenieku komerciā</w:t>
      </w:r>
      <w:r>
        <w:rPr>
          <w:rFonts w:ascii="Times New Roman" w:eastAsia="Times New Roman" w:hAnsi="Times New Roman" w:cs="Times New Roman"/>
          <w:sz w:val="24"/>
          <w:szCs w:val="24"/>
        </w:rPr>
        <w:t xml:space="preserve">lā un amatniecības vidusskola). </w:t>
      </w:r>
    </w:p>
    <w:p w14:paraId="40E7B924" w14:textId="743F17FA" w:rsidR="00CF01AA" w:rsidRPr="008A239A" w:rsidRDefault="00CF01AA" w:rsidP="004E229C">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Šobrīd profesionālās </w:t>
      </w:r>
      <w:r w:rsidR="002F7905">
        <w:rPr>
          <w:rFonts w:ascii="Times New Roman" w:hAnsi="Times New Roman" w:cs="Times New Roman"/>
          <w:sz w:val="24"/>
          <w:szCs w:val="24"/>
        </w:rPr>
        <w:t>izglītības programmas</w:t>
      </w:r>
      <w:r>
        <w:rPr>
          <w:rFonts w:ascii="Times New Roman" w:eastAsia="Times New Roman" w:hAnsi="Times New Roman" w:cs="Times New Roman"/>
          <w:sz w:val="24"/>
          <w:szCs w:val="24"/>
        </w:rPr>
        <w:t xml:space="preserve"> tiek īstenotas </w:t>
      </w:r>
      <w:r w:rsidR="00370813">
        <w:rPr>
          <w:rFonts w:ascii="Times New Roman" w:eastAsia="Times New Roman" w:hAnsi="Times New Roman" w:cs="Times New Roman"/>
          <w:sz w:val="24"/>
          <w:szCs w:val="24"/>
        </w:rPr>
        <w:t xml:space="preserve">septiņās </w:t>
      </w:r>
      <w:r>
        <w:rPr>
          <w:rFonts w:ascii="Times New Roman" w:eastAsia="Times New Roman" w:hAnsi="Times New Roman" w:cs="Times New Roman"/>
          <w:sz w:val="24"/>
          <w:szCs w:val="24"/>
        </w:rPr>
        <w:t xml:space="preserve">pašvaldību izglītības iestādēs - </w:t>
      </w:r>
      <w:r w:rsidRPr="007C0932">
        <w:rPr>
          <w:rFonts w:ascii="Times New Roman" w:eastAsia="Times New Roman" w:hAnsi="Times New Roman" w:cs="Times New Roman"/>
          <w:sz w:val="24"/>
          <w:szCs w:val="24"/>
        </w:rPr>
        <w:t>Dobeles Am</w:t>
      </w:r>
      <w:r>
        <w:rPr>
          <w:rFonts w:ascii="Times New Roman" w:eastAsia="Times New Roman" w:hAnsi="Times New Roman" w:cs="Times New Roman"/>
          <w:sz w:val="24"/>
          <w:szCs w:val="24"/>
        </w:rPr>
        <w:t xml:space="preserve">atniecības un vispārizglītojošajā vidusskolā, </w:t>
      </w:r>
      <w:r w:rsidRPr="00DF6F76">
        <w:rPr>
          <w:rFonts w:ascii="Times New Roman" w:eastAsia="Times New Roman" w:hAnsi="Times New Roman" w:cs="Times New Roman"/>
          <w:sz w:val="24"/>
          <w:szCs w:val="24"/>
        </w:rPr>
        <w:t>Zaļenieku komerciā</w:t>
      </w:r>
      <w:r>
        <w:rPr>
          <w:rFonts w:ascii="Times New Roman" w:eastAsia="Times New Roman" w:hAnsi="Times New Roman" w:cs="Times New Roman"/>
          <w:sz w:val="24"/>
          <w:szCs w:val="24"/>
        </w:rPr>
        <w:t xml:space="preserve">lajā un amatniecības vidusskolā, Bebrenes vispārizglītojošajā un profesionālajā vidusskolā, Jelgavas Amatu vidusskolā, Balvu profesionālajā un vispārizglītojošajā vidusskolā. Mākslas jomas profesionālās </w:t>
      </w:r>
      <w:r w:rsidR="00DC2B96">
        <w:rPr>
          <w:rFonts w:ascii="Times New Roman" w:eastAsia="Times New Roman" w:hAnsi="Times New Roman" w:cs="Times New Roman"/>
          <w:sz w:val="24"/>
          <w:szCs w:val="24"/>
        </w:rPr>
        <w:t>izglītības programmas</w:t>
      </w:r>
      <w:r>
        <w:rPr>
          <w:rFonts w:ascii="Times New Roman" w:eastAsia="Times New Roman" w:hAnsi="Times New Roman" w:cs="Times New Roman"/>
          <w:sz w:val="24"/>
          <w:szCs w:val="24"/>
        </w:rPr>
        <w:t xml:space="preserve"> īsteno arī Valmieras Dizaina un mākslas vidusskola un </w:t>
      </w:r>
      <w:r w:rsidRPr="001F6961">
        <w:rPr>
          <w:rFonts w:ascii="Times New Roman" w:eastAsia="Times New Roman" w:hAnsi="Times New Roman" w:cs="Times New Roman"/>
          <w:sz w:val="24"/>
          <w:szCs w:val="24"/>
        </w:rPr>
        <w:t xml:space="preserve">Profesionālās izglītības kompetences centrs </w:t>
      </w:r>
      <w:r>
        <w:rPr>
          <w:rFonts w:ascii="Times New Roman" w:eastAsia="Times New Roman" w:hAnsi="Times New Roman" w:cs="Times New Roman"/>
          <w:sz w:val="24"/>
          <w:szCs w:val="24"/>
        </w:rPr>
        <w:t>“</w:t>
      </w:r>
      <w:r w:rsidRPr="001F6961">
        <w:rPr>
          <w:rFonts w:ascii="Times New Roman" w:eastAsia="Times New Roman" w:hAnsi="Times New Roman" w:cs="Times New Roman"/>
          <w:sz w:val="24"/>
          <w:szCs w:val="24"/>
        </w:rPr>
        <w:t>Daugavpils</w:t>
      </w:r>
      <w:r>
        <w:rPr>
          <w:rFonts w:ascii="Times New Roman" w:eastAsia="Times New Roman" w:hAnsi="Times New Roman" w:cs="Times New Roman"/>
          <w:sz w:val="24"/>
          <w:szCs w:val="24"/>
        </w:rPr>
        <w:t xml:space="preserve"> Dizaina un mākslas vidusskola “Saules skola””.</w:t>
      </w:r>
    </w:p>
    <w:p w14:paraId="5E5C62A1" w14:textId="7FABE39C" w:rsidR="00CF01AA" w:rsidRDefault="00CF01AA" w:rsidP="004E229C">
      <w:pPr>
        <w:spacing w:after="120" w:line="276" w:lineRule="auto"/>
        <w:jc w:val="both"/>
        <w:rPr>
          <w:rFonts w:ascii="Times New Roman" w:eastAsia="Times New Roman" w:hAnsi="Times New Roman" w:cs="Times New Roman"/>
          <w:sz w:val="24"/>
          <w:szCs w:val="24"/>
        </w:rPr>
      </w:pPr>
      <w:r w:rsidRPr="00AE59AE">
        <w:rPr>
          <w:rFonts w:ascii="Times New Roman" w:eastAsia="Times New Roman" w:hAnsi="Times New Roman" w:cs="Times New Roman"/>
          <w:sz w:val="24"/>
          <w:szCs w:val="24"/>
        </w:rPr>
        <w:t xml:space="preserve">Profesionālās </w:t>
      </w:r>
      <w:r w:rsidR="002F7905">
        <w:rPr>
          <w:rFonts w:ascii="Times New Roman" w:hAnsi="Times New Roman" w:cs="Times New Roman"/>
          <w:sz w:val="24"/>
          <w:szCs w:val="24"/>
        </w:rPr>
        <w:t>izglītības programmu</w:t>
      </w:r>
      <w:r w:rsidRPr="00AE59AE">
        <w:rPr>
          <w:rFonts w:ascii="Times New Roman" w:eastAsia="Times New Roman" w:hAnsi="Times New Roman" w:cs="Times New Roman"/>
          <w:sz w:val="24"/>
          <w:szCs w:val="24"/>
        </w:rPr>
        <w:t xml:space="preserve"> īstenošanas izmaksu finansēšana notiek saskaņā ar Ministru kabineta 2007.gada 2.oktobra noteikumiem Nr. 655 “Noteikumi par profesionālas izglītības programmu īstenošanas izmaksu minimumu uz vienu izglītojamo” (turpmāk – MK noteikumi Nr. 655). Latvijas profesionālas izglītības finansēšanas</w:t>
      </w:r>
      <w:r w:rsidR="00D96F86">
        <w:rPr>
          <w:rFonts w:ascii="Times New Roman" w:eastAsia="Times New Roman" w:hAnsi="Times New Roman" w:cs="Times New Roman"/>
          <w:sz w:val="24"/>
          <w:szCs w:val="24"/>
        </w:rPr>
        <w:t xml:space="preserve"> programmu</w:t>
      </w:r>
      <w:r w:rsidRPr="00AE59AE">
        <w:rPr>
          <w:rFonts w:ascii="Times New Roman" w:eastAsia="Times New Roman" w:hAnsi="Times New Roman" w:cs="Times New Roman"/>
          <w:sz w:val="24"/>
          <w:szCs w:val="24"/>
        </w:rPr>
        <w:t xml:space="preserve"> pašreizējais modelis paredz profesionālās izglītības iestādei finansējumu piešķirt pēc viena izglītojamā izmaksām konkrētās </w:t>
      </w:r>
      <w:r w:rsidR="002F7905">
        <w:rPr>
          <w:rFonts w:ascii="Times New Roman" w:eastAsia="Times New Roman" w:hAnsi="Times New Roman" w:cs="Times New Roman"/>
          <w:sz w:val="24"/>
          <w:szCs w:val="24"/>
        </w:rPr>
        <w:t>IP</w:t>
      </w:r>
      <w:r w:rsidRPr="00AE59AE">
        <w:rPr>
          <w:rFonts w:ascii="Times New Roman" w:eastAsia="Times New Roman" w:hAnsi="Times New Roman" w:cs="Times New Roman"/>
          <w:sz w:val="24"/>
          <w:szCs w:val="24"/>
        </w:rPr>
        <w:t xml:space="preserve"> grupās,</w:t>
      </w:r>
      <w:r w:rsidRPr="00AE59AE">
        <w:rPr>
          <w:rFonts w:ascii="Times New Roman" w:hAnsi="Times New Roman" w:cs="Times New Roman"/>
          <w:sz w:val="24"/>
          <w:szCs w:val="24"/>
        </w:rPr>
        <w:t xml:space="preserve"> diferencējot normējamās izmaksas ar katrai </w:t>
      </w:r>
      <w:r w:rsidR="002F7905">
        <w:rPr>
          <w:rFonts w:ascii="Times New Roman" w:eastAsia="Times New Roman" w:hAnsi="Times New Roman" w:cs="Times New Roman"/>
          <w:sz w:val="24"/>
          <w:szCs w:val="24"/>
        </w:rPr>
        <w:t>i</w:t>
      </w:r>
      <w:r w:rsidR="002F7905">
        <w:rPr>
          <w:rFonts w:ascii="Times New Roman" w:hAnsi="Times New Roman" w:cs="Times New Roman"/>
          <w:sz w:val="24"/>
          <w:szCs w:val="24"/>
        </w:rPr>
        <w:t>zglītības programmu</w:t>
      </w:r>
      <w:r w:rsidRPr="00AE59AE">
        <w:rPr>
          <w:rFonts w:ascii="Times New Roman" w:eastAsia="Times New Roman" w:hAnsi="Times New Roman" w:cs="Times New Roman"/>
          <w:sz w:val="24"/>
          <w:szCs w:val="24"/>
        </w:rPr>
        <w:t xml:space="preserve"> grupai noteikto izmaksu minimālo koeficientu.</w:t>
      </w:r>
    </w:p>
    <w:p w14:paraId="0F868A71" w14:textId="4312AA04" w:rsidR="009B14D1" w:rsidRPr="00A104FC" w:rsidRDefault="009B14D1" w:rsidP="00A510E4">
      <w:pPr>
        <w:pStyle w:val="Heading2"/>
        <w:numPr>
          <w:ilvl w:val="1"/>
          <w:numId w:val="3"/>
        </w:numPr>
        <w:spacing w:before="0" w:after="120" w:line="276" w:lineRule="auto"/>
        <w:ind w:left="1077"/>
        <w:jc w:val="center"/>
        <w:rPr>
          <w:rFonts w:ascii="Times New Roman" w:eastAsia="Times New Roman" w:hAnsi="Times New Roman" w:cs="Times New Roman"/>
          <w:b/>
          <w:color w:val="000000" w:themeColor="text1"/>
          <w:sz w:val="24"/>
          <w:szCs w:val="24"/>
        </w:rPr>
      </w:pPr>
      <w:bookmarkStart w:id="4" w:name="_Toc53136178"/>
      <w:r w:rsidRPr="00A104FC">
        <w:rPr>
          <w:rFonts w:ascii="Times New Roman" w:eastAsia="Times New Roman" w:hAnsi="Times New Roman" w:cs="Times New Roman"/>
          <w:b/>
          <w:color w:val="000000" w:themeColor="text1"/>
          <w:sz w:val="24"/>
          <w:szCs w:val="24"/>
        </w:rPr>
        <w:t>Izglītojamo uzņemšanas plānošana profesionālās izglītības programmās</w:t>
      </w:r>
      <w:bookmarkEnd w:id="4"/>
    </w:p>
    <w:p w14:paraId="5FB5AD8F" w14:textId="47FF59B1" w:rsidR="007F3040" w:rsidRDefault="009B14D1" w:rsidP="004E229C">
      <w:pPr>
        <w:spacing w:after="120" w:line="276" w:lineRule="auto"/>
        <w:jc w:val="both"/>
        <w:rPr>
          <w:rFonts w:ascii="Times New Roman" w:hAnsi="Times New Roman" w:cs="Times New Roman"/>
          <w:sz w:val="24"/>
          <w:szCs w:val="24"/>
        </w:rPr>
      </w:pPr>
      <w:r w:rsidRPr="001A7CAB">
        <w:rPr>
          <w:rFonts w:ascii="Times New Roman" w:hAnsi="Times New Roman" w:cs="Times New Roman"/>
          <w:sz w:val="24"/>
          <w:szCs w:val="24"/>
        </w:rPr>
        <w:t>Lai sekmētu attiecīgās nozares profesionālās izglītības efektivitātes un kvalitātes paaugstināšanu un veicinātu profesionālās izglītības atbilstību darba tirgus prasībām, ir izveidotas un darbojas</w:t>
      </w:r>
      <w:r>
        <w:rPr>
          <w:rFonts w:ascii="Times New Roman" w:eastAsia="MS PGothic" w:hAnsi="Times New Roman" w:cs="Times New Roman"/>
          <w:color w:val="000000"/>
          <w:kern w:val="24"/>
          <w:sz w:val="24"/>
          <w:szCs w:val="24"/>
        </w:rPr>
        <w:t xml:space="preserve"> </w:t>
      </w:r>
      <w:r w:rsidR="00763182">
        <w:rPr>
          <w:rFonts w:ascii="Times New Roman" w:eastAsia="MS PGothic" w:hAnsi="Times New Roman" w:cs="Times New Roman"/>
          <w:color w:val="000000"/>
          <w:kern w:val="24"/>
          <w:sz w:val="24"/>
          <w:szCs w:val="24"/>
        </w:rPr>
        <w:t xml:space="preserve">Nozaru ekspertu padomes (turpmāk – </w:t>
      </w:r>
      <w:r>
        <w:rPr>
          <w:rFonts w:ascii="Times New Roman" w:eastAsia="MS PGothic" w:hAnsi="Times New Roman" w:cs="Times New Roman"/>
          <w:color w:val="000000"/>
          <w:kern w:val="24"/>
          <w:sz w:val="24"/>
          <w:szCs w:val="24"/>
        </w:rPr>
        <w:t>NEP</w:t>
      </w:r>
      <w:r w:rsidR="00763182">
        <w:rPr>
          <w:rFonts w:ascii="Times New Roman" w:eastAsia="MS PGothic" w:hAnsi="Times New Roman" w:cs="Times New Roman"/>
          <w:color w:val="000000"/>
          <w:kern w:val="24"/>
          <w:sz w:val="24"/>
          <w:szCs w:val="24"/>
        </w:rPr>
        <w:t>)</w:t>
      </w:r>
      <w:r w:rsidRPr="001A7CAB">
        <w:rPr>
          <w:rFonts w:ascii="Times New Roman" w:hAnsi="Times New Roman" w:cs="Times New Roman"/>
          <w:sz w:val="24"/>
          <w:szCs w:val="24"/>
        </w:rPr>
        <w:t xml:space="preserve">. Saskaņā ar Profesionālās izglītības likuma 12.panta otrās daļas 1.punktu </w:t>
      </w:r>
      <w:r>
        <w:rPr>
          <w:rFonts w:ascii="Times New Roman" w:hAnsi="Times New Roman" w:cs="Times New Roman"/>
          <w:sz w:val="24"/>
          <w:szCs w:val="24"/>
        </w:rPr>
        <w:t>NEP</w:t>
      </w:r>
      <w:r w:rsidRPr="001A7CAB">
        <w:rPr>
          <w:rFonts w:ascii="Times New Roman" w:hAnsi="Times New Roman" w:cs="Times New Roman"/>
          <w:sz w:val="24"/>
          <w:szCs w:val="24"/>
        </w:rPr>
        <w:t xml:space="preserve"> sniedz priekšlikumus </w:t>
      </w:r>
      <w:r>
        <w:rPr>
          <w:rFonts w:ascii="Times New Roman" w:eastAsia="MS PGothic" w:hAnsi="Times New Roman" w:cs="Times New Roman"/>
          <w:color w:val="000000"/>
          <w:kern w:val="24"/>
          <w:sz w:val="24"/>
          <w:szCs w:val="24"/>
        </w:rPr>
        <w:t xml:space="preserve">par nozarēm nepieciešamo izglītojamo skaitu profesionālās </w:t>
      </w:r>
      <w:r w:rsidR="002F7905">
        <w:rPr>
          <w:rFonts w:ascii="Times New Roman" w:hAnsi="Times New Roman" w:cs="Times New Roman"/>
          <w:sz w:val="24"/>
          <w:szCs w:val="24"/>
        </w:rPr>
        <w:t>izglītības programmās</w:t>
      </w:r>
      <w:r w:rsidR="002F7905" w:rsidRPr="00BF5F22">
        <w:rPr>
          <w:rFonts w:ascii="Times New Roman" w:hAnsi="Times New Roman" w:cs="Times New Roman"/>
          <w:sz w:val="24"/>
          <w:szCs w:val="24"/>
        </w:rPr>
        <w:t xml:space="preserve"> </w:t>
      </w:r>
      <w:r>
        <w:rPr>
          <w:rFonts w:ascii="Times New Roman" w:eastAsia="MS PGothic" w:hAnsi="Times New Roman" w:cs="Times New Roman"/>
          <w:color w:val="000000"/>
          <w:kern w:val="24"/>
          <w:sz w:val="24"/>
          <w:szCs w:val="24"/>
        </w:rPr>
        <w:t>turpmākajiem trīs gadiem, balstoties uz</w:t>
      </w:r>
      <w:r w:rsidRPr="0059428D">
        <w:rPr>
          <w:rFonts w:ascii="Times New Roman" w:eastAsia="MS PGothic" w:hAnsi="Times New Roman" w:cs="Times New Roman"/>
          <w:color w:val="000000"/>
          <w:kern w:val="24"/>
          <w:sz w:val="24"/>
          <w:szCs w:val="24"/>
        </w:rPr>
        <w:t xml:space="preserve"> Ekonomikas ministrijas darba tirgus vidēja </w:t>
      </w:r>
      <w:r>
        <w:rPr>
          <w:rFonts w:ascii="Times New Roman" w:eastAsia="MS PGothic" w:hAnsi="Times New Roman" w:cs="Times New Roman"/>
          <w:color w:val="000000"/>
          <w:kern w:val="24"/>
          <w:sz w:val="24"/>
          <w:szCs w:val="24"/>
        </w:rPr>
        <w:t>termiņa un ilgtermiņa prognozēm.</w:t>
      </w:r>
      <w:r w:rsidRPr="00C16077">
        <w:rPr>
          <w:rFonts w:ascii="Times New Roman" w:hAnsi="Times New Roman" w:cs="Times New Roman"/>
          <w:sz w:val="24"/>
          <w:szCs w:val="24"/>
        </w:rPr>
        <w:t xml:space="preserve"> </w:t>
      </w:r>
      <w:r w:rsidR="00EE32CC">
        <w:rPr>
          <w:rFonts w:ascii="Times New Roman" w:eastAsia="Times New Roman" w:hAnsi="Times New Roman" w:cs="Times New Roman"/>
          <w:sz w:val="24"/>
          <w:szCs w:val="24"/>
        </w:rPr>
        <w:t>Ziņojumā sniegts ieskats i</w:t>
      </w:r>
      <w:r w:rsidR="00EE32CC" w:rsidRPr="00EC4A25">
        <w:rPr>
          <w:rFonts w:ascii="Times New Roman" w:eastAsia="Times New Roman" w:hAnsi="Times New Roman" w:cs="Times New Roman"/>
          <w:sz w:val="24"/>
          <w:szCs w:val="24"/>
        </w:rPr>
        <w:t>zglītojamo uzņemšanas plānošana</w:t>
      </w:r>
      <w:r w:rsidR="00EE32CC">
        <w:rPr>
          <w:rFonts w:ascii="Times New Roman" w:eastAsia="Times New Roman" w:hAnsi="Times New Roman" w:cs="Times New Roman"/>
          <w:sz w:val="24"/>
          <w:szCs w:val="24"/>
        </w:rPr>
        <w:t>s procesā</w:t>
      </w:r>
      <w:r w:rsidR="00EE32CC" w:rsidRPr="00EC4A25">
        <w:rPr>
          <w:rFonts w:ascii="Times New Roman" w:eastAsia="Times New Roman" w:hAnsi="Times New Roman" w:cs="Times New Roman"/>
          <w:sz w:val="24"/>
          <w:szCs w:val="24"/>
        </w:rPr>
        <w:t xml:space="preserve"> profesionālās </w:t>
      </w:r>
      <w:r w:rsidR="00EE32CC">
        <w:rPr>
          <w:rFonts w:ascii="Times New Roman" w:hAnsi="Times New Roman" w:cs="Times New Roman"/>
          <w:sz w:val="24"/>
          <w:szCs w:val="24"/>
        </w:rPr>
        <w:t>izglītības programmās IZM padotībā esošajās izglītības iestādēs</w:t>
      </w:r>
      <w:r w:rsidR="00EE32CC">
        <w:rPr>
          <w:rFonts w:ascii="Times New Roman" w:eastAsia="Times New Roman" w:hAnsi="Times New Roman" w:cs="Times New Roman"/>
          <w:sz w:val="24"/>
          <w:szCs w:val="24"/>
        </w:rPr>
        <w:t>.</w:t>
      </w:r>
    </w:p>
    <w:p w14:paraId="7E2F999B" w14:textId="11A6C870" w:rsidR="009B14D1" w:rsidRDefault="009B14D1" w:rsidP="004E229C">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IZM</w:t>
      </w:r>
      <w:r w:rsidRPr="00BF5F22">
        <w:rPr>
          <w:rFonts w:ascii="Times New Roman" w:hAnsi="Times New Roman" w:cs="Times New Roman"/>
          <w:sz w:val="24"/>
          <w:szCs w:val="24"/>
        </w:rPr>
        <w:t xml:space="preserve"> </w:t>
      </w:r>
      <w:r>
        <w:rPr>
          <w:rFonts w:ascii="Times New Roman" w:hAnsi="Times New Roman" w:cs="Times New Roman"/>
          <w:sz w:val="24"/>
          <w:szCs w:val="24"/>
        </w:rPr>
        <w:t xml:space="preserve">apkopo NEP </w:t>
      </w:r>
      <w:r w:rsidRPr="00C16077">
        <w:rPr>
          <w:rFonts w:ascii="Times New Roman" w:hAnsi="Times New Roman" w:cs="Times New Roman"/>
          <w:sz w:val="24"/>
          <w:szCs w:val="24"/>
        </w:rPr>
        <w:t>saskaņoto izglītojamo vietu skaita pieprasījumu speciālistu sagatavošanai</w:t>
      </w:r>
      <w:r w:rsidR="00966A6E">
        <w:rPr>
          <w:rFonts w:ascii="Times New Roman" w:hAnsi="Times New Roman" w:cs="Times New Roman"/>
          <w:sz w:val="24"/>
          <w:szCs w:val="24"/>
        </w:rPr>
        <w:t xml:space="preserve"> IZM padotībā esošajās izglītības iestādēs</w:t>
      </w:r>
      <w:r>
        <w:rPr>
          <w:rFonts w:ascii="Times New Roman" w:hAnsi="Times New Roman" w:cs="Times New Roman"/>
          <w:sz w:val="24"/>
          <w:szCs w:val="24"/>
        </w:rPr>
        <w:t xml:space="preserve"> un</w:t>
      </w:r>
      <w:r w:rsidRPr="00C16077">
        <w:rPr>
          <w:rFonts w:ascii="Times New Roman" w:hAnsi="Times New Roman" w:cs="Times New Roman"/>
          <w:sz w:val="24"/>
          <w:szCs w:val="24"/>
        </w:rPr>
        <w:t xml:space="preserve"> </w:t>
      </w:r>
      <w:r w:rsidRPr="00BF5F22">
        <w:rPr>
          <w:rFonts w:ascii="Times New Roman" w:hAnsi="Times New Roman" w:cs="Times New Roman"/>
          <w:sz w:val="24"/>
          <w:szCs w:val="24"/>
        </w:rPr>
        <w:t xml:space="preserve">saskaņā ar Ekonomikas ministrijas darba tirgus vidēja termiņa un ilgtermiņa prognozēm, NEP priekšlikumiem, izglītības iestāžu attīstības un investīciju stratēģijām, ieguldījumiem infrastruktūras un </w:t>
      </w:r>
      <w:r w:rsidR="002F7905">
        <w:rPr>
          <w:rFonts w:ascii="Times New Roman" w:hAnsi="Times New Roman" w:cs="Times New Roman"/>
          <w:sz w:val="24"/>
          <w:szCs w:val="24"/>
        </w:rPr>
        <w:t>izglītības programmu</w:t>
      </w:r>
      <w:r w:rsidR="002F7905" w:rsidRPr="00BF5F22">
        <w:rPr>
          <w:rFonts w:ascii="Times New Roman" w:hAnsi="Times New Roman" w:cs="Times New Roman"/>
          <w:sz w:val="24"/>
          <w:szCs w:val="24"/>
        </w:rPr>
        <w:t xml:space="preserve"> </w:t>
      </w:r>
      <w:r w:rsidRPr="00BF5F22">
        <w:rPr>
          <w:rFonts w:ascii="Times New Roman" w:hAnsi="Times New Roman" w:cs="Times New Roman"/>
          <w:sz w:val="24"/>
          <w:szCs w:val="24"/>
        </w:rPr>
        <w:t xml:space="preserve">modernizēšanā, statistikas rādītājiem, Nozaru kvalifikāciju struktūru, modulāro </w:t>
      </w:r>
      <w:r w:rsidR="002F7905">
        <w:rPr>
          <w:rFonts w:ascii="Times New Roman" w:hAnsi="Times New Roman" w:cs="Times New Roman"/>
          <w:sz w:val="24"/>
          <w:szCs w:val="24"/>
        </w:rPr>
        <w:t>izglītības programmu</w:t>
      </w:r>
      <w:r w:rsidRPr="00BF5F22">
        <w:rPr>
          <w:rFonts w:ascii="Times New Roman" w:hAnsi="Times New Roman" w:cs="Times New Roman"/>
          <w:sz w:val="24"/>
          <w:szCs w:val="24"/>
        </w:rPr>
        <w:t xml:space="preserve"> piedāvājumu, DVB mācībām, </w:t>
      </w:r>
      <w:r>
        <w:rPr>
          <w:rFonts w:ascii="Times New Roman" w:hAnsi="Times New Roman" w:cs="Times New Roman"/>
          <w:sz w:val="24"/>
          <w:szCs w:val="24"/>
        </w:rPr>
        <w:t xml:space="preserve">izglītības satura reformām u.c. izvērtē un analizē NEP sniegtos priekšlikumus </w:t>
      </w:r>
      <w:r w:rsidRPr="00AE694A">
        <w:rPr>
          <w:rFonts w:ascii="Times New Roman" w:hAnsi="Times New Roman" w:cs="Times New Roman"/>
          <w:sz w:val="24"/>
          <w:szCs w:val="24"/>
        </w:rPr>
        <w:t>par nozarēm nepieciešamo izglītojamo skaitu profesionālās izglītības iestādēs</w:t>
      </w:r>
      <w:r>
        <w:rPr>
          <w:rFonts w:ascii="Times New Roman" w:hAnsi="Times New Roman" w:cs="Times New Roman"/>
          <w:sz w:val="24"/>
          <w:szCs w:val="24"/>
        </w:rPr>
        <w:t>.</w:t>
      </w:r>
      <w:r w:rsidRPr="00BF5F22">
        <w:rPr>
          <w:rFonts w:ascii="Times New Roman" w:hAnsi="Times New Roman" w:cs="Times New Roman"/>
          <w:sz w:val="24"/>
          <w:szCs w:val="24"/>
        </w:rPr>
        <w:t xml:space="preserve"> </w:t>
      </w:r>
    </w:p>
    <w:p w14:paraId="0324DC1A" w14:textId="6C72CFE6" w:rsidR="009B14D1" w:rsidRPr="00BB5F48" w:rsidRDefault="009B14D1" w:rsidP="004E229C">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Izglītības iestādes</w:t>
      </w:r>
      <w:r w:rsidRPr="00656FDA">
        <w:rPr>
          <w:rFonts w:ascii="Times New Roman" w:hAnsi="Times New Roman" w:cs="Times New Roman"/>
          <w:sz w:val="24"/>
          <w:szCs w:val="24"/>
        </w:rPr>
        <w:t xml:space="preserve"> izvērtē nākamā budžeta gada uzņemšanas plānus profesionālās </w:t>
      </w:r>
      <w:r w:rsidR="007C7C69">
        <w:rPr>
          <w:rFonts w:ascii="Times New Roman" w:hAnsi="Times New Roman" w:cs="Times New Roman"/>
          <w:sz w:val="24"/>
          <w:szCs w:val="24"/>
        </w:rPr>
        <w:t>izglītības programmās</w:t>
      </w:r>
      <w:r w:rsidRPr="00656FDA">
        <w:rPr>
          <w:rFonts w:ascii="Times New Roman" w:hAnsi="Times New Roman" w:cs="Times New Roman"/>
          <w:sz w:val="24"/>
          <w:szCs w:val="24"/>
        </w:rPr>
        <w:t xml:space="preserve"> un attiecīgo nozaru speciālistu nepieciešamību darba tirgū. Izvērtējot iepriekšējā un esošā mācību gada izglītojamo uzņemšanas gaitu un rezultātus, kā arī NEP un IZM sniegtos priekšlikumus, izglītības iestādes </w:t>
      </w:r>
      <w:r>
        <w:rPr>
          <w:rFonts w:ascii="Times New Roman" w:hAnsi="Times New Roman" w:cs="Times New Roman"/>
          <w:sz w:val="24"/>
          <w:szCs w:val="24"/>
        </w:rPr>
        <w:t xml:space="preserve">prognozē </w:t>
      </w:r>
      <w:r w:rsidRPr="00656FDA">
        <w:rPr>
          <w:rFonts w:ascii="Times New Roman" w:hAnsi="Times New Roman" w:cs="Times New Roman"/>
          <w:sz w:val="24"/>
          <w:szCs w:val="24"/>
        </w:rPr>
        <w:t xml:space="preserve">nākamajā mācību gadā plānoto izglītojamo </w:t>
      </w:r>
      <w:r w:rsidRPr="00BB5F48">
        <w:rPr>
          <w:rFonts w:ascii="Times New Roman" w:hAnsi="Times New Roman" w:cs="Times New Roman"/>
          <w:sz w:val="24"/>
          <w:szCs w:val="24"/>
        </w:rPr>
        <w:t xml:space="preserve">uzņemšanu valsts finansētajās </w:t>
      </w:r>
      <w:r>
        <w:rPr>
          <w:rFonts w:ascii="Times New Roman" w:hAnsi="Times New Roman" w:cs="Times New Roman"/>
          <w:sz w:val="24"/>
          <w:szCs w:val="24"/>
        </w:rPr>
        <w:t>izglītības programmās</w:t>
      </w:r>
      <w:r w:rsidRPr="00BB5F48">
        <w:rPr>
          <w:rFonts w:ascii="Times New Roman" w:hAnsi="Times New Roman" w:cs="Times New Roman"/>
          <w:sz w:val="24"/>
          <w:szCs w:val="24"/>
        </w:rPr>
        <w:t xml:space="preserve">. </w:t>
      </w:r>
    </w:p>
    <w:p w14:paraId="381C909C" w14:textId="5118C807" w:rsidR="009B14D1" w:rsidRDefault="00B910E0" w:rsidP="004E229C">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IZM </w:t>
      </w:r>
      <w:r w:rsidR="009B14D1" w:rsidRPr="00BB5F48">
        <w:rPr>
          <w:rFonts w:ascii="Times New Roman" w:hAnsi="Times New Roman" w:cs="Times New Roman"/>
          <w:sz w:val="24"/>
          <w:szCs w:val="24"/>
        </w:rPr>
        <w:t>izvērtē attiecīgo nozaru speciālistu nepieciešamību darba tirgū un izglītības iestāžu nākamā gada uzņemšanas plānus profesionālās izglītības programmās un tos atkārtoti iesniedz saskaņošanai NEP</w:t>
      </w:r>
      <w:r w:rsidR="009B14D1" w:rsidRPr="006F55F4">
        <w:rPr>
          <w:rFonts w:ascii="Times New Roman" w:hAnsi="Times New Roman" w:cs="Times New Roman"/>
          <w:sz w:val="24"/>
          <w:szCs w:val="24"/>
        </w:rPr>
        <w:t>, kas sniedz atzinumu un priekšlikumus profesionālās izglītības pasūtījumam atbilstoši darba tirgus pieprasījumam.</w:t>
      </w:r>
      <w:r w:rsidR="009B14D1">
        <w:rPr>
          <w:rFonts w:ascii="Times New Roman" w:hAnsi="Times New Roman" w:cs="Times New Roman"/>
          <w:sz w:val="24"/>
          <w:szCs w:val="24"/>
        </w:rPr>
        <w:t xml:space="preserve"> S</w:t>
      </w:r>
      <w:r w:rsidR="009B14D1" w:rsidRPr="00C16077">
        <w:rPr>
          <w:rFonts w:ascii="Times New Roman" w:hAnsi="Times New Roman" w:cs="Times New Roman"/>
          <w:sz w:val="24"/>
          <w:szCs w:val="24"/>
        </w:rPr>
        <w:t xml:space="preserve">askaņā ar </w:t>
      </w:r>
      <w:r w:rsidR="009B14D1">
        <w:rPr>
          <w:rFonts w:ascii="Times New Roman" w:hAnsi="Times New Roman" w:cs="Times New Roman"/>
          <w:sz w:val="24"/>
          <w:szCs w:val="24"/>
        </w:rPr>
        <w:t>NEP atzinumiem</w:t>
      </w:r>
      <w:r w:rsidR="009B14D1" w:rsidRPr="00C16077">
        <w:rPr>
          <w:rFonts w:ascii="Times New Roman" w:hAnsi="Times New Roman" w:cs="Times New Roman"/>
          <w:sz w:val="24"/>
          <w:szCs w:val="24"/>
        </w:rPr>
        <w:t xml:space="preserve"> tiek sagatavots </w:t>
      </w:r>
      <w:r w:rsidR="009B14D1">
        <w:rPr>
          <w:rFonts w:ascii="Times New Roman" w:hAnsi="Times New Roman" w:cs="Times New Roman"/>
          <w:sz w:val="24"/>
          <w:szCs w:val="24"/>
        </w:rPr>
        <w:t xml:space="preserve">no </w:t>
      </w:r>
      <w:r w:rsidR="009B14D1" w:rsidRPr="00AE694A">
        <w:rPr>
          <w:rFonts w:ascii="Times New Roman" w:hAnsi="Times New Roman" w:cs="Times New Roman"/>
          <w:sz w:val="24"/>
          <w:szCs w:val="24"/>
        </w:rPr>
        <w:t>valsts budžeta finansēto izgl</w:t>
      </w:r>
      <w:r w:rsidR="009B14D1">
        <w:rPr>
          <w:rFonts w:ascii="Times New Roman" w:hAnsi="Times New Roman" w:cs="Times New Roman"/>
          <w:sz w:val="24"/>
          <w:szCs w:val="24"/>
        </w:rPr>
        <w:t xml:space="preserve">ītojamo skaita uzņemšanas </w:t>
      </w:r>
      <w:r w:rsidR="009B14D1" w:rsidRPr="00C16077">
        <w:rPr>
          <w:rFonts w:ascii="Times New Roman" w:hAnsi="Times New Roman" w:cs="Times New Roman"/>
          <w:sz w:val="24"/>
          <w:szCs w:val="24"/>
        </w:rPr>
        <w:t>plāns prof</w:t>
      </w:r>
      <w:r w:rsidR="009B14D1">
        <w:rPr>
          <w:rFonts w:ascii="Times New Roman" w:hAnsi="Times New Roman" w:cs="Times New Roman"/>
          <w:sz w:val="24"/>
          <w:szCs w:val="24"/>
        </w:rPr>
        <w:t>esionālās izglītības programmās.</w:t>
      </w:r>
    </w:p>
    <w:p w14:paraId="3AE48F3C" w14:textId="77777777" w:rsidR="009B14D1" w:rsidRDefault="009B14D1" w:rsidP="004E229C">
      <w:pPr>
        <w:spacing w:after="120" w:line="276" w:lineRule="auto"/>
        <w:jc w:val="both"/>
        <w:rPr>
          <w:rFonts w:ascii="Times New Roman" w:hAnsi="Times New Roman" w:cs="Times New Roman"/>
          <w:sz w:val="24"/>
          <w:szCs w:val="24"/>
        </w:rPr>
      </w:pPr>
      <w:r w:rsidRPr="00AE694A">
        <w:rPr>
          <w:rFonts w:ascii="Times New Roman" w:hAnsi="Times New Roman" w:cs="Times New Roman"/>
          <w:sz w:val="24"/>
          <w:szCs w:val="24"/>
        </w:rPr>
        <w:t xml:space="preserve">Saskaņā ar Nacionālās trīspusējās sadarbības padomes </w:t>
      </w:r>
      <w:r w:rsidRPr="00BF5F22">
        <w:rPr>
          <w:rFonts w:ascii="Times New Roman" w:hAnsi="Times New Roman" w:cs="Times New Roman"/>
          <w:sz w:val="24"/>
          <w:szCs w:val="24"/>
        </w:rPr>
        <w:t>Profesionālās izglītības un nodarbinātības trī</w:t>
      </w:r>
      <w:r>
        <w:rPr>
          <w:rFonts w:ascii="Times New Roman" w:hAnsi="Times New Roman" w:cs="Times New Roman"/>
          <w:sz w:val="24"/>
          <w:szCs w:val="24"/>
        </w:rPr>
        <w:t>spusējās sadarbības apakšpadomes</w:t>
      </w:r>
      <w:r w:rsidRPr="00AE694A">
        <w:rPr>
          <w:rFonts w:ascii="Times New Roman" w:hAnsi="Times New Roman" w:cs="Times New Roman"/>
          <w:sz w:val="24"/>
          <w:szCs w:val="24"/>
        </w:rPr>
        <w:t xml:space="preserve"> nolikuma (apstiprināts ar Nacionālās trīspusējās sadarbības padomes 2016.gada 21.aprīļa sēdes lēmumu – Protokola Nr.1. 2.punktu) 4.4.apakšpunktu </w:t>
      </w:r>
      <w:r w:rsidRPr="00BF5F22">
        <w:rPr>
          <w:rFonts w:ascii="Times New Roman" w:hAnsi="Times New Roman" w:cs="Times New Roman"/>
          <w:sz w:val="24"/>
          <w:szCs w:val="24"/>
        </w:rPr>
        <w:t>Profesionālās izglītības un nodarbinātības trī</w:t>
      </w:r>
      <w:r>
        <w:rPr>
          <w:rFonts w:ascii="Times New Roman" w:hAnsi="Times New Roman" w:cs="Times New Roman"/>
          <w:sz w:val="24"/>
          <w:szCs w:val="24"/>
        </w:rPr>
        <w:t xml:space="preserve">spusējās sadarbības apakšpadome (turpmāk – PINTSA) </w:t>
      </w:r>
      <w:r w:rsidRPr="00AE694A">
        <w:rPr>
          <w:rFonts w:ascii="Times New Roman" w:hAnsi="Times New Roman" w:cs="Times New Roman"/>
          <w:sz w:val="24"/>
          <w:szCs w:val="24"/>
        </w:rPr>
        <w:t>saskaņo valsts budžeta  finansēto izglītojamo skaitu profesionālās pamatizglītības, arodizglītības un profesionālās vidējās izglītības programmās valstī kopumā un katrā reģionā.</w:t>
      </w:r>
    </w:p>
    <w:p w14:paraId="6D57C41D" w14:textId="2C1BA2D7" w:rsidR="009B14D1" w:rsidRDefault="009B14D1" w:rsidP="004E229C">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IZM izdod rīkojumu par</w:t>
      </w:r>
      <w:r w:rsidRPr="00BF5F22">
        <w:rPr>
          <w:rFonts w:ascii="Times New Roman" w:hAnsi="Times New Roman" w:cs="Times New Roman"/>
          <w:sz w:val="24"/>
          <w:szCs w:val="24"/>
        </w:rPr>
        <w:t xml:space="preserve"> </w:t>
      </w:r>
      <w:r w:rsidRPr="00C715A0">
        <w:rPr>
          <w:rFonts w:ascii="Times New Roman" w:hAnsi="Times New Roman" w:cs="Times New Roman"/>
          <w:sz w:val="24"/>
          <w:szCs w:val="24"/>
        </w:rPr>
        <w:t xml:space="preserve">valsts finansēto izglītojamo vietu skaitu </w:t>
      </w:r>
      <w:r>
        <w:rPr>
          <w:rFonts w:ascii="Times New Roman" w:hAnsi="Times New Roman" w:cs="Times New Roman"/>
          <w:sz w:val="24"/>
          <w:szCs w:val="24"/>
        </w:rPr>
        <w:t xml:space="preserve">uzņemšanai </w:t>
      </w:r>
      <w:r w:rsidRPr="00C715A0">
        <w:rPr>
          <w:rFonts w:ascii="Times New Roman" w:hAnsi="Times New Roman" w:cs="Times New Roman"/>
          <w:sz w:val="24"/>
          <w:szCs w:val="24"/>
        </w:rPr>
        <w:t>nākamajam gadam</w:t>
      </w:r>
      <w:r>
        <w:rPr>
          <w:rFonts w:ascii="Times New Roman" w:hAnsi="Times New Roman" w:cs="Times New Roman"/>
          <w:sz w:val="24"/>
          <w:szCs w:val="24"/>
        </w:rPr>
        <w:t xml:space="preserve">. Pamatojoties uz IZM rīkojumu un MK noteikumos Nr.655 norādīto gada vidējā izglītojamo skaita aprēķina formulu izglītības iestādēm tiek noteikts valsts finansēto vietu skaits profesionālās izglītības programmās attiecīgajam budžeta gadam. Aprakstītā </w:t>
      </w:r>
      <w:r w:rsidRPr="007E75E4">
        <w:rPr>
          <w:rFonts w:ascii="Times New Roman" w:eastAsia="Verdana" w:hAnsi="Times New Roman" w:cs="Times New Roman"/>
          <w:bCs/>
          <w:color w:val="000000" w:themeColor="text1"/>
          <w:kern w:val="24"/>
          <w:sz w:val="24"/>
          <w:szCs w:val="28"/>
        </w:rPr>
        <w:t xml:space="preserve">izglītojamo uzņemšanas plānošana </w:t>
      </w:r>
      <w:r w:rsidRPr="00400B24">
        <w:rPr>
          <w:rFonts w:ascii="Times New Roman" w:eastAsia="Verdana" w:hAnsi="Times New Roman" w:cs="Times New Roman"/>
          <w:bCs/>
          <w:color w:val="000000" w:themeColor="text1"/>
          <w:kern w:val="24"/>
          <w:sz w:val="24"/>
          <w:szCs w:val="28"/>
        </w:rPr>
        <w:t>valsts budžeta finansētās profesionālās izglītības programmās shematiski attēlota zemāk attēlā</w:t>
      </w:r>
      <w:r w:rsidR="0037265C">
        <w:rPr>
          <w:rFonts w:ascii="Times New Roman" w:hAnsi="Times New Roman" w:cs="Times New Roman"/>
          <w:sz w:val="24"/>
          <w:szCs w:val="24"/>
        </w:rPr>
        <w:t xml:space="preserve"> (skat. Attēls Nr. 1</w:t>
      </w:r>
      <w:r w:rsidRPr="00400B24">
        <w:rPr>
          <w:rFonts w:ascii="Times New Roman" w:hAnsi="Times New Roman" w:cs="Times New Roman"/>
          <w:sz w:val="24"/>
          <w:szCs w:val="24"/>
        </w:rPr>
        <w:t>).</w:t>
      </w:r>
    </w:p>
    <w:p w14:paraId="05BFEC57" w14:textId="77777777" w:rsidR="0095063B" w:rsidRPr="0085398B" w:rsidRDefault="0095063B" w:rsidP="0095063B">
      <w:pPr>
        <w:spacing w:after="0" w:line="276" w:lineRule="auto"/>
        <w:jc w:val="right"/>
        <w:rPr>
          <w:rFonts w:ascii="Times New Roman" w:hAnsi="Times New Roman" w:cs="Times New Roman"/>
          <w:b/>
          <w:sz w:val="24"/>
          <w:szCs w:val="24"/>
        </w:rPr>
      </w:pPr>
      <w:r w:rsidRPr="0085398B">
        <w:rPr>
          <w:rFonts w:ascii="Times New Roman" w:hAnsi="Times New Roman" w:cs="Times New Roman"/>
          <w:b/>
          <w:sz w:val="24"/>
          <w:szCs w:val="24"/>
        </w:rPr>
        <w:t xml:space="preserve">Attēls Nr. </w:t>
      </w:r>
      <w:r>
        <w:rPr>
          <w:rFonts w:ascii="Times New Roman" w:hAnsi="Times New Roman" w:cs="Times New Roman"/>
          <w:b/>
          <w:sz w:val="24"/>
          <w:szCs w:val="24"/>
        </w:rPr>
        <w:t>1</w:t>
      </w:r>
      <w:r w:rsidRPr="0085398B">
        <w:rPr>
          <w:rFonts w:ascii="Times New Roman" w:hAnsi="Times New Roman" w:cs="Times New Roman"/>
          <w:b/>
          <w:sz w:val="24"/>
          <w:szCs w:val="24"/>
        </w:rPr>
        <w:t xml:space="preserve">. Valsts finansēto izglītojamo vietu skaita plānošana </w:t>
      </w:r>
    </w:p>
    <w:p w14:paraId="2EDA720A" w14:textId="77777777" w:rsidR="0095063B" w:rsidRPr="0085398B" w:rsidRDefault="0095063B" w:rsidP="0095063B">
      <w:pPr>
        <w:spacing w:after="0" w:line="276" w:lineRule="auto"/>
        <w:jc w:val="right"/>
        <w:rPr>
          <w:noProof/>
          <w:sz w:val="24"/>
          <w:szCs w:val="24"/>
        </w:rPr>
      </w:pPr>
      <w:r w:rsidRPr="0085398B">
        <w:rPr>
          <w:rFonts w:ascii="Times New Roman" w:hAnsi="Times New Roman" w:cs="Times New Roman"/>
          <w:b/>
          <w:sz w:val="24"/>
          <w:szCs w:val="24"/>
        </w:rPr>
        <w:t>uzņemšanai profesionālās izglītības programmās</w:t>
      </w:r>
    </w:p>
    <w:p w14:paraId="28D0C93E" w14:textId="0C9F95BB" w:rsidR="0095063B" w:rsidRDefault="0095063B" w:rsidP="004E229C">
      <w:pPr>
        <w:spacing w:after="120" w:line="276" w:lineRule="auto"/>
        <w:jc w:val="both"/>
        <w:rPr>
          <w:rFonts w:ascii="Times New Roman" w:hAnsi="Times New Roman" w:cs="Times New Roman"/>
          <w:sz w:val="24"/>
          <w:szCs w:val="24"/>
        </w:rPr>
      </w:pPr>
      <w:r w:rsidRPr="00400B24">
        <w:rPr>
          <w:rFonts w:ascii="Times New Roman" w:hAnsi="Times New Roman" w:cs="Times New Roman"/>
          <w:b/>
          <w:noProof/>
          <w:szCs w:val="24"/>
        </w:rPr>
        <w:drawing>
          <wp:inline distT="0" distB="0" distL="0" distR="0" wp14:anchorId="613FE7D2" wp14:editId="6BAD48AA">
            <wp:extent cx="5431227" cy="2950820"/>
            <wp:effectExtent l="0" t="0" r="0" b="2540"/>
            <wp:docPr id="3" name="Picture 3" descr="C:\Users\Laura.Viksere\Desktop\Laura.Viksere\Documents\Laura Vikšere\PROF finansēšana\Info ziņojums\shem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Viksere\Desktop\Laura.Viksere\Documents\Laura Vikšere\PROF finansēšana\Info ziņojums\shema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0257" cy="2961159"/>
                    </a:xfrm>
                    <a:prstGeom prst="rect">
                      <a:avLst/>
                    </a:prstGeom>
                    <a:noFill/>
                    <a:ln>
                      <a:noFill/>
                    </a:ln>
                  </pic:spPr>
                </pic:pic>
              </a:graphicData>
            </a:graphic>
          </wp:inline>
        </w:drawing>
      </w:r>
    </w:p>
    <w:p w14:paraId="5D9E3E59" w14:textId="77777777" w:rsidR="004E229C" w:rsidRDefault="004E229C" w:rsidP="004E229C">
      <w:pPr>
        <w:spacing w:before="120" w:after="120" w:line="276" w:lineRule="auto"/>
        <w:jc w:val="both"/>
        <w:rPr>
          <w:rFonts w:ascii="Times New Roman" w:eastAsia="MS PGothic" w:hAnsi="Times New Roman" w:cs="Times New Roman"/>
          <w:bCs/>
          <w:color w:val="000000" w:themeColor="text1"/>
          <w:kern w:val="24"/>
          <w:sz w:val="24"/>
          <w:szCs w:val="24"/>
        </w:rPr>
      </w:pPr>
      <w:r w:rsidRPr="0059428D">
        <w:rPr>
          <w:rFonts w:ascii="Times New Roman" w:hAnsi="Times New Roman" w:cs="Times New Roman"/>
          <w:sz w:val="24"/>
          <w:szCs w:val="24"/>
        </w:rPr>
        <w:t xml:space="preserve">Kārtību, kādā </w:t>
      </w:r>
      <w:r>
        <w:rPr>
          <w:rFonts w:ascii="Times New Roman" w:hAnsi="Times New Roman" w:cs="Times New Roman"/>
          <w:sz w:val="24"/>
          <w:szCs w:val="24"/>
        </w:rPr>
        <w:t>IZM</w:t>
      </w:r>
      <w:r w:rsidRPr="0059428D">
        <w:rPr>
          <w:rFonts w:ascii="Times New Roman" w:hAnsi="Times New Roman" w:cs="Times New Roman"/>
          <w:sz w:val="24"/>
          <w:szCs w:val="24"/>
        </w:rPr>
        <w:t xml:space="preserve"> plāno un aprēķina plānojamam </w:t>
      </w:r>
      <w:r w:rsidRPr="00507B60">
        <w:rPr>
          <w:rFonts w:ascii="Times New Roman" w:hAnsi="Times New Roman" w:cs="Times New Roman"/>
          <w:sz w:val="24"/>
          <w:szCs w:val="24"/>
        </w:rPr>
        <w:t xml:space="preserve">budžeta gadam valsts finansēto vietu skaitu profesionālās izglītības programmās nosaka </w:t>
      </w:r>
      <w:r>
        <w:rPr>
          <w:rFonts w:ascii="Times New Roman" w:hAnsi="Times New Roman" w:cs="Times New Roman"/>
          <w:sz w:val="24"/>
          <w:szCs w:val="24"/>
        </w:rPr>
        <w:t>IZM</w:t>
      </w:r>
      <w:r w:rsidRPr="00507B60">
        <w:rPr>
          <w:rFonts w:ascii="Times New Roman" w:hAnsi="Times New Roman" w:cs="Times New Roman"/>
          <w:sz w:val="24"/>
          <w:szCs w:val="24"/>
        </w:rPr>
        <w:t xml:space="preserve"> </w:t>
      </w:r>
      <w:r>
        <w:rPr>
          <w:rFonts w:ascii="Times New Roman" w:hAnsi="Times New Roman" w:cs="Times New Roman"/>
          <w:sz w:val="24"/>
          <w:szCs w:val="24"/>
        </w:rPr>
        <w:t xml:space="preserve">2016.gada 15.maija </w:t>
      </w:r>
      <w:r w:rsidRPr="00507B60">
        <w:rPr>
          <w:rFonts w:ascii="Times New Roman" w:hAnsi="Times New Roman" w:cs="Times New Roman"/>
          <w:sz w:val="24"/>
          <w:szCs w:val="24"/>
        </w:rPr>
        <w:t xml:space="preserve">iekšējie noteikumi </w:t>
      </w:r>
      <w:r>
        <w:rPr>
          <w:rFonts w:ascii="Times New Roman" w:eastAsia="MS PGothic" w:hAnsi="Times New Roman" w:cs="Times New Roman"/>
          <w:bCs/>
          <w:color w:val="000000" w:themeColor="text1"/>
          <w:kern w:val="24"/>
          <w:sz w:val="24"/>
          <w:szCs w:val="24"/>
        </w:rPr>
        <w:t>Nr.24 “</w:t>
      </w:r>
      <w:r w:rsidRPr="00507B60">
        <w:rPr>
          <w:rFonts w:ascii="Times New Roman" w:eastAsia="MS PGothic" w:hAnsi="Times New Roman" w:cs="Times New Roman"/>
          <w:bCs/>
          <w:color w:val="000000" w:themeColor="text1"/>
          <w:kern w:val="24"/>
          <w:sz w:val="24"/>
          <w:szCs w:val="24"/>
        </w:rPr>
        <w:t xml:space="preserve">Kārtība, kādā Izglītības un zinātnes ministrija plāno un aprēķina plānojamam budžeta gadam </w:t>
      </w:r>
      <w:r w:rsidRPr="00507B60">
        <w:rPr>
          <w:rFonts w:ascii="Times New Roman" w:eastAsia="MS PGothic" w:hAnsi="Times New Roman" w:cs="Times New Roman"/>
          <w:bCs/>
          <w:color w:val="000000" w:themeColor="text1"/>
          <w:kern w:val="24"/>
          <w:sz w:val="24"/>
          <w:szCs w:val="24"/>
        </w:rPr>
        <w:lastRenderedPageBreak/>
        <w:t>valsts finansēto vietu skaitu profesionālās pamatizglītības, arodizglītības un profesionālā</w:t>
      </w:r>
      <w:r>
        <w:rPr>
          <w:rFonts w:ascii="Times New Roman" w:eastAsia="MS PGothic" w:hAnsi="Times New Roman" w:cs="Times New Roman"/>
          <w:bCs/>
          <w:color w:val="000000" w:themeColor="text1"/>
          <w:kern w:val="24"/>
          <w:sz w:val="24"/>
          <w:szCs w:val="24"/>
        </w:rPr>
        <w:t>s vidējās izglītības programmās”.</w:t>
      </w:r>
    </w:p>
    <w:p w14:paraId="3F73D10D" w14:textId="587DBEA2" w:rsidR="00282BDE" w:rsidRDefault="004E229C" w:rsidP="004E229C">
      <w:pPr>
        <w:spacing w:before="120" w:after="120" w:line="276" w:lineRule="auto"/>
        <w:jc w:val="both"/>
        <w:rPr>
          <w:rFonts w:ascii="Times New Roman" w:hAnsi="Times New Roman" w:cs="Times New Roman"/>
          <w:sz w:val="24"/>
          <w:szCs w:val="24"/>
        </w:rPr>
      </w:pPr>
      <w:r w:rsidRPr="00E000A7">
        <w:rPr>
          <w:rFonts w:ascii="Times New Roman" w:hAnsi="Times New Roman" w:cs="Times New Roman"/>
          <w:sz w:val="24"/>
          <w:szCs w:val="24"/>
        </w:rPr>
        <w:t>Profesionālās izglītības likumā un uz tā pamata izdotajos normatīvajos aktos ietvertais regulējums paredz mehānismu</w:t>
      </w:r>
      <w:r>
        <w:rPr>
          <w:rFonts w:ascii="Times New Roman" w:hAnsi="Times New Roman" w:cs="Times New Roman"/>
          <w:sz w:val="24"/>
          <w:szCs w:val="24"/>
        </w:rPr>
        <w:t>,</w:t>
      </w:r>
      <w:r w:rsidRPr="00E000A7">
        <w:rPr>
          <w:rFonts w:ascii="Times New Roman" w:hAnsi="Times New Roman" w:cs="Times New Roman"/>
          <w:sz w:val="24"/>
          <w:szCs w:val="24"/>
        </w:rPr>
        <w:t xml:space="preserve"> kā tiek izvērtēts nozarēs nepieciešamais speciālistu skaits darba tirgū un sniegti priekšlikumi valsts budžeta finansējuma piešķiršanai</w:t>
      </w:r>
      <w:r>
        <w:rPr>
          <w:rFonts w:ascii="Times New Roman" w:hAnsi="Times New Roman" w:cs="Times New Roman"/>
          <w:sz w:val="24"/>
          <w:szCs w:val="24"/>
        </w:rPr>
        <w:t xml:space="preserve"> </w:t>
      </w:r>
      <w:r w:rsidRPr="00E000A7">
        <w:rPr>
          <w:rFonts w:ascii="Times New Roman" w:hAnsi="Times New Roman" w:cs="Times New Roman"/>
          <w:sz w:val="24"/>
          <w:szCs w:val="24"/>
        </w:rPr>
        <w:t>profesionālas izglītības programm</w:t>
      </w:r>
      <w:r>
        <w:rPr>
          <w:rFonts w:ascii="Times New Roman" w:hAnsi="Times New Roman" w:cs="Times New Roman"/>
          <w:sz w:val="24"/>
          <w:szCs w:val="24"/>
        </w:rPr>
        <w:t>u īstenošanai</w:t>
      </w:r>
      <w:r w:rsidRPr="00E000A7">
        <w:rPr>
          <w:rFonts w:ascii="Times New Roman" w:hAnsi="Times New Roman" w:cs="Times New Roman"/>
          <w:sz w:val="24"/>
          <w:szCs w:val="24"/>
        </w:rPr>
        <w:t>.</w:t>
      </w:r>
      <w:r w:rsidR="00282BDE">
        <w:rPr>
          <w:rFonts w:ascii="Times New Roman" w:hAnsi="Times New Roman" w:cs="Times New Roman"/>
          <w:sz w:val="24"/>
          <w:szCs w:val="24"/>
        </w:rPr>
        <w:t xml:space="preserve"> </w:t>
      </w:r>
      <w:r w:rsidR="00EE32CC">
        <w:rPr>
          <w:rFonts w:ascii="Times New Roman" w:hAnsi="Times New Roman"/>
          <w:sz w:val="24"/>
          <w:szCs w:val="24"/>
        </w:rPr>
        <w:t xml:space="preserve">Jāņem vērā arī </w:t>
      </w:r>
      <w:r w:rsidR="00EE32CC" w:rsidRPr="00EE32CC">
        <w:rPr>
          <w:rFonts w:ascii="Times New Roman" w:hAnsi="Times New Roman"/>
          <w:sz w:val="24"/>
          <w:szCs w:val="24"/>
        </w:rPr>
        <w:t>kultūras un radošo industriju</w:t>
      </w:r>
      <w:r w:rsidR="00EE32CC">
        <w:rPr>
          <w:rFonts w:ascii="Times New Roman" w:hAnsi="Times New Roman"/>
          <w:sz w:val="24"/>
          <w:szCs w:val="24"/>
        </w:rPr>
        <w:t xml:space="preserve"> nozaru specifika, kurām</w:t>
      </w:r>
      <w:r w:rsidR="00EE32CC" w:rsidRPr="00A255A8">
        <w:rPr>
          <w:rFonts w:ascii="Times New Roman" w:hAnsi="Times New Roman"/>
          <w:sz w:val="24"/>
          <w:szCs w:val="24"/>
        </w:rPr>
        <w:t xml:space="preserve"> </w:t>
      </w:r>
      <w:r w:rsidR="00EE32CC">
        <w:rPr>
          <w:rFonts w:ascii="Times New Roman" w:hAnsi="Times New Roman"/>
          <w:sz w:val="24"/>
          <w:szCs w:val="24"/>
        </w:rPr>
        <w:t>nav izveidota NEP</w:t>
      </w:r>
      <w:r w:rsidR="00EE32CC" w:rsidRPr="00A255A8">
        <w:rPr>
          <w:rFonts w:ascii="Times New Roman" w:hAnsi="Times New Roman"/>
          <w:sz w:val="24"/>
          <w:szCs w:val="24"/>
        </w:rPr>
        <w:t xml:space="preserve">. </w:t>
      </w:r>
      <w:r w:rsidR="00EE32CC">
        <w:rPr>
          <w:rFonts w:ascii="Times New Roman" w:hAnsi="Times New Roman"/>
          <w:sz w:val="24"/>
          <w:szCs w:val="24"/>
        </w:rPr>
        <w:t>M</w:t>
      </w:r>
      <w:r w:rsidR="00EE32CC" w:rsidRPr="00A255A8">
        <w:rPr>
          <w:rFonts w:ascii="Times New Roman" w:hAnsi="Times New Roman"/>
          <w:sz w:val="24"/>
          <w:szCs w:val="24"/>
        </w:rPr>
        <w:t>ūzikas, mākslas un dejas nozaru speciālistu nepieciešamību darba tirgū</w:t>
      </w:r>
      <w:r w:rsidR="00EE32CC">
        <w:rPr>
          <w:rFonts w:ascii="Times New Roman" w:hAnsi="Times New Roman"/>
          <w:sz w:val="24"/>
          <w:szCs w:val="24"/>
        </w:rPr>
        <w:t>, saskaņā ar Kultūras ministrijas doto uzdevumu,</w:t>
      </w:r>
      <w:r w:rsidR="00EE32CC" w:rsidRPr="00A255A8">
        <w:rPr>
          <w:rFonts w:ascii="Times New Roman" w:hAnsi="Times New Roman"/>
          <w:sz w:val="24"/>
          <w:szCs w:val="24"/>
        </w:rPr>
        <w:t xml:space="preserve"> </w:t>
      </w:r>
      <w:r w:rsidR="00EE32CC">
        <w:rPr>
          <w:rFonts w:ascii="Times New Roman" w:hAnsi="Times New Roman"/>
          <w:sz w:val="24"/>
          <w:szCs w:val="24"/>
        </w:rPr>
        <w:t xml:space="preserve">vērtē </w:t>
      </w:r>
      <w:r w:rsidR="00EE32CC" w:rsidRPr="00A255A8">
        <w:rPr>
          <w:rFonts w:ascii="Times New Roman" w:hAnsi="Times New Roman"/>
          <w:sz w:val="24"/>
          <w:szCs w:val="24"/>
        </w:rPr>
        <w:t>Latvijas Naci</w:t>
      </w:r>
      <w:r w:rsidR="00EE32CC">
        <w:rPr>
          <w:rFonts w:ascii="Times New Roman" w:hAnsi="Times New Roman"/>
          <w:sz w:val="24"/>
          <w:szCs w:val="24"/>
        </w:rPr>
        <w:t>onālā kultūras centra izveidota ekspertu komisija</w:t>
      </w:r>
      <w:r w:rsidR="00EE32CC" w:rsidRPr="00A255A8">
        <w:rPr>
          <w:rFonts w:ascii="Times New Roman" w:hAnsi="Times New Roman"/>
          <w:sz w:val="24"/>
          <w:szCs w:val="24"/>
        </w:rPr>
        <w:t xml:space="preserve">. </w:t>
      </w:r>
    </w:p>
    <w:p w14:paraId="520B5E95" w14:textId="24F605EB" w:rsidR="003C7246" w:rsidRDefault="009B14D1" w:rsidP="004E229C">
      <w:pPr>
        <w:spacing w:after="120" w:line="276" w:lineRule="auto"/>
        <w:jc w:val="both"/>
        <w:rPr>
          <w:rFonts w:ascii="Times New Roman" w:eastAsia="Times New Roman" w:hAnsi="Times New Roman" w:cs="Times New Roman"/>
          <w:sz w:val="24"/>
          <w:szCs w:val="24"/>
        </w:rPr>
      </w:pPr>
      <w:r w:rsidRPr="00CF326F">
        <w:rPr>
          <w:rFonts w:ascii="Times New Roman" w:hAnsi="Times New Roman" w:cs="Times New Roman"/>
          <w:sz w:val="24"/>
          <w:szCs w:val="24"/>
        </w:rPr>
        <w:t>MK noteikumos Nr.</w:t>
      </w:r>
      <w:r>
        <w:rPr>
          <w:rFonts w:ascii="Times New Roman" w:hAnsi="Times New Roman" w:cs="Times New Roman"/>
          <w:sz w:val="24"/>
          <w:szCs w:val="24"/>
        </w:rPr>
        <w:t xml:space="preserve"> </w:t>
      </w:r>
      <w:r w:rsidRPr="00CF326F">
        <w:rPr>
          <w:rFonts w:ascii="Times New Roman" w:hAnsi="Times New Roman" w:cs="Times New Roman"/>
          <w:sz w:val="24"/>
          <w:szCs w:val="24"/>
        </w:rPr>
        <w:t xml:space="preserve">655. noteiktās izglītības programmas izmaksas veido normējamās izmaksas un nenormējamās izmaksas, </w:t>
      </w:r>
      <w:r>
        <w:rPr>
          <w:rFonts w:ascii="Times New Roman" w:hAnsi="Times New Roman" w:cs="Times New Roman"/>
          <w:sz w:val="24"/>
          <w:szCs w:val="24"/>
        </w:rPr>
        <w:t>kas</w:t>
      </w:r>
      <w:r w:rsidRPr="00CF326F">
        <w:rPr>
          <w:rFonts w:ascii="Times New Roman" w:hAnsi="Times New Roman" w:cs="Times New Roman"/>
          <w:sz w:val="24"/>
          <w:szCs w:val="24"/>
        </w:rPr>
        <w:t xml:space="preserve"> ietver arī stipendijas. </w:t>
      </w:r>
      <w:r w:rsidRPr="00CF326F">
        <w:rPr>
          <w:rFonts w:ascii="Times New Roman" w:eastAsia="Times New Roman" w:hAnsi="Times New Roman" w:cs="Times New Roman"/>
          <w:sz w:val="24"/>
          <w:szCs w:val="24"/>
        </w:rPr>
        <w:t xml:space="preserve">Kārtību, kādā izglītojamiem tiek piešķirtas stipendijas nosaka Ministru kabineta 2004.gada 24.augusta noteikumi Nr.740 “Noteikumi par stipendijām”, paredzot, ka </w:t>
      </w:r>
      <w:r w:rsidR="003C7246">
        <w:rPr>
          <w:rFonts w:ascii="Times New Roman" w:eastAsia="Times New Roman" w:hAnsi="Times New Roman" w:cs="Times New Roman"/>
          <w:sz w:val="24"/>
          <w:szCs w:val="24"/>
        </w:rPr>
        <w:t xml:space="preserve">stipendijas audzēkņiem valsts dibinātajās izglītības iestādēs tiek izmaksātas no valsts budžeta līdzekļiem - no </w:t>
      </w:r>
      <w:r w:rsidR="003C7246" w:rsidRPr="003C7246">
        <w:rPr>
          <w:rFonts w:ascii="Times New Roman" w:eastAsia="Times New Roman" w:hAnsi="Times New Roman" w:cs="Times New Roman"/>
          <w:sz w:val="24"/>
          <w:szCs w:val="24"/>
        </w:rPr>
        <w:t>izglītības iestādes stipendiju fonda, kuru izveido no dotācijas no vispārējiem ieņēmumiem</w:t>
      </w:r>
      <w:r w:rsidR="003C7246">
        <w:rPr>
          <w:rFonts w:ascii="Times New Roman" w:eastAsia="Times New Roman" w:hAnsi="Times New Roman" w:cs="Times New Roman"/>
          <w:sz w:val="24"/>
          <w:szCs w:val="24"/>
        </w:rPr>
        <w:t>, pašvaldību izglītības iestādēs no pašvaldību budžeta līdzekļiem, savukārt citas juridisko</w:t>
      </w:r>
      <w:r w:rsidR="001C3CB6">
        <w:rPr>
          <w:rFonts w:ascii="Times New Roman" w:eastAsia="Times New Roman" w:hAnsi="Times New Roman" w:cs="Times New Roman"/>
          <w:sz w:val="24"/>
          <w:szCs w:val="24"/>
        </w:rPr>
        <w:t xml:space="preserve"> vai fizisko</w:t>
      </w:r>
      <w:r w:rsidR="003C7246">
        <w:rPr>
          <w:rFonts w:ascii="Times New Roman" w:eastAsia="Times New Roman" w:hAnsi="Times New Roman" w:cs="Times New Roman"/>
          <w:sz w:val="24"/>
          <w:szCs w:val="24"/>
        </w:rPr>
        <w:t xml:space="preserve"> personu dibinātās izglītības iestādes stipendijas izmaksā no sava budžeta.</w:t>
      </w:r>
    </w:p>
    <w:p w14:paraId="18642B53" w14:textId="0B5EB03D" w:rsidR="009B14D1" w:rsidRPr="00500881" w:rsidRDefault="00CF01AA" w:rsidP="00A510E4">
      <w:pPr>
        <w:pStyle w:val="Heading2"/>
        <w:numPr>
          <w:ilvl w:val="1"/>
          <w:numId w:val="3"/>
        </w:numPr>
        <w:spacing w:before="0" w:after="120" w:line="276" w:lineRule="auto"/>
        <w:ind w:left="1077"/>
        <w:jc w:val="center"/>
        <w:rPr>
          <w:rFonts w:ascii="Times New Roman" w:eastAsia="Times New Roman" w:hAnsi="Times New Roman" w:cs="Times New Roman"/>
          <w:b/>
          <w:color w:val="000000" w:themeColor="text1"/>
          <w:sz w:val="24"/>
          <w:szCs w:val="24"/>
        </w:rPr>
      </w:pPr>
      <w:bookmarkStart w:id="5" w:name="_Toc53136179"/>
      <w:r w:rsidRPr="00500881">
        <w:rPr>
          <w:rFonts w:ascii="Times New Roman" w:eastAsia="Times New Roman" w:hAnsi="Times New Roman" w:cs="Times New Roman"/>
          <w:b/>
          <w:color w:val="000000" w:themeColor="text1"/>
          <w:sz w:val="24"/>
          <w:szCs w:val="24"/>
        </w:rPr>
        <w:t>Izmaiņu nepieciešamība profesionālās izglītības programmu finansēšanā</w:t>
      </w:r>
      <w:bookmarkEnd w:id="5"/>
    </w:p>
    <w:p w14:paraId="5EB21EBC" w14:textId="3ABE9F52" w:rsidR="00CF01AA" w:rsidRPr="008A239A" w:rsidRDefault="00CF01AA" w:rsidP="004E229C">
      <w:pPr>
        <w:spacing w:after="120" w:line="276" w:lineRule="auto"/>
        <w:jc w:val="both"/>
        <w:rPr>
          <w:rFonts w:ascii="Times New Roman" w:eastAsia="Times New Roman" w:hAnsi="Times New Roman" w:cs="Times New Roman"/>
          <w:sz w:val="24"/>
          <w:szCs w:val="24"/>
        </w:rPr>
      </w:pPr>
      <w:r w:rsidRPr="008A239A">
        <w:rPr>
          <w:rFonts w:ascii="Times New Roman" w:eastAsia="Times New Roman" w:hAnsi="Times New Roman" w:cs="Times New Roman"/>
          <w:sz w:val="24"/>
          <w:szCs w:val="24"/>
        </w:rPr>
        <w:t>Piešķirot finansējumu atbilstoši viena izglītojamā izglītošanas izmaksām konkrētā izglītības programmā, tiek atvieglota valsts pasūtījuma veidošana profesionālajā izglītībā, nosakot, kāda apmēra valsts finansējums, kādās izglītības programmās un kādam izglītojamo skaitam tiks piešķirts. Finansējuma apjoms, kas balstīts uz izglītojamo skaitu</w:t>
      </w:r>
      <w:r>
        <w:rPr>
          <w:rFonts w:ascii="Times New Roman" w:eastAsia="Times New Roman" w:hAnsi="Times New Roman" w:cs="Times New Roman"/>
          <w:sz w:val="24"/>
          <w:szCs w:val="24"/>
        </w:rPr>
        <w:t>,</w:t>
      </w:r>
      <w:r w:rsidRPr="008A239A">
        <w:rPr>
          <w:rFonts w:ascii="Times New Roman" w:eastAsia="Times New Roman" w:hAnsi="Times New Roman" w:cs="Times New Roman"/>
          <w:sz w:val="24"/>
          <w:szCs w:val="24"/>
        </w:rPr>
        <w:t xml:space="preserve"> ļauj profesionālās izglītības iestādēm savus ienākumus plānot tik ilgi, kamēr tās sagatavo noteiktu speciālistu skaitu, attiecīgi šī pieeja izglītības iestādēm ļauj plānot savus resursus ilgākā laika periodā. Tiek nodrošināti vienlīdzīgi, skaidri finansēšanas nosacījumi visām profesionālās izglītības iestādēm. </w:t>
      </w:r>
      <w:r w:rsidR="002C34EB">
        <w:rPr>
          <w:rFonts w:ascii="Times New Roman" w:eastAsia="Times New Roman" w:hAnsi="Times New Roman" w:cs="Times New Roman"/>
          <w:sz w:val="24"/>
          <w:szCs w:val="24"/>
        </w:rPr>
        <w:t>Esošā</w:t>
      </w:r>
      <w:r w:rsidRPr="008A239A">
        <w:rPr>
          <w:rFonts w:ascii="Times New Roman" w:eastAsia="Times New Roman" w:hAnsi="Times New Roman" w:cs="Times New Roman"/>
          <w:sz w:val="24"/>
          <w:szCs w:val="24"/>
        </w:rPr>
        <w:t xml:space="preserve"> pieeja dod iespēju arī operatīvi reaģēt uz </w:t>
      </w:r>
      <w:r>
        <w:rPr>
          <w:rFonts w:ascii="Times New Roman" w:eastAsia="Times New Roman" w:hAnsi="Times New Roman" w:cs="Times New Roman"/>
          <w:sz w:val="24"/>
          <w:szCs w:val="24"/>
        </w:rPr>
        <w:t>darba tirgus</w:t>
      </w:r>
      <w:r w:rsidRPr="008A239A">
        <w:rPr>
          <w:rFonts w:ascii="Times New Roman" w:eastAsia="Times New Roman" w:hAnsi="Times New Roman" w:cs="Times New Roman"/>
          <w:sz w:val="24"/>
          <w:szCs w:val="24"/>
        </w:rPr>
        <w:t xml:space="preserve"> pieprasījuma izmaiņām, veidojot ikgadējo valsts budžeta finansēto </w:t>
      </w:r>
      <w:r>
        <w:rPr>
          <w:rFonts w:ascii="Times New Roman" w:eastAsia="Times New Roman" w:hAnsi="Times New Roman" w:cs="Times New Roman"/>
          <w:sz w:val="24"/>
          <w:szCs w:val="24"/>
        </w:rPr>
        <w:t>izglītojamo vietu skaitu, tādā veidā</w:t>
      </w:r>
      <w:r w:rsidRPr="008A239A">
        <w:rPr>
          <w:rFonts w:ascii="Times New Roman" w:eastAsia="Times New Roman" w:hAnsi="Times New Roman" w:cs="Times New Roman"/>
          <w:sz w:val="24"/>
          <w:szCs w:val="24"/>
        </w:rPr>
        <w:t xml:space="preserve"> efektīvi īstenojot valsts politiku profesionālajā izglītībā.</w:t>
      </w:r>
    </w:p>
    <w:p w14:paraId="72520B74" w14:textId="6E7F7DCA" w:rsidR="00CF01AA" w:rsidRDefault="00CF01AA" w:rsidP="004E229C">
      <w:pPr>
        <w:spacing w:after="120" w:line="276" w:lineRule="auto"/>
        <w:jc w:val="both"/>
        <w:rPr>
          <w:rFonts w:ascii="Times New Roman" w:eastAsia="Times New Roman" w:hAnsi="Times New Roman" w:cs="Times New Roman"/>
          <w:sz w:val="24"/>
          <w:szCs w:val="24"/>
        </w:rPr>
      </w:pPr>
      <w:r w:rsidRPr="008A239A">
        <w:rPr>
          <w:rFonts w:ascii="Times New Roman" w:eastAsia="Times New Roman" w:hAnsi="Times New Roman" w:cs="Times New Roman"/>
          <w:sz w:val="24"/>
          <w:szCs w:val="24"/>
        </w:rPr>
        <w:t xml:space="preserve">Latvijas profesionālas izglītības sistēmā pēdējos gados </w:t>
      </w:r>
      <w:r>
        <w:rPr>
          <w:rFonts w:ascii="Times New Roman" w:eastAsia="Times New Roman" w:hAnsi="Times New Roman" w:cs="Times New Roman"/>
          <w:sz w:val="24"/>
          <w:szCs w:val="24"/>
        </w:rPr>
        <w:t>ir notikušas būtiskas pārmaiņas -</w:t>
      </w:r>
      <w:r w:rsidRPr="008A239A">
        <w:rPr>
          <w:rFonts w:ascii="Times New Roman" w:eastAsia="Times New Roman" w:hAnsi="Times New Roman" w:cs="Times New Roman"/>
          <w:sz w:val="24"/>
          <w:szCs w:val="24"/>
        </w:rPr>
        <w:t xml:space="preserve"> sakārtots profesionālās izglītības</w:t>
      </w:r>
      <w:r>
        <w:rPr>
          <w:rFonts w:ascii="Times New Roman" w:eastAsia="Times New Roman" w:hAnsi="Times New Roman" w:cs="Times New Roman"/>
          <w:sz w:val="24"/>
          <w:szCs w:val="24"/>
        </w:rPr>
        <w:t xml:space="preserve"> iestāžu</w:t>
      </w:r>
      <w:r w:rsidRPr="008A239A">
        <w:rPr>
          <w:rFonts w:ascii="Times New Roman" w:eastAsia="Times New Roman" w:hAnsi="Times New Roman" w:cs="Times New Roman"/>
          <w:sz w:val="24"/>
          <w:szCs w:val="24"/>
        </w:rPr>
        <w:t xml:space="preserve"> tīkls, veiktas nozīmīgas investīcijas infrastruktūras modernizācijai, </w:t>
      </w:r>
      <w:r w:rsidRPr="004F0A6F">
        <w:rPr>
          <w:rFonts w:ascii="Times New Roman" w:eastAsia="Times New Roman" w:hAnsi="Times New Roman" w:cs="Times New Roman"/>
          <w:sz w:val="24"/>
          <w:szCs w:val="24"/>
        </w:rPr>
        <w:t>materiāl</w:t>
      </w:r>
      <w:r>
        <w:rPr>
          <w:rFonts w:ascii="Times New Roman" w:eastAsia="Times New Roman" w:hAnsi="Times New Roman" w:cs="Times New Roman"/>
          <w:sz w:val="24"/>
          <w:szCs w:val="24"/>
        </w:rPr>
        <w:t>ās un tehniskās bāzes uzlabošanai,</w:t>
      </w:r>
      <w:r w:rsidRPr="004F0A6F">
        <w:rPr>
          <w:rFonts w:ascii="Times New Roman" w:eastAsia="Times New Roman" w:hAnsi="Times New Roman" w:cs="Times New Roman"/>
          <w:sz w:val="24"/>
          <w:szCs w:val="24"/>
        </w:rPr>
        <w:t xml:space="preserve"> </w:t>
      </w:r>
      <w:r w:rsidRPr="008A239A">
        <w:rPr>
          <w:rFonts w:ascii="Times New Roman" w:eastAsia="Times New Roman" w:hAnsi="Times New Roman" w:cs="Times New Roman"/>
          <w:sz w:val="24"/>
          <w:szCs w:val="24"/>
        </w:rPr>
        <w:t>izveidotas jaunas sadarbības formas ar sociālajie</w:t>
      </w:r>
      <w:r>
        <w:rPr>
          <w:rFonts w:ascii="Times New Roman" w:eastAsia="Times New Roman" w:hAnsi="Times New Roman" w:cs="Times New Roman"/>
          <w:sz w:val="24"/>
          <w:szCs w:val="24"/>
        </w:rPr>
        <w:t>m partneriem un privāto sektoru</w:t>
      </w:r>
      <w:r w:rsidR="00863CDE">
        <w:rPr>
          <w:rFonts w:ascii="Times New Roman" w:eastAsia="Times New Roman" w:hAnsi="Times New Roman" w:cs="Times New Roman"/>
          <w:sz w:val="24"/>
          <w:szCs w:val="24"/>
        </w:rPr>
        <w:t>, izstrādāta Nozaru kvalifikāciju struktūra, profesiju standarti un profesionālās kvalifikācijas prasības, uzsākta modulāro izglītības progra</w:t>
      </w:r>
      <w:r w:rsidR="00513BDB">
        <w:rPr>
          <w:rFonts w:ascii="Times New Roman" w:eastAsia="Times New Roman" w:hAnsi="Times New Roman" w:cs="Times New Roman"/>
          <w:sz w:val="24"/>
          <w:szCs w:val="24"/>
        </w:rPr>
        <w:t xml:space="preserve">mmu un </w:t>
      </w:r>
      <w:r w:rsidR="004F1377">
        <w:rPr>
          <w:rFonts w:ascii="Times New Roman" w:eastAsia="Times New Roman" w:hAnsi="Times New Roman" w:cs="Times New Roman"/>
          <w:sz w:val="24"/>
          <w:szCs w:val="24"/>
        </w:rPr>
        <w:t xml:space="preserve">profesionālās kvalifikācijas </w:t>
      </w:r>
      <w:r w:rsidR="00513BDB">
        <w:rPr>
          <w:rFonts w:ascii="Times New Roman" w:eastAsia="Times New Roman" w:hAnsi="Times New Roman" w:cs="Times New Roman"/>
          <w:sz w:val="24"/>
          <w:szCs w:val="24"/>
        </w:rPr>
        <w:t>eksāmenu satura izstrāde</w:t>
      </w:r>
      <w:r>
        <w:rPr>
          <w:rFonts w:ascii="Times New Roman" w:eastAsia="Times New Roman" w:hAnsi="Times New Roman" w:cs="Times New Roman"/>
          <w:sz w:val="24"/>
          <w:szCs w:val="24"/>
        </w:rPr>
        <w:t>. Šīs pārmaiņas</w:t>
      </w:r>
      <w:r w:rsidRPr="008A239A">
        <w:rPr>
          <w:rFonts w:ascii="Times New Roman" w:eastAsia="Times New Roman" w:hAnsi="Times New Roman" w:cs="Times New Roman"/>
          <w:sz w:val="24"/>
          <w:szCs w:val="24"/>
        </w:rPr>
        <w:t xml:space="preserve"> paredz plaš</w:t>
      </w:r>
      <w:r>
        <w:rPr>
          <w:rFonts w:ascii="Times New Roman" w:eastAsia="Times New Roman" w:hAnsi="Times New Roman" w:cs="Times New Roman"/>
          <w:sz w:val="24"/>
          <w:szCs w:val="24"/>
        </w:rPr>
        <w:t>as iespējas sagatavot jauniešus atbilstoši</w:t>
      </w:r>
      <w:r w:rsidRPr="008A239A">
        <w:rPr>
          <w:rFonts w:ascii="Times New Roman" w:eastAsia="Times New Roman" w:hAnsi="Times New Roman" w:cs="Times New Roman"/>
          <w:sz w:val="24"/>
          <w:szCs w:val="24"/>
        </w:rPr>
        <w:t xml:space="preserve"> profesiju standart</w:t>
      </w:r>
      <w:r>
        <w:rPr>
          <w:rFonts w:ascii="Times New Roman" w:eastAsia="Times New Roman" w:hAnsi="Times New Roman" w:cs="Times New Roman"/>
          <w:sz w:val="24"/>
          <w:szCs w:val="24"/>
        </w:rPr>
        <w:t>iem, kā arī nodrošināt iegūto kvalifikāciju atbilstību</w:t>
      </w:r>
      <w:r w:rsidRPr="008A23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Latvijas</w:t>
      </w:r>
      <w:r w:rsidRPr="008A239A">
        <w:rPr>
          <w:rFonts w:ascii="Times New Roman" w:eastAsia="Times New Roman" w:hAnsi="Times New Roman" w:cs="Times New Roman"/>
          <w:sz w:val="24"/>
          <w:szCs w:val="24"/>
        </w:rPr>
        <w:t xml:space="preserve"> kvalifikāciju ietvarstruktūr</w:t>
      </w:r>
      <w:r>
        <w:rPr>
          <w:rFonts w:ascii="Times New Roman" w:eastAsia="Times New Roman" w:hAnsi="Times New Roman" w:cs="Times New Roman"/>
          <w:sz w:val="24"/>
          <w:szCs w:val="24"/>
        </w:rPr>
        <w:t>ai</w:t>
      </w:r>
      <w:r w:rsidRPr="008A23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vienlaikus nodrošinot</w:t>
      </w:r>
      <w:r w:rsidRPr="008A239A">
        <w:rPr>
          <w:rFonts w:ascii="Times New Roman" w:eastAsia="Times New Roman" w:hAnsi="Times New Roman" w:cs="Times New Roman"/>
          <w:sz w:val="24"/>
          <w:szCs w:val="24"/>
        </w:rPr>
        <w:t xml:space="preserve"> sasaisti ar Eiropas profesionālo kvalifikāciju ietvarstruktūru. </w:t>
      </w:r>
    </w:p>
    <w:p w14:paraId="0297090C" w14:textId="56621EB8" w:rsidR="004F1377" w:rsidRDefault="004F1377" w:rsidP="004E229C">
      <w:pPr>
        <w:spacing w:after="120" w:line="276" w:lineRule="auto"/>
        <w:jc w:val="both"/>
        <w:rPr>
          <w:rFonts w:ascii="Times New Roman" w:eastAsia="Times New Roman" w:hAnsi="Times New Roman" w:cs="Times New Roman"/>
          <w:sz w:val="24"/>
          <w:szCs w:val="24"/>
        </w:rPr>
      </w:pPr>
      <w:r w:rsidRPr="004F1377">
        <w:rPr>
          <w:rFonts w:ascii="Times New Roman" w:eastAsia="Times New Roman" w:hAnsi="Times New Roman" w:cs="Times New Roman"/>
          <w:sz w:val="24"/>
          <w:szCs w:val="24"/>
        </w:rPr>
        <w:t xml:space="preserve">Atbilstoši 2015.gada 18.jūnija grozījumiem Izglītības likumā, ieviešot Latvijas kvalifikācijas ietvarstruktūras līmeņus, nacionālā kvalifikāciju sistēma un to profesionālās kvalifikācijas balstās uz nozares kvalifikāciju struktūrām, kuras tiek veidotas izmantojot kompetences. Savukārt modulārās profesionālās izglītības programmas tiek veidotas ievērojot ECVET </w:t>
      </w:r>
      <w:r w:rsidR="00B910E0">
        <w:rPr>
          <w:rFonts w:ascii="Times New Roman" w:eastAsia="Times New Roman" w:hAnsi="Times New Roman" w:cs="Times New Roman"/>
          <w:sz w:val="24"/>
          <w:szCs w:val="24"/>
        </w:rPr>
        <w:t>(</w:t>
      </w:r>
      <w:r w:rsidR="00B910E0" w:rsidRPr="00B910E0">
        <w:rPr>
          <w:rFonts w:ascii="Times New Roman" w:eastAsia="Times New Roman" w:hAnsi="Times New Roman" w:cs="Times New Roman"/>
          <w:sz w:val="24"/>
          <w:szCs w:val="24"/>
        </w:rPr>
        <w:t>Eiropas kredītsistēma profesionālajai izglītībai un mācībām</w:t>
      </w:r>
      <w:r w:rsidR="00B910E0">
        <w:rPr>
          <w:rFonts w:ascii="Times New Roman" w:eastAsia="Times New Roman" w:hAnsi="Times New Roman" w:cs="Times New Roman"/>
          <w:sz w:val="24"/>
          <w:szCs w:val="24"/>
        </w:rPr>
        <w:t xml:space="preserve">) </w:t>
      </w:r>
      <w:r w:rsidRPr="004F1377">
        <w:rPr>
          <w:rFonts w:ascii="Times New Roman" w:eastAsia="Times New Roman" w:hAnsi="Times New Roman" w:cs="Times New Roman"/>
          <w:sz w:val="24"/>
          <w:szCs w:val="24"/>
        </w:rPr>
        <w:t xml:space="preserve">principus, tas nozīmē sasniedzamos mācīšanās rezultātus, kas nosaka, ko izglītības  procesā iesaistītais spēj darīt, zina </w:t>
      </w:r>
      <w:r w:rsidRPr="004F1377">
        <w:rPr>
          <w:rFonts w:ascii="Times New Roman" w:eastAsia="Times New Roman" w:hAnsi="Times New Roman" w:cs="Times New Roman"/>
          <w:sz w:val="24"/>
          <w:szCs w:val="24"/>
        </w:rPr>
        <w:lastRenderedPageBreak/>
        <w:t>un izprot pēc attiecīgu mācību pabeigšanas, un tas ir definēts zināšanu, prasmju un kompetenču izteiksmē.</w:t>
      </w:r>
    </w:p>
    <w:p w14:paraId="508E5654" w14:textId="6CA62FB2" w:rsidR="00CF01AA" w:rsidRDefault="00CF01AA" w:rsidP="004E229C">
      <w:pPr>
        <w:spacing w:after="120" w:line="276" w:lineRule="auto"/>
        <w:jc w:val="both"/>
        <w:rPr>
          <w:rFonts w:ascii="Times New Roman" w:eastAsia="Times New Roman" w:hAnsi="Times New Roman" w:cs="Times New Roman"/>
          <w:sz w:val="24"/>
          <w:szCs w:val="24"/>
        </w:rPr>
      </w:pPr>
      <w:r w:rsidRPr="008A239A">
        <w:rPr>
          <w:rFonts w:ascii="Times New Roman" w:eastAsia="Times New Roman" w:hAnsi="Times New Roman" w:cs="Times New Roman"/>
          <w:sz w:val="24"/>
          <w:szCs w:val="24"/>
        </w:rPr>
        <w:t xml:space="preserve">Uzsākta </w:t>
      </w:r>
      <w:r w:rsidR="004F1377">
        <w:rPr>
          <w:rFonts w:ascii="Times New Roman" w:eastAsia="Times New Roman" w:hAnsi="Times New Roman" w:cs="Times New Roman"/>
          <w:sz w:val="24"/>
          <w:szCs w:val="24"/>
        </w:rPr>
        <w:t>modulārās</w:t>
      </w:r>
      <w:r w:rsidRPr="008A239A">
        <w:rPr>
          <w:rFonts w:ascii="Times New Roman" w:eastAsia="Times New Roman" w:hAnsi="Times New Roman" w:cs="Times New Roman"/>
          <w:sz w:val="24"/>
          <w:szCs w:val="24"/>
        </w:rPr>
        <w:t xml:space="preserve"> pieejas īstenošana </w:t>
      </w:r>
      <w:r w:rsidR="004F1377">
        <w:rPr>
          <w:rFonts w:ascii="Times New Roman" w:eastAsia="Times New Roman" w:hAnsi="Times New Roman" w:cs="Times New Roman"/>
          <w:sz w:val="24"/>
          <w:szCs w:val="24"/>
        </w:rPr>
        <w:t xml:space="preserve">profesionālās </w:t>
      </w:r>
      <w:r w:rsidRPr="008A239A">
        <w:rPr>
          <w:rFonts w:ascii="Times New Roman" w:eastAsia="Times New Roman" w:hAnsi="Times New Roman" w:cs="Times New Roman"/>
          <w:sz w:val="24"/>
          <w:szCs w:val="24"/>
        </w:rPr>
        <w:t xml:space="preserve">izglītības satura </w:t>
      </w:r>
      <w:r w:rsidR="004F1377">
        <w:rPr>
          <w:rFonts w:ascii="Times New Roman" w:eastAsia="Times New Roman" w:hAnsi="Times New Roman" w:cs="Times New Roman"/>
          <w:sz w:val="24"/>
          <w:szCs w:val="24"/>
        </w:rPr>
        <w:t xml:space="preserve">izveidošanai </w:t>
      </w:r>
      <w:r w:rsidRPr="008A239A">
        <w:rPr>
          <w:rFonts w:ascii="Times New Roman" w:eastAsia="Times New Roman" w:hAnsi="Times New Roman" w:cs="Times New Roman"/>
          <w:sz w:val="24"/>
          <w:szCs w:val="24"/>
        </w:rPr>
        <w:t>un programmu</w:t>
      </w:r>
      <w:r w:rsidR="004F1377">
        <w:rPr>
          <w:rFonts w:ascii="Times New Roman" w:eastAsia="Times New Roman" w:hAnsi="Times New Roman" w:cs="Times New Roman"/>
          <w:sz w:val="24"/>
          <w:szCs w:val="24"/>
        </w:rPr>
        <w:t xml:space="preserve"> īstenošanai</w:t>
      </w:r>
      <w:r w:rsidR="00B910E0">
        <w:rPr>
          <w:rFonts w:ascii="Times New Roman" w:eastAsia="Times New Roman" w:hAnsi="Times New Roman" w:cs="Times New Roman"/>
          <w:sz w:val="24"/>
          <w:szCs w:val="24"/>
        </w:rPr>
        <w:t>, kas ļauj</w:t>
      </w:r>
      <w:r>
        <w:rPr>
          <w:rFonts w:ascii="Times New Roman" w:eastAsia="Times New Roman" w:hAnsi="Times New Roman" w:cs="Times New Roman"/>
          <w:sz w:val="24"/>
          <w:szCs w:val="24"/>
        </w:rPr>
        <w:t xml:space="preserve"> jauniešiem un pieaugušajiem izvēlēties apgūt </w:t>
      </w:r>
      <w:r w:rsidR="004F1377">
        <w:rPr>
          <w:rFonts w:ascii="Times New Roman" w:eastAsia="Times New Roman" w:hAnsi="Times New Roman" w:cs="Times New Roman"/>
          <w:sz w:val="24"/>
          <w:szCs w:val="24"/>
        </w:rPr>
        <w:t xml:space="preserve">ne tikai pilnu profesionālo kvalifikāciju bez laika ierobežojuma, bet arī atsevišķi apgūt </w:t>
      </w:r>
      <w:r>
        <w:rPr>
          <w:rFonts w:ascii="Times New Roman" w:eastAsia="Times New Roman" w:hAnsi="Times New Roman" w:cs="Times New Roman"/>
          <w:sz w:val="24"/>
          <w:szCs w:val="24"/>
        </w:rPr>
        <w:t xml:space="preserve">profesionālās </w:t>
      </w:r>
      <w:r w:rsidR="00DC2B96">
        <w:rPr>
          <w:rFonts w:ascii="Times New Roman" w:eastAsia="Times New Roman" w:hAnsi="Times New Roman" w:cs="Times New Roman"/>
          <w:sz w:val="24"/>
          <w:szCs w:val="24"/>
        </w:rPr>
        <w:t xml:space="preserve">izglītības programmu </w:t>
      </w:r>
      <w:r>
        <w:rPr>
          <w:rFonts w:ascii="Times New Roman" w:eastAsia="Times New Roman" w:hAnsi="Times New Roman" w:cs="Times New Roman"/>
          <w:sz w:val="24"/>
          <w:szCs w:val="24"/>
        </w:rPr>
        <w:t>moduļus, tādējādi paplašinot savas iespējas darba tirgū</w:t>
      </w:r>
      <w:r w:rsidRPr="008A239A">
        <w:rPr>
          <w:rFonts w:ascii="Times New Roman" w:eastAsia="Times New Roman" w:hAnsi="Times New Roman" w:cs="Times New Roman"/>
          <w:sz w:val="24"/>
          <w:szCs w:val="24"/>
        </w:rPr>
        <w:t>. Tiek īstenotas jaunas pieejas pedagogu kompetences un darba kvalitātes uzlabošanai, t.sk. digitālas mācību vides izveidošana un digitālu mācību līdzekļu ieviešana</w:t>
      </w:r>
      <w:r>
        <w:rPr>
          <w:rFonts w:ascii="Times New Roman" w:eastAsia="Times New Roman" w:hAnsi="Times New Roman" w:cs="Times New Roman"/>
          <w:sz w:val="24"/>
          <w:szCs w:val="24"/>
        </w:rPr>
        <w:t xml:space="preserve"> u.c</w:t>
      </w:r>
      <w:r w:rsidRPr="008A239A">
        <w:rPr>
          <w:rFonts w:ascii="Times New Roman" w:eastAsia="Times New Roman" w:hAnsi="Times New Roman" w:cs="Times New Roman"/>
          <w:sz w:val="24"/>
          <w:szCs w:val="24"/>
        </w:rPr>
        <w:t xml:space="preserve">. Turklāt profesionālās izglītības sistēmā </w:t>
      </w:r>
      <w:r>
        <w:rPr>
          <w:rFonts w:ascii="Times New Roman" w:eastAsia="Times New Roman" w:hAnsi="Times New Roman" w:cs="Times New Roman"/>
          <w:sz w:val="24"/>
          <w:szCs w:val="24"/>
        </w:rPr>
        <w:t>kopš 2016.gada ieviesta</w:t>
      </w:r>
      <w:r w:rsidRPr="008A239A">
        <w:rPr>
          <w:rFonts w:ascii="Times New Roman" w:eastAsia="Times New Roman" w:hAnsi="Times New Roman" w:cs="Times New Roman"/>
          <w:sz w:val="24"/>
          <w:szCs w:val="24"/>
        </w:rPr>
        <w:t xml:space="preserve"> jauna izglītības ieguves forma - darba vidē balstīt</w:t>
      </w:r>
      <w:r>
        <w:rPr>
          <w:rFonts w:ascii="Times New Roman" w:eastAsia="Times New Roman" w:hAnsi="Times New Roman" w:cs="Times New Roman"/>
          <w:sz w:val="24"/>
          <w:szCs w:val="24"/>
        </w:rPr>
        <w:t>a</w:t>
      </w:r>
      <w:r w:rsidRPr="008A239A">
        <w:rPr>
          <w:rFonts w:ascii="Times New Roman" w:eastAsia="Times New Roman" w:hAnsi="Times New Roman" w:cs="Times New Roman"/>
          <w:sz w:val="24"/>
          <w:szCs w:val="24"/>
        </w:rPr>
        <w:t>s mācības</w:t>
      </w:r>
      <w:r>
        <w:rPr>
          <w:rFonts w:ascii="Times New Roman" w:eastAsia="Times New Roman" w:hAnsi="Times New Roman" w:cs="Times New Roman"/>
          <w:sz w:val="24"/>
          <w:szCs w:val="24"/>
        </w:rPr>
        <w:t xml:space="preserve"> (turpmāk – DVB mācības)</w:t>
      </w:r>
      <w:r w:rsidRPr="008A239A">
        <w:rPr>
          <w:rFonts w:ascii="Times New Roman" w:eastAsia="Times New Roman" w:hAnsi="Times New Roman" w:cs="Times New Roman"/>
          <w:sz w:val="24"/>
          <w:szCs w:val="24"/>
        </w:rPr>
        <w:t>, kurai no tradicionālajā</w:t>
      </w:r>
      <w:r>
        <w:rPr>
          <w:rFonts w:ascii="Times New Roman" w:eastAsia="Times New Roman" w:hAnsi="Times New Roman" w:cs="Times New Roman"/>
          <w:sz w:val="24"/>
          <w:szCs w:val="24"/>
        </w:rPr>
        <w:t xml:space="preserve">m izglītības programmām ir </w:t>
      </w:r>
      <w:r w:rsidRPr="008A239A">
        <w:rPr>
          <w:rFonts w:ascii="Times New Roman" w:eastAsia="Times New Roman" w:hAnsi="Times New Roman" w:cs="Times New Roman"/>
          <w:sz w:val="24"/>
          <w:szCs w:val="24"/>
        </w:rPr>
        <w:t>atšķirīga pieeja mācību procesa organizēšanā</w:t>
      </w:r>
      <w:r>
        <w:rPr>
          <w:rFonts w:ascii="Times New Roman" w:eastAsia="Times New Roman" w:hAnsi="Times New Roman" w:cs="Times New Roman"/>
          <w:sz w:val="24"/>
          <w:szCs w:val="24"/>
        </w:rPr>
        <w:t>, t.sk. mācību grupām ar nelielu izglītojamo skaitu</w:t>
      </w:r>
      <w:r w:rsidRPr="008A23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tāpat arī atšķiras </w:t>
      </w:r>
      <w:r w:rsidRPr="008A239A">
        <w:rPr>
          <w:rFonts w:ascii="Times New Roman" w:eastAsia="Times New Roman" w:hAnsi="Times New Roman" w:cs="Times New Roman"/>
          <w:sz w:val="24"/>
          <w:szCs w:val="24"/>
        </w:rPr>
        <w:t xml:space="preserve">mācību </w:t>
      </w:r>
      <w:r w:rsidRPr="001368C2">
        <w:rPr>
          <w:rFonts w:ascii="Times New Roman" w:eastAsia="Times New Roman" w:hAnsi="Times New Roman" w:cs="Times New Roman"/>
          <w:sz w:val="24"/>
          <w:szCs w:val="24"/>
        </w:rPr>
        <w:t xml:space="preserve">īstenošanas vieta, mācību ilgums, kas </w:t>
      </w:r>
      <w:r>
        <w:rPr>
          <w:rFonts w:ascii="Times New Roman" w:eastAsia="Times New Roman" w:hAnsi="Times New Roman" w:cs="Times New Roman"/>
          <w:sz w:val="24"/>
          <w:szCs w:val="24"/>
        </w:rPr>
        <w:t xml:space="preserve">attiecīgi </w:t>
      </w:r>
      <w:r w:rsidR="00390A5D">
        <w:rPr>
          <w:rFonts w:ascii="Times New Roman" w:eastAsia="Times New Roman" w:hAnsi="Times New Roman" w:cs="Times New Roman"/>
          <w:sz w:val="24"/>
          <w:szCs w:val="24"/>
        </w:rPr>
        <w:t xml:space="preserve">var ietekmēt  profesionālās </w:t>
      </w:r>
      <w:r w:rsidR="00DC2B96">
        <w:rPr>
          <w:rFonts w:ascii="Times New Roman" w:eastAsia="Times New Roman" w:hAnsi="Times New Roman" w:cs="Times New Roman"/>
          <w:sz w:val="24"/>
          <w:szCs w:val="24"/>
        </w:rPr>
        <w:t xml:space="preserve">izglītības programmas </w:t>
      </w:r>
      <w:r w:rsidR="00390A5D">
        <w:rPr>
          <w:rFonts w:ascii="Times New Roman" w:eastAsia="Times New Roman" w:hAnsi="Times New Roman" w:cs="Times New Roman"/>
          <w:sz w:val="24"/>
          <w:szCs w:val="24"/>
        </w:rPr>
        <w:t>īstenošana</w:t>
      </w:r>
      <w:r w:rsidR="007C7C69">
        <w:rPr>
          <w:rFonts w:ascii="Times New Roman" w:eastAsia="Times New Roman" w:hAnsi="Times New Roman" w:cs="Times New Roman"/>
          <w:sz w:val="24"/>
          <w:szCs w:val="24"/>
        </w:rPr>
        <w:t>i nepieciešamā</w:t>
      </w:r>
      <w:r w:rsidR="00390A5D">
        <w:rPr>
          <w:rFonts w:ascii="Times New Roman" w:eastAsia="Times New Roman" w:hAnsi="Times New Roman" w:cs="Times New Roman"/>
          <w:sz w:val="24"/>
          <w:szCs w:val="24"/>
        </w:rPr>
        <w:t xml:space="preserve"> </w:t>
      </w:r>
      <w:r w:rsidR="007C7C69">
        <w:rPr>
          <w:rFonts w:ascii="Times New Roman" w:eastAsia="Times New Roman" w:hAnsi="Times New Roman" w:cs="Times New Roman"/>
          <w:sz w:val="24"/>
          <w:szCs w:val="24"/>
        </w:rPr>
        <w:t>finansējuma</w:t>
      </w:r>
      <w:r w:rsidR="00390A5D">
        <w:rPr>
          <w:rFonts w:ascii="Times New Roman" w:eastAsia="Times New Roman" w:hAnsi="Times New Roman" w:cs="Times New Roman"/>
          <w:sz w:val="24"/>
          <w:szCs w:val="24"/>
        </w:rPr>
        <w:t xml:space="preserve"> aprēķinu</w:t>
      </w:r>
      <w:r>
        <w:rPr>
          <w:rFonts w:ascii="Times New Roman" w:eastAsia="Times New Roman" w:hAnsi="Times New Roman" w:cs="Times New Roman"/>
          <w:sz w:val="24"/>
          <w:szCs w:val="24"/>
        </w:rPr>
        <w:t>.</w:t>
      </w:r>
    </w:p>
    <w:p w14:paraId="33F52735" w14:textId="7FC8CA3B" w:rsidR="00896E3F" w:rsidRDefault="00896E3F" w:rsidP="004E229C">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Modulāro profesionālas izglītības programmu kontekstā jāņem vērā grupas lielums, nodrošinot optimālu izglītojamo skaitu modulārās programmas daļu (moduļa vai vairākus moduļu</w:t>
      </w:r>
      <w:r w:rsidRPr="00896E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apguvē. Ja </w:t>
      </w:r>
      <w:r w:rsidR="00011526">
        <w:rPr>
          <w:rFonts w:ascii="Times New Roman" w:eastAsia="Times New Roman" w:hAnsi="Times New Roman" w:cs="Times New Roman"/>
          <w:sz w:val="24"/>
          <w:szCs w:val="24"/>
        </w:rPr>
        <w:t xml:space="preserve">vispārējo mācību priekšmetu apguvē </w:t>
      </w:r>
      <w:r>
        <w:rPr>
          <w:rFonts w:ascii="Times New Roman" w:eastAsia="Times New Roman" w:hAnsi="Times New Roman" w:cs="Times New Roman"/>
          <w:sz w:val="24"/>
          <w:szCs w:val="24"/>
        </w:rPr>
        <w:t xml:space="preserve">iespējams nodrošināt sekmīgu mācību procesu grupās ar izglītojamo skaitu, kas lielāks par 30, tad profesionālo </w:t>
      </w:r>
      <w:r w:rsidR="004F1377">
        <w:rPr>
          <w:rFonts w:ascii="Times New Roman" w:eastAsia="Times New Roman" w:hAnsi="Times New Roman" w:cs="Times New Roman"/>
          <w:sz w:val="24"/>
          <w:szCs w:val="24"/>
        </w:rPr>
        <w:t>kompetenču</w:t>
      </w:r>
      <w:r>
        <w:rPr>
          <w:rFonts w:ascii="Times New Roman" w:eastAsia="Times New Roman" w:hAnsi="Times New Roman" w:cs="Times New Roman"/>
          <w:sz w:val="24"/>
          <w:szCs w:val="24"/>
        </w:rPr>
        <w:t xml:space="preserve"> apguvē, kas saistīta ar </w:t>
      </w:r>
      <w:r w:rsidR="00BD3370">
        <w:rPr>
          <w:rFonts w:ascii="Times New Roman" w:eastAsia="Times New Roman" w:hAnsi="Times New Roman" w:cs="Times New Roman"/>
          <w:sz w:val="24"/>
          <w:szCs w:val="24"/>
        </w:rPr>
        <w:t xml:space="preserve">praktiskām mācībām konkrētu </w:t>
      </w:r>
      <w:r>
        <w:rPr>
          <w:rFonts w:ascii="Times New Roman" w:eastAsia="Times New Roman" w:hAnsi="Times New Roman" w:cs="Times New Roman"/>
          <w:sz w:val="24"/>
          <w:szCs w:val="24"/>
        </w:rPr>
        <w:t>prasmju apguv</w:t>
      </w:r>
      <w:r w:rsidR="00BD337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i, </w:t>
      </w:r>
      <w:r w:rsidR="00011526">
        <w:rPr>
          <w:rFonts w:ascii="Times New Roman" w:eastAsia="Times New Roman" w:hAnsi="Times New Roman" w:cs="Times New Roman"/>
          <w:sz w:val="24"/>
          <w:szCs w:val="24"/>
        </w:rPr>
        <w:t xml:space="preserve">būtu </w:t>
      </w:r>
      <w:r>
        <w:rPr>
          <w:rFonts w:ascii="Times New Roman" w:eastAsia="Times New Roman" w:hAnsi="Times New Roman" w:cs="Times New Roman"/>
          <w:sz w:val="24"/>
          <w:szCs w:val="24"/>
        </w:rPr>
        <w:t>nepieciešams nodrošināt grupas ar izglītojamo skaitu 16 līdz 20.</w:t>
      </w:r>
      <w:r w:rsidR="00E91290">
        <w:rPr>
          <w:rFonts w:ascii="Times New Roman" w:eastAsia="Times New Roman" w:hAnsi="Times New Roman" w:cs="Times New Roman"/>
          <w:sz w:val="24"/>
          <w:szCs w:val="24"/>
        </w:rPr>
        <w:t xml:space="preserve"> G</w:t>
      </w:r>
      <w:r w:rsidR="00E91290" w:rsidRPr="00E91290">
        <w:rPr>
          <w:rFonts w:ascii="Times New Roman" w:eastAsia="Times New Roman" w:hAnsi="Times New Roman" w:cs="Times New Roman"/>
          <w:sz w:val="24"/>
          <w:szCs w:val="24"/>
        </w:rPr>
        <w:t>adījumos, kad izglītojamo skaits pārsniedz ieteicamo</w:t>
      </w:r>
      <w:r w:rsidR="00E91290">
        <w:rPr>
          <w:rFonts w:ascii="Times New Roman" w:eastAsia="Times New Roman" w:hAnsi="Times New Roman" w:cs="Times New Roman"/>
          <w:sz w:val="24"/>
          <w:szCs w:val="24"/>
        </w:rPr>
        <w:t xml:space="preserve"> skaitu grupā</w:t>
      </w:r>
      <w:r w:rsidR="00E91290" w:rsidRPr="00E91290">
        <w:rPr>
          <w:rFonts w:ascii="Times New Roman" w:eastAsia="Times New Roman" w:hAnsi="Times New Roman" w:cs="Times New Roman"/>
          <w:sz w:val="24"/>
          <w:szCs w:val="24"/>
        </w:rPr>
        <w:t xml:space="preserve">, izglītojamie būtu jādala vairākās grupās, kas </w:t>
      </w:r>
      <w:r w:rsidR="00E91290">
        <w:rPr>
          <w:rFonts w:ascii="Times New Roman" w:eastAsia="Times New Roman" w:hAnsi="Times New Roman" w:cs="Times New Roman"/>
          <w:sz w:val="24"/>
          <w:szCs w:val="24"/>
        </w:rPr>
        <w:t xml:space="preserve">attiecīgi </w:t>
      </w:r>
      <w:r w:rsidR="00E91290" w:rsidRPr="00E91290">
        <w:rPr>
          <w:rFonts w:ascii="Times New Roman" w:eastAsia="Times New Roman" w:hAnsi="Times New Roman" w:cs="Times New Roman"/>
          <w:sz w:val="24"/>
          <w:szCs w:val="24"/>
        </w:rPr>
        <w:t>ietekmēs izglītības programmu īstenošanas izmaksas, piem. pedagoga algas, uzturēšanas u.c. izmaksas.</w:t>
      </w:r>
    </w:p>
    <w:p w14:paraId="55032734" w14:textId="27230C94" w:rsidR="004F1377" w:rsidRDefault="004F1377" w:rsidP="004E229C">
      <w:pPr>
        <w:spacing w:after="120" w:line="276" w:lineRule="auto"/>
        <w:jc w:val="both"/>
        <w:rPr>
          <w:rFonts w:ascii="Times New Roman" w:eastAsia="Times New Roman" w:hAnsi="Times New Roman" w:cs="Times New Roman"/>
          <w:sz w:val="24"/>
          <w:szCs w:val="24"/>
        </w:rPr>
      </w:pPr>
      <w:r w:rsidRPr="004F1377">
        <w:rPr>
          <w:rFonts w:ascii="Times New Roman" w:eastAsia="Times New Roman" w:hAnsi="Times New Roman" w:cs="Times New Roman"/>
          <w:sz w:val="24"/>
          <w:szCs w:val="24"/>
        </w:rPr>
        <w:t>Moduļa satura pamatā ir konkrēti sasniedzamie mācīšanās rezultāti, kas nosaka profesionālo kompetenču apguvi un tādējādi ietver sevī teorētiskās zināšanas, praktiskās mācības un praksi, ko apgūstot izglītojamais var veikt konkrētus darbus no apgūstamās profesionālās kvalifikācijas darba tirgū.</w:t>
      </w:r>
      <w:r>
        <w:rPr>
          <w:rFonts w:ascii="Times New Roman" w:eastAsia="Times New Roman" w:hAnsi="Times New Roman" w:cs="Times New Roman"/>
          <w:sz w:val="24"/>
          <w:szCs w:val="24"/>
        </w:rPr>
        <w:t xml:space="preserve"> </w:t>
      </w:r>
      <w:r w:rsidRPr="004F1377">
        <w:rPr>
          <w:rFonts w:ascii="Times New Roman" w:eastAsia="Times New Roman" w:hAnsi="Times New Roman" w:cs="Times New Roman"/>
          <w:sz w:val="24"/>
          <w:szCs w:val="24"/>
        </w:rPr>
        <w:t>Tas nozīmē, ka modulārā pieeja profesionālās izglītības programmu īstenošana pēc būtības pieprasa lielāku praktisko iemaņu un prasmju apguvi, t.sk. iegūstot visas attiecīgajā profesijas standartā vai profesionālās kvalifikācijas prasībās ierakstītās apliecības, sertifikātus un tiesība</w:t>
      </w:r>
      <w:r>
        <w:rPr>
          <w:rFonts w:ascii="Times New Roman" w:eastAsia="Times New Roman" w:hAnsi="Times New Roman" w:cs="Times New Roman"/>
          <w:sz w:val="24"/>
          <w:szCs w:val="24"/>
        </w:rPr>
        <w:t>s</w:t>
      </w:r>
      <w:r w:rsidRPr="004F1377">
        <w:rPr>
          <w:rFonts w:ascii="Times New Roman" w:eastAsia="Times New Roman" w:hAnsi="Times New Roman" w:cs="Times New Roman"/>
          <w:sz w:val="24"/>
          <w:szCs w:val="24"/>
        </w:rPr>
        <w:t>. Piemēram, ja izglītojamais iegūst profesionālo kvalifikāciju “Lopkopīgas tehniķis”, bet izglītības procesā nav ieguvis “Traktortehnikas vadītāja apliecību”, praktiski darba tirgū nevar strādāt iegūtajā profesijā.</w:t>
      </w:r>
    </w:p>
    <w:p w14:paraId="7F92B1A6" w14:textId="77777777" w:rsidR="00CF01AA" w:rsidRDefault="00CF01AA" w:rsidP="004E229C">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2016.gadā tika izveidota IZM </w:t>
      </w:r>
      <w:r w:rsidRPr="008A239A">
        <w:rPr>
          <w:rFonts w:ascii="Times New Roman" w:eastAsia="Times New Roman" w:hAnsi="Times New Roman" w:cs="Times New Roman"/>
          <w:sz w:val="24"/>
          <w:szCs w:val="24"/>
        </w:rPr>
        <w:t>darba grupa</w:t>
      </w:r>
      <w:r>
        <w:rPr>
          <w:rFonts w:ascii="Times New Roman" w:eastAsia="Times New Roman" w:hAnsi="Times New Roman" w:cs="Times New Roman"/>
          <w:sz w:val="24"/>
          <w:szCs w:val="24"/>
        </w:rPr>
        <w:t xml:space="preserve"> (Rīkojums Nr.117, 21.03.2016.), kas</w:t>
      </w:r>
      <w:r w:rsidRPr="008A239A">
        <w:rPr>
          <w:rFonts w:ascii="Times New Roman" w:eastAsia="Times New Roman" w:hAnsi="Times New Roman" w:cs="Times New Roman"/>
          <w:sz w:val="24"/>
          <w:szCs w:val="24"/>
        </w:rPr>
        <w:t xml:space="preserve"> konstatēja, ka </w:t>
      </w:r>
      <w:r>
        <w:rPr>
          <w:rFonts w:ascii="Times New Roman" w:eastAsia="Times New Roman" w:hAnsi="Times New Roman" w:cs="Times New Roman"/>
          <w:sz w:val="24"/>
          <w:szCs w:val="24"/>
        </w:rPr>
        <w:t>nepieciešams nodrošināt piešķirtā valsts finansējuma</w:t>
      </w:r>
      <w:r w:rsidRPr="00291D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atbilstību</w:t>
      </w:r>
      <w:r w:rsidRPr="008A239A">
        <w:rPr>
          <w:rFonts w:ascii="Times New Roman" w:eastAsia="Times New Roman" w:hAnsi="Times New Roman" w:cs="Times New Roman"/>
          <w:sz w:val="24"/>
          <w:szCs w:val="24"/>
        </w:rPr>
        <w:t xml:space="preserve"> profesionālas izglītības </w:t>
      </w:r>
      <w:r>
        <w:rPr>
          <w:rFonts w:ascii="Times New Roman" w:eastAsia="Times New Roman" w:hAnsi="Times New Roman" w:cs="Times New Roman"/>
          <w:sz w:val="24"/>
          <w:szCs w:val="24"/>
        </w:rPr>
        <w:t>programmu īstenošanas</w:t>
      </w:r>
      <w:r w:rsidRPr="008A23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faktiskajām izmaksām,</w:t>
      </w:r>
      <w:r w:rsidRPr="008A239A">
        <w:rPr>
          <w:rFonts w:ascii="Times New Roman" w:eastAsia="Times New Roman" w:hAnsi="Times New Roman" w:cs="Times New Roman"/>
          <w:sz w:val="24"/>
          <w:szCs w:val="24"/>
        </w:rPr>
        <w:t xml:space="preserve"> </w:t>
      </w:r>
      <w:r w:rsidRPr="00E121A7">
        <w:rPr>
          <w:rFonts w:ascii="Times New Roman" w:eastAsia="Times New Roman" w:hAnsi="Times New Roman" w:cs="Times New Roman"/>
          <w:sz w:val="24"/>
          <w:szCs w:val="24"/>
        </w:rPr>
        <w:t>kā arī izvērtēt profesionālās izglītības programmu finansēšanu gadījumos, kad tās īsteno pašvaldību un citu dibinātāju izglītības iestādes.</w:t>
      </w:r>
    </w:p>
    <w:p w14:paraId="39B6250A" w14:textId="458E3309" w:rsidR="00CF01AA" w:rsidRDefault="00CF01AA" w:rsidP="004E229C">
      <w:pPr>
        <w:spacing w:after="120" w:line="276" w:lineRule="auto"/>
        <w:jc w:val="both"/>
        <w:rPr>
          <w:rFonts w:ascii="Times New Roman" w:eastAsia="Times New Roman" w:hAnsi="Times New Roman" w:cs="Times New Roman"/>
          <w:sz w:val="24"/>
          <w:szCs w:val="24"/>
        </w:rPr>
      </w:pPr>
      <w:r w:rsidRPr="001368C2">
        <w:rPr>
          <w:rFonts w:ascii="Times New Roman" w:eastAsia="Times New Roman" w:hAnsi="Times New Roman" w:cs="Times New Roman"/>
          <w:sz w:val="24"/>
          <w:szCs w:val="24"/>
        </w:rPr>
        <w:t xml:space="preserve">Profesionālās izglītības iestādes </w:t>
      </w:r>
      <w:r>
        <w:rPr>
          <w:rFonts w:ascii="Times New Roman" w:eastAsia="Times New Roman" w:hAnsi="Times New Roman" w:cs="Times New Roman"/>
          <w:sz w:val="24"/>
          <w:szCs w:val="24"/>
        </w:rPr>
        <w:t>arvien</w:t>
      </w:r>
      <w:r w:rsidRPr="001368C2">
        <w:rPr>
          <w:rFonts w:ascii="Times New Roman" w:eastAsia="Times New Roman" w:hAnsi="Times New Roman" w:cs="Times New Roman"/>
          <w:sz w:val="24"/>
          <w:szCs w:val="24"/>
        </w:rPr>
        <w:t xml:space="preserve"> vairāk iesaistās </w:t>
      </w:r>
      <w:r w:rsidR="00390A5D">
        <w:rPr>
          <w:rFonts w:ascii="Times New Roman" w:eastAsia="Times New Roman" w:hAnsi="Times New Roman" w:cs="Times New Roman"/>
          <w:sz w:val="24"/>
          <w:szCs w:val="24"/>
        </w:rPr>
        <w:t>mūž</w:t>
      </w:r>
      <w:r w:rsidRPr="001368C2">
        <w:rPr>
          <w:rFonts w:ascii="Times New Roman" w:eastAsia="Times New Roman" w:hAnsi="Times New Roman" w:cs="Times New Roman"/>
          <w:sz w:val="24"/>
          <w:szCs w:val="24"/>
        </w:rPr>
        <w:t xml:space="preserve">izglītības piedāvājuma veidošanā, tādējādi </w:t>
      </w:r>
      <w:r>
        <w:rPr>
          <w:rFonts w:ascii="Times New Roman" w:eastAsia="Times New Roman" w:hAnsi="Times New Roman" w:cs="Times New Roman"/>
          <w:sz w:val="24"/>
          <w:szCs w:val="24"/>
        </w:rPr>
        <w:t xml:space="preserve">paplašinot izglītības iespējas pieaugušajiem, kā arī </w:t>
      </w:r>
      <w:r w:rsidRPr="001368C2">
        <w:rPr>
          <w:rFonts w:ascii="Times New Roman" w:eastAsia="Times New Roman" w:hAnsi="Times New Roman" w:cs="Times New Roman"/>
          <w:sz w:val="24"/>
          <w:szCs w:val="24"/>
        </w:rPr>
        <w:t xml:space="preserve">nodrošinot tautsaimniecības attīstības vajadzībām atbilstošu mācību piedāvājumu. </w:t>
      </w:r>
      <w:r w:rsidRPr="00053248">
        <w:rPr>
          <w:rFonts w:ascii="Times New Roman" w:eastAsia="Times New Roman" w:hAnsi="Times New Roman" w:cs="Times New Roman"/>
          <w:sz w:val="24"/>
          <w:szCs w:val="24"/>
        </w:rPr>
        <w:t xml:space="preserve">Profesionālās izglītības programmas saturiski </w:t>
      </w:r>
      <w:r>
        <w:rPr>
          <w:rFonts w:ascii="Times New Roman" w:eastAsia="Times New Roman" w:hAnsi="Times New Roman" w:cs="Times New Roman"/>
          <w:sz w:val="24"/>
          <w:szCs w:val="24"/>
        </w:rPr>
        <w:t xml:space="preserve">tiek </w:t>
      </w:r>
      <w:r w:rsidRPr="00053248">
        <w:rPr>
          <w:rFonts w:ascii="Times New Roman" w:eastAsia="Times New Roman" w:hAnsi="Times New Roman" w:cs="Times New Roman"/>
          <w:sz w:val="24"/>
          <w:szCs w:val="24"/>
        </w:rPr>
        <w:t>pārstrukturizē</w:t>
      </w:r>
      <w:r>
        <w:rPr>
          <w:rFonts w:ascii="Times New Roman" w:eastAsia="Times New Roman" w:hAnsi="Times New Roman" w:cs="Times New Roman"/>
          <w:sz w:val="24"/>
          <w:szCs w:val="24"/>
        </w:rPr>
        <w:t>tas</w:t>
      </w:r>
      <w:r w:rsidRPr="00053248">
        <w:rPr>
          <w:rFonts w:ascii="Times New Roman" w:eastAsia="Times New Roman" w:hAnsi="Times New Roman" w:cs="Times New Roman"/>
          <w:sz w:val="24"/>
          <w:szCs w:val="24"/>
        </w:rPr>
        <w:t xml:space="preserve"> ar mērķi i</w:t>
      </w:r>
      <w:r>
        <w:rPr>
          <w:rFonts w:ascii="Times New Roman" w:eastAsia="Times New Roman" w:hAnsi="Times New Roman" w:cs="Times New Roman"/>
          <w:sz w:val="24"/>
          <w:szCs w:val="24"/>
        </w:rPr>
        <w:t xml:space="preserve">zveidot elastīgu profesionālās </w:t>
      </w:r>
      <w:r w:rsidRPr="00053248">
        <w:rPr>
          <w:rFonts w:ascii="Times New Roman" w:eastAsia="Times New Roman" w:hAnsi="Times New Roman" w:cs="Times New Roman"/>
          <w:sz w:val="24"/>
          <w:szCs w:val="24"/>
        </w:rPr>
        <w:t xml:space="preserve">izglītības </w:t>
      </w:r>
      <w:r>
        <w:rPr>
          <w:rFonts w:ascii="Times New Roman" w:eastAsia="Times New Roman" w:hAnsi="Times New Roman" w:cs="Times New Roman"/>
          <w:sz w:val="24"/>
          <w:szCs w:val="24"/>
        </w:rPr>
        <w:t>piedāvājumu</w:t>
      </w:r>
      <w:r w:rsidRPr="004B0C16">
        <w:rPr>
          <w:rFonts w:ascii="Times New Roman" w:eastAsia="Times New Roman" w:hAnsi="Times New Roman" w:cs="Times New Roman"/>
          <w:sz w:val="24"/>
          <w:szCs w:val="24"/>
        </w:rPr>
        <w:t>, kas nodrošinātu iespēju ātri reaģēt uz darbaspēka pieprasījum</w:t>
      </w:r>
      <w:r>
        <w:rPr>
          <w:rFonts w:ascii="Times New Roman" w:eastAsia="Times New Roman" w:hAnsi="Times New Roman" w:cs="Times New Roman"/>
          <w:sz w:val="24"/>
          <w:szCs w:val="24"/>
        </w:rPr>
        <w:t>a</w:t>
      </w:r>
      <w:r w:rsidRPr="004B0C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izmaiņām </w:t>
      </w:r>
      <w:r w:rsidRPr="004B0C16">
        <w:rPr>
          <w:rFonts w:ascii="Times New Roman" w:eastAsia="Times New Roman" w:hAnsi="Times New Roman" w:cs="Times New Roman"/>
          <w:sz w:val="24"/>
          <w:szCs w:val="24"/>
        </w:rPr>
        <w:t xml:space="preserve">gan īstermiņā, gan ilgtermiņā. Profesionālās izglītības sistēmā ir jāievieš uz profesionālajām kompetencēm balstīts izglītības process un uz sasniedzamiem rezultātiem vērsta pieeja. Modulāro profesionālās </w:t>
      </w:r>
      <w:r w:rsidRPr="004B0C16">
        <w:rPr>
          <w:rFonts w:ascii="Times New Roman" w:eastAsia="Times New Roman" w:hAnsi="Times New Roman" w:cs="Times New Roman"/>
          <w:sz w:val="24"/>
          <w:szCs w:val="24"/>
        </w:rPr>
        <w:lastRenderedPageBreak/>
        <w:t>izglītības programmu ieviešana</w:t>
      </w:r>
      <w:r>
        <w:rPr>
          <w:rFonts w:ascii="Times New Roman" w:eastAsia="Times New Roman" w:hAnsi="Times New Roman" w:cs="Times New Roman"/>
          <w:sz w:val="24"/>
          <w:szCs w:val="24"/>
        </w:rPr>
        <w:t xml:space="preserve"> </w:t>
      </w:r>
      <w:r w:rsidR="00863CDE">
        <w:rPr>
          <w:rFonts w:ascii="Times New Roman" w:eastAsia="Times New Roman" w:hAnsi="Times New Roman" w:cs="Times New Roman"/>
          <w:sz w:val="24"/>
          <w:szCs w:val="24"/>
        </w:rPr>
        <w:t xml:space="preserve">dod </w:t>
      </w:r>
      <w:r>
        <w:rPr>
          <w:rFonts w:ascii="Times New Roman" w:eastAsia="Times New Roman" w:hAnsi="Times New Roman" w:cs="Times New Roman"/>
          <w:sz w:val="24"/>
          <w:szCs w:val="24"/>
        </w:rPr>
        <w:t xml:space="preserve">iespēju profesionālās izglītības īstenošanā iesaistītajiem </w:t>
      </w:r>
      <w:r w:rsidRPr="00053248">
        <w:rPr>
          <w:rFonts w:ascii="Times New Roman" w:eastAsia="Times New Roman" w:hAnsi="Times New Roman" w:cs="Times New Roman"/>
          <w:sz w:val="24"/>
          <w:szCs w:val="24"/>
        </w:rPr>
        <w:t xml:space="preserve">pārvaldīt pārmaiņas un pielāgoties jaunajām attīstības tendencēm. </w:t>
      </w:r>
      <w:r w:rsidRPr="008A239A">
        <w:rPr>
          <w:rFonts w:ascii="Times New Roman" w:eastAsia="Times New Roman" w:hAnsi="Times New Roman" w:cs="Times New Roman"/>
          <w:sz w:val="24"/>
          <w:szCs w:val="24"/>
        </w:rPr>
        <w:t xml:space="preserve"> </w:t>
      </w:r>
    </w:p>
    <w:p w14:paraId="2E12B8BE" w14:textId="201F0A5F" w:rsidR="004F1377" w:rsidRDefault="00CF01AA" w:rsidP="004E229C">
      <w:pPr>
        <w:spacing w:after="120" w:line="276" w:lineRule="auto"/>
        <w:jc w:val="both"/>
        <w:rPr>
          <w:rFonts w:ascii="Times New Roman" w:eastAsia="Times New Roman" w:hAnsi="Times New Roman" w:cs="Times New Roman"/>
          <w:sz w:val="24"/>
          <w:szCs w:val="24"/>
        </w:rPr>
      </w:pPr>
      <w:r w:rsidRPr="00FA3A7A">
        <w:rPr>
          <w:rFonts w:ascii="Times New Roman" w:eastAsia="Times New Roman" w:hAnsi="Times New Roman" w:cs="Times New Roman"/>
          <w:sz w:val="24"/>
          <w:szCs w:val="24"/>
        </w:rPr>
        <w:t>Ņemot vērā kompetenču apguves lomu</w:t>
      </w:r>
      <w:r>
        <w:rPr>
          <w:rFonts w:ascii="Times New Roman" w:eastAsia="Times New Roman" w:hAnsi="Times New Roman" w:cs="Times New Roman"/>
          <w:sz w:val="24"/>
          <w:szCs w:val="24"/>
        </w:rPr>
        <w:t xml:space="preserve"> mūžizglītības kontekstā</w:t>
      </w:r>
      <w:r w:rsidRPr="00FA3A7A">
        <w:rPr>
          <w:rFonts w:ascii="Times New Roman" w:eastAsia="Times New Roman" w:hAnsi="Times New Roman" w:cs="Times New Roman"/>
          <w:sz w:val="24"/>
          <w:szCs w:val="24"/>
        </w:rPr>
        <w:t>, lai pielāgo</w:t>
      </w:r>
      <w:r>
        <w:rPr>
          <w:rFonts w:ascii="Times New Roman" w:eastAsia="Times New Roman" w:hAnsi="Times New Roman" w:cs="Times New Roman"/>
          <w:sz w:val="24"/>
          <w:szCs w:val="24"/>
        </w:rPr>
        <w:t xml:space="preserve">tos darba tirgus prasībām, profesionālās </w:t>
      </w:r>
      <w:r w:rsidRPr="00FA3A7A">
        <w:rPr>
          <w:rFonts w:ascii="Times New Roman" w:eastAsia="Times New Roman" w:hAnsi="Times New Roman" w:cs="Times New Roman"/>
          <w:sz w:val="24"/>
          <w:szCs w:val="24"/>
        </w:rPr>
        <w:t>kvalifikācijas paaugstināšanā un tālākizglītības iespēju nodrošināšanā m</w:t>
      </w:r>
      <w:r>
        <w:rPr>
          <w:rFonts w:ascii="Times New Roman" w:eastAsia="Times New Roman" w:hAnsi="Times New Roman" w:cs="Times New Roman"/>
          <w:sz w:val="24"/>
          <w:szCs w:val="24"/>
        </w:rPr>
        <w:t xml:space="preserve">ūža garumā, ļoti svarīgi katram </w:t>
      </w:r>
      <w:r w:rsidRPr="00FA3A7A">
        <w:rPr>
          <w:rFonts w:ascii="Times New Roman" w:eastAsia="Times New Roman" w:hAnsi="Times New Roman" w:cs="Times New Roman"/>
          <w:sz w:val="24"/>
          <w:szCs w:val="24"/>
        </w:rPr>
        <w:t xml:space="preserve">dot iespēju tās apgūt jebkurā izglītības </w:t>
      </w:r>
      <w:r>
        <w:rPr>
          <w:rFonts w:ascii="Times New Roman" w:eastAsia="Times New Roman" w:hAnsi="Times New Roman" w:cs="Times New Roman"/>
          <w:sz w:val="24"/>
          <w:szCs w:val="24"/>
        </w:rPr>
        <w:t xml:space="preserve">posmā </w:t>
      </w:r>
      <w:r w:rsidRPr="00FA3A7A">
        <w:rPr>
          <w:rFonts w:ascii="Times New Roman" w:eastAsia="Times New Roman" w:hAnsi="Times New Roman" w:cs="Times New Roman"/>
          <w:sz w:val="24"/>
          <w:szCs w:val="24"/>
        </w:rPr>
        <w:t>gan profesio</w:t>
      </w:r>
      <w:r>
        <w:rPr>
          <w:rFonts w:ascii="Times New Roman" w:eastAsia="Times New Roman" w:hAnsi="Times New Roman" w:cs="Times New Roman"/>
          <w:sz w:val="24"/>
          <w:szCs w:val="24"/>
        </w:rPr>
        <w:t xml:space="preserve">nālajā sākotnējā izglītībā, gan pieaugušo izglītībā. </w:t>
      </w:r>
      <w:r w:rsidR="004F1377">
        <w:rPr>
          <w:rFonts w:ascii="Times New Roman" w:eastAsia="Times New Roman" w:hAnsi="Times New Roman" w:cs="Times New Roman"/>
          <w:sz w:val="24"/>
          <w:szCs w:val="24"/>
        </w:rPr>
        <w:t>Tāpēc profesionālā</w:t>
      </w:r>
      <w:r w:rsidR="004F1377" w:rsidRPr="004F1377">
        <w:rPr>
          <w:rFonts w:ascii="Times New Roman" w:eastAsia="Times New Roman" w:hAnsi="Times New Roman" w:cs="Times New Roman"/>
          <w:sz w:val="24"/>
          <w:szCs w:val="24"/>
        </w:rPr>
        <w:t xml:space="preserve"> satura reformas rezultātā tiek veidotas Nozaru kvalifikāciju sistēmas, lai sistēmiski varētu apgūt nozares darbiniekiem nepieciešamās kompetences, un darbinieks varētu tās kombinēt apgūstot profesionālajās izglītības programmās, vai DVB</w:t>
      </w:r>
      <w:r w:rsidR="004F1377">
        <w:rPr>
          <w:rFonts w:ascii="Times New Roman" w:eastAsia="Times New Roman" w:hAnsi="Times New Roman" w:cs="Times New Roman"/>
          <w:sz w:val="24"/>
          <w:szCs w:val="24"/>
        </w:rPr>
        <w:t xml:space="preserve"> mācībās</w:t>
      </w:r>
      <w:r w:rsidR="004F1377" w:rsidRPr="004F1377">
        <w:rPr>
          <w:rFonts w:ascii="Times New Roman" w:eastAsia="Times New Roman" w:hAnsi="Times New Roman" w:cs="Times New Roman"/>
          <w:sz w:val="24"/>
          <w:szCs w:val="24"/>
        </w:rPr>
        <w:t xml:space="preserve">, vai tās atzīstot ārpus formālā ceļā. Neatkarīgi no kompetences apguves veida, un novērtēšanas vai atzīšanas gan darbiniekiem gan darba devējiem ir saprotams nepieciešamais kompetenču apjoms visos LKI līmeņos, </w:t>
      </w:r>
      <w:r w:rsidR="004F1377">
        <w:rPr>
          <w:rFonts w:ascii="Times New Roman" w:eastAsia="Times New Roman" w:hAnsi="Times New Roman" w:cs="Times New Roman"/>
          <w:sz w:val="24"/>
          <w:szCs w:val="24"/>
        </w:rPr>
        <w:t xml:space="preserve">tāpat arī ir skaidras </w:t>
      </w:r>
      <w:r w:rsidR="004F1377" w:rsidRPr="004F1377">
        <w:rPr>
          <w:rFonts w:ascii="Times New Roman" w:eastAsia="Times New Roman" w:hAnsi="Times New Roman" w:cs="Times New Roman"/>
          <w:sz w:val="24"/>
          <w:szCs w:val="24"/>
        </w:rPr>
        <w:t>izaugsmes iespējas darbiniekam</w:t>
      </w:r>
      <w:r w:rsidR="004F1377">
        <w:rPr>
          <w:rFonts w:ascii="Times New Roman" w:eastAsia="Times New Roman" w:hAnsi="Times New Roman" w:cs="Times New Roman"/>
          <w:sz w:val="24"/>
          <w:szCs w:val="24"/>
        </w:rPr>
        <w:t>,</w:t>
      </w:r>
      <w:r w:rsidR="004F1377" w:rsidRPr="004F1377">
        <w:rPr>
          <w:rFonts w:ascii="Times New Roman" w:eastAsia="Times New Roman" w:hAnsi="Times New Roman" w:cs="Times New Roman"/>
          <w:sz w:val="24"/>
          <w:szCs w:val="24"/>
        </w:rPr>
        <w:t xml:space="preserve"> pārejot izglītoties uz nākošo LKI līmeni (ko var atzīt un nav jādublē, tā</w:t>
      </w:r>
      <w:r w:rsidR="004F1377">
        <w:rPr>
          <w:rFonts w:ascii="Times New Roman" w:eastAsia="Times New Roman" w:hAnsi="Times New Roman" w:cs="Times New Roman"/>
          <w:sz w:val="24"/>
          <w:szCs w:val="24"/>
        </w:rPr>
        <w:t xml:space="preserve"> saīsinot izglītības ilgumu), kas attiecīgi veicina</w:t>
      </w:r>
      <w:r w:rsidR="004F1377" w:rsidRPr="004F1377">
        <w:rPr>
          <w:rFonts w:ascii="Times New Roman" w:eastAsia="Times New Roman" w:hAnsi="Times New Roman" w:cs="Times New Roman"/>
          <w:sz w:val="24"/>
          <w:szCs w:val="24"/>
        </w:rPr>
        <w:t xml:space="preserve"> pieaugušo tālākizglītību.</w:t>
      </w:r>
    </w:p>
    <w:p w14:paraId="1BB7D4AA" w14:textId="1CA23CA5" w:rsidR="00CF01AA" w:rsidRDefault="00CF01AA" w:rsidP="004E229C">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Tādēļ </w:t>
      </w:r>
      <w:r w:rsidR="004F1377">
        <w:rPr>
          <w:rFonts w:ascii="Times New Roman" w:eastAsia="Times New Roman" w:hAnsi="Times New Roman" w:cs="Times New Roman"/>
          <w:sz w:val="24"/>
          <w:szCs w:val="24"/>
        </w:rPr>
        <w:t xml:space="preserve">ilgtermiņā </w:t>
      </w:r>
      <w:r>
        <w:rPr>
          <w:rFonts w:ascii="Times New Roman" w:eastAsia="Times New Roman" w:hAnsi="Times New Roman" w:cs="Times New Roman"/>
          <w:sz w:val="24"/>
          <w:szCs w:val="24"/>
        </w:rPr>
        <w:t>jāveicina valsts budžeta līdzekļu efektīva izmantošana,  profesionālās izglītības programmu īstenošanu nodrošinot atbilstoši  īstenošanas faktiskajām izma</w:t>
      </w:r>
      <w:r w:rsidR="004F1377">
        <w:rPr>
          <w:rFonts w:ascii="Times New Roman" w:eastAsia="Times New Roman" w:hAnsi="Times New Roman" w:cs="Times New Roman"/>
          <w:sz w:val="24"/>
          <w:szCs w:val="24"/>
        </w:rPr>
        <w:t>ksām un pieejamam finansējumam gan profesionālajā sākotnējā izglītībā, gan tālākizglītībā, apgūstot iztrūkstošās prasmes/moduļus, atbikstoši vienas nozares kvalifikācijas sistēmai.</w:t>
      </w:r>
    </w:p>
    <w:p w14:paraId="6C836130" w14:textId="2AFCE4E8" w:rsidR="004F1377" w:rsidRPr="000D4320" w:rsidRDefault="004F1377" w:rsidP="004F1377">
      <w:pPr>
        <w:spacing w:after="120" w:line="276" w:lineRule="auto"/>
        <w:jc w:val="both"/>
        <w:rPr>
          <w:rFonts w:ascii="Times New Roman" w:eastAsia="Times New Roman" w:hAnsi="Times New Roman" w:cs="Times New Roman"/>
          <w:sz w:val="24"/>
          <w:szCs w:val="24"/>
        </w:rPr>
      </w:pPr>
      <w:r w:rsidRPr="000D4320">
        <w:rPr>
          <w:rFonts w:ascii="Times New Roman" w:eastAsia="Times New Roman" w:hAnsi="Times New Roman" w:cs="Times New Roman"/>
          <w:sz w:val="24"/>
          <w:szCs w:val="24"/>
        </w:rPr>
        <w:t xml:space="preserve">Tas nozīmē, ka darba tirgū vienas nozares profesija un specializācija ir kā atsevišķas, neatkarīgas profesijas, taču profesijai un specializācijai kopīgās zināšanas, prasmes un attieksmes/vai kompetences (kas ir līdz 80%) būtu iespējams </w:t>
      </w:r>
      <w:r w:rsidR="000D4320" w:rsidRPr="000D4320">
        <w:rPr>
          <w:rFonts w:ascii="Times New Roman" w:eastAsia="Times New Roman" w:hAnsi="Times New Roman" w:cs="Times New Roman"/>
          <w:sz w:val="24"/>
          <w:szCs w:val="24"/>
        </w:rPr>
        <w:t>mācīt vienreiz</w:t>
      </w:r>
      <w:r w:rsidRPr="000D4320">
        <w:rPr>
          <w:rFonts w:ascii="Times New Roman" w:eastAsia="Times New Roman" w:hAnsi="Times New Roman" w:cs="Times New Roman"/>
          <w:sz w:val="24"/>
          <w:szCs w:val="24"/>
        </w:rPr>
        <w:t xml:space="preserve"> un pēctecīgi tālākizglītībā apgūstot tikai specializāciju, tā </w:t>
      </w:r>
      <w:r w:rsidR="000D4320" w:rsidRPr="000D4320">
        <w:rPr>
          <w:rFonts w:ascii="Times New Roman" w:eastAsia="Times New Roman" w:hAnsi="Times New Roman" w:cs="Times New Roman"/>
          <w:sz w:val="24"/>
          <w:szCs w:val="24"/>
        </w:rPr>
        <w:t>nedublējot</w:t>
      </w:r>
      <w:r w:rsidRPr="000D4320">
        <w:rPr>
          <w:rFonts w:ascii="Times New Roman" w:eastAsia="Times New Roman" w:hAnsi="Times New Roman" w:cs="Times New Roman"/>
          <w:sz w:val="24"/>
          <w:szCs w:val="24"/>
        </w:rPr>
        <w:t xml:space="preserve"> izglītības procesā vi</w:t>
      </w:r>
      <w:r w:rsidR="000D4320" w:rsidRPr="000D4320">
        <w:rPr>
          <w:rFonts w:ascii="Times New Roman" w:eastAsia="Times New Roman" w:hAnsi="Times New Roman" w:cs="Times New Roman"/>
          <w:sz w:val="24"/>
          <w:szCs w:val="24"/>
        </w:rPr>
        <w:t>enādās kompetences, optimizējot</w:t>
      </w:r>
      <w:r w:rsidRPr="000D4320">
        <w:rPr>
          <w:rFonts w:ascii="Times New Roman" w:eastAsia="Times New Roman" w:hAnsi="Times New Roman" w:cs="Times New Roman"/>
          <w:sz w:val="24"/>
          <w:szCs w:val="24"/>
        </w:rPr>
        <w:t xml:space="preserve"> finanšu resursus</w:t>
      </w:r>
      <w:r w:rsidR="000D4320" w:rsidRPr="000D4320">
        <w:rPr>
          <w:rFonts w:ascii="Times New Roman" w:eastAsia="Times New Roman" w:hAnsi="Times New Roman" w:cs="Times New Roman"/>
          <w:sz w:val="24"/>
          <w:szCs w:val="24"/>
        </w:rPr>
        <w:t xml:space="preserve"> un ātri un elastīgi nodrošinot</w:t>
      </w:r>
      <w:r w:rsidRPr="000D4320">
        <w:rPr>
          <w:rFonts w:ascii="Times New Roman" w:eastAsia="Times New Roman" w:hAnsi="Times New Roman" w:cs="Times New Roman"/>
          <w:sz w:val="24"/>
          <w:szCs w:val="24"/>
        </w:rPr>
        <w:t xml:space="preserve"> pieaugušā </w:t>
      </w:r>
      <w:r w:rsidR="000D4320" w:rsidRPr="000D4320">
        <w:rPr>
          <w:rFonts w:ascii="Times New Roman" w:eastAsia="Times New Roman" w:hAnsi="Times New Roman" w:cs="Times New Roman"/>
          <w:sz w:val="24"/>
          <w:szCs w:val="24"/>
        </w:rPr>
        <w:t>atgriešanos</w:t>
      </w:r>
      <w:r w:rsidRPr="000D4320">
        <w:rPr>
          <w:rFonts w:ascii="Times New Roman" w:eastAsia="Times New Roman" w:hAnsi="Times New Roman" w:cs="Times New Roman"/>
          <w:sz w:val="24"/>
          <w:szCs w:val="24"/>
        </w:rPr>
        <w:t xml:space="preserve"> darba tirgū.</w:t>
      </w:r>
    </w:p>
    <w:p w14:paraId="50190FE3" w14:textId="2DE0C643" w:rsidR="004F1377" w:rsidRPr="000D4320" w:rsidRDefault="004F1377" w:rsidP="004E229C">
      <w:pPr>
        <w:spacing w:after="120" w:line="276" w:lineRule="auto"/>
        <w:jc w:val="both"/>
        <w:rPr>
          <w:rFonts w:ascii="Times New Roman" w:eastAsia="Times New Roman" w:hAnsi="Times New Roman" w:cs="Times New Roman"/>
          <w:sz w:val="24"/>
          <w:szCs w:val="24"/>
        </w:rPr>
      </w:pPr>
      <w:r w:rsidRPr="000D4320">
        <w:rPr>
          <w:rFonts w:ascii="Times New Roman" w:eastAsia="Times New Roman" w:hAnsi="Times New Roman" w:cs="Times New Roman"/>
          <w:sz w:val="24"/>
          <w:szCs w:val="24"/>
        </w:rPr>
        <w:t>Atbilstoši Mini</w:t>
      </w:r>
      <w:r w:rsidR="000D4320" w:rsidRPr="000D4320">
        <w:rPr>
          <w:rFonts w:ascii="Times New Roman" w:eastAsia="Times New Roman" w:hAnsi="Times New Roman" w:cs="Times New Roman"/>
          <w:sz w:val="24"/>
          <w:szCs w:val="24"/>
        </w:rPr>
        <w:t>stru kabineta 2020.gada 2.</w:t>
      </w:r>
      <w:r w:rsidRPr="000D4320">
        <w:rPr>
          <w:rFonts w:ascii="Times New Roman" w:eastAsia="Times New Roman" w:hAnsi="Times New Roman" w:cs="Times New Roman"/>
          <w:sz w:val="24"/>
          <w:szCs w:val="24"/>
        </w:rPr>
        <w:t>jūnija noteikumiem Nr. 332 “Noteikumi par valsts profesionālās vidējās izglītības standartu un valsts arodizglītības standartu</w:t>
      </w:r>
      <w:r w:rsidR="000D4320">
        <w:rPr>
          <w:rFonts w:ascii="Times New Roman" w:eastAsia="Times New Roman" w:hAnsi="Times New Roman" w:cs="Times New Roman"/>
          <w:sz w:val="24"/>
          <w:szCs w:val="24"/>
        </w:rPr>
        <w:t>”</w:t>
      </w:r>
      <w:r w:rsidRPr="000D4320">
        <w:rPr>
          <w:rFonts w:ascii="Times New Roman" w:eastAsia="Times New Roman" w:hAnsi="Times New Roman" w:cs="Times New Roman"/>
          <w:sz w:val="24"/>
          <w:szCs w:val="24"/>
        </w:rPr>
        <w:t xml:space="preserve"> </w:t>
      </w:r>
      <w:r w:rsidR="000D4320" w:rsidRPr="000D4320">
        <w:rPr>
          <w:rFonts w:ascii="Times New Roman" w:eastAsia="Times New Roman" w:hAnsi="Times New Roman" w:cs="Times New Roman"/>
          <w:sz w:val="24"/>
          <w:szCs w:val="24"/>
        </w:rPr>
        <w:t>profesionā</w:t>
      </w:r>
      <w:r w:rsidR="000D4320">
        <w:rPr>
          <w:rFonts w:ascii="Times New Roman" w:eastAsia="Times New Roman" w:hAnsi="Times New Roman" w:cs="Times New Roman"/>
          <w:sz w:val="24"/>
          <w:szCs w:val="24"/>
        </w:rPr>
        <w:t>lās vidējās izglītības standarta</w:t>
      </w:r>
      <w:r w:rsidR="000D4320" w:rsidRPr="000D4320">
        <w:rPr>
          <w:rFonts w:ascii="Times New Roman" w:eastAsia="Times New Roman" w:hAnsi="Times New Roman" w:cs="Times New Roman"/>
          <w:sz w:val="24"/>
          <w:szCs w:val="24"/>
        </w:rPr>
        <w:t xml:space="preserve"> un</w:t>
      </w:r>
      <w:r w:rsidR="000D4320">
        <w:rPr>
          <w:rFonts w:ascii="Times New Roman" w:eastAsia="Times New Roman" w:hAnsi="Times New Roman" w:cs="Times New Roman"/>
          <w:sz w:val="24"/>
          <w:szCs w:val="24"/>
        </w:rPr>
        <w:t xml:space="preserve"> valsts arodizglītības standarta</w:t>
      </w:r>
      <w:r w:rsidR="000D4320" w:rsidRPr="000D4320">
        <w:rPr>
          <w:rFonts w:ascii="Times New Roman" w:eastAsia="Times New Roman" w:hAnsi="Times New Roman" w:cs="Times New Roman"/>
          <w:sz w:val="24"/>
          <w:szCs w:val="24"/>
        </w:rPr>
        <w:t xml:space="preserve"> </w:t>
      </w:r>
      <w:r w:rsidRPr="000D4320">
        <w:rPr>
          <w:rFonts w:ascii="Times New Roman" w:eastAsia="Times New Roman" w:hAnsi="Times New Roman" w:cs="Times New Roman"/>
          <w:sz w:val="24"/>
          <w:szCs w:val="24"/>
        </w:rPr>
        <w:t xml:space="preserve">saturs </w:t>
      </w:r>
      <w:r w:rsidR="00013E00">
        <w:rPr>
          <w:rFonts w:ascii="Times New Roman" w:eastAsia="Times New Roman" w:hAnsi="Times New Roman" w:cs="Times New Roman"/>
          <w:sz w:val="24"/>
          <w:szCs w:val="24"/>
        </w:rPr>
        <w:t>tiek</w:t>
      </w:r>
      <w:r w:rsidRPr="000D4320">
        <w:rPr>
          <w:rFonts w:ascii="Times New Roman" w:eastAsia="Times New Roman" w:hAnsi="Times New Roman" w:cs="Times New Roman"/>
          <w:sz w:val="24"/>
          <w:szCs w:val="24"/>
        </w:rPr>
        <w:t xml:space="preserve"> veidots pēc </w:t>
      </w:r>
      <w:r w:rsidR="00013E00">
        <w:rPr>
          <w:rFonts w:ascii="Times New Roman" w:eastAsia="Times New Roman" w:hAnsi="Times New Roman" w:cs="Times New Roman"/>
          <w:sz w:val="24"/>
          <w:szCs w:val="24"/>
        </w:rPr>
        <w:t>jauniem</w:t>
      </w:r>
      <w:r w:rsidRPr="000D4320">
        <w:rPr>
          <w:rFonts w:ascii="Times New Roman" w:eastAsia="Times New Roman" w:hAnsi="Times New Roman" w:cs="Times New Roman"/>
          <w:sz w:val="24"/>
          <w:szCs w:val="24"/>
        </w:rPr>
        <w:t xml:space="preserve"> principiem - obligāto saturu sadalot pamatdaļā un mainīgajā </w:t>
      </w:r>
      <w:r w:rsidR="00013E00">
        <w:rPr>
          <w:rFonts w:ascii="Times New Roman" w:eastAsia="Times New Roman" w:hAnsi="Times New Roman" w:cs="Times New Roman"/>
          <w:sz w:val="24"/>
          <w:szCs w:val="24"/>
        </w:rPr>
        <w:t>daļā, kas savstarpēji integrē</w:t>
      </w:r>
      <w:r w:rsidRPr="000D4320">
        <w:rPr>
          <w:rFonts w:ascii="Times New Roman" w:eastAsia="Times New Roman" w:hAnsi="Times New Roman" w:cs="Times New Roman"/>
          <w:sz w:val="24"/>
          <w:szCs w:val="24"/>
        </w:rPr>
        <w:t xml:space="preserve"> profesiju standartos vai profesionālās kvalifikāciju prasībās noteiktās zināšanas, prasmes, attieksmes un kompetences atbilstoši profesijai un mūžizglītības kompetenču moduļos iekļauto saturu, </w:t>
      </w:r>
      <w:r w:rsidR="000D4320">
        <w:rPr>
          <w:rFonts w:ascii="Times New Roman" w:eastAsia="Times New Roman" w:hAnsi="Times New Roman" w:cs="Times New Roman"/>
          <w:sz w:val="24"/>
          <w:szCs w:val="24"/>
        </w:rPr>
        <w:t xml:space="preserve">t.sk. </w:t>
      </w:r>
      <w:r w:rsidRPr="000D4320">
        <w:rPr>
          <w:rFonts w:ascii="Times New Roman" w:eastAsia="Times New Roman" w:hAnsi="Times New Roman" w:cs="Times New Roman"/>
          <w:sz w:val="24"/>
          <w:szCs w:val="24"/>
        </w:rPr>
        <w:t xml:space="preserve">nodrošinot satura teorijas un prakses </w:t>
      </w:r>
      <w:r w:rsidR="000D4320" w:rsidRPr="000D4320">
        <w:rPr>
          <w:rFonts w:ascii="Times New Roman" w:eastAsia="Times New Roman" w:hAnsi="Times New Roman" w:cs="Times New Roman"/>
          <w:sz w:val="24"/>
          <w:szCs w:val="24"/>
        </w:rPr>
        <w:t>caurviju</w:t>
      </w:r>
      <w:r w:rsidRPr="000D4320">
        <w:rPr>
          <w:rFonts w:ascii="Times New Roman" w:eastAsia="Times New Roman" w:hAnsi="Times New Roman" w:cs="Times New Roman"/>
          <w:sz w:val="24"/>
          <w:szCs w:val="24"/>
        </w:rPr>
        <w:t xml:space="preserve"> apguvi </w:t>
      </w:r>
      <w:r w:rsidR="00013E00">
        <w:rPr>
          <w:rFonts w:ascii="Times New Roman" w:eastAsia="Times New Roman" w:hAnsi="Times New Roman" w:cs="Times New Roman"/>
          <w:sz w:val="24"/>
          <w:szCs w:val="24"/>
        </w:rPr>
        <w:t>DVB</w:t>
      </w:r>
      <w:r w:rsidRPr="000D4320">
        <w:rPr>
          <w:rFonts w:ascii="Times New Roman" w:eastAsia="Times New Roman" w:hAnsi="Times New Roman" w:cs="Times New Roman"/>
          <w:sz w:val="24"/>
          <w:szCs w:val="24"/>
        </w:rPr>
        <w:t xml:space="preserve"> mācībās kā veselumu.</w:t>
      </w:r>
    </w:p>
    <w:p w14:paraId="7666440A" w14:textId="77777777" w:rsidR="00CF01AA" w:rsidRDefault="00CF01AA" w:rsidP="004E229C">
      <w:pPr>
        <w:spacing w:after="120" w:line="276" w:lineRule="auto"/>
        <w:jc w:val="both"/>
        <w:rPr>
          <w:rFonts w:ascii="Times New Roman" w:eastAsia="Times New Roman" w:hAnsi="Times New Roman" w:cs="Times New Roman"/>
          <w:sz w:val="24"/>
          <w:szCs w:val="24"/>
        </w:rPr>
      </w:pPr>
      <w:r w:rsidRPr="008A239A">
        <w:rPr>
          <w:rFonts w:ascii="Times New Roman" w:eastAsia="Times New Roman" w:hAnsi="Times New Roman" w:cs="Times New Roman"/>
          <w:sz w:val="24"/>
          <w:szCs w:val="24"/>
        </w:rPr>
        <w:t xml:space="preserve">Saistībā ar </w:t>
      </w:r>
      <w:r>
        <w:rPr>
          <w:rFonts w:ascii="Times New Roman" w:eastAsia="Times New Roman" w:hAnsi="Times New Roman" w:cs="Times New Roman"/>
          <w:sz w:val="24"/>
          <w:szCs w:val="24"/>
        </w:rPr>
        <w:t>iepriekšminētajām pārmaiņām profesionālajā izglītībā, t.sk. izglītības programmu modularizāciju, DVB mācību īstenošanu, infrastruktūras modernizāciju u.c., IZM darba grupa secināja, ka nepieciešams veikt padziļinātu izpēti</w:t>
      </w:r>
      <w:r w:rsidRPr="008A239A">
        <w:rPr>
          <w:rFonts w:ascii="Times New Roman" w:eastAsia="Times New Roman" w:hAnsi="Times New Roman" w:cs="Times New Roman"/>
          <w:sz w:val="24"/>
          <w:szCs w:val="24"/>
        </w:rPr>
        <w:t xml:space="preserve"> par</w:t>
      </w:r>
      <w:r>
        <w:rPr>
          <w:rFonts w:ascii="Times New Roman" w:eastAsia="Times New Roman" w:hAnsi="Times New Roman" w:cs="Times New Roman"/>
          <w:sz w:val="24"/>
          <w:szCs w:val="24"/>
        </w:rPr>
        <w:t xml:space="preserve"> profesionālās izglītības programmu izmaksām un to finansēšanu.</w:t>
      </w:r>
    </w:p>
    <w:p w14:paraId="2AA9625E" w14:textId="16554C6F" w:rsidR="00CF01AA" w:rsidRDefault="00CF01AA" w:rsidP="004E229C">
      <w:pPr>
        <w:spacing w:after="120" w:line="276" w:lineRule="auto"/>
        <w:jc w:val="both"/>
        <w:rPr>
          <w:rFonts w:ascii="Times New Roman" w:eastAsia="Times New Roman" w:hAnsi="Times New Roman" w:cs="Times New Roman"/>
          <w:sz w:val="24"/>
          <w:szCs w:val="24"/>
        </w:rPr>
      </w:pPr>
      <w:r w:rsidRPr="008A68B8">
        <w:rPr>
          <w:rFonts w:ascii="Times New Roman" w:eastAsia="Times New Roman" w:hAnsi="Times New Roman" w:cs="Times New Roman"/>
          <w:sz w:val="24"/>
          <w:szCs w:val="24"/>
        </w:rPr>
        <w:t xml:space="preserve">Tika organizēts iepirkums pētījuma veikšanai par aprēķiniem profesionālās izglītības programmu izmaksām, kura izpildītājs </w:t>
      </w:r>
      <w:r>
        <w:rPr>
          <w:rFonts w:ascii="Times New Roman" w:eastAsia="Times New Roman" w:hAnsi="Times New Roman" w:cs="Times New Roman"/>
          <w:sz w:val="24"/>
          <w:szCs w:val="24"/>
        </w:rPr>
        <w:t xml:space="preserve">ir </w:t>
      </w:r>
      <w:r w:rsidRPr="008A68B8">
        <w:rPr>
          <w:rFonts w:ascii="Times New Roman" w:eastAsia="Times New Roman" w:hAnsi="Times New Roman" w:cs="Times New Roman"/>
          <w:sz w:val="24"/>
          <w:szCs w:val="24"/>
        </w:rPr>
        <w:t>Rīgas Tehniskā universitāte. Pētījuma “Par profesionālās vidējās izglītības finansēšanu Latvijā, izglītības programmu izmaksu koeficientu aktualizēšanu, starptautiskā praksē un akadēmiskajā vidē teorētiski pamatotu profesionālās izglītības programmu īstenošanas finansēšanas modeli un priekšlikumi grozījumiem normatīvajos aktos” (turpmāk – pētījums</w:t>
      </w:r>
      <w:r>
        <w:rPr>
          <w:rFonts w:ascii="Times New Roman" w:eastAsia="Times New Roman" w:hAnsi="Times New Roman" w:cs="Times New Roman"/>
          <w:sz w:val="24"/>
          <w:szCs w:val="24"/>
        </w:rPr>
        <w:t xml:space="preserve">) </w:t>
      </w:r>
      <w:r w:rsidRPr="008A239A">
        <w:rPr>
          <w:rFonts w:ascii="Times New Roman" w:eastAsia="Times New Roman" w:hAnsi="Times New Roman" w:cs="Times New Roman"/>
          <w:sz w:val="24"/>
          <w:szCs w:val="24"/>
        </w:rPr>
        <w:t xml:space="preserve">mērķis - veikt padziļinātas ekspertīzes pētījumu par profesionālās vidējās izglītības finansēšanu Latvijā, sniegt priekšlikumus izglītības programmu izmaksu koeficientu aktualizēšanai un snieguma finansējuma ieviešanai profesionālajā izglītībā, kā arī izstrādāt starptautiskā praksē un akadēmiskajā vidē teorētiski pamatotu </w:t>
      </w:r>
      <w:r w:rsidRPr="008A239A">
        <w:rPr>
          <w:rFonts w:ascii="Times New Roman" w:eastAsia="Times New Roman" w:hAnsi="Times New Roman" w:cs="Times New Roman"/>
          <w:sz w:val="24"/>
          <w:szCs w:val="24"/>
        </w:rPr>
        <w:lastRenderedPageBreak/>
        <w:t xml:space="preserve">profesionālās izglītības programmu īstenošanas finansēšanas modeli, kā arī sniegt priekšlikumus nepieciešamajiem grozījumiem normatīvajos aktos. </w:t>
      </w:r>
      <w:r w:rsidR="00455567">
        <w:rPr>
          <w:rFonts w:ascii="Times New Roman" w:eastAsia="Times New Roman" w:hAnsi="Times New Roman" w:cs="Times New Roman"/>
          <w:sz w:val="24"/>
          <w:szCs w:val="24"/>
        </w:rPr>
        <w:t xml:space="preserve">Ar veikto pētījumu var iepazīties </w:t>
      </w:r>
      <w:r w:rsidR="00455567" w:rsidRPr="00455567">
        <w:rPr>
          <w:rFonts w:ascii="Times New Roman" w:eastAsia="Times New Roman" w:hAnsi="Times New Roman" w:cs="Times New Roman"/>
          <w:sz w:val="24"/>
          <w:szCs w:val="24"/>
        </w:rPr>
        <w:t>Valsts kancelejas Pētījumu un publikāciju datu bāzē</w:t>
      </w:r>
      <w:r w:rsidR="00455567">
        <w:rPr>
          <w:rStyle w:val="FootnoteReference"/>
          <w:rFonts w:ascii="Times New Roman" w:eastAsia="Times New Roman" w:hAnsi="Times New Roman" w:cs="Times New Roman"/>
          <w:sz w:val="24"/>
          <w:szCs w:val="24"/>
        </w:rPr>
        <w:footnoteReference w:id="3"/>
      </w:r>
      <w:r w:rsidR="00455567">
        <w:rPr>
          <w:rFonts w:ascii="Times New Roman" w:eastAsia="Times New Roman" w:hAnsi="Times New Roman" w:cs="Times New Roman"/>
          <w:sz w:val="24"/>
          <w:szCs w:val="24"/>
        </w:rPr>
        <w:t>.</w:t>
      </w:r>
    </w:p>
    <w:p w14:paraId="078B28C8" w14:textId="77777777" w:rsidR="00C473AA" w:rsidRDefault="00F10572" w:rsidP="004E229C">
      <w:pPr>
        <w:spacing w:after="120" w:line="276" w:lineRule="auto"/>
        <w:jc w:val="both"/>
        <w:rPr>
          <w:rFonts w:ascii="Times New Roman" w:eastAsia="Times New Roman" w:hAnsi="Times New Roman" w:cs="Times New Roman"/>
          <w:sz w:val="24"/>
          <w:szCs w:val="24"/>
        </w:rPr>
      </w:pPr>
      <w:r w:rsidRPr="002F7905">
        <w:rPr>
          <w:rFonts w:ascii="Times New Roman" w:eastAsia="Times New Roman" w:hAnsi="Times New Roman" w:cs="Times New Roman"/>
          <w:sz w:val="24"/>
          <w:szCs w:val="24"/>
        </w:rPr>
        <w:t>Profesionālās izglītības programmu finansēšanas pilnveidei i</w:t>
      </w:r>
      <w:r w:rsidR="00390A5D" w:rsidRPr="002F7905">
        <w:rPr>
          <w:rFonts w:ascii="Times New Roman" w:eastAsia="Times New Roman" w:hAnsi="Times New Roman" w:cs="Times New Roman"/>
          <w:sz w:val="24"/>
          <w:szCs w:val="24"/>
        </w:rPr>
        <w:t xml:space="preserve">zstrādāti priekšlikumi ar mērķi </w:t>
      </w:r>
      <w:r w:rsidR="00DC2B96">
        <w:rPr>
          <w:rFonts w:ascii="Times New Roman" w:eastAsia="Times New Roman" w:hAnsi="Times New Roman" w:cs="Times New Roman"/>
          <w:sz w:val="24"/>
          <w:szCs w:val="24"/>
        </w:rPr>
        <w:t>nodrošināt to</w:t>
      </w:r>
      <w:r w:rsidR="002F7905" w:rsidRPr="002F7905">
        <w:rPr>
          <w:rFonts w:ascii="Times New Roman" w:eastAsia="Times New Roman" w:hAnsi="Times New Roman" w:cs="Times New Roman"/>
          <w:sz w:val="24"/>
          <w:szCs w:val="24"/>
        </w:rPr>
        <w:t xml:space="preserve"> </w:t>
      </w:r>
      <w:r w:rsidR="00D848F4" w:rsidRPr="002F7905">
        <w:rPr>
          <w:rFonts w:ascii="Times New Roman" w:eastAsia="Times New Roman" w:hAnsi="Times New Roman" w:cs="Times New Roman"/>
          <w:sz w:val="24"/>
          <w:szCs w:val="24"/>
        </w:rPr>
        <w:t xml:space="preserve">pilnvērtīgai </w:t>
      </w:r>
      <w:r w:rsidR="002F7905" w:rsidRPr="002F7905">
        <w:rPr>
          <w:rFonts w:ascii="Times New Roman" w:eastAsia="Times New Roman" w:hAnsi="Times New Roman" w:cs="Times New Roman"/>
          <w:sz w:val="24"/>
          <w:szCs w:val="24"/>
        </w:rPr>
        <w:t xml:space="preserve">īstenošanai nepieciešamo finansējumu, </w:t>
      </w:r>
      <w:r w:rsidRPr="002F7905">
        <w:rPr>
          <w:rFonts w:ascii="Times New Roman" w:eastAsia="Times New Roman" w:hAnsi="Times New Roman" w:cs="Times New Roman"/>
          <w:sz w:val="24"/>
          <w:szCs w:val="24"/>
        </w:rPr>
        <w:t>izvērtē</w:t>
      </w:r>
      <w:r w:rsidR="002F7905" w:rsidRPr="002F7905">
        <w:rPr>
          <w:rFonts w:ascii="Times New Roman" w:eastAsia="Times New Roman" w:hAnsi="Times New Roman" w:cs="Times New Roman"/>
          <w:sz w:val="24"/>
          <w:szCs w:val="24"/>
        </w:rPr>
        <w:t>jo</w:t>
      </w:r>
      <w:r w:rsidRPr="002F7905">
        <w:rPr>
          <w:rFonts w:ascii="Times New Roman" w:eastAsia="Times New Roman" w:hAnsi="Times New Roman" w:cs="Times New Roman"/>
          <w:sz w:val="24"/>
          <w:szCs w:val="24"/>
        </w:rPr>
        <w:t>t izglītības programmu izmaksu atbilstību faktiskajām izmaksām un aktualizē</w:t>
      </w:r>
      <w:r w:rsidR="002F7905" w:rsidRPr="002F7905">
        <w:rPr>
          <w:rFonts w:ascii="Times New Roman" w:eastAsia="Times New Roman" w:hAnsi="Times New Roman" w:cs="Times New Roman"/>
          <w:sz w:val="24"/>
          <w:szCs w:val="24"/>
        </w:rPr>
        <w:t>jo</w:t>
      </w:r>
      <w:r w:rsidRPr="002F7905">
        <w:rPr>
          <w:rFonts w:ascii="Times New Roman" w:eastAsia="Times New Roman" w:hAnsi="Times New Roman" w:cs="Times New Roman"/>
          <w:sz w:val="24"/>
          <w:szCs w:val="24"/>
        </w:rPr>
        <w:t xml:space="preserve">t izglītības programmu izmaksas, tāpat arī izvērtēta nepieciešamība noteikt IZM valsts budžeta piešķīrumu profesionālās izglītības programmu īstenošanas finansēšanai valsts, pašvaldību un citu dibinātāju izglītības iestādēs. </w:t>
      </w:r>
      <w:r w:rsidR="002F7905" w:rsidRPr="002F7905">
        <w:rPr>
          <w:rFonts w:ascii="Times New Roman" w:eastAsia="Times New Roman" w:hAnsi="Times New Roman" w:cs="Times New Roman"/>
          <w:sz w:val="24"/>
          <w:szCs w:val="24"/>
        </w:rPr>
        <w:t xml:space="preserve">Vienlaikus ziņojumā </w:t>
      </w:r>
      <w:r w:rsidR="00A23924">
        <w:rPr>
          <w:rFonts w:ascii="Times New Roman" w:eastAsia="Times New Roman" w:hAnsi="Times New Roman" w:cs="Times New Roman"/>
          <w:sz w:val="24"/>
          <w:szCs w:val="24"/>
        </w:rPr>
        <w:t>ietvertie</w:t>
      </w:r>
      <w:r w:rsidR="002F7905" w:rsidRPr="002F7905">
        <w:rPr>
          <w:rFonts w:ascii="Times New Roman" w:eastAsia="Times New Roman" w:hAnsi="Times New Roman" w:cs="Times New Roman"/>
          <w:sz w:val="24"/>
          <w:szCs w:val="24"/>
        </w:rPr>
        <w:t xml:space="preserve"> priekšlikumi izstrādāti, ņemot vērā priekšnosacījumus efektīvākai valsts budžeta līdzekļu izlietošanai profesionālās izglītības jomā.</w:t>
      </w:r>
      <w:r w:rsidR="002F7905" w:rsidRPr="006747AD">
        <w:rPr>
          <w:rFonts w:ascii="Times New Roman" w:eastAsia="Times New Roman" w:hAnsi="Times New Roman" w:cs="Times New Roman"/>
          <w:sz w:val="24"/>
          <w:szCs w:val="24"/>
        </w:rPr>
        <w:t xml:space="preserve"> </w:t>
      </w:r>
    </w:p>
    <w:p w14:paraId="01FD1BC4" w14:textId="7658CF9C" w:rsidR="008E47E3" w:rsidRDefault="00F10572" w:rsidP="004E229C">
      <w:pPr>
        <w:spacing w:after="120" w:line="276" w:lineRule="auto"/>
        <w:jc w:val="both"/>
        <w:rPr>
          <w:rFonts w:ascii="Times New Roman" w:eastAsia="Times New Roman" w:hAnsi="Times New Roman" w:cs="Times New Roman"/>
          <w:sz w:val="24"/>
          <w:szCs w:val="24"/>
        </w:rPr>
      </w:pPr>
      <w:r w:rsidRPr="008C54BF">
        <w:rPr>
          <w:rFonts w:ascii="Times New Roman" w:eastAsia="Times New Roman" w:hAnsi="Times New Roman" w:cs="Times New Roman"/>
          <w:sz w:val="24"/>
          <w:szCs w:val="24"/>
        </w:rPr>
        <w:t>Priekšlikumi profesionālās izglītības pro</w:t>
      </w:r>
      <w:r w:rsidR="00A23924" w:rsidRPr="008C54BF">
        <w:rPr>
          <w:rFonts w:ascii="Times New Roman" w:eastAsia="Times New Roman" w:hAnsi="Times New Roman" w:cs="Times New Roman"/>
          <w:sz w:val="24"/>
          <w:szCs w:val="24"/>
        </w:rPr>
        <w:t xml:space="preserve">grammu īstenošanas finansēšanas </w:t>
      </w:r>
      <w:r w:rsidRPr="008C54BF">
        <w:rPr>
          <w:rFonts w:ascii="Times New Roman" w:eastAsia="Times New Roman" w:hAnsi="Times New Roman" w:cs="Times New Roman"/>
          <w:sz w:val="24"/>
          <w:szCs w:val="24"/>
        </w:rPr>
        <w:t>pilnveidei neietekmē pedagogu darba samaksas noteikšanas kārtību, vienlaikus ietver iespējamas pedagogu darba samaksai piešķiramā finansējuma apmēra izmaiņas</w:t>
      </w:r>
      <w:r w:rsidR="00112045" w:rsidRPr="008C54BF">
        <w:rPr>
          <w:rFonts w:ascii="Times New Roman" w:eastAsia="Times New Roman" w:hAnsi="Times New Roman" w:cs="Times New Roman"/>
          <w:sz w:val="24"/>
          <w:szCs w:val="24"/>
        </w:rPr>
        <w:t>, piem. īstenojot modulārās izglītība programmas, kur svarīgi nodrošināt optimālu izglītojamo skaitu grupā</w:t>
      </w:r>
      <w:r w:rsidRPr="008C54BF">
        <w:rPr>
          <w:rFonts w:ascii="Times New Roman" w:eastAsia="Times New Roman" w:hAnsi="Times New Roman" w:cs="Times New Roman"/>
          <w:sz w:val="24"/>
          <w:szCs w:val="24"/>
        </w:rPr>
        <w:t xml:space="preserve">. </w:t>
      </w:r>
      <w:r w:rsidR="003D5999">
        <w:rPr>
          <w:rFonts w:ascii="Times New Roman" w:eastAsia="Times New Roman" w:hAnsi="Times New Roman" w:cs="Times New Roman"/>
          <w:sz w:val="24"/>
          <w:szCs w:val="24"/>
        </w:rPr>
        <w:t>Tāpat svarīgi ir</w:t>
      </w:r>
      <w:r w:rsidR="005E05BD">
        <w:rPr>
          <w:rFonts w:ascii="Times New Roman" w:eastAsia="Times New Roman" w:hAnsi="Times New Roman" w:cs="Times New Roman"/>
          <w:sz w:val="24"/>
          <w:szCs w:val="24"/>
        </w:rPr>
        <w:t xml:space="preserve"> samērot</w:t>
      </w:r>
      <w:r w:rsidR="00B82977" w:rsidRPr="008C54BF">
        <w:rPr>
          <w:rFonts w:ascii="Times New Roman" w:eastAsia="Times New Roman" w:hAnsi="Times New Roman" w:cs="Times New Roman"/>
          <w:sz w:val="24"/>
          <w:szCs w:val="24"/>
        </w:rPr>
        <w:t xml:space="preserve"> profesionālās izglītības iestādēs strādājošo pedagogu</w:t>
      </w:r>
      <w:r w:rsidR="005E05BD">
        <w:rPr>
          <w:rFonts w:ascii="Times New Roman" w:eastAsia="Times New Roman" w:hAnsi="Times New Roman" w:cs="Times New Roman"/>
          <w:sz w:val="24"/>
          <w:szCs w:val="24"/>
        </w:rPr>
        <w:t xml:space="preserve"> noslodzi </w:t>
      </w:r>
      <w:r w:rsidR="00B82977" w:rsidRPr="008C54BF">
        <w:rPr>
          <w:rFonts w:ascii="Times New Roman" w:eastAsia="Times New Roman" w:hAnsi="Times New Roman" w:cs="Times New Roman"/>
          <w:sz w:val="24"/>
          <w:szCs w:val="24"/>
        </w:rPr>
        <w:t xml:space="preserve">ar vispārējās izglītības iestādēs strādājošo pedagogu noslodzi mācību gada </w:t>
      </w:r>
      <w:r w:rsidR="00FC2942">
        <w:rPr>
          <w:rFonts w:ascii="Times New Roman" w:eastAsia="Times New Roman" w:hAnsi="Times New Roman" w:cs="Times New Roman"/>
          <w:sz w:val="24"/>
          <w:szCs w:val="24"/>
        </w:rPr>
        <w:t>ietvaros</w:t>
      </w:r>
      <w:r w:rsidR="005E05BD">
        <w:rPr>
          <w:rFonts w:ascii="Times New Roman" w:eastAsia="Times New Roman" w:hAnsi="Times New Roman" w:cs="Times New Roman"/>
          <w:sz w:val="24"/>
          <w:szCs w:val="24"/>
        </w:rPr>
        <w:t xml:space="preserve">. </w:t>
      </w:r>
      <w:r w:rsidR="003D5999">
        <w:rPr>
          <w:rFonts w:ascii="Times New Roman" w:eastAsia="Times New Roman" w:hAnsi="Times New Roman" w:cs="Times New Roman"/>
          <w:sz w:val="24"/>
          <w:szCs w:val="24"/>
        </w:rPr>
        <w:t>L</w:t>
      </w:r>
      <w:r w:rsidR="005E05BD">
        <w:rPr>
          <w:rFonts w:ascii="Times New Roman" w:eastAsia="Times New Roman" w:hAnsi="Times New Roman" w:cs="Times New Roman"/>
          <w:sz w:val="24"/>
          <w:szCs w:val="24"/>
        </w:rPr>
        <w:t>aikā, kad vispārējās izglītības iestāžu izglītojamie atrodas brīvlaikos, pedagogi var pilnveidot savu profesionālo kvalifikāciju, veidot mācību materiālus nākamajam mācību semestrim/gadam</w:t>
      </w:r>
      <w:r w:rsidR="001C39CC">
        <w:rPr>
          <w:rFonts w:ascii="Times New Roman" w:eastAsia="Times New Roman" w:hAnsi="Times New Roman" w:cs="Times New Roman"/>
          <w:sz w:val="24"/>
          <w:szCs w:val="24"/>
        </w:rPr>
        <w:t xml:space="preserve"> utt.</w:t>
      </w:r>
      <w:r w:rsidR="005E05BD">
        <w:rPr>
          <w:rFonts w:ascii="Times New Roman" w:eastAsia="Times New Roman" w:hAnsi="Times New Roman" w:cs="Times New Roman"/>
          <w:sz w:val="24"/>
          <w:szCs w:val="24"/>
        </w:rPr>
        <w:t>, kamēr profesionālās izglītības iestāžu pedagogiem turpinās darbs ar izglītojamiem. Attiecīgi</w:t>
      </w:r>
      <w:r w:rsidR="00B82977" w:rsidRPr="008C54BF">
        <w:rPr>
          <w:rFonts w:ascii="Times New Roman" w:eastAsia="Times New Roman" w:hAnsi="Times New Roman" w:cs="Times New Roman"/>
          <w:sz w:val="24"/>
          <w:szCs w:val="24"/>
        </w:rPr>
        <w:t xml:space="preserve"> </w:t>
      </w:r>
      <w:r w:rsidR="003D5999">
        <w:rPr>
          <w:rFonts w:ascii="Times New Roman" w:eastAsia="Times New Roman" w:hAnsi="Times New Roman" w:cs="Times New Roman"/>
          <w:sz w:val="24"/>
          <w:szCs w:val="24"/>
        </w:rPr>
        <w:t xml:space="preserve">būtu </w:t>
      </w:r>
      <w:r w:rsidR="005E05BD">
        <w:rPr>
          <w:rFonts w:ascii="Times New Roman" w:eastAsia="Times New Roman" w:hAnsi="Times New Roman" w:cs="Times New Roman"/>
          <w:sz w:val="24"/>
          <w:szCs w:val="24"/>
        </w:rPr>
        <w:t>jānodrošina</w:t>
      </w:r>
      <w:r w:rsidR="00B82977" w:rsidRPr="008C54BF">
        <w:rPr>
          <w:rFonts w:ascii="Times New Roman" w:eastAsia="Times New Roman" w:hAnsi="Times New Roman" w:cs="Times New Roman"/>
          <w:sz w:val="24"/>
          <w:szCs w:val="24"/>
        </w:rPr>
        <w:t xml:space="preserve"> </w:t>
      </w:r>
      <w:r w:rsidR="00CF28C4" w:rsidRPr="008C54BF">
        <w:rPr>
          <w:rFonts w:ascii="Times New Roman" w:eastAsia="Times New Roman" w:hAnsi="Times New Roman" w:cs="Times New Roman"/>
          <w:sz w:val="24"/>
          <w:szCs w:val="24"/>
        </w:rPr>
        <w:t xml:space="preserve">vienlīdzīgas iespējas saņemt līdzvērtīgu </w:t>
      </w:r>
      <w:r w:rsidR="00AE70D4" w:rsidRPr="008C54BF">
        <w:rPr>
          <w:rFonts w:ascii="Times New Roman" w:eastAsia="Times New Roman" w:hAnsi="Times New Roman" w:cs="Times New Roman"/>
          <w:sz w:val="24"/>
          <w:szCs w:val="24"/>
        </w:rPr>
        <w:t xml:space="preserve">un atbilstošu </w:t>
      </w:r>
      <w:r w:rsidR="00CF28C4" w:rsidRPr="008C54BF">
        <w:rPr>
          <w:rFonts w:ascii="Times New Roman" w:eastAsia="Times New Roman" w:hAnsi="Times New Roman" w:cs="Times New Roman"/>
          <w:sz w:val="24"/>
          <w:szCs w:val="24"/>
        </w:rPr>
        <w:t xml:space="preserve">darba samaksu par </w:t>
      </w:r>
      <w:r w:rsidR="003D5999">
        <w:rPr>
          <w:rFonts w:ascii="Times New Roman" w:eastAsia="Times New Roman" w:hAnsi="Times New Roman" w:cs="Times New Roman"/>
          <w:sz w:val="24"/>
          <w:szCs w:val="24"/>
        </w:rPr>
        <w:t xml:space="preserve">vienāda apjoma </w:t>
      </w:r>
      <w:r w:rsidR="00B82977" w:rsidRPr="008C54BF">
        <w:rPr>
          <w:rFonts w:ascii="Times New Roman" w:eastAsia="Times New Roman" w:hAnsi="Times New Roman" w:cs="Times New Roman"/>
          <w:sz w:val="24"/>
          <w:szCs w:val="24"/>
        </w:rPr>
        <w:t xml:space="preserve">pedagoga pienākumu </w:t>
      </w:r>
      <w:r w:rsidR="00CF28C4" w:rsidRPr="008C54BF">
        <w:rPr>
          <w:rFonts w:ascii="Times New Roman" w:eastAsia="Times New Roman" w:hAnsi="Times New Roman" w:cs="Times New Roman"/>
          <w:sz w:val="24"/>
          <w:szCs w:val="24"/>
        </w:rPr>
        <w:t>veikšanu</w:t>
      </w:r>
      <w:r w:rsidR="001C39CC">
        <w:rPr>
          <w:rFonts w:ascii="Times New Roman" w:eastAsia="Times New Roman" w:hAnsi="Times New Roman" w:cs="Times New Roman"/>
          <w:sz w:val="24"/>
          <w:szCs w:val="24"/>
        </w:rPr>
        <w:t>, kā</w:t>
      </w:r>
      <w:r w:rsidR="003D5999">
        <w:rPr>
          <w:rFonts w:ascii="Times New Roman" w:eastAsia="Times New Roman" w:hAnsi="Times New Roman" w:cs="Times New Roman"/>
          <w:sz w:val="24"/>
          <w:szCs w:val="24"/>
        </w:rPr>
        <w:t xml:space="preserve"> arī nodrošinot visiem pedagogiem vienlīdzīgas iespējas mācību satura un profesionālajai pilnveidei</w:t>
      </w:r>
      <w:r w:rsidR="00E65900">
        <w:rPr>
          <w:rFonts w:ascii="Times New Roman" w:eastAsia="Times New Roman" w:hAnsi="Times New Roman" w:cs="Times New Roman"/>
          <w:sz w:val="24"/>
          <w:szCs w:val="24"/>
        </w:rPr>
        <w:t>.</w:t>
      </w:r>
    </w:p>
    <w:p w14:paraId="6A34F4AA" w14:textId="726DC86F" w:rsidR="00375808" w:rsidRDefault="00375808" w:rsidP="004E229C">
      <w:pPr>
        <w:spacing w:after="12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Pedagogu noslodzes jautājums tāpat kā jaunu pedagogu piesaiste vispārējās izglītības mācību priekšmetu pasniegšanai aktuāls arī jaunā kompetencēs balstītā mācību satura vispārējā izglītībā kontekstā, kas jāievieš arī profesionālās izglītības </w:t>
      </w:r>
      <w:r w:rsidRPr="00375808">
        <w:rPr>
          <w:rFonts w:ascii="Times New Roman" w:hAnsi="Times New Roman" w:cs="Times New Roman"/>
          <w:sz w:val="24"/>
          <w:szCs w:val="24"/>
        </w:rPr>
        <w:t>programmās</w:t>
      </w:r>
      <w:r>
        <w:rPr>
          <w:rFonts w:ascii="Times New Roman" w:hAnsi="Times New Roman" w:cs="Times New Roman"/>
          <w:sz w:val="24"/>
          <w:szCs w:val="24"/>
        </w:rPr>
        <w:t>. Tikpat svarīga ir izglītības iestāžu spēja piesaistīt nozares speciālistus profesionālās izglītības mācību priekšmetu pasniegšanai, t.sk. modulāro izglītības programmu un DVB mācību īstenošan</w:t>
      </w:r>
      <w:r w:rsidR="002848D9">
        <w:rPr>
          <w:rFonts w:ascii="Times New Roman" w:hAnsi="Times New Roman" w:cs="Times New Roman"/>
          <w:sz w:val="24"/>
          <w:szCs w:val="24"/>
        </w:rPr>
        <w:t>ai</w:t>
      </w:r>
      <w:r>
        <w:rPr>
          <w:rFonts w:ascii="Times New Roman" w:hAnsi="Times New Roman" w:cs="Times New Roman"/>
          <w:sz w:val="24"/>
          <w:szCs w:val="24"/>
        </w:rPr>
        <w:t>.</w:t>
      </w:r>
    </w:p>
    <w:p w14:paraId="4E47657E" w14:textId="5D4F8C08" w:rsidR="00BE0756" w:rsidRDefault="00F10572" w:rsidP="004E229C">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Pr="00F74594">
        <w:rPr>
          <w:rFonts w:ascii="Times New Roman" w:eastAsia="Times New Roman" w:hAnsi="Times New Roman" w:cs="Times New Roman"/>
          <w:sz w:val="24"/>
          <w:szCs w:val="24"/>
        </w:rPr>
        <w:t xml:space="preserve">iņojumā </w:t>
      </w:r>
      <w:r w:rsidR="00E66A3A">
        <w:rPr>
          <w:rFonts w:ascii="Times New Roman" w:eastAsia="Times New Roman" w:hAnsi="Times New Roman" w:cs="Times New Roman"/>
          <w:sz w:val="24"/>
          <w:szCs w:val="24"/>
        </w:rPr>
        <w:t>iekļauti</w:t>
      </w:r>
      <w:r w:rsidRPr="00F74594">
        <w:rPr>
          <w:rFonts w:ascii="Times New Roman" w:eastAsia="Times New Roman" w:hAnsi="Times New Roman" w:cs="Times New Roman"/>
          <w:sz w:val="24"/>
          <w:szCs w:val="24"/>
        </w:rPr>
        <w:t xml:space="preserve"> priekšlikumi profesionālās iz</w:t>
      </w:r>
      <w:r w:rsidR="00E66A3A">
        <w:rPr>
          <w:rFonts w:ascii="Times New Roman" w:eastAsia="Times New Roman" w:hAnsi="Times New Roman" w:cs="Times New Roman"/>
          <w:sz w:val="24"/>
          <w:szCs w:val="24"/>
        </w:rPr>
        <w:t>glītības programmu finansēšanas</w:t>
      </w:r>
      <w:r w:rsidRPr="00F74594">
        <w:rPr>
          <w:rFonts w:ascii="Times New Roman" w:eastAsia="Times New Roman" w:hAnsi="Times New Roman" w:cs="Times New Roman"/>
          <w:sz w:val="24"/>
          <w:szCs w:val="24"/>
        </w:rPr>
        <w:t xml:space="preserve"> pilnveidei, pamatojoties </w:t>
      </w:r>
      <w:r w:rsidR="00111CC9">
        <w:rPr>
          <w:rFonts w:ascii="Times New Roman" w:eastAsia="Times New Roman" w:hAnsi="Times New Roman" w:cs="Times New Roman"/>
          <w:sz w:val="24"/>
          <w:szCs w:val="24"/>
        </w:rPr>
        <w:t xml:space="preserve">uz IZM darba grupas un pētījuma </w:t>
      </w:r>
      <w:r w:rsidRPr="00F74594">
        <w:rPr>
          <w:rFonts w:ascii="Times New Roman" w:eastAsia="Times New Roman" w:hAnsi="Times New Roman" w:cs="Times New Roman"/>
          <w:sz w:val="24"/>
          <w:szCs w:val="24"/>
        </w:rPr>
        <w:t>rezultātiem, kā arī IZM veikto normējamo izmaksu un nenormējamo izmaksu (dienesta viesnīcas uzturēšanas izmaksas) aktualizāciju.</w:t>
      </w:r>
    </w:p>
    <w:p w14:paraId="3CC43BE3" w14:textId="3FA78662" w:rsidR="00CF01AA" w:rsidRPr="00164581" w:rsidRDefault="00072141" w:rsidP="00A510E4">
      <w:pPr>
        <w:pStyle w:val="Heading1"/>
        <w:numPr>
          <w:ilvl w:val="0"/>
          <w:numId w:val="3"/>
        </w:numPr>
        <w:spacing w:before="0" w:after="120" w:line="276" w:lineRule="auto"/>
        <w:ind w:left="714" w:hanging="357"/>
        <w:jc w:val="center"/>
        <w:rPr>
          <w:rFonts w:ascii="Times New Roman" w:eastAsia="Times New Roman" w:hAnsi="Times New Roman" w:cs="Times New Roman"/>
          <w:b/>
          <w:color w:val="000000" w:themeColor="text1"/>
          <w:sz w:val="28"/>
          <w:szCs w:val="24"/>
        </w:rPr>
      </w:pPr>
      <w:bookmarkStart w:id="6" w:name="_Toc53136180"/>
      <w:r>
        <w:rPr>
          <w:rFonts w:ascii="Times New Roman" w:eastAsia="Times New Roman" w:hAnsi="Times New Roman" w:cs="Times New Roman"/>
          <w:b/>
          <w:color w:val="000000" w:themeColor="text1"/>
          <w:sz w:val="28"/>
          <w:szCs w:val="24"/>
        </w:rPr>
        <w:t>Priekšlikumi profesionālās</w:t>
      </w:r>
      <w:r w:rsidR="003F5015" w:rsidRPr="00164581">
        <w:rPr>
          <w:rFonts w:ascii="Times New Roman" w:eastAsia="Times New Roman" w:hAnsi="Times New Roman" w:cs="Times New Roman"/>
          <w:b/>
          <w:color w:val="000000" w:themeColor="text1"/>
          <w:sz w:val="28"/>
          <w:szCs w:val="24"/>
        </w:rPr>
        <w:t xml:space="preserve"> izglītības programmu finansēšanas pilnveide</w:t>
      </w:r>
      <w:r>
        <w:rPr>
          <w:rFonts w:ascii="Times New Roman" w:eastAsia="Times New Roman" w:hAnsi="Times New Roman" w:cs="Times New Roman"/>
          <w:b/>
          <w:color w:val="000000" w:themeColor="text1"/>
          <w:sz w:val="28"/>
          <w:szCs w:val="24"/>
        </w:rPr>
        <w:t>i</w:t>
      </w:r>
      <w:bookmarkEnd w:id="6"/>
    </w:p>
    <w:p w14:paraId="7EDA5F73" w14:textId="1362FA70" w:rsidR="00CF01AA" w:rsidRPr="003F5015" w:rsidRDefault="00CF01AA" w:rsidP="00A510E4">
      <w:pPr>
        <w:pStyle w:val="Heading2"/>
        <w:numPr>
          <w:ilvl w:val="1"/>
          <w:numId w:val="3"/>
        </w:numPr>
        <w:spacing w:before="0" w:after="120" w:line="276" w:lineRule="auto"/>
        <w:ind w:left="1077"/>
        <w:jc w:val="center"/>
        <w:rPr>
          <w:rFonts w:ascii="Times New Roman" w:eastAsia="Times New Roman" w:hAnsi="Times New Roman" w:cs="Times New Roman"/>
          <w:b/>
          <w:color w:val="000000" w:themeColor="text1"/>
          <w:sz w:val="24"/>
          <w:szCs w:val="24"/>
        </w:rPr>
      </w:pPr>
      <w:bookmarkStart w:id="7" w:name="_Toc53136181"/>
      <w:r w:rsidRPr="003F5015">
        <w:rPr>
          <w:rFonts w:ascii="Times New Roman" w:eastAsia="Times New Roman" w:hAnsi="Times New Roman" w:cs="Times New Roman"/>
          <w:b/>
          <w:color w:val="000000" w:themeColor="text1"/>
          <w:sz w:val="24"/>
          <w:szCs w:val="24"/>
        </w:rPr>
        <w:t>Bāzes finansējuma noteikšana profesionālās izglītības programmu īstenošanai</w:t>
      </w:r>
      <w:bookmarkEnd w:id="7"/>
    </w:p>
    <w:p w14:paraId="22796C86" w14:textId="059FECA7" w:rsidR="00CF01AA" w:rsidRDefault="00CF01AA" w:rsidP="004E229C">
      <w:pPr>
        <w:pStyle w:val="Default"/>
        <w:spacing w:after="120" w:line="276" w:lineRule="auto"/>
        <w:jc w:val="both"/>
        <w:rPr>
          <w:rFonts w:eastAsia="Times New Roman"/>
        </w:rPr>
      </w:pPr>
      <w:r>
        <w:rPr>
          <w:rFonts w:eastAsia="Times New Roman"/>
        </w:rPr>
        <w:t>Esošais finansēšanas modelis paredz, ka izglītības programmu izmaksas</w:t>
      </w:r>
      <w:r w:rsidRPr="001E1D0A">
        <w:rPr>
          <w:rFonts w:eastAsia="Times New Roman"/>
        </w:rPr>
        <w:t xml:space="preserve"> veido normējamās izmaksas un nenormējamās izmaksas</w:t>
      </w:r>
      <w:r w:rsidR="00C4103D">
        <w:rPr>
          <w:rFonts w:eastAsia="Times New Roman"/>
        </w:rPr>
        <w:t>.</w:t>
      </w:r>
      <w:r w:rsidR="009221CD" w:rsidRPr="009221CD">
        <w:t xml:space="preserve"> </w:t>
      </w:r>
      <w:r w:rsidR="009221CD">
        <w:rPr>
          <w:rFonts w:eastAsia="Times New Roman"/>
        </w:rPr>
        <w:t>Modelis</w:t>
      </w:r>
      <w:r w:rsidR="009221CD" w:rsidRPr="009221CD">
        <w:rPr>
          <w:rFonts w:eastAsia="Times New Roman"/>
        </w:rPr>
        <w:t xml:space="preserve"> nosaka </w:t>
      </w:r>
      <w:r w:rsidR="009221CD">
        <w:rPr>
          <w:rFonts w:eastAsia="Times New Roman"/>
        </w:rPr>
        <w:t xml:space="preserve">profesionālās </w:t>
      </w:r>
      <w:r w:rsidR="009221CD" w:rsidRPr="009221CD">
        <w:rPr>
          <w:rFonts w:eastAsia="Times New Roman"/>
        </w:rPr>
        <w:t>izglītības programmu īstenošanas izmaksu</w:t>
      </w:r>
      <w:r w:rsidR="009221CD">
        <w:rPr>
          <w:rFonts w:eastAsia="Times New Roman"/>
        </w:rPr>
        <w:t xml:space="preserve"> minimumu uz vienu izglītojamo </w:t>
      </w:r>
      <w:r w:rsidR="009221CD" w:rsidRPr="009221CD">
        <w:rPr>
          <w:rFonts w:eastAsia="Times New Roman"/>
        </w:rPr>
        <w:t>gadā</w:t>
      </w:r>
      <w:r w:rsidR="009221CD">
        <w:rPr>
          <w:rFonts w:eastAsia="Times New Roman"/>
        </w:rPr>
        <w:t>.</w:t>
      </w:r>
      <w:r w:rsidR="009221CD" w:rsidRPr="009221CD">
        <w:rPr>
          <w:rFonts w:eastAsia="Times New Roman"/>
        </w:rPr>
        <w:t xml:space="preserve"> </w:t>
      </w:r>
      <w:r w:rsidR="003A79C3">
        <w:rPr>
          <w:rFonts w:eastAsia="Times New Roman"/>
        </w:rPr>
        <w:t>Priekšlikums b</w:t>
      </w:r>
      <w:r w:rsidR="003A79C3" w:rsidRPr="003A79C3">
        <w:rPr>
          <w:rFonts w:eastAsia="Times New Roman"/>
        </w:rPr>
        <w:t>āzes finansējuma noteikšana</w:t>
      </w:r>
      <w:r w:rsidR="003A79C3">
        <w:rPr>
          <w:rFonts w:eastAsia="Times New Roman"/>
        </w:rPr>
        <w:t>i</w:t>
      </w:r>
      <w:r w:rsidR="003A79C3" w:rsidRPr="003A79C3">
        <w:rPr>
          <w:rFonts w:eastAsia="Times New Roman"/>
        </w:rPr>
        <w:t xml:space="preserve"> profesionālās izglītības programmu īstenošanai</w:t>
      </w:r>
      <w:r w:rsidR="003A79C3">
        <w:rPr>
          <w:rFonts w:eastAsia="Times New Roman"/>
        </w:rPr>
        <w:t xml:space="preserve"> paredz </w:t>
      </w:r>
      <w:r w:rsidR="003A79C3" w:rsidRPr="003A79C3">
        <w:rPr>
          <w:rFonts w:eastAsia="Times New Roman"/>
        </w:rPr>
        <w:t xml:space="preserve">pārskatīt un atbilstoši faktiskajām programmu īstenošanas izmaksām aktualizēt izglītības programmu izmaksas, kā arī noteikt bāzes finansējumu profesionālās izglītības programmu īstenošanai uz vienu izglītojamo gadā, nemainot principu, ka valsts budžeta finansējums izglītības iestādēm, kuras īsteno profesionālās izglītības programmas, tiek piešķirts uz vienu izglītojamo. Tāpat </w:t>
      </w:r>
      <w:r w:rsidR="003A79C3">
        <w:rPr>
          <w:rFonts w:eastAsia="Times New Roman"/>
        </w:rPr>
        <w:t>netiek</w:t>
      </w:r>
      <w:r w:rsidR="003A79C3" w:rsidRPr="003A79C3">
        <w:rPr>
          <w:rFonts w:eastAsia="Times New Roman"/>
        </w:rPr>
        <w:t xml:space="preserve"> </w:t>
      </w:r>
      <w:r w:rsidR="003A79C3" w:rsidRPr="003A79C3">
        <w:rPr>
          <w:rFonts w:eastAsia="Times New Roman"/>
        </w:rPr>
        <w:lastRenderedPageBreak/>
        <w:t>mainīt</w:t>
      </w:r>
      <w:r w:rsidR="003A79C3">
        <w:rPr>
          <w:rFonts w:eastAsia="Times New Roman"/>
        </w:rPr>
        <w:t>s</w:t>
      </w:r>
      <w:r w:rsidR="003A79C3" w:rsidRPr="003A79C3">
        <w:rPr>
          <w:rFonts w:eastAsia="Times New Roman"/>
        </w:rPr>
        <w:t xml:space="preserve"> izglītības prog</w:t>
      </w:r>
      <w:r w:rsidR="003A79C3">
        <w:rPr>
          <w:rFonts w:eastAsia="Times New Roman"/>
        </w:rPr>
        <w:t>rammu normējamo izmaksu aprēķins</w:t>
      </w:r>
      <w:r w:rsidR="003A79C3" w:rsidRPr="003A79C3">
        <w:rPr>
          <w:rFonts w:eastAsia="Times New Roman"/>
        </w:rPr>
        <w:t>, kas paredz izglītības  programmu grupas “Vadība un administrēšana” normējamās izmaksas reizināt ar attiecīgās izglītība</w:t>
      </w:r>
      <w:r w:rsidR="003A79C3">
        <w:rPr>
          <w:rFonts w:eastAsia="Times New Roman"/>
        </w:rPr>
        <w:t>s programmu grupas koeficientu</w:t>
      </w:r>
      <w:r w:rsidR="003A79C3" w:rsidRPr="003A79C3">
        <w:rPr>
          <w:rFonts w:eastAsia="Times New Roman"/>
        </w:rPr>
        <w:t>.</w:t>
      </w:r>
      <w:r w:rsidR="003A79C3" w:rsidRPr="00854111">
        <w:rPr>
          <w:rFonts w:eastAsia="Times New Roman"/>
        </w:rPr>
        <w:t xml:space="preserve"> </w:t>
      </w:r>
      <w:r w:rsidR="00B409F8">
        <w:rPr>
          <w:rFonts w:eastAsia="Times New Roman"/>
        </w:rPr>
        <w:t xml:space="preserve">Priekšlikuma īstenošanai </w:t>
      </w:r>
      <w:r w:rsidR="009221CD" w:rsidRPr="00854111">
        <w:rPr>
          <w:rFonts w:eastAsia="Times New Roman"/>
        </w:rPr>
        <w:t>nepieciešami grozījumi MK noteikumos Nr. 655, nosakot bāzes finansējumu</w:t>
      </w:r>
      <w:r w:rsidR="009221CD">
        <w:rPr>
          <w:rFonts w:eastAsia="Times New Roman"/>
        </w:rPr>
        <w:t xml:space="preserve"> </w:t>
      </w:r>
      <w:r w:rsidR="009221CD" w:rsidRPr="008A239A">
        <w:rPr>
          <w:rFonts w:eastAsia="Times New Roman"/>
        </w:rPr>
        <w:t>profesionālas i</w:t>
      </w:r>
      <w:r w:rsidR="009221CD">
        <w:rPr>
          <w:rFonts w:eastAsia="Times New Roman"/>
        </w:rPr>
        <w:t xml:space="preserve">zglītības programmu īstenošanai </w:t>
      </w:r>
      <w:r w:rsidR="009221CD" w:rsidRPr="008A239A">
        <w:rPr>
          <w:rFonts w:eastAsia="Times New Roman"/>
        </w:rPr>
        <w:t>uz vienu izglītojamo</w:t>
      </w:r>
      <w:r w:rsidR="009221CD">
        <w:rPr>
          <w:rFonts w:eastAsia="Times New Roman"/>
        </w:rPr>
        <w:t>.</w:t>
      </w:r>
    </w:p>
    <w:p w14:paraId="15F94218" w14:textId="77777777" w:rsidR="00CF01AA" w:rsidRDefault="00CF01AA" w:rsidP="004E229C">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IZM 2020.gada sākumā ir veikusi MK noteikumu </w:t>
      </w:r>
      <w:r w:rsidRPr="00AE59AE">
        <w:rPr>
          <w:rFonts w:ascii="Times New Roman" w:eastAsia="Times New Roman" w:hAnsi="Times New Roman" w:cs="Times New Roman"/>
          <w:sz w:val="24"/>
          <w:szCs w:val="24"/>
        </w:rPr>
        <w:t>Nr. 655</w:t>
      </w:r>
      <w:r>
        <w:rPr>
          <w:rFonts w:ascii="Times New Roman" w:eastAsia="Times New Roman" w:hAnsi="Times New Roman" w:cs="Times New Roman"/>
          <w:sz w:val="24"/>
          <w:szCs w:val="24"/>
        </w:rPr>
        <w:t xml:space="preserve"> 2.pielikumā noteikto</w:t>
      </w:r>
      <w:r w:rsidRPr="00C422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izglītības programmu grupas “Vadība un administrēšana”</w:t>
      </w:r>
      <w:r w:rsidRPr="00C42226">
        <w:rPr>
          <w:rFonts w:ascii="Times New Roman" w:eastAsia="Times New Roman" w:hAnsi="Times New Roman" w:cs="Times New Roman"/>
          <w:sz w:val="24"/>
          <w:szCs w:val="24"/>
        </w:rPr>
        <w:t xml:space="preserve"> normējamo izmaksu un nenormējamo izmaksu (dienesta viesnīcas uzturēšanas izmaksas) aktualizāciju.</w:t>
      </w:r>
      <w:r>
        <w:rPr>
          <w:rFonts w:ascii="Times New Roman" w:eastAsia="Times New Roman" w:hAnsi="Times New Roman" w:cs="Times New Roman"/>
          <w:sz w:val="24"/>
          <w:szCs w:val="24"/>
        </w:rPr>
        <w:t xml:space="preserve"> Spēkā esošais regulējums nosaka, ka a</w:t>
      </w:r>
      <w:r w:rsidRPr="00C11127">
        <w:rPr>
          <w:rFonts w:ascii="Times New Roman" w:eastAsia="Times New Roman" w:hAnsi="Times New Roman" w:cs="Times New Roman"/>
          <w:sz w:val="24"/>
          <w:szCs w:val="24"/>
        </w:rPr>
        <w:t>ttiecīgās izglītības programmas normējamās izmaksas aprēķina, reizin</w:t>
      </w:r>
      <w:r>
        <w:rPr>
          <w:rFonts w:ascii="Times New Roman" w:eastAsia="Times New Roman" w:hAnsi="Times New Roman" w:cs="Times New Roman"/>
          <w:sz w:val="24"/>
          <w:szCs w:val="24"/>
        </w:rPr>
        <w:t xml:space="preserve">ot izglītības programmu grupas “Vadība un administrēšana” normējamās izmaksas </w:t>
      </w:r>
      <w:r w:rsidRPr="00C11127">
        <w:rPr>
          <w:rFonts w:ascii="Times New Roman" w:eastAsia="Times New Roman" w:hAnsi="Times New Roman" w:cs="Times New Roman"/>
          <w:sz w:val="24"/>
          <w:szCs w:val="24"/>
        </w:rPr>
        <w:t>ar attiecīgo koeficientu (</w:t>
      </w:r>
      <w:r>
        <w:rPr>
          <w:rFonts w:ascii="Times New Roman" w:eastAsia="Times New Roman" w:hAnsi="Times New Roman" w:cs="Times New Roman"/>
          <w:sz w:val="24"/>
          <w:szCs w:val="24"/>
        </w:rPr>
        <w:t xml:space="preserve">MK noteikumu Nr. 655 </w:t>
      </w:r>
      <w:r w:rsidRPr="00C11127">
        <w:rPr>
          <w:rFonts w:ascii="Times New Roman" w:eastAsia="Times New Roman" w:hAnsi="Times New Roman" w:cs="Times New Roman"/>
          <w:sz w:val="24"/>
          <w:szCs w:val="24"/>
        </w:rPr>
        <w:t>3.pielikums).</w:t>
      </w:r>
      <w:r>
        <w:rPr>
          <w:rFonts w:ascii="Times New Roman" w:eastAsia="Times New Roman" w:hAnsi="Times New Roman" w:cs="Times New Roman"/>
          <w:sz w:val="24"/>
          <w:szCs w:val="24"/>
        </w:rPr>
        <w:t xml:space="preserve"> </w:t>
      </w:r>
      <w:r w:rsidRPr="00C42226">
        <w:rPr>
          <w:rFonts w:ascii="Times New Roman" w:eastAsia="Times New Roman" w:hAnsi="Times New Roman" w:cs="Times New Roman"/>
          <w:sz w:val="24"/>
          <w:szCs w:val="24"/>
        </w:rPr>
        <w:t xml:space="preserve">Izglītības programmu grupas </w:t>
      </w:r>
      <w:r>
        <w:rPr>
          <w:rFonts w:ascii="Times New Roman" w:eastAsia="Times New Roman" w:hAnsi="Times New Roman" w:cs="Times New Roman"/>
          <w:sz w:val="24"/>
          <w:szCs w:val="24"/>
        </w:rPr>
        <w:t>“Vadība un administrēšana”</w:t>
      </w:r>
      <w:r w:rsidRPr="00C42226">
        <w:rPr>
          <w:rFonts w:ascii="Times New Roman" w:eastAsia="Times New Roman" w:hAnsi="Times New Roman" w:cs="Times New Roman"/>
          <w:sz w:val="24"/>
          <w:szCs w:val="24"/>
        </w:rPr>
        <w:t xml:space="preserve"> normējamās izmaksas uz vienu izglītojamo gadā</w:t>
      </w:r>
      <w:r>
        <w:rPr>
          <w:rFonts w:ascii="Times New Roman" w:eastAsia="Times New Roman" w:hAnsi="Times New Roman" w:cs="Times New Roman"/>
          <w:sz w:val="24"/>
          <w:szCs w:val="24"/>
        </w:rPr>
        <w:t xml:space="preserve"> ir </w:t>
      </w:r>
      <w:r w:rsidRPr="00C42226">
        <w:rPr>
          <w:rFonts w:ascii="Times New Roman" w:eastAsia="Times New Roman" w:hAnsi="Times New Roman" w:cs="Times New Roman"/>
          <w:sz w:val="24"/>
          <w:szCs w:val="24"/>
        </w:rPr>
        <w:t>425,15 EUR</w:t>
      </w:r>
      <w:r>
        <w:rPr>
          <w:rFonts w:ascii="Times New Roman" w:eastAsia="Times New Roman" w:hAnsi="Times New Roman" w:cs="Times New Roman"/>
          <w:sz w:val="24"/>
          <w:szCs w:val="24"/>
        </w:rPr>
        <w:t>. Piemēram, izglītības programmas “Autotransports” īstenošanai nepieciešamās normējamās izmaksas uz vienu izglītojamo gadā tiks aprēķinātas ņemot vērā izglītības programmu grupai “</w:t>
      </w:r>
      <w:r w:rsidRPr="005467F8">
        <w:rPr>
          <w:rFonts w:ascii="Times New Roman" w:eastAsia="Times New Roman" w:hAnsi="Times New Roman" w:cs="Times New Roman"/>
          <w:sz w:val="24"/>
          <w:szCs w:val="24"/>
        </w:rPr>
        <w:t>Mehānika, mašīnzinības un metālapstrāde</w:t>
      </w:r>
      <w:r>
        <w:rPr>
          <w:rFonts w:ascii="Times New Roman" w:eastAsia="Times New Roman" w:hAnsi="Times New Roman" w:cs="Times New Roman"/>
          <w:sz w:val="24"/>
          <w:szCs w:val="24"/>
        </w:rPr>
        <w:t>” noteikto koeficientu 1,35.</w:t>
      </w:r>
    </w:p>
    <w:p w14:paraId="16694380" w14:textId="1179DDCD" w:rsidR="00EB13A5" w:rsidRDefault="00CF01AA" w:rsidP="004E229C">
      <w:pPr>
        <w:spacing w:after="120" w:line="276" w:lineRule="auto"/>
        <w:jc w:val="both"/>
        <w:rPr>
          <w:rFonts w:ascii="Times New Roman" w:eastAsia="Times New Roman" w:hAnsi="Times New Roman" w:cs="Times New Roman"/>
          <w:sz w:val="24"/>
          <w:szCs w:val="24"/>
        </w:rPr>
      </w:pPr>
      <w:r w:rsidRPr="00C42226">
        <w:rPr>
          <w:rFonts w:ascii="Times New Roman" w:eastAsia="Times New Roman" w:hAnsi="Times New Roman" w:cs="Times New Roman"/>
          <w:sz w:val="24"/>
          <w:szCs w:val="24"/>
        </w:rPr>
        <w:t xml:space="preserve">Saskaņā ar IZM veikto izmaksu aktualizāciju, normējamās izmaksas uz vienu izglītojamo gadā </w:t>
      </w:r>
      <w:r>
        <w:rPr>
          <w:rFonts w:ascii="Times New Roman" w:eastAsia="Times New Roman" w:hAnsi="Times New Roman" w:cs="Times New Roman"/>
          <w:sz w:val="24"/>
          <w:szCs w:val="24"/>
        </w:rPr>
        <w:t xml:space="preserve">izglītības </w:t>
      </w:r>
      <w:r w:rsidRPr="00C42226">
        <w:rPr>
          <w:rFonts w:ascii="Times New Roman" w:eastAsia="Times New Roman" w:hAnsi="Times New Roman" w:cs="Times New Roman"/>
          <w:sz w:val="24"/>
          <w:szCs w:val="24"/>
        </w:rPr>
        <w:t xml:space="preserve">programmu grupai “Vadība un administrēšana”, kas saskaņā ar </w:t>
      </w:r>
      <w:r>
        <w:rPr>
          <w:rFonts w:ascii="Times New Roman" w:eastAsia="Times New Roman" w:hAnsi="Times New Roman" w:cs="Times New Roman"/>
          <w:sz w:val="24"/>
          <w:szCs w:val="24"/>
        </w:rPr>
        <w:t xml:space="preserve">MK noteikumiem </w:t>
      </w:r>
      <w:r w:rsidR="0037265C">
        <w:rPr>
          <w:rFonts w:ascii="Times New Roman" w:eastAsia="Times New Roman" w:hAnsi="Times New Roman" w:cs="Times New Roman"/>
          <w:sz w:val="24"/>
          <w:szCs w:val="24"/>
        </w:rPr>
        <w:t>Nr. </w:t>
      </w:r>
      <w:r w:rsidRPr="00AE59AE">
        <w:rPr>
          <w:rFonts w:ascii="Times New Roman" w:eastAsia="Times New Roman" w:hAnsi="Times New Roman" w:cs="Times New Roman"/>
          <w:sz w:val="24"/>
          <w:szCs w:val="24"/>
        </w:rPr>
        <w:t>655</w:t>
      </w:r>
      <w:r>
        <w:rPr>
          <w:rFonts w:ascii="Times New Roman" w:eastAsia="Times New Roman" w:hAnsi="Times New Roman" w:cs="Times New Roman"/>
          <w:sz w:val="24"/>
          <w:szCs w:val="24"/>
        </w:rPr>
        <w:t xml:space="preserve"> </w:t>
      </w:r>
      <w:r w:rsidRPr="00C42226">
        <w:rPr>
          <w:rFonts w:ascii="Times New Roman" w:eastAsia="Times New Roman" w:hAnsi="Times New Roman" w:cs="Times New Roman"/>
          <w:sz w:val="24"/>
          <w:szCs w:val="24"/>
        </w:rPr>
        <w:t>veido bāzes izmaksas, būtu palielināmas no 425,15 EUR līdz 624,86 EUR</w:t>
      </w:r>
      <w:r w:rsidR="00123524">
        <w:rPr>
          <w:rFonts w:ascii="Times New Roman" w:eastAsia="Times New Roman" w:hAnsi="Times New Roman" w:cs="Times New Roman"/>
          <w:sz w:val="24"/>
          <w:szCs w:val="24"/>
        </w:rPr>
        <w:t>.</w:t>
      </w:r>
      <w:r w:rsidRPr="00C422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Attiecīgi izglītības programmas “Autotransports” normējamās izmaksas uz vienu izglītojamo gadā pieaugtu no 573,95 līdz 843,56 EUR. </w:t>
      </w:r>
      <w:r w:rsidRPr="00C42226">
        <w:rPr>
          <w:rFonts w:ascii="Times New Roman" w:eastAsia="Times New Roman" w:hAnsi="Times New Roman" w:cs="Times New Roman"/>
          <w:sz w:val="24"/>
          <w:szCs w:val="24"/>
        </w:rPr>
        <w:t>Tāpat arī normējamās izmaksas</w:t>
      </w:r>
      <w:r>
        <w:rPr>
          <w:rFonts w:ascii="Times New Roman" w:eastAsia="Times New Roman" w:hAnsi="Times New Roman" w:cs="Times New Roman"/>
          <w:sz w:val="24"/>
          <w:szCs w:val="24"/>
        </w:rPr>
        <w:t xml:space="preserve"> piedāvāts papildināt</w:t>
      </w:r>
      <w:r w:rsidRPr="00C42226">
        <w:rPr>
          <w:rFonts w:ascii="Times New Roman" w:eastAsia="Times New Roman" w:hAnsi="Times New Roman" w:cs="Times New Roman"/>
          <w:sz w:val="24"/>
          <w:szCs w:val="24"/>
        </w:rPr>
        <w:t xml:space="preserve"> ar divām jaunām pozīcijām</w:t>
      </w:r>
      <w:r>
        <w:rPr>
          <w:rFonts w:ascii="Times New Roman" w:eastAsia="Times New Roman" w:hAnsi="Times New Roman" w:cs="Times New Roman"/>
          <w:sz w:val="24"/>
          <w:szCs w:val="24"/>
        </w:rPr>
        <w:t xml:space="preserve"> “Transporta izmaksas” un “I</w:t>
      </w:r>
      <w:r w:rsidRPr="00256ED3">
        <w:rPr>
          <w:rFonts w:ascii="Times New Roman" w:eastAsia="Times New Roman" w:hAnsi="Times New Roman" w:cs="Times New Roman"/>
          <w:sz w:val="24"/>
          <w:szCs w:val="24"/>
        </w:rPr>
        <w:t>nformācijas sistēmas uzturēšanas izmaksas</w:t>
      </w:r>
      <w:r>
        <w:rPr>
          <w:rFonts w:ascii="Times New Roman" w:eastAsia="Times New Roman" w:hAnsi="Times New Roman" w:cs="Times New Roman"/>
          <w:sz w:val="24"/>
          <w:szCs w:val="24"/>
        </w:rPr>
        <w:t>”</w:t>
      </w:r>
      <w:r w:rsidRPr="00C42226">
        <w:rPr>
          <w:rFonts w:ascii="Times New Roman" w:eastAsia="Times New Roman" w:hAnsi="Times New Roman" w:cs="Times New Roman"/>
          <w:sz w:val="24"/>
          <w:szCs w:val="24"/>
        </w:rPr>
        <w:t>, k</w:t>
      </w:r>
      <w:r>
        <w:rPr>
          <w:rFonts w:ascii="Times New Roman" w:eastAsia="Times New Roman" w:hAnsi="Times New Roman" w:cs="Times New Roman"/>
          <w:sz w:val="24"/>
          <w:szCs w:val="24"/>
        </w:rPr>
        <w:t>ā arī vienai pozīcijai precizēt nosaukumu no “</w:t>
      </w:r>
      <w:r w:rsidRPr="00256ED3">
        <w:rPr>
          <w:rFonts w:ascii="Times New Roman" w:eastAsia="Times New Roman" w:hAnsi="Times New Roman" w:cs="Times New Roman"/>
          <w:sz w:val="24"/>
          <w:szCs w:val="24"/>
        </w:rPr>
        <w:t>remonta izmaksas</w:t>
      </w:r>
      <w:r>
        <w:rPr>
          <w:rFonts w:ascii="Times New Roman" w:eastAsia="Times New Roman" w:hAnsi="Times New Roman" w:cs="Times New Roman"/>
          <w:sz w:val="24"/>
          <w:szCs w:val="24"/>
        </w:rPr>
        <w:t>” uz “</w:t>
      </w:r>
      <w:r w:rsidRPr="00256ED3">
        <w:rPr>
          <w:rFonts w:ascii="Times New Roman" w:eastAsia="Times New Roman" w:hAnsi="Times New Roman" w:cs="Times New Roman"/>
          <w:sz w:val="24"/>
          <w:szCs w:val="24"/>
        </w:rPr>
        <w:t>remontdarbi un iestāžu uzturēšanas pakalpojumi</w:t>
      </w:r>
      <w:r>
        <w:rPr>
          <w:rFonts w:ascii="Times New Roman" w:eastAsia="Times New Roman" w:hAnsi="Times New Roman" w:cs="Times New Roman"/>
          <w:sz w:val="24"/>
          <w:szCs w:val="24"/>
        </w:rPr>
        <w:t>”</w:t>
      </w:r>
      <w:r w:rsidR="00786E15">
        <w:rPr>
          <w:rFonts w:ascii="Times New Roman" w:eastAsia="Times New Roman" w:hAnsi="Times New Roman" w:cs="Times New Roman"/>
          <w:sz w:val="24"/>
          <w:szCs w:val="24"/>
        </w:rPr>
        <w:t xml:space="preserve"> (skatīt Tabula Nr. 1</w:t>
      </w:r>
      <w:r w:rsidR="0037265C">
        <w:rPr>
          <w:rFonts w:ascii="Times New Roman" w:eastAsia="Times New Roman" w:hAnsi="Times New Roman" w:cs="Times New Roman"/>
          <w:sz w:val="24"/>
          <w:szCs w:val="24"/>
        </w:rPr>
        <w:t>)</w:t>
      </w:r>
      <w:r w:rsidRPr="00C42226">
        <w:rPr>
          <w:rFonts w:ascii="Times New Roman" w:eastAsia="Times New Roman" w:hAnsi="Times New Roman" w:cs="Times New Roman"/>
          <w:sz w:val="24"/>
          <w:szCs w:val="24"/>
        </w:rPr>
        <w:t xml:space="preserve">. </w:t>
      </w:r>
    </w:p>
    <w:p w14:paraId="371C7B42" w14:textId="3FF641A5" w:rsidR="0037265C" w:rsidRDefault="00786E15" w:rsidP="0037265C">
      <w:pPr>
        <w:spacing w:after="0" w:line="276" w:lineRule="auto"/>
        <w:jc w:val="right"/>
        <w:rPr>
          <w:rFonts w:ascii="Times New Roman" w:hAnsi="Times New Roman" w:cs="Times New Roman"/>
          <w:b/>
        </w:rPr>
      </w:pPr>
      <w:r>
        <w:rPr>
          <w:rFonts w:ascii="Times New Roman" w:eastAsia="Times New Roman" w:hAnsi="Times New Roman" w:cs="Times New Roman"/>
          <w:b/>
          <w:sz w:val="24"/>
          <w:szCs w:val="24"/>
        </w:rPr>
        <w:t>Tabula Nr. 1</w:t>
      </w:r>
      <w:r w:rsidR="0037265C" w:rsidRPr="0037265C">
        <w:rPr>
          <w:rFonts w:ascii="Times New Roman" w:eastAsia="Times New Roman" w:hAnsi="Times New Roman" w:cs="Times New Roman"/>
          <w:b/>
          <w:sz w:val="24"/>
          <w:szCs w:val="24"/>
        </w:rPr>
        <w:t xml:space="preserve">. </w:t>
      </w:r>
      <w:r w:rsidR="0037265C" w:rsidRPr="0037265C">
        <w:rPr>
          <w:rFonts w:ascii="Times New Roman" w:hAnsi="Times New Roman" w:cs="Times New Roman"/>
          <w:b/>
        </w:rPr>
        <w:t xml:space="preserve">Izglītības programmu grupas "Vadība un administrēšana" </w:t>
      </w:r>
    </w:p>
    <w:p w14:paraId="5E10BB68" w14:textId="5AB15330" w:rsidR="0037265C" w:rsidRPr="0037265C" w:rsidRDefault="0037265C" w:rsidP="00DA69E6">
      <w:pPr>
        <w:spacing w:after="0" w:line="276" w:lineRule="auto"/>
        <w:jc w:val="right"/>
        <w:rPr>
          <w:rFonts w:ascii="Times New Roman" w:eastAsia="Times New Roman" w:hAnsi="Times New Roman" w:cs="Times New Roman"/>
          <w:b/>
          <w:sz w:val="24"/>
          <w:szCs w:val="24"/>
        </w:rPr>
      </w:pPr>
      <w:r w:rsidRPr="0037265C">
        <w:rPr>
          <w:rFonts w:ascii="Times New Roman" w:hAnsi="Times New Roman" w:cs="Times New Roman"/>
          <w:b/>
        </w:rPr>
        <w:t>normējamās izmaksas uz vienu izglītojamo gadā, EUR</w:t>
      </w:r>
    </w:p>
    <w:tbl>
      <w:tblPr>
        <w:tblW w:w="9040" w:type="dxa"/>
        <w:tblLook w:val="04A0" w:firstRow="1" w:lastRow="0" w:firstColumn="1" w:lastColumn="0" w:noHBand="0" w:noVBand="1"/>
      </w:tblPr>
      <w:tblGrid>
        <w:gridCol w:w="5280"/>
        <w:gridCol w:w="2100"/>
        <w:gridCol w:w="1660"/>
      </w:tblGrid>
      <w:tr w:rsidR="00123524" w:rsidRPr="00AD7632" w14:paraId="749D7FFC" w14:textId="77777777" w:rsidTr="0037265C">
        <w:trPr>
          <w:trHeight w:val="909"/>
        </w:trPr>
        <w:tc>
          <w:tcPr>
            <w:tcW w:w="5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389E6" w14:textId="77777777" w:rsidR="00123524" w:rsidRPr="009E15F0" w:rsidRDefault="00123524" w:rsidP="001E30FC">
            <w:pPr>
              <w:spacing w:after="0" w:line="240" w:lineRule="auto"/>
              <w:jc w:val="center"/>
              <w:rPr>
                <w:rFonts w:ascii="Times New Roman" w:eastAsia="Times New Roman" w:hAnsi="Times New Roman" w:cs="Times New Roman"/>
                <w:b/>
                <w:bCs/>
                <w:color w:val="000000"/>
              </w:rPr>
            </w:pPr>
            <w:r w:rsidRPr="009E15F0">
              <w:rPr>
                <w:rFonts w:ascii="Times New Roman" w:hAnsi="Times New Roman" w:cs="Times New Roman"/>
              </w:rPr>
              <w:t>Normējamās izmaksas</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137E131A" w14:textId="77777777" w:rsidR="00123524" w:rsidRPr="009E15F0" w:rsidRDefault="00123524" w:rsidP="001E30FC">
            <w:pPr>
              <w:spacing w:after="0" w:line="240" w:lineRule="auto"/>
              <w:jc w:val="center"/>
              <w:rPr>
                <w:rFonts w:ascii="Times New Roman" w:eastAsia="Times New Roman" w:hAnsi="Times New Roman" w:cs="Times New Roman"/>
                <w:b/>
                <w:bCs/>
                <w:color w:val="000000"/>
              </w:rPr>
            </w:pPr>
            <w:r w:rsidRPr="009E15F0">
              <w:rPr>
                <w:rFonts w:ascii="Times New Roman" w:eastAsia="Times New Roman" w:hAnsi="Times New Roman" w:cs="Times New Roman"/>
                <w:b/>
                <w:bCs/>
                <w:color w:val="000000"/>
              </w:rPr>
              <w:t>Saskaņā ar MK noteikumu Nr. 655 2.pielikumu (EUR)</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66AF780D" w14:textId="77777777" w:rsidR="00123524" w:rsidRPr="009E15F0" w:rsidRDefault="00123524" w:rsidP="001E30FC">
            <w:pPr>
              <w:spacing w:after="0" w:line="240" w:lineRule="auto"/>
              <w:jc w:val="center"/>
              <w:rPr>
                <w:rFonts w:ascii="Times New Roman" w:eastAsia="Times New Roman" w:hAnsi="Times New Roman" w:cs="Times New Roman"/>
                <w:b/>
                <w:bCs/>
                <w:color w:val="000000"/>
              </w:rPr>
            </w:pPr>
            <w:r w:rsidRPr="009E15F0">
              <w:rPr>
                <w:rFonts w:ascii="Times New Roman" w:eastAsia="Times New Roman" w:hAnsi="Times New Roman" w:cs="Times New Roman"/>
                <w:b/>
                <w:bCs/>
                <w:color w:val="000000"/>
              </w:rPr>
              <w:t>Jaunais aprēķins (EUR)</w:t>
            </w:r>
          </w:p>
        </w:tc>
      </w:tr>
      <w:tr w:rsidR="00123524" w:rsidRPr="00AD7632" w14:paraId="7C3D414F" w14:textId="77777777" w:rsidTr="001E30FC">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5943CAA6" w14:textId="77777777" w:rsidR="00123524" w:rsidRPr="009E15F0" w:rsidRDefault="00123524" w:rsidP="001E30FC">
            <w:pPr>
              <w:spacing w:after="0" w:line="240" w:lineRule="auto"/>
              <w:rPr>
                <w:rFonts w:ascii="Times New Roman" w:eastAsia="Times New Roman" w:hAnsi="Times New Roman" w:cs="Times New Roman"/>
                <w:color w:val="000000"/>
              </w:rPr>
            </w:pPr>
            <w:r w:rsidRPr="009E15F0">
              <w:rPr>
                <w:rFonts w:ascii="Times New Roman" w:hAnsi="Times New Roman" w:cs="Times New Roman"/>
              </w:rPr>
              <w:t xml:space="preserve">1. Komandējumu un darba braucienu izmaksas </w:t>
            </w:r>
          </w:p>
        </w:tc>
        <w:tc>
          <w:tcPr>
            <w:tcW w:w="2100" w:type="dxa"/>
            <w:tcBorders>
              <w:top w:val="nil"/>
              <w:left w:val="nil"/>
              <w:bottom w:val="single" w:sz="4" w:space="0" w:color="auto"/>
              <w:right w:val="single" w:sz="4" w:space="0" w:color="auto"/>
            </w:tcBorders>
            <w:shd w:val="clear" w:color="auto" w:fill="auto"/>
            <w:noWrap/>
            <w:vAlign w:val="center"/>
            <w:hideMark/>
          </w:tcPr>
          <w:p w14:paraId="18C235EC" w14:textId="77777777" w:rsidR="00123524" w:rsidRPr="009E15F0" w:rsidRDefault="00123524" w:rsidP="001E30FC">
            <w:pPr>
              <w:spacing w:after="0" w:line="240" w:lineRule="auto"/>
              <w:jc w:val="right"/>
              <w:rPr>
                <w:rFonts w:ascii="Times New Roman" w:eastAsia="Times New Roman" w:hAnsi="Times New Roman" w:cs="Times New Roman"/>
                <w:b/>
                <w:bCs/>
                <w:color w:val="000000"/>
              </w:rPr>
            </w:pPr>
            <w:r w:rsidRPr="009E15F0">
              <w:rPr>
                <w:rFonts w:ascii="Times New Roman" w:eastAsia="Times New Roman" w:hAnsi="Times New Roman" w:cs="Times New Roman"/>
                <w:b/>
                <w:bCs/>
                <w:color w:val="000000"/>
              </w:rPr>
              <w:t>4,27</w:t>
            </w:r>
          </w:p>
        </w:tc>
        <w:tc>
          <w:tcPr>
            <w:tcW w:w="1660" w:type="dxa"/>
            <w:tcBorders>
              <w:top w:val="nil"/>
              <w:left w:val="nil"/>
              <w:bottom w:val="single" w:sz="4" w:space="0" w:color="auto"/>
              <w:right w:val="single" w:sz="4" w:space="0" w:color="auto"/>
            </w:tcBorders>
            <w:shd w:val="clear" w:color="auto" w:fill="auto"/>
            <w:noWrap/>
            <w:vAlign w:val="center"/>
            <w:hideMark/>
          </w:tcPr>
          <w:p w14:paraId="6D9B5C9F" w14:textId="77777777" w:rsidR="00123524" w:rsidRPr="009E15F0" w:rsidRDefault="00123524" w:rsidP="001E30FC">
            <w:pPr>
              <w:spacing w:after="0" w:line="240" w:lineRule="auto"/>
              <w:jc w:val="right"/>
              <w:rPr>
                <w:rFonts w:ascii="Times New Roman" w:eastAsia="Times New Roman" w:hAnsi="Times New Roman" w:cs="Times New Roman"/>
                <w:b/>
                <w:bCs/>
                <w:color w:val="000000" w:themeColor="text1"/>
              </w:rPr>
            </w:pPr>
            <w:r w:rsidRPr="009E15F0">
              <w:rPr>
                <w:rFonts w:ascii="Times New Roman" w:eastAsia="Times New Roman" w:hAnsi="Times New Roman" w:cs="Times New Roman"/>
                <w:b/>
                <w:bCs/>
                <w:color w:val="000000" w:themeColor="text1"/>
              </w:rPr>
              <w:t>5,41</w:t>
            </w:r>
          </w:p>
        </w:tc>
      </w:tr>
      <w:tr w:rsidR="00123524" w:rsidRPr="00AD7632" w14:paraId="3E53C716" w14:textId="77777777" w:rsidTr="001E30FC">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54FF7626" w14:textId="77777777" w:rsidR="00123524" w:rsidRPr="009E15F0" w:rsidRDefault="00123524" w:rsidP="001E30FC">
            <w:pPr>
              <w:spacing w:after="0" w:line="240" w:lineRule="auto"/>
              <w:rPr>
                <w:rFonts w:ascii="Times New Roman" w:eastAsia="Times New Roman" w:hAnsi="Times New Roman" w:cs="Times New Roman"/>
                <w:color w:val="000000"/>
              </w:rPr>
            </w:pPr>
            <w:r w:rsidRPr="009E15F0">
              <w:rPr>
                <w:rFonts w:ascii="Times New Roman" w:hAnsi="Times New Roman" w:cs="Times New Roman"/>
              </w:rPr>
              <w:t xml:space="preserve">2. Pakalpojumu izmaksas </w:t>
            </w:r>
          </w:p>
        </w:tc>
        <w:tc>
          <w:tcPr>
            <w:tcW w:w="2100" w:type="dxa"/>
            <w:tcBorders>
              <w:top w:val="nil"/>
              <w:left w:val="nil"/>
              <w:bottom w:val="single" w:sz="4" w:space="0" w:color="auto"/>
              <w:right w:val="single" w:sz="4" w:space="0" w:color="auto"/>
            </w:tcBorders>
            <w:shd w:val="clear" w:color="auto" w:fill="auto"/>
            <w:noWrap/>
            <w:vAlign w:val="center"/>
            <w:hideMark/>
          </w:tcPr>
          <w:p w14:paraId="676472C8" w14:textId="77777777" w:rsidR="00123524" w:rsidRPr="009E15F0" w:rsidRDefault="00123524" w:rsidP="001E30FC">
            <w:pPr>
              <w:spacing w:after="0" w:line="240" w:lineRule="auto"/>
              <w:jc w:val="right"/>
              <w:rPr>
                <w:rFonts w:ascii="Times New Roman" w:eastAsia="Times New Roman" w:hAnsi="Times New Roman" w:cs="Times New Roman"/>
                <w:b/>
                <w:bCs/>
                <w:color w:val="000000" w:themeColor="text1"/>
              </w:rPr>
            </w:pPr>
            <w:r w:rsidRPr="009E15F0">
              <w:rPr>
                <w:rFonts w:ascii="Times New Roman" w:eastAsia="Times New Roman" w:hAnsi="Times New Roman" w:cs="Times New Roman"/>
                <w:b/>
                <w:bCs/>
                <w:color w:val="000000" w:themeColor="text1"/>
              </w:rPr>
              <w:t>160,72</w:t>
            </w:r>
          </w:p>
        </w:tc>
        <w:tc>
          <w:tcPr>
            <w:tcW w:w="1660" w:type="dxa"/>
            <w:tcBorders>
              <w:top w:val="nil"/>
              <w:left w:val="nil"/>
              <w:bottom w:val="single" w:sz="4" w:space="0" w:color="auto"/>
              <w:right w:val="single" w:sz="4" w:space="0" w:color="auto"/>
            </w:tcBorders>
            <w:shd w:val="clear" w:color="auto" w:fill="auto"/>
            <w:noWrap/>
            <w:vAlign w:val="center"/>
            <w:hideMark/>
          </w:tcPr>
          <w:p w14:paraId="139460D7" w14:textId="77777777" w:rsidR="00123524" w:rsidRPr="009E15F0" w:rsidRDefault="00123524" w:rsidP="001E30FC">
            <w:pPr>
              <w:spacing w:after="0" w:line="240" w:lineRule="auto"/>
              <w:jc w:val="right"/>
              <w:rPr>
                <w:rFonts w:ascii="Times New Roman" w:eastAsia="Times New Roman" w:hAnsi="Times New Roman" w:cs="Times New Roman"/>
                <w:b/>
                <w:bCs/>
                <w:color w:val="000000" w:themeColor="text1"/>
              </w:rPr>
            </w:pPr>
            <w:r w:rsidRPr="009E15F0">
              <w:rPr>
                <w:rFonts w:ascii="Times New Roman" w:eastAsia="Times New Roman" w:hAnsi="Times New Roman" w:cs="Times New Roman"/>
                <w:b/>
                <w:bCs/>
                <w:color w:val="000000" w:themeColor="text1"/>
              </w:rPr>
              <w:t>258,25</w:t>
            </w:r>
          </w:p>
        </w:tc>
      </w:tr>
      <w:tr w:rsidR="00123524" w:rsidRPr="00AD7632" w14:paraId="6113FC33" w14:textId="77777777" w:rsidTr="001E30FC">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2F096C90" w14:textId="77777777" w:rsidR="00123524" w:rsidRPr="009E15F0" w:rsidRDefault="00123524" w:rsidP="001E30FC">
            <w:pPr>
              <w:spacing w:after="0" w:line="240" w:lineRule="auto"/>
              <w:rPr>
                <w:rFonts w:ascii="Times New Roman" w:eastAsia="Times New Roman" w:hAnsi="Times New Roman" w:cs="Times New Roman"/>
                <w:color w:val="000000"/>
              </w:rPr>
            </w:pPr>
            <w:r w:rsidRPr="009E15F0">
              <w:rPr>
                <w:rFonts w:ascii="Times New Roman" w:hAnsi="Times New Roman" w:cs="Times New Roman"/>
              </w:rPr>
              <w:t>2.1. sakaru pakalpojumu izmaksas</w:t>
            </w:r>
          </w:p>
        </w:tc>
        <w:tc>
          <w:tcPr>
            <w:tcW w:w="2100" w:type="dxa"/>
            <w:tcBorders>
              <w:top w:val="nil"/>
              <w:left w:val="nil"/>
              <w:bottom w:val="single" w:sz="4" w:space="0" w:color="auto"/>
              <w:right w:val="single" w:sz="4" w:space="0" w:color="auto"/>
            </w:tcBorders>
            <w:shd w:val="clear" w:color="auto" w:fill="auto"/>
            <w:noWrap/>
            <w:vAlign w:val="center"/>
            <w:hideMark/>
          </w:tcPr>
          <w:p w14:paraId="1796946D" w14:textId="77777777" w:rsidR="00123524" w:rsidRPr="009E15F0" w:rsidRDefault="00123524" w:rsidP="001E30FC">
            <w:pPr>
              <w:spacing w:after="0" w:line="240" w:lineRule="auto"/>
              <w:jc w:val="right"/>
              <w:rPr>
                <w:rFonts w:ascii="Times New Roman" w:eastAsia="Times New Roman" w:hAnsi="Times New Roman" w:cs="Times New Roman"/>
                <w:color w:val="000000" w:themeColor="text1"/>
              </w:rPr>
            </w:pPr>
            <w:r w:rsidRPr="009E15F0">
              <w:rPr>
                <w:rFonts w:ascii="Times New Roman" w:eastAsia="Times New Roman" w:hAnsi="Times New Roman" w:cs="Times New Roman"/>
                <w:color w:val="000000" w:themeColor="text1"/>
              </w:rPr>
              <w:t>25,35</w:t>
            </w:r>
          </w:p>
        </w:tc>
        <w:tc>
          <w:tcPr>
            <w:tcW w:w="1660" w:type="dxa"/>
            <w:tcBorders>
              <w:top w:val="nil"/>
              <w:left w:val="nil"/>
              <w:bottom w:val="single" w:sz="4" w:space="0" w:color="auto"/>
              <w:right w:val="single" w:sz="4" w:space="0" w:color="auto"/>
            </w:tcBorders>
            <w:shd w:val="clear" w:color="auto" w:fill="auto"/>
            <w:noWrap/>
            <w:vAlign w:val="center"/>
            <w:hideMark/>
          </w:tcPr>
          <w:p w14:paraId="06C8D159" w14:textId="77777777" w:rsidR="00123524" w:rsidRPr="009E15F0" w:rsidRDefault="00123524" w:rsidP="001E30FC">
            <w:pPr>
              <w:spacing w:after="0" w:line="240" w:lineRule="auto"/>
              <w:jc w:val="right"/>
              <w:rPr>
                <w:rFonts w:ascii="Times New Roman" w:eastAsia="Times New Roman" w:hAnsi="Times New Roman" w:cs="Times New Roman"/>
                <w:color w:val="000000" w:themeColor="text1"/>
              </w:rPr>
            </w:pPr>
            <w:r w:rsidRPr="009E15F0">
              <w:rPr>
                <w:rFonts w:ascii="Times New Roman" w:eastAsia="Times New Roman" w:hAnsi="Times New Roman" w:cs="Times New Roman"/>
                <w:color w:val="000000" w:themeColor="text1"/>
              </w:rPr>
              <w:t>17,30</w:t>
            </w:r>
          </w:p>
        </w:tc>
      </w:tr>
      <w:tr w:rsidR="00123524" w:rsidRPr="00AD7632" w14:paraId="708AA942" w14:textId="77777777" w:rsidTr="001E30FC">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56BF2B8F" w14:textId="77777777" w:rsidR="00123524" w:rsidRPr="009E15F0" w:rsidRDefault="00123524" w:rsidP="001E30FC">
            <w:pPr>
              <w:spacing w:after="0" w:line="240" w:lineRule="auto"/>
              <w:rPr>
                <w:rFonts w:ascii="Times New Roman" w:eastAsia="Times New Roman" w:hAnsi="Times New Roman" w:cs="Times New Roman"/>
                <w:color w:val="000000"/>
              </w:rPr>
            </w:pPr>
            <w:r w:rsidRPr="009E15F0">
              <w:rPr>
                <w:rFonts w:ascii="Times New Roman" w:hAnsi="Times New Roman" w:cs="Times New Roman"/>
              </w:rPr>
              <w:t xml:space="preserve">2.1.1. tālruņa pakalpojumu izmaksas </w:t>
            </w:r>
          </w:p>
        </w:tc>
        <w:tc>
          <w:tcPr>
            <w:tcW w:w="2100" w:type="dxa"/>
            <w:tcBorders>
              <w:top w:val="nil"/>
              <w:left w:val="nil"/>
              <w:bottom w:val="single" w:sz="4" w:space="0" w:color="auto"/>
              <w:right w:val="single" w:sz="4" w:space="0" w:color="auto"/>
            </w:tcBorders>
            <w:shd w:val="clear" w:color="auto" w:fill="auto"/>
            <w:noWrap/>
            <w:vAlign w:val="center"/>
            <w:hideMark/>
          </w:tcPr>
          <w:p w14:paraId="7EF6F087" w14:textId="77777777" w:rsidR="00123524" w:rsidRPr="009E15F0" w:rsidRDefault="00123524" w:rsidP="001E30FC">
            <w:pPr>
              <w:spacing w:after="0" w:line="240" w:lineRule="auto"/>
              <w:jc w:val="right"/>
              <w:rPr>
                <w:rFonts w:ascii="Times New Roman" w:eastAsia="Times New Roman" w:hAnsi="Times New Roman" w:cs="Times New Roman"/>
                <w:color w:val="000000" w:themeColor="text1"/>
              </w:rPr>
            </w:pPr>
            <w:r w:rsidRPr="009E15F0">
              <w:rPr>
                <w:rFonts w:ascii="Times New Roman" w:eastAsia="Times New Roman" w:hAnsi="Times New Roman" w:cs="Times New Roman"/>
                <w:color w:val="000000" w:themeColor="text1"/>
              </w:rPr>
              <w:t>12,09</w:t>
            </w:r>
          </w:p>
        </w:tc>
        <w:tc>
          <w:tcPr>
            <w:tcW w:w="1660" w:type="dxa"/>
            <w:tcBorders>
              <w:top w:val="nil"/>
              <w:left w:val="nil"/>
              <w:bottom w:val="single" w:sz="4" w:space="0" w:color="auto"/>
              <w:right w:val="single" w:sz="4" w:space="0" w:color="auto"/>
            </w:tcBorders>
            <w:shd w:val="clear" w:color="auto" w:fill="auto"/>
            <w:noWrap/>
            <w:vAlign w:val="center"/>
            <w:hideMark/>
          </w:tcPr>
          <w:p w14:paraId="6276543E" w14:textId="77777777" w:rsidR="00123524" w:rsidRPr="009E15F0" w:rsidRDefault="00123524" w:rsidP="001E30FC">
            <w:pPr>
              <w:spacing w:after="0" w:line="240" w:lineRule="auto"/>
              <w:jc w:val="right"/>
              <w:rPr>
                <w:rFonts w:ascii="Times New Roman" w:eastAsia="Times New Roman" w:hAnsi="Times New Roman" w:cs="Times New Roman"/>
                <w:color w:val="000000" w:themeColor="text1"/>
              </w:rPr>
            </w:pPr>
            <w:r w:rsidRPr="009E15F0">
              <w:rPr>
                <w:rFonts w:ascii="Times New Roman" w:eastAsia="Times New Roman" w:hAnsi="Times New Roman" w:cs="Times New Roman"/>
                <w:color w:val="000000" w:themeColor="text1"/>
              </w:rPr>
              <w:t>6,20</w:t>
            </w:r>
          </w:p>
        </w:tc>
      </w:tr>
      <w:tr w:rsidR="00123524" w:rsidRPr="00AD7632" w14:paraId="697C19D5" w14:textId="77777777" w:rsidTr="001E30FC">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128C47E8" w14:textId="77777777" w:rsidR="00123524" w:rsidRPr="009E15F0" w:rsidRDefault="00123524" w:rsidP="001E30FC">
            <w:pPr>
              <w:spacing w:after="0" w:line="240" w:lineRule="auto"/>
              <w:rPr>
                <w:rFonts w:ascii="Times New Roman" w:eastAsia="Times New Roman" w:hAnsi="Times New Roman" w:cs="Times New Roman"/>
                <w:color w:val="000000"/>
              </w:rPr>
            </w:pPr>
            <w:r w:rsidRPr="009E15F0">
              <w:rPr>
                <w:rFonts w:ascii="Times New Roman" w:hAnsi="Times New Roman" w:cs="Times New Roman"/>
              </w:rPr>
              <w:t>2.1.2. interneta pieslēguma izmaksas</w:t>
            </w:r>
          </w:p>
        </w:tc>
        <w:tc>
          <w:tcPr>
            <w:tcW w:w="2100" w:type="dxa"/>
            <w:tcBorders>
              <w:top w:val="nil"/>
              <w:left w:val="nil"/>
              <w:bottom w:val="single" w:sz="4" w:space="0" w:color="auto"/>
              <w:right w:val="single" w:sz="4" w:space="0" w:color="auto"/>
            </w:tcBorders>
            <w:shd w:val="clear" w:color="auto" w:fill="auto"/>
            <w:noWrap/>
            <w:vAlign w:val="center"/>
            <w:hideMark/>
          </w:tcPr>
          <w:p w14:paraId="2AAF5DBC" w14:textId="77777777" w:rsidR="00123524" w:rsidRPr="009E15F0" w:rsidRDefault="00123524" w:rsidP="001E30FC">
            <w:pPr>
              <w:spacing w:after="0" w:line="240" w:lineRule="auto"/>
              <w:jc w:val="right"/>
              <w:rPr>
                <w:rFonts w:ascii="Times New Roman" w:eastAsia="Times New Roman" w:hAnsi="Times New Roman" w:cs="Times New Roman"/>
                <w:color w:val="000000"/>
              </w:rPr>
            </w:pPr>
            <w:r w:rsidRPr="009E15F0">
              <w:rPr>
                <w:rFonts w:ascii="Times New Roman" w:eastAsia="Times New Roman" w:hAnsi="Times New Roman" w:cs="Times New Roman"/>
                <w:color w:val="000000"/>
              </w:rPr>
              <w:t>3,09</w:t>
            </w:r>
          </w:p>
        </w:tc>
        <w:tc>
          <w:tcPr>
            <w:tcW w:w="1660" w:type="dxa"/>
            <w:tcBorders>
              <w:top w:val="nil"/>
              <w:left w:val="nil"/>
              <w:bottom w:val="single" w:sz="4" w:space="0" w:color="auto"/>
              <w:right w:val="single" w:sz="4" w:space="0" w:color="auto"/>
            </w:tcBorders>
            <w:shd w:val="clear" w:color="auto" w:fill="auto"/>
            <w:noWrap/>
            <w:vAlign w:val="center"/>
            <w:hideMark/>
          </w:tcPr>
          <w:p w14:paraId="24ABAF98" w14:textId="77777777" w:rsidR="00123524" w:rsidRPr="009E15F0" w:rsidRDefault="00123524" w:rsidP="001E30FC">
            <w:pPr>
              <w:spacing w:after="0" w:line="240" w:lineRule="auto"/>
              <w:jc w:val="right"/>
              <w:rPr>
                <w:rFonts w:ascii="Times New Roman" w:eastAsia="Times New Roman" w:hAnsi="Times New Roman" w:cs="Times New Roman"/>
                <w:color w:val="000000" w:themeColor="text1"/>
              </w:rPr>
            </w:pPr>
            <w:r w:rsidRPr="009E15F0">
              <w:rPr>
                <w:rFonts w:ascii="Times New Roman" w:eastAsia="Times New Roman" w:hAnsi="Times New Roman" w:cs="Times New Roman"/>
                <w:color w:val="000000" w:themeColor="text1"/>
              </w:rPr>
              <w:t>8,05</w:t>
            </w:r>
          </w:p>
        </w:tc>
      </w:tr>
      <w:tr w:rsidR="00123524" w:rsidRPr="00AD7632" w14:paraId="192664CC" w14:textId="77777777" w:rsidTr="001E30FC">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58F7E262" w14:textId="77777777" w:rsidR="00123524" w:rsidRPr="009E15F0" w:rsidRDefault="00123524" w:rsidP="001E30FC">
            <w:pPr>
              <w:spacing w:after="0" w:line="240" w:lineRule="auto"/>
              <w:rPr>
                <w:rFonts w:ascii="Times New Roman" w:eastAsia="Times New Roman" w:hAnsi="Times New Roman" w:cs="Times New Roman"/>
                <w:color w:val="000000"/>
              </w:rPr>
            </w:pPr>
            <w:r w:rsidRPr="009E15F0">
              <w:rPr>
                <w:rFonts w:ascii="Times New Roman" w:hAnsi="Times New Roman" w:cs="Times New Roman"/>
              </w:rPr>
              <w:t>2.1.3. pasta un citu sakaru pakalpojumu izmaksas</w:t>
            </w:r>
          </w:p>
        </w:tc>
        <w:tc>
          <w:tcPr>
            <w:tcW w:w="2100" w:type="dxa"/>
            <w:tcBorders>
              <w:top w:val="nil"/>
              <w:left w:val="nil"/>
              <w:bottom w:val="single" w:sz="4" w:space="0" w:color="auto"/>
              <w:right w:val="single" w:sz="4" w:space="0" w:color="auto"/>
            </w:tcBorders>
            <w:shd w:val="clear" w:color="auto" w:fill="auto"/>
            <w:noWrap/>
            <w:vAlign w:val="center"/>
            <w:hideMark/>
          </w:tcPr>
          <w:p w14:paraId="38B4B9EB" w14:textId="77777777" w:rsidR="00123524" w:rsidRPr="009E15F0" w:rsidRDefault="00123524" w:rsidP="001E30FC">
            <w:pPr>
              <w:spacing w:after="0" w:line="240" w:lineRule="auto"/>
              <w:jc w:val="right"/>
              <w:rPr>
                <w:rFonts w:ascii="Times New Roman" w:eastAsia="Times New Roman" w:hAnsi="Times New Roman" w:cs="Times New Roman"/>
                <w:color w:val="000000"/>
              </w:rPr>
            </w:pPr>
            <w:r w:rsidRPr="009E15F0">
              <w:rPr>
                <w:rFonts w:ascii="Times New Roman" w:eastAsia="Times New Roman" w:hAnsi="Times New Roman" w:cs="Times New Roman"/>
                <w:color w:val="000000"/>
              </w:rPr>
              <w:t>10,17</w:t>
            </w:r>
          </w:p>
        </w:tc>
        <w:tc>
          <w:tcPr>
            <w:tcW w:w="1660" w:type="dxa"/>
            <w:tcBorders>
              <w:top w:val="nil"/>
              <w:left w:val="nil"/>
              <w:bottom w:val="single" w:sz="4" w:space="0" w:color="auto"/>
              <w:right w:val="single" w:sz="4" w:space="0" w:color="auto"/>
            </w:tcBorders>
            <w:shd w:val="clear" w:color="auto" w:fill="auto"/>
            <w:noWrap/>
            <w:vAlign w:val="center"/>
            <w:hideMark/>
          </w:tcPr>
          <w:p w14:paraId="084D50EE" w14:textId="77777777" w:rsidR="00123524" w:rsidRPr="009E15F0" w:rsidRDefault="00123524" w:rsidP="001E30FC">
            <w:pPr>
              <w:spacing w:after="0" w:line="240" w:lineRule="auto"/>
              <w:jc w:val="right"/>
              <w:rPr>
                <w:rFonts w:ascii="Times New Roman" w:eastAsia="Times New Roman" w:hAnsi="Times New Roman" w:cs="Times New Roman"/>
                <w:color w:val="000000" w:themeColor="text1"/>
              </w:rPr>
            </w:pPr>
            <w:r w:rsidRPr="009E15F0">
              <w:rPr>
                <w:rFonts w:ascii="Times New Roman" w:eastAsia="Times New Roman" w:hAnsi="Times New Roman" w:cs="Times New Roman"/>
                <w:color w:val="000000" w:themeColor="text1"/>
              </w:rPr>
              <w:t>3,05</w:t>
            </w:r>
          </w:p>
        </w:tc>
      </w:tr>
      <w:tr w:rsidR="00123524" w:rsidRPr="00AD7632" w14:paraId="2C4BDC7D" w14:textId="77777777" w:rsidTr="001E30FC">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70F5B1A2" w14:textId="77777777" w:rsidR="00123524" w:rsidRPr="009E15F0" w:rsidRDefault="00123524" w:rsidP="001E30FC">
            <w:pPr>
              <w:spacing w:after="0" w:line="240" w:lineRule="auto"/>
              <w:rPr>
                <w:rFonts w:ascii="Times New Roman" w:eastAsia="Times New Roman" w:hAnsi="Times New Roman" w:cs="Times New Roman"/>
                <w:color w:val="000000"/>
              </w:rPr>
            </w:pPr>
            <w:r w:rsidRPr="009E15F0">
              <w:rPr>
                <w:rFonts w:ascii="Times New Roman" w:hAnsi="Times New Roman" w:cs="Times New Roman"/>
              </w:rPr>
              <w:t>2.2. nekustamā īpašuma nodoklis</w:t>
            </w:r>
          </w:p>
        </w:tc>
        <w:tc>
          <w:tcPr>
            <w:tcW w:w="2100" w:type="dxa"/>
            <w:tcBorders>
              <w:top w:val="nil"/>
              <w:left w:val="nil"/>
              <w:bottom w:val="single" w:sz="4" w:space="0" w:color="auto"/>
              <w:right w:val="single" w:sz="4" w:space="0" w:color="auto"/>
            </w:tcBorders>
            <w:shd w:val="clear" w:color="auto" w:fill="auto"/>
            <w:noWrap/>
            <w:vAlign w:val="center"/>
            <w:hideMark/>
          </w:tcPr>
          <w:p w14:paraId="1CAC97A7" w14:textId="77777777" w:rsidR="00123524" w:rsidRPr="009E15F0" w:rsidRDefault="00123524" w:rsidP="001E30FC">
            <w:pPr>
              <w:spacing w:after="0" w:line="240" w:lineRule="auto"/>
              <w:jc w:val="right"/>
              <w:rPr>
                <w:rFonts w:ascii="Times New Roman" w:eastAsia="Times New Roman" w:hAnsi="Times New Roman" w:cs="Times New Roman"/>
              </w:rPr>
            </w:pPr>
            <w:r w:rsidRPr="009E15F0">
              <w:rPr>
                <w:rFonts w:ascii="Times New Roman" w:eastAsia="Times New Roman" w:hAnsi="Times New Roman" w:cs="Times New Roman"/>
              </w:rPr>
              <w:t>3,56</w:t>
            </w:r>
          </w:p>
        </w:tc>
        <w:tc>
          <w:tcPr>
            <w:tcW w:w="1660" w:type="dxa"/>
            <w:tcBorders>
              <w:top w:val="nil"/>
              <w:left w:val="nil"/>
              <w:bottom w:val="single" w:sz="4" w:space="0" w:color="auto"/>
              <w:right w:val="single" w:sz="4" w:space="0" w:color="auto"/>
            </w:tcBorders>
            <w:shd w:val="clear" w:color="auto" w:fill="auto"/>
            <w:noWrap/>
            <w:vAlign w:val="center"/>
            <w:hideMark/>
          </w:tcPr>
          <w:p w14:paraId="2442A8A1" w14:textId="77777777" w:rsidR="00123524" w:rsidRPr="009E15F0" w:rsidRDefault="00123524" w:rsidP="001E30FC">
            <w:pPr>
              <w:spacing w:after="0" w:line="240" w:lineRule="auto"/>
              <w:jc w:val="right"/>
              <w:rPr>
                <w:rFonts w:ascii="Times New Roman" w:eastAsia="Times New Roman" w:hAnsi="Times New Roman" w:cs="Times New Roman"/>
                <w:color w:val="000000" w:themeColor="text1"/>
              </w:rPr>
            </w:pPr>
            <w:r w:rsidRPr="009E15F0">
              <w:rPr>
                <w:rFonts w:ascii="Times New Roman" w:eastAsia="Times New Roman" w:hAnsi="Times New Roman" w:cs="Times New Roman"/>
                <w:color w:val="000000" w:themeColor="text1"/>
              </w:rPr>
              <w:t>4,20</w:t>
            </w:r>
          </w:p>
        </w:tc>
      </w:tr>
      <w:tr w:rsidR="00123524" w:rsidRPr="00AD7632" w14:paraId="208927EF" w14:textId="77777777" w:rsidTr="001E30FC">
        <w:trPr>
          <w:trHeight w:val="60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7556837E" w14:textId="77777777" w:rsidR="00123524" w:rsidRPr="009E15F0" w:rsidRDefault="00123524" w:rsidP="001E30FC">
            <w:pPr>
              <w:spacing w:after="0" w:line="240" w:lineRule="auto"/>
              <w:rPr>
                <w:rFonts w:ascii="Times New Roman" w:eastAsia="Times New Roman" w:hAnsi="Times New Roman" w:cs="Times New Roman"/>
                <w:color w:val="000000"/>
              </w:rPr>
            </w:pPr>
            <w:r w:rsidRPr="009E15F0">
              <w:rPr>
                <w:rFonts w:ascii="Times New Roman" w:hAnsi="Times New Roman" w:cs="Times New Roman"/>
              </w:rPr>
              <w:t>2.3. remonta izmaksas/remontdarbi un iestāžu uzturēšanas pakalpojumi</w:t>
            </w:r>
          </w:p>
        </w:tc>
        <w:tc>
          <w:tcPr>
            <w:tcW w:w="2100" w:type="dxa"/>
            <w:tcBorders>
              <w:top w:val="nil"/>
              <w:left w:val="nil"/>
              <w:bottom w:val="single" w:sz="4" w:space="0" w:color="auto"/>
              <w:right w:val="single" w:sz="4" w:space="0" w:color="auto"/>
            </w:tcBorders>
            <w:shd w:val="clear" w:color="auto" w:fill="auto"/>
            <w:noWrap/>
            <w:vAlign w:val="center"/>
            <w:hideMark/>
          </w:tcPr>
          <w:p w14:paraId="12FF820C" w14:textId="77777777" w:rsidR="00123524" w:rsidRPr="009E15F0" w:rsidRDefault="00123524" w:rsidP="001E30FC">
            <w:pPr>
              <w:spacing w:after="0" w:line="240" w:lineRule="auto"/>
              <w:jc w:val="right"/>
              <w:rPr>
                <w:rFonts w:ascii="Times New Roman" w:eastAsia="Times New Roman" w:hAnsi="Times New Roman" w:cs="Times New Roman"/>
              </w:rPr>
            </w:pPr>
            <w:r w:rsidRPr="009E15F0">
              <w:rPr>
                <w:rFonts w:ascii="Times New Roman" w:eastAsia="Times New Roman" w:hAnsi="Times New Roman" w:cs="Times New Roman"/>
              </w:rPr>
              <w:t>87,97</w:t>
            </w:r>
          </w:p>
        </w:tc>
        <w:tc>
          <w:tcPr>
            <w:tcW w:w="1660" w:type="dxa"/>
            <w:tcBorders>
              <w:top w:val="nil"/>
              <w:left w:val="nil"/>
              <w:bottom w:val="single" w:sz="4" w:space="0" w:color="auto"/>
              <w:right w:val="single" w:sz="4" w:space="0" w:color="auto"/>
            </w:tcBorders>
            <w:shd w:val="clear" w:color="auto" w:fill="auto"/>
            <w:noWrap/>
            <w:vAlign w:val="center"/>
            <w:hideMark/>
          </w:tcPr>
          <w:p w14:paraId="6F2CB0D7" w14:textId="77777777" w:rsidR="00123524" w:rsidRPr="009E15F0" w:rsidRDefault="00123524" w:rsidP="001E30FC">
            <w:pPr>
              <w:spacing w:after="0" w:line="240" w:lineRule="auto"/>
              <w:jc w:val="right"/>
              <w:rPr>
                <w:rFonts w:ascii="Times New Roman" w:eastAsia="Times New Roman" w:hAnsi="Times New Roman" w:cs="Times New Roman"/>
                <w:color w:val="000000" w:themeColor="text1"/>
              </w:rPr>
            </w:pPr>
            <w:r w:rsidRPr="009E15F0">
              <w:rPr>
                <w:rFonts w:ascii="Times New Roman" w:eastAsia="Times New Roman" w:hAnsi="Times New Roman" w:cs="Times New Roman"/>
                <w:color w:val="000000" w:themeColor="text1"/>
              </w:rPr>
              <w:t>117,46</w:t>
            </w:r>
          </w:p>
        </w:tc>
      </w:tr>
      <w:tr w:rsidR="00123524" w:rsidRPr="00AD7632" w14:paraId="5E5A6BC1" w14:textId="77777777" w:rsidTr="001E30FC">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48CDD12B" w14:textId="77777777" w:rsidR="00123524" w:rsidRPr="009E15F0" w:rsidRDefault="00123524" w:rsidP="001E30FC">
            <w:pPr>
              <w:spacing w:after="0" w:line="240" w:lineRule="auto"/>
              <w:rPr>
                <w:rFonts w:ascii="Times New Roman" w:eastAsia="Times New Roman" w:hAnsi="Times New Roman" w:cs="Times New Roman"/>
                <w:color w:val="000000"/>
              </w:rPr>
            </w:pPr>
            <w:r w:rsidRPr="009E15F0">
              <w:rPr>
                <w:rFonts w:ascii="Times New Roman" w:hAnsi="Times New Roman" w:cs="Times New Roman"/>
              </w:rPr>
              <w:t>2.4. tehniskās apkopes izmaksas</w:t>
            </w:r>
          </w:p>
        </w:tc>
        <w:tc>
          <w:tcPr>
            <w:tcW w:w="2100" w:type="dxa"/>
            <w:tcBorders>
              <w:top w:val="nil"/>
              <w:left w:val="nil"/>
              <w:bottom w:val="single" w:sz="4" w:space="0" w:color="auto"/>
              <w:right w:val="single" w:sz="4" w:space="0" w:color="auto"/>
            </w:tcBorders>
            <w:shd w:val="clear" w:color="auto" w:fill="auto"/>
            <w:noWrap/>
            <w:vAlign w:val="center"/>
            <w:hideMark/>
          </w:tcPr>
          <w:p w14:paraId="1ADE3431" w14:textId="77777777" w:rsidR="00123524" w:rsidRPr="009E15F0" w:rsidRDefault="00123524" w:rsidP="001E30FC">
            <w:pPr>
              <w:spacing w:after="0" w:line="240" w:lineRule="auto"/>
              <w:jc w:val="right"/>
              <w:rPr>
                <w:rFonts w:ascii="Times New Roman" w:eastAsia="Times New Roman" w:hAnsi="Times New Roman" w:cs="Times New Roman"/>
              </w:rPr>
            </w:pPr>
            <w:r w:rsidRPr="009E15F0">
              <w:rPr>
                <w:rFonts w:ascii="Times New Roman" w:eastAsia="Times New Roman" w:hAnsi="Times New Roman" w:cs="Times New Roman"/>
              </w:rPr>
              <w:t>37,66</w:t>
            </w:r>
          </w:p>
        </w:tc>
        <w:tc>
          <w:tcPr>
            <w:tcW w:w="1660" w:type="dxa"/>
            <w:tcBorders>
              <w:top w:val="nil"/>
              <w:left w:val="nil"/>
              <w:bottom w:val="single" w:sz="4" w:space="0" w:color="auto"/>
              <w:right w:val="single" w:sz="4" w:space="0" w:color="auto"/>
            </w:tcBorders>
            <w:shd w:val="clear" w:color="auto" w:fill="auto"/>
            <w:noWrap/>
            <w:vAlign w:val="center"/>
            <w:hideMark/>
          </w:tcPr>
          <w:p w14:paraId="5984FFE9" w14:textId="77777777" w:rsidR="00123524" w:rsidRPr="009E15F0" w:rsidRDefault="00123524" w:rsidP="001E30FC">
            <w:pPr>
              <w:spacing w:after="0" w:line="240" w:lineRule="auto"/>
              <w:jc w:val="right"/>
              <w:rPr>
                <w:rFonts w:ascii="Times New Roman" w:eastAsia="Times New Roman" w:hAnsi="Times New Roman" w:cs="Times New Roman"/>
                <w:color w:val="000000" w:themeColor="text1"/>
              </w:rPr>
            </w:pPr>
            <w:r w:rsidRPr="009E15F0">
              <w:rPr>
                <w:rFonts w:ascii="Times New Roman" w:eastAsia="Times New Roman" w:hAnsi="Times New Roman" w:cs="Times New Roman"/>
                <w:color w:val="000000" w:themeColor="text1"/>
              </w:rPr>
              <w:t>47,72</w:t>
            </w:r>
          </w:p>
        </w:tc>
      </w:tr>
      <w:tr w:rsidR="00123524" w:rsidRPr="00AD7632" w14:paraId="4F15A2F7" w14:textId="77777777" w:rsidTr="001E30FC">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4DE4AA59" w14:textId="77777777" w:rsidR="00123524" w:rsidRPr="009E15F0" w:rsidRDefault="00123524" w:rsidP="001E30FC">
            <w:pPr>
              <w:spacing w:after="0" w:line="240" w:lineRule="auto"/>
              <w:rPr>
                <w:rFonts w:ascii="Times New Roman" w:eastAsia="Times New Roman" w:hAnsi="Times New Roman" w:cs="Times New Roman"/>
                <w:color w:val="000000"/>
              </w:rPr>
            </w:pPr>
            <w:r w:rsidRPr="009E15F0">
              <w:rPr>
                <w:rFonts w:ascii="Times New Roman" w:hAnsi="Times New Roman" w:cs="Times New Roman"/>
              </w:rPr>
              <w:t>2.5. transporta izmaksas</w:t>
            </w:r>
          </w:p>
        </w:tc>
        <w:tc>
          <w:tcPr>
            <w:tcW w:w="2100" w:type="dxa"/>
            <w:tcBorders>
              <w:top w:val="nil"/>
              <w:left w:val="nil"/>
              <w:bottom w:val="single" w:sz="4" w:space="0" w:color="auto"/>
              <w:right w:val="single" w:sz="4" w:space="0" w:color="auto"/>
            </w:tcBorders>
            <w:shd w:val="clear" w:color="auto" w:fill="auto"/>
            <w:noWrap/>
            <w:vAlign w:val="center"/>
            <w:hideMark/>
          </w:tcPr>
          <w:p w14:paraId="5867ED00" w14:textId="77777777" w:rsidR="00123524" w:rsidRPr="009E15F0" w:rsidRDefault="00123524" w:rsidP="001E30FC">
            <w:pPr>
              <w:spacing w:after="0" w:line="240" w:lineRule="auto"/>
              <w:jc w:val="right"/>
              <w:rPr>
                <w:rFonts w:ascii="Times New Roman" w:eastAsia="Times New Roman" w:hAnsi="Times New Roman" w:cs="Times New Roman"/>
              </w:rPr>
            </w:pPr>
            <w:r w:rsidRPr="009E15F0">
              <w:rPr>
                <w:rFonts w:ascii="Times New Roman" w:eastAsia="Times New Roman" w:hAnsi="Times New Roman" w:cs="Times New Roman"/>
              </w:rPr>
              <w:t>-</w:t>
            </w:r>
          </w:p>
        </w:tc>
        <w:tc>
          <w:tcPr>
            <w:tcW w:w="1660" w:type="dxa"/>
            <w:tcBorders>
              <w:top w:val="nil"/>
              <w:left w:val="nil"/>
              <w:bottom w:val="single" w:sz="4" w:space="0" w:color="auto"/>
              <w:right w:val="single" w:sz="4" w:space="0" w:color="auto"/>
            </w:tcBorders>
            <w:shd w:val="clear" w:color="auto" w:fill="auto"/>
            <w:noWrap/>
            <w:vAlign w:val="center"/>
            <w:hideMark/>
          </w:tcPr>
          <w:p w14:paraId="25FBFC95" w14:textId="77777777" w:rsidR="00123524" w:rsidRPr="009E15F0" w:rsidRDefault="00123524" w:rsidP="001E30FC">
            <w:pPr>
              <w:spacing w:after="0" w:line="240" w:lineRule="auto"/>
              <w:jc w:val="right"/>
              <w:rPr>
                <w:rFonts w:ascii="Times New Roman" w:eastAsia="Times New Roman" w:hAnsi="Times New Roman" w:cs="Times New Roman"/>
                <w:color w:val="000000" w:themeColor="text1"/>
              </w:rPr>
            </w:pPr>
            <w:r w:rsidRPr="009E15F0">
              <w:rPr>
                <w:rFonts w:ascii="Times New Roman" w:eastAsia="Times New Roman" w:hAnsi="Times New Roman" w:cs="Times New Roman"/>
                <w:color w:val="000000" w:themeColor="text1"/>
              </w:rPr>
              <w:t>19,00</w:t>
            </w:r>
          </w:p>
        </w:tc>
      </w:tr>
      <w:tr w:rsidR="00123524" w:rsidRPr="00AD7632" w14:paraId="7701A3E2" w14:textId="77777777" w:rsidTr="001E30FC">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0C19B879" w14:textId="77777777" w:rsidR="00123524" w:rsidRPr="009E15F0" w:rsidRDefault="00123524" w:rsidP="001E30FC">
            <w:pPr>
              <w:spacing w:after="0" w:line="240" w:lineRule="auto"/>
              <w:rPr>
                <w:rFonts w:ascii="Times New Roman" w:eastAsia="Times New Roman" w:hAnsi="Times New Roman" w:cs="Times New Roman"/>
                <w:color w:val="000000"/>
              </w:rPr>
            </w:pPr>
            <w:r w:rsidRPr="009E15F0">
              <w:rPr>
                <w:rFonts w:ascii="Times New Roman" w:hAnsi="Times New Roman" w:cs="Times New Roman"/>
              </w:rPr>
              <w:t>2.6. informācijas sistēmas uzturēšanas izmaksas</w:t>
            </w:r>
          </w:p>
        </w:tc>
        <w:tc>
          <w:tcPr>
            <w:tcW w:w="2100" w:type="dxa"/>
            <w:tcBorders>
              <w:top w:val="nil"/>
              <w:left w:val="nil"/>
              <w:bottom w:val="single" w:sz="4" w:space="0" w:color="auto"/>
              <w:right w:val="single" w:sz="4" w:space="0" w:color="auto"/>
            </w:tcBorders>
            <w:shd w:val="clear" w:color="auto" w:fill="auto"/>
            <w:noWrap/>
            <w:vAlign w:val="center"/>
            <w:hideMark/>
          </w:tcPr>
          <w:p w14:paraId="51C6AC29" w14:textId="77777777" w:rsidR="00123524" w:rsidRPr="009E15F0" w:rsidRDefault="00123524" w:rsidP="001E30FC">
            <w:pPr>
              <w:spacing w:after="0" w:line="240" w:lineRule="auto"/>
              <w:jc w:val="right"/>
              <w:rPr>
                <w:rFonts w:ascii="Times New Roman" w:eastAsia="Times New Roman" w:hAnsi="Times New Roman" w:cs="Times New Roman"/>
              </w:rPr>
            </w:pPr>
            <w:r w:rsidRPr="009E15F0">
              <w:rPr>
                <w:rFonts w:ascii="Times New Roman" w:eastAsia="Times New Roman" w:hAnsi="Times New Roman" w:cs="Times New Roman"/>
              </w:rPr>
              <w:t>-</w:t>
            </w:r>
          </w:p>
        </w:tc>
        <w:tc>
          <w:tcPr>
            <w:tcW w:w="1660" w:type="dxa"/>
            <w:tcBorders>
              <w:top w:val="nil"/>
              <w:left w:val="nil"/>
              <w:bottom w:val="single" w:sz="4" w:space="0" w:color="auto"/>
              <w:right w:val="single" w:sz="4" w:space="0" w:color="auto"/>
            </w:tcBorders>
            <w:shd w:val="clear" w:color="auto" w:fill="auto"/>
            <w:noWrap/>
            <w:vAlign w:val="center"/>
            <w:hideMark/>
          </w:tcPr>
          <w:p w14:paraId="4DC76F32" w14:textId="77777777" w:rsidR="00123524" w:rsidRPr="009E15F0" w:rsidRDefault="00123524" w:rsidP="001E30FC">
            <w:pPr>
              <w:spacing w:after="0" w:line="240" w:lineRule="auto"/>
              <w:jc w:val="right"/>
              <w:rPr>
                <w:rFonts w:ascii="Times New Roman" w:eastAsia="Times New Roman" w:hAnsi="Times New Roman" w:cs="Times New Roman"/>
                <w:color w:val="000000" w:themeColor="text1"/>
              </w:rPr>
            </w:pPr>
            <w:r w:rsidRPr="009E15F0">
              <w:rPr>
                <w:rFonts w:ascii="Times New Roman" w:eastAsia="Times New Roman" w:hAnsi="Times New Roman" w:cs="Times New Roman"/>
                <w:color w:val="000000" w:themeColor="text1"/>
              </w:rPr>
              <w:t>30,00</w:t>
            </w:r>
          </w:p>
        </w:tc>
      </w:tr>
      <w:tr w:rsidR="00123524" w:rsidRPr="00AD7632" w14:paraId="65B4CF59" w14:textId="77777777" w:rsidTr="001E30FC">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14F90353" w14:textId="77777777" w:rsidR="00123524" w:rsidRPr="009E15F0" w:rsidRDefault="00123524" w:rsidP="001E30FC">
            <w:pPr>
              <w:spacing w:after="0" w:line="240" w:lineRule="auto"/>
              <w:rPr>
                <w:rFonts w:ascii="Times New Roman" w:eastAsia="Times New Roman" w:hAnsi="Times New Roman" w:cs="Times New Roman"/>
                <w:color w:val="000000"/>
              </w:rPr>
            </w:pPr>
            <w:r w:rsidRPr="009E15F0">
              <w:rPr>
                <w:rFonts w:ascii="Times New Roman" w:hAnsi="Times New Roman" w:cs="Times New Roman"/>
              </w:rPr>
              <w:t>2.7. administratīvā darba nodrošināšanas izmaksas</w:t>
            </w:r>
          </w:p>
        </w:tc>
        <w:tc>
          <w:tcPr>
            <w:tcW w:w="2100" w:type="dxa"/>
            <w:tcBorders>
              <w:top w:val="nil"/>
              <w:left w:val="nil"/>
              <w:bottom w:val="single" w:sz="4" w:space="0" w:color="auto"/>
              <w:right w:val="single" w:sz="4" w:space="0" w:color="auto"/>
            </w:tcBorders>
            <w:shd w:val="clear" w:color="auto" w:fill="auto"/>
            <w:noWrap/>
            <w:vAlign w:val="center"/>
            <w:hideMark/>
          </w:tcPr>
          <w:p w14:paraId="3001421F" w14:textId="77777777" w:rsidR="00123524" w:rsidRPr="009E15F0" w:rsidRDefault="00123524" w:rsidP="001E30FC">
            <w:pPr>
              <w:spacing w:after="0" w:line="240" w:lineRule="auto"/>
              <w:jc w:val="right"/>
              <w:rPr>
                <w:rFonts w:ascii="Times New Roman" w:eastAsia="Times New Roman" w:hAnsi="Times New Roman" w:cs="Times New Roman"/>
              </w:rPr>
            </w:pPr>
            <w:r w:rsidRPr="009E15F0">
              <w:rPr>
                <w:rFonts w:ascii="Times New Roman" w:eastAsia="Times New Roman" w:hAnsi="Times New Roman" w:cs="Times New Roman"/>
              </w:rPr>
              <w:t>3,09</w:t>
            </w:r>
          </w:p>
        </w:tc>
        <w:tc>
          <w:tcPr>
            <w:tcW w:w="1660" w:type="dxa"/>
            <w:tcBorders>
              <w:top w:val="nil"/>
              <w:left w:val="nil"/>
              <w:bottom w:val="single" w:sz="4" w:space="0" w:color="auto"/>
              <w:right w:val="single" w:sz="4" w:space="0" w:color="auto"/>
            </w:tcBorders>
            <w:shd w:val="clear" w:color="auto" w:fill="auto"/>
            <w:noWrap/>
            <w:vAlign w:val="center"/>
            <w:hideMark/>
          </w:tcPr>
          <w:p w14:paraId="3B52773A" w14:textId="77777777" w:rsidR="00123524" w:rsidRPr="009E15F0" w:rsidRDefault="00123524" w:rsidP="001E30FC">
            <w:pPr>
              <w:spacing w:after="0" w:line="240" w:lineRule="auto"/>
              <w:jc w:val="right"/>
              <w:rPr>
                <w:rFonts w:ascii="Times New Roman" w:eastAsia="Times New Roman" w:hAnsi="Times New Roman" w:cs="Times New Roman"/>
                <w:color w:val="000000" w:themeColor="text1"/>
              </w:rPr>
            </w:pPr>
            <w:r w:rsidRPr="009E15F0">
              <w:rPr>
                <w:rFonts w:ascii="Times New Roman" w:eastAsia="Times New Roman" w:hAnsi="Times New Roman" w:cs="Times New Roman"/>
                <w:color w:val="000000" w:themeColor="text1"/>
              </w:rPr>
              <w:t>12,57</w:t>
            </w:r>
          </w:p>
        </w:tc>
      </w:tr>
      <w:tr w:rsidR="00123524" w:rsidRPr="00AD7632" w14:paraId="3154A16A" w14:textId="77777777" w:rsidTr="001E30FC">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64837D05" w14:textId="77777777" w:rsidR="00123524" w:rsidRPr="009E15F0" w:rsidRDefault="00123524" w:rsidP="001E30FC">
            <w:pPr>
              <w:spacing w:after="0" w:line="240" w:lineRule="auto"/>
              <w:rPr>
                <w:rFonts w:ascii="Times New Roman" w:eastAsia="Times New Roman" w:hAnsi="Times New Roman" w:cs="Times New Roman"/>
                <w:color w:val="000000"/>
              </w:rPr>
            </w:pPr>
            <w:r w:rsidRPr="009E15F0">
              <w:rPr>
                <w:rFonts w:ascii="Times New Roman" w:hAnsi="Times New Roman" w:cs="Times New Roman"/>
              </w:rPr>
              <w:t xml:space="preserve">2.8. citu pakalpojumu izmaksas </w:t>
            </w:r>
          </w:p>
        </w:tc>
        <w:tc>
          <w:tcPr>
            <w:tcW w:w="2100" w:type="dxa"/>
            <w:tcBorders>
              <w:top w:val="nil"/>
              <w:left w:val="nil"/>
              <w:bottom w:val="single" w:sz="4" w:space="0" w:color="auto"/>
              <w:right w:val="single" w:sz="4" w:space="0" w:color="auto"/>
            </w:tcBorders>
            <w:shd w:val="clear" w:color="auto" w:fill="auto"/>
            <w:noWrap/>
            <w:vAlign w:val="center"/>
            <w:hideMark/>
          </w:tcPr>
          <w:p w14:paraId="2360140A" w14:textId="77777777" w:rsidR="00123524" w:rsidRPr="009E15F0" w:rsidRDefault="00123524" w:rsidP="001E30FC">
            <w:pPr>
              <w:spacing w:after="0" w:line="240" w:lineRule="auto"/>
              <w:jc w:val="right"/>
              <w:rPr>
                <w:rFonts w:ascii="Times New Roman" w:eastAsia="Times New Roman" w:hAnsi="Times New Roman" w:cs="Times New Roman"/>
              </w:rPr>
            </w:pPr>
            <w:r w:rsidRPr="009E15F0">
              <w:rPr>
                <w:rFonts w:ascii="Times New Roman" w:eastAsia="Times New Roman" w:hAnsi="Times New Roman" w:cs="Times New Roman"/>
              </w:rPr>
              <w:t>3,09</w:t>
            </w:r>
          </w:p>
        </w:tc>
        <w:tc>
          <w:tcPr>
            <w:tcW w:w="1660" w:type="dxa"/>
            <w:tcBorders>
              <w:top w:val="nil"/>
              <w:left w:val="nil"/>
              <w:bottom w:val="single" w:sz="4" w:space="0" w:color="auto"/>
              <w:right w:val="single" w:sz="4" w:space="0" w:color="auto"/>
            </w:tcBorders>
            <w:shd w:val="clear" w:color="auto" w:fill="auto"/>
            <w:noWrap/>
            <w:vAlign w:val="center"/>
            <w:hideMark/>
          </w:tcPr>
          <w:p w14:paraId="37ED9AB3" w14:textId="77777777" w:rsidR="00123524" w:rsidRPr="009E15F0" w:rsidRDefault="00123524" w:rsidP="001E30FC">
            <w:pPr>
              <w:spacing w:after="0" w:line="240" w:lineRule="auto"/>
              <w:jc w:val="right"/>
              <w:rPr>
                <w:rFonts w:ascii="Times New Roman" w:eastAsia="Times New Roman" w:hAnsi="Times New Roman" w:cs="Times New Roman"/>
                <w:color w:val="000000" w:themeColor="text1"/>
              </w:rPr>
            </w:pPr>
            <w:r w:rsidRPr="009E15F0">
              <w:rPr>
                <w:rFonts w:ascii="Times New Roman" w:eastAsia="Times New Roman" w:hAnsi="Times New Roman" w:cs="Times New Roman"/>
                <w:color w:val="000000" w:themeColor="text1"/>
              </w:rPr>
              <w:t>10,00</w:t>
            </w:r>
          </w:p>
        </w:tc>
      </w:tr>
      <w:tr w:rsidR="00123524" w:rsidRPr="00AD7632" w14:paraId="6E71EE7C" w14:textId="77777777" w:rsidTr="001E30FC">
        <w:trPr>
          <w:trHeight w:val="60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16C137ED" w14:textId="77777777" w:rsidR="00123524" w:rsidRPr="009E15F0" w:rsidRDefault="00123524" w:rsidP="001E30FC">
            <w:pPr>
              <w:spacing w:after="0" w:line="240" w:lineRule="auto"/>
              <w:rPr>
                <w:rFonts w:ascii="Times New Roman" w:eastAsia="Times New Roman" w:hAnsi="Times New Roman" w:cs="Times New Roman"/>
                <w:color w:val="000000"/>
              </w:rPr>
            </w:pPr>
            <w:r w:rsidRPr="009E15F0">
              <w:rPr>
                <w:rFonts w:ascii="Times New Roman" w:hAnsi="Times New Roman" w:cs="Times New Roman"/>
              </w:rPr>
              <w:t>3. Energoresursu, ūdens, inventāra, mācību līdzekļu, materiālu un kancelejas preču izmaksas</w:t>
            </w:r>
          </w:p>
        </w:tc>
        <w:tc>
          <w:tcPr>
            <w:tcW w:w="2100" w:type="dxa"/>
            <w:tcBorders>
              <w:top w:val="nil"/>
              <w:left w:val="nil"/>
              <w:bottom w:val="single" w:sz="4" w:space="0" w:color="auto"/>
              <w:right w:val="single" w:sz="4" w:space="0" w:color="auto"/>
            </w:tcBorders>
            <w:shd w:val="clear" w:color="auto" w:fill="auto"/>
            <w:noWrap/>
            <w:vAlign w:val="center"/>
            <w:hideMark/>
          </w:tcPr>
          <w:p w14:paraId="0D8B3F77" w14:textId="77777777" w:rsidR="00123524" w:rsidRPr="009E15F0" w:rsidRDefault="00123524" w:rsidP="001E30FC">
            <w:pPr>
              <w:spacing w:after="0" w:line="240" w:lineRule="auto"/>
              <w:jc w:val="right"/>
              <w:rPr>
                <w:rFonts w:ascii="Times New Roman" w:eastAsia="Times New Roman" w:hAnsi="Times New Roman" w:cs="Times New Roman"/>
                <w:b/>
                <w:bCs/>
                <w:color w:val="000000" w:themeColor="text1"/>
              </w:rPr>
            </w:pPr>
            <w:r w:rsidRPr="009E15F0">
              <w:rPr>
                <w:rFonts w:ascii="Times New Roman" w:eastAsia="Times New Roman" w:hAnsi="Times New Roman" w:cs="Times New Roman"/>
                <w:b/>
                <w:bCs/>
                <w:color w:val="000000" w:themeColor="text1"/>
              </w:rPr>
              <w:t>172,77</w:t>
            </w:r>
          </w:p>
        </w:tc>
        <w:tc>
          <w:tcPr>
            <w:tcW w:w="1660" w:type="dxa"/>
            <w:tcBorders>
              <w:top w:val="nil"/>
              <w:left w:val="nil"/>
              <w:bottom w:val="single" w:sz="4" w:space="0" w:color="auto"/>
              <w:right w:val="single" w:sz="4" w:space="0" w:color="auto"/>
            </w:tcBorders>
            <w:shd w:val="clear" w:color="auto" w:fill="auto"/>
            <w:noWrap/>
            <w:vAlign w:val="center"/>
            <w:hideMark/>
          </w:tcPr>
          <w:p w14:paraId="320E6CD5" w14:textId="77777777" w:rsidR="00123524" w:rsidRPr="009E15F0" w:rsidRDefault="00123524" w:rsidP="001E30FC">
            <w:pPr>
              <w:spacing w:after="0" w:line="240" w:lineRule="auto"/>
              <w:jc w:val="right"/>
              <w:rPr>
                <w:rFonts w:ascii="Times New Roman" w:eastAsia="Times New Roman" w:hAnsi="Times New Roman" w:cs="Times New Roman"/>
                <w:b/>
                <w:bCs/>
                <w:color w:val="000000" w:themeColor="text1"/>
              </w:rPr>
            </w:pPr>
            <w:r w:rsidRPr="009E15F0">
              <w:rPr>
                <w:rFonts w:ascii="Times New Roman" w:eastAsia="Times New Roman" w:hAnsi="Times New Roman" w:cs="Times New Roman"/>
                <w:b/>
                <w:bCs/>
                <w:color w:val="000000" w:themeColor="text1"/>
              </w:rPr>
              <w:t>250,48</w:t>
            </w:r>
          </w:p>
        </w:tc>
      </w:tr>
      <w:tr w:rsidR="00123524" w:rsidRPr="00AD7632" w14:paraId="33D2832B" w14:textId="77777777" w:rsidTr="001E30FC">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23D6F359" w14:textId="77777777" w:rsidR="00123524" w:rsidRPr="009E15F0" w:rsidRDefault="00123524" w:rsidP="001E30FC">
            <w:pPr>
              <w:spacing w:after="0" w:line="240" w:lineRule="auto"/>
              <w:rPr>
                <w:rFonts w:ascii="Times New Roman" w:eastAsia="Times New Roman" w:hAnsi="Times New Roman" w:cs="Times New Roman"/>
                <w:color w:val="000000"/>
              </w:rPr>
            </w:pPr>
            <w:r w:rsidRPr="009E15F0">
              <w:rPr>
                <w:rFonts w:ascii="Times New Roman" w:hAnsi="Times New Roman" w:cs="Times New Roman"/>
              </w:rPr>
              <w:t>3.1. patērētās elektroenerģijas izmaksas</w:t>
            </w:r>
          </w:p>
        </w:tc>
        <w:tc>
          <w:tcPr>
            <w:tcW w:w="2100" w:type="dxa"/>
            <w:tcBorders>
              <w:top w:val="nil"/>
              <w:left w:val="nil"/>
              <w:bottom w:val="single" w:sz="4" w:space="0" w:color="auto"/>
              <w:right w:val="single" w:sz="4" w:space="0" w:color="auto"/>
            </w:tcBorders>
            <w:shd w:val="clear" w:color="auto" w:fill="auto"/>
            <w:noWrap/>
            <w:vAlign w:val="center"/>
            <w:hideMark/>
          </w:tcPr>
          <w:p w14:paraId="0842712E" w14:textId="77777777" w:rsidR="00123524" w:rsidRPr="009E15F0" w:rsidRDefault="00123524" w:rsidP="001E30FC">
            <w:pPr>
              <w:spacing w:after="0" w:line="240" w:lineRule="auto"/>
              <w:jc w:val="right"/>
              <w:rPr>
                <w:rFonts w:ascii="Times New Roman" w:eastAsia="Times New Roman" w:hAnsi="Times New Roman" w:cs="Times New Roman"/>
                <w:color w:val="000000" w:themeColor="text1"/>
              </w:rPr>
            </w:pPr>
            <w:r w:rsidRPr="009E15F0">
              <w:rPr>
                <w:rFonts w:ascii="Times New Roman" w:eastAsia="Times New Roman" w:hAnsi="Times New Roman" w:cs="Times New Roman"/>
                <w:color w:val="000000" w:themeColor="text1"/>
              </w:rPr>
              <w:t>22,36</w:t>
            </w:r>
          </w:p>
        </w:tc>
        <w:tc>
          <w:tcPr>
            <w:tcW w:w="1660" w:type="dxa"/>
            <w:tcBorders>
              <w:top w:val="nil"/>
              <w:left w:val="nil"/>
              <w:bottom w:val="single" w:sz="4" w:space="0" w:color="auto"/>
              <w:right w:val="single" w:sz="4" w:space="0" w:color="auto"/>
            </w:tcBorders>
            <w:shd w:val="clear" w:color="auto" w:fill="auto"/>
            <w:noWrap/>
            <w:vAlign w:val="center"/>
            <w:hideMark/>
          </w:tcPr>
          <w:p w14:paraId="77FCAF00" w14:textId="77777777" w:rsidR="00123524" w:rsidRPr="009E15F0" w:rsidRDefault="00123524" w:rsidP="001E30FC">
            <w:pPr>
              <w:spacing w:after="0" w:line="240" w:lineRule="auto"/>
              <w:jc w:val="right"/>
              <w:rPr>
                <w:rFonts w:ascii="Times New Roman" w:eastAsia="Times New Roman" w:hAnsi="Times New Roman" w:cs="Times New Roman"/>
                <w:color w:val="000000" w:themeColor="text1"/>
              </w:rPr>
            </w:pPr>
            <w:r w:rsidRPr="009E15F0">
              <w:rPr>
                <w:rFonts w:ascii="Times New Roman" w:eastAsia="Times New Roman" w:hAnsi="Times New Roman" w:cs="Times New Roman"/>
                <w:color w:val="000000" w:themeColor="text1"/>
              </w:rPr>
              <w:t>47,59</w:t>
            </w:r>
          </w:p>
        </w:tc>
      </w:tr>
      <w:tr w:rsidR="00123524" w:rsidRPr="00AD7632" w14:paraId="01D0AF65" w14:textId="77777777" w:rsidTr="001E30FC">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2DFEDF51" w14:textId="77777777" w:rsidR="00123524" w:rsidRPr="009E15F0" w:rsidRDefault="00123524" w:rsidP="001E30FC">
            <w:pPr>
              <w:spacing w:after="0" w:line="240" w:lineRule="auto"/>
              <w:rPr>
                <w:rFonts w:ascii="Times New Roman" w:eastAsia="Times New Roman" w:hAnsi="Times New Roman" w:cs="Times New Roman"/>
                <w:color w:val="000000"/>
              </w:rPr>
            </w:pPr>
            <w:r w:rsidRPr="009E15F0">
              <w:rPr>
                <w:rFonts w:ascii="Times New Roman" w:hAnsi="Times New Roman" w:cs="Times New Roman"/>
              </w:rPr>
              <w:lastRenderedPageBreak/>
              <w:t>3.2. apkures izmaksas</w:t>
            </w:r>
          </w:p>
        </w:tc>
        <w:tc>
          <w:tcPr>
            <w:tcW w:w="2100" w:type="dxa"/>
            <w:tcBorders>
              <w:top w:val="nil"/>
              <w:left w:val="nil"/>
              <w:bottom w:val="single" w:sz="4" w:space="0" w:color="auto"/>
              <w:right w:val="single" w:sz="4" w:space="0" w:color="auto"/>
            </w:tcBorders>
            <w:shd w:val="clear" w:color="auto" w:fill="auto"/>
            <w:noWrap/>
            <w:vAlign w:val="center"/>
            <w:hideMark/>
          </w:tcPr>
          <w:p w14:paraId="25C9DFF9" w14:textId="77777777" w:rsidR="00123524" w:rsidRPr="009E15F0" w:rsidRDefault="00123524" w:rsidP="001E30FC">
            <w:pPr>
              <w:spacing w:after="0" w:line="240" w:lineRule="auto"/>
              <w:jc w:val="right"/>
              <w:rPr>
                <w:rFonts w:ascii="Times New Roman" w:eastAsia="Times New Roman" w:hAnsi="Times New Roman" w:cs="Times New Roman"/>
                <w:color w:val="000000" w:themeColor="text1"/>
              </w:rPr>
            </w:pPr>
            <w:r w:rsidRPr="009E15F0">
              <w:rPr>
                <w:rFonts w:ascii="Times New Roman" w:eastAsia="Times New Roman" w:hAnsi="Times New Roman" w:cs="Times New Roman"/>
                <w:color w:val="000000" w:themeColor="text1"/>
              </w:rPr>
              <w:t>84,48</w:t>
            </w:r>
          </w:p>
        </w:tc>
        <w:tc>
          <w:tcPr>
            <w:tcW w:w="1660" w:type="dxa"/>
            <w:tcBorders>
              <w:top w:val="nil"/>
              <w:left w:val="nil"/>
              <w:bottom w:val="single" w:sz="4" w:space="0" w:color="auto"/>
              <w:right w:val="single" w:sz="4" w:space="0" w:color="auto"/>
            </w:tcBorders>
            <w:shd w:val="clear" w:color="auto" w:fill="auto"/>
            <w:noWrap/>
            <w:vAlign w:val="center"/>
            <w:hideMark/>
          </w:tcPr>
          <w:p w14:paraId="4CA21A1D" w14:textId="77777777" w:rsidR="00123524" w:rsidRPr="009E15F0" w:rsidRDefault="00123524" w:rsidP="001E30FC">
            <w:pPr>
              <w:spacing w:after="0" w:line="240" w:lineRule="auto"/>
              <w:jc w:val="right"/>
              <w:rPr>
                <w:rFonts w:ascii="Times New Roman" w:eastAsia="Times New Roman" w:hAnsi="Times New Roman" w:cs="Times New Roman"/>
                <w:color w:val="000000" w:themeColor="text1"/>
              </w:rPr>
            </w:pPr>
            <w:r w:rsidRPr="009E15F0">
              <w:rPr>
                <w:rFonts w:ascii="Times New Roman" w:eastAsia="Times New Roman" w:hAnsi="Times New Roman" w:cs="Times New Roman"/>
                <w:color w:val="000000" w:themeColor="text1"/>
              </w:rPr>
              <w:t>84,48</w:t>
            </w:r>
          </w:p>
        </w:tc>
      </w:tr>
      <w:tr w:rsidR="00123524" w:rsidRPr="00AD7632" w14:paraId="1B9B449D" w14:textId="77777777" w:rsidTr="001E30FC">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3DE55589" w14:textId="77777777" w:rsidR="00123524" w:rsidRPr="009E15F0" w:rsidRDefault="00123524" w:rsidP="001E30FC">
            <w:pPr>
              <w:spacing w:after="0" w:line="240" w:lineRule="auto"/>
              <w:rPr>
                <w:rFonts w:ascii="Times New Roman" w:eastAsia="Times New Roman" w:hAnsi="Times New Roman" w:cs="Times New Roman"/>
                <w:color w:val="000000"/>
              </w:rPr>
            </w:pPr>
            <w:r w:rsidRPr="009E15F0">
              <w:rPr>
                <w:rFonts w:ascii="Times New Roman" w:hAnsi="Times New Roman" w:cs="Times New Roman"/>
              </w:rPr>
              <w:t>3.3. ūdensapgādes izmaksas</w:t>
            </w:r>
          </w:p>
        </w:tc>
        <w:tc>
          <w:tcPr>
            <w:tcW w:w="2100" w:type="dxa"/>
            <w:tcBorders>
              <w:top w:val="nil"/>
              <w:left w:val="nil"/>
              <w:bottom w:val="single" w:sz="4" w:space="0" w:color="auto"/>
              <w:right w:val="single" w:sz="4" w:space="0" w:color="auto"/>
            </w:tcBorders>
            <w:shd w:val="clear" w:color="auto" w:fill="auto"/>
            <w:noWrap/>
            <w:vAlign w:val="center"/>
            <w:hideMark/>
          </w:tcPr>
          <w:p w14:paraId="220F4A2E" w14:textId="77777777" w:rsidR="00123524" w:rsidRPr="009E15F0" w:rsidRDefault="00123524" w:rsidP="001E30FC">
            <w:pPr>
              <w:spacing w:after="0" w:line="240" w:lineRule="auto"/>
              <w:jc w:val="right"/>
              <w:rPr>
                <w:rFonts w:ascii="Times New Roman" w:eastAsia="Times New Roman" w:hAnsi="Times New Roman" w:cs="Times New Roman"/>
                <w:color w:val="000000" w:themeColor="text1"/>
              </w:rPr>
            </w:pPr>
            <w:r w:rsidRPr="009E15F0">
              <w:rPr>
                <w:rFonts w:ascii="Times New Roman" w:eastAsia="Times New Roman" w:hAnsi="Times New Roman" w:cs="Times New Roman"/>
                <w:color w:val="000000" w:themeColor="text1"/>
              </w:rPr>
              <w:t>13,45</w:t>
            </w:r>
          </w:p>
        </w:tc>
        <w:tc>
          <w:tcPr>
            <w:tcW w:w="1660" w:type="dxa"/>
            <w:tcBorders>
              <w:top w:val="nil"/>
              <w:left w:val="nil"/>
              <w:bottom w:val="single" w:sz="4" w:space="0" w:color="auto"/>
              <w:right w:val="single" w:sz="4" w:space="0" w:color="auto"/>
            </w:tcBorders>
            <w:shd w:val="clear" w:color="auto" w:fill="auto"/>
            <w:noWrap/>
            <w:vAlign w:val="center"/>
            <w:hideMark/>
          </w:tcPr>
          <w:p w14:paraId="3F9D9649" w14:textId="77777777" w:rsidR="00123524" w:rsidRPr="009E15F0" w:rsidRDefault="00123524" w:rsidP="001E30FC">
            <w:pPr>
              <w:spacing w:after="0" w:line="240" w:lineRule="auto"/>
              <w:jc w:val="right"/>
              <w:rPr>
                <w:rFonts w:ascii="Times New Roman" w:eastAsia="Times New Roman" w:hAnsi="Times New Roman" w:cs="Times New Roman"/>
                <w:color w:val="000000" w:themeColor="text1"/>
              </w:rPr>
            </w:pPr>
            <w:r w:rsidRPr="009E15F0">
              <w:rPr>
                <w:rFonts w:ascii="Times New Roman" w:eastAsia="Times New Roman" w:hAnsi="Times New Roman" w:cs="Times New Roman"/>
                <w:color w:val="000000" w:themeColor="text1"/>
              </w:rPr>
              <w:t>13,45</w:t>
            </w:r>
          </w:p>
        </w:tc>
      </w:tr>
      <w:tr w:rsidR="00123524" w:rsidRPr="00AD7632" w14:paraId="324D555C" w14:textId="77777777" w:rsidTr="001E30FC">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2EA40990" w14:textId="77777777" w:rsidR="00123524" w:rsidRPr="009E15F0" w:rsidRDefault="00123524" w:rsidP="001E30FC">
            <w:pPr>
              <w:spacing w:after="0" w:line="240" w:lineRule="auto"/>
              <w:rPr>
                <w:rFonts w:ascii="Times New Roman" w:eastAsia="Times New Roman" w:hAnsi="Times New Roman" w:cs="Times New Roman"/>
                <w:color w:val="000000"/>
              </w:rPr>
            </w:pPr>
            <w:r w:rsidRPr="009E15F0">
              <w:rPr>
                <w:rFonts w:ascii="Times New Roman" w:hAnsi="Times New Roman" w:cs="Times New Roman"/>
              </w:rPr>
              <w:t>3.4. kanalizācijas izmaksas</w:t>
            </w:r>
          </w:p>
        </w:tc>
        <w:tc>
          <w:tcPr>
            <w:tcW w:w="2100" w:type="dxa"/>
            <w:tcBorders>
              <w:top w:val="nil"/>
              <w:left w:val="nil"/>
              <w:bottom w:val="single" w:sz="4" w:space="0" w:color="auto"/>
              <w:right w:val="single" w:sz="4" w:space="0" w:color="auto"/>
            </w:tcBorders>
            <w:shd w:val="clear" w:color="auto" w:fill="auto"/>
            <w:noWrap/>
            <w:vAlign w:val="center"/>
            <w:hideMark/>
          </w:tcPr>
          <w:p w14:paraId="660F9A93" w14:textId="77777777" w:rsidR="00123524" w:rsidRPr="009E15F0" w:rsidRDefault="00123524" w:rsidP="001E30FC">
            <w:pPr>
              <w:spacing w:after="0" w:line="240" w:lineRule="auto"/>
              <w:jc w:val="right"/>
              <w:rPr>
                <w:rFonts w:ascii="Times New Roman" w:eastAsia="Times New Roman" w:hAnsi="Times New Roman" w:cs="Times New Roman"/>
                <w:color w:val="000000" w:themeColor="text1"/>
              </w:rPr>
            </w:pPr>
            <w:r w:rsidRPr="009E15F0">
              <w:rPr>
                <w:rFonts w:ascii="Times New Roman" w:eastAsia="Times New Roman" w:hAnsi="Times New Roman" w:cs="Times New Roman"/>
                <w:color w:val="000000" w:themeColor="text1"/>
              </w:rPr>
              <w:t>8,09</w:t>
            </w:r>
          </w:p>
        </w:tc>
        <w:tc>
          <w:tcPr>
            <w:tcW w:w="1660" w:type="dxa"/>
            <w:tcBorders>
              <w:top w:val="nil"/>
              <w:left w:val="nil"/>
              <w:bottom w:val="single" w:sz="4" w:space="0" w:color="auto"/>
              <w:right w:val="single" w:sz="4" w:space="0" w:color="auto"/>
            </w:tcBorders>
            <w:shd w:val="clear" w:color="auto" w:fill="auto"/>
            <w:noWrap/>
            <w:vAlign w:val="center"/>
            <w:hideMark/>
          </w:tcPr>
          <w:p w14:paraId="7FA9DB41" w14:textId="77777777" w:rsidR="00123524" w:rsidRPr="009E15F0" w:rsidRDefault="00123524" w:rsidP="001E30FC">
            <w:pPr>
              <w:spacing w:after="0" w:line="240" w:lineRule="auto"/>
              <w:jc w:val="right"/>
              <w:rPr>
                <w:rFonts w:ascii="Times New Roman" w:eastAsia="Times New Roman" w:hAnsi="Times New Roman" w:cs="Times New Roman"/>
                <w:color w:val="000000" w:themeColor="text1"/>
              </w:rPr>
            </w:pPr>
            <w:r w:rsidRPr="009E15F0">
              <w:rPr>
                <w:rFonts w:ascii="Times New Roman" w:eastAsia="Times New Roman" w:hAnsi="Times New Roman" w:cs="Times New Roman"/>
                <w:color w:val="000000" w:themeColor="text1"/>
              </w:rPr>
              <w:t>12,96</w:t>
            </w:r>
          </w:p>
        </w:tc>
      </w:tr>
      <w:tr w:rsidR="00123524" w:rsidRPr="00AD7632" w14:paraId="5CE45498" w14:textId="77777777" w:rsidTr="001E30FC">
        <w:trPr>
          <w:trHeight w:val="60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5BD070EE" w14:textId="77777777" w:rsidR="00123524" w:rsidRPr="009E15F0" w:rsidRDefault="00123524" w:rsidP="001E30FC">
            <w:pPr>
              <w:spacing w:after="0" w:line="240" w:lineRule="auto"/>
              <w:rPr>
                <w:rFonts w:ascii="Times New Roman" w:eastAsia="Times New Roman" w:hAnsi="Times New Roman" w:cs="Times New Roman"/>
                <w:color w:val="000000"/>
              </w:rPr>
            </w:pPr>
            <w:r w:rsidRPr="009E15F0">
              <w:rPr>
                <w:rFonts w:ascii="Times New Roman" w:hAnsi="Times New Roman" w:cs="Times New Roman"/>
              </w:rPr>
              <w:t>3.5. inventāra, mācību līdzekļu, materiālu, grāmatu, žurnālu un kancelejas preču izmaksas</w:t>
            </w:r>
          </w:p>
        </w:tc>
        <w:tc>
          <w:tcPr>
            <w:tcW w:w="2100" w:type="dxa"/>
            <w:tcBorders>
              <w:top w:val="nil"/>
              <w:left w:val="nil"/>
              <w:bottom w:val="single" w:sz="4" w:space="0" w:color="auto"/>
              <w:right w:val="single" w:sz="4" w:space="0" w:color="auto"/>
            </w:tcBorders>
            <w:shd w:val="clear" w:color="auto" w:fill="auto"/>
            <w:noWrap/>
            <w:vAlign w:val="center"/>
            <w:hideMark/>
          </w:tcPr>
          <w:p w14:paraId="66893160" w14:textId="77777777" w:rsidR="00123524" w:rsidRPr="009E15F0" w:rsidRDefault="00123524" w:rsidP="001E30FC">
            <w:pPr>
              <w:spacing w:after="0" w:line="240" w:lineRule="auto"/>
              <w:jc w:val="right"/>
              <w:rPr>
                <w:rFonts w:ascii="Times New Roman" w:eastAsia="Times New Roman" w:hAnsi="Times New Roman" w:cs="Times New Roman"/>
                <w:color w:val="000000" w:themeColor="text1"/>
              </w:rPr>
            </w:pPr>
            <w:r w:rsidRPr="009E15F0">
              <w:rPr>
                <w:rFonts w:ascii="Times New Roman" w:eastAsia="Times New Roman" w:hAnsi="Times New Roman" w:cs="Times New Roman"/>
                <w:color w:val="000000" w:themeColor="text1"/>
              </w:rPr>
              <w:t>44,39</w:t>
            </w:r>
          </w:p>
        </w:tc>
        <w:tc>
          <w:tcPr>
            <w:tcW w:w="1660" w:type="dxa"/>
            <w:tcBorders>
              <w:top w:val="nil"/>
              <w:left w:val="nil"/>
              <w:bottom w:val="single" w:sz="4" w:space="0" w:color="auto"/>
              <w:right w:val="single" w:sz="4" w:space="0" w:color="auto"/>
            </w:tcBorders>
            <w:shd w:val="clear" w:color="auto" w:fill="auto"/>
            <w:noWrap/>
            <w:vAlign w:val="center"/>
            <w:hideMark/>
          </w:tcPr>
          <w:p w14:paraId="383824B0" w14:textId="77777777" w:rsidR="00123524" w:rsidRPr="009E15F0" w:rsidRDefault="00123524" w:rsidP="001E30FC">
            <w:pPr>
              <w:spacing w:after="0" w:line="240" w:lineRule="auto"/>
              <w:jc w:val="right"/>
              <w:rPr>
                <w:rFonts w:ascii="Times New Roman" w:eastAsia="Times New Roman" w:hAnsi="Times New Roman" w:cs="Times New Roman"/>
                <w:color w:val="000000" w:themeColor="text1"/>
              </w:rPr>
            </w:pPr>
            <w:r w:rsidRPr="009E15F0">
              <w:rPr>
                <w:rFonts w:ascii="Times New Roman" w:eastAsia="Times New Roman" w:hAnsi="Times New Roman" w:cs="Times New Roman"/>
                <w:color w:val="000000" w:themeColor="text1"/>
              </w:rPr>
              <w:t>92,00</w:t>
            </w:r>
          </w:p>
        </w:tc>
      </w:tr>
      <w:tr w:rsidR="00123524" w:rsidRPr="00AD7632" w14:paraId="718F6DD0" w14:textId="77777777" w:rsidTr="001E30FC">
        <w:trPr>
          <w:trHeight w:val="60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3E8E3132" w14:textId="77777777" w:rsidR="00123524" w:rsidRPr="009E15F0" w:rsidRDefault="00123524" w:rsidP="001E30FC">
            <w:pPr>
              <w:spacing w:after="0" w:line="240" w:lineRule="auto"/>
              <w:rPr>
                <w:rFonts w:ascii="Times New Roman" w:eastAsia="Times New Roman" w:hAnsi="Times New Roman" w:cs="Times New Roman"/>
                <w:color w:val="000000"/>
              </w:rPr>
            </w:pPr>
            <w:r w:rsidRPr="009E15F0">
              <w:rPr>
                <w:rFonts w:ascii="Times New Roman" w:hAnsi="Times New Roman" w:cs="Times New Roman"/>
              </w:rPr>
              <w:t>4. Iekārtu iegādes un modernizēšanas izmaksas uz vienu izglītojamo</w:t>
            </w:r>
          </w:p>
        </w:tc>
        <w:tc>
          <w:tcPr>
            <w:tcW w:w="2100" w:type="dxa"/>
            <w:tcBorders>
              <w:top w:val="nil"/>
              <w:left w:val="nil"/>
              <w:bottom w:val="single" w:sz="4" w:space="0" w:color="auto"/>
              <w:right w:val="single" w:sz="4" w:space="0" w:color="auto"/>
            </w:tcBorders>
            <w:shd w:val="clear" w:color="auto" w:fill="auto"/>
            <w:noWrap/>
            <w:vAlign w:val="center"/>
            <w:hideMark/>
          </w:tcPr>
          <w:p w14:paraId="70022D2B" w14:textId="77777777" w:rsidR="00123524" w:rsidRPr="009E15F0" w:rsidRDefault="00123524" w:rsidP="001E30FC">
            <w:pPr>
              <w:spacing w:after="0" w:line="240" w:lineRule="auto"/>
              <w:jc w:val="right"/>
              <w:rPr>
                <w:rFonts w:ascii="Times New Roman" w:eastAsia="Times New Roman" w:hAnsi="Times New Roman" w:cs="Times New Roman"/>
                <w:b/>
                <w:bCs/>
                <w:color w:val="000000"/>
              </w:rPr>
            </w:pPr>
            <w:r w:rsidRPr="009E15F0">
              <w:rPr>
                <w:rFonts w:ascii="Times New Roman" w:eastAsia="Times New Roman" w:hAnsi="Times New Roman" w:cs="Times New Roman"/>
                <w:b/>
                <w:bCs/>
                <w:color w:val="000000"/>
              </w:rPr>
              <w:t>87,39</w:t>
            </w:r>
          </w:p>
        </w:tc>
        <w:tc>
          <w:tcPr>
            <w:tcW w:w="1660" w:type="dxa"/>
            <w:tcBorders>
              <w:top w:val="nil"/>
              <w:left w:val="nil"/>
              <w:bottom w:val="single" w:sz="4" w:space="0" w:color="auto"/>
              <w:right w:val="single" w:sz="4" w:space="0" w:color="auto"/>
            </w:tcBorders>
            <w:shd w:val="clear" w:color="auto" w:fill="auto"/>
            <w:noWrap/>
            <w:vAlign w:val="center"/>
            <w:hideMark/>
          </w:tcPr>
          <w:p w14:paraId="1E8BBAF1" w14:textId="77777777" w:rsidR="00123524" w:rsidRPr="009E15F0" w:rsidRDefault="00123524" w:rsidP="001E30FC">
            <w:pPr>
              <w:spacing w:after="0" w:line="240" w:lineRule="auto"/>
              <w:jc w:val="right"/>
              <w:rPr>
                <w:rFonts w:ascii="Times New Roman" w:eastAsia="Times New Roman" w:hAnsi="Times New Roman" w:cs="Times New Roman"/>
                <w:b/>
                <w:bCs/>
                <w:color w:val="000000" w:themeColor="text1"/>
              </w:rPr>
            </w:pPr>
            <w:r w:rsidRPr="009E15F0">
              <w:rPr>
                <w:rFonts w:ascii="Times New Roman" w:eastAsia="Times New Roman" w:hAnsi="Times New Roman" w:cs="Times New Roman"/>
                <w:b/>
                <w:bCs/>
                <w:color w:val="000000" w:themeColor="text1"/>
              </w:rPr>
              <w:t>110,72</w:t>
            </w:r>
          </w:p>
        </w:tc>
      </w:tr>
      <w:tr w:rsidR="00123524" w:rsidRPr="00AD7632" w14:paraId="2AA1F155" w14:textId="77777777" w:rsidTr="001E30FC">
        <w:trPr>
          <w:trHeight w:val="300"/>
        </w:trPr>
        <w:tc>
          <w:tcPr>
            <w:tcW w:w="5280" w:type="dxa"/>
            <w:tcBorders>
              <w:top w:val="nil"/>
              <w:left w:val="single" w:sz="4" w:space="0" w:color="auto"/>
              <w:bottom w:val="single" w:sz="4" w:space="0" w:color="auto"/>
              <w:right w:val="single" w:sz="4" w:space="0" w:color="auto"/>
            </w:tcBorders>
            <w:shd w:val="clear" w:color="auto" w:fill="auto"/>
            <w:noWrap/>
            <w:vAlign w:val="center"/>
            <w:hideMark/>
          </w:tcPr>
          <w:p w14:paraId="2674C298" w14:textId="77777777" w:rsidR="00123524" w:rsidRPr="009E15F0" w:rsidRDefault="00123524" w:rsidP="001E30FC">
            <w:pPr>
              <w:spacing w:after="0" w:line="240" w:lineRule="auto"/>
              <w:jc w:val="right"/>
              <w:rPr>
                <w:rFonts w:ascii="Times New Roman" w:eastAsia="Times New Roman" w:hAnsi="Times New Roman" w:cs="Times New Roman"/>
                <w:b/>
                <w:bCs/>
                <w:color w:val="000000"/>
              </w:rPr>
            </w:pPr>
            <w:r w:rsidRPr="009E15F0">
              <w:rPr>
                <w:rFonts w:ascii="Times New Roman" w:hAnsi="Times New Roman" w:cs="Times New Roman"/>
                <w:b/>
              </w:rPr>
              <w:t xml:space="preserve">Kopā </w:t>
            </w:r>
          </w:p>
        </w:tc>
        <w:tc>
          <w:tcPr>
            <w:tcW w:w="2100" w:type="dxa"/>
            <w:tcBorders>
              <w:top w:val="nil"/>
              <w:left w:val="nil"/>
              <w:bottom w:val="single" w:sz="4" w:space="0" w:color="auto"/>
              <w:right w:val="single" w:sz="4" w:space="0" w:color="auto"/>
            </w:tcBorders>
            <w:shd w:val="clear" w:color="auto" w:fill="auto"/>
            <w:noWrap/>
            <w:vAlign w:val="center"/>
            <w:hideMark/>
          </w:tcPr>
          <w:p w14:paraId="685A08C6" w14:textId="77777777" w:rsidR="00123524" w:rsidRPr="009E15F0" w:rsidRDefault="00123524" w:rsidP="001E30FC">
            <w:pPr>
              <w:spacing w:after="0" w:line="240" w:lineRule="auto"/>
              <w:jc w:val="right"/>
              <w:rPr>
                <w:rFonts w:ascii="Times New Roman" w:eastAsia="Times New Roman" w:hAnsi="Times New Roman" w:cs="Times New Roman"/>
                <w:b/>
                <w:bCs/>
                <w:color w:val="000000"/>
              </w:rPr>
            </w:pPr>
            <w:r w:rsidRPr="009E15F0">
              <w:rPr>
                <w:rFonts w:ascii="Times New Roman" w:eastAsia="Times New Roman" w:hAnsi="Times New Roman" w:cs="Times New Roman"/>
                <w:b/>
                <w:bCs/>
                <w:color w:val="000000"/>
              </w:rPr>
              <w:t>425,15</w:t>
            </w:r>
          </w:p>
        </w:tc>
        <w:tc>
          <w:tcPr>
            <w:tcW w:w="1660" w:type="dxa"/>
            <w:tcBorders>
              <w:top w:val="nil"/>
              <w:left w:val="nil"/>
              <w:bottom w:val="single" w:sz="4" w:space="0" w:color="auto"/>
              <w:right w:val="single" w:sz="4" w:space="0" w:color="auto"/>
            </w:tcBorders>
            <w:shd w:val="clear" w:color="auto" w:fill="auto"/>
            <w:noWrap/>
            <w:vAlign w:val="center"/>
            <w:hideMark/>
          </w:tcPr>
          <w:p w14:paraId="610F7FAD" w14:textId="77777777" w:rsidR="00123524" w:rsidRPr="009E15F0" w:rsidRDefault="00123524" w:rsidP="001E30FC">
            <w:pPr>
              <w:spacing w:after="0" w:line="240" w:lineRule="auto"/>
              <w:jc w:val="right"/>
              <w:rPr>
                <w:rFonts w:ascii="Times New Roman" w:eastAsia="Times New Roman" w:hAnsi="Times New Roman" w:cs="Times New Roman"/>
                <w:b/>
                <w:bCs/>
                <w:color w:val="000000" w:themeColor="text1"/>
              </w:rPr>
            </w:pPr>
            <w:r w:rsidRPr="009E15F0">
              <w:rPr>
                <w:rFonts w:ascii="Times New Roman" w:eastAsia="Times New Roman" w:hAnsi="Times New Roman" w:cs="Times New Roman"/>
                <w:b/>
                <w:bCs/>
                <w:color w:val="000000" w:themeColor="text1"/>
              </w:rPr>
              <w:t>624,86</w:t>
            </w:r>
          </w:p>
        </w:tc>
      </w:tr>
    </w:tbl>
    <w:p w14:paraId="31C94943" w14:textId="6D43D9CE" w:rsidR="009C11FD" w:rsidRDefault="009C11FD" w:rsidP="00112045">
      <w:pPr>
        <w:spacing w:after="0" w:line="276" w:lineRule="auto"/>
        <w:jc w:val="both"/>
        <w:rPr>
          <w:rFonts w:ascii="Times New Roman" w:eastAsia="Times New Roman" w:hAnsi="Times New Roman" w:cs="Times New Roman"/>
          <w:sz w:val="24"/>
          <w:szCs w:val="24"/>
        </w:rPr>
      </w:pPr>
    </w:p>
    <w:p w14:paraId="38D3AAA7" w14:textId="74EBF267" w:rsidR="00123524" w:rsidRDefault="00123524" w:rsidP="00915614">
      <w:p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123524">
        <w:rPr>
          <w:rFonts w:ascii="Times New Roman" w:eastAsia="Times New Roman" w:hAnsi="Times New Roman" w:cs="Times New Roman"/>
          <w:sz w:val="24"/>
          <w:szCs w:val="24"/>
        </w:rPr>
        <w:t>avukārt dienesta viesnīcas izmaksas no 282,23 EUR līdz 351,69 EUR</w:t>
      </w:r>
      <w:r w:rsidR="00786E15">
        <w:rPr>
          <w:rFonts w:ascii="Times New Roman" w:eastAsia="Times New Roman" w:hAnsi="Times New Roman" w:cs="Times New Roman"/>
          <w:sz w:val="24"/>
          <w:szCs w:val="24"/>
        </w:rPr>
        <w:t xml:space="preserve"> (skatīt Tabula Nr. 2</w:t>
      </w:r>
      <w:r w:rsidR="0037265C">
        <w:rPr>
          <w:rFonts w:ascii="Times New Roman" w:eastAsia="Times New Roman" w:hAnsi="Times New Roman" w:cs="Times New Roman"/>
          <w:sz w:val="24"/>
          <w:szCs w:val="24"/>
        </w:rPr>
        <w:t>)</w:t>
      </w:r>
      <w:r w:rsidR="0037265C" w:rsidRPr="00C42226">
        <w:rPr>
          <w:rFonts w:ascii="Times New Roman" w:eastAsia="Times New Roman" w:hAnsi="Times New Roman" w:cs="Times New Roman"/>
          <w:sz w:val="24"/>
          <w:szCs w:val="24"/>
        </w:rPr>
        <w:t>.</w:t>
      </w:r>
    </w:p>
    <w:p w14:paraId="2C7D424A" w14:textId="7F87F1F4" w:rsidR="0037265C" w:rsidRDefault="0037265C" w:rsidP="0037265C">
      <w:pPr>
        <w:spacing w:after="0" w:line="276" w:lineRule="auto"/>
        <w:jc w:val="right"/>
        <w:rPr>
          <w:rFonts w:ascii="Times New Roman" w:hAnsi="Times New Roman" w:cs="Times New Roman"/>
          <w:b/>
        </w:rPr>
      </w:pPr>
      <w:r w:rsidRPr="0037265C">
        <w:rPr>
          <w:rFonts w:ascii="Times New Roman" w:eastAsia="Times New Roman" w:hAnsi="Times New Roman" w:cs="Times New Roman"/>
          <w:b/>
          <w:sz w:val="24"/>
          <w:szCs w:val="24"/>
        </w:rPr>
        <w:t>Tabula N</w:t>
      </w:r>
      <w:r w:rsidR="00786E15">
        <w:rPr>
          <w:rFonts w:ascii="Times New Roman" w:eastAsia="Times New Roman" w:hAnsi="Times New Roman" w:cs="Times New Roman"/>
          <w:b/>
          <w:sz w:val="24"/>
          <w:szCs w:val="24"/>
        </w:rPr>
        <w:t>r. 2</w:t>
      </w:r>
      <w:r w:rsidRPr="0037265C">
        <w:rPr>
          <w:rFonts w:ascii="Times New Roman" w:eastAsia="Times New Roman" w:hAnsi="Times New Roman" w:cs="Times New Roman"/>
          <w:b/>
          <w:sz w:val="24"/>
          <w:szCs w:val="24"/>
        </w:rPr>
        <w:t xml:space="preserve">. </w:t>
      </w:r>
      <w:r w:rsidRPr="0037265C">
        <w:rPr>
          <w:rFonts w:ascii="Times New Roman" w:hAnsi="Times New Roman" w:cs="Times New Roman"/>
          <w:b/>
        </w:rPr>
        <w:t xml:space="preserve">Dienesta viesnīcā dzīvojošo izglītojamo uzturēšanas izmaksas </w:t>
      </w:r>
    </w:p>
    <w:p w14:paraId="1A4205F1" w14:textId="5C64E0E8" w:rsidR="0037265C" w:rsidRDefault="0037265C" w:rsidP="00DA69E6">
      <w:pPr>
        <w:spacing w:after="0" w:line="276" w:lineRule="auto"/>
        <w:jc w:val="right"/>
        <w:rPr>
          <w:rFonts w:ascii="Times New Roman" w:eastAsia="Times New Roman" w:hAnsi="Times New Roman" w:cs="Times New Roman"/>
          <w:sz w:val="24"/>
          <w:szCs w:val="24"/>
        </w:rPr>
      </w:pPr>
      <w:r w:rsidRPr="0037265C">
        <w:rPr>
          <w:rFonts w:ascii="Times New Roman" w:hAnsi="Times New Roman" w:cs="Times New Roman"/>
          <w:b/>
        </w:rPr>
        <w:t>uz vienu izglītojamo gadā, EUR</w:t>
      </w:r>
    </w:p>
    <w:tbl>
      <w:tblPr>
        <w:tblW w:w="9067" w:type="dxa"/>
        <w:tblLook w:val="04A0" w:firstRow="1" w:lastRow="0" w:firstColumn="1" w:lastColumn="0" w:noHBand="0" w:noVBand="1"/>
      </w:tblPr>
      <w:tblGrid>
        <w:gridCol w:w="5240"/>
        <w:gridCol w:w="2126"/>
        <w:gridCol w:w="1701"/>
      </w:tblGrid>
      <w:tr w:rsidR="00123524" w:rsidRPr="00643894" w14:paraId="224E2980" w14:textId="77777777" w:rsidTr="0037265C">
        <w:trPr>
          <w:trHeight w:val="1200"/>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A5C65" w14:textId="77777777" w:rsidR="00123524" w:rsidRPr="004117C9" w:rsidRDefault="00123524" w:rsidP="001E30FC">
            <w:pPr>
              <w:spacing w:after="0" w:line="240" w:lineRule="auto"/>
              <w:jc w:val="center"/>
              <w:rPr>
                <w:rFonts w:ascii="Times New Roman" w:eastAsia="Times New Roman" w:hAnsi="Times New Roman" w:cs="Times New Roman"/>
                <w:b/>
                <w:bCs/>
                <w:color w:val="000000"/>
              </w:rPr>
            </w:pPr>
            <w:r w:rsidRPr="009E15F0">
              <w:rPr>
                <w:rFonts w:ascii="Times New Roman" w:hAnsi="Times New Roman" w:cs="Times New Roman"/>
              </w:rPr>
              <w:t>Dienesta viesnīca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2D74A7C" w14:textId="77777777" w:rsidR="00123524" w:rsidRPr="004117C9" w:rsidRDefault="00123524" w:rsidP="001E30FC">
            <w:pPr>
              <w:spacing w:after="0" w:line="240" w:lineRule="auto"/>
              <w:jc w:val="center"/>
              <w:rPr>
                <w:rFonts w:ascii="Times New Roman" w:eastAsia="Times New Roman" w:hAnsi="Times New Roman" w:cs="Times New Roman"/>
                <w:b/>
                <w:bCs/>
                <w:color w:val="000000"/>
              </w:rPr>
            </w:pPr>
            <w:r w:rsidRPr="004117C9">
              <w:rPr>
                <w:rFonts w:ascii="Times New Roman" w:eastAsia="Times New Roman" w:hAnsi="Times New Roman" w:cs="Times New Roman"/>
                <w:b/>
                <w:bCs/>
                <w:color w:val="000000"/>
              </w:rPr>
              <w:t>Saskaņā ar MK noteikumu Nr. 655 1.pielikumu (EUR)</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8514EF0" w14:textId="77777777" w:rsidR="00123524" w:rsidRPr="004117C9" w:rsidRDefault="00123524" w:rsidP="001E30FC">
            <w:pPr>
              <w:spacing w:after="0" w:line="240" w:lineRule="auto"/>
              <w:jc w:val="center"/>
              <w:rPr>
                <w:rFonts w:ascii="Times New Roman" w:eastAsia="Times New Roman" w:hAnsi="Times New Roman" w:cs="Times New Roman"/>
                <w:b/>
                <w:bCs/>
                <w:color w:val="000000"/>
              </w:rPr>
            </w:pPr>
            <w:r w:rsidRPr="004117C9">
              <w:rPr>
                <w:rFonts w:ascii="Times New Roman" w:eastAsia="Times New Roman" w:hAnsi="Times New Roman" w:cs="Times New Roman"/>
                <w:b/>
                <w:bCs/>
                <w:color w:val="000000"/>
              </w:rPr>
              <w:t>Jaunais aprēķins (EUR)</w:t>
            </w:r>
          </w:p>
        </w:tc>
      </w:tr>
      <w:tr w:rsidR="00123524" w:rsidRPr="00643894" w14:paraId="7AF1BFA9" w14:textId="77777777" w:rsidTr="001E30FC">
        <w:trPr>
          <w:trHeight w:val="30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2B9AE4F3" w14:textId="77777777" w:rsidR="00123524" w:rsidRPr="004117C9" w:rsidRDefault="00123524" w:rsidP="001E30FC">
            <w:pPr>
              <w:spacing w:after="0" w:line="240" w:lineRule="auto"/>
              <w:rPr>
                <w:rFonts w:ascii="Times New Roman" w:eastAsia="Times New Roman" w:hAnsi="Times New Roman" w:cs="Times New Roman"/>
                <w:color w:val="000000"/>
              </w:rPr>
            </w:pPr>
            <w:r w:rsidRPr="009E15F0">
              <w:rPr>
                <w:rFonts w:ascii="Times New Roman" w:hAnsi="Times New Roman" w:cs="Times New Roman"/>
              </w:rPr>
              <w:t>2. Pakalpojumu izmaksas uz vienu dienesta viesnīcā dzīvojošo izglītojamo (gadā)</w:t>
            </w:r>
          </w:p>
        </w:tc>
        <w:tc>
          <w:tcPr>
            <w:tcW w:w="2126" w:type="dxa"/>
            <w:tcBorders>
              <w:top w:val="nil"/>
              <w:left w:val="nil"/>
              <w:bottom w:val="single" w:sz="4" w:space="0" w:color="auto"/>
              <w:right w:val="single" w:sz="4" w:space="0" w:color="auto"/>
            </w:tcBorders>
            <w:shd w:val="clear" w:color="auto" w:fill="auto"/>
            <w:vAlign w:val="center"/>
            <w:hideMark/>
          </w:tcPr>
          <w:p w14:paraId="704E02C2" w14:textId="77777777" w:rsidR="00123524" w:rsidRPr="004117C9" w:rsidRDefault="00123524" w:rsidP="001E30FC">
            <w:pPr>
              <w:spacing w:after="0" w:line="240" w:lineRule="auto"/>
              <w:jc w:val="right"/>
              <w:rPr>
                <w:rFonts w:ascii="Times New Roman" w:eastAsia="Times New Roman" w:hAnsi="Times New Roman" w:cs="Times New Roman"/>
                <w:b/>
                <w:bCs/>
                <w:color w:val="000000"/>
              </w:rPr>
            </w:pPr>
            <w:r w:rsidRPr="004117C9">
              <w:rPr>
                <w:rFonts w:ascii="Times New Roman" w:eastAsia="Times New Roman" w:hAnsi="Times New Roman" w:cs="Times New Roman"/>
                <w:b/>
                <w:bCs/>
                <w:color w:val="000000"/>
              </w:rPr>
              <w:t>135,10</w:t>
            </w:r>
          </w:p>
        </w:tc>
        <w:tc>
          <w:tcPr>
            <w:tcW w:w="1701" w:type="dxa"/>
            <w:tcBorders>
              <w:top w:val="nil"/>
              <w:left w:val="nil"/>
              <w:bottom w:val="single" w:sz="4" w:space="0" w:color="auto"/>
              <w:right w:val="single" w:sz="4" w:space="0" w:color="auto"/>
            </w:tcBorders>
            <w:shd w:val="clear" w:color="auto" w:fill="auto"/>
            <w:noWrap/>
            <w:vAlign w:val="center"/>
            <w:hideMark/>
          </w:tcPr>
          <w:p w14:paraId="7BCCCD6D" w14:textId="77777777" w:rsidR="00123524" w:rsidRPr="004117C9" w:rsidRDefault="00123524" w:rsidP="001E30FC">
            <w:pPr>
              <w:spacing w:after="0" w:line="240" w:lineRule="auto"/>
              <w:jc w:val="right"/>
              <w:rPr>
                <w:rFonts w:ascii="Times New Roman" w:eastAsia="Times New Roman" w:hAnsi="Times New Roman" w:cs="Times New Roman"/>
                <w:b/>
                <w:bCs/>
                <w:color w:val="000000"/>
              </w:rPr>
            </w:pPr>
            <w:r w:rsidRPr="004117C9">
              <w:rPr>
                <w:rFonts w:ascii="Times New Roman" w:eastAsia="Times New Roman" w:hAnsi="Times New Roman" w:cs="Times New Roman"/>
                <w:b/>
                <w:bCs/>
                <w:color w:val="000000"/>
              </w:rPr>
              <w:t>175,07</w:t>
            </w:r>
          </w:p>
        </w:tc>
      </w:tr>
      <w:tr w:rsidR="00123524" w:rsidRPr="00643894" w14:paraId="78BB689D" w14:textId="77777777" w:rsidTr="001E30FC">
        <w:trPr>
          <w:trHeight w:val="30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2752BA58" w14:textId="77777777" w:rsidR="00123524" w:rsidRPr="004117C9" w:rsidRDefault="00123524" w:rsidP="001E30FC">
            <w:pPr>
              <w:spacing w:after="0" w:line="240" w:lineRule="auto"/>
              <w:rPr>
                <w:rFonts w:ascii="Times New Roman" w:eastAsia="Times New Roman" w:hAnsi="Times New Roman" w:cs="Times New Roman"/>
                <w:color w:val="000000"/>
              </w:rPr>
            </w:pPr>
            <w:r w:rsidRPr="009E15F0">
              <w:rPr>
                <w:rFonts w:ascii="Times New Roman" w:hAnsi="Times New Roman" w:cs="Times New Roman"/>
              </w:rPr>
              <w:t>2.1. nekustamā īpašuma nodoklis</w:t>
            </w:r>
          </w:p>
        </w:tc>
        <w:tc>
          <w:tcPr>
            <w:tcW w:w="2126" w:type="dxa"/>
            <w:tcBorders>
              <w:top w:val="nil"/>
              <w:left w:val="nil"/>
              <w:bottom w:val="single" w:sz="4" w:space="0" w:color="auto"/>
              <w:right w:val="single" w:sz="4" w:space="0" w:color="auto"/>
            </w:tcBorders>
            <w:shd w:val="clear" w:color="auto" w:fill="auto"/>
            <w:noWrap/>
            <w:vAlign w:val="center"/>
            <w:hideMark/>
          </w:tcPr>
          <w:p w14:paraId="2BC396DD" w14:textId="77777777" w:rsidR="00123524" w:rsidRPr="004117C9" w:rsidRDefault="00123524" w:rsidP="001E30FC">
            <w:pPr>
              <w:spacing w:after="0" w:line="240" w:lineRule="auto"/>
              <w:jc w:val="right"/>
              <w:rPr>
                <w:rFonts w:ascii="Times New Roman" w:eastAsia="Times New Roman" w:hAnsi="Times New Roman" w:cs="Times New Roman"/>
              </w:rPr>
            </w:pPr>
            <w:r w:rsidRPr="004117C9">
              <w:rPr>
                <w:rFonts w:ascii="Times New Roman" w:eastAsia="Times New Roman" w:hAnsi="Times New Roman" w:cs="Times New Roman"/>
              </w:rPr>
              <w:t>3,00</w:t>
            </w:r>
          </w:p>
        </w:tc>
        <w:tc>
          <w:tcPr>
            <w:tcW w:w="1701" w:type="dxa"/>
            <w:tcBorders>
              <w:top w:val="nil"/>
              <w:left w:val="nil"/>
              <w:bottom w:val="single" w:sz="4" w:space="0" w:color="auto"/>
              <w:right w:val="single" w:sz="4" w:space="0" w:color="auto"/>
            </w:tcBorders>
            <w:shd w:val="clear" w:color="auto" w:fill="auto"/>
            <w:noWrap/>
            <w:vAlign w:val="center"/>
            <w:hideMark/>
          </w:tcPr>
          <w:p w14:paraId="097F6E69" w14:textId="77777777" w:rsidR="00123524" w:rsidRPr="004117C9" w:rsidRDefault="00123524" w:rsidP="001E30FC">
            <w:pPr>
              <w:spacing w:after="0" w:line="240" w:lineRule="auto"/>
              <w:jc w:val="right"/>
              <w:rPr>
                <w:rFonts w:ascii="Times New Roman" w:eastAsia="Times New Roman" w:hAnsi="Times New Roman" w:cs="Times New Roman"/>
                <w:color w:val="000000"/>
              </w:rPr>
            </w:pPr>
            <w:r w:rsidRPr="004117C9">
              <w:rPr>
                <w:rFonts w:ascii="Times New Roman" w:eastAsia="Times New Roman" w:hAnsi="Times New Roman" w:cs="Times New Roman"/>
                <w:color w:val="000000"/>
              </w:rPr>
              <w:t>4,20</w:t>
            </w:r>
          </w:p>
        </w:tc>
      </w:tr>
      <w:tr w:rsidR="00123524" w:rsidRPr="00643894" w14:paraId="6843B90C" w14:textId="77777777" w:rsidTr="001E30FC">
        <w:trPr>
          <w:trHeight w:val="60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48A95143" w14:textId="77777777" w:rsidR="00123524" w:rsidRPr="004117C9" w:rsidRDefault="00123524" w:rsidP="001E30FC">
            <w:pPr>
              <w:spacing w:after="0" w:line="240" w:lineRule="auto"/>
              <w:rPr>
                <w:rFonts w:ascii="Times New Roman" w:eastAsia="Times New Roman" w:hAnsi="Times New Roman" w:cs="Times New Roman"/>
                <w:color w:val="000000"/>
              </w:rPr>
            </w:pPr>
            <w:r w:rsidRPr="009E15F0">
              <w:rPr>
                <w:rFonts w:ascii="Times New Roman" w:hAnsi="Times New Roman" w:cs="Times New Roman"/>
              </w:rPr>
              <w:t>2.2. remonta izmaksas/remontdarbi un iestāžu uzturēšanas pakalpojumi</w:t>
            </w:r>
          </w:p>
        </w:tc>
        <w:tc>
          <w:tcPr>
            <w:tcW w:w="2126" w:type="dxa"/>
            <w:tcBorders>
              <w:top w:val="nil"/>
              <w:left w:val="nil"/>
              <w:bottom w:val="single" w:sz="4" w:space="0" w:color="auto"/>
              <w:right w:val="single" w:sz="4" w:space="0" w:color="auto"/>
            </w:tcBorders>
            <w:shd w:val="clear" w:color="auto" w:fill="auto"/>
            <w:noWrap/>
            <w:vAlign w:val="center"/>
            <w:hideMark/>
          </w:tcPr>
          <w:p w14:paraId="229F457E" w14:textId="77777777" w:rsidR="00123524" w:rsidRPr="004117C9" w:rsidRDefault="00123524" w:rsidP="001E30FC">
            <w:pPr>
              <w:spacing w:after="0" w:line="240" w:lineRule="auto"/>
              <w:jc w:val="right"/>
              <w:rPr>
                <w:rFonts w:ascii="Times New Roman" w:eastAsia="Times New Roman" w:hAnsi="Times New Roman" w:cs="Times New Roman"/>
              </w:rPr>
            </w:pPr>
            <w:r w:rsidRPr="004117C9">
              <w:rPr>
                <w:rFonts w:ascii="Times New Roman" w:eastAsia="Times New Roman" w:hAnsi="Times New Roman" w:cs="Times New Roman"/>
              </w:rPr>
              <w:t>92,50</w:t>
            </w:r>
          </w:p>
        </w:tc>
        <w:tc>
          <w:tcPr>
            <w:tcW w:w="1701" w:type="dxa"/>
            <w:tcBorders>
              <w:top w:val="nil"/>
              <w:left w:val="nil"/>
              <w:bottom w:val="single" w:sz="4" w:space="0" w:color="auto"/>
              <w:right w:val="single" w:sz="4" w:space="0" w:color="auto"/>
            </w:tcBorders>
            <w:shd w:val="clear" w:color="auto" w:fill="auto"/>
            <w:noWrap/>
            <w:vAlign w:val="center"/>
            <w:hideMark/>
          </w:tcPr>
          <w:p w14:paraId="5339B78F" w14:textId="77777777" w:rsidR="00123524" w:rsidRPr="004117C9" w:rsidRDefault="00123524" w:rsidP="001E30FC">
            <w:pPr>
              <w:spacing w:after="0" w:line="240" w:lineRule="auto"/>
              <w:jc w:val="right"/>
              <w:rPr>
                <w:rFonts w:ascii="Times New Roman" w:eastAsia="Times New Roman" w:hAnsi="Times New Roman" w:cs="Times New Roman"/>
                <w:color w:val="000000"/>
              </w:rPr>
            </w:pPr>
            <w:r w:rsidRPr="004117C9">
              <w:rPr>
                <w:rFonts w:ascii="Times New Roman" w:eastAsia="Times New Roman" w:hAnsi="Times New Roman" w:cs="Times New Roman"/>
                <w:color w:val="000000"/>
              </w:rPr>
              <w:t>120,70</w:t>
            </w:r>
          </w:p>
        </w:tc>
      </w:tr>
      <w:tr w:rsidR="00123524" w:rsidRPr="00643894" w14:paraId="53983DA5" w14:textId="77777777" w:rsidTr="001E30FC">
        <w:trPr>
          <w:trHeight w:val="30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091EE1DF" w14:textId="77777777" w:rsidR="00123524" w:rsidRPr="004117C9" w:rsidRDefault="00123524" w:rsidP="001E30FC">
            <w:pPr>
              <w:spacing w:after="0" w:line="240" w:lineRule="auto"/>
              <w:rPr>
                <w:rFonts w:ascii="Times New Roman" w:eastAsia="Times New Roman" w:hAnsi="Times New Roman" w:cs="Times New Roman"/>
                <w:color w:val="000000"/>
              </w:rPr>
            </w:pPr>
            <w:r w:rsidRPr="009E15F0">
              <w:rPr>
                <w:rFonts w:ascii="Times New Roman" w:hAnsi="Times New Roman" w:cs="Times New Roman"/>
              </w:rPr>
              <w:t>2.3. tehniskās apkopes izmaksas</w:t>
            </w:r>
          </w:p>
        </w:tc>
        <w:tc>
          <w:tcPr>
            <w:tcW w:w="2126" w:type="dxa"/>
            <w:tcBorders>
              <w:top w:val="nil"/>
              <w:left w:val="nil"/>
              <w:bottom w:val="single" w:sz="4" w:space="0" w:color="auto"/>
              <w:right w:val="single" w:sz="4" w:space="0" w:color="auto"/>
            </w:tcBorders>
            <w:shd w:val="clear" w:color="auto" w:fill="auto"/>
            <w:noWrap/>
            <w:vAlign w:val="center"/>
            <w:hideMark/>
          </w:tcPr>
          <w:p w14:paraId="00CBD9B2" w14:textId="77777777" w:rsidR="00123524" w:rsidRPr="004117C9" w:rsidRDefault="00123524" w:rsidP="001E30FC">
            <w:pPr>
              <w:spacing w:after="0" w:line="240" w:lineRule="auto"/>
              <w:jc w:val="right"/>
              <w:rPr>
                <w:rFonts w:ascii="Times New Roman" w:eastAsia="Times New Roman" w:hAnsi="Times New Roman" w:cs="Times New Roman"/>
              </w:rPr>
            </w:pPr>
            <w:r w:rsidRPr="004117C9">
              <w:rPr>
                <w:rFonts w:ascii="Times New Roman" w:eastAsia="Times New Roman" w:hAnsi="Times New Roman" w:cs="Times New Roman"/>
              </w:rPr>
              <w:t>39,60</w:t>
            </w:r>
          </w:p>
        </w:tc>
        <w:tc>
          <w:tcPr>
            <w:tcW w:w="1701" w:type="dxa"/>
            <w:tcBorders>
              <w:top w:val="nil"/>
              <w:left w:val="nil"/>
              <w:bottom w:val="single" w:sz="4" w:space="0" w:color="auto"/>
              <w:right w:val="single" w:sz="4" w:space="0" w:color="auto"/>
            </w:tcBorders>
            <w:shd w:val="clear" w:color="auto" w:fill="auto"/>
            <w:noWrap/>
            <w:vAlign w:val="center"/>
            <w:hideMark/>
          </w:tcPr>
          <w:p w14:paraId="276B1F30" w14:textId="77777777" w:rsidR="00123524" w:rsidRPr="004117C9" w:rsidRDefault="00123524" w:rsidP="001E30FC">
            <w:pPr>
              <w:spacing w:after="0" w:line="240" w:lineRule="auto"/>
              <w:jc w:val="right"/>
              <w:rPr>
                <w:rFonts w:ascii="Times New Roman" w:eastAsia="Times New Roman" w:hAnsi="Times New Roman" w:cs="Times New Roman"/>
                <w:color w:val="000000"/>
              </w:rPr>
            </w:pPr>
            <w:r w:rsidRPr="004117C9">
              <w:rPr>
                <w:rFonts w:ascii="Times New Roman" w:eastAsia="Times New Roman" w:hAnsi="Times New Roman" w:cs="Times New Roman"/>
                <w:color w:val="000000"/>
              </w:rPr>
              <w:t>50,17</w:t>
            </w:r>
          </w:p>
        </w:tc>
      </w:tr>
      <w:tr w:rsidR="00123524" w:rsidRPr="00643894" w14:paraId="7F2EE5EC" w14:textId="77777777" w:rsidTr="001E30FC">
        <w:trPr>
          <w:trHeight w:val="60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1281B3AE" w14:textId="77777777" w:rsidR="00123524" w:rsidRPr="004117C9" w:rsidRDefault="00123524" w:rsidP="001E30FC">
            <w:pPr>
              <w:spacing w:after="0" w:line="240" w:lineRule="auto"/>
              <w:rPr>
                <w:rFonts w:ascii="Times New Roman" w:eastAsia="Times New Roman" w:hAnsi="Times New Roman" w:cs="Times New Roman"/>
                <w:color w:val="000000"/>
              </w:rPr>
            </w:pPr>
            <w:r w:rsidRPr="009E15F0">
              <w:rPr>
                <w:rFonts w:ascii="Times New Roman" w:hAnsi="Times New Roman" w:cs="Times New Roman"/>
              </w:rPr>
              <w:t>3. Energoresursu, ūdens, inventāra, mācību līdzekļu, materiālu un kancelejas preču izmaksas</w:t>
            </w:r>
          </w:p>
        </w:tc>
        <w:tc>
          <w:tcPr>
            <w:tcW w:w="2126" w:type="dxa"/>
            <w:tcBorders>
              <w:top w:val="nil"/>
              <w:left w:val="nil"/>
              <w:bottom w:val="single" w:sz="4" w:space="0" w:color="auto"/>
              <w:right w:val="single" w:sz="4" w:space="0" w:color="auto"/>
            </w:tcBorders>
            <w:shd w:val="clear" w:color="auto" w:fill="auto"/>
            <w:noWrap/>
            <w:vAlign w:val="center"/>
            <w:hideMark/>
          </w:tcPr>
          <w:p w14:paraId="14D6D602" w14:textId="77777777" w:rsidR="00123524" w:rsidRPr="004117C9" w:rsidRDefault="00123524" w:rsidP="001E30FC">
            <w:pPr>
              <w:spacing w:after="0" w:line="240" w:lineRule="auto"/>
              <w:jc w:val="right"/>
              <w:rPr>
                <w:rFonts w:ascii="Times New Roman" w:eastAsia="Times New Roman" w:hAnsi="Times New Roman" w:cs="Times New Roman"/>
                <w:b/>
                <w:bCs/>
              </w:rPr>
            </w:pPr>
            <w:r w:rsidRPr="004117C9">
              <w:rPr>
                <w:rFonts w:ascii="Times New Roman" w:eastAsia="Times New Roman" w:hAnsi="Times New Roman" w:cs="Times New Roman"/>
                <w:b/>
                <w:bCs/>
              </w:rPr>
              <w:t>147,13</w:t>
            </w:r>
          </w:p>
        </w:tc>
        <w:tc>
          <w:tcPr>
            <w:tcW w:w="1701" w:type="dxa"/>
            <w:tcBorders>
              <w:top w:val="nil"/>
              <w:left w:val="nil"/>
              <w:bottom w:val="single" w:sz="4" w:space="0" w:color="auto"/>
              <w:right w:val="single" w:sz="4" w:space="0" w:color="auto"/>
            </w:tcBorders>
            <w:shd w:val="clear" w:color="auto" w:fill="auto"/>
            <w:noWrap/>
            <w:vAlign w:val="center"/>
            <w:hideMark/>
          </w:tcPr>
          <w:p w14:paraId="10DCBC42" w14:textId="77777777" w:rsidR="00123524" w:rsidRPr="004117C9" w:rsidRDefault="00123524" w:rsidP="001E30FC">
            <w:pPr>
              <w:spacing w:after="0" w:line="240" w:lineRule="auto"/>
              <w:jc w:val="right"/>
              <w:rPr>
                <w:rFonts w:ascii="Times New Roman" w:eastAsia="Times New Roman" w:hAnsi="Times New Roman" w:cs="Times New Roman"/>
                <w:b/>
                <w:bCs/>
                <w:color w:val="000000"/>
              </w:rPr>
            </w:pPr>
            <w:r w:rsidRPr="004117C9">
              <w:rPr>
                <w:rFonts w:ascii="Times New Roman" w:eastAsia="Times New Roman" w:hAnsi="Times New Roman" w:cs="Times New Roman"/>
                <w:b/>
                <w:bCs/>
                <w:color w:val="000000"/>
              </w:rPr>
              <w:t>176,62</w:t>
            </w:r>
          </w:p>
        </w:tc>
      </w:tr>
      <w:tr w:rsidR="00123524" w:rsidRPr="00643894" w14:paraId="24A1D99F" w14:textId="77777777" w:rsidTr="001E30FC">
        <w:trPr>
          <w:trHeight w:val="30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4537868B" w14:textId="77777777" w:rsidR="00123524" w:rsidRPr="004117C9" w:rsidRDefault="00123524" w:rsidP="001E30FC">
            <w:pPr>
              <w:spacing w:after="0" w:line="240" w:lineRule="auto"/>
              <w:rPr>
                <w:rFonts w:ascii="Times New Roman" w:eastAsia="Times New Roman" w:hAnsi="Times New Roman" w:cs="Times New Roman"/>
                <w:color w:val="000000"/>
              </w:rPr>
            </w:pPr>
            <w:r w:rsidRPr="009E15F0">
              <w:rPr>
                <w:rFonts w:ascii="Times New Roman" w:hAnsi="Times New Roman" w:cs="Times New Roman"/>
              </w:rPr>
              <w:t>3.1. patērētās elektroenerģijas izmaksas</w:t>
            </w:r>
          </w:p>
        </w:tc>
        <w:tc>
          <w:tcPr>
            <w:tcW w:w="2126" w:type="dxa"/>
            <w:tcBorders>
              <w:top w:val="nil"/>
              <w:left w:val="nil"/>
              <w:bottom w:val="single" w:sz="4" w:space="0" w:color="auto"/>
              <w:right w:val="single" w:sz="4" w:space="0" w:color="auto"/>
            </w:tcBorders>
            <w:shd w:val="clear" w:color="auto" w:fill="auto"/>
            <w:noWrap/>
            <w:vAlign w:val="center"/>
            <w:hideMark/>
          </w:tcPr>
          <w:p w14:paraId="7E316D6A" w14:textId="77777777" w:rsidR="00123524" w:rsidRPr="004117C9" w:rsidRDefault="00123524" w:rsidP="001E30FC">
            <w:pPr>
              <w:spacing w:after="0" w:line="240" w:lineRule="auto"/>
              <w:jc w:val="right"/>
              <w:rPr>
                <w:rFonts w:ascii="Times New Roman" w:eastAsia="Times New Roman" w:hAnsi="Times New Roman" w:cs="Times New Roman"/>
              </w:rPr>
            </w:pPr>
            <w:r w:rsidRPr="004117C9">
              <w:rPr>
                <w:rFonts w:ascii="Times New Roman" w:eastAsia="Times New Roman" w:hAnsi="Times New Roman" w:cs="Times New Roman"/>
              </w:rPr>
              <w:t>15,41</w:t>
            </w:r>
          </w:p>
        </w:tc>
        <w:tc>
          <w:tcPr>
            <w:tcW w:w="1701" w:type="dxa"/>
            <w:tcBorders>
              <w:top w:val="nil"/>
              <w:left w:val="nil"/>
              <w:bottom w:val="single" w:sz="4" w:space="0" w:color="auto"/>
              <w:right w:val="single" w:sz="4" w:space="0" w:color="auto"/>
            </w:tcBorders>
            <w:shd w:val="clear" w:color="auto" w:fill="auto"/>
            <w:noWrap/>
            <w:vAlign w:val="center"/>
            <w:hideMark/>
          </w:tcPr>
          <w:p w14:paraId="493F836D" w14:textId="77777777" w:rsidR="00123524" w:rsidRPr="004117C9" w:rsidRDefault="00123524" w:rsidP="001E30FC">
            <w:pPr>
              <w:spacing w:after="0" w:line="240" w:lineRule="auto"/>
              <w:jc w:val="right"/>
              <w:rPr>
                <w:rFonts w:ascii="Times New Roman" w:eastAsia="Times New Roman" w:hAnsi="Times New Roman" w:cs="Times New Roman"/>
                <w:color w:val="000000"/>
              </w:rPr>
            </w:pPr>
            <w:r w:rsidRPr="004117C9">
              <w:rPr>
                <w:rFonts w:ascii="Times New Roman" w:eastAsia="Times New Roman" w:hAnsi="Times New Roman" w:cs="Times New Roman"/>
                <w:color w:val="000000"/>
              </w:rPr>
              <w:t>34,34</w:t>
            </w:r>
          </w:p>
        </w:tc>
      </w:tr>
      <w:tr w:rsidR="00123524" w:rsidRPr="00643894" w14:paraId="46189E78" w14:textId="77777777" w:rsidTr="001E30FC">
        <w:trPr>
          <w:trHeight w:val="30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0266740" w14:textId="77777777" w:rsidR="00123524" w:rsidRPr="004117C9" w:rsidRDefault="00123524" w:rsidP="001E30FC">
            <w:pPr>
              <w:spacing w:after="0" w:line="240" w:lineRule="auto"/>
              <w:rPr>
                <w:rFonts w:ascii="Times New Roman" w:eastAsia="Times New Roman" w:hAnsi="Times New Roman" w:cs="Times New Roman"/>
                <w:color w:val="000000"/>
              </w:rPr>
            </w:pPr>
            <w:r w:rsidRPr="009E15F0">
              <w:rPr>
                <w:rFonts w:ascii="Times New Roman" w:hAnsi="Times New Roman" w:cs="Times New Roman"/>
              </w:rPr>
              <w:t>3.2. apkures izmaksas</w:t>
            </w:r>
          </w:p>
        </w:tc>
        <w:tc>
          <w:tcPr>
            <w:tcW w:w="2126" w:type="dxa"/>
            <w:tcBorders>
              <w:top w:val="nil"/>
              <w:left w:val="nil"/>
              <w:bottom w:val="single" w:sz="4" w:space="0" w:color="auto"/>
              <w:right w:val="single" w:sz="4" w:space="0" w:color="auto"/>
            </w:tcBorders>
            <w:shd w:val="clear" w:color="auto" w:fill="auto"/>
            <w:noWrap/>
            <w:vAlign w:val="center"/>
            <w:hideMark/>
          </w:tcPr>
          <w:p w14:paraId="0C53EED3" w14:textId="77777777" w:rsidR="00123524" w:rsidRPr="004117C9" w:rsidRDefault="00123524" w:rsidP="001E30FC">
            <w:pPr>
              <w:spacing w:after="0" w:line="240" w:lineRule="auto"/>
              <w:jc w:val="right"/>
              <w:rPr>
                <w:rFonts w:ascii="Times New Roman" w:eastAsia="Times New Roman" w:hAnsi="Times New Roman" w:cs="Times New Roman"/>
              </w:rPr>
            </w:pPr>
            <w:r w:rsidRPr="004117C9">
              <w:rPr>
                <w:rFonts w:ascii="Times New Roman" w:eastAsia="Times New Roman" w:hAnsi="Times New Roman" w:cs="Times New Roman"/>
              </w:rPr>
              <w:t>88,83</w:t>
            </w:r>
          </w:p>
        </w:tc>
        <w:tc>
          <w:tcPr>
            <w:tcW w:w="1701" w:type="dxa"/>
            <w:tcBorders>
              <w:top w:val="nil"/>
              <w:left w:val="nil"/>
              <w:bottom w:val="single" w:sz="4" w:space="0" w:color="auto"/>
              <w:right w:val="single" w:sz="4" w:space="0" w:color="auto"/>
            </w:tcBorders>
            <w:shd w:val="clear" w:color="auto" w:fill="auto"/>
            <w:noWrap/>
            <w:vAlign w:val="center"/>
            <w:hideMark/>
          </w:tcPr>
          <w:p w14:paraId="0AFDCFC6" w14:textId="77777777" w:rsidR="00123524" w:rsidRPr="004117C9" w:rsidRDefault="00123524" w:rsidP="001E30FC">
            <w:pPr>
              <w:spacing w:after="0" w:line="240" w:lineRule="auto"/>
              <w:jc w:val="right"/>
              <w:rPr>
                <w:rFonts w:ascii="Times New Roman" w:eastAsia="Times New Roman" w:hAnsi="Times New Roman" w:cs="Times New Roman"/>
                <w:color w:val="000000"/>
              </w:rPr>
            </w:pPr>
            <w:r w:rsidRPr="004117C9">
              <w:rPr>
                <w:rFonts w:ascii="Times New Roman" w:eastAsia="Times New Roman" w:hAnsi="Times New Roman" w:cs="Times New Roman"/>
                <w:color w:val="000000"/>
              </w:rPr>
              <w:t>88,83</w:t>
            </w:r>
          </w:p>
        </w:tc>
      </w:tr>
      <w:tr w:rsidR="00123524" w:rsidRPr="00643894" w14:paraId="29732004" w14:textId="77777777" w:rsidTr="001E30FC">
        <w:trPr>
          <w:trHeight w:val="30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39843CA2" w14:textId="77777777" w:rsidR="00123524" w:rsidRPr="004117C9" w:rsidRDefault="00123524" w:rsidP="001E30FC">
            <w:pPr>
              <w:spacing w:after="0" w:line="240" w:lineRule="auto"/>
              <w:rPr>
                <w:rFonts w:ascii="Times New Roman" w:eastAsia="Times New Roman" w:hAnsi="Times New Roman" w:cs="Times New Roman"/>
                <w:color w:val="000000"/>
              </w:rPr>
            </w:pPr>
            <w:r w:rsidRPr="009E15F0">
              <w:rPr>
                <w:rFonts w:ascii="Times New Roman" w:hAnsi="Times New Roman" w:cs="Times New Roman"/>
              </w:rPr>
              <w:t>3.3. ūdensapgādes izmaksas</w:t>
            </w:r>
          </w:p>
        </w:tc>
        <w:tc>
          <w:tcPr>
            <w:tcW w:w="2126" w:type="dxa"/>
            <w:tcBorders>
              <w:top w:val="nil"/>
              <w:left w:val="nil"/>
              <w:bottom w:val="single" w:sz="4" w:space="0" w:color="auto"/>
              <w:right w:val="single" w:sz="4" w:space="0" w:color="auto"/>
            </w:tcBorders>
            <w:shd w:val="clear" w:color="auto" w:fill="auto"/>
            <w:noWrap/>
            <w:vAlign w:val="center"/>
            <w:hideMark/>
          </w:tcPr>
          <w:p w14:paraId="2116E0EE" w14:textId="77777777" w:rsidR="00123524" w:rsidRPr="004117C9" w:rsidRDefault="00123524" w:rsidP="001E30FC">
            <w:pPr>
              <w:spacing w:after="0" w:line="240" w:lineRule="auto"/>
              <w:jc w:val="right"/>
              <w:rPr>
                <w:rFonts w:ascii="Times New Roman" w:eastAsia="Times New Roman" w:hAnsi="Times New Roman" w:cs="Times New Roman"/>
              </w:rPr>
            </w:pPr>
            <w:r w:rsidRPr="004117C9">
              <w:rPr>
                <w:rFonts w:ascii="Times New Roman" w:eastAsia="Times New Roman" w:hAnsi="Times New Roman" w:cs="Times New Roman"/>
              </w:rPr>
              <w:t>13,45</w:t>
            </w:r>
          </w:p>
        </w:tc>
        <w:tc>
          <w:tcPr>
            <w:tcW w:w="1701" w:type="dxa"/>
            <w:tcBorders>
              <w:top w:val="nil"/>
              <w:left w:val="nil"/>
              <w:bottom w:val="single" w:sz="4" w:space="0" w:color="auto"/>
              <w:right w:val="single" w:sz="4" w:space="0" w:color="auto"/>
            </w:tcBorders>
            <w:shd w:val="clear" w:color="auto" w:fill="auto"/>
            <w:noWrap/>
            <w:vAlign w:val="center"/>
            <w:hideMark/>
          </w:tcPr>
          <w:p w14:paraId="05BFC848" w14:textId="77777777" w:rsidR="00123524" w:rsidRPr="004117C9" w:rsidRDefault="00123524" w:rsidP="001E30FC">
            <w:pPr>
              <w:spacing w:after="0" w:line="240" w:lineRule="auto"/>
              <w:jc w:val="right"/>
              <w:rPr>
                <w:rFonts w:ascii="Times New Roman" w:eastAsia="Times New Roman" w:hAnsi="Times New Roman" w:cs="Times New Roman"/>
                <w:color w:val="000000"/>
              </w:rPr>
            </w:pPr>
            <w:r w:rsidRPr="004117C9">
              <w:rPr>
                <w:rFonts w:ascii="Times New Roman" w:eastAsia="Times New Roman" w:hAnsi="Times New Roman" w:cs="Times New Roman"/>
                <w:color w:val="000000"/>
              </w:rPr>
              <w:t>13,45</w:t>
            </w:r>
          </w:p>
        </w:tc>
      </w:tr>
      <w:tr w:rsidR="00123524" w:rsidRPr="00643894" w14:paraId="0F9B1D49" w14:textId="77777777" w:rsidTr="001E30FC">
        <w:trPr>
          <w:trHeight w:val="30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409FF339" w14:textId="77777777" w:rsidR="00123524" w:rsidRPr="004117C9" w:rsidRDefault="00123524" w:rsidP="001E30FC">
            <w:pPr>
              <w:spacing w:after="0" w:line="240" w:lineRule="auto"/>
              <w:rPr>
                <w:rFonts w:ascii="Times New Roman" w:eastAsia="Times New Roman" w:hAnsi="Times New Roman" w:cs="Times New Roman"/>
                <w:color w:val="000000"/>
              </w:rPr>
            </w:pPr>
            <w:r w:rsidRPr="009E15F0">
              <w:rPr>
                <w:rFonts w:ascii="Times New Roman" w:hAnsi="Times New Roman" w:cs="Times New Roman"/>
              </w:rPr>
              <w:t>3.4. kanalizācijas izmaksas</w:t>
            </w:r>
          </w:p>
        </w:tc>
        <w:tc>
          <w:tcPr>
            <w:tcW w:w="2126" w:type="dxa"/>
            <w:tcBorders>
              <w:top w:val="nil"/>
              <w:left w:val="nil"/>
              <w:bottom w:val="single" w:sz="4" w:space="0" w:color="auto"/>
              <w:right w:val="single" w:sz="4" w:space="0" w:color="auto"/>
            </w:tcBorders>
            <w:shd w:val="clear" w:color="auto" w:fill="auto"/>
            <w:noWrap/>
            <w:vAlign w:val="center"/>
            <w:hideMark/>
          </w:tcPr>
          <w:p w14:paraId="5342AD45" w14:textId="77777777" w:rsidR="00123524" w:rsidRPr="004117C9" w:rsidRDefault="00123524" w:rsidP="001E30FC">
            <w:pPr>
              <w:spacing w:after="0" w:line="240" w:lineRule="auto"/>
              <w:jc w:val="right"/>
              <w:rPr>
                <w:rFonts w:ascii="Times New Roman" w:eastAsia="Times New Roman" w:hAnsi="Times New Roman" w:cs="Times New Roman"/>
              </w:rPr>
            </w:pPr>
            <w:r w:rsidRPr="004117C9">
              <w:rPr>
                <w:rFonts w:ascii="Times New Roman" w:eastAsia="Times New Roman" w:hAnsi="Times New Roman" w:cs="Times New Roman"/>
              </w:rPr>
              <w:t>8,09</w:t>
            </w:r>
          </w:p>
        </w:tc>
        <w:tc>
          <w:tcPr>
            <w:tcW w:w="1701" w:type="dxa"/>
            <w:tcBorders>
              <w:top w:val="nil"/>
              <w:left w:val="nil"/>
              <w:bottom w:val="single" w:sz="4" w:space="0" w:color="auto"/>
              <w:right w:val="single" w:sz="4" w:space="0" w:color="auto"/>
            </w:tcBorders>
            <w:shd w:val="clear" w:color="auto" w:fill="auto"/>
            <w:noWrap/>
            <w:vAlign w:val="center"/>
            <w:hideMark/>
          </w:tcPr>
          <w:p w14:paraId="3FFE088F" w14:textId="77777777" w:rsidR="00123524" w:rsidRPr="004117C9" w:rsidRDefault="00123524" w:rsidP="001E30FC">
            <w:pPr>
              <w:spacing w:after="0" w:line="240" w:lineRule="auto"/>
              <w:jc w:val="right"/>
              <w:rPr>
                <w:rFonts w:ascii="Times New Roman" w:eastAsia="Times New Roman" w:hAnsi="Times New Roman" w:cs="Times New Roman"/>
                <w:color w:val="000000"/>
              </w:rPr>
            </w:pPr>
            <w:r w:rsidRPr="004117C9">
              <w:rPr>
                <w:rFonts w:ascii="Times New Roman" w:eastAsia="Times New Roman" w:hAnsi="Times New Roman" w:cs="Times New Roman"/>
                <w:color w:val="000000"/>
              </w:rPr>
              <w:t>12,96</w:t>
            </w:r>
          </w:p>
        </w:tc>
      </w:tr>
      <w:tr w:rsidR="00123524" w:rsidRPr="00643894" w14:paraId="3750CC79" w14:textId="77777777" w:rsidTr="001E30FC">
        <w:trPr>
          <w:trHeight w:val="30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4CBF29FF" w14:textId="77777777" w:rsidR="00123524" w:rsidRPr="004117C9" w:rsidRDefault="00123524" w:rsidP="001E30FC">
            <w:pPr>
              <w:spacing w:after="0" w:line="240" w:lineRule="auto"/>
              <w:rPr>
                <w:rFonts w:ascii="Times New Roman" w:eastAsia="Times New Roman" w:hAnsi="Times New Roman" w:cs="Times New Roman"/>
                <w:color w:val="000000"/>
              </w:rPr>
            </w:pPr>
            <w:r w:rsidRPr="009E15F0">
              <w:rPr>
                <w:rFonts w:ascii="Times New Roman" w:hAnsi="Times New Roman" w:cs="Times New Roman"/>
              </w:rPr>
              <w:t>3.5. inventāra iegāde</w:t>
            </w:r>
          </w:p>
        </w:tc>
        <w:tc>
          <w:tcPr>
            <w:tcW w:w="2126" w:type="dxa"/>
            <w:tcBorders>
              <w:top w:val="nil"/>
              <w:left w:val="nil"/>
              <w:bottom w:val="single" w:sz="4" w:space="0" w:color="auto"/>
              <w:right w:val="single" w:sz="4" w:space="0" w:color="auto"/>
            </w:tcBorders>
            <w:shd w:val="clear" w:color="auto" w:fill="auto"/>
            <w:noWrap/>
            <w:vAlign w:val="center"/>
            <w:hideMark/>
          </w:tcPr>
          <w:p w14:paraId="5CBB097B" w14:textId="77777777" w:rsidR="00123524" w:rsidRPr="004117C9" w:rsidRDefault="00123524" w:rsidP="001E30FC">
            <w:pPr>
              <w:spacing w:after="0" w:line="240" w:lineRule="auto"/>
              <w:jc w:val="right"/>
              <w:rPr>
                <w:rFonts w:ascii="Times New Roman" w:eastAsia="Times New Roman" w:hAnsi="Times New Roman" w:cs="Times New Roman"/>
              </w:rPr>
            </w:pPr>
            <w:r w:rsidRPr="004117C9">
              <w:rPr>
                <w:rFonts w:ascii="Times New Roman" w:eastAsia="Times New Roman" w:hAnsi="Times New Roman" w:cs="Times New Roman"/>
              </w:rPr>
              <w:t>21,34</w:t>
            </w:r>
          </w:p>
        </w:tc>
        <w:tc>
          <w:tcPr>
            <w:tcW w:w="1701" w:type="dxa"/>
            <w:tcBorders>
              <w:top w:val="nil"/>
              <w:left w:val="nil"/>
              <w:bottom w:val="single" w:sz="4" w:space="0" w:color="auto"/>
              <w:right w:val="single" w:sz="4" w:space="0" w:color="auto"/>
            </w:tcBorders>
            <w:shd w:val="clear" w:color="auto" w:fill="auto"/>
            <w:noWrap/>
            <w:vAlign w:val="center"/>
            <w:hideMark/>
          </w:tcPr>
          <w:p w14:paraId="0E679877" w14:textId="77777777" w:rsidR="00123524" w:rsidRPr="004117C9" w:rsidRDefault="00123524" w:rsidP="001E30FC">
            <w:pPr>
              <w:spacing w:after="0" w:line="240" w:lineRule="auto"/>
              <w:jc w:val="right"/>
              <w:rPr>
                <w:rFonts w:ascii="Times New Roman" w:eastAsia="Times New Roman" w:hAnsi="Times New Roman" w:cs="Times New Roman"/>
                <w:color w:val="000000"/>
              </w:rPr>
            </w:pPr>
            <w:r w:rsidRPr="004117C9">
              <w:rPr>
                <w:rFonts w:ascii="Times New Roman" w:eastAsia="Times New Roman" w:hAnsi="Times New Roman" w:cs="Times New Roman"/>
                <w:color w:val="000000"/>
              </w:rPr>
              <w:t>27,04</w:t>
            </w:r>
          </w:p>
        </w:tc>
      </w:tr>
      <w:tr w:rsidR="00123524" w:rsidRPr="00643894" w14:paraId="408E8A66" w14:textId="77777777" w:rsidTr="001E30FC">
        <w:trPr>
          <w:trHeight w:val="30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31C0FD1F" w14:textId="77777777" w:rsidR="00123524" w:rsidRPr="003F1C49" w:rsidRDefault="00123524" w:rsidP="001E30FC">
            <w:pPr>
              <w:spacing w:after="0" w:line="240" w:lineRule="auto"/>
              <w:jc w:val="right"/>
              <w:rPr>
                <w:rFonts w:ascii="Times New Roman" w:eastAsia="Times New Roman" w:hAnsi="Times New Roman" w:cs="Times New Roman"/>
                <w:b/>
                <w:bCs/>
                <w:color w:val="000000"/>
              </w:rPr>
            </w:pPr>
            <w:r w:rsidRPr="009E15F0">
              <w:rPr>
                <w:rFonts w:ascii="Times New Roman" w:hAnsi="Times New Roman" w:cs="Times New Roman"/>
                <w:b/>
              </w:rPr>
              <w:t xml:space="preserve">Kopā </w:t>
            </w:r>
          </w:p>
        </w:tc>
        <w:tc>
          <w:tcPr>
            <w:tcW w:w="2126" w:type="dxa"/>
            <w:tcBorders>
              <w:top w:val="nil"/>
              <w:left w:val="nil"/>
              <w:bottom w:val="single" w:sz="4" w:space="0" w:color="auto"/>
              <w:right w:val="single" w:sz="4" w:space="0" w:color="auto"/>
            </w:tcBorders>
            <w:shd w:val="clear" w:color="auto" w:fill="auto"/>
            <w:noWrap/>
            <w:vAlign w:val="center"/>
            <w:hideMark/>
          </w:tcPr>
          <w:p w14:paraId="53BB6CD2" w14:textId="77777777" w:rsidR="00123524" w:rsidRPr="004117C9" w:rsidRDefault="00123524" w:rsidP="001E30FC">
            <w:pPr>
              <w:spacing w:after="0" w:line="240" w:lineRule="auto"/>
              <w:jc w:val="right"/>
              <w:rPr>
                <w:rFonts w:ascii="Times New Roman" w:eastAsia="Times New Roman" w:hAnsi="Times New Roman" w:cs="Times New Roman"/>
                <w:b/>
                <w:bCs/>
                <w:color w:val="000000"/>
              </w:rPr>
            </w:pPr>
            <w:r w:rsidRPr="004117C9">
              <w:rPr>
                <w:rFonts w:ascii="Times New Roman" w:eastAsia="Times New Roman" w:hAnsi="Times New Roman" w:cs="Times New Roman"/>
                <w:b/>
                <w:bCs/>
                <w:color w:val="000000"/>
              </w:rPr>
              <w:t>282,23</w:t>
            </w:r>
          </w:p>
        </w:tc>
        <w:tc>
          <w:tcPr>
            <w:tcW w:w="1701" w:type="dxa"/>
            <w:tcBorders>
              <w:top w:val="nil"/>
              <w:left w:val="nil"/>
              <w:bottom w:val="single" w:sz="4" w:space="0" w:color="auto"/>
              <w:right w:val="single" w:sz="4" w:space="0" w:color="auto"/>
            </w:tcBorders>
            <w:shd w:val="clear" w:color="auto" w:fill="auto"/>
            <w:noWrap/>
            <w:vAlign w:val="center"/>
            <w:hideMark/>
          </w:tcPr>
          <w:p w14:paraId="584A96F8" w14:textId="77777777" w:rsidR="00123524" w:rsidRPr="004117C9" w:rsidRDefault="00123524" w:rsidP="001E30FC">
            <w:pPr>
              <w:spacing w:after="0" w:line="240" w:lineRule="auto"/>
              <w:jc w:val="right"/>
              <w:rPr>
                <w:rFonts w:ascii="Times New Roman" w:eastAsia="Times New Roman" w:hAnsi="Times New Roman" w:cs="Times New Roman"/>
                <w:b/>
                <w:bCs/>
                <w:color w:val="000000"/>
              </w:rPr>
            </w:pPr>
            <w:r w:rsidRPr="004117C9">
              <w:rPr>
                <w:rFonts w:ascii="Times New Roman" w:eastAsia="Times New Roman" w:hAnsi="Times New Roman" w:cs="Times New Roman"/>
                <w:b/>
                <w:bCs/>
                <w:color w:val="000000"/>
              </w:rPr>
              <w:t>351,69</w:t>
            </w:r>
          </w:p>
        </w:tc>
      </w:tr>
    </w:tbl>
    <w:p w14:paraId="3DCD73BF" w14:textId="77777777" w:rsidR="00123524" w:rsidRPr="00C42226" w:rsidRDefault="00123524" w:rsidP="00112045">
      <w:pPr>
        <w:spacing w:after="0" w:line="276" w:lineRule="auto"/>
        <w:jc w:val="both"/>
        <w:rPr>
          <w:rFonts w:ascii="Times New Roman" w:eastAsia="Times New Roman" w:hAnsi="Times New Roman" w:cs="Times New Roman"/>
          <w:sz w:val="24"/>
          <w:szCs w:val="24"/>
        </w:rPr>
      </w:pPr>
    </w:p>
    <w:p w14:paraId="5F4F427D" w14:textId="2A84E17A" w:rsidR="00CF01AA" w:rsidRDefault="00CF01AA" w:rsidP="004E229C">
      <w:pPr>
        <w:spacing w:after="120" w:line="276" w:lineRule="auto"/>
        <w:jc w:val="both"/>
        <w:rPr>
          <w:rFonts w:ascii="Times New Roman" w:hAnsi="Times New Roman" w:cs="Times New Roman"/>
          <w:color w:val="212121"/>
          <w:sz w:val="24"/>
          <w:szCs w:val="24"/>
        </w:rPr>
      </w:pPr>
      <w:r>
        <w:rPr>
          <w:rFonts w:ascii="Times New Roman" w:eastAsia="Times New Roman" w:hAnsi="Times New Roman" w:cs="Times New Roman"/>
          <w:sz w:val="24"/>
          <w:szCs w:val="24"/>
        </w:rPr>
        <w:t xml:space="preserve">Iepriekšminētās izmaksas tika aktualizētas, ņemot vērā IZM padotībā esošo profesionālās izglītības iestāžu sniegtos priekšlikumus. IZM aicināja izglītības iestādes </w:t>
      </w:r>
      <w:r w:rsidRPr="00340935">
        <w:rPr>
          <w:rFonts w:ascii="Times New Roman" w:hAnsi="Times New Roman" w:cs="Times New Roman"/>
          <w:color w:val="212121"/>
          <w:sz w:val="24"/>
          <w:szCs w:val="24"/>
        </w:rPr>
        <w:t>pārskatīt ne tikai MK noteikumos Nr. 655 noteikt</w:t>
      </w:r>
      <w:r>
        <w:rPr>
          <w:rFonts w:ascii="Times New Roman" w:hAnsi="Times New Roman" w:cs="Times New Roman"/>
          <w:color w:val="212121"/>
          <w:sz w:val="24"/>
          <w:szCs w:val="24"/>
        </w:rPr>
        <w:t>ās izglītības programmu grupas “Vadība un administrēšana”</w:t>
      </w:r>
      <w:r w:rsidRPr="00340935">
        <w:rPr>
          <w:rFonts w:ascii="Times New Roman" w:hAnsi="Times New Roman" w:cs="Times New Roman"/>
          <w:color w:val="212121"/>
          <w:sz w:val="24"/>
          <w:szCs w:val="24"/>
        </w:rPr>
        <w:t xml:space="preserve"> normējamās izmaksas uz vie</w:t>
      </w:r>
      <w:r>
        <w:rPr>
          <w:rFonts w:ascii="Times New Roman" w:hAnsi="Times New Roman" w:cs="Times New Roman"/>
          <w:color w:val="212121"/>
          <w:sz w:val="24"/>
          <w:szCs w:val="24"/>
        </w:rPr>
        <w:t>nu izglītojamo, bet arī pārējo i</w:t>
      </w:r>
      <w:r w:rsidRPr="00340935">
        <w:rPr>
          <w:rFonts w:ascii="Times New Roman" w:hAnsi="Times New Roman" w:cs="Times New Roman"/>
          <w:color w:val="212121"/>
          <w:sz w:val="24"/>
          <w:szCs w:val="24"/>
        </w:rPr>
        <w:t>zglītības</w:t>
      </w:r>
      <w:r>
        <w:rPr>
          <w:rFonts w:ascii="Times New Roman" w:hAnsi="Times New Roman" w:cs="Times New Roman"/>
          <w:color w:val="212121"/>
          <w:sz w:val="24"/>
          <w:szCs w:val="24"/>
        </w:rPr>
        <w:t xml:space="preserve"> programmu grupu, kas ietilpst i</w:t>
      </w:r>
      <w:r w:rsidRPr="00340935">
        <w:rPr>
          <w:rFonts w:ascii="Times New Roman" w:hAnsi="Times New Roman" w:cs="Times New Roman"/>
          <w:color w:val="212121"/>
          <w:sz w:val="24"/>
          <w:szCs w:val="24"/>
        </w:rPr>
        <w:t xml:space="preserve">zglītības tematiskās jomas </w:t>
      </w:r>
      <w:r>
        <w:rPr>
          <w:rFonts w:ascii="Times New Roman" w:hAnsi="Times New Roman" w:cs="Times New Roman"/>
          <w:color w:val="212121"/>
          <w:sz w:val="24"/>
          <w:szCs w:val="24"/>
        </w:rPr>
        <w:t>“Komerczinības un administrēšana”</w:t>
      </w:r>
      <w:r w:rsidRPr="00340935">
        <w:rPr>
          <w:rFonts w:ascii="Times New Roman" w:hAnsi="Times New Roman" w:cs="Times New Roman"/>
          <w:color w:val="212121"/>
          <w:sz w:val="24"/>
          <w:szCs w:val="24"/>
        </w:rPr>
        <w:t xml:space="preserve"> ietvaros (saskaņā ar MK noteikumu Nr. 655 3.pielikumu)</w:t>
      </w:r>
      <w:r>
        <w:rPr>
          <w:rFonts w:ascii="Times New Roman" w:hAnsi="Times New Roman" w:cs="Times New Roman"/>
          <w:color w:val="212121"/>
          <w:sz w:val="24"/>
          <w:szCs w:val="24"/>
        </w:rPr>
        <w:t>,</w:t>
      </w:r>
      <w:r w:rsidRPr="00340935">
        <w:rPr>
          <w:rFonts w:ascii="Times New Roman" w:hAnsi="Times New Roman" w:cs="Times New Roman"/>
          <w:color w:val="212121"/>
          <w:sz w:val="24"/>
          <w:szCs w:val="24"/>
        </w:rPr>
        <w:t xml:space="preserve"> normējamās izmaksas uz vienu izglītojamo gadā un sniegt aprēķinos balstītus priekšlikumus attiecīgās </w:t>
      </w:r>
      <w:r>
        <w:rPr>
          <w:rFonts w:ascii="Times New Roman" w:hAnsi="Times New Roman" w:cs="Times New Roman"/>
          <w:color w:val="212121"/>
          <w:sz w:val="24"/>
          <w:szCs w:val="24"/>
        </w:rPr>
        <w:t xml:space="preserve">izglītības </w:t>
      </w:r>
      <w:r w:rsidRPr="00340935">
        <w:rPr>
          <w:rFonts w:ascii="Times New Roman" w:hAnsi="Times New Roman" w:cs="Times New Roman"/>
          <w:color w:val="212121"/>
          <w:sz w:val="24"/>
          <w:szCs w:val="24"/>
        </w:rPr>
        <w:t xml:space="preserve">programmu grupas izmaksām, tās aktualizējot, pamatojoties uz izglītības programmu grupas īstenošanai potenciāli nepieciešamajām izmaksām. </w:t>
      </w:r>
    </w:p>
    <w:p w14:paraId="38D44CA7" w14:textId="77777777" w:rsidR="004830A6" w:rsidRDefault="00CF01AA" w:rsidP="004E229C">
      <w:pPr>
        <w:spacing w:after="120" w:line="276"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IZM sniegtos priekšlikumus izmaksu aktualizācijai izvērtēja, ņemot vērā nekustamā īpašuma nodokļa likmes, elektroenerģijas un siltumenerģijas tarifu izmaiņas, kā arī patēriņa cenu pārmaiņu</w:t>
      </w:r>
      <w:r w:rsidRPr="003531E8">
        <w:rPr>
          <w:rFonts w:ascii="Times New Roman" w:hAnsi="Times New Roman" w:cs="Times New Roman"/>
          <w:color w:val="212121"/>
          <w:sz w:val="24"/>
          <w:szCs w:val="24"/>
        </w:rPr>
        <w:t xml:space="preserve"> (inflācija</w:t>
      </w:r>
      <w:r>
        <w:rPr>
          <w:rFonts w:ascii="Times New Roman" w:hAnsi="Times New Roman" w:cs="Times New Roman"/>
          <w:color w:val="212121"/>
          <w:sz w:val="24"/>
          <w:szCs w:val="24"/>
        </w:rPr>
        <w:t>s</w:t>
      </w:r>
      <w:r w:rsidRPr="003531E8">
        <w:rPr>
          <w:rFonts w:ascii="Times New Roman" w:hAnsi="Times New Roman" w:cs="Times New Roman"/>
          <w:color w:val="212121"/>
          <w:sz w:val="24"/>
          <w:szCs w:val="24"/>
        </w:rPr>
        <w:t>)</w:t>
      </w:r>
      <w:r>
        <w:rPr>
          <w:rFonts w:ascii="Times New Roman" w:hAnsi="Times New Roman" w:cs="Times New Roman"/>
          <w:color w:val="212121"/>
          <w:sz w:val="24"/>
          <w:szCs w:val="24"/>
        </w:rPr>
        <w:t xml:space="preserve"> rādītāja izmaiņas kopš 2007.gada (pieaugums 26,7% apmērā) saskaņā ar Centrālās statistikas pārvaldes datiem. </w:t>
      </w:r>
      <w:r w:rsidR="004830A6" w:rsidRPr="004830A6">
        <w:rPr>
          <w:rFonts w:ascii="Times New Roman" w:hAnsi="Times New Roman" w:cs="Times New Roman"/>
          <w:color w:val="212121"/>
          <w:sz w:val="24"/>
          <w:szCs w:val="24"/>
        </w:rPr>
        <w:t xml:space="preserve">Tāpat arī ņemts vērā vidējais izmaiņu indekss (kumulatīvi) 2008.gadā 1,58, FM sagatavotajā informatīvajā ziņojumā “Par valsts budžeta izdevumu pārskatīšanas 2018., 2019. un 2020.gadam rezultātiem un priekšlikumi par šo </w:t>
      </w:r>
      <w:r w:rsidR="004830A6" w:rsidRPr="004830A6">
        <w:rPr>
          <w:rFonts w:ascii="Times New Roman" w:hAnsi="Times New Roman" w:cs="Times New Roman"/>
          <w:color w:val="212121"/>
          <w:sz w:val="24"/>
          <w:szCs w:val="24"/>
        </w:rPr>
        <w:lastRenderedPageBreak/>
        <w:t>rezultātu izmantošanu likumprojekta “Par vidēja termiņa budžeta 2018., 2019. un 2020.gadam” un likumprojekta “Par valsts budžetu 2018.gadam” izstrādes procesā” tabulā Nr.3.31. “MPK cenrāžu ieņēmumu aktualizācijai piemērotie izmaksu izmaiņu indeksi”.</w:t>
      </w:r>
      <w:r w:rsidR="004830A6">
        <w:rPr>
          <w:rFonts w:ascii="Times New Roman" w:hAnsi="Times New Roman" w:cs="Times New Roman"/>
          <w:color w:val="212121"/>
          <w:sz w:val="24"/>
          <w:szCs w:val="24"/>
        </w:rPr>
        <w:t xml:space="preserve"> </w:t>
      </w:r>
    </w:p>
    <w:p w14:paraId="6F82F98F" w14:textId="7F9C2FB1" w:rsidR="00472B05" w:rsidRDefault="00CF01AA" w:rsidP="004E229C">
      <w:pPr>
        <w:spacing w:after="120" w:line="276" w:lineRule="auto"/>
        <w:jc w:val="both"/>
        <w:rPr>
          <w:rFonts w:ascii="Times New Roman" w:eastAsia="Times New Roman" w:hAnsi="Times New Roman" w:cs="Times New Roman"/>
          <w:sz w:val="24"/>
          <w:szCs w:val="24"/>
        </w:rPr>
      </w:pPr>
      <w:r>
        <w:rPr>
          <w:rFonts w:ascii="Times New Roman" w:hAnsi="Times New Roman" w:cs="Times New Roman"/>
          <w:color w:val="212121"/>
          <w:sz w:val="24"/>
          <w:szCs w:val="24"/>
        </w:rPr>
        <w:t xml:space="preserve">Aktualizētās izmaksas savas kompetences ietvaros tika aicinātas izvērtēt arī </w:t>
      </w:r>
      <w:r>
        <w:rPr>
          <w:rFonts w:ascii="Times New Roman" w:eastAsia="Times New Roman" w:hAnsi="Times New Roman" w:cs="Times New Roman"/>
          <w:sz w:val="24"/>
          <w:szCs w:val="24"/>
        </w:rPr>
        <w:t>Labklājības ministrija, Kultūras ministrija, Veselības ministrija un Zemkopības ministrija, ņemot vērā, ka šo ministriju</w:t>
      </w:r>
      <w:r w:rsidRPr="00C42226">
        <w:rPr>
          <w:rFonts w:ascii="Times New Roman" w:eastAsia="Times New Roman" w:hAnsi="Times New Roman" w:cs="Times New Roman"/>
          <w:sz w:val="24"/>
          <w:szCs w:val="24"/>
        </w:rPr>
        <w:t xml:space="preserve"> padotībā esošās izglītības iestādes īsteno profe</w:t>
      </w:r>
      <w:r>
        <w:rPr>
          <w:rFonts w:ascii="Times New Roman" w:eastAsia="Times New Roman" w:hAnsi="Times New Roman" w:cs="Times New Roman"/>
          <w:sz w:val="24"/>
          <w:szCs w:val="24"/>
        </w:rPr>
        <w:t>sionālās izglītības programmas. Ministrijas sniedza konceptuālu atbalstu bāzes izmaksu palielināšanai līdz 624,86 EUR un dienesta viesnīcu izmaksu palielināšanai līdz 351,69 EUR</w:t>
      </w:r>
      <w:r w:rsidRPr="00C422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Tāpat arī iesniedza</w:t>
      </w:r>
      <w:r w:rsidRPr="00C42226">
        <w:rPr>
          <w:rFonts w:ascii="Times New Roman" w:eastAsia="Times New Roman" w:hAnsi="Times New Roman" w:cs="Times New Roman"/>
          <w:sz w:val="24"/>
          <w:szCs w:val="24"/>
        </w:rPr>
        <w:t xml:space="preserve"> aprēķinus par papildus nepieciešamo finansējumu, ja </w:t>
      </w:r>
      <w:r w:rsidR="00673D9F">
        <w:rPr>
          <w:rFonts w:ascii="Times New Roman" w:eastAsia="Times New Roman" w:hAnsi="Times New Roman" w:cs="Times New Roman"/>
          <w:sz w:val="24"/>
          <w:szCs w:val="24"/>
        </w:rPr>
        <w:t xml:space="preserve">profesionālās izglītības programmu īstenošanas </w:t>
      </w:r>
      <w:r w:rsidRPr="00C42226">
        <w:rPr>
          <w:rFonts w:ascii="Times New Roman" w:eastAsia="Times New Roman" w:hAnsi="Times New Roman" w:cs="Times New Roman"/>
          <w:sz w:val="24"/>
          <w:szCs w:val="24"/>
        </w:rPr>
        <w:t>izmaksas tiktu palielinātas iepriekš minētajā apmērā.</w:t>
      </w:r>
      <w:r>
        <w:rPr>
          <w:rFonts w:ascii="Times New Roman" w:eastAsia="Times New Roman" w:hAnsi="Times New Roman" w:cs="Times New Roman"/>
          <w:sz w:val="24"/>
          <w:szCs w:val="24"/>
        </w:rPr>
        <w:t xml:space="preserve"> Kultūras ministrija informēja, ka </w:t>
      </w:r>
      <w:r w:rsidRPr="00F22AE2">
        <w:rPr>
          <w:rFonts w:ascii="Times New Roman" w:eastAsia="Times New Roman" w:hAnsi="Times New Roman" w:cs="Times New Roman"/>
          <w:sz w:val="24"/>
          <w:szCs w:val="24"/>
        </w:rPr>
        <w:t>konceptuāli atbalsta nepieciešamību pārskatīt profesionālās izglītības programmu īstenošanas izmaksu minimuma apmēru,</w:t>
      </w:r>
      <w:r>
        <w:rPr>
          <w:rFonts w:ascii="Times New Roman" w:eastAsia="Times New Roman" w:hAnsi="Times New Roman" w:cs="Times New Roman"/>
          <w:sz w:val="24"/>
          <w:szCs w:val="24"/>
        </w:rPr>
        <w:t xml:space="preserve"> ņemot vērā, ka tas nav ticis darīts vairākus gadus</w:t>
      </w:r>
      <w:r w:rsidRPr="00F22AE2">
        <w:rPr>
          <w:rFonts w:ascii="Times New Roman" w:eastAsia="Times New Roman" w:hAnsi="Times New Roman" w:cs="Times New Roman"/>
          <w:sz w:val="24"/>
          <w:szCs w:val="24"/>
        </w:rPr>
        <w:t xml:space="preserve"> un tas ir nepietiekams faktisko izdevumu segšanai.</w:t>
      </w:r>
    </w:p>
    <w:p w14:paraId="418D6347" w14:textId="644FBFFC" w:rsidR="00CF01AA" w:rsidRDefault="00CF01AA" w:rsidP="004E229C">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Tāpat arī Kultūras ministrija iesniedza </w:t>
      </w:r>
      <w:r w:rsidRPr="00F22AE2">
        <w:rPr>
          <w:rFonts w:ascii="Times New Roman" w:eastAsia="Times New Roman" w:hAnsi="Times New Roman" w:cs="Times New Roman"/>
          <w:sz w:val="24"/>
          <w:szCs w:val="24"/>
        </w:rPr>
        <w:t>papildu nepieciešamā finansējuma aprēķinu</w:t>
      </w:r>
      <w:r w:rsidR="00472B05">
        <w:rPr>
          <w:rFonts w:ascii="Times New Roman" w:eastAsia="Times New Roman" w:hAnsi="Times New Roman" w:cs="Times New Roman"/>
          <w:sz w:val="24"/>
          <w:szCs w:val="24"/>
        </w:rPr>
        <w:t xml:space="preserve"> par tās padotībā esošajām izglītības iestādēm nepieciešamo finansējumu normējamo izmaksu un dienesta viesnīcas </w:t>
      </w:r>
      <w:r w:rsidRPr="00F22AE2">
        <w:rPr>
          <w:rFonts w:ascii="Times New Roman" w:eastAsia="Times New Roman" w:hAnsi="Times New Roman" w:cs="Times New Roman"/>
          <w:sz w:val="24"/>
          <w:szCs w:val="24"/>
        </w:rPr>
        <w:t>izd</w:t>
      </w:r>
      <w:r>
        <w:rPr>
          <w:rFonts w:ascii="Times New Roman" w:eastAsia="Times New Roman" w:hAnsi="Times New Roman" w:cs="Times New Roman"/>
          <w:sz w:val="24"/>
          <w:szCs w:val="24"/>
        </w:rPr>
        <w:t xml:space="preserve">evumu palielināšanai, turpmāk ik gadu būtu nepieciešami papildus </w:t>
      </w:r>
      <w:r w:rsidR="00673D9F">
        <w:rPr>
          <w:rFonts w:ascii="Times New Roman" w:eastAsia="Times New Roman" w:hAnsi="Times New Roman" w:cs="Times New Roman"/>
          <w:sz w:val="24"/>
          <w:szCs w:val="24"/>
        </w:rPr>
        <w:t>940 </w:t>
      </w:r>
      <w:r w:rsidR="00472B05">
        <w:rPr>
          <w:rFonts w:ascii="Times New Roman" w:eastAsia="Times New Roman" w:hAnsi="Times New Roman" w:cs="Times New Roman"/>
          <w:sz w:val="24"/>
          <w:szCs w:val="24"/>
        </w:rPr>
        <w:t>840</w:t>
      </w:r>
      <w:r w:rsidRPr="00F22A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EUR (t.sk. </w:t>
      </w:r>
      <w:r w:rsidR="00472B05">
        <w:rPr>
          <w:rFonts w:ascii="Times New Roman" w:eastAsia="Times New Roman" w:hAnsi="Times New Roman" w:cs="Times New Roman"/>
          <w:sz w:val="24"/>
          <w:szCs w:val="24"/>
        </w:rPr>
        <w:t>27 229</w:t>
      </w:r>
      <w:r>
        <w:rPr>
          <w:rFonts w:ascii="Times New Roman" w:eastAsia="Times New Roman" w:hAnsi="Times New Roman" w:cs="Times New Roman"/>
          <w:sz w:val="24"/>
          <w:szCs w:val="24"/>
        </w:rPr>
        <w:t xml:space="preserve"> EUR dienesta viesnīcu uzturēšanas izdevumiem). Labklājības ministrija informēja, ka izglītības programmu izmaksas </w:t>
      </w:r>
      <w:r w:rsidRPr="00703FDC">
        <w:rPr>
          <w:rFonts w:ascii="Times New Roman" w:eastAsia="Times New Roman" w:hAnsi="Times New Roman" w:cs="Times New Roman"/>
          <w:sz w:val="24"/>
          <w:szCs w:val="24"/>
        </w:rPr>
        <w:t>Sociālās integrācijas valsts aģentūras Jūrmalas profesionālā</w:t>
      </w:r>
      <w:r>
        <w:rPr>
          <w:rFonts w:ascii="Times New Roman" w:eastAsia="Times New Roman" w:hAnsi="Times New Roman" w:cs="Times New Roman"/>
          <w:sz w:val="24"/>
          <w:szCs w:val="24"/>
        </w:rPr>
        <w:t>s</w:t>
      </w:r>
      <w:r w:rsidRPr="00703FDC">
        <w:rPr>
          <w:rFonts w:ascii="Times New Roman" w:eastAsia="Times New Roman" w:hAnsi="Times New Roman" w:cs="Times New Roman"/>
          <w:sz w:val="24"/>
          <w:szCs w:val="24"/>
        </w:rPr>
        <w:t xml:space="preserve"> vidusskola</w:t>
      </w:r>
      <w:r>
        <w:rPr>
          <w:rFonts w:ascii="Times New Roman" w:eastAsia="Times New Roman" w:hAnsi="Times New Roman" w:cs="Times New Roman"/>
          <w:sz w:val="24"/>
          <w:szCs w:val="24"/>
        </w:rPr>
        <w:t>s īstenotajās</w:t>
      </w:r>
      <w:r w:rsidRPr="00703FDC">
        <w:rPr>
          <w:rFonts w:ascii="Times New Roman" w:eastAsia="Times New Roman" w:hAnsi="Times New Roman" w:cs="Times New Roman"/>
          <w:sz w:val="24"/>
          <w:szCs w:val="24"/>
        </w:rPr>
        <w:t xml:space="preserve"> profesionālās rehabilitācijas mācību programmās jau šobrīd ir augstākas par MK noteikumos </w:t>
      </w:r>
      <w:r>
        <w:rPr>
          <w:rFonts w:ascii="Times New Roman" w:eastAsia="Times New Roman" w:hAnsi="Times New Roman" w:cs="Times New Roman"/>
          <w:sz w:val="24"/>
          <w:szCs w:val="24"/>
        </w:rPr>
        <w:t>Nr. 655 minētajām minimālajām izmaksām un papildus norādīja, ka</w:t>
      </w:r>
      <w:r w:rsidRPr="00703FDC">
        <w:rPr>
          <w:rFonts w:ascii="Times New Roman" w:eastAsia="Times New Roman" w:hAnsi="Times New Roman" w:cs="Times New Roman"/>
          <w:sz w:val="24"/>
          <w:szCs w:val="24"/>
        </w:rPr>
        <w:t xml:space="preserve"> MK noteikumus </w:t>
      </w:r>
      <w:r>
        <w:rPr>
          <w:rFonts w:ascii="Times New Roman" w:eastAsia="Times New Roman" w:hAnsi="Times New Roman" w:cs="Times New Roman"/>
          <w:sz w:val="24"/>
          <w:szCs w:val="24"/>
        </w:rPr>
        <w:t>Nr. 655 savā darbā neizmanto</w:t>
      </w:r>
      <w:r w:rsidRPr="00703F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Veselības ministrija informēja, ka </w:t>
      </w:r>
      <w:r w:rsidRPr="009155A0">
        <w:rPr>
          <w:rFonts w:ascii="Times New Roman" w:eastAsia="Times New Roman" w:hAnsi="Times New Roman" w:cs="Times New Roman"/>
          <w:sz w:val="24"/>
          <w:szCs w:val="24"/>
        </w:rPr>
        <w:t>Rīgas Stradiņa universitātes S</w:t>
      </w:r>
      <w:r>
        <w:rPr>
          <w:rFonts w:ascii="Times New Roman" w:eastAsia="Times New Roman" w:hAnsi="Times New Roman" w:cs="Times New Roman"/>
          <w:sz w:val="24"/>
          <w:szCs w:val="24"/>
        </w:rPr>
        <w:t xml:space="preserve">arkanā Krusta medicīnas koledžas īstenoto profesionālās izglītības programmu īstenošanai turpmāk būtu nepieciešami </w:t>
      </w:r>
      <w:r w:rsidRPr="009155A0">
        <w:rPr>
          <w:rFonts w:ascii="Times New Roman" w:eastAsia="Times New Roman" w:hAnsi="Times New Roman" w:cs="Times New Roman"/>
          <w:sz w:val="24"/>
          <w:szCs w:val="24"/>
        </w:rPr>
        <w:t xml:space="preserve">papildus </w:t>
      </w:r>
      <w:r w:rsidR="003319A7">
        <w:rPr>
          <w:rFonts w:ascii="Times New Roman" w:eastAsia="Times New Roman" w:hAnsi="Times New Roman" w:cs="Times New Roman"/>
          <w:sz w:val="24"/>
          <w:szCs w:val="24"/>
        </w:rPr>
        <w:t>38 </w:t>
      </w:r>
      <w:r>
        <w:rPr>
          <w:rFonts w:ascii="Times New Roman" w:eastAsia="Times New Roman" w:hAnsi="Times New Roman" w:cs="Times New Roman"/>
          <w:sz w:val="24"/>
          <w:szCs w:val="24"/>
        </w:rPr>
        <w:t xml:space="preserve">761 EUR gadā (t.sk. 10 002 EUR dienesta viesnīcu uzturēšanas izdevumiem). Saskaņā ar Zemkopības ministrijas aprēķiniem </w:t>
      </w:r>
      <w:r w:rsidRPr="00187113">
        <w:rPr>
          <w:rFonts w:ascii="Times New Roman" w:eastAsia="Times New Roman" w:hAnsi="Times New Roman" w:cs="Times New Roman"/>
          <w:sz w:val="24"/>
          <w:szCs w:val="24"/>
        </w:rPr>
        <w:t>Sabiedrība</w:t>
      </w:r>
      <w:r>
        <w:rPr>
          <w:rFonts w:ascii="Times New Roman" w:eastAsia="Times New Roman" w:hAnsi="Times New Roman" w:cs="Times New Roman"/>
          <w:sz w:val="24"/>
          <w:szCs w:val="24"/>
        </w:rPr>
        <w:t>s ar ierobežotu atbildību “Bulduru Dārzkopības vidusskola” profesionālās izglītības programmu īstenošanai papild</w:t>
      </w:r>
      <w:r w:rsidR="003319A7">
        <w:rPr>
          <w:rFonts w:ascii="Times New Roman" w:eastAsia="Times New Roman" w:hAnsi="Times New Roman" w:cs="Times New Roman"/>
          <w:sz w:val="24"/>
          <w:szCs w:val="24"/>
        </w:rPr>
        <w:t>us ik gadu būtu nepieciešami 60 </w:t>
      </w:r>
      <w:r>
        <w:rPr>
          <w:rFonts w:ascii="Times New Roman" w:eastAsia="Times New Roman" w:hAnsi="Times New Roman" w:cs="Times New Roman"/>
          <w:sz w:val="24"/>
          <w:szCs w:val="24"/>
        </w:rPr>
        <w:t xml:space="preserve">055 EUR (t.sk. </w:t>
      </w:r>
      <w:r w:rsidR="003319A7">
        <w:rPr>
          <w:rFonts w:ascii="Times New Roman" w:eastAsia="Times New Roman" w:hAnsi="Times New Roman" w:cs="Times New Roman"/>
          <w:sz w:val="24"/>
          <w:szCs w:val="24"/>
        </w:rPr>
        <w:t>12 </w:t>
      </w:r>
      <w:r w:rsidR="009B14D1">
        <w:rPr>
          <w:rFonts w:ascii="Times New Roman" w:eastAsia="Times New Roman" w:hAnsi="Times New Roman" w:cs="Times New Roman"/>
          <w:sz w:val="24"/>
          <w:szCs w:val="24"/>
        </w:rPr>
        <w:t>850</w:t>
      </w:r>
      <w:r>
        <w:rPr>
          <w:rFonts w:ascii="Times New Roman" w:eastAsia="Times New Roman" w:hAnsi="Times New Roman" w:cs="Times New Roman"/>
          <w:sz w:val="24"/>
          <w:szCs w:val="24"/>
        </w:rPr>
        <w:t xml:space="preserve"> EUR dienesta viesnīcu uzturēšanas izdevumiem).</w:t>
      </w:r>
    </w:p>
    <w:p w14:paraId="4DC4BD75" w14:textId="5420F92B" w:rsidR="000B246D" w:rsidRDefault="00CF01AA" w:rsidP="004E229C">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IZM veiktajiem aprēķiniem ministrijas padotībā esošo izglītības iestāžu profesionālās izglītības programmu īstenošanai, palielinot normējamo izmaksu apmēru  uz vienu izglītojamo gadā papildus no valsts budžeta būtu nepieciešami 5,9 milj. EUR (t.sk. 521</w:t>
      </w:r>
      <w:r w:rsidR="003319A7">
        <w:rPr>
          <w:rFonts w:ascii="Times New Roman" w:eastAsia="Times New Roman" w:hAnsi="Times New Roman" w:cs="Times New Roman"/>
          <w:sz w:val="24"/>
          <w:szCs w:val="24"/>
        </w:rPr>
        <w:t> </w:t>
      </w:r>
      <w:r>
        <w:rPr>
          <w:rFonts w:ascii="Times New Roman" w:eastAsia="Times New Roman" w:hAnsi="Times New Roman" w:cs="Times New Roman"/>
          <w:sz w:val="24"/>
          <w:szCs w:val="24"/>
        </w:rPr>
        <w:t>782 EUR dienesta viesnīcu uzturēšanas izdevumiem).</w:t>
      </w:r>
      <w:r w:rsidR="00455E00">
        <w:rPr>
          <w:rFonts w:ascii="Times New Roman" w:eastAsia="Times New Roman" w:hAnsi="Times New Roman" w:cs="Times New Roman"/>
          <w:sz w:val="24"/>
          <w:szCs w:val="24"/>
        </w:rPr>
        <w:t xml:space="preserve"> Šādu izmaiņu īstenošana saistīta ar </w:t>
      </w:r>
      <w:r w:rsidR="00455E00" w:rsidRPr="00563F65">
        <w:rPr>
          <w:rFonts w:ascii="Times New Roman" w:eastAsia="Times New Roman" w:hAnsi="Times New Roman" w:cs="Times New Roman"/>
          <w:sz w:val="24"/>
          <w:szCs w:val="24"/>
        </w:rPr>
        <w:t>grozījumu veikšanu MK noteikumos Nr. 655, kas radītu finansi</w:t>
      </w:r>
      <w:r w:rsidR="0085398B" w:rsidRPr="00563F65">
        <w:rPr>
          <w:rFonts w:ascii="Times New Roman" w:eastAsia="Times New Roman" w:hAnsi="Times New Roman" w:cs="Times New Roman"/>
          <w:sz w:val="24"/>
          <w:szCs w:val="24"/>
        </w:rPr>
        <w:t>ālu ietekmi uz valsts budžetu</w:t>
      </w:r>
      <w:r w:rsidR="00455E00" w:rsidRPr="00563F65">
        <w:rPr>
          <w:rFonts w:ascii="Times New Roman" w:eastAsia="Times New Roman" w:hAnsi="Times New Roman" w:cs="Times New Roman"/>
          <w:sz w:val="24"/>
          <w:szCs w:val="24"/>
        </w:rPr>
        <w:t>.</w:t>
      </w:r>
      <w:r w:rsidR="00F87588">
        <w:rPr>
          <w:rFonts w:ascii="Times New Roman" w:eastAsia="Times New Roman" w:hAnsi="Times New Roman" w:cs="Times New Roman"/>
          <w:sz w:val="24"/>
          <w:szCs w:val="24"/>
        </w:rPr>
        <w:t xml:space="preserve"> </w:t>
      </w:r>
    </w:p>
    <w:p w14:paraId="16293A5A" w14:textId="05D28126" w:rsidR="003319A7" w:rsidRDefault="003319A7" w:rsidP="004E229C">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IZM priekšlikuma īstenošanai paredz divus iespējamos scenārijus bāzes finansējuma palielināšanai:</w:t>
      </w:r>
    </w:p>
    <w:p w14:paraId="6461B557" w14:textId="06BF1329" w:rsidR="003319A7" w:rsidRDefault="003319A7" w:rsidP="00A510E4">
      <w:pPr>
        <w:pStyle w:val="ListParagraph"/>
        <w:numPr>
          <w:ilvl w:val="0"/>
          <w:numId w:val="7"/>
        </w:numPr>
        <w:spacing w:after="120" w:line="276" w:lineRule="auto"/>
        <w:ind w:left="714" w:hanging="357"/>
        <w:contextualSpacing w:val="0"/>
        <w:jc w:val="both"/>
        <w:rPr>
          <w:rFonts w:ascii="Times New Roman" w:eastAsia="Times New Roman" w:hAnsi="Times New Roman" w:cs="Times New Roman"/>
          <w:sz w:val="24"/>
          <w:szCs w:val="24"/>
        </w:rPr>
      </w:pPr>
      <w:r w:rsidRPr="00C42226">
        <w:rPr>
          <w:rFonts w:ascii="Times New Roman" w:eastAsia="Times New Roman" w:hAnsi="Times New Roman" w:cs="Times New Roman"/>
          <w:sz w:val="24"/>
          <w:szCs w:val="24"/>
        </w:rPr>
        <w:t xml:space="preserve">Izglītības programmu grupas </w:t>
      </w:r>
      <w:r>
        <w:rPr>
          <w:rFonts w:ascii="Times New Roman" w:eastAsia="Times New Roman" w:hAnsi="Times New Roman" w:cs="Times New Roman"/>
          <w:sz w:val="24"/>
          <w:szCs w:val="24"/>
        </w:rPr>
        <w:t>“Vadība un administrēšana”</w:t>
      </w:r>
      <w:r w:rsidRPr="00C42226">
        <w:rPr>
          <w:rFonts w:ascii="Times New Roman" w:eastAsia="Times New Roman" w:hAnsi="Times New Roman" w:cs="Times New Roman"/>
          <w:sz w:val="24"/>
          <w:szCs w:val="24"/>
        </w:rPr>
        <w:t xml:space="preserve"> normējamās izmaksas uz vienu izglītojamo gadā</w:t>
      </w:r>
      <w:r>
        <w:rPr>
          <w:rFonts w:ascii="Times New Roman" w:eastAsia="Times New Roman" w:hAnsi="Times New Roman" w:cs="Times New Roman"/>
          <w:sz w:val="24"/>
          <w:szCs w:val="24"/>
        </w:rPr>
        <w:t xml:space="preserve">  </w:t>
      </w:r>
      <w:r w:rsidRPr="00C42226">
        <w:rPr>
          <w:rFonts w:ascii="Times New Roman" w:eastAsia="Times New Roman" w:hAnsi="Times New Roman" w:cs="Times New Roman"/>
          <w:sz w:val="24"/>
          <w:szCs w:val="24"/>
        </w:rPr>
        <w:t>624,86 EUR</w:t>
      </w:r>
      <w:r w:rsidR="00673D9F">
        <w:rPr>
          <w:rFonts w:ascii="Times New Roman" w:eastAsia="Times New Roman" w:hAnsi="Times New Roman" w:cs="Times New Roman"/>
          <w:sz w:val="24"/>
          <w:szCs w:val="24"/>
        </w:rPr>
        <w:t xml:space="preserve"> apmērā noteikt no 2022</w:t>
      </w:r>
      <w:r>
        <w:rPr>
          <w:rFonts w:ascii="Times New Roman" w:eastAsia="Times New Roman" w:hAnsi="Times New Roman" w:cs="Times New Roman"/>
          <w:sz w:val="24"/>
          <w:szCs w:val="24"/>
        </w:rPr>
        <w:t>.gada 1.janvāra – attiecīgi līdz tam nodrošinot nepieciešamo grozījumu veikšanu MK noteikumos Nr. 655 un pieteikuma iesniegšanu Finanšu ministrijai prioritārā pasākuma īstenošanai</w:t>
      </w:r>
      <w:r w:rsidR="008D0EA6">
        <w:rPr>
          <w:rFonts w:ascii="Times New Roman" w:eastAsia="Times New Roman" w:hAnsi="Times New Roman" w:cs="Times New Roman"/>
          <w:sz w:val="24"/>
          <w:szCs w:val="24"/>
        </w:rPr>
        <w:t xml:space="preserve">. </w:t>
      </w:r>
      <w:r w:rsidR="008D0EA6">
        <w:rPr>
          <w:rFonts w:ascii="Times New Roman" w:eastAsia="Times New Roman" w:hAnsi="Times New Roman" w:cs="Times New Roman"/>
          <w:sz w:val="24"/>
        </w:rPr>
        <w:t>Dienesta viesnīcu izmaksas n</w:t>
      </w:r>
      <w:r w:rsidR="00673D9F">
        <w:rPr>
          <w:rFonts w:ascii="Times New Roman" w:eastAsia="Times New Roman" w:hAnsi="Times New Roman" w:cs="Times New Roman"/>
          <w:sz w:val="24"/>
        </w:rPr>
        <w:t>o 2022</w:t>
      </w:r>
      <w:r w:rsidR="008D0EA6">
        <w:rPr>
          <w:rFonts w:ascii="Times New Roman" w:eastAsia="Times New Roman" w:hAnsi="Times New Roman" w:cs="Times New Roman"/>
          <w:sz w:val="24"/>
        </w:rPr>
        <w:t xml:space="preserve">.gada 1.janvāra </w:t>
      </w:r>
      <w:r w:rsidR="00253676">
        <w:rPr>
          <w:rFonts w:ascii="Times New Roman" w:eastAsia="Times New Roman" w:hAnsi="Times New Roman" w:cs="Times New Roman"/>
          <w:sz w:val="24"/>
        </w:rPr>
        <w:t>noteikt</w:t>
      </w:r>
      <w:r w:rsidR="008D0EA6">
        <w:rPr>
          <w:rFonts w:ascii="Times New Roman" w:eastAsia="Times New Roman" w:hAnsi="Times New Roman" w:cs="Times New Roman"/>
          <w:sz w:val="24"/>
        </w:rPr>
        <w:t xml:space="preserve"> </w:t>
      </w:r>
      <w:r w:rsidR="008D0EA6" w:rsidRPr="000F581B">
        <w:rPr>
          <w:rFonts w:ascii="Times New Roman" w:eastAsia="Times New Roman" w:hAnsi="Times New Roman" w:cs="Times New Roman"/>
          <w:sz w:val="24"/>
        </w:rPr>
        <w:t xml:space="preserve">351,69 </w:t>
      </w:r>
      <w:r w:rsidR="008D0EA6">
        <w:rPr>
          <w:rFonts w:ascii="Times New Roman" w:eastAsia="Times New Roman" w:hAnsi="Times New Roman" w:cs="Times New Roman"/>
          <w:sz w:val="24"/>
        </w:rPr>
        <w:t>EUR</w:t>
      </w:r>
      <w:r w:rsidR="00471728">
        <w:rPr>
          <w:rFonts w:ascii="Times New Roman" w:eastAsia="Times New Roman" w:hAnsi="Times New Roman" w:cs="Times New Roman"/>
          <w:sz w:val="24"/>
        </w:rPr>
        <w:t xml:space="preserve"> </w:t>
      </w:r>
      <w:r w:rsidR="00471728" w:rsidRPr="00563F65">
        <w:rPr>
          <w:rFonts w:ascii="Times New Roman" w:eastAsia="Times New Roman" w:hAnsi="Times New Roman" w:cs="Times New Roman"/>
          <w:sz w:val="24"/>
          <w:szCs w:val="24"/>
        </w:rPr>
        <w:t>(skatīt Tabula Nr. 3)</w:t>
      </w:r>
      <w:r>
        <w:rPr>
          <w:rFonts w:ascii="Times New Roman" w:eastAsia="Times New Roman" w:hAnsi="Times New Roman" w:cs="Times New Roman"/>
          <w:sz w:val="24"/>
          <w:szCs w:val="24"/>
        </w:rPr>
        <w:t>;</w:t>
      </w:r>
    </w:p>
    <w:p w14:paraId="63DEC4A7" w14:textId="32BE3BE9" w:rsidR="003319A7" w:rsidRPr="003319A7" w:rsidRDefault="003319A7" w:rsidP="00A510E4">
      <w:pPr>
        <w:pStyle w:val="ListParagraph"/>
        <w:numPr>
          <w:ilvl w:val="0"/>
          <w:numId w:val="7"/>
        </w:numPr>
        <w:spacing w:after="120" w:line="276" w:lineRule="auto"/>
        <w:ind w:left="714" w:hanging="357"/>
        <w:contextualSpacing w:val="0"/>
        <w:jc w:val="both"/>
        <w:rPr>
          <w:rFonts w:ascii="Times New Roman" w:eastAsia="Times New Roman" w:hAnsi="Times New Roman" w:cs="Times New Roman"/>
          <w:sz w:val="24"/>
          <w:szCs w:val="24"/>
        </w:rPr>
      </w:pPr>
      <w:r w:rsidRPr="00C42226">
        <w:rPr>
          <w:rFonts w:ascii="Times New Roman" w:eastAsia="Times New Roman" w:hAnsi="Times New Roman" w:cs="Times New Roman"/>
          <w:sz w:val="24"/>
          <w:szCs w:val="24"/>
        </w:rPr>
        <w:t xml:space="preserve">Izglītības programmu grupas </w:t>
      </w:r>
      <w:r>
        <w:rPr>
          <w:rFonts w:ascii="Times New Roman" w:eastAsia="Times New Roman" w:hAnsi="Times New Roman" w:cs="Times New Roman"/>
          <w:sz w:val="24"/>
          <w:szCs w:val="24"/>
        </w:rPr>
        <w:t>“Vadība un administrēšana”</w:t>
      </w:r>
      <w:r w:rsidRPr="00C42226">
        <w:rPr>
          <w:rFonts w:ascii="Times New Roman" w:eastAsia="Times New Roman" w:hAnsi="Times New Roman" w:cs="Times New Roman"/>
          <w:sz w:val="24"/>
          <w:szCs w:val="24"/>
        </w:rPr>
        <w:t xml:space="preserve"> normējamās izmaksas uz vienu izglītojamo gadā</w:t>
      </w:r>
      <w:r>
        <w:rPr>
          <w:rFonts w:ascii="Times New Roman" w:eastAsia="Times New Roman" w:hAnsi="Times New Roman" w:cs="Times New Roman"/>
          <w:sz w:val="24"/>
          <w:szCs w:val="24"/>
        </w:rPr>
        <w:t xml:space="preserve"> </w:t>
      </w:r>
      <w:r w:rsidRPr="00C42226">
        <w:rPr>
          <w:rFonts w:ascii="Times New Roman" w:eastAsia="Times New Roman" w:hAnsi="Times New Roman" w:cs="Times New Roman"/>
          <w:sz w:val="24"/>
          <w:szCs w:val="24"/>
        </w:rPr>
        <w:t>624,86 EUR</w:t>
      </w:r>
      <w:r>
        <w:rPr>
          <w:rFonts w:ascii="Times New Roman" w:eastAsia="Times New Roman" w:hAnsi="Times New Roman" w:cs="Times New Roman"/>
          <w:sz w:val="24"/>
          <w:szCs w:val="24"/>
        </w:rPr>
        <w:t xml:space="preserve"> apmērā noteikt pakāpeniski trīs </w:t>
      </w:r>
      <w:r w:rsidR="0021285C">
        <w:rPr>
          <w:rFonts w:ascii="Times New Roman" w:eastAsia="Times New Roman" w:hAnsi="Times New Roman" w:cs="Times New Roman"/>
          <w:sz w:val="24"/>
          <w:szCs w:val="24"/>
        </w:rPr>
        <w:t xml:space="preserve">kalendāro </w:t>
      </w:r>
      <w:r>
        <w:rPr>
          <w:rFonts w:ascii="Times New Roman" w:eastAsia="Times New Roman" w:hAnsi="Times New Roman" w:cs="Times New Roman"/>
          <w:sz w:val="24"/>
          <w:szCs w:val="24"/>
        </w:rPr>
        <w:t xml:space="preserve">gadu laikā – attiecīgi nodrošinot nepieciešamo grozījumu veikšanu MK noteikumos Nr. 655 un pakāpenisku bāzes </w:t>
      </w:r>
      <w:r w:rsidRPr="00563F65">
        <w:rPr>
          <w:rFonts w:ascii="Times New Roman" w:eastAsia="Times New Roman" w:hAnsi="Times New Roman" w:cs="Times New Roman"/>
          <w:sz w:val="24"/>
          <w:szCs w:val="24"/>
        </w:rPr>
        <w:t>finansējuma palielināšanu</w:t>
      </w:r>
      <w:r w:rsidR="0021285C" w:rsidRPr="00563F65">
        <w:rPr>
          <w:rFonts w:ascii="Times New Roman" w:eastAsia="Times New Roman" w:hAnsi="Times New Roman" w:cs="Times New Roman"/>
          <w:sz w:val="24"/>
          <w:szCs w:val="24"/>
        </w:rPr>
        <w:t>:</w:t>
      </w:r>
      <w:r w:rsidRPr="00563F65">
        <w:rPr>
          <w:rFonts w:ascii="Times New Roman" w:eastAsia="Times New Roman" w:hAnsi="Times New Roman" w:cs="Times New Roman"/>
          <w:sz w:val="24"/>
          <w:szCs w:val="24"/>
        </w:rPr>
        <w:t xml:space="preserve"> no</w:t>
      </w:r>
      <w:r w:rsidR="00673D9F">
        <w:rPr>
          <w:rFonts w:ascii="Times New Roman" w:eastAsia="Times New Roman" w:hAnsi="Times New Roman" w:cs="Times New Roman"/>
          <w:sz w:val="24"/>
          <w:szCs w:val="24"/>
        </w:rPr>
        <w:t xml:space="preserve"> 2022</w:t>
      </w:r>
      <w:r w:rsidR="0021285C" w:rsidRPr="00563F65">
        <w:rPr>
          <w:rFonts w:ascii="Times New Roman" w:eastAsia="Times New Roman" w:hAnsi="Times New Roman" w:cs="Times New Roman"/>
          <w:sz w:val="24"/>
          <w:szCs w:val="24"/>
        </w:rPr>
        <w:t xml:space="preserve">.gada </w:t>
      </w:r>
      <w:r w:rsidRPr="00563F65">
        <w:rPr>
          <w:rFonts w:ascii="Times New Roman" w:eastAsia="Times New Roman" w:hAnsi="Times New Roman" w:cs="Times New Roman"/>
          <w:sz w:val="24"/>
          <w:szCs w:val="24"/>
        </w:rPr>
        <w:t>nosakot bāzes</w:t>
      </w:r>
      <w:r w:rsidR="00673D9F">
        <w:rPr>
          <w:rFonts w:ascii="Times New Roman" w:eastAsia="Times New Roman" w:hAnsi="Times New Roman" w:cs="Times New Roman"/>
          <w:sz w:val="24"/>
          <w:szCs w:val="24"/>
        </w:rPr>
        <w:t xml:space="preserve"> </w:t>
      </w:r>
      <w:r w:rsidR="00673D9F">
        <w:rPr>
          <w:rFonts w:ascii="Times New Roman" w:eastAsia="Times New Roman" w:hAnsi="Times New Roman" w:cs="Times New Roman"/>
          <w:sz w:val="24"/>
          <w:szCs w:val="24"/>
        </w:rPr>
        <w:lastRenderedPageBreak/>
        <w:t>finansējumu 491,72 EUR; no 2023</w:t>
      </w:r>
      <w:r w:rsidRPr="00563F65">
        <w:rPr>
          <w:rFonts w:ascii="Times New Roman" w:eastAsia="Times New Roman" w:hAnsi="Times New Roman" w:cs="Times New Roman"/>
          <w:sz w:val="24"/>
          <w:szCs w:val="24"/>
        </w:rPr>
        <w:t xml:space="preserve">.gada </w:t>
      </w:r>
      <w:r w:rsidR="001B7B74" w:rsidRPr="00563F65">
        <w:rPr>
          <w:rFonts w:ascii="Times New Roman" w:eastAsia="Times New Roman" w:hAnsi="Times New Roman" w:cs="Times New Roman"/>
          <w:sz w:val="24"/>
        </w:rPr>
        <w:t>-</w:t>
      </w:r>
      <w:r w:rsidRPr="00563F65">
        <w:rPr>
          <w:rFonts w:ascii="Times New Roman" w:eastAsia="Times New Roman" w:hAnsi="Times New Roman" w:cs="Times New Roman"/>
          <w:sz w:val="24"/>
          <w:szCs w:val="24"/>
        </w:rPr>
        <w:t xml:space="preserve"> 558,29 EUR</w:t>
      </w:r>
      <w:r w:rsidR="0021285C" w:rsidRPr="00563F65">
        <w:rPr>
          <w:rFonts w:ascii="Times New Roman" w:eastAsia="Times New Roman" w:hAnsi="Times New Roman" w:cs="Times New Roman"/>
          <w:sz w:val="24"/>
          <w:szCs w:val="24"/>
        </w:rPr>
        <w:t xml:space="preserve"> un no </w:t>
      </w:r>
      <w:r w:rsidR="00673D9F">
        <w:rPr>
          <w:rFonts w:ascii="Times New Roman" w:eastAsia="Times New Roman" w:hAnsi="Times New Roman" w:cs="Times New Roman"/>
          <w:sz w:val="24"/>
          <w:szCs w:val="24"/>
        </w:rPr>
        <w:t>2024</w:t>
      </w:r>
      <w:r w:rsidRPr="00563F65">
        <w:rPr>
          <w:rFonts w:ascii="Times New Roman" w:eastAsia="Times New Roman" w:hAnsi="Times New Roman" w:cs="Times New Roman"/>
          <w:sz w:val="24"/>
          <w:szCs w:val="24"/>
        </w:rPr>
        <w:t xml:space="preserve">.gada </w:t>
      </w:r>
      <w:r w:rsidR="001B7B74" w:rsidRPr="00563F65">
        <w:rPr>
          <w:rFonts w:ascii="Times New Roman" w:eastAsia="Times New Roman" w:hAnsi="Times New Roman" w:cs="Times New Roman"/>
          <w:sz w:val="24"/>
        </w:rPr>
        <w:t>-</w:t>
      </w:r>
      <w:r w:rsidR="0021285C" w:rsidRPr="00563F65">
        <w:rPr>
          <w:rFonts w:ascii="Times New Roman" w:eastAsia="Times New Roman" w:hAnsi="Times New Roman" w:cs="Times New Roman"/>
          <w:sz w:val="24"/>
          <w:szCs w:val="24"/>
        </w:rPr>
        <w:t xml:space="preserve"> 624,86 EUR  jeb katru gadu nodrošinot vienmērīgu </w:t>
      </w:r>
      <w:r w:rsidR="007A1AA1" w:rsidRPr="00563F65">
        <w:rPr>
          <w:rFonts w:ascii="Times New Roman" w:eastAsia="Times New Roman" w:hAnsi="Times New Roman" w:cs="Times New Roman"/>
          <w:sz w:val="24"/>
          <w:szCs w:val="24"/>
        </w:rPr>
        <w:t xml:space="preserve">bāzes finansējuma </w:t>
      </w:r>
      <w:r w:rsidR="0021285C" w:rsidRPr="00563F65">
        <w:rPr>
          <w:rFonts w:ascii="Times New Roman" w:eastAsia="Times New Roman" w:hAnsi="Times New Roman" w:cs="Times New Roman"/>
          <w:sz w:val="24"/>
          <w:szCs w:val="24"/>
        </w:rPr>
        <w:t>pieaugumu 33% apmērā</w:t>
      </w:r>
      <w:r w:rsidR="00B250DD" w:rsidRPr="00563F65">
        <w:rPr>
          <w:rFonts w:ascii="Times New Roman" w:eastAsia="Times New Roman" w:hAnsi="Times New Roman" w:cs="Times New Roman"/>
          <w:sz w:val="24"/>
          <w:szCs w:val="24"/>
        </w:rPr>
        <w:t xml:space="preserve">. </w:t>
      </w:r>
      <w:r w:rsidR="00B250DD" w:rsidRPr="00563F65">
        <w:rPr>
          <w:rFonts w:ascii="Times New Roman" w:eastAsia="Times New Roman" w:hAnsi="Times New Roman" w:cs="Times New Roman"/>
          <w:sz w:val="24"/>
        </w:rPr>
        <w:t>Dienesta vies</w:t>
      </w:r>
      <w:r w:rsidR="00673D9F">
        <w:rPr>
          <w:rFonts w:ascii="Times New Roman" w:eastAsia="Times New Roman" w:hAnsi="Times New Roman" w:cs="Times New Roman"/>
          <w:sz w:val="24"/>
        </w:rPr>
        <w:t>nīcu izmaksas, attiecīgi no 2022.gada - 305,38 EUR; no 2023.gada - 328,54 EUR un no 2024</w:t>
      </w:r>
      <w:r w:rsidR="00B250DD" w:rsidRPr="00563F65">
        <w:rPr>
          <w:rFonts w:ascii="Times New Roman" w:eastAsia="Times New Roman" w:hAnsi="Times New Roman" w:cs="Times New Roman"/>
          <w:sz w:val="24"/>
        </w:rPr>
        <w:t>.gada - 351,69 EUR</w:t>
      </w:r>
      <w:r w:rsidR="00DA69E6" w:rsidRPr="00563F65">
        <w:rPr>
          <w:rFonts w:ascii="Times New Roman" w:eastAsia="Times New Roman" w:hAnsi="Times New Roman" w:cs="Times New Roman"/>
          <w:sz w:val="24"/>
          <w:szCs w:val="24"/>
        </w:rPr>
        <w:t xml:space="preserve"> </w:t>
      </w:r>
      <w:r w:rsidR="00786E15" w:rsidRPr="00563F65">
        <w:rPr>
          <w:rFonts w:ascii="Times New Roman" w:eastAsia="Times New Roman" w:hAnsi="Times New Roman" w:cs="Times New Roman"/>
          <w:sz w:val="24"/>
          <w:szCs w:val="24"/>
        </w:rPr>
        <w:t>(skatīt</w:t>
      </w:r>
      <w:r w:rsidR="00DA69E6" w:rsidRPr="00563F65">
        <w:rPr>
          <w:rFonts w:ascii="Times New Roman" w:eastAsia="Times New Roman" w:hAnsi="Times New Roman" w:cs="Times New Roman"/>
          <w:sz w:val="24"/>
          <w:szCs w:val="24"/>
        </w:rPr>
        <w:t xml:space="preserve"> Tab</w:t>
      </w:r>
      <w:r w:rsidR="00786E15" w:rsidRPr="00563F65">
        <w:rPr>
          <w:rFonts w:ascii="Times New Roman" w:eastAsia="Times New Roman" w:hAnsi="Times New Roman" w:cs="Times New Roman"/>
          <w:sz w:val="24"/>
          <w:szCs w:val="24"/>
        </w:rPr>
        <w:t>ula Nr. 4</w:t>
      </w:r>
      <w:r w:rsidR="00044F1C" w:rsidRPr="00563F65">
        <w:rPr>
          <w:rFonts w:ascii="Times New Roman" w:eastAsia="Times New Roman" w:hAnsi="Times New Roman" w:cs="Times New Roman"/>
          <w:sz w:val="24"/>
          <w:szCs w:val="24"/>
        </w:rPr>
        <w:t>)</w:t>
      </w:r>
      <w:r w:rsidR="008D0EA6" w:rsidRPr="00563F65">
        <w:rPr>
          <w:rFonts w:ascii="Times New Roman" w:eastAsia="Times New Roman" w:hAnsi="Times New Roman" w:cs="Times New Roman"/>
          <w:sz w:val="24"/>
          <w:szCs w:val="24"/>
        </w:rPr>
        <w:t>.</w:t>
      </w:r>
    </w:p>
    <w:p w14:paraId="123D1B44" w14:textId="1A15E08A" w:rsidR="000B246D" w:rsidRPr="003F5015" w:rsidRDefault="000B246D" w:rsidP="00A510E4">
      <w:pPr>
        <w:pStyle w:val="Heading2"/>
        <w:numPr>
          <w:ilvl w:val="1"/>
          <w:numId w:val="3"/>
        </w:numPr>
        <w:spacing w:before="0" w:after="120" w:line="276" w:lineRule="auto"/>
        <w:ind w:left="1077"/>
        <w:jc w:val="center"/>
        <w:rPr>
          <w:rFonts w:ascii="Times New Roman" w:eastAsia="Times New Roman" w:hAnsi="Times New Roman" w:cs="Times New Roman"/>
          <w:b/>
          <w:color w:val="000000" w:themeColor="text1"/>
          <w:sz w:val="24"/>
          <w:szCs w:val="24"/>
        </w:rPr>
      </w:pPr>
      <w:bookmarkStart w:id="8" w:name="_Toc53136182"/>
      <w:r w:rsidRPr="003F5015">
        <w:rPr>
          <w:rFonts w:ascii="Times New Roman" w:eastAsia="Times New Roman" w:hAnsi="Times New Roman" w:cs="Times New Roman"/>
          <w:b/>
          <w:color w:val="000000" w:themeColor="text1"/>
          <w:sz w:val="24"/>
          <w:szCs w:val="24"/>
        </w:rPr>
        <w:t>Profesionālās izglītības programmu finansēšana pašvaldību un citu dibinātāju izglītības iestādēs</w:t>
      </w:r>
      <w:bookmarkEnd w:id="8"/>
    </w:p>
    <w:p w14:paraId="4D4BAD7C" w14:textId="52855B8C" w:rsidR="000B246D" w:rsidRDefault="000B246D" w:rsidP="004E229C">
      <w:pPr>
        <w:spacing w:after="120" w:line="276" w:lineRule="auto"/>
        <w:jc w:val="both"/>
        <w:rPr>
          <w:rFonts w:ascii="Times New Roman" w:eastAsia="Times New Roman" w:hAnsi="Times New Roman" w:cs="Times New Roman"/>
          <w:sz w:val="24"/>
          <w:szCs w:val="24"/>
        </w:rPr>
      </w:pPr>
      <w:r w:rsidRPr="009E1928">
        <w:rPr>
          <w:rFonts w:ascii="Times New Roman" w:eastAsia="Verdana" w:hAnsi="Times New Roman" w:cs="Times New Roman"/>
          <w:bCs/>
          <w:color w:val="000000" w:themeColor="text1"/>
          <w:kern w:val="24"/>
          <w:sz w:val="24"/>
          <w:szCs w:val="28"/>
        </w:rPr>
        <w:t>Pārskatot esoš</w:t>
      </w:r>
      <w:r>
        <w:rPr>
          <w:rFonts w:ascii="Times New Roman" w:eastAsia="Verdana" w:hAnsi="Times New Roman" w:cs="Times New Roman"/>
          <w:bCs/>
          <w:color w:val="000000" w:themeColor="text1"/>
          <w:kern w:val="24"/>
          <w:sz w:val="24"/>
          <w:szCs w:val="28"/>
        </w:rPr>
        <w:t>o</w:t>
      </w:r>
      <w:r w:rsidRPr="009E1928">
        <w:rPr>
          <w:rFonts w:ascii="Times New Roman" w:eastAsia="Verdana" w:hAnsi="Times New Roman" w:cs="Times New Roman"/>
          <w:bCs/>
          <w:color w:val="000000" w:themeColor="text1"/>
          <w:kern w:val="24"/>
          <w:sz w:val="24"/>
          <w:szCs w:val="28"/>
        </w:rPr>
        <w:t xml:space="preserve"> profesionālās izglītības programmu finansēšanas mode</w:t>
      </w:r>
      <w:r>
        <w:rPr>
          <w:rFonts w:ascii="Times New Roman" w:eastAsia="Verdana" w:hAnsi="Times New Roman" w:cs="Times New Roman"/>
          <w:bCs/>
          <w:color w:val="000000" w:themeColor="text1"/>
          <w:kern w:val="24"/>
          <w:sz w:val="24"/>
          <w:szCs w:val="28"/>
        </w:rPr>
        <w:t>li</w:t>
      </w:r>
      <w:r w:rsidRPr="009E1928">
        <w:rPr>
          <w:rFonts w:ascii="Times New Roman" w:eastAsia="Verdana" w:hAnsi="Times New Roman" w:cs="Times New Roman"/>
          <w:bCs/>
          <w:color w:val="000000" w:themeColor="text1"/>
          <w:kern w:val="24"/>
          <w:sz w:val="24"/>
          <w:szCs w:val="28"/>
        </w:rPr>
        <w:t xml:space="preserve">, IZM ir izvērtējusi arī </w:t>
      </w:r>
      <w:r>
        <w:rPr>
          <w:rFonts w:ascii="Times New Roman" w:eastAsia="Verdana" w:hAnsi="Times New Roman" w:cs="Times New Roman"/>
          <w:bCs/>
          <w:color w:val="000000" w:themeColor="text1"/>
          <w:kern w:val="24"/>
          <w:sz w:val="24"/>
          <w:szCs w:val="28"/>
        </w:rPr>
        <w:t>nepieciešamību</w:t>
      </w:r>
      <w:r w:rsidRPr="009E1928">
        <w:rPr>
          <w:rFonts w:ascii="Times New Roman" w:eastAsia="Verdana" w:hAnsi="Times New Roman" w:cs="Times New Roman"/>
          <w:bCs/>
          <w:color w:val="000000" w:themeColor="text1"/>
          <w:kern w:val="24"/>
          <w:sz w:val="24"/>
          <w:szCs w:val="28"/>
        </w:rPr>
        <w:t xml:space="preserve"> nodrošināt </w:t>
      </w:r>
      <w:r>
        <w:rPr>
          <w:rFonts w:ascii="Times New Roman" w:eastAsia="Verdana" w:hAnsi="Times New Roman" w:cs="Times New Roman"/>
          <w:bCs/>
          <w:color w:val="000000" w:themeColor="text1"/>
          <w:kern w:val="24"/>
          <w:sz w:val="24"/>
          <w:szCs w:val="28"/>
        </w:rPr>
        <w:t xml:space="preserve">valsts budžeta finansējumu profesionālās izglītības programmu īstenošanai </w:t>
      </w:r>
      <w:r>
        <w:rPr>
          <w:rFonts w:ascii="Times New Roman" w:eastAsia="Times New Roman" w:hAnsi="Times New Roman" w:cs="Times New Roman"/>
          <w:sz w:val="24"/>
          <w:szCs w:val="24"/>
        </w:rPr>
        <w:t xml:space="preserve">pašvaldību un citu dibinātāju profesionālās izglītības iestādēm. Šobrīd valstī, ar ievērojamu ES struktūrfondu finansiālu atbalstu, ir izveidots optimāls profesionālās izglītības iestāžu tīkls, kur kvalitatīvu profesionālās izglītības piedāvājumu spēj nodrošināt gan Profesionālās izglītības kompetences centri, gan arī citas valsts dibinātas profesionālās izglītības iestādes, kas nodrošina valsts pasūtījuma izpildi pilnā apmērā. Valsts dibinātās izglītības iestādes, ar mūsdienīgu materiāltehnisko bāzi un modernizētu infrastruktūru, spēj nodrošināt profesionālās izglītības programmu īstenošanu, sagatavojot nozaru attīstības tendencēm un darba tirgus prasībām atbilstošus speciālistus. </w:t>
      </w:r>
    </w:p>
    <w:p w14:paraId="41F7C24D" w14:textId="3D449145" w:rsidR="000B246D" w:rsidRPr="000C0133" w:rsidRDefault="000B246D" w:rsidP="004E229C">
      <w:pPr>
        <w:spacing w:after="120" w:line="276" w:lineRule="auto"/>
        <w:jc w:val="both"/>
        <w:rPr>
          <w:rFonts w:ascii="Times New Roman" w:eastAsia="Verdana" w:hAnsi="Times New Roman" w:cs="Times New Roman"/>
          <w:bCs/>
          <w:color w:val="000000" w:themeColor="text1"/>
          <w:kern w:val="24"/>
          <w:sz w:val="24"/>
          <w:szCs w:val="28"/>
        </w:rPr>
      </w:pPr>
      <w:r w:rsidRPr="000B246D">
        <w:rPr>
          <w:rFonts w:ascii="Times New Roman" w:eastAsia="Times New Roman" w:hAnsi="Times New Roman" w:cs="Times New Roman"/>
          <w:sz w:val="24"/>
          <w:szCs w:val="24"/>
        </w:rPr>
        <w:t>Esošā izglītojamo uzņemšanas plānošana</w:t>
      </w:r>
      <w:r>
        <w:rPr>
          <w:rFonts w:ascii="Times New Roman" w:eastAsia="Times New Roman" w:hAnsi="Times New Roman" w:cs="Times New Roman"/>
          <w:sz w:val="24"/>
          <w:szCs w:val="24"/>
        </w:rPr>
        <w:t>s kārtība</w:t>
      </w:r>
      <w:r w:rsidRPr="000B246D">
        <w:rPr>
          <w:rFonts w:ascii="Times New Roman" w:eastAsia="Times New Roman" w:hAnsi="Times New Roman" w:cs="Times New Roman"/>
          <w:sz w:val="24"/>
          <w:szCs w:val="24"/>
        </w:rPr>
        <w:t xml:space="preserve"> profesionālās izglītības programmās nodrošina efektīvu valsts pasūtījuma izpildi, </w:t>
      </w:r>
      <w:r>
        <w:rPr>
          <w:rFonts w:ascii="Times New Roman" w:eastAsia="Times New Roman" w:hAnsi="Times New Roman" w:cs="Times New Roman"/>
          <w:sz w:val="24"/>
          <w:szCs w:val="24"/>
        </w:rPr>
        <w:t>tā tiek plānota ciešā sadarbībā ar nozaru ekspertiem, kuri pārzina attiecīgās nozares specifiku, tās attīstības tendences, tehnoloģiskās prasības katrā no jomām un kuri ir kompetenti sniegt priekšlikumus gan uzņemamo izglītojamo skaitam profesionālās izglītības programmās, gan arī sniegt atbalstu profesionālās izglītības programmu satura izstrādē un aktualizācijā. Tāpat arī esošā kārtība ietver skaidri noteiktas</w:t>
      </w:r>
      <w:r w:rsidRPr="000B246D">
        <w:rPr>
          <w:rFonts w:ascii="Times New Roman" w:eastAsia="Times New Roman" w:hAnsi="Times New Roman" w:cs="Times New Roman"/>
          <w:sz w:val="24"/>
          <w:szCs w:val="24"/>
        </w:rPr>
        <w:t xml:space="preserve"> un caurspīd</w:t>
      </w:r>
      <w:r>
        <w:rPr>
          <w:rFonts w:ascii="Times New Roman" w:eastAsia="Times New Roman" w:hAnsi="Times New Roman" w:cs="Times New Roman"/>
          <w:sz w:val="24"/>
          <w:szCs w:val="24"/>
        </w:rPr>
        <w:t>īgas</w:t>
      </w:r>
      <w:r w:rsidRPr="000B246D">
        <w:rPr>
          <w:rFonts w:ascii="Times New Roman" w:eastAsia="Times New Roman" w:hAnsi="Times New Roman" w:cs="Times New Roman"/>
          <w:sz w:val="24"/>
          <w:szCs w:val="24"/>
        </w:rPr>
        <w:t xml:space="preserve"> proced</w:t>
      </w:r>
      <w:r>
        <w:rPr>
          <w:rFonts w:ascii="Times New Roman" w:eastAsia="Times New Roman" w:hAnsi="Times New Roman" w:cs="Times New Roman"/>
          <w:sz w:val="24"/>
          <w:szCs w:val="24"/>
        </w:rPr>
        <w:t>ūras,</w:t>
      </w:r>
      <w:r w:rsidRPr="000B246D">
        <w:rPr>
          <w:rFonts w:ascii="Times New Roman" w:eastAsia="Times New Roman" w:hAnsi="Times New Roman" w:cs="Times New Roman"/>
          <w:sz w:val="24"/>
          <w:szCs w:val="24"/>
        </w:rPr>
        <w:t xml:space="preserve"> kādā tiek noteikta valsts finansēto izglītojamo vietu skaita plānošana </w:t>
      </w:r>
      <w:r w:rsidRPr="000D23E4">
        <w:rPr>
          <w:rFonts w:ascii="Times New Roman" w:eastAsia="Times New Roman" w:hAnsi="Times New Roman" w:cs="Times New Roman"/>
          <w:sz w:val="24"/>
          <w:szCs w:val="24"/>
        </w:rPr>
        <w:t>uzņemšanai profesionālās izglītības programmās.</w:t>
      </w:r>
      <w:r w:rsidR="000C0133" w:rsidRPr="000C0133">
        <w:rPr>
          <w:rFonts w:ascii="Times New Roman" w:eastAsia="Verdana" w:hAnsi="Times New Roman" w:cs="Times New Roman"/>
          <w:bCs/>
          <w:color w:val="000000" w:themeColor="text1"/>
          <w:kern w:val="24"/>
          <w:sz w:val="24"/>
          <w:szCs w:val="28"/>
        </w:rPr>
        <w:t xml:space="preserve"> </w:t>
      </w:r>
      <w:r w:rsidR="000C0133">
        <w:rPr>
          <w:rFonts w:ascii="Times New Roman" w:eastAsia="Verdana" w:hAnsi="Times New Roman" w:cs="Times New Roman"/>
          <w:bCs/>
          <w:color w:val="000000" w:themeColor="text1"/>
          <w:kern w:val="24"/>
          <w:sz w:val="24"/>
          <w:szCs w:val="28"/>
        </w:rPr>
        <w:t xml:space="preserve">Valsts budžeta finansējums profesionālās izglītības programmu īstenošanai tiek piešķirts </w:t>
      </w:r>
      <w:r w:rsidR="000C0133">
        <w:rPr>
          <w:rFonts w:ascii="Times New Roman" w:eastAsia="Times New Roman" w:hAnsi="Times New Roman" w:cs="Times New Roman"/>
          <w:sz w:val="24"/>
          <w:szCs w:val="24"/>
        </w:rPr>
        <w:t>valsts dibinātām profesionālās izglītības iestādēm atbilstoši</w:t>
      </w:r>
      <w:r w:rsidR="000C0133">
        <w:rPr>
          <w:rFonts w:ascii="Times New Roman" w:eastAsia="Verdana" w:hAnsi="Times New Roman" w:cs="Times New Roman"/>
          <w:bCs/>
          <w:color w:val="000000" w:themeColor="text1"/>
          <w:kern w:val="24"/>
          <w:sz w:val="24"/>
          <w:szCs w:val="28"/>
        </w:rPr>
        <w:t xml:space="preserve"> noteiktajai kārtībai, </w:t>
      </w:r>
      <w:r w:rsidR="000C0133" w:rsidRPr="008E78B7">
        <w:rPr>
          <w:rFonts w:ascii="Times New Roman" w:eastAsia="Verdana" w:hAnsi="Times New Roman" w:cs="Times New Roman"/>
          <w:bCs/>
          <w:color w:val="000000" w:themeColor="text1"/>
          <w:kern w:val="24"/>
          <w:sz w:val="24"/>
          <w:szCs w:val="28"/>
        </w:rPr>
        <w:t>kas ietver virkni secīgu darbību, t.sk. saskaņošanas procedūru, kurā iesaistītas vairākas institūcijas (skatīt 2.2.nodaļā).</w:t>
      </w:r>
      <w:r w:rsidR="000C0133">
        <w:rPr>
          <w:rFonts w:ascii="Times New Roman" w:eastAsia="Verdana" w:hAnsi="Times New Roman" w:cs="Times New Roman"/>
          <w:bCs/>
          <w:color w:val="000000" w:themeColor="text1"/>
          <w:kern w:val="24"/>
          <w:sz w:val="24"/>
          <w:szCs w:val="28"/>
        </w:rPr>
        <w:t xml:space="preserve"> </w:t>
      </w:r>
    </w:p>
    <w:p w14:paraId="1312F2AE" w14:textId="3D4DFD6E" w:rsidR="00A86DAF" w:rsidRDefault="00A86DAF" w:rsidP="004E229C">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IZM izstrādājusi </w:t>
      </w:r>
      <w:r w:rsidR="00610FDF">
        <w:rPr>
          <w:rFonts w:ascii="Times New Roman" w:eastAsia="Times New Roman" w:hAnsi="Times New Roman" w:cs="Times New Roman"/>
          <w:sz w:val="24"/>
          <w:szCs w:val="24"/>
        </w:rPr>
        <w:t>trīs</w:t>
      </w:r>
      <w:r>
        <w:rPr>
          <w:rFonts w:ascii="Times New Roman" w:eastAsia="Times New Roman" w:hAnsi="Times New Roman" w:cs="Times New Roman"/>
          <w:sz w:val="24"/>
          <w:szCs w:val="24"/>
        </w:rPr>
        <w:t xml:space="preserve"> iespējamos scenārijus pašvaldību un citu dibinātāju izglītības iestādēs īstenoto profesionālās izglītības programmu finansēšanai no valsts budžeta līdzekļiem:</w:t>
      </w:r>
    </w:p>
    <w:p w14:paraId="74002758" w14:textId="5C6862E4" w:rsidR="00610FDF" w:rsidRDefault="00610FDF" w:rsidP="00A510E4">
      <w:pPr>
        <w:pStyle w:val="ListParagraph"/>
        <w:numPr>
          <w:ilvl w:val="0"/>
          <w:numId w:val="6"/>
        </w:numPr>
        <w:spacing w:after="120" w:line="276" w:lineRule="auto"/>
        <w:ind w:left="714" w:hanging="35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Pašvaldību un citu dibinātāju izglītības iestādēs īstenoto profesionālās izglītības programmu īstenošanai valsts budžeta finansējumu nepiešķirt;</w:t>
      </w:r>
    </w:p>
    <w:p w14:paraId="3C90E37C" w14:textId="2646F89C" w:rsidR="00A86DAF" w:rsidRDefault="00A86DAF" w:rsidP="00A510E4">
      <w:pPr>
        <w:pStyle w:val="ListParagraph"/>
        <w:numPr>
          <w:ilvl w:val="0"/>
          <w:numId w:val="6"/>
        </w:numPr>
        <w:spacing w:after="120" w:line="276" w:lineRule="auto"/>
        <w:ind w:left="714" w:hanging="35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Piešķirt valsts budžeta finansējumu visu pašvaldību un citu dibinātāju izglītības iestādēs īstenoto profesionālās izglītības programmu īstenošanai;</w:t>
      </w:r>
    </w:p>
    <w:p w14:paraId="6FFF0A9C" w14:textId="4517AC75" w:rsidR="00A86DAF" w:rsidRPr="00A86DAF" w:rsidRDefault="00A86DAF" w:rsidP="00A510E4">
      <w:pPr>
        <w:pStyle w:val="ListParagraph"/>
        <w:numPr>
          <w:ilvl w:val="0"/>
          <w:numId w:val="6"/>
        </w:numPr>
        <w:spacing w:after="120"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Piešķirt valsts budžeta finansējumu to pašvaldību un citu dibinātāju izglītības iestādēs īstenoto profesionālās izglītības programmu īstenošanai, kuras atbilst noteiktiem kritērijiem.</w:t>
      </w:r>
    </w:p>
    <w:p w14:paraId="650A4596" w14:textId="485F7926" w:rsidR="00A86DAF" w:rsidRDefault="00A86DAF" w:rsidP="004E229C">
      <w:pPr>
        <w:spacing w:after="120" w:line="276" w:lineRule="auto"/>
        <w:jc w:val="both"/>
        <w:rPr>
          <w:rFonts w:ascii="Times New Roman" w:eastAsia="Times New Roman" w:hAnsi="Times New Roman" w:cs="Times New Roman"/>
          <w:sz w:val="24"/>
          <w:szCs w:val="24"/>
        </w:rPr>
      </w:pPr>
      <w:r w:rsidRPr="00A86DAF">
        <w:rPr>
          <w:rFonts w:ascii="Times New Roman" w:eastAsia="Times New Roman" w:hAnsi="Times New Roman" w:cs="Times New Roman"/>
          <w:sz w:val="24"/>
          <w:szCs w:val="24"/>
        </w:rPr>
        <w:t>Izvērtējot pašvaldību un citu dibinātāju profesionālās izglītības programmu piedāvājumu (skat.</w:t>
      </w:r>
      <w:r w:rsidR="00D841DF">
        <w:rPr>
          <w:rFonts w:ascii="Times New Roman" w:eastAsia="Times New Roman" w:hAnsi="Times New Roman" w:cs="Times New Roman"/>
          <w:sz w:val="24"/>
          <w:szCs w:val="24"/>
        </w:rPr>
        <w:t xml:space="preserve"> </w:t>
      </w:r>
      <w:r w:rsidR="00D841DF" w:rsidRPr="00D841DF">
        <w:rPr>
          <w:rFonts w:ascii="Times New Roman" w:eastAsia="Times New Roman" w:hAnsi="Times New Roman" w:cs="Times New Roman"/>
          <w:sz w:val="24"/>
          <w:szCs w:val="24"/>
        </w:rPr>
        <w:fldChar w:fldCharType="begin"/>
      </w:r>
      <w:r w:rsidR="00D841DF" w:rsidRPr="00D841DF">
        <w:rPr>
          <w:rFonts w:ascii="Times New Roman" w:eastAsia="Times New Roman" w:hAnsi="Times New Roman" w:cs="Times New Roman"/>
          <w:sz w:val="24"/>
          <w:szCs w:val="24"/>
        </w:rPr>
        <w:instrText xml:space="preserve"> REF _Ref52271629 \h  \* MERGEFORMAT </w:instrText>
      </w:r>
      <w:r w:rsidR="00D841DF" w:rsidRPr="00D841DF">
        <w:rPr>
          <w:rFonts w:ascii="Times New Roman" w:eastAsia="Times New Roman" w:hAnsi="Times New Roman" w:cs="Times New Roman"/>
          <w:sz w:val="24"/>
          <w:szCs w:val="24"/>
        </w:rPr>
      </w:r>
      <w:r w:rsidR="00D841DF" w:rsidRPr="00D841DF">
        <w:rPr>
          <w:rFonts w:ascii="Times New Roman" w:eastAsia="Times New Roman" w:hAnsi="Times New Roman" w:cs="Times New Roman"/>
          <w:sz w:val="24"/>
          <w:szCs w:val="24"/>
        </w:rPr>
        <w:fldChar w:fldCharType="separate"/>
      </w:r>
      <w:r w:rsidR="00D841DF" w:rsidRPr="00D841DF">
        <w:rPr>
          <w:rFonts w:ascii="Times New Roman" w:eastAsia="Times New Roman" w:hAnsi="Times New Roman" w:cs="Times New Roman"/>
          <w:bCs/>
          <w:color w:val="000000" w:themeColor="text1"/>
          <w:sz w:val="24"/>
          <w:szCs w:val="24"/>
        </w:rPr>
        <w:t xml:space="preserve">Pielikums Nr. </w:t>
      </w:r>
      <w:r w:rsidR="00D841DF" w:rsidRPr="00D841DF">
        <w:rPr>
          <w:rFonts w:ascii="Times New Roman" w:eastAsia="Times New Roman" w:hAnsi="Times New Roman" w:cs="Times New Roman"/>
          <w:bCs/>
          <w:noProof/>
          <w:color w:val="000000" w:themeColor="text1"/>
          <w:sz w:val="24"/>
          <w:szCs w:val="24"/>
        </w:rPr>
        <w:t>2</w:t>
      </w:r>
      <w:r w:rsidR="00D841DF" w:rsidRPr="00D841DF">
        <w:rPr>
          <w:rFonts w:ascii="Times New Roman" w:eastAsia="Times New Roman" w:hAnsi="Times New Roman" w:cs="Times New Roman"/>
          <w:sz w:val="24"/>
          <w:szCs w:val="24"/>
        </w:rPr>
        <w:fldChar w:fldCharType="end"/>
      </w:r>
      <w:r w:rsidR="00D841DF" w:rsidRPr="00D841DF">
        <w:rPr>
          <w:rFonts w:ascii="Times New Roman" w:eastAsia="Times New Roman" w:hAnsi="Times New Roman" w:cs="Times New Roman"/>
          <w:sz w:val="24"/>
          <w:szCs w:val="24"/>
        </w:rPr>
        <w:t xml:space="preserve"> un </w:t>
      </w:r>
      <w:r w:rsidR="00D841DF" w:rsidRPr="00D841DF">
        <w:rPr>
          <w:rFonts w:ascii="Times New Roman" w:eastAsia="Times New Roman" w:hAnsi="Times New Roman" w:cs="Times New Roman"/>
          <w:sz w:val="24"/>
          <w:szCs w:val="24"/>
        </w:rPr>
        <w:fldChar w:fldCharType="begin"/>
      </w:r>
      <w:r w:rsidR="00D841DF" w:rsidRPr="00D841DF">
        <w:rPr>
          <w:rFonts w:ascii="Times New Roman" w:eastAsia="Times New Roman" w:hAnsi="Times New Roman" w:cs="Times New Roman"/>
          <w:sz w:val="24"/>
          <w:szCs w:val="24"/>
        </w:rPr>
        <w:instrText xml:space="preserve"> REF _Ref52271632 \h  \* MERGEFORMAT </w:instrText>
      </w:r>
      <w:r w:rsidR="00D841DF" w:rsidRPr="00D841DF">
        <w:rPr>
          <w:rFonts w:ascii="Times New Roman" w:eastAsia="Times New Roman" w:hAnsi="Times New Roman" w:cs="Times New Roman"/>
          <w:sz w:val="24"/>
          <w:szCs w:val="24"/>
        </w:rPr>
      </w:r>
      <w:r w:rsidR="00D841DF" w:rsidRPr="00D841DF">
        <w:rPr>
          <w:rFonts w:ascii="Times New Roman" w:eastAsia="Times New Roman" w:hAnsi="Times New Roman" w:cs="Times New Roman"/>
          <w:sz w:val="24"/>
          <w:szCs w:val="24"/>
        </w:rPr>
        <w:fldChar w:fldCharType="separate"/>
      </w:r>
      <w:r w:rsidR="00D841DF" w:rsidRPr="00D841DF">
        <w:rPr>
          <w:rFonts w:ascii="Times New Roman" w:eastAsia="Times New Roman" w:hAnsi="Times New Roman" w:cs="Times New Roman"/>
          <w:bCs/>
          <w:color w:val="000000" w:themeColor="text1"/>
          <w:sz w:val="24"/>
          <w:szCs w:val="24"/>
        </w:rPr>
        <w:t xml:space="preserve">Pielikums Nr. </w:t>
      </w:r>
      <w:r w:rsidR="00D841DF" w:rsidRPr="00D841DF">
        <w:rPr>
          <w:rFonts w:ascii="Times New Roman" w:eastAsia="Times New Roman" w:hAnsi="Times New Roman" w:cs="Times New Roman"/>
          <w:bCs/>
          <w:noProof/>
          <w:color w:val="000000" w:themeColor="text1"/>
          <w:sz w:val="24"/>
          <w:szCs w:val="24"/>
        </w:rPr>
        <w:t>3</w:t>
      </w:r>
      <w:r w:rsidR="00D841DF" w:rsidRPr="00D841DF">
        <w:rPr>
          <w:rFonts w:ascii="Times New Roman" w:eastAsia="Times New Roman" w:hAnsi="Times New Roman" w:cs="Times New Roman"/>
          <w:sz w:val="24"/>
          <w:szCs w:val="24"/>
        </w:rPr>
        <w:fldChar w:fldCharType="end"/>
      </w:r>
      <w:r w:rsidRPr="00A86DAF">
        <w:rPr>
          <w:rFonts w:ascii="Times New Roman" w:eastAsia="Times New Roman" w:hAnsi="Times New Roman" w:cs="Times New Roman"/>
          <w:sz w:val="24"/>
          <w:szCs w:val="24"/>
        </w:rPr>
        <w:t>) var secināt, ka pašvaldību un citu dibinātāju izglītības iestādes īsteno profesionālās izglītības programmas, kuru īstenošanu nodrošina arī valsts dibinātās izglītības iestādes</w:t>
      </w:r>
      <w:r w:rsidRPr="00AD7C8E">
        <w:rPr>
          <w:rFonts w:ascii="Times New Roman" w:eastAsia="Times New Roman" w:hAnsi="Times New Roman" w:cs="Times New Roman"/>
          <w:sz w:val="24"/>
          <w:szCs w:val="24"/>
        </w:rPr>
        <w:t xml:space="preserve">, izglītojamo skaits tajās veido - 6,6% no kopējā profesionālās izglītības izglītojamo skaita. Saskaņā ar </w:t>
      </w:r>
      <w:r w:rsidR="003E5743">
        <w:rPr>
          <w:rFonts w:ascii="Times New Roman" w:eastAsia="Times New Roman" w:hAnsi="Times New Roman" w:cs="Times New Roman"/>
          <w:sz w:val="24"/>
          <w:szCs w:val="24"/>
        </w:rPr>
        <w:t xml:space="preserve">VIIS operatīvajiem </w:t>
      </w:r>
      <w:r w:rsidR="005578EF" w:rsidRPr="00AD7C8E">
        <w:rPr>
          <w:rFonts w:ascii="Times New Roman" w:eastAsia="Times New Roman" w:hAnsi="Times New Roman" w:cs="Times New Roman"/>
          <w:sz w:val="24"/>
          <w:szCs w:val="24"/>
        </w:rPr>
        <w:t xml:space="preserve">datiem uz 01.10.2019. </w:t>
      </w:r>
      <w:r w:rsidRPr="00AD7C8E">
        <w:rPr>
          <w:rFonts w:ascii="Times New Roman" w:eastAsia="Times New Roman" w:hAnsi="Times New Roman" w:cs="Times New Roman"/>
          <w:sz w:val="24"/>
          <w:szCs w:val="24"/>
        </w:rPr>
        <w:t>profesionālās izglītība</w:t>
      </w:r>
      <w:r w:rsidR="00A25EFA">
        <w:rPr>
          <w:rFonts w:ascii="Times New Roman" w:eastAsia="Times New Roman" w:hAnsi="Times New Roman" w:cs="Times New Roman"/>
          <w:sz w:val="24"/>
          <w:szCs w:val="24"/>
        </w:rPr>
        <w:t>s programmas</w:t>
      </w:r>
      <w:r w:rsidRPr="00AD7C8E">
        <w:rPr>
          <w:rFonts w:ascii="Times New Roman" w:eastAsia="Times New Roman" w:hAnsi="Times New Roman" w:cs="Times New Roman"/>
          <w:sz w:val="24"/>
          <w:szCs w:val="24"/>
        </w:rPr>
        <w:t xml:space="preserve"> (neskaitot tālākizglītības un profesionālās pilnveides </w:t>
      </w:r>
      <w:r w:rsidRPr="00AD7C8E">
        <w:rPr>
          <w:rFonts w:ascii="Times New Roman" w:eastAsia="Times New Roman" w:hAnsi="Times New Roman" w:cs="Times New Roman"/>
          <w:sz w:val="24"/>
          <w:szCs w:val="24"/>
        </w:rPr>
        <w:lastRenderedPageBreak/>
        <w:t xml:space="preserve">izglītības programmas) </w:t>
      </w:r>
      <w:r w:rsidR="00A25EFA">
        <w:rPr>
          <w:rFonts w:ascii="Times New Roman" w:eastAsia="Times New Roman" w:hAnsi="Times New Roman" w:cs="Times New Roman"/>
          <w:sz w:val="24"/>
          <w:szCs w:val="24"/>
        </w:rPr>
        <w:t>apguva</w:t>
      </w:r>
      <w:r w:rsidR="00AD7C8E" w:rsidRPr="00A25EFA">
        <w:rPr>
          <w:rFonts w:ascii="Times New Roman" w:eastAsia="Times New Roman" w:hAnsi="Times New Roman" w:cs="Times New Roman"/>
          <w:sz w:val="24"/>
          <w:szCs w:val="24"/>
        </w:rPr>
        <w:t xml:space="preserve"> </w:t>
      </w:r>
      <w:r w:rsidR="00A25EFA" w:rsidRPr="00A25EFA">
        <w:rPr>
          <w:rFonts w:ascii="Times New Roman" w:eastAsia="Times New Roman" w:hAnsi="Times New Roman" w:cs="Times New Roman"/>
          <w:sz w:val="24"/>
          <w:szCs w:val="24"/>
        </w:rPr>
        <w:t>26 738</w:t>
      </w:r>
      <w:r w:rsidR="00AD7C8E" w:rsidRPr="00A25EFA">
        <w:rPr>
          <w:rFonts w:ascii="Times New Roman" w:eastAsia="Times New Roman" w:hAnsi="Times New Roman" w:cs="Times New Roman"/>
          <w:sz w:val="24"/>
          <w:szCs w:val="24"/>
        </w:rPr>
        <w:t xml:space="preserve"> izglītojamie, t.sk. </w:t>
      </w:r>
      <w:r w:rsidR="009C7F0B" w:rsidRPr="00A25EFA">
        <w:rPr>
          <w:rFonts w:ascii="Times New Roman" w:eastAsia="Times New Roman" w:hAnsi="Times New Roman" w:cs="Times New Roman"/>
          <w:sz w:val="24"/>
          <w:szCs w:val="24"/>
        </w:rPr>
        <w:t>18 879</w:t>
      </w:r>
      <w:r w:rsidRPr="00A25EFA">
        <w:rPr>
          <w:rFonts w:ascii="Times New Roman" w:eastAsia="Times New Roman" w:hAnsi="Times New Roman" w:cs="Times New Roman"/>
          <w:sz w:val="24"/>
          <w:szCs w:val="24"/>
        </w:rPr>
        <w:t xml:space="preserve"> izglītojamie</w:t>
      </w:r>
      <w:r w:rsidRPr="009C7F0B">
        <w:rPr>
          <w:rFonts w:ascii="Times New Roman" w:eastAsia="Times New Roman" w:hAnsi="Times New Roman" w:cs="Times New Roman"/>
          <w:sz w:val="24"/>
          <w:szCs w:val="24"/>
        </w:rPr>
        <w:t xml:space="preserve"> IZM padotībā esošajās profesionālās izglītības iestādēs (t.sk. PIKC u</w:t>
      </w:r>
      <w:r w:rsidR="00A25EFA">
        <w:rPr>
          <w:rFonts w:ascii="Times New Roman" w:eastAsia="Times New Roman" w:hAnsi="Times New Roman" w:cs="Times New Roman"/>
          <w:sz w:val="24"/>
          <w:szCs w:val="24"/>
        </w:rPr>
        <w:t>n arodizglītības iestādē), 3 800</w:t>
      </w:r>
      <w:r w:rsidRPr="009C7F0B">
        <w:rPr>
          <w:rFonts w:ascii="Times New Roman" w:eastAsia="Times New Roman" w:hAnsi="Times New Roman" w:cs="Times New Roman"/>
          <w:sz w:val="24"/>
          <w:szCs w:val="24"/>
        </w:rPr>
        <w:t xml:space="preserve"> izglītoj</w:t>
      </w:r>
      <w:r w:rsidR="001707DC" w:rsidRPr="009C7F0B">
        <w:rPr>
          <w:rFonts w:ascii="Times New Roman" w:eastAsia="Times New Roman" w:hAnsi="Times New Roman" w:cs="Times New Roman"/>
          <w:sz w:val="24"/>
          <w:szCs w:val="24"/>
        </w:rPr>
        <w:t>amie koledžās, 1 86</w:t>
      </w:r>
      <w:r w:rsidR="009C7F0B">
        <w:rPr>
          <w:rFonts w:ascii="Times New Roman" w:eastAsia="Times New Roman" w:hAnsi="Times New Roman" w:cs="Times New Roman"/>
          <w:sz w:val="24"/>
          <w:szCs w:val="24"/>
        </w:rPr>
        <w:t>2</w:t>
      </w:r>
      <w:r w:rsidRPr="009C7F0B">
        <w:rPr>
          <w:rFonts w:ascii="Times New Roman" w:eastAsia="Times New Roman" w:hAnsi="Times New Roman" w:cs="Times New Roman"/>
          <w:sz w:val="24"/>
          <w:szCs w:val="24"/>
        </w:rPr>
        <w:t xml:space="preserve"> izglītojamie Kultūras ministrijas padotībā e</w:t>
      </w:r>
      <w:r w:rsidR="003E5743" w:rsidRPr="009C7F0B">
        <w:rPr>
          <w:rFonts w:ascii="Times New Roman" w:eastAsia="Times New Roman" w:hAnsi="Times New Roman" w:cs="Times New Roman"/>
          <w:sz w:val="24"/>
          <w:szCs w:val="24"/>
        </w:rPr>
        <w:t>sošajās izglītības iestādēs, 844</w:t>
      </w:r>
      <w:r w:rsidRPr="009C7F0B">
        <w:rPr>
          <w:rFonts w:ascii="Times New Roman" w:eastAsia="Times New Roman" w:hAnsi="Times New Roman" w:cs="Times New Roman"/>
          <w:sz w:val="24"/>
          <w:szCs w:val="24"/>
        </w:rPr>
        <w:t xml:space="preserve"> izglīt</w:t>
      </w:r>
      <w:r w:rsidRPr="003E5743">
        <w:rPr>
          <w:rFonts w:ascii="Times New Roman" w:eastAsia="Times New Roman" w:hAnsi="Times New Roman" w:cs="Times New Roman"/>
          <w:sz w:val="24"/>
          <w:szCs w:val="24"/>
        </w:rPr>
        <w:t xml:space="preserve">ojamie </w:t>
      </w:r>
      <w:r w:rsidRPr="009C7F0B">
        <w:rPr>
          <w:rFonts w:ascii="Times New Roman" w:eastAsia="Times New Roman" w:hAnsi="Times New Roman" w:cs="Times New Roman"/>
          <w:sz w:val="24"/>
          <w:szCs w:val="24"/>
        </w:rPr>
        <w:t>pašvaldību di</w:t>
      </w:r>
      <w:r w:rsidR="00DF6B01" w:rsidRPr="009C7F0B">
        <w:rPr>
          <w:rFonts w:ascii="Times New Roman" w:eastAsia="Times New Roman" w:hAnsi="Times New Roman" w:cs="Times New Roman"/>
          <w:sz w:val="24"/>
          <w:szCs w:val="24"/>
        </w:rPr>
        <w:t xml:space="preserve">binātās izglītības iestādēs, </w:t>
      </w:r>
      <w:r w:rsidR="0087153F" w:rsidRPr="009C7F0B">
        <w:rPr>
          <w:rFonts w:ascii="Times New Roman" w:eastAsia="Times New Roman" w:hAnsi="Times New Roman" w:cs="Times New Roman"/>
          <w:sz w:val="24"/>
          <w:szCs w:val="24"/>
        </w:rPr>
        <w:t>493</w:t>
      </w:r>
      <w:r w:rsidRPr="009C7F0B">
        <w:rPr>
          <w:rFonts w:ascii="Times New Roman" w:eastAsia="Times New Roman" w:hAnsi="Times New Roman" w:cs="Times New Roman"/>
          <w:sz w:val="24"/>
          <w:szCs w:val="24"/>
        </w:rPr>
        <w:t xml:space="preserve"> juridisku un fizisku personu dibinātās izglītības iestādēs</w:t>
      </w:r>
      <w:r w:rsidR="00131329" w:rsidRPr="009C7F0B">
        <w:rPr>
          <w:rFonts w:ascii="Times New Roman" w:eastAsia="Times New Roman" w:hAnsi="Times New Roman" w:cs="Times New Roman"/>
          <w:sz w:val="24"/>
          <w:szCs w:val="24"/>
        </w:rPr>
        <w:t>,</w:t>
      </w:r>
      <w:r w:rsidR="00A25EFA">
        <w:rPr>
          <w:rFonts w:ascii="Times New Roman" w:eastAsia="Times New Roman" w:hAnsi="Times New Roman" w:cs="Times New Roman"/>
          <w:sz w:val="24"/>
          <w:szCs w:val="24"/>
        </w:rPr>
        <w:t xml:space="preserve"> 330</w:t>
      </w:r>
      <w:r w:rsidR="00131329" w:rsidRPr="009C7F0B">
        <w:rPr>
          <w:rFonts w:ascii="Times New Roman" w:eastAsia="Times New Roman" w:hAnsi="Times New Roman" w:cs="Times New Roman"/>
          <w:sz w:val="24"/>
          <w:szCs w:val="24"/>
        </w:rPr>
        <w:t xml:space="preserve"> </w:t>
      </w:r>
      <w:r w:rsidR="00A25EFA" w:rsidRPr="008E4ECE">
        <w:rPr>
          <w:rFonts w:ascii="Times New Roman" w:eastAsia="Times New Roman" w:hAnsi="Times New Roman" w:cs="Times New Roman"/>
          <w:sz w:val="24"/>
          <w:szCs w:val="24"/>
        </w:rPr>
        <w:t>Latvijas Jūras akadēmijas Jūrskolā</w:t>
      </w:r>
      <w:r w:rsidR="00A25EFA">
        <w:rPr>
          <w:rFonts w:ascii="Times New Roman" w:eastAsia="Times New Roman" w:hAnsi="Times New Roman" w:cs="Times New Roman"/>
          <w:sz w:val="24"/>
          <w:szCs w:val="24"/>
        </w:rPr>
        <w:t xml:space="preserve">, </w:t>
      </w:r>
      <w:r w:rsidR="009C7F0B">
        <w:rPr>
          <w:rFonts w:ascii="Times New Roman" w:eastAsia="Times New Roman" w:hAnsi="Times New Roman" w:cs="Times New Roman"/>
          <w:sz w:val="24"/>
          <w:szCs w:val="24"/>
        </w:rPr>
        <w:t xml:space="preserve">229 </w:t>
      </w:r>
      <w:r w:rsidR="00131329" w:rsidRPr="009C7F0B">
        <w:rPr>
          <w:rFonts w:ascii="Times New Roman" w:eastAsia="Times New Roman" w:hAnsi="Times New Roman" w:cs="Times New Roman"/>
          <w:sz w:val="24"/>
          <w:szCs w:val="24"/>
        </w:rPr>
        <w:t>izglītojamie Zemkopības ministrijas padotībā esošajā izglītības iestādē</w:t>
      </w:r>
      <w:r w:rsidR="009C7F0B">
        <w:rPr>
          <w:rFonts w:ascii="Times New Roman" w:eastAsia="Times New Roman" w:hAnsi="Times New Roman" w:cs="Times New Roman"/>
          <w:sz w:val="24"/>
          <w:szCs w:val="24"/>
        </w:rPr>
        <w:t xml:space="preserve">, </w:t>
      </w:r>
      <w:r w:rsidR="003E5743" w:rsidRPr="009C7F0B">
        <w:rPr>
          <w:rFonts w:ascii="Times New Roman" w:eastAsia="Times New Roman" w:hAnsi="Times New Roman" w:cs="Times New Roman"/>
          <w:sz w:val="24"/>
          <w:szCs w:val="24"/>
        </w:rPr>
        <w:t>209</w:t>
      </w:r>
      <w:r w:rsidRPr="009C7F0B">
        <w:rPr>
          <w:rFonts w:ascii="Times New Roman" w:eastAsia="Times New Roman" w:hAnsi="Times New Roman" w:cs="Times New Roman"/>
          <w:sz w:val="24"/>
          <w:szCs w:val="24"/>
        </w:rPr>
        <w:t xml:space="preserve"> izglītojamie pašvaldību</w:t>
      </w:r>
      <w:r w:rsidRPr="003E5743">
        <w:rPr>
          <w:rFonts w:ascii="Times New Roman" w:eastAsia="Times New Roman" w:hAnsi="Times New Roman" w:cs="Times New Roman"/>
          <w:sz w:val="24"/>
          <w:szCs w:val="24"/>
        </w:rPr>
        <w:t xml:space="preserve"> vispārējās izglītības iestādēs</w:t>
      </w:r>
      <w:r w:rsidR="009C7F0B">
        <w:rPr>
          <w:rFonts w:ascii="Times New Roman" w:eastAsia="Times New Roman" w:hAnsi="Times New Roman" w:cs="Times New Roman"/>
          <w:sz w:val="24"/>
          <w:szCs w:val="24"/>
        </w:rPr>
        <w:t xml:space="preserve"> un 92 izglītojamie Labklājības ministrijas padotībā esošajā izglītības iestādē</w:t>
      </w:r>
      <w:r w:rsidRPr="003E5743">
        <w:rPr>
          <w:rFonts w:ascii="Times New Roman" w:eastAsia="Times New Roman" w:hAnsi="Times New Roman" w:cs="Times New Roman"/>
          <w:sz w:val="24"/>
          <w:szCs w:val="24"/>
        </w:rPr>
        <w:t>.</w:t>
      </w:r>
    </w:p>
    <w:p w14:paraId="5941B198" w14:textId="4C47E41F" w:rsidR="00D464D9" w:rsidRPr="00D464D9" w:rsidRDefault="00D464D9" w:rsidP="00D464D9">
      <w:pPr>
        <w:jc w:val="both"/>
        <w:rPr>
          <w:rFonts w:ascii="Times New Roman" w:hAnsi="Times New Roman" w:cs="Times New Roman"/>
          <w:sz w:val="24"/>
          <w:szCs w:val="24"/>
        </w:rPr>
      </w:pPr>
      <w:r w:rsidRPr="00AA4E73">
        <w:rPr>
          <w:rFonts w:ascii="Times New Roman" w:hAnsi="Times New Roman" w:cs="Times New Roman"/>
          <w:sz w:val="24"/>
          <w:szCs w:val="24"/>
        </w:rPr>
        <w:t xml:space="preserve">Lai paredzētu iespēju pašvaldību un privātajām izglītības iestādēm saņemt valsts budžeta finansējumu profesionālās izglītības programmu īstenošanai papildus nepieciešams finansējums </w:t>
      </w:r>
      <w:r w:rsidR="00E37CA3" w:rsidRPr="00D464D9">
        <w:rPr>
          <w:rFonts w:ascii="Times New Roman" w:eastAsia="Times New Roman" w:hAnsi="Times New Roman" w:cs="Times New Roman"/>
        </w:rPr>
        <w:t>2 523</w:t>
      </w:r>
      <w:r w:rsidR="00E37CA3">
        <w:rPr>
          <w:rFonts w:ascii="Times New Roman" w:eastAsia="Times New Roman" w:hAnsi="Times New Roman" w:cs="Times New Roman"/>
        </w:rPr>
        <w:t> </w:t>
      </w:r>
      <w:r w:rsidR="00E37CA3" w:rsidRPr="00D464D9">
        <w:rPr>
          <w:rFonts w:ascii="Times New Roman" w:eastAsia="Times New Roman" w:hAnsi="Times New Roman" w:cs="Times New Roman"/>
        </w:rPr>
        <w:t>128</w:t>
      </w:r>
      <w:r w:rsidR="00E37CA3">
        <w:rPr>
          <w:rFonts w:ascii="Times New Roman" w:eastAsia="Times New Roman" w:hAnsi="Times New Roman" w:cs="Times New Roman"/>
        </w:rPr>
        <w:t xml:space="preserve"> </w:t>
      </w:r>
      <w:r w:rsidRPr="00AA4E73">
        <w:rPr>
          <w:rFonts w:ascii="Times New Roman" w:hAnsi="Times New Roman" w:cs="Times New Roman"/>
          <w:sz w:val="24"/>
          <w:szCs w:val="24"/>
        </w:rPr>
        <w:t>EUR (t.sk. normējamās izmaksas, dienesta viesnīcas uzturēšanās izdevumi, kultūrizglītībai un sportam un stipendijām).</w:t>
      </w:r>
    </w:p>
    <w:tbl>
      <w:tblPr>
        <w:tblW w:w="6104" w:type="dxa"/>
        <w:jc w:val="center"/>
        <w:tblLook w:val="04A0" w:firstRow="1" w:lastRow="0" w:firstColumn="1" w:lastColumn="0" w:noHBand="0" w:noVBand="1"/>
      </w:tblPr>
      <w:tblGrid>
        <w:gridCol w:w="4711"/>
        <w:gridCol w:w="1393"/>
      </w:tblGrid>
      <w:tr w:rsidR="00D464D9" w:rsidRPr="00D464D9" w14:paraId="7145A9A3" w14:textId="77777777" w:rsidTr="00D464D9">
        <w:trPr>
          <w:trHeight w:val="261"/>
          <w:jc w:val="center"/>
        </w:trPr>
        <w:tc>
          <w:tcPr>
            <w:tcW w:w="6104" w:type="dxa"/>
            <w:gridSpan w:val="2"/>
            <w:tcBorders>
              <w:top w:val="single" w:sz="4" w:space="0" w:color="auto"/>
              <w:left w:val="single" w:sz="4" w:space="0" w:color="auto"/>
              <w:bottom w:val="single" w:sz="4" w:space="0" w:color="auto"/>
              <w:right w:val="single" w:sz="4" w:space="0" w:color="000000"/>
            </w:tcBorders>
            <w:shd w:val="clear" w:color="auto" w:fill="DEEAF6" w:themeFill="accent5" w:themeFillTint="33"/>
            <w:noWrap/>
            <w:vAlign w:val="center"/>
            <w:hideMark/>
          </w:tcPr>
          <w:p w14:paraId="7E8C8E8D" w14:textId="77777777" w:rsidR="00D464D9" w:rsidRPr="00D464D9" w:rsidRDefault="00D464D9" w:rsidP="00D464D9">
            <w:pPr>
              <w:spacing w:after="0" w:line="240" w:lineRule="auto"/>
              <w:jc w:val="center"/>
              <w:rPr>
                <w:rFonts w:ascii="Times New Roman" w:eastAsia="Times New Roman" w:hAnsi="Times New Roman" w:cs="Times New Roman"/>
                <w:b/>
                <w:bCs/>
                <w:color w:val="000000"/>
              </w:rPr>
            </w:pPr>
            <w:r w:rsidRPr="00D464D9">
              <w:rPr>
                <w:rFonts w:ascii="Times New Roman" w:eastAsia="Times New Roman" w:hAnsi="Times New Roman" w:cs="Times New Roman"/>
                <w:b/>
                <w:bCs/>
                <w:color w:val="000000"/>
              </w:rPr>
              <w:t>Rādītāji</w:t>
            </w:r>
          </w:p>
        </w:tc>
      </w:tr>
      <w:tr w:rsidR="00D464D9" w:rsidRPr="00D464D9" w14:paraId="5E1D9D2E" w14:textId="77777777" w:rsidTr="00D464D9">
        <w:trPr>
          <w:trHeight w:val="222"/>
          <w:jc w:val="center"/>
        </w:trPr>
        <w:tc>
          <w:tcPr>
            <w:tcW w:w="4711" w:type="dxa"/>
            <w:tcBorders>
              <w:top w:val="nil"/>
              <w:left w:val="single" w:sz="4" w:space="0" w:color="auto"/>
              <w:bottom w:val="single" w:sz="4" w:space="0" w:color="auto"/>
              <w:right w:val="single" w:sz="4" w:space="0" w:color="auto"/>
            </w:tcBorders>
            <w:shd w:val="clear" w:color="auto" w:fill="auto"/>
            <w:noWrap/>
            <w:vAlign w:val="center"/>
            <w:hideMark/>
          </w:tcPr>
          <w:p w14:paraId="1889BA25" w14:textId="77777777" w:rsidR="00D464D9" w:rsidRPr="00D464D9" w:rsidRDefault="00D464D9" w:rsidP="00D464D9">
            <w:pPr>
              <w:spacing w:after="0" w:line="240" w:lineRule="auto"/>
              <w:rPr>
                <w:rFonts w:ascii="Times New Roman" w:eastAsia="Times New Roman" w:hAnsi="Times New Roman" w:cs="Times New Roman"/>
              </w:rPr>
            </w:pPr>
            <w:r w:rsidRPr="00D464D9">
              <w:rPr>
                <w:rFonts w:ascii="Times New Roman" w:eastAsia="Times New Roman" w:hAnsi="Times New Roman" w:cs="Times New Roman"/>
              </w:rPr>
              <w:t>Audzēkņu skaits</w:t>
            </w:r>
          </w:p>
        </w:tc>
        <w:tc>
          <w:tcPr>
            <w:tcW w:w="1393" w:type="dxa"/>
            <w:tcBorders>
              <w:top w:val="nil"/>
              <w:left w:val="nil"/>
              <w:bottom w:val="single" w:sz="4" w:space="0" w:color="auto"/>
              <w:right w:val="single" w:sz="4" w:space="0" w:color="auto"/>
            </w:tcBorders>
            <w:shd w:val="clear" w:color="auto" w:fill="auto"/>
            <w:noWrap/>
            <w:vAlign w:val="center"/>
            <w:hideMark/>
          </w:tcPr>
          <w:p w14:paraId="76B6CE84" w14:textId="77777777" w:rsidR="00D464D9" w:rsidRPr="00D464D9" w:rsidRDefault="00D464D9" w:rsidP="00D464D9">
            <w:pPr>
              <w:spacing w:after="0" w:line="240" w:lineRule="auto"/>
              <w:jc w:val="right"/>
              <w:rPr>
                <w:rFonts w:ascii="Times New Roman" w:eastAsia="Times New Roman" w:hAnsi="Times New Roman" w:cs="Times New Roman"/>
              </w:rPr>
            </w:pPr>
            <w:r w:rsidRPr="00D464D9">
              <w:rPr>
                <w:rFonts w:ascii="Times New Roman" w:eastAsia="Times New Roman" w:hAnsi="Times New Roman" w:cs="Times New Roman"/>
              </w:rPr>
              <w:t>1546</w:t>
            </w:r>
          </w:p>
        </w:tc>
      </w:tr>
      <w:tr w:rsidR="00D464D9" w:rsidRPr="00D464D9" w14:paraId="3CF55387" w14:textId="77777777" w:rsidTr="00D464D9">
        <w:trPr>
          <w:trHeight w:val="222"/>
          <w:jc w:val="center"/>
        </w:trPr>
        <w:tc>
          <w:tcPr>
            <w:tcW w:w="4711" w:type="dxa"/>
            <w:tcBorders>
              <w:top w:val="nil"/>
              <w:left w:val="single" w:sz="4" w:space="0" w:color="auto"/>
              <w:bottom w:val="single" w:sz="4" w:space="0" w:color="auto"/>
              <w:right w:val="single" w:sz="4" w:space="0" w:color="auto"/>
            </w:tcBorders>
            <w:shd w:val="clear" w:color="auto" w:fill="auto"/>
            <w:noWrap/>
            <w:vAlign w:val="center"/>
            <w:hideMark/>
          </w:tcPr>
          <w:p w14:paraId="3123D809" w14:textId="77777777" w:rsidR="00D464D9" w:rsidRPr="00D464D9" w:rsidRDefault="00D464D9" w:rsidP="00D464D9">
            <w:pPr>
              <w:spacing w:after="0" w:line="240" w:lineRule="auto"/>
              <w:rPr>
                <w:rFonts w:ascii="Times New Roman" w:eastAsia="Times New Roman" w:hAnsi="Times New Roman" w:cs="Times New Roman"/>
              </w:rPr>
            </w:pPr>
            <w:r w:rsidRPr="00D464D9">
              <w:rPr>
                <w:rFonts w:ascii="Times New Roman" w:eastAsia="Times New Roman" w:hAnsi="Times New Roman" w:cs="Times New Roman"/>
              </w:rPr>
              <w:t>Vidējais koeficients</w:t>
            </w:r>
          </w:p>
        </w:tc>
        <w:tc>
          <w:tcPr>
            <w:tcW w:w="1393" w:type="dxa"/>
            <w:tcBorders>
              <w:top w:val="nil"/>
              <w:left w:val="nil"/>
              <w:bottom w:val="single" w:sz="4" w:space="0" w:color="auto"/>
              <w:right w:val="single" w:sz="4" w:space="0" w:color="auto"/>
            </w:tcBorders>
            <w:shd w:val="clear" w:color="auto" w:fill="auto"/>
            <w:noWrap/>
            <w:vAlign w:val="center"/>
            <w:hideMark/>
          </w:tcPr>
          <w:p w14:paraId="4723A171" w14:textId="77777777" w:rsidR="00D464D9" w:rsidRPr="00D464D9" w:rsidRDefault="00D464D9" w:rsidP="00D464D9">
            <w:pPr>
              <w:spacing w:after="0" w:line="240" w:lineRule="auto"/>
              <w:jc w:val="right"/>
              <w:rPr>
                <w:rFonts w:ascii="Times New Roman" w:eastAsia="Times New Roman" w:hAnsi="Times New Roman" w:cs="Times New Roman"/>
              </w:rPr>
            </w:pPr>
            <w:r w:rsidRPr="00D464D9">
              <w:rPr>
                <w:rFonts w:ascii="Times New Roman" w:eastAsia="Times New Roman" w:hAnsi="Times New Roman" w:cs="Times New Roman"/>
              </w:rPr>
              <w:t>1,60</w:t>
            </w:r>
          </w:p>
        </w:tc>
      </w:tr>
      <w:tr w:rsidR="00D464D9" w:rsidRPr="00D464D9" w14:paraId="48BEBDF5" w14:textId="77777777" w:rsidTr="00D464D9">
        <w:trPr>
          <w:trHeight w:val="222"/>
          <w:jc w:val="center"/>
        </w:trPr>
        <w:tc>
          <w:tcPr>
            <w:tcW w:w="4711" w:type="dxa"/>
            <w:tcBorders>
              <w:top w:val="nil"/>
              <w:left w:val="single" w:sz="4" w:space="0" w:color="auto"/>
              <w:bottom w:val="single" w:sz="4" w:space="0" w:color="auto"/>
              <w:right w:val="single" w:sz="4" w:space="0" w:color="auto"/>
            </w:tcBorders>
            <w:shd w:val="clear" w:color="auto" w:fill="auto"/>
            <w:noWrap/>
            <w:vAlign w:val="center"/>
            <w:hideMark/>
          </w:tcPr>
          <w:p w14:paraId="2A9235F7" w14:textId="77777777" w:rsidR="00D464D9" w:rsidRPr="00D464D9" w:rsidRDefault="00D464D9" w:rsidP="00D464D9">
            <w:pPr>
              <w:spacing w:after="0" w:line="240" w:lineRule="auto"/>
              <w:rPr>
                <w:rFonts w:ascii="Times New Roman" w:eastAsia="Times New Roman" w:hAnsi="Times New Roman" w:cs="Times New Roman"/>
              </w:rPr>
            </w:pPr>
            <w:r w:rsidRPr="00D464D9">
              <w:rPr>
                <w:rFonts w:ascii="Times New Roman" w:eastAsia="Times New Roman" w:hAnsi="Times New Roman" w:cs="Times New Roman"/>
              </w:rPr>
              <w:t>Normējamās izmaksas</w:t>
            </w:r>
          </w:p>
        </w:tc>
        <w:tc>
          <w:tcPr>
            <w:tcW w:w="1393" w:type="dxa"/>
            <w:tcBorders>
              <w:top w:val="nil"/>
              <w:left w:val="nil"/>
              <w:bottom w:val="single" w:sz="4" w:space="0" w:color="auto"/>
              <w:right w:val="single" w:sz="4" w:space="0" w:color="auto"/>
            </w:tcBorders>
            <w:shd w:val="clear" w:color="auto" w:fill="auto"/>
            <w:noWrap/>
            <w:vAlign w:val="center"/>
            <w:hideMark/>
          </w:tcPr>
          <w:p w14:paraId="462D08FD" w14:textId="77777777" w:rsidR="00D464D9" w:rsidRPr="00D464D9" w:rsidRDefault="00D464D9" w:rsidP="00D464D9">
            <w:pPr>
              <w:spacing w:after="0" w:line="240" w:lineRule="auto"/>
              <w:jc w:val="right"/>
              <w:rPr>
                <w:rFonts w:ascii="Times New Roman" w:eastAsia="Times New Roman" w:hAnsi="Times New Roman" w:cs="Times New Roman"/>
              </w:rPr>
            </w:pPr>
            <w:r w:rsidRPr="00D464D9">
              <w:rPr>
                <w:rFonts w:ascii="Times New Roman" w:eastAsia="Times New Roman" w:hAnsi="Times New Roman" w:cs="Times New Roman"/>
              </w:rPr>
              <w:t>624,86</w:t>
            </w:r>
          </w:p>
        </w:tc>
      </w:tr>
      <w:tr w:rsidR="00D464D9" w:rsidRPr="00D464D9" w14:paraId="68C4B79F" w14:textId="77777777" w:rsidTr="00D464D9">
        <w:trPr>
          <w:trHeight w:val="222"/>
          <w:jc w:val="center"/>
        </w:trPr>
        <w:tc>
          <w:tcPr>
            <w:tcW w:w="4711" w:type="dxa"/>
            <w:tcBorders>
              <w:top w:val="nil"/>
              <w:left w:val="single" w:sz="4" w:space="0" w:color="auto"/>
              <w:bottom w:val="single" w:sz="4" w:space="0" w:color="auto"/>
              <w:right w:val="single" w:sz="4" w:space="0" w:color="auto"/>
            </w:tcBorders>
            <w:shd w:val="clear" w:color="auto" w:fill="auto"/>
            <w:noWrap/>
            <w:vAlign w:val="center"/>
            <w:hideMark/>
          </w:tcPr>
          <w:p w14:paraId="588A36FF" w14:textId="77777777" w:rsidR="00D464D9" w:rsidRPr="00D464D9" w:rsidRDefault="00D464D9" w:rsidP="00D464D9">
            <w:pPr>
              <w:spacing w:after="0" w:line="240" w:lineRule="auto"/>
              <w:rPr>
                <w:rFonts w:ascii="Times New Roman" w:eastAsia="Times New Roman" w:hAnsi="Times New Roman" w:cs="Times New Roman"/>
              </w:rPr>
            </w:pPr>
            <w:r w:rsidRPr="00D464D9">
              <w:rPr>
                <w:rFonts w:ascii="Times New Roman" w:eastAsia="Times New Roman" w:hAnsi="Times New Roman" w:cs="Times New Roman"/>
              </w:rPr>
              <w:t>Dienesta viesnīca</w:t>
            </w:r>
          </w:p>
        </w:tc>
        <w:tc>
          <w:tcPr>
            <w:tcW w:w="1393" w:type="dxa"/>
            <w:tcBorders>
              <w:top w:val="nil"/>
              <w:left w:val="nil"/>
              <w:bottom w:val="single" w:sz="4" w:space="0" w:color="auto"/>
              <w:right w:val="single" w:sz="4" w:space="0" w:color="auto"/>
            </w:tcBorders>
            <w:shd w:val="clear" w:color="auto" w:fill="auto"/>
            <w:noWrap/>
            <w:vAlign w:val="center"/>
            <w:hideMark/>
          </w:tcPr>
          <w:p w14:paraId="496CAA0E" w14:textId="77777777" w:rsidR="00D464D9" w:rsidRPr="00D464D9" w:rsidRDefault="00D464D9" w:rsidP="00D464D9">
            <w:pPr>
              <w:spacing w:after="0" w:line="240" w:lineRule="auto"/>
              <w:jc w:val="right"/>
              <w:rPr>
                <w:rFonts w:ascii="Times New Roman" w:eastAsia="Times New Roman" w:hAnsi="Times New Roman" w:cs="Times New Roman"/>
              </w:rPr>
            </w:pPr>
            <w:r w:rsidRPr="00D464D9">
              <w:rPr>
                <w:rFonts w:ascii="Times New Roman" w:eastAsia="Times New Roman" w:hAnsi="Times New Roman" w:cs="Times New Roman"/>
              </w:rPr>
              <w:t>351,69</w:t>
            </w:r>
          </w:p>
        </w:tc>
      </w:tr>
      <w:tr w:rsidR="00D464D9" w:rsidRPr="00D464D9" w14:paraId="71937804" w14:textId="77777777" w:rsidTr="00D464D9">
        <w:trPr>
          <w:trHeight w:val="261"/>
          <w:jc w:val="center"/>
        </w:trPr>
        <w:tc>
          <w:tcPr>
            <w:tcW w:w="6104" w:type="dxa"/>
            <w:gridSpan w:val="2"/>
            <w:tcBorders>
              <w:top w:val="single" w:sz="4" w:space="0" w:color="auto"/>
              <w:left w:val="single" w:sz="4" w:space="0" w:color="auto"/>
              <w:bottom w:val="single" w:sz="4" w:space="0" w:color="auto"/>
              <w:right w:val="single" w:sz="4" w:space="0" w:color="000000"/>
            </w:tcBorders>
            <w:shd w:val="clear" w:color="auto" w:fill="DEEAF6" w:themeFill="accent5" w:themeFillTint="33"/>
            <w:noWrap/>
            <w:vAlign w:val="center"/>
            <w:hideMark/>
          </w:tcPr>
          <w:p w14:paraId="5DC5351D" w14:textId="77777777" w:rsidR="00D464D9" w:rsidRPr="00D464D9" w:rsidRDefault="00D464D9" w:rsidP="00D464D9">
            <w:pPr>
              <w:spacing w:after="0" w:line="240" w:lineRule="auto"/>
              <w:jc w:val="center"/>
              <w:rPr>
                <w:rFonts w:ascii="Times New Roman" w:eastAsia="Times New Roman" w:hAnsi="Times New Roman" w:cs="Times New Roman"/>
                <w:b/>
                <w:bCs/>
                <w:color w:val="000000"/>
              </w:rPr>
            </w:pPr>
            <w:r w:rsidRPr="00D464D9">
              <w:rPr>
                <w:rFonts w:ascii="Times New Roman" w:eastAsia="Times New Roman" w:hAnsi="Times New Roman" w:cs="Times New Roman"/>
                <w:b/>
                <w:bCs/>
                <w:color w:val="000000"/>
              </w:rPr>
              <w:t>Aprēķins</w:t>
            </w:r>
          </w:p>
        </w:tc>
      </w:tr>
      <w:tr w:rsidR="00D464D9" w:rsidRPr="00D464D9" w14:paraId="24CCE90C" w14:textId="77777777" w:rsidTr="00D464D9">
        <w:trPr>
          <w:trHeight w:val="222"/>
          <w:jc w:val="center"/>
        </w:trPr>
        <w:tc>
          <w:tcPr>
            <w:tcW w:w="4711" w:type="dxa"/>
            <w:tcBorders>
              <w:top w:val="nil"/>
              <w:left w:val="single" w:sz="4" w:space="0" w:color="auto"/>
              <w:bottom w:val="single" w:sz="4" w:space="0" w:color="auto"/>
              <w:right w:val="single" w:sz="4" w:space="0" w:color="auto"/>
            </w:tcBorders>
            <w:shd w:val="clear" w:color="auto" w:fill="auto"/>
            <w:noWrap/>
            <w:vAlign w:val="center"/>
            <w:hideMark/>
          </w:tcPr>
          <w:p w14:paraId="41703387" w14:textId="77777777" w:rsidR="00D464D9" w:rsidRPr="00D464D9" w:rsidRDefault="00D464D9" w:rsidP="00D464D9">
            <w:pPr>
              <w:spacing w:after="0" w:line="240" w:lineRule="auto"/>
              <w:rPr>
                <w:rFonts w:ascii="Times New Roman" w:eastAsia="Times New Roman" w:hAnsi="Times New Roman" w:cs="Times New Roman"/>
              </w:rPr>
            </w:pPr>
            <w:r w:rsidRPr="00D464D9">
              <w:rPr>
                <w:rFonts w:ascii="Times New Roman" w:eastAsia="Times New Roman" w:hAnsi="Times New Roman" w:cs="Times New Roman"/>
              </w:rPr>
              <w:t>Normējamās izmaksas</w:t>
            </w:r>
          </w:p>
        </w:tc>
        <w:tc>
          <w:tcPr>
            <w:tcW w:w="1393" w:type="dxa"/>
            <w:tcBorders>
              <w:top w:val="nil"/>
              <w:left w:val="nil"/>
              <w:bottom w:val="single" w:sz="4" w:space="0" w:color="auto"/>
              <w:right w:val="single" w:sz="4" w:space="0" w:color="auto"/>
            </w:tcBorders>
            <w:shd w:val="clear" w:color="auto" w:fill="auto"/>
            <w:noWrap/>
            <w:vAlign w:val="center"/>
            <w:hideMark/>
          </w:tcPr>
          <w:p w14:paraId="0875A879" w14:textId="77777777" w:rsidR="00D464D9" w:rsidRPr="00D464D9" w:rsidRDefault="00D464D9" w:rsidP="00D464D9">
            <w:pPr>
              <w:spacing w:after="0" w:line="240" w:lineRule="auto"/>
              <w:jc w:val="right"/>
              <w:rPr>
                <w:rFonts w:ascii="Times New Roman" w:eastAsia="Times New Roman" w:hAnsi="Times New Roman" w:cs="Times New Roman"/>
              </w:rPr>
            </w:pPr>
            <w:r w:rsidRPr="00D464D9">
              <w:rPr>
                <w:rFonts w:ascii="Times New Roman" w:eastAsia="Times New Roman" w:hAnsi="Times New Roman" w:cs="Times New Roman"/>
              </w:rPr>
              <w:t>1 545 654</w:t>
            </w:r>
          </w:p>
        </w:tc>
      </w:tr>
      <w:tr w:rsidR="00D464D9" w:rsidRPr="00D464D9" w14:paraId="50DDD632" w14:textId="77777777" w:rsidTr="00D464D9">
        <w:trPr>
          <w:trHeight w:val="222"/>
          <w:jc w:val="center"/>
        </w:trPr>
        <w:tc>
          <w:tcPr>
            <w:tcW w:w="4711" w:type="dxa"/>
            <w:tcBorders>
              <w:top w:val="nil"/>
              <w:left w:val="single" w:sz="4" w:space="0" w:color="auto"/>
              <w:bottom w:val="single" w:sz="4" w:space="0" w:color="auto"/>
              <w:right w:val="single" w:sz="4" w:space="0" w:color="auto"/>
            </w:tcBorders>
            <w:shd w:val="clear" w:color="auto" w:fill="auto"/>
            <w:noWrap/>
            <w:vAlign w:val="center"/>
            <w:hideMark/>
          </w:tcPr>
          <w:p w14:paraId="641548F3" w14:textId="77777777" w:rsidR="00D464D9" w:rsidRPr="00D464D9" w:rsidRDefault="00D464D9" w:rsidP="00D464D9">
            <w:pPr>
              <w:spacing w:after="0" w:line="240" w:lineRule="auto"/>
              <w:rPr>
                <w:rFonts w:ascii="Times New Roman" w:eastAsia="Times New Roman" w:hAnsi="Times New Roman" w:cs="Times New Roman"/>
              </w:rPr>
            </w:pPr>
            <w:r w:rsidRPr="00D464D9">
              <w:rPr>
                <w:rFonts w:ascii="Times New Roman" w:eastAsia="Times New Roman" w:hAnsi="Times New Roman" w:cs="Times New Roman"/>
              </w:rPr>
              <w:t>Dienesta viesnīcas uzturēšana</w:t>
            </w:r>
          </w:p>
        </w:tc>
        <w:tc>
          <w:tcPr>
            <w:tcW w:w="1393" w:type="dxa"/>
            <w:tcBorders>
              <w:top w:val="nil"/>
              <w:left w:val="nil"/>
              <w:bottom w:val="single" w:sz="4" w:space="0" w:color="auto"/>
              <w:right w:val="single" w:sz="4" w:space="0" w:color="auto"/>
            </w:tcBorders>
            <w:shd w:val="clear" w:color="auto" w:fill="auto"/>
            <w:noWrap/>
            <w:vAlign w:val="center"/>
            <w:hideMark/>
          </w:tcPr>
          <w:p w14:paraId="1F9C7915" w14:textId="77777777" w:rsidR="00D464D9" w:rsidRPr="00D464D9" w:rsidRDefault="00D464D9" w:rsidP="00D464D9">
            <w:pPr>
              <w:spacing w:after="0" w:line="240" w:lineRule="auto"/>
              <w:jc w:val="right"/>
              <w:rPr>
                <w:rFonts w:ascii="Times New Roman" w:eastAsia="Times New Roman" w:hAnsi="Times New Roman" w:cs="Times New Roman"/>
              </w:rPr>
            </w:pPr>
            <w:r w:rsidRPr="00D464D9">
              <w:rPr>
                <w:rFonts w:ascii="Times New Roman" w:eastAsia="Times New Roman" w:hAnsi="Times New Roman" w:cs="Times New Roman"/>
              </w:rPr>
              <w:t>50 292</w:t>
            </w:r>
          </w:p>
        </w:tc>
      </w:tr>
      <w:tr w:rsidR="00D464D9" w:rsidRPr="00D464D9" w14:paraId="3BFA3007" w14:textId="77777777" w:rsidTr="00D464D9">
        <w:trPr>
          <w:trHeight w:val="222"/>
          <w:jc w:val="center"/>
        </w:trPr>
        <w:tc>
          <w:tcPr>
            <w:tcW w:w="4711" w:type="dxa"/>
            <w:tcBorders>
              <w:top w:val="nil"/>
              <w:left w:val="single" w:sz="4" w:space="0" w:color="auto"/>
              <w:bottom w:val="single" w:sz="4" w:space="0" w:color="auto"/>
              <w:right w:val="single" w:sz="4" w:space="0" w:color="auto"/>
            </w:tcBorders>
            <w:shd w:val="clear" w:color="auto" w:fill="auto"/>
            <w:noWrap/>
            <w:vAlign w:val="center"/>
            <w:hideMark/>
          </w:tcPr>
          <w:p w14:paraId="696F2583" w14:textId="77777777" w:rsidR="00D464D9" w:rsidRPr="00D464D9" w:rsidRDefault="00D464D9" w:rsidP="00D464D9">
            <w:pPr>
              <w:spacing w:after="0" w:line="240" w:lineRule="auto"/>
              <w:rPr>
                <w:rFonts w:ascii="Times New Roman" w:eastAsia="Times New Roman" w:hAnsi="Times New Roman" w:cs="Times New Roman"/>
              </w:rPr>
            </w:pPr>
            <w:r w:rsidRPr="00D464D9">
              <w:rPr>
                <w:rFonts w:ascii="Times New Roman" w:eastAsia="Times New Roman" w:hAnsi="Times New Roman" w:cs="Times New Roman"/>
              </w:rPr>
              <w:t>Kultūrizglītībai un sportam (22,77 euro)</w:t>
            </w:r>
          </w:p>
        </w:tc>
        <w:tc>
          <w:tcPr>
            <w:tcW w:w="1393" w:type="dxa"/>
            <w:tcBorders>
              <w:top w:val="nil"/>
              <w:left w:val="nil"/>
              <w:bottom w:val="single" w:sz="4" w:space="0" w:color="auto"/>
              <w:right w:val="single" w:sz="4" w:space="0" w:color="auto"/>
            </w:tcBorders>
            <w:shd w:val="clear" w:color="auto" w:fill="auto"/>
            <w:noWrap/>
            <w:vAlign w:val="center"/>
            <w:hideMark/>
          </w:tcPr>
          <w:p w14:paraId="67FEFB43" w14:textId="77777777" w:rsidR="00D464D9" w:rsidRPr="00D464D9" w:rsidRDefault="00D464D9" w:rsidP="00D464D9">
            <w:pPr>
              <w:spacing w:after="0" w:line="240" w:lineRule="auto"/>
              <w:jc w:val="right"/>
              <w:rPr>
                <w:rFonts w:ascii="Times New Roman" w:eastAsia="Times New Roman" w:hAnsi="Times New Roman" w:cs="Times New Roman"/>
              </w:rPr>
            </w:pPr>
            <w:r w:rsidRPr="00D464D9">
              <w:rPr>
                <w:rFonts w:ascii="Times New Roman" w:eastAsia="Times New Roman" w:hAnsi="Times New Roman" w:cs="Times New Roman"/>
              </w:rPr>
              <w:t>35 202</w:t>
            </w:r>
          </w:p>
        </w:tc>
      </w:tr>
      <w:tr w:rsidR="00D464D9" w:rsidRPr="00D464D9" w14:paraId="4DBA2990" w14:textId="77777777" w:rsidTr="00D464D9">
        <w:trPr>
          <w:trHeight w:val="222"/>
          <w:jc w:val="center"/>
        </w:trPr>
        <w:tc>
          <w:tcPr>
            <w:tcW w:w="4711" w:type="dxa"/>
            <w:tcBorders>
              <w:top w:val="nil"/>
              <w:left w:val="single" w:sz="4" w:space="0" w:color="auto"/>
              <w:bottom w:val="single" w:sz="4" w:space="0" w:color="auto"/>
              <w:right w:val="single" w:sz="4" w:space="0" w:color="auto"/>
            </w:tcBorders>
            <w:shd w:val="clear" w:color="auto" w:fill="auto"/>
            <w:noWrap/>
            <w:vAlign w:val="center"/>
            <w:hideMark/>
          </w:tcPr>
          <w:p w14:paraId="08114B99" w14:textId="77777777" w:rsidR="00D464D9" w:rsidRPr="00D464D9" w:rsidRDefault="00D464D9" w:rsidP="00D464D9">
            <w:pPr>
              <w:spacing w:after="0" w:line="240" w:lineRule="auto"/>
              <w:rPr>
                <w:rFonts w:ascii="Times New Roman" w:eastAsia="Times New Roman" w:hAnsi="Times New Roman" w:cs="Times New Roman"/>
              </w:rPr>
            </w:pPr>
            <w:r w:rsidRPr="00D464D9">
              <w:rPr>
                <w:rFonts w:ascii="Times New Roman" w:eastAsia="Times New Roman" w:hAnsi="Times New Roman" w:cs="Times New Roman"/>
              </w:rPr>
              <w:t>Stipendijas (48,08 euro)</w:t>
            </w:r>
          </w:p>
        </w:tc>
        <w:tc>
          <w:tcPr>
            <w:tcW w:w="1393" w:type="dxa"/>
            <w:tcBorders>
              <w:top w:val="nil"/>
              <w:left w:val="nil"/>
              <w:bottom w:val="single" w:sz="4" w:space="0" w:color="auto"/>
              <w:right w:val="single" w:sz="4" w:space="0" w:color="auto"/>
            </w:tcBorders>
            <w:shd w:val="clear" w:color="auto" w:fill="auto"/>
            <w:noWrap/>
            <w:vAlign w:val="center"/>
            <w:hideMark/>
          </w:tcPr>
          <w:p w14:paraId="1A8DD1E6" w14:textId="77777777" w:rsidR="00D464D9" w:rsidRPr="00D464D9" w:rsidRDefault="00D464D9" w:rsidP="00D464D9">
            <w:pPr>
              <w:spacing w:after="0" w:line="240" w:lineRule="auto"/>
              <w:jc w:val="right"/>
              <w:rPr>
                <w:rFonts w:ascii="Times New Roman" w:eastAsia="Times New Roman" w:hAnsi="Times New Roman" w:cs="Times New Roman"/>
              </w:rPr>
            </w:pPr>
            <w:r w:rsidRPr="00D464D9">
              <w:rPr>
                <w:rFonts w:ascii="Times New Roman" w:eastAsia="Times New Roman" w:hAnsi="Times New Roman" w:cs="Times New Roman"/>
              </w:rPr>
              <w:t>891 980</w:t>
            </w:r>
          </w:p>
        </w:tc>
      </w:tr>
      <w:tr w:rsidR="00D464D9" w:rsidRPr="00D464D9" w14:paraId="6FEF4347" w14:textId="77777777" w:rsidTr="00D464D9">
        <w:trPr>
          <w:trHeight w:val="261"/>
          <w:jc w:val="center"/>
        </w:trPr>
        <w:tc>
          <w:tcPr>
            <w:tcW w:w="4711" w:type="dxa"/>
            <w:tcBorders>
              <w:top w:val="nil"/>
              <w:left w:val="single" w:sz="4" w:space="0" w:color="auto"/>
              <w:bottom w:val="single" w:sz="4" w:space="0" w:color="auto"/>
              <w:right w:val="single" w:sz="4" w:space="0" w:color="auto"/>
            </w:tcBorders>
            <w:shd w:val="clear" w:color="auto" w:fill="DEEAF6" w:themeFill="accent5" w:themeFillTint="33"/>
            <w:noWrap/>
            <w:vAlign w:val="center"/>
            <w:hideMark/>
          </w:tcPr>
          <w:p w14:paraId="79D95E50" w14:textId="77777777" w:rsidR="00D464D9" w:rsidRPr="00D464D9" w:rsidRDefault="00D464D9" w:rsidP="00D464D9">
            <w:pPr>
              <w:spacing w:after="0" w:line="240" w:lineRule="auto"/>
              <w:jc w:val="right"/>
              <w:rPr>
                <w:rFonts w:ascii="Times New Roman" w:eastAsia="Times New Roman" w:hAnsi="Times New Roman" w:cs="Times New Roman"/>
                <w:b/>
                <w:bCs/>
                <w:color w:val="000000"/>
              </w:rPr>
            </w:pPr>
            <w:r w:rsidRPr="00D464D9">
              <w:rPr>
                <w:rFonts w:ascii="Times New Roman" w:eastAsia="Times New Roman" w:hAnsi="Times New Roman" w:cs="Times New Roman"/>
                <w:b/>
                <w:bCs/>
                <w:color w:val="000000"/>
              </w:rPr>
              <w:t>Kopā</w:t>
            </w:r>
          </w:p>
        </w:tc>
        <w:tc>
          <w:tcPr>
            <w:tcW w:w="1393" w:type="dxa"/>
            <w:tcBorders>
              <w:top w:val="nil"/>
              <w:left w:val="nil"/>
              <w:bottom w:val="single" w:sz="4" w:space="0" w:color="auto"/>
              <w:right w:val="single" w:sz="4" w:space="0" w:color="auto"/>
            </w:tcBorders>
            <w:shd w:val="clear" w:color="auto" w:fill="DEEAF6" w:themeFill="accent5" w:themeFillTint="33"/>
            <w:noWrap/>
            <w:vAlign w:val="center"/>
            <w:hideMark/>
          </w:tcPr>
          <w:p w14:paraId="23041D93" w14:textId="77777777" w:rsidR="00D464D9" w:rsidRPr="00D464D9" w:rsidRDefault="00D464D9" w:rsidP="00D464D9">
            <w:pPr>
              <w:spacing w:after="0" w:line="240" w:lineRule="auto"/>
              <w:jc w:val="right"/>
              <w:rPr>
                <w:rFonts w:ascii="Times New Roman" w:eastAsia="Times New Roman" w:hAnsi="Times New Roman" w:cs="Times New Roman"/>
              </w:rPr>
            </w:pPr>
            <w:r w:rsidRPr="00D464D9">
              <w:rPr>
                <w:rFonts w:ascii="Times New Roman" w:eastAsia="Times New Roman" w:hAnsi="Times New Roman" w:cs="Times New Roman"/>
              </w:rPr>
              <w:t>2 523 128</w:t>
            </w:r>
          </w:p>
        </w:tc>
      </w:tr>
    </w:tbl>
    <w:p w14:paraId="7AF054C0" w14:textId="77777777" w:rsidR="00D464D9" w:rsidRDefault="00D464D9" w:rsidP="004E229C">
      <w:pPr>
        <w:spacing w:after="120" w:line="276" w:lineRule="auto"/>
        <w:jc w:val="both"/>
        <w:rPr>
          <w:rFonts w:ascii="Times New Roman" w:hAnsi="Times New Roman" w:cs="Times New Roman"/>
          <w:sz w:val="24"/>
          <w:szCs w:val="24"/>
        </w:rPr>
      </w:pPr>
    </w:p>
    <w:p w14:paraId="091CE909" w14:textId="3BB00633" w:rsidR="005B3EC0" w:rsidRPr="00DF17B3" w:rsidRDefault="005B3EC0" w:rsidP="00242DAB">
      <w:pPr>
        <w:spacing w:after="120" w:line="276" w:lineRule="auto"/>
        <w:jc w:val="both"/>
        <w:rPr>
          <w:rFonts w:ascii="Times New Roman" w:hAnsi="Times New Roman" w:cs="Times New Roman"/>
          <w:sz w:val="24"/>
          <w:szCs w:val="24"/>
        </w:rPr>
      </w:pPr>
      <w:r w:rsidRPr="00B066D6">
        <w:rPr>
          <w:rFonts w:ascii="Times New Roman" w:eastAsia="Verdana" w:hAnsi="Times New Roman" w:cs="Times New Roman"/>
          <w:bCs/>
          <w:color w:val="000000" w:themeColor="text1"/>
          <w:kern w:val="24"/>
          <w:sz w:val="24"/>
          <w:szCs w:val="28"/>
        </w:rPr>
        <w:t xml:space="preserve">Izvērtējot iespēju </w:t>
      </w:r>
      <w:r w:rsidRPr="00B066D6">
        <w:rPr>
          <w:rFonts w:ascii="Times New Roman" w:eastAsia="Times New Roman" w:hAnsi="Times New Roman" w:cs="Times New Roman"/>
          <w:sz w:val="24"/>
          <w:szCs w:val="24"/>
        </w:rPr>
        <w:t>pašvaldību un privāt</w:t>
      </w:r>
      <w:r>
        <w:rPr>
          <w:rFonts w:ascii="Times New Roman" w:eastAsia="Times New Roman" w:hAnsi="Times New Roman" w:cs="Times New Roman"/>
          <w:sz w:val="24"/>
          <w:szCs w:val="24"/>
        </w:rPr>
        <w:t>ajām</w:t>
      </w:r>
      <w:r w:rsidRPr="00B066D6">
        <w:rPr>
          <w:rFonts w:ascii="Times New Roman" w:eastAsia="Times New Roman" w:hAnsi="Times New Roman" w:cs="Times New Roman"/>
          <w:sz w:val="24"/>
          <w:szCs w:val="24"/>
        </w:rPr>
        <w:t xml:space="preserve"> izglītības iestādēm saņemt valsts budžeta finansējumu profesionālās izglītības programmu  īstenošanai</w:t>
      </w:r>
      <w:r>
        <w:rPr>
          <w:rFonts w:ascii="Times New Roman" w:eastAsia="Times New Roman" w:hAnsi="Times New Roman" w:cs="Times New Roman"/>
          <w:sz w:val="24"/>
          <w:szCs w:val="24"/>
        </w:rPr>
        <w:t>,</w:t>
      </w:r>
      <w:r w:rsidRPr="00B066D6">
        <w:rPr>
          <w:rFonts w:ascii="Times New Roman" w:eastAsia="Times New Roman" w:hAnsi="Times New Roman" w:cs="Times New Roman"/>
          <w:sz w:val="24"/>
          <w:szCs w:val="24"/>
        </w:rPr>
        <w:t xml:space="preserve"> jāņem vērā </w:t>
      </w:r>
      <w:r>
        <w:rPr>
          <w:rFonts w:ascii="Times New Roman" w:eastAsia="Times New Roman" w:hAnsi="Times New Roman" w:cs="Times New Roman"/>
          <w:sz w:val="24"/>
          <w:szCs w:val="24"/>
        </w:rPr>
        <w:t>jau esošie nosacījumi</w:t>
      </w:r>
      <w:r w:rsidRPr="00DF17B3">
        <w:rPr>
          <w:rFonts w:ascii="Times New Roman" w:eastAsia="Times New Roman" w:hAnsi="Times New Roman" w:cs="Times New Roman"/>
          <w:sz w:val="24"/>
          <w:szCs w:val="24"/>
        </w:rPr>
        <w:t xml:space="preserve">, kādi tiek piemēroti valsts dibinātām </w:t>
      </w:r>
      <w:r>
        <w:rPr>
          <w:rFonts w:ascii="Times New Roman" w:eastAsia="Times New Roman" w:hAnsi="Times New Roman" w:cs="Times New Roman"/>
          <w:sz w:val="24"/>
          <w:szCs w:val="24"/>
        </w:rPr>
        <w:t xml:space="preserve">profesionālās </w:t>
      </w:r>
      <w:r w:rsidRPr="00DF17B3">
        <w:rPr>
          <w:rFonts w:ascii="Times New Roman" w:eastAsia="Times New Roman" w:hAnsi="Times New Roman" w:cs="Times New Roman"/>
          <w:sz w:val="24"/>
          <w:szCs w:val="24"/>
        </w:rPr>
        <w:t>izglītības iestādēm</w:t>
      </w:r>
      <w:r>
        <w:rPr>
          <w:rFonts w:ascii="Times New Roman" w:eastAsia="Times New Roman" w:hAnsi="Times New Roman" w:cs="Times New Roman"/>
          <w:sz w:val="24"/>
          <w:szCs w:val="24"/>
        </w:rPr>
        <w:t>, vienlaikus papildus nosakot kritērijus pašvaldību un citu dibinātāju īstenotajām izglītības programmām.</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Priekšlikums paredz pašvaldību un privāto izglītības iestāžu īstenoto izglītības programmu finansēšanu no valsts budžeta gadījumos, </w:t>
      </w:r>
      <w:r w:rsidRPr="00DF183E">
        <w:rPr>
          <w:rFonts w:ascii="Times New Roman" w:eastAsia="Times New Roman" w:hAnsi="Times New Roman" w:cs="Times New Roman"/>
          <w:sz w:val="24"/>
          <w:szCs w:val="24"/>
        </w:rPr>
        <w:t>kad tās īsteno</w:t>
      </w:r>
      <w:r w:rsidR="00FE3311">
        <w:rPr>
          <w:rFonts w:ascii="Times New Roman" w:eastAsia="Times New Roman" w:hAnsi="Times New Roman" w:cs="Times New Roman"/>
          <w:sz w:val="24"/>
          <w:szCs w:val="24"/>
        </w:rPr>
        <w:t xml:space="preserve"> </w:t>
      </w:r>
      <w:r w:rsidR="00FE3311">
        <w:rPr>
          <w:rFonts w:ascii="Times New Roman" w:hAnsi="Times New Roman" w:cs="Times New Roman"/>
          <w:sz w:val="24"/>
          <w:szCs w:val="28"/>
        </w:rPr>
        <w:t xml:space="preserve">izglītības programmas, </w:t>
      </w:r>
      <w:r w:rsidR="00FE3311" w:rsidRPr="00FE3311">
        <w:rPr>
          <w:rFonts w:ascii="Times New Roman" w:hAnsi="Times New Roman" w:cs="Times New Roman"/>
          <w:sz w:val="24"/>
          <w:szCs w:val="28"/>
        </w:rPr>
        <w:t>kuru īstenošanas kvalitāte akreditā</w:t>
      </w:r>
      <w:r w:rsidR="00FE3311">
        <w:rPr>
          <w:rFonts w:ascii="Times New Roman" w:hAnsi="Times New Roman" w:cs="Times New Roman"/>
          <w:sz w:val="24"/>
          <w:szCs w:val="28"/>
        </w:rPr>
        <w:t>cijā</w:t>
      </w:r>
      <w:r w:rsidR="0006405F">
        <w:rPr>
          <w:rFonts w:ascii="Times New Roman" w:hAnsi="Times New Roman" w:cs="Times New Roman"/>
          <w:sz w:val="24"/>
          <w:szCs w:val="28"/>
        </w:rPr>
        <w:t>,</w:t>
      </w:r>
      <w:r w:rsidR="00FE3311">
        <w:rPr>
          <w:rFonts w:ascii="Times New Roman" w:hAnsi="Times New Roman" w:cs="Times New Roman"/>
          <w:sz w:val="24"/>
          <w:szCs w:val="28"/>
        </w:rPr>
        <w:t xml:space="preserve"> </w:t>
      </w:r>
      <w:r w:rsidR="0006405F">
        <w:rPr>
          <w:rFonts w:ascii="Times New Roman" w:hAnsi="Times New Roman" w:cs="Times New Roman"/>
          <w:sz w:val="24"/>
          <w:szCs w:val="28"/>
        </w:rPr>
        <w:t xml:space="preserve">visos kritērijos, </w:t>
      </w:r>
      <w:r w:rsidR="00677B62">
        <w:rPr>
          <w:rFonts w:ascii="Times New Roman" w:hAnsi="Times New Roman" w:cs="Times New Roman"/>
          <w:sz w:val="24"/>
          <w:szCs w:val="28"/>
        </w:rPr>
        <w:t>novērtēta ar vismaz “labi”</w:t>
      </w:r>
      <w:r w:rsidR="00FE3311">
        <w:rPr>
          <w:rStyle w:val="FootnoteReference"/>
          <w:rFonts w:ascii="Times New Roman" w:hAnsi="Times New Roman" w:cs="Times New Roman"/>
          <w:sz w:val="24"/>
          <w:szCs w:val="28"/>
        </w:rPr>
        <w:footnoteReference w:id="4"/>
      </w:r>
      <w:r w:rsidR="00FE3311">
        <w:rPr>
          <w:rFonts w:ascii="Times New Roman" w:hAnsi="Times New Roman" w:cs="Times New Roman"/>
          <w:sz w:val="24"/>
          <w:szCs w:val="28"/>
        </w:rPr>
        <w:t xml:space="preserve">, vienlaikus atbilst </w:t>
      </w:r>
      <w:r w:rsidR="0061740B">
        <w:rPr>
          <w:rFonts w:ascii="Times New Roman" w:hAnsi="Times New Roman" w:cs="Times New Roman"/>
          <w:sz w:val="24"/>
          <w:szCs w:val="28"/>
        </w:rPr>
        <w:t xml:space="preserve">vismaz vienam no </w:t>
      </w:r>
      <w:r w:rsidR="00FE3311">
        <w:rPr>
          <w:rFonts w:ascii="Times New Roman" w:hAnsi="Times New Roman" w:cs="Times New Roman"/>
          <w:sz w:val="24"/>
          <w:szCs w:val="28"/>
        </w:rPr>
        <w:t>šādiem kritērijiem</w:t>
      </w:r>
      <w:r w:rsidRPr="00DF183E">
        <w:rPr>
          <w:rFonts w:ascii="Times New Roman" w:eastAsia="Times New Roman" w:hAnsi="Times New Roman" w:cs="Times New Roman"/>
          <w:sz w:val="24"/>
          <w:szCs w:val="24"/>
        </w:rPr>
        <w:t>:</w:t>
      </w:r>
    </w:p>
    <w:p w14:paraId="3524C54D" w14:textId="175D29DF" w:rsidR="005B3EC0" w:rsidRPr="00406454" w:rsidRDefault="005B3EC0" w:rsidP="00242DAB">
      <w:pPr>
        <w:pStyle w:val="ListParagraph"/>
        <w:numPr>
          <w:ilvl w:val="1"/>
          <w:numId w:val="1"/>
        </w:numPr>
        <w:spacing w:after="120" w:line="276" w:lineRule="auto"/>
        <w:ind w:left="709" w:hanging="425"/>
        <w:contextualSpacing w:val="0"/>
        <w:jc w:val="both"/>
        <w:rPr>
          <w:rFonts w:ascii="Times New Roman" w:hAnsi="Times New Roman" w:cs="Times New Roman"/>
          <w:sz w:val="24"/>
          <w:szCs w:val="28"/>
        </w:rPr>
      </w:pPr>
      <w:r w:rsidRPr="00DF183E">
        <w:rPr>
          <w:rFonts w:ascii="Times New Roman" w:eastAsia="Times New Roman" w:hAnsi="Times New Roman" w:cs="Times New Roman"/>
          <w:sz w:val="24"/>
          <w:szCs w:val="24"/>
        </w:rPr>
        <w:t>izglītības programmas</w:t>
      </w:r>
      <w:r>
        <w:rPr>
          <w:rFonts w:ascii="Times New Roman" w:eastAsia="Times New Roman" w:hAnsi="Times New Roman" w:cs="Times New Roman"/>
          <w:sz w:val="24"/>
          <w:szCs w:val="24"/>
        </w:rPr>
        <w:t xml:space="preserve">, kas </w:t>
      </w:r>
      <w:r w:rsidR="00FE3311">
        <w:rPr>
          <w:rFonts w:ascii="Times New Roman" w:eastAsia="Times New Roman" w:hAnsi="Times New Roman" w:cs="Times New Roman"/>
          <w:sz w:val="24"/>
          <w:szCs w:val="24"/>
        </w:rPr>
        <w:t xml:space="preserve">valstī </w:t>
      </w:r>
      <w:r>
        <w:rPr>
          <w:rFonts w:ascii="Times New Roman" w:eastAsia="Times New Roman" w:hAnsi="Times New Roman" w:cs="Times New Roman"/>
          <w:sz w:val="24"/>
          <w:szCs w:val="24"/>
        </w:rPr>
        <w:t>nepieciešamas</w:t>
      </w:r>
      <w:r w:rsidR="00FE3311">
        <w:rPr>
          <w:rFonts w:ascii="Times New Roman" w:hAnsi="Times New Roman" w:cs="Times New Roman"/>
          <w:sz w:val="24"/>
          <w:szCs w:val="28"/>
        </w:rPr>
        <w:t xml:space="preserve"> un darba tirgus pieprasītas</w:t>
      </w:r>
      <w:r w:rsidRPr="00406454">
        <w:rPr>
          <w:rFonts w:ascii="Times New Roman" w:hAnsi="Times New Roman" w:cs="Times New Roman"/>
          <w:sz w:val="24"/>
          <w:szCs w:val="28"/>
        </w:rPr>
        <w:t>, ja to īstenošanu n</w:t>
      </w:r>
      <w:r w:rsidR="00FE3311">
        <w:rPr>
          <w:rFonts w:ascii="Times New Roman" w:hAnsi="Times New Roman" w:cs="Times New Roman"/>
          <w:sz w:val="24"/>
          <w:szCs w:val="28"/>
        </w:rPr>
        <w:t>enodrošina valsts dibinātas izglītības iestādes</w:t>
      </w:r>
      <w:r w:rsidR="005D7437">
        <w:rPr>
          <w:rFonts w:ascii="Times New Roman" w:hAnsi="Times New Roman" w:cs="Times New Roman"/>
          <w:sz w:val="24"/>
          <w:szCs w:val="28"/>
        </w:rPr>
        <w:t xml:space="preserve"> attiecīgajā reģionā</w:t>
      </w:r>
      <w:r w:rsidRPr="00406454">
        <w:rPr>
          <w:rFonts w:ascii="Times New Roman" w:hAnsi="Times New Roman" w:cs="Times New Roman"/>
          <w:sz w:val="24"/>
          <w:szCs w:val="28"/>
        </w:rPr>
        <w:t>;</w:t>
      </w:r>
    </w:p>
    <w:p w14:paraId="5EB1FC4E" w14:textId="3AB9CF52" w:rsidR="005B3EC0" w:rsidRDefault="005B3EC0" w:rsidP="00242DAB">
      <w:pPr>
        <w:pStyle w:val="ListParagraph"/>
        <w:numPr>
          <w:ilvl w:val="1"/>
          <w:numId w:val="1"/>
        </w:numPr>
        <w:spacing w:after="120" w:line="276" w:lineRule="auto"/>
        <w:ind w:left="709" w:hanging="425"/>
        <w:contextualSpacing w:val="0"/>
        <w:jc w:val="both"/>
        <w:rPr>
          <w:rFonts w:ascii="Times New Roman" w:hAnsi="Times New Roman" w:cs="Times New Roman"/>
          <w:sz w:val="24"/>
          <w:szCs w:val="28"/>
        </w:rPr>
      </w:pPr>
      <w:r w:rsidRPr="00406454">
        <w:rPr>
          <w:rFonts w:ascii="Times New Roman" w:hAnsi="Times New Roman" w:cs="Times New Roman"/>
          <w:sz w:val="24"/>
          <w:szCs w:val="28"/>
        </w:rPr>
        <w:t xml:space="preserve">izglītības programmas, </w:t>
      </w:r>
      <w:r w:rsidR="0094551E">
        <w:rPr>
          <w:rFonts w:ascii="Times New Roman" w:hAnsi="Times New Roman" w:cs="Times New Roman"/>
          <w:sz w:val="24"/>
          <w:szCs w:val="28"/>
        </w:rPr>
        <w:t xml:space="preserve">kurās tiek </w:t>
      </w:r>
      <w:r w:rsidR="00C31FAB">
        <w:rPr>
          <w:rFonts w:ascii="Times New Roman" w:hAnsi="Times New Roman" w:cs="Times New Roman"/>
          <w:sz w:val="24"/>
          <w:szCs w:val="28"/>
        </w:rPr>
        <w:t>īstenotas</w:t>
      </w:r>
      <w:r w:rsidR="0094551E">
        <w:rPr>
          <w:rFonts w:ascii="Times New Roman" w:hAnsi="Times New Roman" w:cs="Times New Roman"/>
          <w:sz w:val="24"/>
          <w:szCs w:val="28"/>
        </w:rPr>
        <w:t xml:space="preserve"> </w:t>
      </w:r>
      <w:r w:rsidR="00C31FAB">
        <w:rPr>
          <w:rFonts w:ascii="Times New Roman" w:hAnsi="Times New Roman" w:cs="Times New Roman"/>
          <w:sz w:val="24"/>
          <w:szCs w:val="28"/>
        </w:rPr>
        <w:t>vides ilgtspējā balstītas pieejas (</w:t>
      </w:r>
      <w:r w:rsidR="0094551E">
        <w:rPr>
          <w:rFonts w:ascii="Times New Roman" w:hAnsi="Times New Roman" w:cs="Times New Roman"/>
          <w:sz w:val="24"/>
          <w:szCs w:val="28"/>
        </w:rPr>
        <w:t>ilgtspējīga resursu izmantošana, zaļās tehnoloģijas un videi draudzīgi risinājumi</w:t>
      </w:r>
      <w:r w:rsidR="00F931D7">
        <w:rPr>
          <w:rFonts w:ascii="Times New Roman" w:hAnsi="Times New Roman" w:cs="Times New Roman"/>
          <w:sz w:val="24"/>
          <w:szCs w:val="28"/>
        </w:rPr>
        <w:t>);</w:t>
      </w:r>
    </w:p>
    <w:p w14:paraId="036EF7E6" w14:textId="007FC37E" w:rsidR="00FE3311" w:rsidRPr="00FE3311" w:rsidRDefault="005B3EC0" w:rsidP="00242DAB">
      <w:pPr>
        <w:pStyle w:val="ListParagraph"/>
        <w:numPr>
          <w:ilvl w:val="1"/>
          <w:numId w:val="1"/>
        </w:numPr>
        <w:spacing w:after="120" w:line="276" w:lineRule="auto"/>
        <w:ind w:left="709" w:hanging="425"/>
        <w:contextualSpacing w:val="0"/>
        <w:jc w:val="both"/>
        <w:rPr>
          <w:rFonts w:ascii="Times New Roman" w:hAnsi="Times New Roman" w:cs="Times New Roman"/>
          <w:sz w:val="24"/>
          <w:szCs w:val="28"/>
        </w:rPr>
      </w:pPr>
      <w:r>
        <w:rPr>
          <w:rFonts w:ascii="Times New Roman" w:hAnsi="Times New Roman" w:cs="Times New Roman"/>
          <w:sz w:val="24"/>
          <w:szCs w:val="28"/>
        </w:rPr>
        <w:t xml:space="preserve">izglītības programmas, kas tiek </w:t>
      </w:r>
      <w:r w:rsidR="00D12CE4">
        <w:rPr>
          <w:rFonts w:ascii="Times New Roman" w:hAnsi="Times New Roman" w:cs="Times New Roman"/>
          <w:sz w:val="24"/>
          <w:szCs w:val="28"/>
        </w:rPr>
        <w:t xml:space="preserve">īstenotas kā </w:t>
      </w:r>
      <w:r w:rsidR="003D0FBD">
        <w:rPr>
          <w:rFonts w:ascii="Times New Roman" w:hAnsi="Times New Roman" w:cs="Times New Roman"/>
          <w:sz w:val="24"/>
          <w:szCs w:val="28"/>
        </w:rPr>
        <w:t xml:space="preserve">otrās iespējas un </w:t>
      </w:r>
      <w:r w:rsidR="00D12CE4">
        <w:rPr>
          <w:rFonts w:ascii="Times New Roman" w:hAnsi="Times New Roman" w:cs="Times New Roman"/>
          <w:sz w:val="24"/>
          <w:szCs w:val="28"/>
        </w:rPr>
        <w:t>īsā cikla programmas</w:t>
      </w:r>
      <w:r w:rsidR="00FE3311">
        <w:rPr>
          <w:rFonts w:ascii="Times New Roman" w:hAnsi="Times New Roman" w:cs="Times New Roman"/>
          <w:sz w:val="24"/>
          <w:szCs w:val="28"/>
        </w:rPr>
        <w:t>.</w:t>
      </w:r>
      <w:r w:rsidR="00FA6314">
        <w:rPr>
          <w:rFonts w:ascii="Times New Roman" w:hAnsi="Times New Roman" w:cs="Times New Roman"/>
          <w:sz w:val="24"/>
          <w:szCs w:val="28"/>
        </w:rPr>
        <w:t xml:space="preserve"> </w:t>
      </w:r>
    </w:p>
    <w:p w14:paraId="5150DBD9" w14:textId="7D4A5A3B" w:rsidR="00677B62" w:rsidRDefault="008E73BA" w:rsidP="00242DAB">
      <w:pPr>
        <w:spacing w:after="120" w:line="276" w:lineRule="auto"/>
        <w:jc w:val="both"/>
        <w:rPr>
          <w:rFonts w:ascii="Times New Roman" w:hAnsi="Times New Roman" w:cs="Times New Roman"/>
          <w:sz w:val="24"/>
          <w:szCs w:val="24"/>
        </w:rPr>
      </w:pPr>
      <w:r>
        <w:rPr>
          <w:rFonts w:ascii="Times New Roman" w:eastAsia="Verdana" w:hAnsi="Times New Roman" w:cs="Times New Roman"/>
          <w:bCs/>
          <w:color w:val="000000" w:themeColor="text1"/>
          <w:kern w:val="24"/>
          <w:sz w:val="24"/>
          <w:szCs w:val="28"/>
        </w:rPr>
        <w:t xml:space="preserve">Lai pašvaldību un privātās izglītības iestādes varētu pretendēt uz valsts budžeta finansējumu profesionālās </w:t>
      </w:r>
      <w:r w:rsidRPr="008E73BA">
        <w:rPr>
          <w:rFonts w:ascii="Times New Roman" w:eastAsia="Verdana" w:hAnsi="Times New Roman" w:cs="Times New Roman"/>
          <w:bCs/>
          <w:color w:val="000000" w:themeColor="text1"/>
          <w:kern w:val="24"/>
          <w:sz w:val="24"/>
          <w:szCs w:val="28"/>
        </w:rPr>
        <w:t>izglītības programmu</w:t>
      </w:r>
      <w:r>
        <w:rPr>
          <w:rFonts w:ascii="Times New Roman" w:eastAsia="Verdana" w:hAnsi="Times New Roman" w:cs="Times New Roman"/>
          <w:bCs/>
          <w:color w:val="000000" w:themeColor="text1"/>
          <w:kern w:val="24"/>
          <w:sz w:val="24"/>
          <w:szCs w:val="28"/>
        </w:rPr>
        <w:t xml:space="preserve"> īstenošanai</w:t>
      </w:r>
      <w:r w:rsidRPr="008E73BA">
        <w:rPr>
          <w:rFonts w:ascii="Times New Roman" w:eastAsia="Verdana" w:hAnsi="Times New Roman" w:cs="Times New Roman"/>
          <w:bCs/>
          <w:color w:val="000000" w:themeColor="text1"/>
          <w:kern w:val="24"/>
          <w:sz w:val="24"/>
          <w:szCs w:val="28"/>
        </w:rPr>
        <w:t xml:space="preserve">, </w:t>
      </w:r>
      <w:r>
        <w:rPr>
          <w:rFonts w:ascii="Times New Roman" w:eastAsia="Verdana" w:hAnsi="Times New Roman" w:cs="Times New Roman"/>
          <w:bCs/>
          <w:color w:val="000000" w:themeColor="text1"/>
          <w:kern w:val="24"/>
          <w:sz w:val="24"/>
          <w:szCs w:val="28"/>
        </w:rPr>
        <w:t>tām jānodrošina izglītības programmu atbilstība vairākiem nosacījumiem. Izglītības programm</w:t>
      </w:r>
      <w:r w:rsidR="00677B62">
        <w:rPr>
          <w:rFonts w:ascii="Times New Roman" w:eastAsia="Verdana" w:hAnsi="Times New Roman" w:cs="Times New Roman"/>
          <w:bCs/>
          <w:color w:val="000000" w:themeColor="text1"/>
          <w:kern w:val="24"/>
          <w:sz w:val="24"/>
          <w:szCs w:val="28"/>
        </w:rPr>
        <w:t>as</w:t>
      </w:r>
      <w:r>
        <w:rPr>
          <w:rFonts w:ascii="Times New Roman" w:eastAsia="Verdana" w:hAnsi="Times New Roman" w:cs="Times New Roman"/>
          <w:bCs/>
          <w:color w:val="000000" w:themeColor="text1"/>
          <w:kern w:val="24"/>
          <w:sz w:val="24"/>
          <w:szCs w:val="28"/>
        </w:rPr>
        <w:t xml:space="preserve"> īstenošanas kvalitātei visos kritērijos</w:t>
      </w:r>
      <w:r w:rsidR="00677B62">
        <w:rPr>
          <w:rFonts w:ascii="Times New Roman" w:eastAsia="Verdana" w:hAnsi="Times New Roman" w:cs="Times New Roman"/>
          <w:bCs/>
          <w:color w:val="000000" w:themeColor="text1"/>
          <w:kern w:val="24"/>
          <w:sz w:val="24"/>
          <w:szCs w:val="28"/>
        </w:rPr>
        <w:t>, kas tiek vērtēti akreditācijas procesā</w:t>
      </w:r>
      <w:r>
        <w:rPr>
          <w:rFonts w:ascii="Times New Roman" w:eastAsia="Verdana" w:hAnsi="Times New Roman" w:cs="Times New Roman"/>
          <w:bCs/>
          <w:color w:val="000000" w:themeColor="text1"/>
          <w:kern w:val="24"/>
          <w:sz w:val="24"/>
          <w:szCs w:val="28"/>
        </w:rPr>
        <w:t xml:space="preserve"> jābūt novērtētai </w:t>
      </w:r>
      <w:r w:rsidR="00677B62">
        <w:rPr>
          <w:rFonts w:ascii="Times New Roman" w:eastAsia="Verdana" w:hAnsi="Times New Roman" w:cs="Times New Roman"/>
          <w:bCs/>
          <w:color w:val="000000" w:themeColor="text1"/>
          <w:kern w:val="24"/>
          <w:sz w:val="24"/>
          <w:szCs w:val="28"/>
        </w:rPr>
        <w:t xml:space="preserve">ar vismaz “labi”, vienlaikus tai </w:t>
      </w:r>
      <w:r w:rsidR="00677B62">
        <w:rPr>
          <w:rFonts w:ascii="Times New Roman" w:eastAsia="Verdana" w:hAnsi="Times New Roman" w:cs="Times New Roman"/>
          <w:bCs/>
          <w:color w:val="000000" w:themeColor="text1"/>
          <w:kern w:val="24"/>
          <w:sz w:val="24"/>
          <w:szCs w:val="28"/>
        </w:rPr>
        <w:lastRenderedPageBreak/>
        <w:t xml:space="preserve">jāatbilst </w:t>
      </w:r>
      <w:r w:rsidR="005507E4">
        <w:rPr>
          <w:rFonts w:ascii="Times New Roman" w:eastAsia="Verdana" w:hAnsi="Times New Roman" w:cs="Times New Roman"/>
          <w:bCs/>
          <w:color w:val="000000" w:themeColor="text1"/>
          <w:kern w:val="24"/>
          <w:sz w:val="24"/>
          <w:szCs w:val="28"/>
        </w:rPr>
        <w:t xml:space="preserve">vismaz </w:t>
      </w:r>
      <w:r w:rsidR="00677B62">
        <w:rPr>
          <w:rFonts w:ascii="Times New Roman" w:eastAsia="Verdana" w:hAnsi="Times New Roman" w:cs="Times New Roman"/>
          <w:bCs/>
          <w:color w:val="000000" w:themeColor="text1"/>
          <w:kern w:val="24"/>
          <w:sz w:val="24"/>
          <w:szCs w:val="28"/>
        </w:rPr>
        <w:t xml:space="preserve">vienam no trijiem noteiktajiem atbilstības kritērijiem. </w:t>
      </w:r>
      <w:r w:rsidR="00677B62" w:rsidRPr="00D12CE4">
        <w:rPr>
          <w:rFonts w:ascii="Times New Roman" w:eastAsia="Verdana" w:hAnsi="Times New Roman" w:cs="Times New Roman"/>
          <w:b/>
          <w:bCs/>
          <w:color w:val="000000" w:themeColor="text1"/>
          <w:kern w:val="24"/>
          <w:sz w:val="24"/>
          <w:szCs w:val="28"/>
        </w:rPr>
        <w:t>Kritērijā par valstī nepieciešamu un darba tirgū pieprasītu izglītības programmu īstenošanu</w:t>
      </w:r>
      <w:r w:rsidR="00677B62">
        <w:rPr>
          <w:rFonts w:ascii="Times New Roman" w:eastAsia="Verdana" w:hAnsi="Times New Roman" w:cs="Times New Roman"/>
          <w:bCs/>
          <w:color w:val="000000" w:themeColor="text1"/>
          <w:kern w:val="24"/>
          <w:sz w:val="24"/>
          <w:szCs w:val="28"/>
        </w:rPr>
        <w:t xml:space="preserve"> tiks vērtēta izglītības programmas atbilstība </w:t>
      </w:r>
      <w:r w:rsidR="00677B62" w:rsidRPr="00BF5F22">
        <w:rPr>
          <w:rFonts w:ascii="Times New Roman" w:hAnsi="Times New Roman" w:cs="Times New Roman"/>
          <w:sz w:val="24"/>
          <w:szCs w:val="24"/>
        </w:rPr>
        <w:t>Ekonomikas ministrijas darba tirgus vidēja termiņa un ilgtermiņa prognozēm</w:t>
      </w:r>
      <w:r w:rsidR="005507E4">
        <w:rPr>
          <w:rStyle w:val="FootnoteReference"/>
          <w:rFonts w:ascii="Times New Roman" w:hAnsi="Times New Roman" w:cs="Times New Roman"/>
          <w:sz w:val="24"/>
          <w:szCs w:val="24"/>
        </w:rPr>
        <w:footnoteReference w:id="5"/>
      </w:r>
      <w:r w:rsidR="00677B62">
        <w:rPr>
          <w:rFonts w:ascii="Times New Roman" w:hAnsi="Times New Roman" w:cs="Times New Roman"/>
          <w:sz w:val="24"/>
          <w:szCs w:val="24"/>
        </w:rPr>
        <w:t xml:space="preserve"> – izvērtējot vai attiecīgā izglītības programma </w:t>
      </w:r>
      <w:r w:rsidR="005507E4">
        <w:rPr>
          <w:rFonts w:ascii="Times New Roman" w:hAnsi="Times New Roman" w:cs="Times New Roman"/>
          <w:sz w:val="24"/>
          <w:szCs w:val="24"/>
        </w:rPr>
        <w:t xml:space="preserve">nodrošina </w:t>
      </w:r>
      <w:r w:rsidR="00677B62">
        <w:rPr>
          <w:rFonts w:ascii="Times New Roman" w:hAnsi="Times New Roman" w:cs="Times New Roman"/>
          <w:sz w:val="24"/>
          <w:szCs w:val="24"/>
        </w:rPr>
        <w:t>kvalific</w:t>
      </w:r>
      <w:r w:rsidR="005507E4">
        <w:rPr>
          <w:rFonts w:ascii="Times New Roman" w:hAnsi="Times New Roman" w:cs="Times New Roman"/>
          <w:sz w:val="24"/>
          <w:szCs w:val="24"/>
        </w:rPr>
        <w:t>ētu</w:t>
      </w:r>
      <w:r w:rsidR="00677B62">
        <w:rPr>
          <w:rFonts w:ascii="Times New Roman" w:hAnsi="Times New Roman" w:cs="Times New Roman"/>
          <w:sz w:val="24"/>
          <w:szCs w:val="24"/>
        </w:rPr>
        <w:t xml:space="preserve"> </w:t>
      </w:r>
      <w:r w:rsidR="005507E4">
        <w:rPr>
          <w:rFonts w:ascii="Times New Roman" w:hAnsi="Times New Roman" w:cs="Times New Roman"/>
          <w:sz w:val="24"/>
          <w:szCs w:val="24"/>
        </w:rPr>
        <w:t xml:space="preserve">speciālistu sagatavošanu </w:t>
      </w:r>
      <w:r w:rsidR="00677B62">
        <w:rPr>
          <w:rFonts w:ascii="Times New Roman" w:hAnsi="Times New Roman" w:cs="Times New Roman"/>
          <w:sz w:val="24"/>
          <w:szCs w:val="24"/>
        </w:rPr>
        <w:t>tautsaimniecības nozarēs, kurās vērojams un prognozējams darbaspēka pieprasījums, ņemot vērā arī prognozes par darbaspēka pieprasījumu un piedāvājumu</w:t>
      </w:r>
      <w:r w:rsidR="00677B62" w:rsidRPr="00677B62">
        <w:rPr>
          <w:rFonts w:ascii="Times New Roman" w:hAnsi="Times New Roman" w:cs="Times New Roman"/>
          <w:sz w:val="24"/>
          <w:szCs w:val="24"/>
        </w:rPr>
        <w:t xml:space="preserve"> sadalījumā pa izglītības jomām</w:t>
      </w:r>
      <w:r w:rsidR="00677B62">
        <w:rPr>
          <w:rFonts w:ascii="Times New Roman" w:hAnsi="Times New Roman" w:cs="Times New Roman"/>
          <w:sz w:val="24"/>
          <w:szCs w:val="24"/>
        </w:rPr>
        <w:t>.</w:t>
      </w:r>
    </w:p>
    <w:p w14:paraId="71C1ABF5" w14:textId="6BC4EDA9" w:rsidR="005507E4" w:rsidRPr="005507E4" w:rsidRDefault="005507E4" w:rsidP="00242DAB">
      <w:pPr>
        <w:spacing w:after="120" w:line="276" w:lineRule="auto"/>
        <w:jc w:val="both"/>
        <w:rPr>
          <w:rFonts w:ascii="Times New Roman" w:hAnsi="Times New Roman" w:cs="Times New Roman"/>
          <w:sz w:val="24"/>
          <w:szCs w:val="24"/>
        </w:rPr>
      </w:pPr>
      <w:r w:rsidRPr="00D12CE4">
        <w:rPr>
          <w:rFonts w:ascii="Times New Roman" w:hAnsi="Times New Roman" w:cs="Times New Roman"/>
          <w:b/>
          <w:sz w:val="24"/>
          <w:szCs w:val="24"/>
        </w:rPr>
        <w:t>Kritērijā par izglītības programmām, kuras tiek īstenotas izmantojot vides ilgtspējā balstītas pieejas</w:t>
      </w:r>
      <w:r>
        <w:rPr>
          <w:rFonts w:ascii="Times New Roman" w:hAnsi="Times New Roman" w:cs="Times New Roman"/>
          <w:sz w:val="24"/>
          <w:szCs w:val="24"/>
        </w:rPr>
        <w:t xml:space="preserve"> - tiks vērtēta izglītības programmas atbilstība </w:t>
      </w:r>
      <w:r w:rsidRPr="005507E4">
        <w:rPr>
          <w:rFonts w:ascii="Times New Roman" w:hAnsi="Times New Roman" w:cs="Times New Roman"/>
          <w:sz w:val="24"/>
          <w:szCs w:val="24"/>
        </w:rPr>
        <w:t xml:space="preserve">Izglītības attīstības </w:t>
      </w:r>
      <w:r>
        <w:rPr>
          <w:rFonts w:ascii="Times New Roman" w:hAnsi="Times New Roman" w:cs="Times New Roman"/>
          <w:sz w:val="24"/>
          <w:szCs w:val="24"/>
        </w:rPr>
        <w:t xml:space="preserve">pamatnostādnēs 2021.-2027.gadam </w:t>
      </w:r>
      <w:r w:rsidRPr="005507E4">
        <w:rPr>
          <w:rFonts w:ascii="Times New Roman" w:hAnsi="Times New Roman" w:cs="Times New Roman"/>
          <w:sz w:val="24"/>
          <w:szCs w:val="24"/>
        </w:rPr>
        <w:t>“Nākotne</w:t>
      </w:r>
      <w:r>
        <w:rPr>
          <w:rFonts w:ascii="Times New Roman" w:hAnsi="Times New Roman" w:cs="Times New Roman"/>
          <w:sz w:val="24"/>
          <w:szCs w:val="24"/>
        </w:rPr>
        <w:t>s prasmes nākotnes sabiedrībai” noteiktajam, kas paredz atbalstu bezatlikumu pieejai</w:t>
      </w:r>
      <w:r w:rsidR="00F931D7" w:rsidRPr="005507E4">
        <w:rPr>
          <w:rFonts w:ascii="Times New Roman" w:hAnsi="Times New Roman" w:cs="Times New Roman"/>
          <w:sz w:val="24"/>
          <w:szCs w:val="24"/>
        </w:rPr>
        <w:t xml:space="preserve"> būvniecībā, videi draudzīgu mat</w:t>
      </w:r>
      <w:r>
        <w:rPr>
          <w:rFonts w:ascii="Times New Roman" w:hAnsi="Times New Roman" w:cs="Times New Roman"/>
          <w:sz w:val="24"/>
          <w:szCs w:val="24"/>
        </w:rPr>
        <w:t>eriālu un risinājumu izmantošanai</w:t>
      </w:r>
      <w:r w:rsidR="00F931D7" w:rsidRPr="005507E4">
        <w:rPr>
          <w:rFonts w:ascii="Times New Roman" w:hAnsi="Times New Roman" w:cs="Times New Roman"/>
          <w:sz w:val="24"/>
          <w:szCs w:val="24"/>
        </w:rPr>
        <w:t xml:space="preserve">, </w:t>
      </w:r>
      <w:r>
        <w:rPr>
          <w:rFonts w:ascii="Times New Roman" w:hAnsi="Times New Roman" w:cs="Times New Roman"/>
          <w:sz w:val="24"/>
          <w:szCs w:val="24"/>
        </w:rPr>
        <w:t>“Zaļās skolas” koncepta</w:t>
      </w:r>
      <w:r w:rsidR="00F931D7" w:rsidRPr="005507E4">
        <w:rPr>
          <w:rFonts w:ascii="Times New Roman" w:hAnsi="Times New Roman" w:cs="Times New Roman"/>
          <w:sz w:val="24"/>
          <w:szCs w:val="24"/>
        </w:rPr>
        <w:t xml:space="preserve"> profesionālajā izglītībā</w:t>
      </w:r>
      <w:r>
        <w:rPr>
          <w:rFonts w:ascii="Times New Roman" w:hAnsi="Times New Roman" w:cs="Times New Roman"/>
          <w:sz w:val="24"/>
          <w:szCs w:val="24"/>
        </w:rPr>
        <w:t xml:space="preserve"> attīstīšanai un resursu taupīšanai</w:t>
      </w:r>
      <w:r w:rsidR="00F931D7" w:rsidRPr="005507E4">
        <w:rPr>
          <w:rFonts w:ascii="Times New Roman" w:hAnsi="Times New Roman" w:cs="Times New Roman"/>
          <w:sz w:val="24"/>
          <w:szCs w:val="24"/>
        </w:rPr>
        <w:t xml:space="preserve"> (tehnoloģizācija, alternatīvās enerģijas avotu izmantošana, STEM un Vides tehnoloģiju demonstrācijas iekārtas un risinājumi izglītības iestāžu vidē, t.sk. saules enerģijas paneļi, lietus ūdens attīrīšana/izmantošana, atkārtota resursu izmantošana, atkritumu šķirošana)</w:t>
      </w:r>
      <w:r w:rsidRPr="005507E4">
        <w:rPr>
          <w:rFonts w:ascii="Times New Roman" w:hAnsi="Times New Roman" w:cs="Times New Roman"/>
          <w:sz w:val="24"/>
          <w:szCs w:val="24"/>
          <w:vertAlign w:val="superscript"/>
        </w:rPr>
        <w:footnoteReference w:id="6"/>
      </w:r>
      <w:r w:rsidR="00F931D7" w:rsidRPr="005507E4">
        <w:rPr>
          <w:rFonts w:ascii="Times New Roman" w:hAnsi="Times New Roman" w:cs="Times New Roman"/>
          <w:sz w:val="24"/>
          <w:szCs w:val="24"/>
        </w:rPr>
        <w:t>.</w:t>
      </w:r>
      <w:r w:rsidR="00F931D7">
        <w:t xml:space="preserve"> </w:t>
      </w:r>
      <w:r w:rsidR="00D018FB">
        <w:rPr>
          <w:rFonts w:ascii="Times New Roman" w:hAnsi="Times New Roman" w:cs="Times New Roman"/>
          <w:sz w:val="24"/>
          <w:szCs w:val="24"/>
        </w:rPr>
        <w:t xml:space="preserve">Kvalitatīva dzīves vide ir noteikta kā viena no </w:t>
      </w:r>
      <w:r w:rsidR="00FD7E5E" w:rsidRPr="00FD7E5E">
        <w:rPr>
          <w:rFonts w:ascii="Times New Roman" w:hAnsi="Times New Roman" w:cs="Times New Roman"/>
          <w:sz w:val="24"/>
          <w:szCs w:val="24"/>
        </w:rPr>
        <w:t>Latvi</w:t>
      </w:r>
      <w:r w:rsidR="00D018FB">
        <w:rPr>
          <w:rFonts w:ascii="Times New Roman" w:hAnsi="Times New Roman" w:cs="Times New Roman"/>
          <w:sz w:val="24"/>
          <w:szCs w:val="24"/>
        </w:rPr>
        <w:t>jas Nacionālā</w:t>
      </w:r>
      <w:r w:rsidR="0001204D">
        <w:rPr>
          <w:rFonts w:ascii="Times New Roman" w:hAnsi="Times New Roman" w:cs="Times New Roman"/>
          <w:sz w:val="24"/>
          <w:szCs w:val="24"/>
        </w:rPr>
        <w:t xml:space="preserve"> attīstības plān</w:t>
      </w:r>
      <w:r w:rsidR="00D018FB">
        <w:rPr>
          <w:rFonts w:ascii="Times New Roman" w:hAnsi="Times New Roman" w:cs="Times New Roman"/>
          <w:sz w:val="24"/>
          <w:szCs w:val="24"/>
        </w:rPr>
        <w:t xml:space="preserve">a 2021.–2027. gadam prioritātēm un viens no </w:t>
      </w:r>
      <w:r w:rsidR="00C3544F">
        <w:rPr>
          <w:rFonts w:ascii="Times New Roman" w:hAnsi="Times New Roman" w:cs="Times New Roman"/>
          <w:sz w:val="24"/>
          <w:szCs w:val="24"/>
        </w:rPr>
        <w:t xml:space="preserve">tās </w:t>
      </w:r>
      <w:r w:rsidR="00D018FB">
        <w:rPr>
          <w:rFonts w:ascii="Times New Roman" w:hAnsi="Times New Roman" w:cs="Times New Roman"/>
          <w:sz w:val="24"/>
          <w:szCs w:val="24"/>
        </w:rPr>
        <w:t>rīcības virzieniem</w:t>
      </w:r>
      <w:r w:rsidR="00FD7E5E" w:rsidRPr="00FD7E5E">
        <w:rPr>
          <w:rFonts w:ascii="Times New Roman" w:hAnsi="Times New Roman" w:cs="Times New Roman"/>
          <w:sz w:val="24"/>
          <w:szCs w:val="24"/>
        </w:rPr>
        <w:t xml:space="preserve"> “Daba un vide – “Zaļais kurs</w:t>
      </w:r>
      <w:r w:rsidR="00D018FB">
        <w:rPr>
          <w:rFonts w:ascii="Times New Roman" w:hAnsi="Times New Roman" w:cs="Times New Roman"/>
          <w:sz w:val="24"/>
          <w:szCs w:val="24"/>
        </w:rPr>
        <w:t>s” paredz</w:t>
      </w:r>
      <w:r w:rsidR="00C3544F">
        <w:rPr>
          <w:rFonts w:ascii="Times New Roman" w:hAnsi="Times New Roman" w:cs="Times New Roman"/>
          <w:sz w:val="24"/>
          <w:szCs w:val="24"/>
        </w:rPr>
        <w:t xml:space="preserve"> virkni uzdevumu</w:t>
      </w:r>
      <w:r w:rsidR="00D018FB" w:rsidRPr="00D018FB">
        <w:rPr>
          <w:rFonts w:ascii="Times New Roman" w:hAnsi="Times New Roman" w:cs="Times New Roman"/>
          <w:sz w:val="24"/>
          <w:szCs w:val="24"/>
        </w:rPr>
        <w:t xml:space="preserve"> </w:t>
      </w:r>
      <w:r w:rsidR="00D018FB">
        <w:rPr>
          <w:rFonts w:ascii="Times New Roman" w:hAnsi="Times New Roman" w:cs="Times New Roman"/>
          <w:sz w:val="24"/>
          <w:szCs w:val="24"/>
        </w:rPr>
        <w:t>ilgtspējīgas attīstības mērķu sasnieg</w:t>
      </w:r>
      <w:r w:rsidR="00C3544F">
        <w:rPr>
          <w:rFonts w:ascii="Times New Roman" w:hAnsi="Times New Roman" w:cs="Times New Roman"/>
          <w:sz w:val="24"/>
          <w:szCs w:val="24"/>
        </w:rPr>
        <w:t>šanai</w:t>
      </w:r>
      <w:r w:rsidR="006D38F8">
        <w:rPr>
          <w:rStyle w:val="FootnoteReference"/>
          <w:rFonts w:ascii="Times New Roman" w:hAnsi="Times New Roman" w:cs="Times New Roman"/>
          <w:sz w:val="24"/>
          <w:szCs w:val="24"/>
        </w:rPr>
        <w:footnoteReference w:id="7"/>
      </w:r>
      <w:r w:rsidR="00D018FB">
        <w:rPr>
          <w:rFonts w:ascii="Times New Roman" w:hAnsi="Times New Roman" w:cs="Times New Roman"/>
          <w:sz w:val="24"/>
          <w:szCs w:val="24"/>
        </w:rPr>
        <w:t>.</w:t>
      </w:r>
    </w:p>
    <w:p w14:paraId="73513C56" w14:textId="25F8DF06" w:rsidR="00EA7F2F" w:rsidRDefault="005507E4" w:rsidP="00242DAB">
      <w:pPr>
        <w:spacing w:after="120" w:line="276" w:lineRule="auto"/>
        <w:jc w:val="both"/>
        <w:rPr>
          <w:rFonts w:ascii="Times New Roman" w:hAnsi="Times New Roman" w:cs="Times New Roman"/>
          <w:sz w:val="24"/>
          <w:szCs w:val="28"/>
        </w:rPr>
      </w:pPr>
      <w:r w:rsidRPr="00D12CE4">
        <w:rPr>
          <w:rFonts w:ascii="Times New Roman" w:eastAsia="Times New Roman" w:hAnsi="Times New Roman" w:cs="Times New Roman"/>
          <w:b/>
          <w:sz w:val="24"/>
          <w:szCs w:val="24"/>
        </w:rPr>
        <w:t>Kritērijā p</w:t>
      </w:r>
      <w:r w:rsidR="00F931D7" w:rsidRPr="00D12CE4">
        <w:rPr>
          <w:rFonts w:ascii="Times New Roman" w:eastAsia="Times New Roman" w:hAnsi="Times New Roman" w:cs="Times New Roman"/>
          <w:b/>
          <w:sz w:val="24"/>
          <w:szCs w:val="24"/>
        </w:rPr>
        <w:t>ar</w:t>
      </w:r>
      <w:r w:rsidR="00F61AA1">
        <w:rPr>
          <w:rFonts w:ascii="Times New Roman" w:eastAsia="Times New Roman" w:hAnsi="Times New Roman" w:cs="Times New Roman"/>
          <w:b/>
          <w:sz w:val="24"/>
          <w:szCs w:val="24"/>
        </w:rPr>
        <w:t xml:space="preserve"> otrās iespējas un</w:t>
      </w:r>
      <w:r w:rsidR="00F931D7" w:rsidRPr="00D12CE4">
        <w:rPr>
          <w:rFonts w:ascii="Times New Roman" w:eastAsia="Times New Roman" w:hAnsi="Times New Roman" w:cs="Times New Roman"/>
          <w:b/>
          <w:sz w:val="24"/>
          <w:szCs w:val="24"/>
        </w:rPr>
        <w:t xml:space="preserve"> īsā cikla programm</w:t>
      </w:r>
      <w:r w:rsidR="00D12CE4" w:rsidRPr="00D12CE4">
        <w:rPr>
          <w:rFonts w:ascii="Times New Roman" w:eastAsia="Times New Roman" w:hAnsi="Times New Roman" w:cs="Times New Roman"/>
          <w:b/>
          <w:sz w:val="24"/>
          <w:szCs w:val="24"/>
        </w:rPr>
        <w:t>u īstenošanu</w:t>
      </w:r>
      <w:r w:rsidR="00F931D7" w:rsidRPr="00D12CE4">
        <w:rPr>
          <w:rFonts w:ascii="Times New Roman" w:eastAsia="Times New Roman" w:hAnsi="Times New Roman" w:cs="Times New Roman"/>
          <w:sz w:val="24"/>
          <w:szCs w:val="24"/>
        </w:rPr>
        <w:t xml:space="preserve"> </w:t>
      </w:r>
      <w:r w:rsidR="00D12CE4" w:rsidRPr="00D12CE4">
        <w:rPr>
          <w:rFonts w:ascii="Times New Roman" w:eastAsia="Times New Roman" w:hAnsi="Times New Roman" w:cs="Times New Roman"/>
          <w:sz w:val="24"/>
          <w:szCs w:val="24"/>
        </w:rPr>
        <w:t xml:space="preserve">tiks vērtēta </w:t>
      </w:r>
      <w:r w:rsidR="00D12CE4">
        <w:rPr>
          <w:rFonts w:ascii="Times New Roman" w:eastAsia="Times New Roman" w:hAnsi="Times New Roman" w:cs="Times New Roman"/>
          <w:sz w:val="24"/>
          <w:szCs w:val="24"/>
        </w:rPr>
        <w:t>iespēja jauniešiem salīdzinoši īsā laikā iegūt profesionālo kvalifikāciju pēc vispār</w:t>
      </w:r>
      <w:r w:rsidR="00EA7F2F">
        <w:rPr>
          <w:rFonts w:ascii="Times New Roman" w:eastAsia="Times New Roman" w:hAnsi="Times New Roman" w:cs="Times New Roman"/>
          <w:sz w:val="24"/>
          <w:szCs w:val="24"/>
        </w:rPr>
        <w:t xml:space="preserve">ējās </w:t>
      </w:r>
      <w:r w:rsidR="00DC06D2">
        <w:rPr>
          <w:rFonts w:ascii="Times New Roman" w:eastAsia="Times New Roman" w:hAnsi="Times New Roman" w:cs="Times New Roman"/>
          <w:sz w:val="24"/>
          <w:szCs w:val="24"/>
        </w:rPr>
        <w:t xml:space="preserve">pamata un </w:t>
      </w:r>
      <w:r w:rsidR="00EA7F2F">
        <w:rPr>
          <w:rFonts w:ascii="Times New Roman" w:eastAsia="Times New Roman" w:hAnsi="Times New Roman" w:cs="Times New Roman"/>
          <w:sz w:val="24"/>
          <w:szCs w:val="24"/>
        </w:rPr>
        <w:t>vidējās izglītības ieguves</w:t>
      </w:r>
      <w:r w:rsidR="00DC06D2">
        <w:rPr>
          <w:rFonts w:ascii="Times New Roman" w:eastAsia="Times New Roman" w:hAnsi="Times New Roman" w:cs="Times New Roman"/>
          <w:sz w:val="24"/>
          <w:szCs w:val="24"/>
        </w:rPr>
        <w:t>, nepabeigtas vidējās izglītības</w:t>
      </w:r>
      <w:r w:rsidR="00EA7F2F">
        <w:rPr>
          <w:rFonts w:ascii="Times New Roman" w:eastAsia="Times New Roman" w:hAnsi="Times New Roman" w:cs="Times New Roman"/>
          <w:sz w:val="24"/>
          <w:szCs w:val="24"/>
        </w:rPr>
        <w:t xml:space="preserve"> vai nepabeigtām studijām augstākās izglītības iestādēs, </w:t>
      </w:r>
      <w:r w:rsidR="00D12CE4">
        <w:rPr>
          <w:rFonts w:ascii="Times New Roman" w:eastAsia="Times New Roman" w:hAnsi="Times New Roman" w:cs="Times New Roman"/>
          <w:sz w:val="24"/>
          <w:szCs w:val="24"/>
        </w:rPr>
        <w:t xml:space="preserve">tādējādi dodot </w:t>
      </w:r>
      <w:r w:rsidR="00EA7F2F">
        <w:rPr>
          <w:rFonts w:ascii="Times New Roman" w:eastAsia="Times New Roman" w:hAnsi="Times New Roman" w:cs="Times New Roman"/>
          <w:sz w:val="24"/>
          <w:szCs w:val="24"/>
        </w:rPr>
        <w:t xml:space="preserve">“otro iespēju izglītībai” un </w:t>
      </w:r>
      <w:r w:rsidR="00D12CE4">
        <w:rPr>
          <w:rFonts w:ascii="Times New Roman" w:eastAsia="Times New Roman" w:hAnsi="Times New Roman" w:cs="Times New Roman"/>
          <w:sz w:val="24"/>
          <w:szCs w:val="24"/>
        </w:rPr>
        <w:t>iespēju s</w:t>
      </w:r>
      <w:r w:rsidR="00EA7F2F">
        <w:rPr>
          <w:rFonts w:ascii="Times New Roman" w:eastAsia="Times New Roman" w:hAnsi="Times New Roman" w:cs="Times New Roman"/>
          <w:sz w:val="24"/>
          <w:szCs w:val="24"/>
        </w:rPr>
        <w:t>ekmīgi iekļauties darba tirgū</w:t>
      </w:r>
      <w:r w:rsidR="00D12CE4">
        <w:rPr>
          <w:rFonts w:ascii="Times New Roman" w:eastAsia="Times New Roman" w:hAnsi="Times New Roman" w:cs="Times New Roman"/>
          <w:sz w:val="24"/>
          <w:szCs w:val="24"/>
        </w:rPr>
        <w:t>.</w:t>
      </w:r>
      <w:r w:rsidR="00EA7F2F">
        <w:rPr>
          <w:rFonts w:ascii="Times New Roman" w:eastAsia="Times New Roman" w:hAnsi="Times New Roman" w:cs="Times New Roman"/>
          <w:sz w:val="24"/>
          <w:szCs w:val="24"/>
        </w:rPr>
        <w:t xml:space="preserve"> </w:t>
      </w:r>
      <w:r w:rsidR="00DC06D2" w:rsidRPr="00DC06D2">
        <w:rPr>
          <w:rFonts w:ascii="Times New Roman" w:hAnsi="Times New Roman" w:cs="Times New Roman"/>
          <w:sz w:val="24"/>
          <w:szCs w:val="28"/>
        </w:rPr>
        <w:t xml:space="preserve"> </w:t>
      </w:r>
      <w:r w:rsidR="00DC06D2">
        <w:rPr>
          <w:rFonts w:ascii="Times New Roman" w:hAnsi="Times New Roman" w:cs="Times New Roman"/>
          <w:sz w:val="24"/>
          <w:szCs w:val="28"/>
        </w:rPr>
        <w:t>Tiks vērtēta izglītības iestādes iespēja nodrošināt arodizglītības (viengadīgo) un profesionālās vidējās (pusotra gada) izglītības programmu īstenošanu, jo šīs izglītības programmas, elastīgi reaģējot uz izmaiņām darba tirgū, īsā laikā nodrošina nozarēm nepieciešamo speciālistu sagatavošanu, tāpat arī arodizglītības programmu (trīs līdz trīsarpus gadi) īstenošanu tiem, kuri uzsākuši, bet nepabeidz mācības vispārējās vidējās izglītības posmā.</w:t>
      </w:r>
    </w:p>
    <w:p w14:paraId="59546F18" w14:textId="1BD6F2A4" w:rsidR="0042474A" w:rsidRPr="0042474A" w:rsidRDefault="005B3EC0" w:rsidP="00242DAB">
      <w:pPr>
        <w:spacing w:after="120" w:line="276" w:lineRule="auto"/>
        <w:jc w:val="both"/>
        <w:rPr>
          <w:rFonts w:ascii="Times New Roman" w:eastAsia="Verdana" w:hAnsi="Times New Roman" w:cs="Times New Roman"/>
          <w:bCs/>
          <w:color w:val="000000" w:themeColor="text1"/>
          <w:kern w:val="24"/>
          <w:sz w:val="24"/>
          <w:szCs w:val="28"/>
        </w:rPr>
      </w:pPr>
      <w:r w:rsidRPr="00DF17B3">
        <w:rPr>
          <w:rFonts w:ascii="Times New Roman" w:eastAsia="Verdana" w:hAnsi="Times New Roman" w:cs="Times New Roman"/>
          <w:bCs/>
          <w:color w:val="000000" w:themeColor="text1"/>
          <w:kern w:val="24"/>
          <w:sz w:val="24"/>
          <w:szCs w:val="28"/>
        </w:rPr>
        <w:t>Profesionālās izglītības progra</w:t>
      </w:r>
      <w:r w:rsidRPr="009E2C41">
        <w:rPr>
          <w:rFonts w:ascii="Times New Roman" w:eastAsia="Verdana" w:hAnsi="Times New Roman" w:cs="Times New Roman"/>
          <w:bCs/>
          <w:color w:val="000000" w:themeColor="text1"/>
          <w:kern w:val="24"/>
          <w:sz w:val="24"/>
          <w:szCs w:val="28"/>
        </w:rPr>
        <w:t>mmas atbilstību iepriekšminētajiem</w:t>
      </w:r>
      <w:r w:rsidRPr="00DF17B3">
        <w:rPr>
          <w:rFonts w:ascii="Times New Roman" w:eastAsia="Verdana" w:hAnsi="Times New Roman" w:cs="Times New Roman"/>
          <w:bCs/>
          <w:color w:val="000000" w:themeColor="text1"/>
          <w:kern w:val="24"/>
          <w:sz w:val="24"/>
          <w:szCs w:val="28"/>
        </w:rPr>
        <w:t xml:space="preserve"> kritērijiem </w:t>
      </w:r>
      <w:r>
        <w:rPr>
          <w:rFonts w:ascii="Times New Roman" w:eastAsia="Verdana" w:hAnsi="Times New Roman" w:cs="Times New Roman"/>
          <w:bCs/>
          <w:color w:val="000000" w:themeColor="text1"/>
          <w:kern w:val="24"/>
          <w:sz w:val="24"/>
          <w:szCs w:val="28"/>
        </w:rPr>
        <w:t>izvērtēs</w:t>
      </w:r>
      <w:r w:rsidRPr="00DF17B3">
        <w:rPr>
          <w:rFonts w:ascii="Times New Roman" w:eastAsia="Verdana" w:hAnsi="Times New Roman" w:cs="Times New Roman"/>
          <w:bCs/>
          <w:color w:val="000000" w:themeColor="text1"/>
          <w:kern w:val="24"/>
          <w:sz w:val="24"/>
          <w:szCs w:val="28"/>
        </w:rPr>
        <w:t xml:space="preserve"> NEP </w:t>
      </w:r>
      <w:r w:rsidR="005D7437">
        <w:rPr>
          <w:rFonts w:ascii="Times New Roman" w:eastAsia="Verdana" w:hAnsi="Times New Roman" w:cs="Times New Roman"/>
          <w:bCs/>
          <w:color w:val="000000" w:themeColor="text1"/>
          <w:kern w:val="24"/>
          <w:sz w:val="24"/>
          <w:szCs w:val="28"/>
        </w:rPr>
        <w:t>(</w:t>
      </w:r>
      <w:r w:rsidR="005D7437" w:rsidRPr="005D7437">
        <w:rPr>
          <w:rFonts w:ascii="Times New Roman" w:eastAsia="Verdana" w:hAnsi="Times New Roman" w:cs="Times New Roman"/>
          <w:bCs/>
          <w:color w:val="000000" w:themeColor="text1"/>
          <w:kern w:val="24"/>
          <w:sz w:val="24"/>
          <w:szCs w:val="28"/>
        </w:rPr>
        <w:t>ja nav izveidots NEP, tad institūcija, kurai deleģēts veikt NEP funkcijas</w:t>
      </w:r>
      <w:r w:rsidR="005D7437">
        <w:rPr>
          <w:rFonts w:ascii="Times New Roman" w:eastAsia="Verdana" w:hAnsi="Times New Roman" w:cs="Times New Roman"/>
          <w:bCs/>
          <w:color w:val="000000" w:themeColor="text1"/>
          <w:kern w:val="24"/>
          <w:sz w:val="24"/>
          <w:szCs w:val="28"/>
        </w:rPr>
        <w:t xml:space="preserve">) </w:t>
      </w:r>
      <w:r w:rsidRPr="00DF17B3">
        <w:rPr>
          <w:rFonts w:ascii="Times New Roman" w:eastAsia="Verdana" w:hAnsi="Times New Roman" w:cs="Times New Roman"/>
          <w:bCs/>
          <w:color w:val="000000" w:themeColor="text1"/>
          <w:kern w:val="24"/>
          <w:sz w:val="24"/>
          <w:szCs w:val="28"/>
        </w:rPr>
        <w:t>un</w:t>
      </w:r>
      <w:r w:rsidR="001F579E">
        <w:rPr>
          <w:rFonts w:ascii="Times New Roman" w:eastAsia="Verdana" w:hAnsi="Times New Roman" w:cs="Times New Roman"/>
          <w:bCs/>
          <w:color w:val="000000" w:themeColor="text1"/>
          <w:kern w:val="24"/>
          <w:sz w:val="24"/>
          <w:szCs w:val="28"/>
        </w:rPr>
        <w:t xml:space="preserve"> IZM savas kompetences ietvaros. </w:t>
      </w:r>
      <w:r w:rsidR="0042474A">
        <w:rPr>
          <w:rFonts w:ascii="Times New Roman" w:eastAsia="Times New Roman" w:hAnsi="Times New Roman" w:cs="Times New Roman"/>
          <w:sz w:val="24"/>
          <w:szCs w:val="24"/>
        </w:rPr>
        <w:t xml:space="preserve">Pēc NEP un IZM atbalsta jautājums par </w:t>
      </w:r>
      <w:r w:rsidR="0042474A">
        <w:rPr>
          <w:rFonts w:ascii="Times New Roman" w:eastAsia="Verdana" w:hAnsi="Times New Roman" w:cs="Times New Roman"/>
          <w:bCs/>
          <w:color w:val="000000" w:themeColor="text1"/>
          <w:kern w:val="24"/>
          <w:sz w:val="24"/>
          <w:szCs w:val="28"/>
        </w:rPr>
        <w:t>attiecīgās izglītības programmas finansēšanu no valsts budžeta tiks virzīts saskaņošanai PINTSA.</w:t>
      </w:r>
    </w:p>
    <w:p w14:paraId="0828D805" w14:textId="1736D96B" w:rsidR="005B3EC0" w:rsidRPr="0042474A" w:rsidRDefault="005B3EC0" w:rsidP="004E229C">
      <w:pPr>
        <w:spacing w:after="120" w:line="276" w:lineRule="auto"/>
        <w:jc w:val="both"/>
        <w:rPr>
          <w:rFonts w:ascii="Times New Roman" w:eastAsia="Verdana" w:hAnsi="Times New Roman" w:cs="Times New Roman"/>
          <w:bCs/>
          <w:color w:val="000000" w:themeColor="text1"/>
          <w:kern w:val="24"/>
          <w:sz w:val="24"/>
          <w:szCs w:val="28"/>
        </w:rPr>
      </w:pPr>
      <w:r>
        <w:rPr>
          <w:rFonts w:ascii="Times New Roman" w:eastAsia="Verdana" w:hAnsi="Times New Roman" w:cs="Times New Roman"/>
          <w:bCs/>
          <w:color w:val="000000" w:themeColor="text1"/>
          <w:kern w:val="24"/>
          <w:sz w:val="24"/>
          <w:szCs w:val="28"/>
        </w:rPr>
        <w:t>Plānojot izglītojamo skaitu uzņemšanai</w:t>
      </w:r>
      <w:r w:rsidRPr="006F1DA3">
        <w:rPr>
          <w:rFonts w:ascii="Times New Roman" w:eastAsia="Verdana" w:hAnsi="Times New Roman" w:cs="Times New Roman"/>
          <w:bCs/>
          <w:color w:val="000000" w:themeColor="text1"/>
          <w:kern w:val="24"/>
          <w:sz w:val="24"/>
          <w:szCs w:val="28"/>
        </w:rPr>
        <w:t xml:space="preserve"> valsts budžeta finansētās profesionālās izglītības programmās</w:t>
      </w:r>
      <w:r>
        <w:rPr>
          <w:rFonts w:ascii="Times New Roman" w:eastAsia="Verdana" w:hAnsi="Times New Roman" w:cs="Times New Roman"/>
          <w:bCs/>
          <w:color w:val="000000" w:themeColor="text1"/>
          <w:kern w:val="24"/>
          <w:sz w:val="24"/>
          <w:szCs w:val="28"/>
        </w:rPr>
        <w:t xml:space="preserve">, tiek vērtētas arī </w:t>
      </w:r>
      <w:r w:rsidRPr="005B2DE8">
        <w:rPr>
          <w:rFonts w:ascii="Times New Roman" w:eastAsia="MS PGothic" w:hAnsi="Times New Roman" w:cs="Times New Roman"/>
          <w:color w:val="000000"/>
          <w:kern w:val="24"/>
          <w:sz w:val="24"/>
          <w:szCs w:val="24"/>
        </w:rPr>
        <w:t xml:space="preserve">izglītības iestāžu attīstības un investīciju </w:t>
      </w:r>
      <w:r>
        <w:rPr>
          <w:rFonts w:ascii="Times New Roman" w:eastAsia="MS PGothic" w:hAnsi="Times New Roman" w:cs="Times New Roman"/>
          <w:color w:val="000000"/>
          <w:kern w:val="24"/>
          <w:sz w:val="24"/>
          <w:szCs w:val="24"/>
        </w:rPr>
        <w:t xml:space="preserve">stratēģijas, attiecīgi arī </w:t>
      </w:r>
      <w:r>
        <w:rPr>
          <w:rFonts w:ascii="Times New Roman" w:eastAsia="Times New Roman" w:hAnsi="Times New Roman" w:cs="Times New Roman"/>
          <w:sz w:val="24"/>
          <w:szCs w:val="24"/>
        </w:rPr>
        <w:t>pašvaldību un privātajām</w:t>
      </w:r>
      <w:r w:rsidRPr="00DF17B3">
        <w:rPr>
          <w:rFonts w:ascii="Times New Roman" w:eastAsia="Times New Roman" w:hAnsi="Times New Roman" w:cs="Times New Roman"/>
          <w:sz w:val="24"/>
          <w:szCs w:val="24"/>
        </w:rPr>
        <w:t xml:space="preserve"> izglītības iest</w:t>
      </w:r>
      <w:r>
        <w:rPr>
          <w:rFonts w:ascii="Times New Roman" w:eastAsia="Times New Roman" w:hAnsi="Times New Roman" w:cs="Times New Roman"/>
          <w:sz w:val="24"/>
          <w:szCs w:val="24"/>
        </w:rPr>
        <w:t xml:space="preserve">ādēm, pretendējot uz valsts budžeta finansējumu profesionālās izglītības programmu īstenošanai, būtu jāsniedz vai jānodrošina publiski pieejama informācija par izglītības iestādi, kas ļautu spriest par tās kapacitāti un iespējām nodrošināt izglītības programmu īstenošanu, </w:t>
      </w:r>
      <w:r w:rsidRPr="00A93EAF">
        <w:rPr>
          <w:rFonts w:ascii="Times New Roman" w:hAnsi="Times New Roman" w:cs="Times New Roman"/>
          <w:sz w:val="24"/>
          <w:szCs w:val="24"/>
        </w:rPr>
        <w:t xml:space="preserve">t.sk. vispārēja informācija par izglītības iestādi - sasaiste ar reģiona attīstības plānu, analīze par tautsaimniecības un nozaru attīstības tendencēm, </w:t>
      </w:r>
      <w:r w:rsidRPr="00A93EAF">
        <w:rPr>
          <w:rFonts w:ascii="Times New Roman" w:hAnsi="Times New Roman" w:cs="Times New Roman"/>
          <w:sz w:val="24"/>
          <w:szCs w:val="24"/>
        </w:rPr>
        <w:lastRenderedPageBreak/>
        <w:t xml:space="preserve">darbaspēka pieprasījumu reģionā/valstī, izglītības iestāžu attīstību, cilvēkresursu attīstību, nodarbinātību, sociālo iekļaušanu, demogrāfisko situāciju un izglītojamo skaitu, kā arī profesionālās izglītības programmu raksturojums, audzēkņu skaits un tā prognoze, audzēkņu uzņemšanas iespējas, informācija par sadarbību ar attiecīgo nozaru organizācijām, t.sk. ar NEP, par sadarbību ar pašvaldībām un plānošanas reģioniem, analīze par audzēkņu turpmākajām darba gaitām, izglītības iestādes turpmākās attīstības perspektīvas, nekustamā īpašuma un mācību vides infrastruktūras raksturojums, </w:t>
      </w:r>
      <w:r w:rsidRPr="00A93EAF">
        <w:rPr>
          <w:rFonts w:ascii="Times New Roman" w:eastAsia="MS PGothic" w:hAnsi="Times New Roman" w:cs="Times New Roman"/>
          <w:color w:val="000000"/>
          <w:kern w:val="24"/>
          <w:sz w:val="24"/>
          <w:szCs w:val="24"/>
        </w:rPr>
        <w:t>veiktie un plānotie ieguldījumi infrastruktūras un izglītības programmu modernizēšanai u.c.</w:t>
      </w:r>
    </w:p>
    <w:p w14:paraId="09945036" w14:textId="22535F3D" w:rsidR="005B3EC0" w:rsidRDefault="005B3EC0" w:rsidP="004E229C">
      <w:pPr>
        <w:spacing w:after="120" w:line="276" w:lineRule="auto"/>
        <w:jc w:val="both"/>
        <w:rPr>
          <w:rFonts w:ascii="Times New Roman" w:hAnsi="Times New Roman"/>
          <w:sz w:val="24"/>
          <w:szCs w:val="24"/>
        </w:rPr>
      </w:pPr>
      <w:r>
        <w:rPr>
          <w:rFonts w:ascii="Times New Roman" w:hAnsi="Times New Roman"/>
          <w:sz w:val="24"/>
          <w:szCs w:val="24"/>
        </w:rPr>
        <w:t xml:space="preserve">Lai īstenotu iepriekšminētās izmaiņas profesionālās izglītības programmu finansēšanā, jāveic grozījumi </w:t>
      </w:r>
      <w:r>
        <w:rPr>
          <w:rFonts w:ascii="Times New Roman" w:hAnsi="Times New Roman" w:cs="Times New Roman"/>
          <w:sz w:val="24"/>
          <w:szCs w:val="24"/>
        </w:rPr>
        <w:t xml:space="preserve">MK noteikumos </w:t>
      </w:r>
      <w:r w:rsidRPr="00C715A0">
        <w:rPr>
          <w:rFonts w:ascii="Times New Roman" w:hAnsi="Times New Roman" w:cs="Times New Roman"/>
          <w:sz w:val="24"/>
          <w:szCs w:val="24"/>
        </w:rPr>
        <w:t>Nr.</w:t>
      </w:r>
      <w:r>
        <w:rPr>
          <w:rFonts w:ascii="Times New Roman" w:hAnsi="Times New Roman" w:cs="Times New Roman"/>
          <w:sz w:val="24"/>
          <w:szCs w:val="24"/>
        </w:rPr>
        <w:t xml:space="preserve"> </w:t>
      </w:r>
      <w:r w:rsidRPr="00C715A0">
        <w:rPr>
          <w:rFonts w:ascii="Times New Roman" w:hAnsi="Times New Roman" w:cs="Times New Roman"/>
          <w:sz w:val="24"/>
          <w:szCs w:val="24"/>
        </w:rPr>
        <w:t>655</w:t>
      </w:r>
      <w:r>
        <w:rPr>
          <w:rFonts w:ascii="Times New Roman" w:hAnsi="Times New Roman" w:cs="Times New Roman"/>
          <w:sz w:val="24"/>
          <w:szCs w:val="24"/>
        </w:rPr>
        <w:t xml:space="preserve">, </w:t>
      </w:r>
      <w:r>
        <w:rPr>
          <w:rFonts w:ascii="Times New Roman" w:hAnsi="Times New Roman"/>
          <w:sz w:val="24"/>
          <w:szCs w:val="24"/>
        </w:rPr>
        <w:t>kā arī nepieciešams papildus valsts budžeta finansējums profesionālās izglītības programmu īstenošanai pašvaldību un citu dibinātāju izglītības iestādēs</w:t>
      </w:r>
      <w:r w:rsidRPr="009E2C41">
        <w:rPr>
          <w:rFonts w:ascii="Times New Roman" w:hAnsi="Times New Roman"/>
          <w:sz w:val="24"/>
          <w:szCs w:val="24"/>
        </w:rPr>
        <w:t>.</w:t>
      </w:r>
      <w:r>
        <w:rPr>
          <w:rFonts w:ascii="Times New Roman" w:hAnsi="Times New Roman"/>
          <w:sz w:val="24"/>
          <w:szCs w:val="24"/>
        </w:rPr>
        <w:t xml:space="preserve"> </w:t>
      </w:r>
      <w:r w:rsidR="00EE32CC">
        <w:rPr>
          <w:rFonts w:ascii="Times New Roman" w:hAnsi="Times New Roman"/>
          <w:sz w:val="24"/>
          <w:szCs w:val="24"/>
        </w:rPr>
        <w:t xml:space="preserve">Tāpat, veicot grozījumus MK noteikumos Nr. 655, jāņem vērā arī </w:t>
      </w:r>
      <w:r w:rsidR="00EE32CC" w:rsidRPr="00EE32CC">
        <w:rPr>
          <w:rFonts w:ascii="Times New Roman" w:hAnsi="Times New Roman"/>
          <w:sz w:val="24"/>
          <w:szCs w:val="24"/>
        </w:rPr>
        <w:t>kultūras un radošo industriju</w:t>
      </w:r>
      <w:r w:rsidR="00EE32CC">
        <w:rPr>
          <w:rFonts w:ascii="Times New Roman" w:hAnsi="Times New Roman"/>
          <w:sz w:val="24"/>
          <w:szCs w:val="24"/>
        </w:rPr>
        <w:t xml:space="preserve"> nozaru specifika</w:t>
      </w:r>
      <w:r w:rsidR="00EE32CC" w:rsidRPr="00A255A8">
        <w:rPr>
          <w:rFonts w:ascii="Times New Roman" w:hAnsi="Times New Roman"/>
          <w:sz w:val="24"/>
          <w:szCs w:val="24"/>
        </w:rPr>
        <w:t>.</w:t>
      </w:r>
    </w:p>
    <w:p w14:paraId="5A868FD7" w14:textId="3BF1E24B" w:rsidR="002B753D" w:rsidRDefault="005B3EC0" w:rsidP="00A96202">
      <w:pPr>
        <w:spacing w:after="0" w:line="276" w:lineRule="auto"/>
        <w:jc w:val="both"/>
        <w:rPr>
          <w:rFonts w:ascii="Times New Roman" w:hAnsi="Times New Roman"/>
          <w:sz w:val="24"/>
          <w:szCs w:val="24"/>
        </w:rPr>
      </w:pPr>
      <w:r>
        <w:rPr>
          <w:rFonts w:ascii="Times New Roman" w:hAnsi="Times New Roman"/>
          <w:sz w:val="24"/>
          <w:szCs w:val="24"/>
        </w:rPr>
        <w:t>Lai aprēķinātu provizoriski nepieciešamo finansējumu pašvaldību un citu dibinātāju profesionālās izglītības programmu īstenošanai no valsts budžeta, nepieciešamā finansējuma aprēķinam izdarīts pieņēmums, ka profesionālās izglītības programmas, kas atbilst noteiktajiem kritērijiem indikatīvi varētu būt</w:t>
      </w:r>
      <w:r w:rsidR="00B10210">
        <w:rPr>
          <w:rFonts w:ascii="Times New Roman" w:hAnsi="Times New Roman"/>
          <w:sz w:val="24"/>
          <w:szCs w:val="24"/>
        </w:rPr>
        <w:t xml:space="preserve"> saistītas ar </w:t>
      </w:r>
      <w:r w:rsidRPr="00B10210">
        <w:rPr>
          <w:rFonts w:ascii="Times New Roman" w:hAnsi="Times New Roman"/>
          <w:sz w:val="24"/>
          <w:szCs w:val="24"/>
        </w:rPr>
        <w:t>metālapstrādes, mašīnbūves un mašīnzinību (t.sk. mehānika); kokrūpniecības (mežsaimniecība, kokapstrāde)</w:t>
      </w:r>
      <w:r w:rsidR="00B10210">
        <w:rPr>
          <w:rFonts w:ascii="Times New Roman" w:hAnsi="Times New Roman"/>
          <w:sz w:val="24"/>
          <w:szCs w:val="24"/>
        </w:rPr>
        <w:t xml:space="preserve"> nozari</w:t>
      </w:r>
      <w:r w:rsidRPr="00B10210">
        <w:rPr>
          <w:rFonts w:ascii="Times New Roman" w:hAnsi="Times New Roman"/>
          <w:sz w:val="24"/>
          <w:szCs w:val="24"/>
        </w:rPr>
        <w:t>; elektronisko un optisko iekārtu ražošanas, informācijas un komunikācijas tehnoloģijas</w:t>
      </w:r>
      <w:r w:rsidR="00B10210">
        <w:rPr>
          <w:rFonts w:ascii="Times New Roman" w:hAnsi="Times New Roman"/>
          <w:sz w:val="24"/>
          <w:szCs w:val="24"/>
        </w:rPr>
        <w:t xml:space="preserve"> nozari</w:t>
      </w:r>
      <w:r w:rsidRPr="00B10210">
        <w:rPr>
          <w:rFonts w:ascii="Times New Roman" w:hAnsi="Times New Roman"/>
          <w:sz w:val="24"/>
          <w:szCs w:val="24"/>
        </w:rPr>
        <w:t>;</w:t>
      </w:r>
      <w:r w:rsidR="00B10210">
        <w:rPr>
          <w:rFonts w:ascii="Times New Roman" w:hAnsi="Times New Roman"/>
          <w:sz w:val="24"/>
          <w:szCs w:val="24"/>
        </w:rPr>
        <w:t xml:space="preserve"> </w:t>
      </w:r>
      <w:r w:rsidRPr="00B10210">
        <w:rPr>
          <w:rFonts w:ascii="Times New Roman" w:hAnsi="Times New Roman"/>
          <w:sz w:val="24"/>
          <w:szCs w:val="24"/>
        </w:rPr>
        <w:t>būvniecības</w:t>
      </w:r>
      <w:r w:rsidR="00B10210">
        <w:rPr>
          <w:rFonts w:ascii="Times New Roman" w:hAnsi="Times New Roman"/>
          <w:sz w:val="24"/>
          <w:szCs w:val="24"/>
        </w:rPr>
        <w:t xml:space="preserve"> nozari</w:t>
      </w:r>
      <w:r w:rsidRPr="00B10210">
        <w:rPr>
          <w:rFonts w:ascii="Times New Roman" w:hAnsi="Times New Roman"/>
          <w:sz w:val="24"/>
          <w:szCs w:val="24"/>
        </w:rPr>
        <w:t xml:space="preserve">; lauksaimniecības </w:t>
      </w:r>
      <w:r w:rsidR="00B10210">
        <w:rPr>
          <w:rFonts w:ascii="Times New Roman" w:hAnsi="Times New Roman"/>
          <w:sz w:val="24"/>
          <w:szCs w:val="24"/>
        </w:rPr>
        <w:t>nozari</w:t>
      </w:r>
      <w:r w:rsidRPr="00B10210">
        <w:rPr>
          <w:rFonts w:ascii="Times New Roman" w:hAnsi="Times New Roman"/>
          <w:sz w:val="24"/>
          <w:szCs w:val="24"/>
        </w:rPr>
        <w:t>;</w:t>
      </w:r>
      <w:r w:rsidR="00B10210">
        <w:rPr>
          <w:rFonts w:ascii="Times New Roman" w:hAnsi="Times New Roman"/>
          <w:sz w:val="24"/>
          <w:szCs w:val="24"/>
        </w:rPr>
        <w:t xml:space="preserve"> </w:t>
      </w:r>
      <w:r w:rsidRPr="00B10210">
        <w:rPr>
          <w:rFonts w:ascii="Times New Roman" w:hAnsi="Times New Roman"/>
          <w:sz w:val="24"/>
          <w:szCs w:val="24"/>
        </w:rPr>
        <w:t>mākslas nozares diza</w:t>
      </w:r>
      <w:r w:rsidR="00B10210">
        <w:rPr>
          <w:rFonts w:ascii="Times New Roman" w:hAnsi="Times New Roman"/>
          <w:sz w:val="24"/>
          <w:szCs w:val="24"/>
        </w:rPr>
        <w:t>ina un radošo industriju sektoru</w:t>
      </w:r>
      <w:r w:rsidRPr="00B10210">
        <w:rPr>
          <w:rFonts w:ascii="Times New Roman" w:hAnsi="Times New Roman"/>
          <w:sz w:val="24"/>
          <w:szCs w:val="24"/>
        </w:rPr>
        <w:t>.</w:t>
      </w:r>
      <w:r w:rsidR="00B10210">
        <w:rPr>
          <w:rFonts w:ascii="Times New Roman" w:hAnsi="Times New Roman"/>
          <w:sz w:val="24"/>
          <w:szCs w:val="24"/>
        </w:rPr>
        <w:t xml:space="preserve"> No tām profesionālās izglītības programmām, kuras šobrīd tiek īstenotas pašvaldību un citu dibinātāju izglītības iestādēs </w:t>
      </w:r>
      <w:r w:rsidR="002B753D">
        <w:rPr>
          <w:rFonts w:ascii="Times New Roman" w:hAnsi="Times New Roman"/>
          <w:sz w:val="24"/>
          <w:szCs w:val="24"/>
        </w:rPr>
        <w:t xml:space="preserve">kritērijiem varētu </w:t>
      </w:r>
      <w:r w:rsidR="00B10210">
        <w:rPr>
          <w:rFonts w:ascii="Times New Roman" w:hAnsi="Times New Roman"/>
          <w:sz w:val="24"/>
          <w:szCs w:val="24"/>
        </w:rPr>
        <w:t>atbilst izglītības programmas</w:t>
      </w:r>
      <w:r w:rsidR="004E229C">
        <w:rPr>
          <w:rFonts w:ascii="Times New Roman" w:hAnsi="Times New Roman"/>
          <w:sz w:val="24"/>
          <w:szCs w:val="24"/>
        </w:rPr>
        <w:t xml:space="preserve"> šādās </w:t>
      </w:r>
      <w:r w:rsidR="004E229C" w:rsidRPr="002B753D">
        <w:rPr>
          <w:rFonts w:ascii="Times New Roman" w:hAnsi="Times New Roman"/>
          <w:b/>
          <w:sz w:val="24"/>
          <w:szCs w:val="24"/>
        </w:rPr>
        <w:t>izglītības tematiskajās jomās</w:t>
      </w:r>
      <w:r w:rsidR="002B753D">
        <w:rPr>
          <w:rFonts w:ascii="Times New Roman" w:hAnsi="Times New Roman"/>
          <w:sz w:val="24"/>
          <w:szCs w:val="24"/>
        </w:rPr>
        <w:t>:</w:t>
      </w:r>
    </w:p>
    <w:p w14:paraId="480A612E" w14:textId="02C07948" w:rsidR="002B753D" w:rsidRDefault="002B753D" w:rsidP="00A510E4">
      <w:pPr>
        <w:pStyle w:val="ListParagraph"/>
        <w:numPr>
          <w:ilvl w:val="0"/>
          <w:numId w:val="8"/>
        </w:numPr>
        <w:spacing w:after="0" w:line="276" w:lineRule="auto"/>
        <w:contextualSpacing w:val="0"/>
        <w:jc w:val="both"/>
        <w:rPr>
          <w:rFonts w:ascii="Times New Roman" w:hAnsi="Times New Roman"/>
          <w:sz w:val="24"/>
          <w:szCs w:val="24"/>
        </w:rPr>
      </w:pPr>
      <w:r>
        <w:rPr>
          <w:rFonts w:ascii="Times New Roman" w:hAnsi="Times New Roman"/>
          <w:sz w:val="24"/>
          <w:szCs w:val="24"/>
        </w:rPr>
        <w:t>māksla;</w:t>
      </w:r>
    </w:p>
    <w:p w14:paraId="2C73DA8F" w14:textId="7AC62A78" w:rsidR="002B753D" w:rsidRDefault="004E229C" w:rsidP="00A510E4">
      <w:pPr>
        <w:pStyle w:val="ListParagraph"/>
        <w:numPr>
          <w:ilvl w:val="0"/>
          <w:numId w:val="8"/>
        </w:numPr>
        <w:spacing w:after="0" w:line="276" w:lineRule="auto"/>
        <w:contextualSpacing w:val="0"/>
        <w:jc w:val="both"/>
        <w:rPr>
          <w:rFonts w:ascii="Times New Roman" w:hAnsi="Times New Roman"/>
          <w:sz w:val="24"/>
          <w:szCs w:val="24"/>
        </w:rPr>
      </w:pPr>
      <w:r>
        <w:rPr>
          <w:rFonts w:ascii="Times New Roman" w:hAnsi="Times New Roman"/>
          <w:sz w:val="24"/>
          <w:szCs w:val="24"/>
        </w:rPr>
        <w:t>datorika</w:t>
      </w:r>
      <w:r w:rsidR="002B753D">
        <w:rPr>
          <w:rFonts w:ascii="Times New Roman" w:hAnsi="Times New Roman"/>
          <w:sz w:val="24"/>
          <w:szCs w:val="24"/>
        </w:rPr>
        <w:t>;</w:t>
      </w:r>
    </w:p>
    <w:p w14:paraId="21F72D39" w14:textId="1505C6EE" w:rsidR="002B753D" w:rsidRDefault="002B753D" w:rsidP="00A510E4">
      <w:pPr>
        <w:pStyle w:val="ListParagraph"/>
        <w:numPr>
          <w:ilvl w:val="0"/>
          <w:numId w:val="8"/>
        </w:numPr>
        <w:spacing w:after="0" w:line="276" w:lineRule="auto"/>
        <w:contextualSpacing w:val="0"/>
        <w:jc w:val="both"/>
        <w:rPr>
          <w:rFonts w:ascii="Times New Roman" w:hAnsi="Times New Roman"/>
          <w:sz w:val="24"/>
          <w:szCs w:val="24"/>
        </w:rPr>
      </w:pPr>
      <w:r>
        <w:rPr>
          <w:rFonts w:ascii="Times New Roman" w:hAnsi="Times New Roman"/>
          <w:sz w:val="24"/>
          <w:szCs w:val="24"/>
        </w:rPr>
        <w:t>inženierzinātnes un tehnolo</w:t>
      </w:r>
      <w:r w:rsidR="004E229C">
        <w:rPr>
          <w:rFonts w:ascii="Times New Roman" w:hAnsi="Times New Roman"/>
          <w:sz w:val="24"/>
          <w:szCs w:val="24"/>
        </w:rPr>
        <w:t>ģija</w:t>
      </w:r>
      <w:r>
        <w:rPr>
          <w:rFonts w:ascii="Times New Roman" w:hAnsi="Times New Roman"/>
          <w:sz w:val="24"/>
          <w:szCs w:val="24"/>
        </w:rPr>
        <w:t>;</w:t>
      </w:r>
    </w:p>
    <w:p w14:paraId="3230C05F" w14:textId="310E2169" w:rsidR="002B753D" w:rsidRDefault="002B753D" w:rsidP="00A510E4">
      <w:pPr>
        <w:pStyle w:val="ListParagraph"/>
        <w:numPr>
          <w:ilvl w:val="0"/>
          <w:numId w:val="8"/>
        </w:numPr>
        <w:spacing w:after="0" w:line="276" w:lineRule="auto"/>
        <w:contextualSpacing w:val="0"/>
        <w:jc w:val="both"/>
        <w:rPr>
          <w:rFonts w:ascii="Times New Roman" w:hAnsi="Times New Roman"/>
          <w:sz w:val="24"/>
          <w:szCs w:val="24"/>
        </w:rPr>
      </w:pPr>
      <w:r>
        <w:rPr>
          <w:rFonts w:ascii="Times New Roman" w:hAnsi="Times New Roman"/>
          <w:sz w:val="24"/>
          <w:szCs w:val="24"/>
        </w:rPr>
        <w:t>ražo</w:t>
      </w:r>
      <w:r w:rsidR="004E229C">
        <w:rPr>
          <w:rFonts w:ascii="Times New Roman" w:hAnsi="Times New Roman"/>
          <w:sz w:val="24"/>
          <w:szCs w:val="24"/>
        </w:rPr>
        <w:t>šana</w:t>
      </w:r>
      <w:r>
        <w:rPr>
          <w:rFonts w:ascii="Times New Roman" w:hAnsi="Times New Roman"/>
          <w:sz w:val="24"/>
          <w:szCs w:val="24"/>
        </w:rPr>
        <w:t xml:space="preserve"> un  pārstr</w:t>
      </w:r>
      <w:r w:rsidR="004E229C">
        <w:rPr>
          <w:rFonts w:ascii="Times New Roman" w:hAnsi="Times New Roman"/>
          <w:sz w:val="24"/>
          <w:szCs w:val="24"/>
        </w:rPr>
        <w:t>āde</w:t>
      </w:r>
      <w:r>
        <w:rPr>
          <w:rFonts w:ascii="Times New Roman" w:hAnsi="Times New Roman"/>
          <w:sz w:val="24"/>
          <w:szCs w:val="24"/>
        </w:rPr>
        <w:t>;</w:t>
      </w:r>
    </w:p>
    <w:p w14:paraId="77C2F294" w14:textId="56CFE153" w:rsidR="002B753D" w:rsidRDefault="002B753D" w:rsidP="00A510E4">
      <w:pPr>
        <w:pStyle w:val="ListParagraph"/>
        <w:numPr>
          <w:ilvl w:val="0"/>
          <w:numId w:val="8"/>
        </w:numPr>
        <w:spacing w:after="0" w:line="276" w:lineRule="auto"/>
        <w:contextualSpacing w:val="0"/>
        <w:jc w:val="both"/>
        <w:rPr>
          <w:rFonts w:ascii="Times New Roman" w:hAnsi="Times New Roman"/>
          <w:sz w:val="24"/>
          <w:szCs w:val="24"/>
        </w:rPr>
      </w:pPr>
      <w:r>
        <w:rPr>
          <w:rFonts w:ascii="Times New Roman" w:hAnsi="Times New Roman"/>
          <w:sz w:val="24"/>
          <w:szCs w:val="24"/>
        </w:rPr>
        <w:t>arhitekt</w:t>
      </w:r>
      <w:r w:rsidR="004E229C">
        <w:rPr>
          <w:rFonts w:ascii="Times New Roman" w:hAnsi="Times New Roman"/>
          <w:sz w:val="24"/>
          <w:szCs w:val="24"/>
        </w:rPr>
        <w:t>ūra</w:t>
      </w:r>
      <w:r>
        <w:rPr>
          <w:rFonts w:ascii="Times New Roman" w:hAnsi="Times New Roman"/>
          <w:sz w:val="24"/>
          <w:szCs w:val="24"/>
        </w:rPr>
        <w:t xml:space="preserve"> un būvniec</w:t>
      </w:r>
      <w:r w:rsidR="004E229C">
        <w:rPr>
          <w:rFonts w:ascii="Times New Roman" w:hAnsi="Times New Roman"/>
          <w:sz w:val="24"/>
          <w:szCs w:val="24"/>
        </w:rPr>
        <w:t>ība</w:t>
      </w:r>
      <w:r>
        <w:rPr>
          <w:rFonts w:ascii="Times New Roman" w:hAnsi="Times New Roman"/>
          <w:sz w:val="24"/>
          <w:szCs w:val="24"/>
        </w:rPr>
        <w:t>;</w:t>
      </w:r>
    </w:p>
    <w:p w14:paraId="4304DC34" w14:textId="77DFB2EC" w:rsidR="002B753D" w:rsidRDefault="002B753D" w:rsidP="00A510E4">
      <w:pPr>
        <w:pStyle w:val="ListParagraph"/>
        <w:numPr>
          <w:ilvl w:val="0"/>
          <w:numId w:val="8"/>
        </w:numPr>
        <w:spacing w:after="0" w:line="276" w:lineRule="auto"/>
        <w:contextualSpacing w:val="0"/>
        <w:jc w:val="both"/>
        <w:rPr>
          <w:rFonts w:ascii="Times New Roman" w:hAnsi="Times New Roman"/>
          <w:sz w:val="24"/>
          <w:szCs w:val="24"/>
        </w:rPr>
      </w:pPr>
      <w:r>
        <w:rPr>
          <w:rFonts w:ascii="Times New Roman" w:hAnsi="Times New Roman"/>
          <w:sz w:val="24"/>
          <w:szCs w:val="24"/>
        </w:rPr>
        <w:t>lauksaimniec</w:t>
      </w:r>
      <w:r w:rsidR="004E229C">
        <w:rPr>
          <w:rFonts w:ascii="Times New Roman" w:hAnsi="Times New Roman"/>
          <w:sz w:val="24"/>
          <w:szCs w:val="24"/>
        </w:rPr>
        <w:t>ība</w:t>
      </w:r>
      <w:r>
        <w:rPr>
          <w:rFonts w:ascii="Times New Roman" w:hAnsi="Times New Roman"/>
          <w:sz w:val="24"/>
          <w:szCs w:val="24"/>
        </w:rPr>
        <w:t>, mežsaimniec</w:t>
      </w:r>
      <w:r w:rsidR="004E229C">
        <w:rPr>
          <w:rFonts w:ascii="Times New Roman" w:hAnsi="Times New Roman"/>
          <w:sz w:val="24"/>
          <w:szCs w:val="24"/>
        </w:rPr>
        <w:t>ība</w:t>
      </w:r>
      <w:r>
        <w:rPr>
          <w:rFonts w:ascii="Times New Roman" w:hAnsi="Times New Roman"/>
          <w:sz w:val="24"/>
          <w:szCs w:val="24"/>
        </w:rPr>
        <w:t xml:space="preserve"> un zivsaimniec</w:t>
      </w:r>
      <w:r w:rsidR="004E229C">
        <w:rPr>
          <w:rFonts w:ascii="Times New Roman" w:hAnsi="Times New Roman"/>
          <w:sz w:val="24"/>
          <w:szCs w:val="24"/>
        </w:rPr>
        <w:t>ība</w:t>
      </w:r>
      <w:r>
        <w:rPr>
          <w:rFonts w:ascii="Times New Roman" w:hAnsi="Times New Roman"/>
          <w:sz w:val="24"/>
          <w:szCs w:val="24"/>
        </w:rPr>
        <w:t>;</w:t>
      </w:r>
    </w:p>
    <w:p w14:paraId="609BB4A9" w14:textId="3E2FC1D4" w:rsidR="005B3EC0" w:rsidRPr="002B753D" w:rsidRDefault="002B753D" w:rsidP="00A510E4">
      <w:pPr>
        <w:pStyle w:val="ListParagraph"/>
        <w:numPr>
          <w:ilvl w:val="0"/>
          <w:numId w:val="8"/>
        </w:numPr>
        <w:spacing w:after="120" w:line="276" w:lineRule="auto"/>
        <w:contextualSpacing w:val="0"/>
        <w:jc w:val="both"/>
        <w:rPr>
          <w:rFonts w:ascii="Times New Roman" w:hAnsi="Times New Roman"/>
          <w:b/>
          <w:sz w:val="24"/>
          <w:szCs w:val="24"/>
        </w:rPr>
      </w:pPr>
      <w:r>
        <w:rPr>
          <w:rFonts w:ascii="Times New Roman" w:hAnsi="Times New Roman"/>
          <w:sz w:val="24"/>
          <w:szCs w:val="24"/>
        </w:rPr>
        <w:t>veterin</w:t>
      </w:r>
      <w:r w:rsidR="004E229C">
        <w:rPr>
          <w:rFonts w:ascii="Times New Roman" w:hAnsi="Times New Roman"/>
          <w:sz w:val="24"/>
          <w:szCs w:val="24"/>
        </w:rPr>
        <w:t>ārija.</w:t>
      </w:r>
    </w:p>
    <w:p w14:paraId="5AC48A2A" w14:textId="77F9793F" w:rsidR="005B3EC0" w:rsidRDefault="00BE0756" w:rsidP="004E229C">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Pašvaldību un citu dibinātāju iestādēm, i</w:t>
      </w:r>
      <w:r w:rsidRPr="0023423F">
        <w:rPr>
          <w:rFonts w:ascii="Times New Roman" w:eastAsia="Times New Roman" w:hAnsi="Times New Roman" w:cs="Times New Roman"/>
          <w:sz w:val="24"/>
          <w:szCs w:val="24"/>
        </w:rPr>
        <w:t>zpildot noteiktos nosacījumus un kritērijus, finansējums</w:t>
      </w:r>
      <w:r>
        <w:rPr>
          <w:rFonts w:ascii="Times New Roman" w:eastAsia="Times New Roman" w:hAnsi="Times New Roman" w:cs="Times New Roman"/>
          <w:sz w:val="24"/>
          <w:szCs w:val="24"/>
        </w:rPr>
        <w:t xml:space="preserve"> programmu īstenošanai, tai skaitā stipendijām,</w:t>
      </w:r>
      <w:r w:rsidRPr="0023423F">
        <w:rPr>
          <w:rFonts w:ascii="Times New Roman" w:eastAsia="Times New Roman" w:hAnsi="Times New Roman" w:cs="Times New Roman"/>
          <w:sz w:val="24"/>
          <w:szCs w:val="24"/>
        </w:rPr>
        <w:t xml:space="preserve"> būtu jāparedz</w:t>
      </w:r>
      <w:r>
        <w:rPr>
          <w:rFonts w:ascii="Times New Roman" w:eastAsia="Times New Roman" w:hAnsi="Times New Roman" w:cs="Times New Roman"/>
          <w:sz w:val="24"/>
          <w:szCs w:val="24"/>
        </w:rPr>
        <w:t xml:space="preserve"> no valsts budžeta līdzekļiem, lai to </w:t>
      </w:r>
      <w:r w:rsidRPr="0023423F">
        <w:rPr>
          <w:rFonts w:ascii="Times New Roman" w:eastAsia="Times New Roman" w:hAnsi="Times New Roman" w:cs="Times New Roman"/>
          <w:sz w:val="24"/>
          <w:szCs w:val="24"/>
        </w:rPr>
        <w:t>nodrošinātu</w:t>
      </w:r>
      <w:r>
        <w:rPr>
          <w:rFonts w:ascii="Times New Roman" w:eastAsia="Times New Roman" w:hAnsi="Times New Roman" w:cs="Times New Roman"/>
          <w:sz w:val="24"/>
          <w:szCs w:val="24"/>
        </w:rPr>
        <w:t xml:space="preserve">, nepieciešams </w:t>
      </w:r>
      <w:r w:rsidRPr="0023423F">
        <w:rPr>
          <w:rFonts w:ascii="Times New Roman" w:eastAsia="Times New Roman" w:hAnsi="Times New Roman" w:cs="Times New Roman"/>
          <w:sz w:val="24"/>
          <w:szCs w:val="24"/>
        </w:rPr>
        <w:t>papildus valsts budžeta finansējum</w:t>
      </w:r>
      <w:r>
        <w:rPr>
          <w:rFonts w:ascii="Times New Roman" w:eastAsia="Times New Roman" w:hAnsi="Times New Roman" w:cs="Times New Roman"/>
          <w:sz w:val="24"/>
          <w:szCs w:val="24"/>
        </w:rPr>
        <w:t>s profesionālās izglītības īstenošanai</w:t>
      </w:r>
      <w:r w:rsidR="005B3EC0">
        <w:rPr>
          <w:rFonts w:ascii="Times New Roman" w:eastAsia="Times New Roman" w:hAnsi="Times New Roman" w:cs="Times New Roman"/>
          <w:sz w:val="24"/>
          <w:szCs w:val="24"/>
        </w:rPr>
        <w:t>.</w:t>
      </w:r>
    </w:p>
    <w:p w14:paraId="59C17727" w14:textId="4365E629" w:rsidR="00E37CA3" w:rsidRDefault="00E37CA3" w:rsidP="00D464D9">
      <w:pPr>
        <w:tabs>
          <w:tab w:val="left" w:pos="7335"/>
        </w:tabs>
        <w:jc w:val="both"/>
        <w:rPr>
          <w:rFonts w:ascii="Times New Roman" w:hAnsi="Times New Roman" w:cs="Times New Roman"/>
          <w:sz w:val="24"/>
          <w:szCs w:val="24"/>
        </w:rPr>
      </w:pPr>
      <w:r w:rsidRPr="00D744EB">
        <w:rPr>
          <w:rFonts w:ascii="Times New Roman" w:hAnsi="Times New Roman" w:cs="Times New Roman"/>
          <w:sz w:val="24"/>
          <w:szCs w:val="24"/>
        </w:rPr>
        <w:t>Lai paredzētu iespēju pašvaldību un privātajām izglītības iestādēm saņemt valsts budžeta finansējumu profesionālās izglītības programmu īstenošanai, gadījumos, kad tās īsteno vai plāno īstenot izglītības programmas, kas atbilst noteiktiem kritērijiem, papil</w:t>
      </w:r>
      <w:r>
        <w:rPr>
          <w:rFonts w:ascii="Times New Roman" w:hAnsi="Times New Roman" w:cs="Times New Roman"/>
          <w:sz w:val="24"/>
          <w:szCs w:val="24"/>
        </w:rPr>
        <w:t xml:space="preserve">dus nepieciešams finansējums </w:t>
      </w:r>
      <w:r>
        <w:rPr>
          <w:rFonts w:ascii="Times New Roman" w:eastAsia="Times New Roman" w:hAnsi="Times New Roman" w:cs="Times New Roman"/>
        </w:rPr>
        <w:t xml:space="preserve">1 155 </w:t>
      </w:r>
      <w:r w:rsidRPr="00E37CA3">
        <w:rPr>
          <w:rFonts w:ascii="Times New Roman" w:eastAsia="Times New Roman" w:hAnsi="Times New Roman" w:cs="Times New Roman"/>
        </w:rPr>
        <w:t>262</w:t>
      </w:r>
      <w:r w:rsidRPr="00D744EB">
        <w:rPr>
          <w:rFonts w:ascii="Times New Roman" w:hAnsi="Times New Roman" w:cs="Times New Roman"/>
          <w:sz w:val="24"/>
          <w:szCs w:val="24"/>
        </w:rPr>
        <w:t xml:space="preserve"> </w:t>
      </w:r>
      <w:r>
        <w:rPr>
          <w:rFonts w:ascii="Times New Roman" w:hAnsi="Times New Roman" w:cs="Times New Roman"/>
          <w:sz w:val="24"/>
          <w:szCs w:val="24"/>
        </w:rPr>
        <w:t>EUR</w:t>
      </w:r>
      <w:r w:rsidRPr="00D744EB">
        <w:rPr>
          <w:rFonts w:ascii="Times New Roman" w:hAnsi="Times New Roman" w:cs="Times New Roman"/>
          <w:sz w:val="24"/>
          <w:szCs w:val="24"/>
        </w:rPr>
        <w:t xml:space="preserve"> (t.sk. normējamās izmaksas, dienesta viesnīcas uzturēšanās izdevumi, kultūrizglītībai un sportam un stipendijām).</w:t>
      </w:r>
    </w:p>
    <w:tbl>
      <w:tblPr>
        <w:tblW w:w="6091" w:type="dxa"/>
        <w:jc w:val="center"/>
        <w:tblLook w:val="04A0" w:firstRow="1" w:lastRow="0" w:firstColumn="1" w:lastColumn="0" w:noHBand="0" w:noVBand="1"/>
      </w:tblPr>
      <w:tblGrid>
        <w:gridCol w:w="4815"/>
        <w:gridCol w:w="1276"/>
      </w:tblGrid>
      <w:tr w:rsidR="00D464D9" w:rsidRPr="00D744EB" w14:paraId="39B137A7" w14:textId="77777777" w:rsidTr="00D464D9">
        <w:trPr>
          <w:trHeight w:val="300"/>
          <w:jc w:val="center"/>
        </w:trPr>
        <w:tc>
          <w:tcPr>
            <w:tcW w:w="6091" w:type="dxa"/>
            <w:gridSpan w:val="2"/>
            <w:tcBorders>
              <w:top w:val="single" w:sz="4" w:space="0" w:color="auto"/>
              <w:left w:val="single" w:sz="4" w:space="0" w:color="auto"/>
              <w:bottom w:val="single" w:sz="4" w:space="0" w:color="auto"/>
              <w:right w:val="single" w:sz="4" w:space="0" w:color="000000"/>
            </w:tcBorders>
            <w:shd w:val="clear" w:color="auto" w:fill="DEEAF6" w:themeFill="accent5" w:themeFillTint="33"/>
            <w:noWrap/>
            <w:vAlign w:val="center"/>
            <w:hideMark/>
          </w:tcPr>
          <w:p w14:paraId="3B049412" w14:textId="77777777" w:rsidR="00D464D9" w:rsidRPr="00D744EB" w:rsidRDefault="00D464D9" w:rsidP="00D464D9">
            <w:pPr>
              <w:spacing w:after="0" w:line="240" w:lineRule="auto"/>
              <w:jc w:val="center"/>
              <w:rPr>
                <w:rFonts w:ascii="Times New Roman" w:eastAsia="Times New Roman" w:hAnsi="Times New Roman" w:cs="Times New Roman"/>
                <w:b/>
                <w:bCs/>
                <w:color w:val="000000"/>
              </w:rPr>
            </w:pPr>
            <w:r w:rsidRPr="00D744EB">
              <w:rPr>
                <w:rFonts w:ascii="Times New Roman" w:eastAsia="Times New Roman" w:hAnsi="Times New Roman" w:cs="Times New Roman"/>
                <w:b/>
                <w:bCs/>
                <w:color w:val="000000"/>
              </w:rPr>
              <w:t>Rādītāji</w:t>
            </w:r>
          </w:p>
        </w:tc>
      </w:tr>
      <w:tr w:rsidR="00D464D9" w:rsidRPr="00D744EB" w14:paraId="09033296" w14:textId="77777777" w:rsidTr="00D464D9">
        <w:trPr>
          <w:trHeight w:val="255"/>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5EB0D596" w14:textId="77777777" w:rsidR="00D464D9" w:rsidRPr="00D744EB" w:rsidRDefault="00D464D9" w:rsidP="00D464D9">
            <w:pPr>
              <w:spacing w:after="0" w:line="240" w:lineRule="auto"/>
              <w:rPr>
                <w:rFonts w:ascii="Times New Roman" w:eastAsia="Times New Roman" w:hAnsi="Times New Roman" w:cs="Times New Roman"/>
              </w:rPr>
            </w:pPr>
            <w:r w:rsidRPr="00D744EB">
              <w:rPr>
                <w:rFonts w:ascii="Times New Roman" w:eastAsia="Times New Roman" w:hAnsi="Times New Roman" w:cs="Times New Roman"/>
              </w:rPr>
              <w:t>Audzēkņu skaits</w:t>
            </w:r>
          </w:p>
        </w:tc>
        <w:tc>
          <w:tcPr>
            <w:tcW w:w="1276" w:type="dxa"/>
            <w:tcBorders>
              <w:top w:val="nil"/>
              <w:left w:val="nil"/>
              <w:bottom w:val="single" w:sz="4" w:space="0" w:color="auto"/>
              <w:right w:val="single" w:sz="4" w:space="0" w:color="auto"/>
            </w:tcBorders>
            <w:shd w:val="clear" w:color="auto" w:fill="auto"/>
            <w:noWrap/>
            <w:vAlign w:val="center"/>
            <w:hideMark/>
          </w:tcPr>
          <w:p w14:paraId="40FEC61E" w14:textId="77777777" w:rsidR="00D464D9" w:rsidRPr="00D744EB" w:rsidRDefault="00D464D9" w:rsidP="00D464D9">
            <w:pPr>
              <w:spacing w:after="0" w:line="240" w:lineRule="auto"/>
              <w:jc w:val="right"/>
              <w:rPr>
                <w:rFonts w:ascii="Times New Roman" w:eastAsia="Times New Roman" w:hAnsi="Times New Roman" w:cs="Times New Roman"/>
              </w:rPr>
            </w:pPr>
            <w:r w:rsidRPr="00D744EB">
              <w:rPr>
                <w:rFonts w:ascii="Times New Roman" w:eastAsia="Times New Roman" w:hAnsi="Times New Roman" w:cs="Times New Roman"/>
              </w:rPr>
              <w:t>644</w:t>
            </w:r>
          </w:p>
        </w:tc>
      </w:tr>
      <w:tr w:rsidR="00D464D9" w:rsidRPr="00D744EB" w14:paraId="4517FEBF" w14:textId="77777777" w:rsidTr="00D464D9">
        <w:trPr>
          <w:trHeight w:val="255"/>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5AB8551F" w14:textId="77777777" w:rsidR="00D464D9" w:rsidRPr="00D744EB" w:rsidRDefault="00D464D9" w:rsidP="00D464D9">
            <w:pPr>
              <w:spacing w:after="0" w:line="240" w:lineRule="auto"/>
              <w:rPr>
                <w:rFonts w:ascii="Times New Roman" w:eastAsia="Times New Roman" w:hAnsi="Times New Roman" w:cs="Times New Roman"/>
              </w:rPr>
            </w:pPr>
            <w:r w:rsidRPr="00D744EB">
              <w:rPr>
                <w:rFonts w:ascii="Times New Roman" w:eastAsia="Times New Roman" w:hAnsi="Times New Roman" w:cs="Times New Roman"/>
              </w:rPr>
              <w:t>Vidējais koeficients</w:t>
            </w:r>
          </w:p>
        </w:tc>
        <w:tc>
          <w:tcPr>
            <w:tcW w:w="1276" w:type="dxa"/>
            <w:tcBorders>
              <w:top w:val="nil"/>
              <w:left w:val="nil"/>
              <w:bottom w:val="single" w:sz="4" w:space="0" w:color="auto"/>
              <w:right w:val="single" w:sz="4" w:space="0" w:color="auto"/>
            </w:tcBorders>
            <w:shd w:val="clear" w:color="auto" w:fill="auto"/>
            <w:noWrap/>
            <w:vAlign w:val="center"/>
            <w:hideMark/>
          </w:tcPr>
          <w:p w14:paraId="6CA65BAD" w14:textId="77777777" w:rsidR="00D464D9" w:rsidRPr="00D744EB" w:rsidRDefault="00D464D9" w:rsidP="00D464D9">
            <w:pPr>
              <w:spacing w:after="0" w:line="240" w:lineRule="auto"/>
              <w:jc w:val="right"/>
              <w:rPr>
                <w:rFonts w:ascii="Times New Roman" w:eastAsia="Times New Roman" w:hAnsi="Times New Roman" w:cs="Times New Roman"/>
              </w:rPr>
            </w:pPr>
            <w:r w:rsidRPr="00D744EB">
              <w:rPr>
                <w:rFonts w:ascii="Times New Roman" w:eastAsia="Times New Roman" w:hAnsi="Times New Roman" w:cs="Times New Roman"/>
              </w:rPr>
              <w:t>1,87</w:t>
            </w:r>
          </w:p>
        </w:tc>
      </w:tr>
      <w:tr w:rsidR="00D464D9" w:rsidRPr="00D744EB" w14:paraId="2C48010C" w14:textId="77777777" w:rsidTr="00D464D9">
        <w:trPr>
          <w:trHeight w:val="255"/>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4494CBD0" w14:textId="77777777" w:rsidR="00D464D9" w:rsidRPr="00D744EB" w:rsidRDefault="00D464D9" w:rsidP="00D464D9">
            <w:pPr>
              <w:spacing w:after="0" w:line="240" w:lineRule="auto"/>
              <w:rPr>
                <w:rFonts w:ascii="Times New Roman" w:eastAsia="Times New Roman" w:hAnsi="Times New Roman" w:cs="Times New Roman"/>
              </w:rPr>
            </w:pPr>
            <w:r w:rsidRPr="00D744EB">
              <w:rPr>
                <w:rFonts w:ascii="Times New Roman" w:eastAsia="Times New Roman" w:hAnsi="Times New Roman" w:cs="Times New Roman"/>
              </w:rPr>
              <w:t>Normējamās izmaksas</w:t>
            </w:r>
          </w:p>
        </w:tc>
        <w:tc>
          <w:tcPr>
            <w:tcW w:w="1276" w:type="dxa"/>
            <w:tcBorders>
              <w:top w:val="nil"/>
              <w:left w:val="nil"/>
              <w:bottom w:val="single" w:sz="4" w:space="0" w:color="auto"/>
              <w:right w:val="single" w:sz="4" w:space="0" w:color="auto"/>
            </w:tcBorders>
            <w:shd w:val="clear" w:color="auto" w:fill="auto"/>
            <w:noWrap/>
            <w:vAlign w:val="center"/>
            <w:hideMark/>
          </w:tcPr>
          <w:p w14:paraId="1B5BD005" w14:textId="77777777" w:rsidR="00D464D9" w:rsidRPr="00D744EB" w:rsidRDefault="00D464D9" w:rsidP="00D464D9">
            <w:pPr>
              <w:spacing w:after="0" w:line="240" w:lineRule="auto"/>
              <w:jc w:val="right"/>
              <w:rPr>
                <w:rFonts w:ascii="Times New Roman" w:eastAsia="Times New Roman" w:hAnsi="Times New Roman" w:cs="Times New Roman"/>
              </w:rPr>
            </w:pPr>
            <w:r w:rsidRPr="00D744EB">
              <w:rPr>
                <w:rFonts w:ascii="Times New Roman" w:eastAsia="Times New Roman" w:hAnsi="Times New Roman" w:cs="Times New Roman"/>
              </w:rPr>
              <w:t>624,86</w:t>
            </w:r>
          </w:p>
        </w:tc>
      </w:tr>
      <w:tr w:rsidR="00D464D9" w:rsidRPr="00D744EB" w14:paraId="4E077DFB" w14:textId="77777777" w:rsidTr="00D464D9">
        <w:trPr>
          <w:trHeight w:val="255"/>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615CE9CC" w14:textId="77777777" w:rsidR="00D464D9" w:rsidRPr="00D744EB" w:rsidRDefault="00D464D9" w:rsidP="00D464D9">
            <w:pPr>
              <w:spacing w:after="0" w:line="240" w:lineRule="auto"/>
              <w:rPr>
                <w:rFonts w:ascii="Times New Roman" w:eastAsia="Times New Roman" w:hAnsi="Times New Roman" w:cs="Times New Roman"/>
              </w:rPr>
            </w:pPr>
            <w:r w:rsidRPr="00D744EB">
              <w:rPr>
                <w:rFonts w:ascii="Times New Roman" w:eastAsia="Times New Roman" w:hAnsi="Times New Roman" w:cs="Times New Roman"/>
              </w:rPr>
              <w:t>Dienesta viesnīca</w:t>
            </w:r>
          </w:p>
        </w:tc>
        <w:tc>
          <w:tcPr>
            <w:tcW w:w="1276" w:type="dxa"/>
            <w:tcBorders>
              <w:top w:val="nil"/>
              <w:left w:val="nil"/>
              <w:bottom w:val="single" w:sz="4" w:space="0" w:color="auto"/>
              <w:right w:val="single" w:sz="4" w:space="0" w:color="auto"/>
            </w:tcBorders>
            <w:shd w:val="clear" w:color="auto" w:fill="auto"/>
            <w:noWrap/>
            <w:vAlign w:val="center"/>
            <w:hideMark/>
          </w:tcPr>
          <w:p w14:paraId="4482190A" w14:textId="77777777" w:rsidR="00D464D9" w:rsidRPr="00D744EB" w:rsidRDefault="00D464D9" w:rsidP="00D464D9">
            <w:pPr>
              <w:spacing w:after="0" w:line="240" w:lineRule="auto"/>
              <w:jc w:val="right"/>
              <w:rPr>
                <w:rFonts w:ascii="Times New Roman" w:eastAsia="Times New Roman" w:hAnsi="Times New Roman" w:cs="Times New Roman"/>
              </w:rPr>
            </w:pPr>
            <w:r w:rsidRPr="00D744EB">
              <w:rPr>
                <w:rFonts w:ascii="Times New Roman" w:eastAsia="Times New Roman" w:hAnsi="Times New Roman" w:cs="Times New Roman"/>
              </w:rPr>
              <w:t>351,69</w:t>
            </w:r>
          </w:p>
        </w:tc>
      </w:tr>
      <w:tr w:rsidR="00D464D9" w:rsidRPr="00D744EB" w14:paraId="0A703E40" w14:textId="77777777" w:rsidTr="00D464D9">
        <w:trPr>
          <w:trHeight w:val="300"/>
          <w:jc w:val="center"/>
        </w:trPr>
        <w:tc>
          <w:tcPr>
            <w:tcW w:w="6091" w:type="dxa"/>
            <w:gridSpan w:val="2"/>
            <w:tcBorders>
              <w:top w:val="single" w:sz="4" w:space="0" w:color="auto"/>
              <w:left w:val="single" w:sz="4" w:space="0" w:color="auto"/>
              <w:bottom w:val="single" w:sz="4" w:space="0" w:color="auto"/>
              <w:right w:val="single" w:sz="4" w:space="0" w:color="000000"/>
            </w:tcBorders>
            <w:shd w:val="clear" w:color="auto" w:fill="DEEAF6" w:themeFill="accent5" w:themeFillTint="33"/>
            <w:noWrap/>
            <w:vAlign w:val="center"/>
            <w:hideMark/>
          </w:tcPr>
          <w:p w14:paraId="1078EEDD" w14:textId="77777777" w:rsidR="00D464D9" w:rsidRPr="00D744EB" w:rsidRDefault="00D464D9" w:rsidP="00D464D9">
            <w:pPr>
              <w:spacing w:after="0" w:line="240" w:lineRule="auto"/>
              <w:jc w:val="center"/>
              <w:rPr>
                <w:rFonts w:ascii="Times New Roman" w:eastAsia="Times New Roman" w:hAnsi="Times New Roman" w:cs="Times New Roman"/>
                <w:b/>
                <w:bCs/>
                <w:color w:val="000000"/>
              </w:rPr>
            </w:pPr>
            <w:r w:rsidRPr="00D744EB">
              <w:rPr>
                <w:rFonts w:ascii="Times New Roman" w:eastAsia="Times New Roman" w:hAnsi="Times New Roman" w:cs="Times New Roman"/>
                <w:b/>
                <w:bCs/>
                <w:color w:val="000000"/>
              </w:rPr>
              <w:lastRenderedPageBreak/>
              <w:t>Aprēķins</w:t>
            </w:r>
          </w:p>
        </w:tc>
      </w:tr>
      <w:tr w:rsidR="00D464D9" w:rsidRPr="00D744EB" w14:paraId="694C30A8" w14:textId="77777777" w:rsidTr="00D464D9">
        <w:trPr>
          <w:trHeight w:val="255"/>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F10C5F0" w14:textId="77777777" w:rsidR="00D464D9" w:rsidRPr="00D744EB" w:rsidRDefault="00D464D9" w:rsidP="00D464D9">
            <w:pPr>
              <w:spacing w:after="0" w:line="240" w:lineRule="auto"/>
              <w:rPr>
                <w:rFonts w:ascii="Times New Roman" w:eastAsia="Times New Roman" w:hAnsi="Times New Roman" w:cs="Times New Roman"/>
              </w:rPr>
            </w:pPr>
            <w:r w:rsidRPr="00D744EB">
              <w:rPr>
                <w:rFonts w:ascii="Times New Roman" w:eastAsia="Times New Roman" w:hAnsi="Times New Roman" w:cs="Times New Roman"/>
              </w:rPr>
              <w:t>Normējamās izmaksas</w:t>
            </w:r>
          </w:p>
        </w:tc>
        <w:tc>
          <w:tcPr>
            <w:tcW w:w="1276" w:type="dxa"/>
            <w:tcBorders>
              <w:top w:val="nil"/>
              <w:left w:val="nil"/>
              <w:bottom w:val="single" w:sz="4" w:space="0" w:color="auto"/>
              <w:right w:val="single" w:sz="4" w:space="0" w:color="auto"/>
            </w:tcBorders>
            <w:shd w:val="clear" w:color="auto" w:fill="auto"/>
            <w:noWrap/>
            <w:vAlign w:val="center"/>
            <w:hideMark/>
          </w:tcPr>
          <w:p w14:paraId="118653DE" w14:textId="77777777" w:rsidR="00D464D9" w:rsidRPr="00D744EB" w:rsidRDefault="00D464D9" w:rsidP="00D464D9">
            <w:pPr>
              <w:spacing w:after="0" w:line="240" w:lineRule="auto"/>
              <w:jc w:val="right"/>
              <w:rPr>
                <w:rFonts w:ascii="Times New Roman" w:eastAsia="Times New Roman" w:hAnsi="Times New Roman" w:cs="Times New Roman"/>
              </w:rPr>
            </w:pPr>
            <w:r w:rsidRPr="00D744EB">
              <w:rPr>
                <w:rFonts w:ascii="Times New Roman" w:eastAsia="Times New Roman" w:hAnsi="Times New Roman" w:cs="Times New Roman"/>
              </w:rPr>
              <w:t>752 506</w:t>
            </w:r>
          </w:p>
        </w:tc>
      </w:tr>
      <w:tr w:rsidR="00D464D9" w:rsidRPr="00D744EB" w14:paraId="081C26AD" w14:textId="77777777" w:rsidTr="00D464D9">
        <w:trPr>
          <w:trHeight w:val="255"/>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2AF38209" w14:textId="77777777" w:rsidR="00D464D9" w:rsidRPr="00D744EB" w:rsidRDefault="00D464D9" w:rsidP="00D464D9">
            <w:pPr>
              <w:spacing w:after="0" w:line="240" w:lineRule="auto"/>
              <w:rPr>
                <w:rFonts w:ascii="Times New Roman" w:eastAsia="Times New Roman" w:hAnsi="Times New Roman" w:cs="Times New Roman"/>
              </w:rPr>
            </w:pPr>
            <w:r w:rsidRPr="00D744EB">
              <w:rPr>
                <w:rFonts w:ascii="Times New Roman" w:eastAsia="Times New Roman" w:hAnsi="Times New Roman" w:cs="Times New Roman"/>
              </w:rPr>
              <w:t>Dienesta viesnīcas uzturēšana</w:t>
            </w:r>
          </w:p>
        </w:tc>
        <w:tc>
          <w:tcPr>
            <w:tcW w:w="1276" w:type="dxa"/>
            <w:tcBorders>
              <w:top w:val="nil"/>
              <w:left w:val="nil"/>
              <w:bottom w:val="single" w:sz="4" w:space="0" w:color="auto"/>
              <w:right w:val="single" w:sz="4" w:space="0" w:color="auto"/>
            </w:tcBorders>
            <w:shd w:val="clear" w:color="auto" w:fill="auto"/>
            <w:noWrap/>
            <w:vAlign w:val="center"/>
            <w:hideMark/>
          </w:tcPr>
          <w:p w14:paraId="5AD0676A" w14:textId="77777777" w:rsidR="00D464D9" w:rsidRPr="00D744EB" w:rsidRDefault="00D464D9" w:rsidP="00D464D9">
            <w:pPr>
              <w:spacing w:after="0" w:line="240" w:lineRule="auto"/>
              <w:jc w:val="right"/>
              <w:rPr>
                <w:rFonts w:ascii="Times New Roman" w:eastAsia="Times New Roman" w:hAnsi="Times New Roman" w:cs="Times New Roman"/>
              </w:rPr>
            </w:pPr>
            <w:r w:rsidRPr="00D744EB">
              <w:rPr>
                <w:rFonts w:ascii="Times New Roman" w:eastAsia="Times New Roman" w:hAnsi="Times New Roman" w:cs="Times New Roman"/>
              </w:rPr>
              <w:t>16 529</w:t>
            </w:r>
          </w:p>
        </w:tc>
      </w:tr>
      <w:tr w:rsidR="00D464D9" w:rsidRPr="00D744EB" w14:paraId="7A23B683" w14:textId="77777777" w:rsidTr="00D464D9">
        <w:trPr>
          <w:trHeight w:val="255"/>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3B04742B" w14:textId="77777777" w:rsidR="00D464D9" w:rsidRPr="00D744EB" w:rsidRDefault="00D464D9" w:rsidP="00D464D9">
            <w:pPr>
              <w:spacing w:after="0" w:line="240" w:lineRule="auto"/>
              <w:rPr>
                <w:rFonts w:ascii="Times New Roman" w:eastAsia="Times New Roman" w:hAnsi="Times New Roman" w:cs="Times New Roman"/>
              </w:rPr>
            </w:pPr>
            <w:r w:rsidRPr="00D744EB">
              <w:rPr>
                <w:rFonts w:ascii="Times New Roman" w:eastAsia="Times New Roman" w:hAnsi="Times New Roman" w:cs="Times New Roman"/>
              </w:rPr>
              <w:t>Kultūrizglītībai un sportam (22,77 euro)</w:t>
            </w:r>
          </w:p>
        </w:tc>
        <w:tc>
          <w:tcPr>
            <w:tcW w:w="1276" w:type="dxa"/>
            <w:tcBorders>
              <w:top w:val="nil"/>
              <w:left w:val="nil"/>
              <w:bottom w:val="single" w:sz="4" w:space="0" w:color="auto"/>
              <w:right w:val="single" w:sz="4" w:space="0" w:color="auto"/>
            </w:tcBorders>
            <w:shd w:val="clear" w:color="auto" w:fill="auto"/>
            <w:noWrap/>
            <w:vAlign w:val="center"/>
            <w:hideMark/>
          </w:tcPr>
          <w:p w14:paraId="34E96DBD" w14:textId="77777777" w:rsidR="00D464D9" w:rsidRPr="00D744EB" w:rsidRDefault="00D464D9" w:rsidP="00D464D9">
            <w:pPr>
              <w:spacing w:after="0" w:line="240" w:lineRule="auto"/>
              <w:jc w:val="right"/>
              <w:rPr>
                <w:rFonts w:ascii="Times New Roman" w:eastAsia="Times New Roman" w:hAnsi="Times New Roman" w:cs="Times New Roman"/>
              </w:rPr>
            </w:pPr>
            <w:r w:rsidRPr="00D744EB">
              <w:rPr>
                <w:rFonts w:ascii="Times New Roman" w:eastAsia="Times New Roman" w:hAnsi="Times New Roman" w:cs="Times New Roman"/>
              </w:rPr>
              <w:t>14 664</w:t>
            </w:r>
          </w:p>
        </w:tc>
      </w:tr>
      <w:tr w:rsidR="00D464D9" w:rsidRPr="00D744EB" w14:paraId="60132E49" w14:textId="77777777" w:rsidTr="00D464D9">
        <w:trPr>
          <w:trHeight w:val="255"/>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471DAB09" w14:textId="77777777" w:rsidR="00D464D9" w:rsidRPr="00D744EB" w:rsidRDefault="00D464D9" w:rsidP="00D464D9">
            <w:pPr>
              <w:spacing w:after="0" w:line="240" w:lineRule="auto"/>
              <w:rPr>
                <w:rFonts w:ascii="Times New Roman" w:eastAsia="Times New Roman" w:hAnsi="Times New Roman" w:cs="Times New Roman"/>
              </w:rPr>
            </w:pPr>
            <w:r w:rsidRPr="00D744EB">
              <w:rPr>
                <w:rFonts w:ascii="Times New Roman" w:eastAsia="Times New Roman" w:hAnsi="Times New Roman" w:cs="Times New Roman"/>
              </w:rPr>
              <w:t>Stipendijas (48,08 euro)</w:t>
            </w:r>
          </w:p>
        </w:tc>
        <w:tc>
          <w:tcPr>
            <w:tcW w:w="1276" w:type="dxa"/>
            <w:tcBorders>
              <w:top w:val="nil"/>
              <w:left w:val="nil"/>
              <w:bottom w:val="single" w:sz="4" w:space="0" w:color="auto"/>
              <w:right w:val="single" w:sz="4" w:space="0" w:color="auto"/>
            </w:tcBorders>
            <w:shd w:val="clear" w:color="auto" w:fill="auto"/>
            <w:noWrap/>
            <w:vAlign w:val="center"/>
            <w:hideMark/>
          </w:tcPr>
          <w:p w14:paraId="58376464" w14:textId="77777777" w:rsidR="00D464D9" w:rsidRPr="00D744EB" w:rsidRDefault="00D464D9" w:rsidP="00D464D9">
            <w:pPr>
              <w:spacing w:after="0" w:line="240" w:lineRule="auto"/>
              <w:jc w:val="right"/>
              <w:rPr>
                <w:rFonts w:ascii="Times New Roman" w:eastAsia="Times New Roman" w:hAnsi="Times New Roman" w:cs="Times New Roman"/>
              </w:rPr>
            </w:pPr>
            <w:r w:rsidRPr="00D744EB">
              <w:rPr>
                <w:rFonts w:ascii="Times New Roman" w:eastAsia="Times New Roman" w:hAnsi="Times New Roman" w:cs="Times New Roman"/>
              </w:rPr>
              <w:t>371 562</w:t>
            </w:r>
          </w:p>
        </w:tc>
      </w:tr>
      <w:tr w:rsidR="00D464D9" w:rsidRPr="00D744EB" w14:paraId="2A54E198" w14:textId="77777777" w:rsidTr="00D464D9">
        <w:trPr>
          <w:trHeight w:val="300"/>
          <w:jc w:val="center"/>
        </w:trPr>
        <w:tc>
          <w:tcPr>
            <w:tcW w:w="4815" w:type="dxa"/>
            <w:tcBorders>
              <w:top w:val="nil"/>
              <w:left w:val="single" w:sz="4" w:space="0" w:color="auto"/>
              <w:bottom w:val="single" w:sz="4" w:space="0" w:color="auto"/>
              <w:right w:val="single" w:sz="4" w:space="0" w:color="auto"/>
            </w:tcBorders>
            <w:shd w:val="clear" w:color="auto" w:fill="DEEAF6" w:themeFill="accent5" w:themeFillTint="33"/>
            <w:noWrap/>
            <w:vAlign w:val="center"/>
            <w:hideMark/>
          </w:tcPr>
          <w:p w14:paraId="5AE39E2E" w14:textId="77777777" w:rsidR="00D464D9" w:rsidRPr="00D744EB" w:rsidRDefault="00D464D9" w:rsidP="00D464D9">
            <w:pPr>
              <w:spacing w:after="0" w:line="240" w:lineRule="auto"/>
              <w:jc w:val="right"/>
              <w:rPr>
                <w:rFonts w:ascii="Times New Roman" w:eastAsia="Times New Roman" w:hAnsi="Times New Roman" w:cs="Times New Roman"/>
                <w:b/>
                <w:bCs/>
                <w:color w:val="000000"/>
              </w:rPr>
            </w:pPr>
            <w:r w:rsidRPr="00D744EB">
              <w:rPr>
                <w:rFonts w:ascii="Times New Roman" w:eastAsia="Times New Roman" w:hAnsi="Times New Roman" w:cs="Times New Roman"/>
                <w:b/>
                <w:bCs/>
                <w:color w:val="000000"/>
              </w:rPr>
              <w:t>Kopā</w:t>
            </w:r>
          </w:p>
        </w:tc>
        <w:tc>
          <w:tcPr>
            <w:tcW w:w="1276" w:type="dxa"/>
            <w:tcBorders>
              <w:top w:val="nil"/>
              <w:left w:val="nil"/>
              <w:bottom w:val="single" w:sz="4" w:space="0" w:color="auto"/>
              <w:right w:val="single" w:sz="4" w:space="0" w:color="auto"/>
            </w:tcBorders>
            <w:shd w:val="clear" w:color="auto" w:fill="DEEAF6" w:themeFill="accent5" w:themeFillTint="33"/>
            <w:noWrap/>
            <w:vAlign w:val="center"/>
            <w:hideMark/>
          </w:tcPr>
          <w:p w14:paraId="6938279F" w14:textId="77777777" w:rsidR="00D464D9" w:rsidRPr="00D464D9" w:rsidRDefault="00D464D9" w:rsidP="00D464D9">
            <w:pPr>
              <w:spacing w:after="0" w:line="240" w:lineRule="auto"/>
              <w:jc w:val="right"/>
              <w:rPr>
                <w:rFonts w:ascii="Times New Roman" w:eastAsia="Times New Roman" w:hAnsi="Times New Roman" w:cs="Times New Roman"/>
                <w:b/>
              </w:rPr>
            </w:pPr>
            <w:r w:rsidRPr="00D464D9">
              <w:rPr>
                <w:rFonts w:ascii="Times New Roman" w:eastAsia="Times New Roman" w:hAnsi="Times New Roman" w:cs="Times New Roman"/>
                <w:b/>
              </w:rPr>
              <w:t>1 155 262</w:t>
            </w:r>
          </w:p>
        </w:tc>
      </w:tr>
    </w:tbl>
    <w:p w14:paraId="67802B28" w14:textId="77777777" w:rsidR="00D464D9" w:rsidRPr="005B3EC0" w:rsidRDefault="00D464D9" w:rsidP="00D464D9">
      <w:pPr>
        <w:spacing w:after="0" w:line="276" w:lineRule="auto"/>
        <w:jc w:val="center"/>
        <w:rPr>
          <w:rFonts w:ascii="Times New Roman" w:eastAsia="Times New Roman" w:hAnsi="Times New Roman" w:cs="Times New Roman"/>
          <w:sz w:val="24"/>
          <w:szCs w:val="24"/>
        </w:rPr>
      </w:pPr>
    </w:p>
    <w:p w14:paraId="7A2E1136" w14:textId="2A70C906" w:rsidR="000C0133" w:rsidRDefault="000C0133" w:rsidP="004E229C">
      <w:pPr>
        <w:spacing w:after="120" w:line="276" w:lineRule="auto"/>
        <w:jc w:val="both"/>
        <w:rPr>
          <w:rFonts w:ascii="Times New Roman" w:eastAsia="Times New Roman" w:hAnsi="Times New Roman" w:cs="Times New Roman"/>
          <w:sz w:val="24"/>
          <w:szCs w:val="24"/>
        </w:rPr>
      </w:pPr>
      <w:r w:rsidRPr="000D23E4">
        <w:rPr>
          <w:rFonts w:ascii="Times New Roman" w:hAnsi="Times New Roman" w:cs="Times New Roman"/>
          <w:sz w:val="24"/>
          <w:szCs w:val="24"/>
        </w:rPr>
        <w:t>Valsts budžeta dotācijas apmērs profesionālās izglī</w:t>
      </w:r>
      <w:r>
        <w:rPr>
          <w:rFonts w:ascii="Times New Roman" w:hAnsi="Times New Roman" w:cs="Times New Roman"/>
          <w:sz w:val="24"/>
          <w:szCs w:val="24"/>
        </w:rPr>
        <w:t>tības programmu īstenošanai 201</w:t>
      </w:r>
      <w:r w:rsidR="00110435">
        <w:rPr>
          <w:rFonts w:ascii="Times New Roman" w:hAnsi="Times New Roman" w:cs="Times New Roman"/>
          <w:sz w:val="24"/>
          <w:szCs w:val="24"/>
        </w:rPr>
        <w:t>9</w:t>
      </w:r>
      <w:r>
        <w:rPr>
          <w:rFonts w:ascii="Times New Roman" w:hAnsi="Times New Roman" w:cs="Times New Roman"/>
          <w:sz w:val="24"/>
          <w:szCs w:val="24"/>
        </w:rPr>
        <w:t xml:space="preserve">.gadā – </w:t>
      </w:r>
      <w:r w:rsidR="00110435">
        <w:rPr>
          <w:rFonts w:ascii="Times New Roman" w:hAnsi="Times New Roman" w:cs="Times New Roman"/>
          <w:sz w:val="24"/>
          <w:szCs w:val="24"/>
        </w:rPr>
        <w:t>71,8</w:t>
      </w:r>
      <w:r>
        <w:rPr>
          <w:rFonts w:ascii="Times New Roman" w:hAnsi="Times New Roman" w:cs="Times New Roman"/>
          <w:sz w:val="24"/>
          <w:szCs w:val="24"/>
        </w:rPr>
        <w:t xml:space="preserve"> milj. EUR, plānotais</w:t>
      </w:r>
      <w:r w:rsidRPr="000D23E4">
        <w:rPr>
          <w:rFonts w:ascii="Times New Roman" w:hAnsi="Times New Roman" w:cs="Times New Roman"/>
          <w:sz w:val="24"/>
          <w:szCs w:val="24"/>
        </w:rPr>
        <w:t xml:space="preserve"> valsts f</w:t>
      </w:r>
      <w:r>
        <w:rPr>
          <w:rFonts w:ascii="Times New Roman" w:hAnsi="Times New Roman" w:cs="Times New Roman"/>
          <w:sz w:val="24"/>
          <w:szCs w:val="24"/>
        </w:rPr>
        <w:t>inansēto izglītojamo gada vidējais skaits</w:t>
      </w:r>
      <w:r w:rsidRPr="000D23E4">
        <w:rPr>
          <w:rFonts w:ascii="Times New Roman" w:hAnsi="Times New Roman" w:cs="Times New Roman"/>
          <w:sz w:val="24"/>
          <w:szCs w:val="24"/>
        </w:rPr>
        <w:t xml:space="preserve">  </w:t>
      </w:r>
      <w:r>
        <w:rPr>
          <w:rFonts w:ascii="Times New Roman" w:hAnsi="Times New Roman" w:cs="Times New Roman"/>
          <w:sz w:val="24"/>
          <w:szCs w:val="24"/>
        </w:rPr>
        <w:t xml:space="preserve">- </w:t>
      </w:r>
      <w:r w:rsidR="00110435">
        <w:rPr>
          <w:rFonts w:ascii="Times New Roman" w:hAnsi="Times New Roman" w:cs="Times New Roman"/>
          <w:sz w:val="24"/>
          <w:szCs w:val="24"/>
        </w:rPr>
        <w:t>19 193</w:t>
      </w:r>
      <w:r w:rsidRPr="000D23E4">
        <w:rPr>
          <w:rFonts w:ascii="Times New Roman" w:hAnsi="Times New Roman" w:cs="Times New Roman"/>
          <w:sz w:val="24"/>
          <w:szCs w:val="24"/>
        </w:rPr>
        <w:t xml:space="preserve">, attiecīgi viena izglītojamā vidējās izmaksas </w:t>
      </w:r>
      <w:r w:rsidR="00110435" w:rsidRPr="003E74E8">
        <w:rPr>
          <w:rFonts w:ascii="Times New Roman" w:hAnsi="Times New Roman" w:cs="Times New Roman"/>
          <w:sz w:val="24"/>
          <w:szCs w:val="24"/>
        </w:rPr>
        <w:t>3</w:t>
      </w:r>
      <w:r w:rsidR="00110435">
        <w:rPr>
          <w:rFonts w:ascii="Times New Roman" w:hAnsi="Times New Roman" w:cs="Times New Roman"/>
          <w:sz w:val="24"/>
          <w:szCs w:val="24"/>
        </w:rPr>
        <w:t> </w:t>
      </w:r>
      <w:r w:rsidR="00110435" w:rsidRPr="003E74E8">
        <w:rPr>
          <w:rFonts w:ascii="Times New Roman" w:hAnsi="Times New Roman" w:cs="Times New Roman"/>
          <w:sz w:val="24"/>
          <w:szCs w:val="24"/>
        </w:rPr>
        <w:t>7</w:t>
      </w:r>
      <w:r w:rsidR="00110435">
        <w:rPr>
          <w:rFonts w:ascii="Times New Roman" w:hAnsi="Times New Roman" w:cs="Times New Roman"/>
          <w:sz w:val="24"/>
          <w:szCs w:val="24"/>
        </w:rPr>
        <w:t>38</w:t>
      </w:r>
      <w:r w:rsidR="00110435" w:rsidRPr="003E74E8">
        <w:rPr>
          <w:rFonts w:ascii="Times New Roman" w:hAnsi="Times New Roman" w:cs="Times New Roman"/>
          <w:sz w:val="24"/>
          <w:szCs w:val="24"/>
        </w:rPr>
        <w:t xml:space="preserve"> </w:t>
      </w:r>
      <w:r w:rsidRPr="000D23E4">
        <w:rPr>
          <w:rFonts w:ascii="Times New Roman" w:hAnsi="Times New Roman" w:cs="Times New Roman"/>
          <w:sz w:val="24"/>
          <w:szCs w:val="24"/>
        </w:rPr>
        <w:t xml:space="preserve">EUR (normējamās un nenormējamās izmaksas). </w:t>
      </w:r>
      <w:r w:rsidRPr="000D23E4">
        <w:rPr>
          <w:rFonts w:ascii="Times New Roman" w:eastAsia="Times New Roman" w:hAnsi="Times New Roman" w:cs="Times New Roman"/>
          <w:sz w:val="24"/>
          <w:szCs w:val="24"/>
        </w:rPr>
        <w:t xml:space="preserve"> </w:t>
      </w:r>
    </w:p>
    <w:p w14:paraId="0DCF6C36" w14:textId="518F8670" w:rsidR="00B9527F" w:rsidRPr="00164581" w:rsidRDefault="0020495A" w:rsidP="00A510E4">
      <w:pPr>
        <w:pStyle w:val="Heading1"/>
        <w:numPr>
          <w:ilvl w:val="0"/>
          <w:numId w:val="3"/>
        </w:numPr>
        <w:spacing w:before="0" w:after="120" w:line="276" w:lineRule="auto"/>
        <w:ind w:left="714" w:hanging="357"/>
        <w:jc w:val="center"/>
        <w:rPr>
          <w:rFonts w:ascii="Times New Roman" w:eastAsia="Times New Roman" w:hAnsi="Times New Roman" w:cs="Times New Roman"/>
          <w:b/>
          <w:color w:val="000000" w:themeColor="text1"/>
          <w:sz w:val="28"/>
          <w:szCs w:val="24"/>
        </w:rPr>
      </w:pPr>
      <w:bookmarkStart w:id="9" w:name="_Toc53136183"/>
      <w:r>
        <w:rPr>
          <w:rFonts w:ascii="Times New Roman" w:eastAsia="Times New Roman" w:hAnsi="Times New Roman" w:cs="Times New Roman"/>
          <w:b/>
          <w:color w:val="000000" w:themeColor="text1"/>
          <w:sz w:val="28"/>
          <w:szCs w:val="24"/>
        </w:rPr>
        <w:t>Ieteikumi</w:t>
      </w:r>
      <w:r w:rsidR="00AC6A47" w:rsidRPr="00164581">
        <w:rPr>
          <w:rFonts w:ascii="Times New Roman" w:eastAsia="Times New Roman" w:hAnsi="Times New Roman" w:cs="Times New Roman"/>
          <w:b/>
          <w:color w:val="000000" w:themeColor="text1"/>
          <w:sz w:val="28"/>
          <w:szCs w:val="24"/>
        </w:rPr>
        <w:t xml:space="preserve"> profesionālās izglītības programmu finansēšanas turpmākajai attīstība</w:t>
      </w:r>
      <w:r w:rsidR="00B9527F" w:rsidRPr="00164581">
        <w:rPr>
          <w:rFonts w:ascii="Times New Roman" w:eastAsia="Times New Roman" w:hAnsi="Times New Roman" w:cs="Times New Roman"/>
          <w:b/>
          <w:color w:val="000000" w:themeColor="text1"/>
          <w:sz w:val="28"/>
          <w:szCs w:val="24"/>
        </w:rPr>
        <w:t>i</w:t>
      </w:r>
      <w:bookmarkEnd w:id="9"/>
    </w:p>
    <w:p w14:paraId="5CD2EFB5" w14:textId="1CB2D3BD" w:rsidR="00C4103D" w:rsidRDefault="00C4103D" w:rsidP="00A510E4">
      <w:pPr>
        <w:pStyle w:val="Heading2"/>
        <w:numPr>
          <w:ilvl w:val="1"/>
          <w:numId w:val="3"/>
        </w:numPr>
        <w:spacing w:before="0" w:after="120" w:line="276" w:lineRule="auto"/>
        <w:jc w:val="center"/>
        <w:rPr>
          <w:rFonts w:ascii="Times New Roman" w:eastAsia="Times New Roman" w:hAnsi="Times New Roman" w:cs="Times New Roman"/>
          <w:b/>
          <w:color w:val="000000" w:themeColor="text1"/>
          <w:sz w:val="24"/>
          <w:szCs w:val="24"/>
        </w:rPr>
      </w:pPr>
      <w:bookmarkStart w:id="10" w:name="_Toc53136184"/>
      <w:r>
        <w:rPr>
          <w:rFonts w:ascii="Times New Roman" w:eastAsia="Times New Roman" w:hAnsi="Times New Roman" w:cs="Times New Roman"/>
          <w:b/>
          <w:color w:val="000000" w:themeColor="text1"/>
          <w:sz w:val="24"/>
          <w:szCs w:val="24"/>
        </w:rPr>
        <w:t>Normējamo un nenormējamo izmaksu struktūra</w:t>
      </w:r>
      <w:r w:rsidR="00072141">
        <w:rPr>
          <w:rFonts w:ascii="Times New Roman" w:eastAsia="Times New Roman" w:hAnsi="Times New Roman" w:cs="Times New Roman"/>
          <w:b/>
          <w:color w:val="000000" w:themeColor="text1"/>
          <w:sz w:val="24"/>
          <w:szCs w:val="24"/>
        </w:rPr>
        <w:t>s pārskatīšana</w:t>
      </w:r>
      <w:bookmarkEnd w:id="10"/>
    </w:p>
    <w:p w14:paraId="5511CBD2" w14:textId="744E23B5" w:rsidR="00C4103D" w:rsidRPr="00C4103D" w:rsidRDefault="00C4103D" w:rsidP="004E229C">
      <w:pPr>
        <w:spacing w:after="120" w:line="276" w:lineRule="auto"/>
        <w:jc w:val="both"/>
        <w:rPr>
          <w:rFonts w:ascii="Times New Roman" w:hAnsi="Times New Roman" w:cs="Times New Roman"/>
          <w:sz w:val="24"/>
          <w:szCs w:val="28"/>
        </w:rPr>
      </w:pPr>
      <w:r w:rsidRPr="00C4103D">
        <w:rPr>
          <w:rFonts w:ascii="Times New Roman" w:hAnsi="Times New Roman" w:cs="Times New Roman"/>
          <w:sz w:val="24"/>
          <w:szCs w:val="28"/>
        </w:rPr>
        <w:t>Pārskatot normējamo un nenormējamo izmaksu struktūru, secināms, ka atsevišķas normējamās izmaksas nav tieši saistītas ar izglītības iestāžu īstenoto profesionālās izglītības programmu specifiku, tās vienlaikus tiek izmantotas izglītības programmu izmaksu aprēķinā, kuras iegūst, izglītības programmu grupas “Vadība un administrēšana” normējamās izmaksas reizinot ar attiecīgās izglītības programmu grupas koeficientu.</w:t>
      </w:r>
    </w:p>
    <w:p w14:paraId="45F9D12F" w14:textId="509656ED" w:rsidR="00C4103D" w:rsidRDefault="00C4103D" w:rsidP="004E229C">
      <w:pPr>
        <w:spacing w:after="120" w:line="276" w:lineRule="auto"/>
        <w:jc w:val="both"/>
        <w:rPr>
          <w:rFonts w:ascii="Times New Roman" w:hAnsi="Times New Roman" w:cs="Times New Roman"/>
          <w:sz w:val="24"/>
          <w:szCs w:val="28"/>
        </w:rPr>
      </w:pPr>
      <w:r w:rsidRPr="00C4103D">
        <w:rPr>
          <w:rFonts w:ascii="Times New Roman" w:hAnsi="Times New Roman" w:cs="Times New Roman"/>
          <w:sz w:val="24"/>
          <w:szCs w:val="28"/>
        </w:rPr>
        <w:t xml:space="preserve">Ņemot vērā, ka atsevišķas normējamās izmaksas izglītības programmu ietvaros neatšķiras un tieši neizriet no to īstenošanas specifikas, šos izdevumus </w:t>
      </w:r>
      <w:r w:rsidR="00785EEA">
        <w:rPr>
          <w:rFonts w:ascii="Times New Roman" w:hAnsi="Times New Roman" w:cs="Times New Roman"/>
          <w:sz w:val="24"/>
          <w:szCs w:val="28"/>
        </w:rPr>
        <w:t xml:space="preserve">varētu </w:t>
      </w:r>
      <w:r w:rsidRPr="00C4103D">
        <w:rPr>
          <w:rFonts w:ascii="Times New Roman" w:hAnsi="Times New Roman" w:cs="Times New Roman"/>
          <w:sz w:val="24"/>
          <w:szCs w:val="28"/>
        </w:rPr>
        <w:t xml:space="preserve">noteikt kā nenormējamās izmaksas, pieņemot, ka tās visām izglītības programmām ir vienādas un nav tieši atkarīgas no izglītības programmu īstenošanas specifikas, attiecīgi tām nepiemērojot izglītības programmu koeficientus, bet piešķirot kā bāzes finansējumu vienādā apmērā uz vienu </w:t>
      </w:r>
      <w:r w:rsidRPr="00E205E1">
        <w:rPr>
          <w:rFonts w:ascii="Times New Roman" w:hAnsi="Times New Roman" w:cs="Times New Roman"/>
          <w:sz w:val="24"/>
          <w:szCs w:val="28"/>
        </w:rPr>
        <w:t xml:space="preserve">izglītojamo. Šādu izmaiņu īstenošana saistīta ar grozījumu veikšanu MK noteikumos Nr. 655, </w:t>
      </w:r>
      <w:r w:rsidR="00785EEA">
        <w:rPr>
          <w:rFonts w:ascii="Times New Roman" w:hAnsi="Times New Roman" w:cs="Times New Roman"/>
          <w:sz w:val="24"/>
          <w:szCs w:val="28"/>
        </w:rPr>
        <w:t>kā</w:t>
      </w:r>
      <w:r w:rsidRPr="00E205E1">
        <w:rPr>
          <w:rFonts w:ascii="Times New Roman" w:hAnsi="Times New Roman" w:cs="Times New Roman"/>
          <w:sz w:val="24"/>
          <w:szCs w:val="28"/>
        </w:rPr>
        <w:t xml:space="preserve"> </w:t>
      </w:r>
      <w:r w:rsidR="00E205E1" w:rsidRPr="00E205E1">
        <w:rPr>
          <w:rFonts w:ascii="Times New Roman" w:hAnsi="Times New Roman" w:cs="Times New Roman"/>
          <w:sz w:val="24"/>
          <w:szCs w:val="28"/>
        </w:rPr>
        <w:t xml:space="preserve">arī iespējamu </w:t>
      </w:r>
      <w:r w:rsidRPr="00E205E1">
        <w:rPr>
          <w:rFonts w:ascii="Times New Roman" w:hAnsi="Times New Roman" w:cs="Times New Roman"/>
          <w:sz w:val="24"/>
          <w:szCs w:val="28"/>
        </w:rPr>
        <w:t>finansiālu ietekmi uz valsts vai pašvaldību budžetiem.</w:t>
      </w:r>
    </w:p>
    <w:p w14:paraId="61055982" w14:textId="5311651A" w:rsidR="008946D7" w:rsidRDefault="00072141" w:rsidP="00A510E4">
      <w:pPr>
        <w:pStyle w:val="Heading2"/>
        <w:numPr>
          <w:ilvl w:val="1"/>
          <w:numId w:val="3"/>
        </w:numPr>
        <w:spacing w:before="0" w:after="120" w:line="276" w:lineRule="auto"/>
        <w:jc w:val="center"/>
        <w:rPr>
          <w:rFonts w:ascii="Times New Roman" w:hAnsi="Times New Roman" w:cs="Times New Roman"/>
          <w:b/>
          <w:color w:val="000000" w:themeColor="text1"/>
          <w:sz w:val="24"/>
          <w:szCs w:val="24"/>
        </w:rPr>
      </w:pPr>
      <w:bookmarkStart w:id="11" w:name="_Toc53136185"/>
      <w:r>
        <w:rPr>
          <w:rFonts w:ascii="Times New Roman" w:hAnsi="Times New Roman" w:cs="Times New Roman"/>
          <w:b/>
          <w:color w:val="000000" w:themeColor="text1"/>
          <w:sz w:val="24"/>
          <w:szCs w:val="24"/>
        </w:rPr>
        <w:t>Izglītības programmu izmaksu k</w:t>
      </w:r>
      <w:r w:rsidR="009221CD" w:rsidRPr="00803527">
        <w:rPr>
          <w:rFonts w:ascii="Times New Roman" w:hAnsi="Times New Roman" w:cs="Times New Roman"/>
          <w:b/>
          <w:color w:val="000000" w:themeColor="text1"/>
          <w:sz w:val="24"/>
          <w:szCs w:val="24"/>
        </w:rPr>
        <w:t>oeficientu piemērošanas metodikas pārskatīšana</w:t>
      </w:r>
      <w:bookmarkEnd w:id="11"/>
    </w:p>
    <w:p w14:paraId="58A0624A" w14:textId="77777777" w:rsidR="008946D7" w:rsidRPr="008946D7" w:rsidRDefault="008946D7" w:rsidP="008946D7">
      <w:pPr>
        <w:spacing w:after="120" w:line="276" w:lineRule="auto"/>
        <w:jc w:val="both"/>
        <w:rPr>
          <w:rFonts w:ascii="Times New Roman" w:hAnsi="Times New Roman" w:cs="Times New Roman"/>
          <w:sz w:val="24"/>
          <w:szCs w:val="28"/>
        </w:rPr>
      </w:pPr>
      <w:r w:rsidRPr="008946D7">
        <w:rPr>
          <w:rFonts w:ascii="Times New Roman" w:hAnsi="Times New Roman" w:cs="Times New Roman"/>
          <w:sz w:val="24"/>
          <w:szCs w:val="28"/>
        </w:rPr>
        <w:t>Pārskatot normējamo un nenormējamo izmaksu atbilstību MK noteikumos Nr. 655 noteiktajai izmaksu struktūrai, atsevišķas normējamās izmaksas nosakot kā nenormējamās izmaksas, mainīsies arī profesionālās izglītības programmu īstenošanas izmaksu aprēķins, kas attiecīgi ietekmēs arī profesionālās izglītības programmu minimālo koeficientu vērtības.</w:t>
      </w:r>
    </w:p>
    <w:p w14:paraId="15DD73D6" w14:textId="03B51A90" w:rsidR="008946D7" w:rsidRPr="008946D7" w:rsidRDefault="008946D7" w:rsidP="00242DAB">
      <w:pPr>
        <w:spacing w:after="120" w:line="276" w:lineRule="auto"/>
        <w:jc w:val="both"/>
        <w:rPr>
          <w:rFonts w:ascii="Times New Roman" w:eastAsia="Times New Roman" w:hAnsi="Times New Roman" w:cs="Times New Roman"/>
          <w:sz w:val="24"/>
          <w:szCs w:val="24"/>
        </w:rPr>
      </w:pPr>
      <w:r w:rsidRPr="008946D7">
        <w:rPr>
          <w:rFonts w:ascii="Times New Roman" w:hAnsi="Times New Roman" w:cs="Times New Roman"/>
          <w:sz w:val="24"/>
          <w:szCs w:val="24"/>
        </w:rPr>
        <w:t>Profesionālas izglītības iestādei finansējums tiek piešķirts atbilstoši viena izglītojamā izmaksām konkrētās izglītības programmu grupās, izmaksu diferenciācijai piemērojot izmaksu minimālo koeficientu</w:t>
      </w:r>
      <w:r w:rsidRPr="008946D7">
        <w:rPr>
          <w:rFonts w:ascii="Times New Roman" w:eastAsia="Times New Roman" w:hAnsi="Times New Roman" w:cs="Times New Roman"/>
          <w:sz w:val="24"/>
          <w:szCs w:val="24"/>
        </w:rPr>
        <w:t xml:space="preserve">. Veiktā pētījuma ietvaros secināms, ka koeficientu piemērošana izglītības tematiskajām jomām, nevis izglītības programmu grupām, samazinātu koeficientu skaitu un to sadrumstalotību, tādējādi nodrošinot vienkāršāku finansējuma piešķiršanas kārtību un vienlaikus rīcības brīvību profesionālās izglītības iestādēm pašām izvērtēt finansējuma sadali konkrētām izglītības programmu grupām. Šādu izmaiņu īstenošana saistīta ar grozījumu veikšanu MK noteikumos Nr. 655, kas iespējams radītu finansiālu ietekmi uz valsts vai pašvaldību budžetiem. </w:t>
      </w:r>
    </w:p>
    <w:p w14:paraId="341EB902" w14:textId="2087708B" w:rsidR="00C67240" w:rsidRPr="00C67240" w:rsidRDefault="008946D7" w:rsidP="00242DAB">
      <w:pPr>
        <w:pStyle w:val="Heading2"/>
        <w:numPr>
          <w:ilvl w:val="1"/>
          <w:numId w:val="3"/>
        </w:numPr>
        <w:spacing w:before="0" w:after="120" w:line="276" w:lineRule="auto"/>
        <w:jc w:val="center"/>
        <w:rPr>
          <w:rFonts w:ascii="Times New Roman" w:eastAsia="Times New Roman" w:hAnsi="Times New Roman" w:cs="Times New Roman"/>
          <w:b/>
          <w:color w:val="000000" w:themeColor="text1"/>
          <w:sz w:val="24"/>
          <w:szCs w:val="24"/>
        </w:rPr>
      </w:pPr>
      <w:bookmarkStart w:id="12" w:name="_Toc53136186"/>
      <w:r>
        <w:rPr>
          <w:rFonts w:ascii="Times New Roman" w:eastAsia="Times New Roman" w:hAnsi="Times New Roman" w:cs="Times New Roman"/>
          <w:b/>
          <w:color w:val="000000" w:themeColor="text1"/>
          <w:sz w:val="24"/>
          <w:szCs w:val="24"/>
        </w:rPr>
        <w:lastRenderedPageBreak/>
        <w:t>I</w:t>
      </w:r>
      <w:r w:rsidRPr="008946D7">
        <w:rPr>
          <w:rFonts w:ascii="Times New Roman" w:eastAsia="Times New Roman" w:hAnsi="Times New Roman" w:cs="Times New Roman"/>
          <w:b/>
          <w:color w:val="000000" w:themeColor="text1"/>
          <w:sz w:val="24"/>
          <w:szCs w:val="24"/>
        </w:rPr>
        <w:t>zglītības programmu izmaksu koeficientu aktualizēšan</w:t>
      </w:r>
      <w:r w:rsidR="00C67240">
        <w:rPr>
          <w:rFonts w:ascii="Times New Roman" w:eastAsia="Times New Roman" w:hAnsi="Times New Roman" w:cs="Times New Roman"/>
          <w:b/>
          <w:color w:val="000000" w:themeColor="text1"/>
          <w:sz w:val="24"/>
          <w:szCs w:val="24"/>
        </w:rPr>
        <w:t>a</w:t>
      </w:r>
      <w:bookmarkEnd w:id="12"/>
    </w:p>
    <w:p w14:paraId="387A6B1D" w14:textId="77777777" w:rsidR="00C67240" w:rsidRPr="00242DAB" w:rsidRDefault="008946D7" w:rsidP="00242DAB">
      <w:pPr>
        <w:spacing w:after="120" w:line="276" w:lineRule="auto"/>
        <w:jc w:val="both"/>
        <w:rPr>
          <w:rFonts w:ascii="Times New Roman" w:hAnsi="Times New Roman" w:cs="Times New Roman"/>
          <w:sz w:val="24"/>
          <w:szCs w:val="28"/>
        </w:rPr>
      </w:pPr>
      <w:r>
        <w:rPr>
          <w:rFonts w:ascii="Times New Roman" w:eastAsia="Times New Roman" w:hAnsi="Times New Roman" w:cs="Times New Roman"/>
          <w:sz w:val="24"/>
          <w:szCs w:val="24"/>
        </w:rPr>
        <w:t>N</w:t>
      </w:r>
      <w:r w:rsidR="00623314">
        <w:rPr>
          <w:rFonts w:ascii="Times New Roman" w:eastAsia="Times New Roman" w:hAnsi="Times New Roman" w:cs="Times New Roman"/>
          <w:sz w:val="24"/>
          <w:szCs w:val="24"/>
        </w:rPr>
        <w:t xml:space="preserve">epieciešams pārskatīt un aktualizēt </w:t>
      </w:r>
      <w:r w:rsidR="00623314">
        <w:rPr>
          <w:rFonts w:ascii="Times New Roman" w:hAnsi="Times New Roman" w:cs="Times New Roman"/>
          <w:sz w:val="24"/>
          <w:szCs w:val="28"/>
        </w:rPr>
        <w:t>profesionālās izglītības programmu minimālo koeficientu vērtības</w:t>
      </w:r>
      <w:r w:rsidR="00623314" w:rsidRPr="00623314">
        <w:t xml:space="preserve"> </w:t>
      </w:r>
      <w:r w:rsidR="00623314">
        <w:rPr>
          <w:rFonts w:ascii="Times New Roman" w:hAnsi="Times New Roman" w:cs="Times New Roman"/>
          <w:sz w:val="24"/>
          <w:szCs w:val="28"/>
        </w:rPr>
        <w:t xml:space="preserve">izglītības programmu grupām, ņemot vērā izglītības programmu specifiku un to īstenošanai nepieciešamos resursus. </w:t>
      </w:r>
      <w:r w:rsidR="00636361">
        <w:rPr>
          <w:rFonts w:ascii="Times New Roman" w:hAnsi="Times New Roman" w:cs="Times New Roman"/>
          <w:sz w:val="24"/>
          <w:szCs w:val="28"/>
        </w:rPr>
        <w:t xml:space="preserve">Profesionālās izglītības iestāžu infrastruktūrā pēdējo gadu laikā veikti nozīmīgi ieguldījumi, nodrošinot mūsdienu prasībām atbilstošu mācību vidi, </w:t>
      </w:r>
      <w:r w:rsidR="00636361" w:rsidRPr="00242DAB">
        <w:rPr>
          <w:rFonts w:ascii="Times New Roman" w:hAnsi="Times New Roman" w:cs="Times New Roman"/>
          <w:sz w:val="24"/>
          <w:szCs w:val="28"/>
        </w:rPr>
        <w:t>modernu aprīkojumu un reālajai darba videi pietuvin</w:t>
      </w:r>
      <w:r w:rsidR="002F4939" w:rsidRPr="00242DAB">
        <w:rPr>
          <w:rFonts w:ascii="Times New Roman" w:hAnsi="Times New Roman" w:cs="Times New Roman"/>
          <w:sz w:val="24"/>
          <w:szCs w:val="28"/>
        </w:rPr>
        <w:t>ātu</w:t>
      </w:r>
      <w:r w:rsidR="00636361" w:rsidRPr="00242DAB">
        <w:rPr>
          <w:rFonts w:ascii="Times New Roman" w:hAnsi="Times New Roman" w:cs="Times New Roman"/>
          <w:sz w:val="24"/>
          <w:szCs w:val="28"/>
        </w:rPr>
        <w:t xml:space="preserve"> iek</w:t>
      </w:r>
      <w:r w:rsidR="002F4939" w:rsidRPr="00242DAB">
        <w:rPr>
          <w:rFonts w:ascii="Times New Roman" w:hAnsi="Times New Roman" w:cs="Times New Roman"/>
          <w:sz w:val="24"/>
          <w:szCs w:val="28"/>
        </w:rPr>
        <w:t>ārtu izmantošanu</w:t>
      </w:r>
      <w:r w:rsidR="00636361" w:rsidRPr="00242DAB">
        <w:rPr>
          <w:rFonts w:ascii="Times New Roman" w:hAnsi="Times New Roman" w:cs="Times New Roman"/>
          <w:sz w:val="24"/>
          <w:szCs w:val="28"/>
        </w:rPr>
        <w:t xml:space="preserve">, kas </w:t>
      </w:r>
      <w:r w:rsidR="002F4939" w:rsidRPr="00242DAB">
        <w:rPr>
          <w:rFonts w:ascii="Times New Roman" w:hAnsi="Times New Roman" w:cs="Times New Roman"/>
          <w:sz w:val="24"/>
          <w:szCs w:val="28"/>
        </w:rPr>
        <w:t>ļauj labāk sagatavot speciālistus atbilstoši darba tirgus prasībām, nodrošinot tiem prasmes, kas ir pieprasītas nozarēs</w:t>
      </w:r>
      <w:r w:rsidR="00636361" w:rsidRPr="00242DAB">
        <w:rPr>
          <w:rFonts w:ascii="Times New Roman" w:hAnsi="Times New Roman" w:cs="Times New Roman"/>
          <w:sz w:val="24"/>
          <w:szCs w:val="28"/>
        </w:rPr>
        <w:t xml:space="preserve">, vienlaikus </w:t>
      </w:r>
      <w:r w:rsidR="002F4939" w:rsidRPr="00242DAB">
        <w:rPr>
          <w:rFonts w:ascii="Times New Roman" w:hAnsi="Times New Roman" w:cs="Times New Roman"/>
          <w:sz w:val="24"/>
          <w:szCs w:val="28"/>
        </w:rPr>
        <w:t xml:space="preserve">tas nozīmē </w:t>
      </w:r>
      <w:r w:rsidR="00636361" w:rsidRPr="00242DAB">
        <w:rPr>
          <w:rFonts w:ascii="Times New Roman" w:hAnsi="Times New Roman" w:cs="Times New Roman"/>
          <w:sz w:val="24"/>
          <w:szCs w:val="28"/>
        </w:rPr>
        <w:t xml:space="preserve">arī papildus ieguldījumus </w:t>
      </w:r>
      <w:r w:rsidR="002F4939" w:rsidRPr="00242DAB">
        <w:rPr>
          <w:rFonts w:ascii="Times New Roman" w:hAnsi="Times New Roman" w:cs="Times New Roman"/>
          <w:sz w:val="24"/>
          <w:szCs w:val="28"/>
        </w:rPr>
        <w:t xml:space="preserve">šīs infrastruktūras </w:t>
      </w:r>
      <w:r w:rsidR="00636361" w:rsidRPr="00242DAB">
        <w:rPr>
          <w:rFonts w:ascii="Times New Roman" w:hAnsi="Times New Roman" w:cs="Times New Roman"/>
          <w:sz w:val="24"/>
          <w:szCs w:val="28"/>
        </w:rPr>
        <w:t>uzturēšanā.</w:t>
      </w:r>
    </w:p>
    <w:p w14:paraId="0BA42465" w14:textId="77777777" w:rsidR="00C67240" w:rsidRPr="00242DAB" w:rsidRDefault="00443718" w:rsidP="00242DAB">
      <w:pPr>
        <w:spacing w:after="120" w:line="276" w:lineRule="auto"/>
        <w:jc w:val="both"/>
        <w:rPr>
          <w:rFonts w:ascii="Times New Roman" w:hAnsi="Times New Roman" w:cs="Times New Roman"/>
          <w:sz w:val="24"/>
          <w:szCs w:val="24"/>
        </w:rPr>
      </w:pPr>
      <w:r w:rsidRPr="00242DAB">
        <w:rPr>
          <w:rFonts w:ascii="Times New Roman" w:hAnsi="Times New Roman" w:cs="Times New Roman"/>
          <w:sz w:val="24"/>
          <w:szCs w:val="24"/>
        </w:rPr>
        <w:t>Līdz ar tehnoloģisko attīstību v</w:t>
      </w:r>
      <w:r w:rsidR="002F4939" w:rsidRPr="00242DAB">
        <w:rPr>
          <w:rFonts w:ascii="Times New Roman" w:hAnsi="Times New Roman" w:cs="Times New Roman"/>
          <w:sz w:val="24"/>
          <w:szCs w:val="24"/>
        </w:rPr>
        <w:t xml:space="preserve">airākās tautsaimniecības nozarēs </w:t>
      </w:r>
      <w:r w:rsidRPr="00242DAB">
        <w:rPr>
          <w:rFonts w:ascii="Times New Roman" w:hAnsi="Times New Roman" w:cs="Times New Roman"/>
          <w:sz w:val="24"/>
          <w:szCs w:val="24"/>
        </w:rPr>
        <w:t xml:space="preserve">arvien vairāk darbu tiek mehanizēti un automatizēti, attiecīgi izglītības iestādēm </w:t>
      </w:r>
      <w:r w:rsidR="002F4939" w:rsidRPr="00242DAB">
        <w:rPr>
          <w:rFonts w:ascii="Times New Roman" w:hAnsi="Times New Roman" w:cs="Times New Roman"/>
          <w:sz w:val="24"/>
          <w:szCs w:val="24"/>
        </w:rPr>
        <w:t xml:space="preserve">nepieciešams sagatavot </w:t>
      </w:r>
      <w:r w:rsidRPr="00242DAB">
        <w:rPr>
          <w:rFonts w:ascii="Times New Roman" w:hAnsi="Times New Roman" w:cs="Times New Roman"/>
          <w:sz w:val="24"/>
          <w:szCs w:val="24"/>
        </w:rPr>
        <w:t xml:space="preserve">kvalificētus </w:t>
      </w:r>
      <w:r w:rsidR="002F4939" w:rsidRPr="00242DAB">
        <w:rPr>
          <w:rFonts w:ascii="Times New Roman" w:hAnsi="Times New Roman" w:cs="Times New Roman"/>
          <w:sz w:val="24"/>
          <w:szCs w:val="24"/>
        </w:rPr>
        <w:t>speciālistus</w:t>
      </w:r>
      <w:r w:rsidRPr="00242DAB">
        <w:rPr>
          <w:rFonts w:ascii="Times New Roman" w:hAnsi="Times New Roman" w:cs="Times New Roman"/>
          <w:sz w:val="24"/>
          <w:szCs w:val="24"/>
        </w:rPr>
        <w:t xml:space="preserve"> darbam ar mūsdienu tehnoloģijām, kas saist</w:t>
      </w:r>
      <w:r w:rsidR="0044789E" w:rsidRPr="00242DAB">
        <w:rPr>
          <w:rFonts w:ascii="Times New Roman" w:hAnsi="Times New Roman" w:cs="Times New Roman"/>
          <w:sz w:val="24"/>
          <w:szCs w:val="24"/>
        </w:rPr>
        <w:t>īts ar papildu</w:t>
      </w:r>
      <w:r w:rsidR="002F4939" w:rsidRPr="00242DAB">
        <w:rPr>
          <w:rFonts w:ascii="Times New Roman" w:hAnsi="Times New Roman" w:cs="Times New Roman"/>
          <w:sz w:val="24"/>
          <w:szCs w:val="24"/>
        </w:rPr>
        <w:t xml:space="preserve"> individuālo prakt</w:t>
      </w:r>
      <w:r w:rsidRPr="00242DAB">
        <w:rPr>
          <w:rFonts w:ascii="Times New Roman" w:hAnsi="Times New Roman" w:cs="Times New Roman"/>
          <w:sz w:val="24"/>
          <w:szCs w:val="24"/>
        </w:rPr>
        <w:t>isko mācību stundu nodrošināšanu un tehnikas uzturēšanas un apkopes izmaksām.</w:t>
      </w:r>
      <w:r w:rsidR="00814CAE" w:rsidRPr="00242DAB">
        <w:rPr>
          <w:rFonts w:ascii="Times New Roman" w:hAnsi="Times New Roman" w:cs="Times New Roman"/>
          <w:sz w:val="24"/>
          <w:szCs w:val="24"/>
        </w:rPr>
        <w:t xml:space="preserve"> Tāpat arī ir aktualizēti un izstrādāti jauni profesiju standarti un profesionālās kvalifikācijas prasības, kas ietekmējušas profesionālās izglītības programmu īstenošanas izmaksas.</w:t>
      </w:r>
    </w:p>
    <w:p w14:paraId="2C74BCB8" w14:textId="5DF411DA" w:rsidR="00C67240" w:rsidRPr="00242DAB" w:rsidRDefault="00C67240" w:rsidP="00242DAB">
      <w:pPr>
        <w:pStyle w:val="Heading2"/>
        <w:numPr>
          <w:ilvl w:val="1"/>
          <w:numId w:val="3"/>
        </w:numPr>
        <w:spacing w:before="0" w:after="120"/>
        <w:jc w:val="center"/>
        <w:rPr>
          <w:rFonts w:ascii="Times New Roman" w:eastAsia="Times New Roman" w:hAnsi="Times New Roman" w:cs="Times New Roman"/>
          <w:b/>
          <w:color w:val="000000" w:themeColor="text1"/>
          <w:sz w:val="24"/>
          <w:szCs w:val="24"/>
        </w:rPr>
      </w:pPr>
      <w:bookmarkStart w:id="13" w:name="_Toc53136187"/>
      <w:r w:rsidRPr="00242DAB">
        <w:rPr>
          <w:rFonts w:ascii="Times New Roman" w:eastAsia="Times New Roman" w:hAnsi="Times New Roman" w:cs="Times New Roman"/>
          <w:b/>
          <w:color w:val="000000" w:themeColor="text1"/>
          <w:sz w:val="24"/>
          <w:szCs w:val="24"/>
        </w:rPr>
        <w:t>Ī</w:t>
      </w:r>
      <w:r w:rsidR="003F4F11" w:rsidRPr="00242DAB">
        <w:rPr>
          <w:rFonts w:ascii="Times New Roman" w:eastAsia="Times New Roman" w:hAnsi="Times New Roman" w:cs="Times New Roman"/>
          <w:b/>
          <w:color w:val="000000" w:themeColor="text1"/>
          <w:sz w:val="24"/>
          <w:szCs w:val="24"/>
        </w:rPr>
        <w:t>sā cikla profesionālās izglītības programm</w:t>
      </w:r>
      <w:r w:rsidR="00072141" w:rsidRPr="00242DAB">
        <w:rPr>
          <w:rFonts w:ascii="Times New Roman" w:eastAsia="Times New Roman" w:hAnsi="Times New Roman" w:cs="Times New Roman"/>
          <w:b/>
          <w:color w:val="000000" w:themeColor="text1"/>
          <w:sz w:val="24"/>
          <w:szCs w:val="24"/>
        </w:rPr>
        <w:t>u īstenošana</w:t>
      </w:r>
      <w:bookmarkEnd w:id="13"/>
    </w:p>
    <w:p w14:paraId="66B42CE9" w14:textId="5CD2A25D" w:rsidR="003F4F11" w:rsidRPr="003B5F62" w:rsidRDefault="003B5F62" w:rsidP="004E229C">
      <w:pPr>
        <w:spacing w:after="120" w:line="276" w:lineRule="auto"/>
        <w:jc w:val="both"/>
        <w:rPr>
          <w:rFonts w:ascii="Times New Roman" w:eastAsia="Times New Roman" w:hAnsi="Times New Roman" w:cs="Times New Roman"/>
          <w:sz w:val="24"/>
          <w:szCs w:val="24"/>
        </w:rPr>
      </w:pPr>
      <w:r w:rsidRPr="00FA3A7A">
        <w:rPr>
          <w:rFonts w:ascii="Times New Roman" w:eastAsia="Times New Roman" w:hAnsi="Times New Roman" w:cs="Times New Roman"/>
          <w:sz w:val="24"/>
          <w:szCs w:val="24"/>
        </w:rPr>
        <w:t>Ņemot vērā kompetenču apguves lomu</w:t>
      </w:r>
      <w:r>
        <w:rPr>
          <w:rFonts w:ascii="Times New Roman" w:eastAsia="Times New Roman" w:hAnsi="Times New Roman" w:cs="Times New Roman"/>
          <w:sz w:val="24"/>
          <w:szCs w:val="24"/>
        </w:rPr>
        <w:t xml:space="preserve"> mūžizglītības kontekstā</w:t>
      </w:r>
      <w:r w:rsidRPr="00FA3A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ļoti svarīgi katram </w:t>
      </w:r>
      <w:r w:rsidRPr="00FA3A7A">
        <w:rPr>
          <w:rFonts w:ascii="Times New Roman" w:eastAsia="Times New Roman" w:hAnsi="Times New Roman" w:cs="Times New Roman"/>
          <w:sz w:val="24"/>
          <w:szCs w:val="24"/>
        </w:rPr>
        <w:t xml:space="preserve">dot iespēju tās apgūt jebkurā izglītības </w:t>
      </w:r>
      <w:r>
        <w:rPr>
          <w:rFonts w:ascii="Times New Roman" w:eastAsia="Times New Roman" w:hAnsi="Times New Roman" w:cs="Times New Roman"/>
          <w:sz w:val="24"/>
          <w:szCs w:val="24"/>
        </w:rPr>
        <w:t xml:space="preserve">posmā </w:t>
      </w:r>
      <w:r w:rsidRPr="00FA3A7A">
        <w:rPr>
          <w:rFonts w:ascii="Times New Roman" w:eastAsia="Times New Roman" w:hAnsi="Times New Roman" w:cs="Times New Roman"/>
          <w:sz w:val="24"/>
          <w:szCs w:val="24"/>
        </w:rPr>
        <w:t>gan profesio</w:t>
      </w:r>
      <w:r>
        <w:rPr>
          <w:rFonts w:ascii="Times New Roman" w:eastAsia="Times New Roman" w:hAnsi="Times New Roman" w:cs="Times New Roman"/>
          <w:sz w:val="24"/>
          <w:szCs w:val="24"/>
        </w:rPr>
        <w:t xml:space="preserve">nālajā sākotnējā izglītībā, gan pieaugušo izglītībā. </w:t>
      </w:r>
      <w:r w:rsidR="003F4F11" w:rsidRPr="003F4F11">
        <w:rPr>
          <w:rFonts w:ascii="Times New Roman" w:hAnsi="Times New Roman" w:cs="Times New Roman"/>
          <w:sz w:val="24"/>
          <w:szCs w:val="28"/>
        </w:rPr>
        <w:t xml:space="preserve">Profesionālās izglītības programmas </w:t>
      </w:r>
      <w:r w:rsidR="003F4F11">
        <w:rPr>
          <w:rFonts w:ascii="Times New Roman" w:hAnsi="Times New Roman" w:cs="Times New Roman"/>
          <w:sz w:val="24"/>
          <w:szCs w:val="28"/>
        </w:rPr>
        <w:t xml:space="preserve">aizvien vairāk tiek veidotas, lai nodrošinātu </w:t>
      </w:r>
      <w:r w:rsidR="003F4F11" w:rsidRPr="003F4F11">
        <w:rPr>
          <w:rFonts w:ascii="Times New Roman" w:hAnsi="Times New Roman" w:cs="Times New Roman"/>
          <w:sz w:val="24"/>
          <w:szCs w:val="28"/>
        </w:rPr>
        <w:t xml:space="preserve">elastīgu profesionālās izglītības piedāvājumu, </w:t>
      </w:r>
      <w:r w:rsidR="003F4F11">
        <w:rPr>
          <w:rFonts w:ascii="Times New Roman" w:hAnsi="Times New Roman" w:cs="Times New Roman"/>
          <w:sz w:val="24"/>
          <w:szCs w:val="28"/>
        </w:rPr>
        <w:t>tādējādi ļaujot</w:t>
      </w:r>
      <w:r w:rsidR="003F4F11" w:rsidRPr="003F4F11">
        <w:rPr>
          <w:rFonts w:ascii="Times New Roman" w:hAnsi="Times New Roman" w:cs="Times New Roman"/>
          <w:sz w:val="24"/>
          <w:szCs w:val="28"/>
        </w:rPr>
        <w:t xml:space="preserve"> ātri reaģēt uz darbaspēka pieprasījuma izmaiņām. </w:t>
      </w:r>
      <w:r w:rsidR="003F4F11">
        <w:rPr>
          <w:rFonts w:ascii="Times New Roman" w:hAnsi="Times New Roman" w:cs="Times New Roman"/>
          <w:sz w:val="24"/>
          <w:szCs w:val="28"/>
        </w:rPr>
        <w:t>Modulārās</w:t>
      </w:r>
      <w:r w:rsidR="003F4F11" w:rsidRPr="003F4F11">
        <w:rPr>
          <w:rFonts w:ascii="Times New Roman" w:hAnsi="Times New Roman" w:cs="Times New Roman"/>
          <w:sz w:val="24"/>
          <w:szCs w:val="28"/>
        </w:rPr>
        <w:t xml:space="preserve"> pr</w:t>
      </w:r>
      <w:r w:rsidR="003F4F11">
        <w:rPr>
          <w:rFonts w:ascii="Times New Roman" w:hAnsi="Times New Roman" w:cs="Times New Roman"/>
          <w:sz w:val="24"/>
          <w:szCs w:val="28"/>
        </w:rPr>
        <w:t>ofesionālās izglītības programmas</w:t>
      </w:r>
      <w:r w:rsidR="003F4F11" w:rsidRPr="003F4F11">
        <w:rPr>
          <w:rFonts w:ascii="Times New Roman" w:hAnsi="Times New Roman" w:cs="Times New Roman"/>
          <w:sz w:val="24"/>
          <w:szCs w:val="28"/>
        </w:rPr>
        <w:t xml:space="preserve"> dod iespēju </w:t>
      </w:r>
      <w:r w:rsidR="009F069B">
        <w:rPr>
          <w:rFonts w:ascii="Times New Roman" w:hAnsi="Times New Roman" w:cs="Times New Roman"/>
          <w:sz w:val="24"/>
          <w:szCs w:val="28"/>
        </w:rPr>
        <w:t>adaptēties</w:t>
      </w:r>
      <w:r w:rsidR="003F4F11">
        <w:rPr>
          <w:rFonts w:ascii="Times New Roman" w:hAnsi="Times New Roman" w:cs="Times New Roman"/>
          <w:sz w:val="24"/>
          <w:szCs w:val="28"/>
        </w:rPr>
        <w:t xml:space="preserve"> </w:t>
      </w:r>
      <w:r w:rsidR="009F069B">
        <w:rPr>
          <w:rFonts w:ascii="Times New Roman" w:hAnsi="Times New Roman" w:cs="Times New Roman"/>
          <w:sz w:val="24"/>
          <w:szCs w:val="28"/>
        </w:rPr>
        <w:t>jaunajām attīstības tendencēm, vienlaikus, l</w:t>
      </w:r>
      <w:r w:rsidR="003F4F11" w:rsidRPr="003F4F11">
        <w:rPr>
          <w:rFonts w:ascii="Times New Roman" w:hAnsi="Times New Roman" w:cs="Times New Roman"/>
          <w:sz w:val="24"/>
          <w:szCs w:val="28"/>
        </w:rPr>
        <w:t xml:space="preserve">ai pielāgotos </w:t>
      </w:r>
      <w:r w:rsidR="003F4F11">
        <w:rPr>
          <w:rFonts w:ascii="Times New Roman" w:hAnsi="Times New Roman" w:cs="Times New Roman"/>
          <w:sz w:val="24"/>
          <w:szCs w:val="28"/>
        </w:rPr>
        <w:t xml:space="preserve">mainīgajām </w:t>
      </w:r>
      <w:r w:rsidR="003F4F11" w:rsidRPr="003F4F11">
        <w:rPr>
          <w:rFonts w:ascii="Times New Roman" w:hAnsi="Times New Roman" w:cs="Times New Roman"/>
          <w:sz w:val="24"/>
          <w:szCs w:val="28"/>
        </w:rPr>
        <w:t>darba tirgus prasībām,</w:t>
      </w:r>
      <w:r w:rsidR="003F4F11">
        <w:rPr>
          <w:rFonts w:ascii="Times New Roman" w:hAnsi="Times New Roman" w:cs="Times New Roman"/>
          <w:sz w:val="24"/>
          <w:szCs w:val="28"/>
        </w:rPr>
        <w:t xml:space="preserve"> svarīgi ir dot otro </w:t>
      </w:r>
      <w:r w:rsidR="003F4F11">
        <w:rPr>
          <w:rFonts w:ascii="Times New Roman" w:eastAsia="Times New Roman" w:hAnsi="Times New Roman" w:cs="Times New Roman"/>
          <w:sz w:val="24"/>
          <w:szCs w:val="24"/>
        </w:rPr>
        <w:t xml:space="preserve">iespēju pieaugušajiem, </w:t>
      </w:r>
      <w:r w:rsidR="009F069B">
        <w:rPr>
          <w:rFonts w:ascii="Times New Roman" w:eastAsia="Times New Roman" w:hAnsi="Times New Roman" w:cs="Times New Roman"/>
          <w:sz w:val="24"/>
          <w:szCs w:val="24"/>
        </w:rPr>
        <w:t>kuriem nepieciešams pilnveidot savas prasmes</w:t>
      </w:r>
      <w:r w:rsidR="009F069B" w:rsidRPr="009F069B">
        <w:rPr>
          <w:rFonts w:ascii="Times New Roman" w:eastAsia="Times New Roman" w:hAnsi="Times New Roman" w:cs="Times New Roman"/>
          <w:sz w:val="24"/>
          <w:szCs w:val="24"/>
        </w:rPr>
        <w:t xml:space="preserve"> </w:t>
      </w:r>
      <w:r w:rsidR="009F069B">
        <w:rPr>
          <w:rFonts w:ascii="Times New Roman" w:eastAsia="Times New Roman" w:hAnsi="Times New Roman" w:cs="Times New Roman"/>
          <w:sz w:val="24"/>
          <w:szCs w:val="24"/>
        </w:rPr>
        <w:t xml:space="preserve">vai apgūt jaunas prasmes, lai turpinātu savas darba gaitas vai atgrieztos darba tirgū, tāpat arī dot iespēju </w:t>
      </w:r>
      <w:r w:rsidR="003F4F11">
        <w:rPr>
          <w:rFonts w:ascii="Times New Roman" w:eastAsia="Times New Roman" w:hAnsi="Times New Roman" w:cs="Times New Roman"/>
          <w:sz w:val="24"/>
          <w:szCs w:val="24"/>
        </w:rPr>
        <w:t>jaunie</w:t>
      </w:r>
      <w:r w:rsidR="009F069B">
        <w:rPr>
          <w:rFonts w:ascii="Times New Roman" w:eastAsia="Times New Roman" w:hAnsi="Times New Roman" w:cs="Times New Roman"/>
          <w:sz w:val="24"/>
          <w:szCs w:val="24"/>
        </w:rPr>
        <w:t xml:space="preserve">šiem salīdzinoši īsā laikā iegūt profesionālo kvalifikāciju </w:t>
      </w:r>
      <w:r w:rsidR="003F4F11">
        <w:rPr>
          <w:rFonts w:ascii="Times New Roman" w:eastAsia="Times New Roman" w:hAnsi="Times New Roman" w:cs="Times New Roman"/>
          <w:sz w:val="24"/>
          <w:szCs w:val="24"/>
        </w:rPr>
        <w:t>pēc vispārējās vidējās izglītības ieguves vai nepabeigtām studijām augstākās izglītības iestādēs</w:t>
      </w:r>
      <w:r w:rsidR="009F069B">
        <w:rPr>
          <w:rFonts w:ascii="Times New Roman" w:eastAsia="Times New Roman" w:hAnsi="Times New Roman" w:cs="Times New Roman"/>
          <w:sz w:val="24"/>
          <w:szCs w:val="24"/>
        </w:rPr>
        <w:t>, tādējādi dodot iespēju sekmīgi iekļauties darba tirgū ar zināmu prasmju komplektu.</w:t>
      </w:r>
      <w:r>
        <w:rPr>
          <w:rFonts w:ascii="Times New Roman" w:eastAsia="Times New Roman" w:hAnsi="Times New Roman" w:cs="Times New Roman"/>
          <w:sz w:val="24"/>
          <w:szCs w:val="24"/>
        </w:rPr>
        <w:t xml:space="preserve"> </w:t>
      </w:r>
    </w:p>
    <w:p w14:paraId="052A1085" w14:textId="4D881772" w:rsidR="00CF01AA" w:rsidRPr="006C1075" w:rsidRDefault="00CF01AA" w:rsidP="004E229C">
      <w:pPr>
        <w:spacing w:after="120" w:line="276" w:lineRule="auto"/>
        <w:jc w:val="both"/>
        <w:rPr>
          <w:rFonts w:ascii="Times New Roman" w:hAnsi="Times New Roman" w:cs="Times New Roman"/>
          <w:sz w:val="24"/>
          <w:szCs w:val="28"/>
        </w:rPr>
      </w:pPr>
      <w:r>
        <w:rPr>
          <w:rFonts w:ascii="Times New Roman" w:hAnsi="Times New Roman" w:cs="Times New Roman"/>
          <w:sz w:val="24"/>
          <w:szCs w:val="28"/>
        </w:rPr>
        <w:t>V</w:t>
      </w:r>
      <w:r w:rsidRPr="00B76262">
        <w:rPr>
          <w:rFonts w:ascii="Times New Roman" w:hAnsi="Times New Roman" w:cs="Times New Roman"/>
          <w:sz w:val="24"/>
          <w:szCs w:val="28"/>
        </w:rPr>
        <w:t xml:space="preserve">airāki tūkstoši jauniešu </w:t>
      </w:r>
      <w:r>
        <w:rPr>
          <w:rFonts w:ascii="Times New Roman" w:hAnsi="Times New Roman" w:cs="Times New Roman"/>
          <w:sz w:val="24"/>
          <w:szCs w:val="28"/>
        </w:rPr>
        <w:t>saņem n</w:t>
      </w:r>
      <w:r w:rsidRPr="00B76262">
        <w:rPr>
          <w:rFonts w:ascii="Times New Roman" w:hAnsi="Times New Roman" w:cs="Times New Roman"/>
          <w:sz w:val="24"/>
          <w:szCs w:val="28"/>
        </w:rPr>
        <w:t>ozīmīgu atbalstu mācībām sākotnējās profesionālās izglītības programmās</w:t>
      </w:r>
      <w:r>
        <w:rPr>
          <w:rFonts w:ascii="Times New Roman" w:hAnsi="Times New Roman" w:cs="Times New Roman"/>
          <w:sz w:val="24"/>
          <w:szCs w:val="28"/>
        </w:rPr>
        <w:t xml:space="preserve"> ESF </w:t>
      </w:r>
      <w:r w:rsidRPr="002E07BC">
        <w:rPr>
          <w:rFonts w:ascii="Times New Roman" w:hAnsi="Times New Roman" w:cs="Times New Roman"/>
          <w:sz w:val="24"/>
          <w:szCs w:val="28"/>
        </w:rPr>
        <w:t>Jauniešu garantijas projekta</w:t>
      </w:r>
      <w:r>
        <w:rPr>
          <w:rFonts w:ascii="Times New Roman" w:hAnsi="Times New Roman" w:cs="Times New Roman"/>
          <w:sz w:val="24"/>
          <w:szCs w:val="28"/>
        </w:rPr>
        <w:t xml:space="preserve"> ietvaros</w:t>
      </w:r>
      <w:r>
        <w:rPr>
          <w:rStyle w:val="FootnoteReference"/>
          <w:rFonts w:ascii="Times New Roman" w:hAnsi="Times New Roman" w:cs="Times New Roman"/>
          <w:sz w:val="24"/>
          <w:szCs w:val="28"/>
        </w:rPr>
        <w:footnoteReference w:id="8"/>
      </w:r>
      <w:r>
        <w:rPr>
          <w:rFonts w:ascii="Times New Roman" w:hAnsi="Times New Roman" w:cs="Times New Roman"/>
          <w:sz w:val="24"/>
          <w:szCs w:val="28"/>
        </w:rPr>
        <w:t xml:space="preserve">. Šī darbības programma ir kā otras iespējas izglītība jauniešiem, kuri kādu iemeslu dēļ pārtraukuši mācības vai pēc pamatizglītības vai vispārējās vidējās izglītības ieguves nav turpinājuši mācīties un saskarušies ar grūtībām iekļauties darba tirgū. </w:t>
      </w:r>
      <w:r w:rsidRPr="00B76262">
        <w:rPr>
          <w:rFonts w:ascii="Times New Roman" w:hAnsi="Times New Roman" w:cs="Times New Roman"/>
          <w:sz w:val="24"/>
          <w:szCs w:val="28"/>
        </w:rPr>
        <w:t>Jauniešu garantijas profesionālās izglītības programm</w:t>
      </w:r>
      <w:r>
        <w:rPr>
          <w:rFonts w:ascii="Times New Roman" w:hAnsi="Times New Roman" w:cs="Times New Roman"/>
          <w:sz w:val="24"/>
          <w:szCs w:val="28"/>
        </w:rPr>
        <w:t>u īstenošana 2014.</w:t>
      </w:r>
      <w:r w:rsidRPr="00B76262">
        <w:rPr>
          <w:rFonts w:ascii="Times New Roman" w:hAnsi="Times New Roman" w:cs="Times New Roman"/>
          <w:sz w:val="24"/>
          <w:szCs w:val="28"/>
        </w:rPr>
        <w:t xml:space="preserve">gadā </w:t>
      </w:r>
      <w:r>
        <w:rPr>
          <w:rFonts w:ascii="Times New Roman" w:hAnsi="Times New Roman" w:cs="Times New Roman"/>
          <w:sz w:val="24"/>
          <w:szCs w:val="28"/>
        </w:rPr>
        <w:t xml:space="preserve">tika uzsākta </w:t>
      </w:r>
      <w:r w:rsidRPr="00B76262">
        <w:rPr>
          <w:rFonts w:ascii="Times New Roman" w:hAnsi="Times New Roman" w:cs="Times New Roman"/>
          <w:sz w:val="24"/>
          <w:szCs w:val="28"/>
        </w:rPr>
        <w:t xml:space="preserve">ar mērķi </w:t>
      </w:r>
      <w:r>
        <w:rPr>
          <w:rFonts w:ascii="Times New Roman" w:hAnsi="Times New Roman" w:cs="Times New Roman"/>
          <w:sz w:val="24"/>
          <w:szCs w:val="28"/>
        </w:rPr>
        <w:t>sekmēt jauniešu nodarbinātību un</w:t>
      </w:r>
      <w:r w:rsidRPr="00B76262">
        <w:rPr>
          <w:rFonts w:ascii="Times New Roman" w:hAnsi="Times New Roman" w:cs="Times New Roman"/>
          <w:sz w:val="24"/>
          <w:szCs w:val="28"/>
        </w:rPr>
        <w:t xml:space="preserve"> </w:t>
      </w:r>
      <w:r>
        <w:rPr>
          <w:rFonts w:ascii="Times New Roman" w:hAnsi="Times New Roman" w:cs="Times New Roman"/>
          <w:sz w:val="24"/>
          <w:szCs w:val="28"/>
        </w:rPr>
        <w:t xml:space="preserve">to </w:t>
      </w:r>
      <w:r w:rsidRPr="00B76262">
        <w:rPr>
          <w:rFonts w:ascii="Times New Roman" w:hAnsi="Times New Roman" w:cs="Times New Roman"/>
          <w:sz w:val="24"/>
          <w:szCs w:val="28"/>
        </w:rPr>
        <w:t>konkurētspēju darba tirgū.</w:t>
      </w:r>
      <w:r>
        <w:rPr>
          <w:rFonts w:ascii="Times New Roman" w:hAnsi="Times New Roman" w:cs="Times New Roman"/>
          <w:sz w:val="24"/>
          <w:szCs w:val="28"/>
        </w:rPr>
        <w:t xml:space="preserve"> Gada </w:t>
      </w:r>
      <w:r w:rsidRPr="009D1ED1">
        <w:rPr>
          <w:rFonts w:ascii="Times New Roman" w:hAnsi="Times New Roman" w:cs="Times New Roman"/>
          <w:sz w:val="24"/>
          <w:szCs w:val="28"/>
        </w:rPr>
        <w:t xml:space="preserve">vai pusotra gada laikā bez maksas jauniešiem vecumā no 17 līdz 29 gadiem ir iespēja </w:t>
      </w:r>
      <w:r w:rsidRPr="006C1075">
        <w:rPr>
          <w:rFonts w:ascii="Times New Roman" w:hAnsi="Times New Roman" w:cs="Times New Roman"/>
          <w:sz w:val="24"/>
          <w:szCs w:val="28"/>
        </w:rPr>
        <w:t>iegūt darba tirgū pieprasītu profesiju</w:t>
      </w:r>
      <w:r w:rsidRPr="006C1075">
        <w:rPr>
          <w:rFonts w:ascii="Times New Roman" w:hAnsi="Times New Roman" w:cs="Times New Roman"/>
          <w:vertAlign w:val="superscript"/>
        </w:rPr>
        <w:footnoteReference w:id="9"/>
      </w:r>
      <w:r w:rsidRPr="006C1075">
        <w:rPr>
          <w:rFonts w:ascii="Times New Roman" w:hAnsi="Times New Roman" w:cs="Times New Roman"/>
          <w:sz w:val="24"/>
          <w:szCs w:val="28"/>
        </w:rPr>
        <w:t xml:space="preserve">. </w:t>
      </w:r>
      <w:r w:rsidR="00E81CD3" w:rsidRPr="006C1075">
        <w:rPr>
          <w:rFonts w:ascii="Times New Roman" w:hAnsi="Times New Roman" w:cs="Times New Roman"/>
          <w:sz w:val="24"/>
          <w:szCs w:val="28"/>
        </w:rPr>
        <w:t>Jauniešu garantijas projekta ietvaros noslēdzošā uzņemšana notika 2019.gada septembrī, attiecīgi tas tiks īstenots līdz 2021</w:t>
      </w:r>
      <w:r w:rsidRPr="006C1075">
        <w:rPr>
          <w:rFonts w:ascii="Times New Roman" w:hAnsi="Times New Roman" w:cs="Times New Roman"/>
          <w:sz w:val="24"/>
          <w:szCs w:val="28"/>
        </w:rPr>
        <w:t>.gada</w:t>
      </w:r>
      <w:r w:rsidR="00E81CD3" w:rsidRPr="006C1075">
        <w:rPr>
          <w:rFonts w:ascii="Times New Roman" w:hAnsi="Times New Roman" w:cs="Times New Roman"/>
          <w:sz w:val="24"/>
          <w:szCs w:val="28"/>
        </w:rPr>
        <w:t xml:space="preserve"> 31.janvārim</w:t>
      </w:r>
      <w:r w:rsidRPr="006C1075">
        <w:rPr>
          <w:rFonts w:ascii="Times New Roman" w:hAnsi="Times New Roman" w:cs="Times New Roman"/>
          <w:sz w:val="24"/>
          <w:szCs w:val="28"/>
        </w:rPr>
        <w:t xml:space="preserve">. </w:t>
      </w:r>
    </w:p>
    <w:p w14:paraId="39C87278" w14:textId="2A2D5FCA" w:rsidR="00CF01AA" w:rsidRDefault="00CF01AA" w:rsidP="004E229C">
      <w:pPr>
        <w:spacing w:after="120" w:line="276" w:lineRule="auto"/>
        <w:jc w:val="both"/>
        <w:rPr>
          <w:rFonts w:ascii="Times New Roman" w:hAnsi="Times New Roman" w:cs="Times New Roman"/>
          <w:sz w:val="24"/>
          <w:szCs w:val="28"/>
        </w:rPr>
      </w:pPr>
      <w:r w:rsidRPr="006C1075">
        <w:rPr>
          <w:rFonts w:ascii="Times New Roman" w:hAnsi="Times New Roman" w:cs="Times New Roman"/>
          <w:sz w:val="24"/>
          <w:szCs w:val="28"/>
        </w:rPr>
        <w:t xml:space="preserve">Profesionālās izglītības programmas Jauniešu garantijas ietvaros piedāvā gan valsts dibinātās, gan pašvaldību izglītības iestādes. No </w:t>
      </w:r>
      <w:r w:rsidR="00B849B6" w:rsidRPr="006C1075">
        <w:rPr>
          <w:rFonts w:ascii="Times New Roman" w:hAnsi="Times New Roman" w:cs="Times New Roman"/>
          <w:sz w:val="24"/>
          <w:szCs w:val="28"/>
        </w:rPr>
        <w:t>19 833 izglītojamiem, kuri</w:t>
      </w:r>
      <w:r w:rsidRPr="006C1075">
        <w:rPr>
          <w:rFonts w:ascii="Times New Roman" w:hAnsi="Times New Roman" w:cs="Times New Roman"/>
          <w:sz w:val="24"/>
          <w:szCs w:val="28"/>
        </w:rPr>
        <w:t xml:space="preserve"> mācās IZM padotībā esošās </w:t>
      </w:r>
      <w:r w:rsidRPr="006C1075">
        <w:rPr>
          <w:rFonts w:ascii="Times New Roman" w:hAnsi="Times New Roman" w:cs="Times New Roman"/>
          <w:sz w:val="24"/>
          <w:szCs w:val="28"/>
        </w:rPr>
        <w:lastRenderedPageBreak/>
        <w:t>profesio</w:t>
      </w:r>
      <w:r w:rsidR="00B849B6" w:rsidRPr="006C1075">
        <w:rPr>
          <w:rFonts w:ascii="Times New Roman" w:hAnsi="Times New Roman" w:cs="Times New Roman"/>
          <w:sz w:val="24"/>
          <w:szCs w:val="28"/>
        </w:rPr>
        <w:t>nālās izglītības iestādēs, 884 izglītojamie jeb 4,5</w:t>
      </w:r>
      <w:r w:rsidRPr="006C1075">
        <w:rPr>
          <w:rFonts w:ascii="Times New Roman" w:hAnsi="Times New Roman" w:cs="Times New Roman"/>
          <w:sz w:val="24"/>
          <w:szCs w:val="28"/>
        </w:rPr>
        <w:t xml:space="preserve">%, profesionālo izglītību apgūst Jauniešu garantijas ietvaros. </w:t>
      </w:r>
      <w:r w:rsidR="00B849B6" w:rsidRPr="006C1075">
        <w:rPr>
          <w:rFonts w:ascii="Times New Roman" w:hAnsi="Times New Roman" w:cs="Times New Roman"/>
          <w:sz w:val="24"/>
          <w:szCs w:val="28"/>
        </w:rPr>
        <w:t>18 838 jeb 95,0</w:t>
      </w:r>
      <w:r w:rsidRPr="006C1075">
        <w:rPr>
          <w:rFonts w:ascii="Times New Roman" w:hAnsi="Times New Roman" w:cs="Times New Roman"/>
          <w:sz w:val="24"/>
          <w:szCs w:val="28"/>
        </w:rPr>
        <w:t xml:space="preserve">% izglītojamie mācās par valsts </w:t>
      </w:r>
      <w:r w:rsidR="00B849B6" w:rsidRPr="006C1075">
        <w:rPr>
          <w:rFonts w:ascii="Times New Roman" w:hAnsi="Times New Roman" w:cs="Times New Roman"/>
          <w:sz w:val="24"/>
          <w:szCs w:val="28"/>
        </w:rPr>
        <w:t>budžeta līdzekļiem, savukārt 111 jeb 0,6</w:t>
      </w:r>
      <w:r w:rsidRPr="006C1075">
        <w:rPr>
          <w:rFonts w:ascii="Times New Roman" w:hAnsi="Times New Roman" w:cs="Times New Roman"/>
          <w:sz w:val="24"/>
          <w:szCs w:val="28"/>
        </w:rPr>
        <w:t>% izglītojamie profesionālās izglītības programmas apgūst par saviem līdzekļiem</w:t>
      </w:r>
      <w:r w:rsidRPr="006C1075">
        <w:rPr>
          <w:rStyle w:val="FootnoteReference"/>
          <w:rFonts w:ascii="Times New Roman" w:hAnsi="Times New Roman" w:cs="Times New Roman"/>
          <w:sz w:val="24"/>
          <w:szCs w:val="28"/>
        </w:rPr>
        <w:footnoteReference w:id="10"/>
      </w:r>
      <w:r w:rsidRPr="006C1075">
        <w:rPr>
          <w:rFonts w:ascii="Times New Roman" w:hAnsi="Times New Roman" w:cs="Times New Roman"/>
          <w:sz w:val="24"/>
          <w:szCs w:val="28"/>
        </w:rPr>
        <w:t>.</w:t>
      </w:r>
    </w:p>
    <w:p w14:paraId="59DC2941" w14:textId="1175B223" w:rsidR="00CF01AA" w:rsidRDefault="00CF01AA" w:rsidP="004E229C">
      <w:pPr>
        <w:spacing w:after="120" w:line="276" w:lineRule="auto"/>
        <w:jc w:val="both"/>
        <w:rPr>
          <w:rFonts w:ascii="Times New Roman" w:hAnsi="Times New Roman" w:cs="Times New Roman"/>
          <w:sz w:val="24"/>
          <w:szCs w:val="28"/>
        </w:rPr>
      </w:pPr>
      <w:r>
        <w:rPr>
          <w:rFonts w:ascii="Times New Roman" w:hAnsi="Times New Roman" w:cs="Times New Roman"/>
          <w:sz w:val="24"/>
          <w:szCs w:val="28"/>
        </w:rPr>
        <w:t>Ņemot vērā ESF sniegto atbalstu profesionālās izglītības programmu apguvē, būtu izvērtējamas izglītības iestāžu iespējas arī pēc Jauniešu garantijas projekta īstenošanas nodrošināt arodizglītības (viengadīgo) un profesionālās vidējās (pusotra gada) izglītības programmu īstenošanu, jo šīs izglītības programmas, elastīgi reaģējot uz izmaiņām darba tirgū, īsā laikā nodrošina nozarēm nepieciešamo speciālistu sagatavošanu. D</w:t>
      </w:r>
      <w:r w:rsidRPr="002B713E">
        <w:rPr>
          <w:rFonts w:ascii="Times New Roman" w:hAnsi="Times New Roman" w:cs="Times New Roman"/>
          <w:sz w:val="24"/>
          <w:szCs w:val="28"/>
        </w:rPr>
        <w:t>izaina un mākslas jomā izglītības programmās, kurās izglītojamie mācības uzsāk pēc vidējās izglītības, īstenošanas ilgums ir divi gadi, mūzikā – trīs gadi.</w:t>
      </w:r>
      <w:r>
        <w:rPr>
          <w:rFonts w:ascii="Times New Roman" w:hAnsi="Times New Roman" w:cs="Times New Roman"/>
          <w:sz w:val="24"/>
          <w:szCs w:val="28"/>
        </w:rPr>
        <w:t xml:space="preserve"> Turklāt minētās izglītības programmas jauniešiem no jauna ļauj atgriezties izglītības sistēmā un iekļauties darba tirgū. Ņemot vērā, ka tieši pašvaldības vislabāk pārzina situāciju reģionos un vietējā darba tirgus pieprasījumu, pašvaldību un citu dibinātāju izglītības iestādes varētu sagatavot tam atbilstošu viengadīgo un pusotra gada profesionālās izglītības programmu piedāvājumu.</w:t>
      </w:r>
    </w:p>
    <w:p w14:paraId="0744AAEE" w14:textId="2AB0132C" w:rsidR="008E0176" w:rsidRPr="003F5015" w:rsidRDefault="008E0176" w:rsidP="00A510E4">
      <w:pPr>
        <w:pStyle w:val="Heading2"/>
        <w:numPr>
          <w:ilvl w:val="1"/>
          <w:numId w:val="3"/>
        </w:numPr>
        <w:spacing w:before="0" w:after="120" w:line="276" w:lineRule="auto"/>
        <w:jc w:val="center"/>
        <w:rPr>
          <w:rFonts w:ascii="Times New Roman" w:hAnsi="Times New Roman" w:cs="Times New Roman"/>
          <w:b/>
          <w:color w:val="000000" w:themeColor="text1"/>
          <w:sz w:val="24"/>
          <w:szCs w:val="24"/>
        </w:rPr>
      </w:pPr>
      <w:bookmarkStart w:id="14" w:name="_Toc53136188"/>
      <w:r w:rsidRPr="003F5015">
        <w:rPr>
          <w:rFonts w:ascii="Times New Roman" w:hAnsi="Times New Roman" w:cs="Times New Roman"/>
          <w:b/>
          <w:color w:val="000000" w:themeColor="text1"/>
          <w:sz w:val="24"/>
          <w:szCs w:val="24"/>
        </w:rPr>
        <w:t>Absolventu nodarbinātības monitoring</w:t>
      </w:r>
      <w:r w:rsidR="00CA7162">
        <w:rPr>
          <w:rFonts w:ascii="Times New Roman" w:hAnsi="Times New Roman" w:cs="Times New Roman"/>
          <w:b/>
          <w:color w:val="000000" w:themeColor="text1"/>
          <w:sz w:val="24"/>
          <w:szCs w:val="24"/>
        </w:rPr>
        <w:t>a ieviešana</w:t>
      </w:r>
      <w:bookmarkEnd w:id="14"/>
    </w:p>
    <w:p w14:paraId="705E1C6A" w14:textId="77777777" w:rsidR="008E0176" w:rsidRPr="003F5015" w:rsidRDefault="008E0176" w:rsidP="004E229C">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NEP precīzāk varētu prognozēt </w:t>
      </w:r>
      <w:r>
        <w:rPr>
          <w:rFonts w:ascii="Times New Roman" w:eastAsia="MS PGothic" w:hAnsi="Times New Roman" w:cs="Times New Roman"/>
          <w:color w:val="000000"/>
          <w:kern w:val="24"/>
          <w:sz w:val="24"/>
          <w:szCs w:val="24"/>
        </w:rPr>
        <w:t xml:space="preserve">nozarēm nepieciešamo izglītojamo skaitu profesionālās </w:t>
      </w:r>
      <w:r w:rsidRPr="00D16BD7">
        <w:rPr>
          <w:rFonts w:ascii="Times New Roman" w:hAnsi="Times New Roman" w:cs="Times New Roman"/>
          <w:sz w:val="24"/>
          <w:szCs w:val="24"/>
        </w:rPr>
        <w:t>i</w:t>
      </w:r>
      <w:r w:rsidRPr="00D16BD7">
        <w:rPr>
          <w:rFonts w:ascii="Times New Roman" w:eastAsia="MS PGothic" w:hAnsi="Times New Roman" w:cs="Times New Roman"/>
          <w:color w:val="000000"/>
          <w:kern w:val="24"/>
          <w:sz w:val="24"/>
          <w:szCs w:val="24"/>
        </w:rPr>
        <w:t>zglītīb</w:t>
      </w:r>
      <w:r>
        <w:rPr>
          <w:rFonts w:ascii="Times New Roman" w:eastAsia="MS PGothic" w:hAnsi="Times New Roman" w:cs="Times New Roman"/>
          <w:color w:val="000000"/>
          <w:kern w:val="24"/>
          <w:sz w:val="24"/>
          <w:szCs w:val="24"/>
        </w:rPr>
        <w:t xml:space="preserve">as programmās </w:t>
      </w:r>
      <w:r>
        <w:rPr>
          <w:rFonts w:ascii="Times New Roman" w:eastAsia="Times New Roman" w:hAnsi="Times New Roman" w:cs="Times New Roman"/>
          <w:sz w:val="24"/>
          <w:szCs w:val="24"/>
        </w:rPr>
        <w:t xml:space="preserve">un IZM varētu izvērtēt </w:t>
      </w:r>
      <w:r w:rsidRPr="006F55F4">
        <w:rPr>
          <w:rFonts w:ascii="Times New Roman" w:hAnsi="Times New Roman" w:cs="Times New Roman"/>
          <w:sz w:val="24"/>
          <w:szCs w:val="24"/>
        </w:rPr>
        <w:t>izglītības iestāžu uzņemšanas plānus profesionālās izglītības programmās un attiecīgo nozaru speciālistu nepieciešamību darba tirgū</w:t>
      </w:r>
      <w:r>
        <w:rPr>
          <w:rFonts w:ascii="Times New Roman" w:hAnsi="Times New Roman" w:cs="Times New Roman"/>
          <w:sz w:val="24"/>
          <w:szCs w:val="24"/>
        </w:rPr>
        <w:t>, IZM darbības programmas “Izaugsme un nodarbinātība”</w:t>
      </w:r>
      <w:r w:rsidRPr="00C93FAC">
        <w:rPr>
          <w:rFonts w:ascii="Times New Roman" w:hAnsi="Times New Roman" w:cs="Times New Roman"/>
          <w:sz w:val="24"/>
          <w:szCs w:val="24"/>
        </w:rPr>
        <w:t xml:space="preserve"> 8.</w:t>
      </w:r>
      <w:r>
        <w:rPr>
          <w:rFonts w:ascii="Times New Roman" w:hAnsi="Times New Roman" w:cs="Times New Roman"/>
          <w:sz w:val="24"/>
          <w:szCs w:val="24"/>
        </w:rPr>
        <w:t>3.6. specifiskā atbalsta mērķa “</w:t>
      </w:r>
      <w:r w:rsidRPr="00C93FAC">
        <w:rPr>
          <w:rFonts w:ascii="Times New Roman" w:hAnsi="Times New Roman" w:cs="Times New Roman"/>
          <w:sz w:val="24"/>
          <w:szCs w:val="24"/>
        </w:rPr>
        <w:t>Ieviest izglītības</w:t>
      </w:r>
      <w:r>
        <w:rPr>
          <w:rFonts w:ascii="Times New Roman" w:hAnsi="Times New Roman" w:cs="Times New Roman"/>
          <w:sz w:val="24"/>
          <w:szCs w:val="24"/>
        </w:rPr>
        <w:t xml:space="preserve"> kvalitātes monitoringa sistēmu” 8.3.6.2. pasākuma “</w:t>
      </w:r>
      <w:r w:rsidRPr="00C93FAC">
        <w:rPr>
          <w:rFonts w:ascii="Times New Roman" w:hAnsi="Times New Roman" w:cs="Times New Roman"/>
          <w:sz w:val="24"/>
          <w:szCs w:val="24"/>
        </w:rPr>
        <w:t>Izglītības kvalitāt</w:t>
      </w:r>
      <w:r>
        <w:rPr>
          <w:rFonts w:ascii="Times New Roman" w:hAnsi="Times New Roman" w:cs="Times New Roman"/>
          <w:sz w:val="24"/>
          <w:szCs w:val="24"/>
        </w:rPr>
        <w:t>es monitoringa sistēmas izveide”</w:t>
      </w:r>
      <w:r w:rsidRPr="00C93FAC">
        <w:rPr>
          <w:rFonts w:ascii="Times New Roman" w:hAnsi="Times New Roman" w:cs="Times New Roman"/>
          <w:sz w:val="24"/>
          <w:szCs w:val="24"/>
        </w:rPr>
        <w:t xml:space="preserve"> </w:t>
      </w:r>
      <w:r>
        <w:rPr>
          <w:rFonts w:ascii="Times New Roman" w:hAnsi="Times New Roman" w:cs="Times New Roman"/>
          <w:sz w:val="24"/>
          <w:szCs w:val="24"/>
        </w:rPr>
        <w:t xml:space="preserve">projekta ietvaros </w:t>
      </w:r>
      <w:r w:rsidRPr="003F5015">
        <w:rPr>
          <w:rFonts w:ascii="Times New Roman" w:eastAsia="Times New Roman" w:hAnsi="Times New Roman" w:cs="Times New Roman"/>
          <w:sz w:val="24"/>
          <w:szCs w:val="24"/>
        </w:rPr>
        <w:t xml:space="preserve">izstrādās monitoringa sistēmu par profesionālo vidējās izglītības iestāžu absolventu turpmākajām gaitām, t.sk. par nodarbinātību un ienākumiem. </w:t>
      </w:r>
    </w:p>
    <w:p w14:paraId="6574F1F0" w14:textId="77777777" w:rsidR="008E0176" w:rsidRDefault="008E0176" w:rsidP="004E229C">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Līdzīga sistēma jau ieviesta augstākajā izglītībā, izveidots </w:t>
      </w:r>
      <w:r w:rsidRPr="00C93FAC">
        <w:rPr>
          <w:rFonts w:ascii="Times New Roman" w:eastAsia="Times New Roman" w:hAnsi="Times New Roman" w:cs="Times New Roman"/>
          <w:sz w:val="24"/>
          <w:szCs w:val="24"/>
        </w:rPr>
        <w:t xml:space="preserve">augstskolu studējošo un absolventu reģistrs, kurā </w:t>
      </w:r>
      <w:r>
        <w:rPr>
          <w:rFonts w:ascii="Times New Roman" w:eastAsia="Times New Roman" w:hAnsi="Times New Roman" w:cs="Times New Roman"/>
          <w:sz w:val="24"/>
          <w:szCs w:val="24"/>
        </w:rPr>
        <w:t>tiek iekļauti arī nepersonificēti statistikas dati</w:t>
      </w:r>
      <w:r w:rsidRPr="00C93FAC">
        <w:rPr>
          <w:rFonts w:ascii="Times New Roman" w:eastAsia="Times New Roman" w:hAnsi="Times New Roman" w:cs="Times New Roman"/>
          <w:sz w:val="24"/>
          <w:szCs w:val="24"/>
        </w:rPr>
        <w:t xml:space="preserve"> par absolventu nodarbinātību, ienākumiem, bezdarbnieka statusa piešķiršanu un daba meklētāja statusu.</w:t>
      </w:r>
      <w:r>
        <w:rPr>
          <w:rFonts w:ascii="Times New Roman" w:eastAsia="Times New Roman" w:hAnsi="Times New Roman" w:cs="Times New Roman"/>
          <w:sz w:val="24"/>
          <w:szCs w:val="24"/>
        </w:rPr>
        <w:t xml:space="preserve"> Šāda monitoringa sistēma nepieciešama lai: </w:t>
      </w:r>
    </w:p>
    <w:p w14:paraId="52725F86" w14:textId="77777777" w:rsidR="008E0176" w:rsidRPr="005342F8" w:rsidRDefault="008E0176" w:rsidP="00A510E4">
      <w:pPr>
        <w:pStyle w:val="ListParagraph"/>
        <w:numPr>
          <w:ilvl w:val="0"/>
          <w:numId w:val="2"/>
        </w:numPr>
        <w:spacing w:after="120" w:line="276" w:lineRule="auto"/>
        <w:ind w:left="714" w:hanging="357"/>
        <w:contextualSpacing w:val="0"/>
        <w:jc w:val="both"/>
        <w:rPr>
          <w:rFonts w:ascii="Times New Roman" w:eastAsia="Times New Roman" w:hAnsi="Times New Roman" w:cs="Times New Roman"/>
          <w:sz w:val="24"/>
          <w:szCs w:val="24"/>
        </w:rPr>
      </w:pPr>
      <w:r w:rsidRPr="005342F8">
        <w:rPr>
          <w:rFonts w:ascii="Times New Roman" w:eastAsia="Times New Roman" w:hAnsi="Times New Roman" w:cs="Times New Roman"/>
          <w:sz w:val="24"/>
          <w:szCs w:val="24"/>
        </w:rPr>
        <w:t>prognozētu darba tirgū nākotnē nepieciešamās profesijas un prasmes dažādās nozarēs.</w:t>
      </w:r>
    </w:p>
    <w:p w14:paraId="08C781A2" w14:textId="77777777" w:rsidR="008E0176" w:rsidRPr="005342F8" w:rsidRDefault="008E0176" w:rsidP="00A510E4">
      <w:pPr>
        <w:pStyle w:val="ListParagraph"/>
        <w:numPr>
          <w:ilvl w:val="0"/>
          <w:numId w:val="2"/>
        </w:numPr>
        <w:spacing w:after="120" w:line="276" w:lineRule="auto"/>
        <w:contextualSpacing w:val="0"/>
        <w:jc w:val="both"/>
        <w:rPr>
          <w:rFonts w:ascii="Times New Roman" w:eastAsia="Times New Roman" w:hAnsi="Times New Roman" w:cs="Times New Roman"/>
          <w:sz w:val="24"/>
          <w:szCs w:val="24"/>
        </w:rPr>
      </w:pPr>
      <w:r w:rsidRPr="005342F8">
        <w:rPr>
          <w:rFonts w:ascii="Times New Roman" w:eastAsia="Times New Roman" w:hAnsi="Times New Roman" w:cs="Times New Roman"/>
          <w:sz w:val="24"/>
          <w:szCs w:val="24"/>
        </w:rPr>
        <w:t>plānotu izglītojamo vietu skaitu profesionālās izglītības programmās, kas tiek finansētas no valsts budžeta.</w:t>
      </w:r>
    </w:p>
    <w:p w14:paraId="68C4D12E" w14:textId="77777777" w:rsidR="008E0176" w:rsidRPr="005342F8" w:rsidRDefault="008E0176" w:rsidP="00A510E4">
      <w:pPr>
        <w:pStyle w:val="ListParagraph"/>
        <w:numPr>
          <w:ilvl w:val="0"/>
          <w:numId w:val="2"/>
        </w:numPr>
        <w:spacing w:after="120" w:line="276" w:lineRule="auto"/>
        <w:contextualSpacing w:val="0"/>
        <w:jc w:val="both"/>
        <w:rPr>
          <w:rFonts w:ascii="Times New Roman" w:eastAsia="Times New Roman" w:hAnsi="Times New Roman" w:cs="Times New Roman"/>
          <w:sz w:val="24"/>
          <w:szCs w:val="24"/>
        </w:rPr>
      </w:pPr>
      <w:r w:rsidRPr="005342F8">
        <w:rPr>
          <w:rFonts w:ascii="Times New Roman" w:eastAsia="Times New Roman" w:hAnsi="Times New Roman" w:cs="Times New Roman"/>
          <w:sz w:val="24"/>
          <w:szCs w:val="24"/>
        </w:rPr>
        <w:t>novērtētu profesionālās izglītības iestāžu darbību speciālistu sagatavošanā, kuru prasmes atbilst darba tirgus vajadzībām, salīdzinot izglītības iestādes ar līdzīgu profesionālās izglītības programmu piedāvājumu.</w:t>
      </w:r>
    </w:p>
    <w:p w14:paraId="6199CDCA" w14:textId="77777777" w:rsidR="008E0176" w:rsidRDefault="008E0176" w:rsidP="00A510E4">
      <w:pPr>
        <w:pStyle w:val="ListParagraph"/>
        <w:numPr>
          <w:ilvl w:val="0"/>
          <w:numId w:val="2"/>
        </w:numPr>
        <w:spacing w:after="120" w:line="276" w:lineRule="auto"/>
        <w:ind w:left="714" w:hanging="357"/>
        <w:contextualSpacing w:val="0"/>
        <w:jc w:val="both"/>
        <w:rPr>
          <w:rFonts w:ascii="Times New Roman" w:eastAsia="Times New Roman" w:hAnsi="Times New Roman" w:cs="Times New Roman"/>
          <w:sz w:val="24"/>
          <w:szCs w:val="24"/>
        </w:rPr>
      </w:pPr>
      <w:r w:rsidRPr="005342F8">
        <w:rPr>
          <w:rFonts w:ascii="Times New Roman" w:eastAsia="Times New Roman" w:hAnsi="Times New Roman" w:cs="Times New Roman"/>
          <w:sz w:val="24"/>
          <w:szCs w:val="24"/>
        </w:rPr>
        <w:t>dotu papildus informāciju jauniešiem par izglītības iespējām, sniegtu priekšstatu par sev interesējošajām izglītības programmām un nodarbinātības perspektīvām attiecīgajā specialitātē.</w:t>
      </w:r>
    </w:p>
    <w:p w14:paraId="2B6971EF" w14:textId="1C67C2B4" w:rsidR="008E0176" w:rsidRPr="006C1075" w:rsidRDefault="008E0176" w:rsidP="004E229C">
      <w:pPr>
        <w:spacing w:after="120" w:line="276" w:lineRule="auto"/>
        <w:jc w:val="both"/>
        <w:rPr>
          <w:rFonts w:ascii="Times New Roman" w:eastAsia="Times New Roman" w:hAnsi="Times New Roman" w:cs="Times New Roman"/>
          <w:sz w:val="24"/>
          <w:szCs w:val="24"/>
        </w:rPr>
      </w:pPr>
      <w:r w:rsidRPr="00304D6C">
        <w:rPr>
          <w:rFonts w:ascii="Times New Roman" w:eastAsia="Times New Roman" w:hAnsi="Times New Roman" w:cs="Times New Roman"/>
          <w:sz w:val="24"/>
          <w:szCs w:val="24"/>
        </w:rPr>
        <w:t xml:space="preserve">Saskaņā ar Ministru kabineta 2017. gada 5. septembra sēdes protokola Nr. 43 14.§ 2. punktu </w:t>
      </w:r>
      <w:r>
        <w:rPr>
          <w:rFonts w:ascii="Times New Roman" w:eastAsia="Times New Roman" w:hAnsi="Times New Roman" w:cs="Times New Roman"/>
          <w:sz w:val="24"/>
          <w:szCs w:val="24"/>
        </w:rPr>
        <w:t>IZM</w:t>
      </w:r>
      <w:r w:rsidRPr="00304D6C">
        <w:rPr>
          <w:rFonts w:ascii="Times New Roman" w:eastAsia="Times New Roman" w:hAnsi="Times New Roman" w:cs="Times New Roman"/>
          <w:sz w:val="24"/>
          <w:szCs w:val="24"/>
        </w:rPr>
        <w:t xml:space="preserve"> līdz 2020. gada 31. decembrim jānodrošina monitoringa datu iegūšanu par profesionālo vidējās izglītības iestāžu absolventu nodarbinātību un ienākumiem</w:t>
      </w:r>
      <w:r>
        <w:rPr>
          <w:rFonts w:ascii="Times New Roman" w:eastAsia="Times New Roman" w:hAnsi="Times New Roman" w:cs="Times New Roman"/>
          <w:sz w:val="24"/>
          <w:szCs w:val="24"/>
        </w:rPr>
        <w:t xml:space="preserve">. </w:t>
      </w:r>
    </w:p>
    <w:p w14:paraId="6E277D46" w14:textId="044AA8DC" w:rsidR="00CF01AA" w:rsidRPr="003F5015" w:rsidRDefault="00CF01AA" w:rsidP="00A510E4">
      <w:pPr>
        <w:pStyle w:val="Heading2"/>
        <w:numPr>
          <w:ilvl w:val="1"/>
          <w:numId w:val="3"/>
        </w:numPr>
        <w:spacing w:before="0" w:after="120" w:line="276" w:lineRule="auto"/>
        <w:jc w:val="center"/>
        <w:rPr>
          <w:rFonts w:ascii="Times New Roman" w:hAnsi="Times New Roman" w:cs="Times New Roman"/>
          <w:b/>
          <w:color w:val="000000" w:themeColor="text1"/>
          <w:sz w:val="24"/>
          <w:szCs w:val="24"/>
        </w:rPr>
      </w:pPr>
      <w:bookmarkStart w:id="15" w:name="_Toc53136189"/>
      <w:r w:rsidRPr="003F5015">
        <w:rPr>
          <w:rFonts w:ascii="Times New Roman" w:hAnsi="Times New Roman" w:cs="Times New Roman"/>
          <w:b/>
          <w:color w:val="000000" w:themeColor="text1"/>
          <w:sz w:val="24"/>
          <w:szCs w:val="24"/>
        </w:rPr>
        <w:lastRenderedPageBreak/>
        <w:t>Snieguma finansējuma ieviešana</w:t>
      </w:r>
      <w:bookmarkEnd w:id="15"/>
    </w:p>
    <w:p w14:paraId="7BFDDE63" w14:textId="77777777" w:rsidR="00CF01AA" w:rsidRPr="00AA56C5" w:rsidRDefault="00CF01AA" w:rsidP="004E229C">
      <w:pPr>
        <w:spacing w:after="120" w:line="276" w:lineRule="auto"/>
        <w:jc w:val="both"/>
        <w:rPr>
          <w:rFonts w:ascii="Times New Roman" w:hAnsi="Times New Roman" w:cs="Times New Roman"/>
          <w:sz w:val="24"/>
          <w:szCs w:val="28"/>
        </w:rPr>
      </w:pPr>
      <w:r w:rsidRPr="00AA56C5">
        <w:rPr>
          <w:rFonts w:ascii="Times New Roman" w:hAnsi="Times New Roman" w:cs="Times New Roman"/>
          <w:sz w:val="24"/>
          <w:szCs w:val="28"/>
        </w:rPr>
        <w:t xml:space="preserve">Lai veicinātu profesionālās izglītības iestāžu </w:t>
      </w:r>
      <w:r>
        <w:rPr>
          <w:rFonts w:ascii="Times New Roman" w:hAnsi="Times New Roman" w:cs="Times New Roman"/>
          <w:sz w:val="24"/>
          <w:szCs w:val="28"/>
        </w:rPr>
        <w:t>virzību</w:t>
      </w:r>
      <w:r w:rsidRPr="00AA56C5">
        <w:rPr>
          <w:rFonts w:ascii="Times New Roman" w:hAnsi="Times New Roman" w:cs="Times New Roman"/>
          <w:sz w:val="24"/>
          <w:szCs w:val="28"/>
        </w:rPr>
        <w:t xml:space="preserve"> uz attīstību </w:t>
      </w:r>
      <w:r>
        <w:rPr>
          <w:rFonts w:ascii="Times New Roman" w:hAnsi="Times New Roman" w:cs="Times New Roman"/>
          <w:sz w:val="24"/>
          <w:szCs w:val="28"/>
        </w:rPr>
        <w:t>un kvalitatīvu piedāvājumu,</w:t>
      </w:r>
      <w:r w:rsidRPr="00AA56C5">
        <w:rPr>
          <w:rFonts w:ascii="Times New Roman" w:hAnsi="Times New Roman" w:cs="Times New Roman"/>
          <w:sz w:val="24"/>
          <w:szCs w:val="28"/>
        </w:rPr>
        <w:t xml:space="preserve"> papildus bāzes finansējumam par viena izglītojamā izmaksām konkrētu izglītības temat</w:t>
      </w:r>
      <w:r>
        <w:rPr>
          <w:rFonts w:ascii="Times New Roman" w:hAnsi="Times New Roman" w:cs="Times New Roman"/>
          <w:sz w:val="24"/>
          <w:szCs w:val="28"/>
        </w:rPr>
        <w:t>isko jomu izglītības programmās</w:t>
      </w:r>
      <w:r w:rsidRPr="00AA56C5">
        <w:rPr>
          <w:rFonts w:ascii="Times New Roman" w:hAnsi="Times New Roman" w:cs="Times New Roman"/>
          <w:sz w:val="24"/>
          <w:szCs w:val="28"/>
        </w:rPr>
        <w:t xml:space="preserve"> nepieciešams </w:t>
      </w:r>
      <w:r>
        <w:rPr>
          <w:rFonts w:ascii="Times New Roman" w:hAnsi="Times New Roman" w:cs="Times New Roman"/>
          <w:sz w:val="24"/>
          <w:szCs w:val="28"/>
        </w:rPr>
        <w:t>ieviest</w:t>
      </w:r>
      <w:r w:rsidRPr="00AA56C5">
        <w:rPr>
          <w:rFonts w:ascii="Times New Roman" w:hAnsi="Times New Roman" w:cs="Times New Roman"/>
          <w:sz w:val="24"/>
          <w:szCs w:val="28"/>
        </w:rPr>
        <w:t xml:space="preserve"> </w:t>
      </w:r>
      <w:r w:rsidRPr="00A777FB">
        <w:rPr>
          <w:rFonts w:ascii="Times New Roman" w:hAnsi="Times New Roman" w:cs="Times New Roman"/>
          <w:b/>
          <w:sz w:val="24"/>
          <w:szCs w:val="28"/>
        </w:rPr>
        <w:t>snieguma finansējumu</w:t>
      </w:r>
      <w:r w:rsidRPr="00AA56C5">
        <w:rPr>
          <w:rFonts w:ascii="Times New Roman" w:hAnsi="Times New Roman" w:cs="Times New Roman"/>
          <w:sz w:val="24"/>
          <w:szCs w:val="28"/>
        </w:rPr>
        <w:t>, kas paredzētu finansējuma piešķiršanu iestādēm par konkrētu rezultātu jeb snieg</w:t>
      </w:r>
      <w:r>
        <w:rPr>
          <w:rFonts w:ascii="Times New Roman" w:hAnsi="Times New Roman" w:cs="Times New Roman"/>
          <w:sz w:val="24"/>
          <w:szCs w:val="28"/>
        </w:rPr>
        <w:t>uma uzrādīšanu iestādes darbībā.</w:t>
      </w:r>
    </w:p>
    <w:p w14:paraId="554974D3" w14:textId="77777777" w:rsidR="00CF01AA" w:rsidRPr="00AA56C5" w:rsidRDefault="00CF01AA" w:rsidP="004E229C">
      <w:pPr>
        <w:spacing w:after="120" w:line="276" w:lineRule="auto"/>
        <w:jc w:val="both"/>
        <w:rPr>
          <w:rFonts w:ascii="Times New Roman" w:hAnsi="Times New Roman" w:cs="Times New Roman"/>
          <w:sz w:val="24"/>
          <w:szCs w:val="28"/>
        </w:rPr>
      </w:pPr>
      <w:r w:rsidRPr="00AA56C5">
        <w:rPr>
          <w:rFonts w:ascii="Times New Roman" w:hAnsi="Times New Roman" w:cs="Times New Roman"/>
          <w:sz w:val="24"/>
          <w:szCs w:val="28"/>
        </w:rPr>
        <w:t>Snieguma finansējum</w:t>
      </w:r>
      <w:r>
        <w:rPr>
          <w:rFonts w:ascii="Times New Roman" w:hAnsi="Times New Roman" w:cs="Times New Roman"/>
          <w:sz w:val="24"/>
          <w:szCs w:val="28"/>
        </w:rPr>
        <w:t>s kopš 2015.gada tiek piemērots</w:t>
      </w:r>
      <w:r w:rsidRPr="00AA56C5">
        <w:rPr>
          <w:rFonts w:ascii="Times New Roman" w:hAnsi="Times New Roman" w:cs="Times New Roman"/>
          <w:sz w:val="24"/>
          <w:szCs w:val="28"/>
        </w:rPr>
        <w:t xml:space="preserve"> augstākās izglītības iestādēm. Snieguma finansējums augstskolām un koledžām tiek piešķirts par rezultātu jeb sasniegumiem konkrētos rādītājos, piem., par jaunu mācībspēku un pētnieku piesaisti, kā arī par pētniecībai un radošajam darbam iegūto finansējumu no starptautiskiem projekti</w:t>
      </w:r>
      <w:r>
        <w:rPr>
          <w:rFonts w:ascii="Times New Roman" w:hAnsi="Times New Roman" w:cs="Times New Roman"/>
          <w:sz w:val="24"/>
          <w:szCs w:val="28"/>
        </w:rPr>
        <w:t>em, līgumdarbiem un pašvaldībām, kā arī izglītojamo mācību rezultātiem un sasniegumiem.</w:t>
      </w:r>
    </w:p>
    <w:p w14:paraId="7E139C0A" w14:textId="77777777" w:rsidR="00CF01AA" w:rsidRDefault="00CF01AA" w:rsidP="004E229C">
      <w:pPr>
        <w:spacing w:after="120" w:line="276" w:lineRule="auto"/>
        <w:jc w:val="both"/>
        <w:rPr>
          <w:rFonts w:ascii="Times New Roman" w:hAnsi="Times New Roman" w:cs="Times New Roman"/>
          <w:sz w:val="24"/>
          <w:szCs w:val="28"/>
        </w:rPr>
      </w:pPr>
      <w:r w:rsidRPr="00AA56C5">
        <w:rPr>
          <w:rFonts w:ascii="Times New Roman" w:hAnsi="Times New Roman" w:cs="Times New Roman"/>
          <w:sz w:val="24"/>
          <w:szCs w:val="28"/>
        </w:rPr>
        <w:t>Piešķirta</w:t>
      </w:r>
      <w:r>
        <w:rPr>
          <w:rFonts w:ascii="Times New Roman" w:hAnsi="Times New Roman" w:cs="Times New Roman"/>
          <w:sz w:val="24"/>
          <w:szCs w:val="28"/>
        </w:rPr>
        <w:t>is snieguma finansējums stimulētu</w:t>
      </w:r>
      <w:r w:rsidRPr="00AA56C5">
        <w:rPr>
          <w:rFonts w:ascii="Times New Roman" w:hAnsi="Times New Roman" w:cs="Times New Roman"/>
          <w:sz w:val="24"/>
          <w:szCs w:val="28"/>
        </w:rPr>
        <w:t xml:space="preserve"> izglītības iestādes uzlabot savas darbības rezultātus, tiecoties uz izcilību izgl</w:t>
      </w:r>
      <w:r>
        <w:rPr>
          <w:rFonts w:ascii="Times New Roman" w:hAnsi="Times New Roman" w:cs="Times New Roman"/>
          <w:sz w:val="24"/>
          <w:szCs w:val="28"/>
        </w:rPr>
        <w:t>ītības procesā. Finansējuma aprēķinam būtu nosakāmi</w:t>
      </w:r>
      <w:r w:rsidRPr="00AA56C5">
        <w:rPr>
          <w:rFonts w:ascii="Times New Roman" w:hAnsi="Times New Roman" w:cs="Times New Roman"/>
          <w:sz w:val="24"/>
          <w:szCs w:val="28"/>
        </w:rPr>
        <w:t xml:space="preserve"> </w:t>
      </w:r>
      <w:r>
        <w:rPr>
          <w:rFonts w:ascii="Times New Roman" w:hAnsi="Times New Roman" w:cs="Times New Roman"/>
          <w:sz w:val="24"/>
          <w:szCs w:val="28"/>
        </w:rPr>
        <w:t>vienoti kritēriji</w:t>
      </w:r>
      <w:r w:rsidRPr="00AA56C5">
        <w:rPr>
          <w:rFonts w:ascii="Times New Roman" w:hAnsi="Times New Roman" w:cs="Times New Roman"/>
          <w:sz w:val="24"/>
          <w:szCs w:val="28"/>
        </w:rPr>
        <w:t xml:space="preserve">, </w:t>
      </w:r>
      <w:r>
        <w:rPr>
          <w:rFonts w:ascii="Times New Roman" w:hAnsi="Times New Roman" w:cs="Times New Roman"/>
          <w:sz w:val="24"/>
          <w:szCs w:val="28"/>
        </w:rPr>
        <w:t>kas ļautu</w:t>
      </w:r>
      <w:r w:rsidRPr="00AA56C5">
        <w:rPr>
          <w:rFonts w:ascii="Times New Roman" w:hAnsi="Times New Roman" w:cs="Times New Roman"/>
          <w:sz w:val="24"/>
          <w:szCs w:val="28"/>
        </w:rPr>
        <w:t xml:space="preserve"> novērtēt </w:t>
      </w:r>
      <w:r>
        <w:rPr>
          <w:rFonts w:ascii="Times New Roman" w:hAnsi="Times New Roman" w:cs="Times New Roman"/>
          <w:sz w:val="24"/>
          <w:szCs w:val="28"/>
        </w:rPr>
        <w:t>izglītības iestāžu rezultatīvo rādītāju</w:t>
      </w:r>
      <w:r w:rsidRPr="00AA56C5">
        <w:rPr>
          <w:rFonts w:ascii="Times New Roman" w:hAnsi="Times New Roman" w:cs="Times New Roman"/>
          <w:sz w:val="24"/>
          <w:szCs w:val="28"/>
        </w:rPr>
        <w:t xml:space="preserve"> </w:t>
      </w:r>
      <w:r>
        <w:rPr>
          <w:rFonts w:ascii="Times New Roman" w:hAnsi="Times New Roman" w:cs="Times New Roman"/>
          <w:sz w:val="24"/>
          <w:szCs w:val="28"/>
        </w:rPr>
        <w:t xml:space="preserve">izpildi un </w:t>
      </w:r>
      <w:r w:rsidRPr="00AA56C5">
        <w:rPr>
          <w:rFonts w:ascii="Times New Roman" w:hAnsi="Times New Roman" w:cs="Times New Roman"/>
          <w:sz w:val="24"/>
          <w:szCs w:val="28"/>
        </w:rPr>
        <w:t xml:space="preserve">devumu </w:t>
      </w:r>
      <w:r>
        <w:rPr>
          <w:rFonts w:ascii="Times New Roman" w:hAnsi="Times New Roman" w:cs="Times New Roman"/>
          <w:sz w:val="24"/>
          <w:szCs w:val="28"/>
        </w:rPr>
        <w:t xml:space="preserve">profesionālās izglītības </w:t>
      </w:r>
      <w:r w:rsidRPr="00AA56C5">
        <w:rPr>
          <w:rFonts w:ascii="Times New Roman" w:hAnsi="Times New Roman" w:cs="Times New Roman"/>
          <w:sz w:val="24"/>
          <w:szCs w:val="28"/>
        </w:rPr>
        <w:t>poli</w:t>
      </w:r>
      <w:r>
        <w:rPr>
          <w:rFonts w:ascii="Times New Roman" w:hAnsi="Times New Roman" w:cs="Times New Roman"/>
          <w:sz w:val="24"/>
          <w:szCs w:val="28"/>
        </w:rPr>
        <w:t>tikas mērķu sasniegšanā. Saņemtais</w:t>
      </w:r>
      <w:r w:rsidRPr="00AA56C5">
        <w:rPr>
          <w:rFonts w:ascii="Times New Roman" w:hAnsi="Times New Roman" w:cs="Times New Roman"/>
          <w:sz w:val="24"/>
          <w:szCs w:val="28"/>
        </w:rPr>
        <w:t xml:space="preserve"> finan</w:t>
      </w:r>
      <w:r>
        <w:rPr>
          <w:rFonts w:ascii="Times New Roman" w:hAnsi="Times New Roman" w:cs="Times New Roman"/>
          <w:sz w:val="24"/>
          <w:szCs w:val="28"/>
        </w:rPr>
        <w:t>sējums būtu izmantojams iestādes attīstībai</w:t>
      </w:r>
      <w:r w:rsidRPr="00AA56C5">
        <w:rPr>
          <w:rFonts w:ascii="Times New Roman" w:hAnsi="Times New Roman" w:cs="Times New Roman"/>
          <w:sz w:val="24"/>
          <w:szCs w:val="28"/>
        </w:rPr>
        <w:t>, piem., materiāltehniskās bāzes modernizācijai, dalībai starptautiskās sadarbības projektos, augsti kvalificētu un profesionālu mācībspēku piesaistei utt.</w:t>
      </w:r>
    </w:p>
    <w:p w14:paraId="0EA9FCC8" w14:textId="56F0BCD8" w:rsidR="001553A8" w:rsidRDefault="001553A8" w:rsidP="00A510E4">
      <w:pPr>
        <w:pStyle w:val="Heading1"/>
        <w:numPr>
          <w:ilvl w:val="0"/>
          <w:numId w:val="3"/>
        </w:numPr>
        <w:spacing w:before="0" w:after="120" w:line="276" w:lineRule="auto"/>
        <w:ind w:left="714" w:hanging="357"/>
        <w:jc w:val="center"/>
        <w:rPr>
          <w:rFonts w:ascii="Times New Roman" w:hAnsi="Times New Roman" w:cs="Times New Roman"/>
          <w:b/>
          <w:color w:val="000000" w:themeColor="text1"/>
          <w:sz w:val="28"/>
          <w:szCs w:val="28"/>
        </w:rPr>
      </w:pPr>
      <w:bookmarkStart w:id="16" w:name="_Toc53136190"/>
      <w:r w:rsidRPr="001553A8">
        <w:rPr>
          <w:rFonts w:ascii="Times New Roman" w:hAnsi="Times New Roman" w:cs="Times New Roman"/>
          <w:b/>
          <w:color w:val="000000" w:themeColor="text1"/>
          <w:sz w:val="28"/>
          <w:szCs w:val="28"/>
        </w:rPr>
        <w:t>Ietekme uz problēmas risināšanu un riski, ja situācija nemainās</w:t>
      </w:r>
      <w:bookmarkEnd w:id="16"/>
    </w:p>
    <w:p w14:paraId="0B587849" w14:textId="2B0562E4" w:rsidR="00164581" w:rsidRPr="00FE31E5" w:rsidRDefault="00164581" w:rsidP="00025354">
      <w:pPr>
        <w:spacing w:after="120" w:line="276" w:lineRule="auto"/>
        <w:jc w:val="both"/>
        <w:rPr>
          <w:rFonts w:ascii="Times New Roman" w:hAnsi="Times New Roman" w:cs="Times New Roman"/>
          <w:sz w:val="24"/>
          <w:szCs w:val="28"/>
        </w:rPr>
      </w:pPr>
      <w:r w:rsidRPr="00FE31E5">
        <w:rPr>
          <w:rFonts w:ascii="Times New Roman" w:hAnsi="Times New Roman" w:cs="Times New Roman"/>
          <w:sz w:val="24"/>
          <w:szCs w:val="28"/>
        </w:rPr>
        <w:t>Kvalitat</w:t>
      </w:r>
      <w:r w:rsidR="00FE31E5">
        <w:rPr>
          <w:rFonts w:ascii="Times New Roman" w:hAnsi="Times New Roman" w:cs="Times New Roman"/>
          <w:sz w:val="24"/>
          <w:szCs w:val="28"/>
        </w:rPr>
        <w:t>īva</w:t>
      </w:r>
      <w:r w:rsidRPr="00FE31E5">
        <w:rPr>
          <w:rFonts w:ascii="Times New Roman" w:hAnsi="Times New Roman" w:cs="Times New Roman"/>
          <w:sz w:val="24"/>
          <w:szCs w:val="28"/>
        </w:rPr>
        <w:t xml:space="preserve"> profesionālās izglītības </w:t>
      </w:r>
      <w:r w:rsidR="00FE31E5">
        <w:rPr>
          <w:rFonts w:ascii="Times New Roman" w:hAnsi="Times New Roman" w:cs="Times New Roman"/>
          <w:sz w:val="24"/>
          <w:szCs w:val="28"/>
        </w:rPr>
        <w:t>piedāvājuma nodrošināšanai</w:t>
      </w:r>
      <w:r w:rsidRPr="00FE31E5">
        <w:rPr>
          <w:rFonts w:ascii="Times New Roman" w:hAnsi="Times New Roman" w:cs="Times New Roman"/>
          <w:sz w:val="24"/>
          <w:szCs w:val="28"/>
        </w:rPr>
        <w:t xml:space="preserve"> ir nepieciešama profesionālās izglītības progra</w:t>
      </w:r>
      <w:r w:rsidR="00FE31E5" w:rsidRPr="00FE31E5">
        <w:rPr>
          <w:rFonts w:ascii="Times New Roman" w:hAnsi="Times New Roman" w:cs="Times New Roman"/>
          <w:sz w:val="24"/>
          <w:szCs w:val="28"/>
        </w:rPr>
        <w:t>mmu īstenošanas izmaksu minimuma</w:t>
      </w:r>
      <w:r w:rsidRPr="00FE31E5">
        <w:rPr>
          <w:rFonts w:ascii="Times New Roman" w:hAnsi="Times New Roman" w:cs="Times New Roman"/>
          <w:sz w:val="24"/>
          <w:szCs w:val="28"/>
        </w:rPr>
        <w:t xml:space="preserve"> uz vienu izglītojamo aktualizācija, nodrošinot piešķirtā valsts finansējuma atbilstību profesionālas izglītības programmu īstenošanas faktiskajām izmaksām. </w:t>
      </w:r>
      <w:r w:rsidR="00FE31E5" w:rsidRPr="00FE31E5">
        <w:rPr>
          <w:rFonts w:ascii="Times New Roman" w:hAnsi="Times New Roman" w:cs="Times New Roman"/>
          <w:sz w:val="24"/>
          <w:szCs w:val="28"/>
        </w:rPr>
        <w:t xml:space="preserve">Profesionālās izglītības iestādes </w:t>
      </w:r>
      <w:r w:rsidR="00FE31E5">
        <w:rPr>
          <w:rFonts w:ascii="Times New Roman" w:hAnsi="Times New Roman" w:cs="Times New Roman"/>
          <w:sz w:val="24"/>
          <w:szCs w:val="28"/>
        </w:rPr>
        <w:t>sagatavo</w:t>
      </w:r>
      <w:r w:rsidR="00FE31E5" w:rsidRPr="00FE31E5">
        <w:rPr>
          <w:rFonts w:ascii="Times New Roman" w:hAnsi="Times New Roman" w:cs="Times New Roman"/>
          <w:sz w:val="24"/>
          <w:szCs w:val="28"/>
        </w:rPr>
        <w:t xml:space="preserve"> kvalificētu</w:t>
      </w:r>
      <w:r w:rsidR="00FE31E5">
        <w:rPr>
          <w:rFonts w:ascii="Times New Roman" w:hAnsi="Times New Roman" w:cs="Times New Roman"/>
          <w:sz w:val="24"/>
          <w:szCs w:val="28"/>
        </w:rPr>
        <w:t>s</w:t>
      </w:r>
      <w:r w:rsidR="00FE31E5" w:rsidRPr="00FE31E5">
        <w:rPr>
          <w:rFonts w:ascii="Times New Roman" w:hAnsi="Times New Roman" w:cs="Times New Roman"/>
          <w:sz w:val="24"/>
          <w:szCs w:val="28"/>
        </w:rPr>
        <w:t xml:space="preserve"> </w:t>
      </w:r>
      <w:r w:rsidR="00FE31E5">
        <w:rPr>
          <w:rFonts w:ascii="Times New Roman" w:hAnsi="Times New Roman" w:cs="Times New Roman"/>
          <w:sz w:val="24"/>
          <w:szCs w:val="28"/>
        </w:rPr>
        <w:t xml:space="preserve">un darba tirgū konkurētspējīgus </w:t>
      </w:r>
      <w:r w:rsidR="00FE31E5" w:rsidRPr="00FE31E5">
        <w:rPr>
          <w:rFonts w:ascii="Times New Roman" w:hAnsi="Times New Roman" w:cs="Times New Roman"/>
          <w:sz w:val="24"/>
          <w:szCs w:val="28"/>
        </w:rPr>
        <w:t>speciālistu</w:t>
      </w:r>
      <w:r w:rsidR="00FE31E5">
        <w:rPr>
          <w:rFonts w:ascii="Times New Roman" w:hAnsi="Times New Roman" w:cs="Times New Roman"/>
          <w:sz w:val="24"/>
          <w:szCs w:val="28"/>
        </w:rPr>
        <w:t>s</w:t>
      </w:r>
      <w:r w:rsidR="00FE31E5" w:rsidRPr="00FE31E5">
        <w:rPr>
          <w:rFonts w:ascii="Times New Roman" w:hAnsi="Times New Roman" w:cs="Times New Roman"/>
          <w:sz w:val="24"/>
          <w:szCs w:val="28"/>
        </w:rPr>
        <w:t xml:space="preserve"> valsts tautsaimniecības attīstībai nozīmīgās nozarēs, tāpēc ir nepieciešams nodrošināt adekvātu pilnvērtīgai profesionālās izglītības programmu īstenošanai nepieciešamā finansējuma apmēru, ka</w:t>
      </w:r>
      <w:r w:rsidR="00FE31E5">
        <w:rPr>
          <w:rFonts w:ascii="Times New Roman" w:hAnsi="Times New Roman" w:cs="Times New Roman"/>
          <w:sz w:val="24"/>
          <w:szCs w:val="28"/>
        </w:rPr>
        <w:t>s</w:t>
      </w:r>
      <w:r w:rsidR="00FE31E5" w:rsidRPr="00FE31E5">
        <w:rPr>
          <w:rFonts w:ascii="Times New Roman" w:hAnsi="Times New Roman" w:cs="Times New Roman"/>
          <w:sz w:val="24"/>
          <w:szCs w:val="28"/>
        </w:rPr>
        <w:t xml:space="preserve"> atbilst izglītības iestāžu faktiskajām izmaks</w:t>
      </w:r>
      <w:r w:rsidR="00FE31E5">
        <w:rPr>
          <w:rFonts w:ascii="Times New Roman" w:hAnsi="Times New Roman" w:cs="Times New Roman"/>
          <w:sz w:val="24"/>
          <w:szCs w:val="28"/>
        </w:rPr>
        <w:t>ām un</w:t>
      </w:r>
      <w:r w:rsidR="00FE31E5" w:rsidRPr="00FE31E5">
        <w:rPr>
          <w:rFonts w:ascii="Times New Roman" w:hAnsi="Times New Roman" w:cs="Times New Roman"/>
          <w:sz w:val="24"/>
          <w:szCs w:val="28"/>
        </w:rPr>
        <w:t xml:space="preserve"> kas nepieciešams, lai nodrošinātu</w:t>
      </w:r>
      <w:r w:rsidR="00FE31E5">
        <w:rPr>
          <w:rFonts w:ascii="Times New Roman" w:hAnsi="Times New Roman" w:cs="Times New Roman"/>
          <w:sz w:val="24"/>
          <w:szCs w:val="28"/>
        </w:rPr>
        <w:t xml:space="preserve"> kvalitatīvu </w:t>
      </w:r>
      <w:r w:rsidR="00FE31E5" w:rsidRPr="00FE31E5">
        <w:rPr>
          <w:rFonts w:ascii="Times New Roman" w:hAnsi="Times New Roman" w:cs="Times New Roman"/>
          <w:sz w:val="24"/>
          <w:szCs w:val="28"/>
        </w:rPr>
        <w:t xml:space="preserve">izglītības procesu gan izglītības iestādē, gan </w:t>
      </w:r>
      <w:r w:rsidR="00FE31E5">
        <w:rPr>
          <w:rFonts w:ascii="Times New Roman" w:hAnsi="Times New Roman" w:cs="Times New Roman"/>
          <w:sz w:val="24"/>
          <w:szCs w:val="28"/>
        </w:rPr>
        <w:t xml:space="preserve">praktisko nodarbību </w:t>
      </w:r>
      <w:r w:rsidR="00FE31E5" w:rsidRPr="00FE31E5">
        <w:rPr>
          <w:rFonts w:ascii="Times New Roman" w:hAnsi="Times New Roman" w:cs="Times New Roman"/>
          <w:sz w:val="24"/>
          <w:szCs w:val="28"/>
        </w:rPr>
        <w:t>īstenošan</w:t>
      </w:r>
      <w:r w:rsidR="00FE31E5">
        <w:rPr>
          <w:rFonts w:ascii="Times New Roman" w:hAnsi="Times New Roman" w:cs="Times New Roman"/>
          <w:sz w:val="24"/>
          <w:szCs w:val="28"/>
        </w:rPr>
        <w:t xml:space="preserve">ā </w:t>
      </w:r>
      <w:r w:rsidR="00FE31E5" w:rsidRPr="00FE31E5">
        <w:rPr>
          <w:rFonts w:ascii="Times New Roman" w:hAnsi="Times New Roman" w:cs="Times New Roman"/>
          <w:sz w:val="24"/>
          <w:szCs w:val="28"/>
        </w:rPr>
        <w:t>sadarbībā ar darba devējiem.</w:t>
      </w:r>
    </w:p>
    <w:p w14:paraId="0660AF8D" w14:textId="77777777" w:rsidR="00164581" w:rsidRPr="00FE31E5" w:rsidRDefault="00164581" w:rsidP="00025354">
      <w:pPr>
        <w:spacing w:after="0" w:line="276" w:lineRule="auto"/>
        <w:jc w:val="both"/>
        <w:rPr>
          <w:rFonts w:ascii="Times New Roman" w:hAnsi="Times New Roman" w:cs="Times New Roman"/>
          <w:sz w:val="24"/>
          <w:szCs w:val="28"/>
        </w:rPr>
      </w:pPr>
      <w:r w:rsidRPr="00FE31E5">
        <w:rPr>
          <w:rFonts w:ascii="Times New Roman" w:hAnsi="Times New Roman" w:cs="Times New Roman"/>
          <w:sz w:val="24"/>
          <w:szCs w:val="28"/>
        </w:rPr>
        <w:t>Būtiskākie riski, ja situācija nemainās:</w:t>
      </w:r>
    </w:p>
    <w:p w14:paraId="463B6F57" w14:textId="77777777" w:rsidR="00164581" w:rsidRPr="00E27A4E" w:rsidRDefault="00164581" w:rsidP="00A510E4">
      <w:pPr>
        <w:pStyle w:val="ListParagraph"/>
        <w:numPr>
          <w:ilvl w:val="0"/>
          <w:numId w:val="5"/>
        </w:numPr>
        <w:spacing w:after="0" w:line="276" w:lineRule="auto"/>
        <w:ind w:left="709" w:hanging="283"/>
        <w:contextualSpacing w:val="0"/>
        <w:jc w:val="both"/>
        <w:rPr>
          <w:rFonts w:ascii="Times New Roman" w:hAnsi="Times New Roman" w:cs="Times New Roman"/>
          <w:b/>
          <w:sz w:val="24"/>
        </w:rPr>
      </w:pPr>
      <w:r w:rsidRPr="00E27A4E">
        <w:rPr>
          <w:rFonts w:ascii="Times New Roman" w:hAnsi="Times New Roman" w:cs="Times New Roman"/>
          <w:b/>
          <w:sz w:val="24"/>
        </w:rPr>
        <w:t xml:space="preserve">Ekonomiskie riski: </w:t>
      </w:r>
    </w:p>
    <w:p w14:paraId="712B4281" w14:textId="6767449D" w:rsidR="00164581" w:rsidRPr="00E27A4E" w:rsidRDefault="003E07C4" w:rsidP="00A510E4">
      <w:pPr>
        <w:pStyle w:val="ListParagraph"/>
        <w:numPr>
          <w:ilvl w:val="0"/>
          <w:numId w:val="4"/>
        </w:numPr>
        <w:spacing w:after="0" w:line="276" w:lineRule="auto"/>
        <w:ind w:left="851" w:hanging="142"/>
        <w:contextualSpacing w:val="0"/>
        <w:jc w:val="both"/>
        <w:rPr>
          <w:rFonts w:ascii="Times New Roman" w:hAnsi="Times New Roman" w:cs="Times New Roman"/>
          <w:sz w:val="24"/>
        </w:rPr>
      </w:pPr>
      <w:r w:rsidRPr="00E27A4E">
        <w:rPr>
          <w:rFonts w:ascii="Times New Roman" w:hAnsi="Times New Roman" w:cs="Times New Roman"/>
          <w:sz w:val="24"/>
        </w:rPr>
        <w:t>Nepietiekams finans</w:t>
      </w:r>
      <w:r w:rsidR="0055327F" w:rsidRPr="00E27A4E">
        <w:rPr>
          <w:rFonts w:ascii="Times New Roman" w:hAnsi="Times New Roman" w:cs="Times New Roman"/>
          <w:sz w:val="24"/>
        </w:rPr>
        <w:t xml:space="preserve">ējums </w:t>
      </w:r>
      <w:r w:rsidRPr="00E27A4E">
        <w:rPr>
          <w:rFonts w:ascii="Times New Roman" w:hAnsi="Times New Roman" w:cs="Times New Roman"/>
          <w:sz w:val="24"/>
        </w:rPr>
        <w:t>profesionālās izglītības programmu īstenošanai</w:t>
      </w:r>
      <w:r w:rsidR="00164581" w:rsidRPr="00E27A4E">
        <w:rPr>
          <w:rFonts w:ascii="Times New Roman" w:hAnsi="Times New Roman" w:cs="Times New Roman"/>
          <w:sz w:val="24"/>
        </w:rPr>
        <w:t xml:space="preserve">; </w:t>
      </w:r>
    </w:p>
    <w:p w14:paraId="7FC039CF" w14:textId="5D644327" w:rsidR="0055327F" w:rsidRDefault="0055327F" w:rsidP="00A510E4">
      <w:pPr>
        <w:pStyle w:val="ListParagraph"/>
        <w:numPr>
          <w:ilvl w:val="0"/>
          <w:numId w:val="4"/>
        </w:numPr>
        <w:spacing w:after="0" w:line="276" w:lineRule="auto"/>
        <w:ind w:left="851" w:hanging="142"/>
        <w:contextualSpacing w:val="0"/>
        <w:jc w:val="both"/>
        <w:rPr>
          <w:rFonts w:ascii="Times New Roman" w:hAnsi="Times New Roman" w:cs="Times New Roman"/>
          <w:sz w:val="24"/>
        </w:rPr>
      </w:pPr>
      <w:r w:rsidRPr="00E27A4E">
        <w:rPr>
          <w:rFonts w:ascii="Times New Roman" w:hAnsi="Times New Roman" w:cs="Times New Roman"/>
          <w:sz w:val="24"/>
        </w:rPr>
        <w:t>Apdraudēta profesionālās izglītības</w:t>
      </w:r>
      <w:r w:rsidR="00E27A4E" w:rsidRPr="00E27A4E">
        <w:rPr>
          <w:rFonts w:ascii="Times New Roman" w:hAnsi="Times New Roman" w:cs="Times New Roman"/>
          <w:sz w:val="24"/>
        </w:rPr>
        <w:t xml:space="preserve"> programmu</w:t>
      </w:r>
      <w:r w:rsidRPr="00E27A4E">
        <w:rPr>
          <w:rFonts w:ascii="Times New Roman" w:hAnsi="Times New Roman" w:cs="Times New Roman"/>
          <w:sz w:val="24"/>
        </w:rPr>
        <w:t xml:space="preserve"> īstenošanas kvalitāte;</w:t>
      </w:r>
    </w:p>
    <w:p w14:paraId="1BF8089F" w14:textId="7A01FEB1" w:rsidR="00310309" w:rsidRDefault="00310309" w:rsidP="00A510E4">
      <w:pPr>
        <w:pStyle w:val="ListParagraph"/>
        <w:numPr>
          <w:ilvl w:val="0"/>
          <w:numId w:val="4"/>
        </w:numPr>
        <w:spacing w:after="0" w:line="276" w:lineRule="auto"/>
        <w:ind w:left="851" w:hanging="142"/>
        <w:contextualSpacing w:val="0"/>
        <w:jc w:val="both"/>
        <w:rPr>
          <w:rFonts w:ascii="Times New Roman" w:hAnsi="Times New Roman" w:cs="Times New Roman"/>
          <w:sz w:val="24"/>
        </w:rPr>
      </w:pPr>
      <w:r>
        <w:rPr>
          <w:rFonts w:ascii="Times New Roman" w:hAnsi="Times New Roman" w:cs="Times New Roman"/>
          <w:sz w:val="24"/>
        </w:rPr>
        <w:t>Netiek investēts programmu kvalitātes uzlabošanā un aktualizācijā;</w:t>
      </w:r>
    </w:p>
    <w:p w14:paraId="7A6E716B" w14:textId="04F90D42" w:rsidR="00310309" w:rsidRPr="00E27A4E" w:rsidRDefault="00310309" w:rsidP="00A510E4">
      <w:pPr>
        <w:pStyle w:val="ListParagraph"/>
        <w:numPr>
          <w:ilvl w:val="0"/>
          <w:numId w:val="4"/>
        </w:numPr>
        <w:spacing w:after="120" w:line="276" w:lineRule="auto"/>
        <w:ind w:left="851" w:hanging="142"/>
        <w:contextualSpacing w:val="0"/>
        <w:jc w:val="both"/>
        <w:rPr>
          <w:rFonts w:ascii="Times New Roman" w:hAnsi="Times New Roman" w:cs="Times New Roman"/>
          <w:sz w:val="24"/>
        </w:rPr>
      </w:pPr>
      <w:r>
        <w:rPr>
          <w:rFonts w:ascii="Times New Roman" w:hAnsi="Times New Roman" w:cs="Times New Roman"/>
          <w:sz w:val="24"/>
        </w:rPr>
        <w:t>Darba tirgū nonāk nepietiekami sagatavots darba spēks</w:t>
      </w:r>
      <w:r w:rsidR="00513BDB">
        <w:rPr>
          <w:rFonts w:ascii="Times New Roman" w:hAnsi="Times New Roman" w:cs="Times New Roman"/>
          <w:sz w:val="24"/>
        </w:rPr>
        <w:t>.</w:t>
      </w:r>
    </w:p>
    <w:p w14:paraId="1985AC58" w14:textId="77777777" w:rsidR="00164581" w:rsidRPr="00E27A4E" w:rsidRDefault="00164581" w:rsidP="00A510E4">
      <w:pPr>
        <w:pStyle w:val="ListParagraph"/>
        <w:numPr>
          <w:ilvl w:val="0"/>
          <w:numId w:val="5"/>
        </w:numPr>
        <w:spacing w:after="0" w:line="276" w:lineRule="auto"/>
        <w:ind w:left="709" w:hanging="283"/>
        <w:contextualSpacing w:val="0"/>
        <w:jc w:val="both"/>
        <w:rPr>
          <w:rFonts w:ascii="Times New Roman" w:hAnsi="Times New Roman" w:cs="Times New Roman"/>
          <w:b/>
          <w:sz w:val="24"/>
        </w:rPr>
      </w:pPr>
      <w:r w:rsidRPr="00E27A4E">
        <w:rPr>
          <w:rFonts w:ascii="Times New Roman" w:hAnsi="Times New Roman" w:cs="Times New Roman"/>
          <w:b/>
          <w:sz w:val="24"/>
        </w:rPr>
        <w:t>Sociālie riski:</w:t>
      </w:r>
    </w:p>
    <w:p w14:paraId="38317C11" w14:textId="116735E1" w:rsidR="00164581" w:rsidRPr="00E27A4E" w:rsidRDefault="003E07C4" w:rsidP="00A510E4">
      <w:pPr>
        <w:pStyle w:val="ListParagraph"/>
        <w:numPr>
          <w:ilvl w:val="0"/>
          <w:numId w:val="4"/>
        </w:numPr>
        <w:spacing w:after="0" w:line="276" w:lineRule="auto"/>
        <w:ind w:left="851" w:hanging="142"/>
        <w:contextualSpacing w:val="0"/>
        <w:jc w:val="both"/>
        <w:rPr>
          <w:rFonts w:ascii="Times New Roman" w:hAnsi="Times New Roman" w:cs="Times New Roman"/>
          <w:sz w:val="24"/>
        </w:rPr>
      </w:pPr>
      <w:r w:rsidRPr="00E27A4E">
        <w:rPr>
          <w:rFonts w:ascii="Times New Roman" w:hAnsi="Times New Roman" w:cs="Times New Roman"/>
          <w:sz w:val="24"/>
        </w:rPr>
        <w:t>Pedagoģiskā personāla piesaiste</w:t>
      </w:r>
      <w:r w:rsidR="00E27A4E" w:rsidRPr="00E27A4E">
        <w:rPr>
          <w:rFonts w:ascii="Times New Roman" w:hAnsi="Times New Roman" w:cs="Times New Roman"/>
          <w:sz w:val="24"/>
        </w:rPr>
        <w:t>s problēmas</w:t>
      </w:r>
      <w:r w:rsidR="0055327F" w:rsidRPr="00E27A4E">
        <w:rPr>
          <w:rFonts w:ascii="Times New Roman" w:hAnsi="Times New Roman" w:cs="Times New Roman"/>
          <w:sz w:val="24"/>
        </w:rPr>
        <w:t>, t.sk. nozaru speciālistu piesaiste pedagoga darbam</w:t>
      </w:r>
      <w:r w:rsidR="00164581" w:rsidRPr="00E27A4E">
        <w:rPr>
          <w:rFonts w:ascii="Times New Roman" w:hAnsi="Times New Roman" w:cs="Times New Roman"/>
          <w:sz w:val="24"/>
        </w:rPr>
        <w:t xml:space="preserve">; </w:t>
      </w:r>
    </w:p>
    <w:p w14:paraId="421DCE13" w14:textId="4568B7E9" w:rsidR="0055327F" w:rsidRPr="00E27A4E" w:rsidRDefault="0087462A" w:rsidP="00A510E4">
      <w:pPr>
        <w:pStyle w:val="ListParagraph"/>
        <w:numPr>
          <w:ilvl w:val="0"/>
          <w:numId w:val="4"/>
        </w:numPr>
        <w:spacing w:after="0" w:line="276" w:lineRule="auto"/>
        <w:ind w:left="851" w:hanging="142"/>
        <w:contextualSpacing w:val="0"/>
        <w:jc w:val="both"/>
        <w:rPr>
          <w:rFonts w:ascii="Times New Roman" w:hAnsi="Times New Roman" w:cs="Times New Roman"/>
          <w:sz w:val="24"/>
        </w:rPr>
      </w:pPr>
      <w:r w:rsidRPr="00E27A4E">
        <w:rPr>
          <w:rFonts w:ascii="Times New Roman" w:hAnsi="Times New Roman" w:cs="Times New Roman"/>
          <w:sz w:val="24"/>
        </w:rPr>
        <w:t>Sadarbība</w:t>
      </w:r>
      <w:r w:rsidR="00E27A4E" w:rsidRPr="00E27A4E">
        <w:rPr>
          <w:rFonts w:ascii="Times New Roman" w:hAnsi="Times New Roman" w:cs="Times New Roman"/>
          <w:sz w:val="24"/>
        </w:rPr>
        <w:t>s pasliktināšanās</w:t>
      </w:r>
      <w:r w:rsidRPr="00E27A4E">
        <w:rPr>
          <w:rFonts w:ascii="Times New Roman" w:hAnsi="Times New Roman" w:cs="Times New Roman"/>
          <w:sz w:val="24"/>
        </w:rPr>
        <w:t xml:space="preserve"> ar darba devējiem mācību prakšu, kvalifikācijas prakšu un DVB mācību īstenošanā;</w:t>
      </w:r>
    </w:p>
    <w:p w14:paraId="633A6504" w14:textId="44EAA08E" w:rsidR="0087462A" w:rsidRPr="00E27A4E" w:rsidRDefault="0055327F" w:rsidP="00A510E4">
      <w:pPr>
        <w:pStyle w:val="ListParagraph"/>
        <w:numPr>
          <w:ilvl w:val="0"/>
          <w:numId w:val="4"/>
        </w:numPr>
        <w:spacing w:after="120" w:line="276" w:lineRule="auto"/>
        <w:ind w:left="851" w:hanging="142"/>
        <w:contextualSpacing w:val="0"/>
        <w:jc w:val="both"/>
        <w:rPr>
          <w:rFonts w:ascii="Times New Roman" w:hAnsi="Times New Roman" w:cs="Times New Roman"/>
          <w:sz w:val="24"/>
        </w:rPr>
      </w:pPr>
      <w:r w:rsidRPr="00E27A4E">
        <w:rPr>
          <w:rFonts w:ascii="Times New Roman" w:hAnsi="Times New Roman" w:cs="Times New Roman"/>
          <w:sz w:val="24"/>
        </w:rPr>
        <w:t>Izglītojamo skaita, kas izvēlās apgūt profesionālās izglītības programmas, samazinājums.</w:t>
      </w:r>
    </w:p>
    <w:p w14:paraId="708AD648" w14:textId="5242445C" w:rsidR="00164581" w:rsidRPr="00E27A4E" w:rsidRDefault="00164581" w:rsidP="00A510E4">
      <w:pPr>
        <w:pStyle w:val="ListParagraph"/>
        <w:numPr>
          <w:ilvl w:val="0"/>
          <w:numId w:val="5"/>
        </w:numPr>
        <w:spacing w:after="0" w:line="276" w:lineRule="auto"/>
        <w:ind w:left="709" w:hanging="283"/>
        <w:contextualSpacing w:val="0"/>
        <w:jc w:val="both"/>
        <w:rPr>
          <w:rFonts w:ascii="Times New Roman" w:hAnsi="Times New Roman" w:cs="Times New Roman"/>
          <w:b/>
          <w:sz w:val="24"/>
        </w:rPr>
      </w:pPr>
      <w:r w:rsidRPr="00E27A4E">
        <w:rPr>
          <w:rFonts w:ascii="Times New Roman" w:hAnsi="Times New Roman" w:cs="Times New Roman"/>
          <w:b/>
          <w:sz w:val="24"/>
        </w:rPr>
        <w:t>Komunikācijas riski:</w:t>
      </w:r>
    </w:p>
    <w:p w14:paraId="194B77BA" w14:textId="39202288" w:rsidR="00164581" w:rsidRDefault="003E07C4" w:rsidP="00A510E4">
      <w:pPr>
        <w:pStyle w:val="ListParagraph"/>
        <w:numPr>
          <w:ilvl w:val="0"/>
          <w:numId w:val="4"/>
        </w:numPr>
        <w:spacing w:after="120" w:line="276" w:lineRule="auto"/>
        <w:ind w:left="851" w:hanging="142"/>
        <w:contextualSpacing w:val="0"/>
        <w:jc w:val="both"/>
        <w:rPr>
          <w:rFonts w:ascii="Times New Roman" w:hAnsi="Times New Roman" w:cs="Times New Roman"/>
          <w:sz w:val="24"/>
        </w:rPr>
      </w:pPr>
      <w:r w:rsidRPr="00E27A4E">
        <w:rPr>
          <w:rFonts w:ascii="Times New Roman" w:hAnsi="Times New Roman" w:cs="Times New Roman"/>
          <w:sz w:val="24"/>
        </w:rPr>
        <w:t>Apdraudēts profesionālās izglītības prestižs</w:t>
      </w:r>
      <w:r w:rsidR="0055327F" w:rsidRPr="00E27A4E">
        <w:rPr>
          <w:rFonts w:ascii="Times New Roman" w:hAnsi="Times New Roman" w:cs="Times New Roman"/>
          <w:sz w:val="24"/>
        </w:rPr>
        <w:t>.</w:t>
      </w:r>
    </w:p>
    <w:p w14:paraId="53977876" w14:textId="77777777" w:rsidR="00552C27" w:rsidRPr="00552C27" w:rsidRDefault="00552C27" w:rsidP="00552C27">
      <w:pPr>
        <w:jc w:val="both"/>
        <w:rPr>
          <w:rFonts w:ascii="Times New Roman" w:hAnsi="Times New Roman" w:cs="Times New Roman"/>
          <w:sz w:val="24"/>
          <w:szCs w:val="28"/>
        </w:rPr>
      </w:pPr>
      <w:r w:rsidRPr="00552C27">
        <w:rPr>
          <w:rFonts w:ascii="Times New Roman" w:hAnsi="Times New Roman" w:cs="Times New Roman"/>
          <w:sz w:val="24"/>
          <w:szCs w:val="28"/>
        </w:rPr>
        <w:lastRenderedPageBreak/>
        <w:t>Svarīgi atzīmēt, ka arī viens no Valsts kontroles 2020.gada revīzijas ziņojumā “Profesionālā vidējā izglītība – vai kļuvusi pievilcīgāka un sagatavo valstī pieprasītus speciālistus?” sniegtajiem ieteikumiem profesionālās vidējās izglītības finansēšanas sistēmas pilnveidošanai paredz nodrošināt normatīvajā aktā (MK noteikumos Nr. 655) noteikto profesionālās izglītības programmu īstenošanas izmaksu aktualizāciju. Tāpat arī Valsts kontrole vērš uzmanību, ka netiek nodrošinātas</w:t>
      </w:r>
      <w:r w:rsidRPr="00552C27">
        <w:t xml:space="preserve"> </w:t>
      </w:r>
      <w:r w:rsidRPr="00552C27">
        <w:rPr>
          <w:rFonts w:ascii="Times New Roman" w:hAnsi="Times New Roman" w:cs="Times New Roman"/>
          <w:sz w:val="24"/>
          <w:szCs w:val="28"/>
        </w:rPr>
        <w:t>kvalifikācijas prakses izmaksas, norādot, ka prakse ir nozīmīga mācību procesa daļa, kurā izglītojamie apgūst kvalifikācijas ieguvei tik nepieciešamās prasmes, līdz ar to izglītojamo nodrošināšana ar tiem nepieciešamo – mācību materiāli, individuālie aizsardzības līdzekļi u.c. – ir nozīmīgi sekmīgai nepieciešamo prasmju apguvei, kā arī izglītojamo drošībai</w:t>
      </w:r>
      <w:r w:rsidRPr="00552C27">
        <w:rPr>
          <w:rStyle w:val="FootnoteReference"/>
          <w:rFonts w:ascii="Times New Roman" w:hAnsi="Times New Roman" w:cs="Times New Roman"/>
          <w:sz w:val="24"/>
          <w:szCs w:val="28"/>
        </w:rPr>
        <w:footnoteReference w:id="11"/>
      </w:r>
      <w:r w:rsidRPr="00552C27">
        <w:rPr>
          <w:rFonts w:ascii="Times New Roman" w:hAnsi="Times New Roman" w:cs="Times New Roman"/>
          <w:sz w:val="24"/>
          <w:szCs w:val="28"/>
        </w:rPr>
        <w:t>.</w:t>
      </w:r>
    </w:p>
    <w:p w14:paraId="03A22729" w14:textId="034E9EED" w:rsidR="00552C27" w:rsidRPr="00552C27" w:rsidRDefault="00552C27" w:rsidP="00552C27">
      <w:pPr>
        <w:jc w:val="both"/>
        <w:rPr>
          <w:rFonts w:ascii="Times New Roman" w:hAnsi="Times New Roman" w:cs="Times New Roman"/>
          <w:sz w:val="24"/>
          <w:szCs w:val="28"/>
        </w:rPr>
      </w:pPr>
      <w:r w:rsidRPr="00552C27">
        <w:rPr>
          <w:rFonts w:ascii="Times New Roman" w:hAnsi="Times New Roman" w:cs="Times New Roman"/>
          <w:sz w:val="24"/>
          <w:szCs w:val="28"/>
        </w:rPr>
        <w:t>Papildus iepriekšminētajam Valsts kontrole revīzijā konstatēja, ka esošā finansējuma kārtība neņem vērā izglītības iestādes darbības efektivitātes rādītājus. Valsts kontroles ieskatā, ministrijas piemērotā kārtība nodrošina mehānisku valsts budžeta finansējuma profesionālajai vidējai izglītībai sadali un neveicina un nenovērtē izglītības iestādes darbības efektivitāti</w:t>
      </w:r>
      <w:r w:rsidRPr="00552C27">
        <w:rPr>
          <w:rStyle w:val="FootnoteReference"/>
          <w:rFonts w:ascii="Times New Roman" w:hAnsi="Times New Roman" w:cs="Times New Roman"/>
          <w:sz w:val="24"/>
          <w:szCs w:val="28"/>
        </w:rPr>
        <w:footnoteReference w:id="12"/>
      </w:r>
      <w:r w:rsidRPr="00552C27">
        <w:rPr>
          <w:rFonts w:ascii="Times New Roman" w:hAnsi="Times New Roman" w:cs="Times New Roman"/>
          <w:sz w:val="24"/>
          <w:szCs w:val="28"/>
        </w:rPr>
        <w:t>. Ministrijas ieskatā snieguma finansējuma ieviešana nākotnē lielā mērā varētu tikt balstīta uz izglītības iestādes darbības efektivitātes rādītājiem, kas izglītības iestādes stimulētu uzlabot savu darbību.</w:t>
      </w:r>
    </w:p>
    <w:p w14:paraId="6C898A26" w14:textId="5AE81341" w:rsidR="001553A8" w:rsidRDefault="001553A8" w:rsidP="00A510E4">
      <w:pPr>
        <w:pStyle w:val="Heading1"/>
        <w:numPr>
          <w:ilvl w:val="0"/>
          <w:numId w:val="3"/>
        </w:numPr>
        <w:spacing w:before="0" w:after="120" w:line="276" w:lineRule="auto"/>
        <w:ind w:left="714" w:hanging="357"/>
        <w:jc w:val="center"/>
        <w:rPr>
          <w:rFonts w:ascii="Times New Roman" w:hAnsi="Times New Roman" w:cs="Times New Roman"/>
          <w:b/>
          <w:color w:val="000000" w:themeColor="text1"/>
          <w:sz w:val="28"/>
          <w:szCs w:val="28"/>
        </w:rPr>
      </w:pPr>
      <w:bookmarkStart w:id="17" w:name="_Toc53136191"/>
      <w:r w:rsidRPr="001553A8">
        <w:rPr>
          <w:rFonts w:ascii="Times New Roman" w:hAnsi="Times New Roman" w:cs="Times New Roman"/>
          <w:b/>
          <w:color w:val="000000" w:themeColor="text1"/>
          <w:sz w:val="28"/>
          <w:szCs w:val="28"/>
        </w:rPr>
        <w:t>Risinājuma sākotnējās ietekmes izvērtējums</w:t>
      </w:r>
      <w:bookmarkEnd w:id="17"/>
    </w:p>
    <w:p w14:paraId="142D4380" w14:textId="77777777" w:rsidR="00164581" w:rsidRPr="00164581" w:rsidRDefault="00164581" w:rsidP="008E78B7">
      <w:pPr>
        <w:spacing w:after="120" w:line="276" w:lineRule="auto"/>
        <w:jc w:val="both"/>
        <w:rPr>
          <w:rFonts w:ascii="Times New Roman" w:hAnsi="Times New Roman" w:cs="Times New Roman"/>
          <w:sz w:val="24"/>
          <w:szCs w:val="28"/>
          <w:highlight w:val="yellow"/>
        </w:rPr>
      </w:pPr>
      <w:r w:rsidRPr="00164581">
        <w:rPr>
          <w:rFonts w:ascii="Times New Roman" w:hAnsi="Times New Roman" w:cs="Times New Roman"/>
          <w:sz w:val="24"/>
          <w:szCs w:val="28"/>
        </w:rPr>
        <w:t>Finansējuma piešķiršana atbilstoši viena izglītojamā izglītošanas izmaksām konkrētā izglītības programmā profesionālās izglītības iestādēm ļauj plānot noteiktu skaitu speciālistu, kas jāsagatavo, tāpat arī šī pieeja ļauj plānot savus resursus ilgākā laika periodā, jo izglītojamo uzņemšana profesionālās izglītības programmās tiek plānota saskaņā ar NEP prognozēm nākamajiem trīs gadiem. Vienlaikus šobrīd valstī finansējums profesionālās izglītības programmu īstenošanai tiek aprēķināts saskaņā ar 2007.gadā noteikto kārtību – MK noteikumiem Nr. 655, kas nozīmē, ka profesionālās izglītības programmu īstenošanas izmaksu minimums uz vienu izglītojamo nav pārskatīts vairāk nekā desmit gadus.</w:t>
      </w:r>
    </w:p>
    <w:p w14:paraId="385F35F6" w14:textId="5B96C688" w:rsidR="00164581" w:rsidRDefault="00164581" w:rsidP="008E78B7">
      <w:pPr>
        <w:spacing w:after="120" w:line="276" w:lineRule="auto"/>
        <w:jc w:val="both"/>
        <w:rPr>
          <w:rFonts w:ascii="Times New Roman" w:hAnsi="Times New Roman" w:cs="Times New Roman"/>
          <w:sz w:val="24"/>
          <w:szCs w:val="28"/>
        </w:rPr>
      </w:pPr>
      <w:r w:rsidRPr="008E78B7">
        <w:rPr>
          <w:rFonts w:ascii="Times New Roman" w:hAnsi="Times New Roman" w:cs="Times New Roman"/>
          <w:sz w:val="24"/>
          <w:szCs w:val="28"/>
        </w:rPr>
        <w:t>Kopš tā laika profesionālajā izglītībā ir notikušas būtiskas pārmaiņas, kas aprakstītas ziņojuma 2.3. sadaļā, vienlaikus mainījusies arī sociālekonomiskā situācija valstī, kas attiecīgi nosaka nepieciešamību</w:t>
      </w:r>
      <w:r w:rsidRPr="00164581">
        <w:rPr>
          <w:rFonts w:ascii="Times New Roman" w:hAnsi="Times New Roman" w:cs="Times New Roman"/>
          <w:sz w:val="24"/>
          <w:szCs w:val="28"/>
        </w:rPr>
        <w:t xml:space="preserve"> izvērtēt profesionālās izglītības programmu īstenošanas izmaksu minimumu uz vienu izglītojamo un tās aktualizēt, nodrošinot piešķirtā valsts finansējuma atbilstību profesionālas izglītības programmu īstenošanas faktiskajām izmaksām. Nosakot profesionālas izglītības programmu īstenošanas faktiskajām izmaksām atbilstošu valsts budžeta finansējumu tiks nodrošināts pilnvērtīgs un kvalitatīvs mācību process izglītības iestādēs, kurās tiek īstenotas profesionālās izglītības programmas un tiek sagatavoti valsts tautsaimniecības nozarēm un darba tirgum </w:t>
      </w:r>
      <w:r w:rsidR="00310309">
        <w:rPr>
          <w:rFonts w:ascii="Times New Roman" w:hAnsi="Times New Roman" w:cs="Times New Roman"/>
          <w:sz w:val="24"/>
          <w:szCs w:val="28"/>
        </w:rPr>
        <w:t>atbilstoši</w:t>
      </w:r>
      <w:r w:rsidR="00310309" w:rsidRPr="00164581">
        <w:rPr>
          <w:rFonts w:ascii="Times New Roman" w:hAnsi="Times New Roman" w:cs="Times New Roman"/>
          <w:sz w:val="24"/>
          <w:szCs w:val="28"/>
        </w:rPr>
        <w:t xml:space="preserve"> </w:t>
      </w:r>
      <w:r w:rsidRPr="00164581">
        <w:rPr>
          <w:rFonts w:ascii="Times New Roman" w:hAnsi="Times New Roman" w:cs="Times New Roman"/>
          <w:sz w:val="24"/>
          <w:szCs w:val="28"/>
        </w:rPr>
        <w:t>speciālisti.</w:t>
      </w:r>
    </w:p>
    <w:p w14:paraId="1437996E" w14:textId="569F5ABB" w:rsidR="001553A8" w:rsidRDefault="001553A8" w:rsidP="00A510E4">
      <w:pPr>
        <w:pStyle w:val="Heading1"/>
        <w:numPr>
          <w:ilvl w:val="0"/>
          <w:numId w:val="3"/>
        </w:numPr>
        <w:spacing w:before="0" w:after="120" w:line="276" w:lineRule="auto"/>
        <w:ind w:left="714" w:hanging="357"/>
        <w:jc w:val="center"/>
        <w:rPr>
          <w:rFonts w:ascii="Times New Roman" w:hAnsi="Times New Roman" w:cs="Times New Roman"/>
          <w:b/>
          <w:color w:val="000000" w:themeColor="text1"/>
          <w:sz w:val="28"/>
          <w:szCs w:val="28"/>
        </w:rPr>
      </w:pPr>
      <w:bookmarkStart w:id="18" w:name="_Toc53136192"/>
      <w:r w:rsidRPr="001553A8">
        <w:rPr>
          <w:rFonts w:ascii="Times New Roman" w:hAnsi="Times New Roman" w:cs="Times New Roman"/>
          <w:b/>
          <w:color w:val="000000" w:themeColor="text1"/>
          <w:sz w:val="28"/>
          <w:szCs w:val="28"/>
        </w:rPr>
        <w:t>Ietekme uz valsts un pašvaldību budžetu</w:t>
      </w:r>
      <w:bookmarkEnd w:id="18"/>
    </w:p>
    <w:p w14:paraId="19CEB45C" w14:textId="42B373B6" w:rsidR="004316CD" w:rsidRDefault="000D4022" w:rsidP="004E229C">
      <w:pPr>
        <w:spacing w:after="120" w:line="276" w:lineRule="auto"/>
        <w:jc w:val="both"/>
        <w:rPr>
          <w:rFonts w:ascii="Times New Roman" w:hAnsi="Times New Roman" w:cs="Times New Roman"/>
          <w:sz w:val="24"/>
          <w:szCs w:val="28"/>
        </w:rPr>
      </w:pPr>
      <w:r>
        <w:rPr>
          <w:rFonts w:ascii="Times New Roman" w:hAnsi="Times New Roman" w:cs="Times New Roman"/>
          <w:sz w:val="24"/>
          <w:szCs w:val="28"/>
        </w:rPr>
        <w:t xml:space="preserve">IZM izvērtējot profesionālās izglītības programmu finansēšanas pilnveides iespējas, </w:t>
      </w:r>
      <w:r w:rsidR="007030B2">
        <w:rPr>
          <w:rFonts w:ascii="Times New Roman" w:hAnsi="Times New Roman" w:cs="Times New Roman"/>
          <w:sz w:val="24"/>
          <w:szCs w:val="28"/>
        </w:rPr>
        <w:t>sniedz priekšlikumu saglabāt finansēšanas principu – valsts budžeta finansējumu izglītības iestādēm profesionālās izglītības programmu īstenošanai piešķir</w:t>
      </w:r>
      <w:r w:rsidR="00A906AA">
        <w:rPr>
          <w:rFonts w:ascii="Times New Roman" w:hAnsi="Times New Roman" w:cs="Times New Roman"/>
          <w:sz w:val="24"/>
          <w:szCs w:val="28"/>
        </w:rPr>
        <w:t>o</w:t>
      </w:r>
      <w:r w:rsidR="007030B2">
        <w:rPr>
          <w:rFonts w:ascii="Times New Roman" w:hAnsi="Times New Roman" w:cs="Times New Roman"/>
          <w:sz w:val="24"/>
          <w:szCs w:val="28"/>
        </w:rPr>
        <w:t xml:space="preserve">t uz vienu izglītojamo gadā. Vienlaikus, </w:t>
      </w:r>
      <w:r>
        <w:rPr>
          <w:rFonts w:ascii="Times New Roman" w:hAnsi="Times New Roman" w:cs="Times New Roman"/>
          <w:sz w:val="24"/>
          <w:szCs w:val="28"/>
        </w:rPr>
        <w:t>ņemot vērā nepieciešamību aktualizēt</w:t>
      </w:r>
      <w:r w:rsidR="0072164D">
        <w:rPr>
          <w:rFonts w:ascii="Times New Roman" w:hAnsi="Times New Roman" w:cs="Times New Roman"/>
          <w:sz w:val="24"/>
          <w:szCs w:val="28"/>
        </w:rPr>
        <w:t xml:space="preserve"> profesionālās izglītības programmu īsteno</w:t>
      </w:r>
      <w:r w:rsidR="007030B2">
        <w:rPr>
          <w:rFonts w:ascii="Times New Roman" w:hAnsi="Times New Roman" w:cs="Times New Roman"/>
          <w:sz w:val="24"/>
          <w:szCs w:val="28"/>
        </w:rPr>
        <w:t>šanas izmaksas</w:t>
      </w:r>
      <w:r w:rsidR="00A906AA">
        <w:rPr>
          <w:rFonts w:ascii="Times New Roman" w:hAnsi="Times New Roman" w:cs="Times New Roman"/>
          <w:sz w:val="24"/>
          <w:szCs w:val="28"/>
        </w:rPr>
        <w:t xml:space="preserve"> </w:t>
      </w:r>
      <w:r w:rsidR="00A906AA">
        <w:rPr>
          <w:rFonts w:ascii="Times New Roman" w:hAnsi="Times New Roman" w:cs="Times New Roman"/>
          <w:sz w:val="24"/>
          <w:szCs w:val="28"/>
        </w:rPr>
        <w:lastRenderedPageBreak/>
        <w:t>-</w:t>
      </w:r>
      <w:r>
        <w:rPr>
          <w:rFonts w:ascii="Times New Roman" w:hAnsi="Times New Roman" w:cs="Times New Roman"/>
          <w:sz w:val="24"/>
          <w:szCs w:val="28"/>
        </w:rPr>
        <w:t xml:space="preserve"> </w:t>
      </w:r>
      <w:r w:rsidRPr="00FE31E5">
        <w:rPr>
          <w:rFonts w:ascii="Times New Roman" w:hAnsi="Times New Roman" w:cs="Times New Roman"/>
          <w:sz w:val="24"/>
          <w:szCs w:val="28"/>
        </w:rPr>
        <w:t>profesionālās izglītības progra</w:t>
      </w:r>
      <w:r>
        <w:rPr>
          <w:rFonts w:ascii="Times New Roman" w:hAnsi="Times New Roman" w:cs="Times New Roman"/>
          <w:sz w:val="24"/>
          <w:szCs w:val="28"/>
        </w:rPr>
        <w:t>mmu īstenošanas izmaksu minimumu</w:t>
      </w:r>
      <w:r w:rsidRPr="00FE31E5">
        <w:rPr>
          <w:rFonts w:ascii="Times New Roman" w:hAnsi="Times New Roman" w:cs="Times New Roman"/>
          <w:sz w:val="24"/>
          <w:szCs w:val="28"/>
        </w:rPr>
        <w:t xml:space="preserve"> uz vienu izglītojamo </w:t>
      </w:r>
      <w:r>
        <w:rPr>
          <w:rFonts w:ascii="Times New Roman" w:hAnsi="Times New Roman" w:cs="Times New Roman"/>
          <w:sz w:val="24"/>
          <w:szCs w:val="28"/>
        </w:rPr>
        <w:t xml:space="preserve">palielināt </w:t>
      </w:r>
      <w:r w:rsidRPr="00563F65">
        <w:rPr>
          <w:rFonts w:ascii="Times New Roman" w:hAnsi="Times New Roman" w:cs="Times New Roman"/>
          <w:sz w:val="24"/>
          <w:szCs w:val="28"/>
        </w:rPr>
        <w:t xml:space="preserve">līdz 624,86 EUR, </w:t>
      </w:r>
      <w:r w:rsidR="0056322A">
        <w:rPr>
          <w:rFonts w:ascii="Times New Roman" w:hAnsi="Times New Roman" w:cs="Times New Roman"/>
          <w:sz w:val="24"/>
          <w:szCs w:val="28"/>
        </w:rPr>
        <w:t>tāpat arī dienesta viesnīcu izmaksas palielināt līdz 351,69 EUR,</w:t>
      </w:r>
      <w:r w:rsidR="0056322A" w:rsidRPr="00563F65">
        <w:rPr>
          <w:rFonts w:ascii="Times New Roman" w:hAnsi="Times New Roman" w:cs="Times New Roman"/>
          <w:sz w:val="24"/>
          <w:szCs w:val="28"/>
        </w:rPr>
        <w:t xml:space="preserve"> </w:t>
      </w:r>
      <w:r w:rsidRPr="00563F65">
        <w:rPr>
          <w:rFonts w:ascii="Times New Roman" w:hAnsi="Times New Roman" w:cs="Times New Roman"/>
          <w:sz w:val="24"/>
          <w:szCs w:val="28"/>
        </w:rPr>
        <w:t>kam papildus nepieciešam</w:t>
      </w:r>
      <w:r w:rsidR="00297C04">
        <w:rPr>
          <w:rFonts w:ascii="Times New Roman" w:hAnsi="Times New Roman" w:cs="Times New Roman"/>
          <w:sz w:val="24"/>
          <w:szCs w:val="28"/>
        </w:rPr>
        <w:t>s valsts budžeta finansējums 6,9 milj. </w:t>
      </w:r>
      <w:r w:rsidR="0056322A">
        <w:rPr>
          <w:rFonts w:ascii="Times New Roman" w:hAnsi="Times New Roman" w:cs="Times New Roman"/>
          <w:sz w:val="24"/>
          <w:szCs w:val="28"/>
        </w:rPr>
        <w:t xml:space="preserve">EUR apmērā. IZM priekšlikuma īstenošanai paredz divus iespējamos scenārijus, viens no tiem paredz bāzes finansējumu palielināt pilnā apmērā </w:t>
      </w:r>
      <w:r w:rsidR="0084332C">
        <w:rPr>
          <w:rFonts w:ascii="Times New Roman" w:hAnsi="Times New Roman" w:cs="Times New Roman"/>
          <w:sz w:val="24"/>
          <w:szCs w:val="28"/>
        </w:rPr>
        <w:t>no 2022</w:t>
      </w:r>
      <w:r w:rsidR="0056322A">
        <w:rPr>
          <w:rFonts w:ascii="Times New Roman" w:hAnsi="Times New Roman" w:cs="Times New Roman"/>
          <w:sz w:val="24"/>
          <w:szCs w:val="28"/>
        </w:rPr>
        <w:t xml:space="preserve">.gada </w:t>
      </w:r>
      <w:r w:rsidR="0056322A" w:rsidRPr="00563F65">
        <w:rPr>
          <w:rFonts w:ascii="Times New Roman" w:hAnsi="Times New Roman" w:cs="Times New Roman"/>
          <w:sz w:val="24"/>
          <w:szCs w:val="28"/>
        </w:rPr>
        <w:t>(skatīt Tabula Nr. 3)</w:t>
      </w:r>
      <w:r w:rsidR="0056322A">
        <w:rPr>
          <w:rFonts w:ascii="Times New Roman" w:hAnsi="Times New Roman" w:cs="Times New Roman"/>
          <w:sz w:val="24"/>
          <w:szCs w:val="28"/>
        </w:rPr>
        <w:t>, savukārt otrs – bāzes finansējumu palielināt pakāpeniski trīs gadu laikā (skatīt Tabula Nr. 4</w:t>
      </w:r>
      <w:r w:rsidR="0056322A" w:rsidRPr="00563F65">
        <w:rPr>
          <w:rFonts w:ascii="Times New Roman" w:hAnsi="Times New Roman" w:cs="Times New Roman"/>
          <w:sz w:val="24"/>
          <w:szCs w:val="28"/>
        </w:rPr>
        <w:t>).</w:t>
      </w:r>
    </w:p>
    <w:p w14:paraId="2E023845" w14:textId="77777777" w:rsidR="004C58F8" w:rsidRPr="0085398B" w:rsidRDefault="004C58F8" w:rsidP="009B3228">
      <w:pPr>
        <w:pStyle w:val="ListParagraph"/>
        <w:shd w:val="clear" w:color="auto" w:fill="FFFFFF"/>
        <w:spacing w:after="0" w:line="360" w:lineRule="auto"/>
        <w:contextualSpacing w:val="0"/>
        <w:jc w:val="right"/>
        <w:rPr>
          <w:rFonts w:ascii="Times New Roman" w:eastAsia="Times New Roman" w:hAnsi="Times New Roman" w:cs="Times New Roman"/>
          <w:b/>
          <w:bCs/>
          <w:sz w:val="24"/>
        </w:rPr>
      </w:pPr>
      <w:r>
        <w:rPr>
          <w:rFonts w:ascii="Times New Roman" w:eastAsia="Times New Roman" w:hAnsi="Times New Roman" w:cs="Times New Roman"/>
          <w:b/>
          <w:bCs/>
          <w:sz w:val="24"/>
        </w:rPr>
        <w:t>Tabula Nr. 3</w:t>
      </w:r>
      <w:r w:rsidRPr="0085398B">
        <w:rPr>
          <w:rFonts w:ascii="Times New Roman" w:eastAsia="Times New Roman" w:hAnsi="Times New Roman" w:cs="Times New Roman"/>
          <w:b/>
          <w:bCs/>
          <w:sz w:val="24"/>
        </w:rPr>
        <w:t xml:space="preserve">. Piedāvātā risinājuma ietekme uz </w:t>
      </w:r>
      <w:r>
        <w:rPr>
          <w:rFonts w:ascii="Times New Roman" w:eastAsia="Times New Roman" w:hAnsi="Times New Roman" w:cs="Times New Roman"/>
          <w:b/>
          <w:bCs/>
          <w:sz w:val="24"/>
        </w:rPr>
        <w:t xml:space="preserve">valsts </w:t>
      </w:r>
      <w:r w:rsidRPr="0085398B">
        <w:rPr>
          <w:rFonts w:ascii="Times New Roman" w:eastAsia="Times New Roman" w:hAnsi="Times New Roman" w:cs="Times New Roman"/>
          <w:b/>
          <w:bCs/>
          <w:sz w:val="24"/>
        </w:rPr>
        <w:t>budžetu</w:t>
      </w:r>
    </w:p>
    <w:tbl>
      <w:tblPr>
        <w:tblW w:w="5009" w:type="pct"/>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843"/>
        <w:gridCol w:w="1701"/>
        <w:gridCol w:w="851"/>
        <w:gridCol w:w="850"/>
        <w:gridCol w:w="851"/>
        <w:gridCol w:w="992"/>
        <w:gridCol w:w="992"/>
        <w:gridCol w:w="991"/>
      </w:tblGrid>
      <w:tr w:rsidR="004C58F8" w:rsidRPr="00830656" w14:paraId="2E99AFAC" w14:textId="77777777" w:rsidTr="004C58F8">
        <w:trPr>
          <w:trHeight w:val="680"/>
        </w:trPr>
        <w:tc>
          <w:tcPr>
            <w:tcW w:w="1843" w:type="dxa"/>
            <w:vMerge w:val="restart"/>
            <w:tcBorders>
              <w:top w:val="outset" w:sz="6" w:space="0" w:color="414142"/>
              <w:left w:val="outset" w:sz="6" w:space="0" w:color="414142"/>
              <w:right w:val="outset" w:sz="6" w:space="0" w:color="414142"/>
            </w:tcBorders>
            <w:shd w:val="clear" w:color="auto" w:fill="FFFFFF"/>
            <w:vAlign w:val="center"/>
          </w:tcPr>
          <w:p w14:paraId="26356BFC" w14:textId="77777777" w:rsidR="004C58F8" w:rsidRPr="009C2AFA" w:rsidRDefault="004C58F8" w:rsidP="008C1F3B">
            <w:pPr>
              <w:spacing w:after="0"/>
              <w:jc w:val="center"/>
              <w:rPr>
                <w:rFonts w:ascii="Times New Roman" w:eastAsia="Times New Roman" w:hAnsi="Times New Roman" w:cs="Times New Roman"/>
              </w:rPr>
            </w:pPr>
            <w:r w:rsidRPr="00830656">
              <w:rPr>
                <w:rFonts w:ascii="Times New Roman" w:eastAsia="Times New Roman" w:hAnsi="Times New Roman" w:cs="Times New Roman"/>
                <w:bCs/>
              </w:rPr>
              <w:t>Risinājums</w:t>
            </w:r>
          </w:p>
        </w:tc>
        <w:tc>
          <w:tcPr>
            <w:tcW w:w="1701"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7C6FDF" w14:textId="77777777" w:rsidR="004C58F8" w:rsidRPr="00830656" w:rsidRDefault="004C58F8" w:rsidP="008C1F3B">
            <w:pPr>
              <w:spacing w:after="0" w:line="240" w:lineRule="auto"/>
              <w:jc w:val="center"/>
              <w:rPr>
                <w:rFonts w:ascii="Times New Roman" w:eastAsia="Times New Roman" w:hAnsi="Times New Roman" w:cs="Times New Roman"/>
                <w:bCs/>
              </w:rPr>
            </w:pPr>
            <w:r w:rsidRPr="00830656">
              <w:rPr>
                <w:rFonts w:ascii="Times New Roman" w:eastAsia="Times New Roman" w:hAnsi="Times New Roman" w:cs="Times New Roman"/>
                <w:bCs/>
              </w:rPr>
              <w:t>Institūcija</w:t>
            </w:r>
          </w:p>
        </w:tc>
        <w:tc>
          <w:tcPr>
            <w:tcW w:w="2552"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DCA93C" w14:textId="77777777" w:rsidR="004C58F8" w:rsidRPr="00830656" w:rsidRDefault="004C58F8" w:rsidP="008C1F3B">
            <w:pPr>
              <w:spacing w:after="0" w:line="240" w:lineRule="auto"/>
              <w:jc w:val="center"/>
              <w:rPr>
                <w:rFonts w:ascii="Times New Roman" w:eastAsia="Times New Roman" w:hAnsi="Times New Roman" w:cs="Times New Roman"/>
                <w:bCs/>
              </w:rPr>
            </w:pPr>
            <w:r w:rsidRPr="00830656">
              <w:rPr>
                <w:rFonts w:ascii="Times New Roman" w:eastAsia="Times New Roman" w:hAnsi="Times New Roman" w:cs="Times New Roman"/>
                <w:bCs/>
              </w:rPr>
              <w:t>Vidēja termiņa budžeta ietvara likumā plānotais finansējums, EUR</w:t>
            </w:r>
          </w:p>
        </w:tc>
        <w:tc>
          <w:tcPr>
            <w:tcW w:w="2975"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5539DE" w14:textId="77777777" w:rsidR="004C58F8" w:rsidRPr="00830656" w:rsidRDefault="004C58F8" w:rsidP="008C1F3B">
            <w:pPr>
              <w:spacing w:after="0" w:line="240" w:lineRule="auto"/>
              <w:jc w:val="center"/>
              <w:rPr>
                <w:rFonts w:ascii="Times New Roman" w:eastAsia="Times New Roman" w:hAnsi="Times New Roman" w:cs="Times New Roman"/>
                <w:bCs/>
              </w:rPr>
            </w:pPr>
            <w:r w:rsidRPr="00830656">
              <w:rPr>
                <w:rFonts w:ascii="Times New Roman" w:eastAsia="Times New Roman" w:hAnsi="Times New Roman" w:cs="Times New Roman"/>
                <w:bCs/>
              </w:rPr>
              <w:t>Nepieciešamais papildu finansējums, EUR</w:t>
            </w:r>
          </w:p>
        </w:tc>
      </w:tr>
      <w:tr w:rsidR="004C58F8" w:rsidRPr="00830656" w14:paraId="6024DCD5" w14:textId="77777777" w:rsidTr="004C58F8">
        <w:trPr>
          <w:trHeight w:val="438"/>
        </w:trPr>
        <w:tc>
          <w:tcPr>
            <w:tcW w:w="1843" w:type="dxa"/>
            <w:vMerge/>
            <w:tcBorders>
              <w:left w:val="outset" w:sz="6" w:space="0" w:color="414142"/>
              <w:bottom w:val="outset" w:sz="6" w:space="0" w:color="414142"/>
              <w:right w:val="outset" w:sz="6" w:space="0" w:color="414142"/>
            </w:tcBorders>
            <w:shd w:val="clear" w:color="auto" w:fill="FFFFFF"/>
          </w:tcPr>
          <w:p w14:paraId="58F531E6" w14:textId="77777777" w:rsidR="004C58F8" w:rsidRPr="00830656" w:rsidRDefault="004C58F8" w:rsidP="008C1F3B">
            <w:pPr>
              <w:spacing w:after="0" w:line="240" w:lineRule="auto"/>
              <w:rPr>
                <w:rFonts w:ascii="Times New Roman" w:eastAsia="Times New Roman" w:hAnsi="Times New Roman" w:cs="Times New Roman"/>
                <w:b/>
                <w:bCs/>
              </w:rPr>
            </w:pPr>
          </w:p>
        </w:tc>
        <w:tc>
          <w:tcPr>
            <w:tcW w:w="1701"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882B48" w14:textId="77777777" w:rsidR="004C58F8" w:rsidRPr="00830656" w:rsidRDefault="004C58F8" w:rsidP="008C1F3B">
            <w:pPr>
              <w:spacing w:after="0" w:line="240" w:lineRule="auto"/>
              <w:rPr>
                <w:rFonts w:ascii="Times New Roman" w:eastAsia="Times New Roman" w:hAnsi="Times New Roman" w:cs="Times New Roman"/>
                <w:b/>
                <w:bCs/>
              </w:rPr>
            </w:pPr>
          </w:p>
        </w:tc>
        <w:tc>
          <w:tcPr>
            <w:tcW w:w="8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F1441E" w14:textId="13706A98" w:rsidR="004C58F8" w:rsidRPr="00830656" w:rsidRDefault="0084332C" w:rsidP="008C1F3B">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2022</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CF205F" w14:textId="15B9E72A" w:rsidR="004C58F8" w:rsidRPr="00830656" w:rsidRDefault="0084332C" w:rsidP="008C1F3B">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2023</w:t>
            </w:r>
          </w:p>
        </w:tc>
        <w:tc>
          <w:tcPr>
            <w:tcW w:w="8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199E86" w14:textId="68F1723A" w:rsidR="004C58F8" w:rsidRPr="00830656" w:rsidRDefault="0084332C" w:rsidP="008C1F3B">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2024</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E3557E" w14:textId="5D0CB458" w:rsidR="004C58F8" w:rsidRPr="00830656" w:rsidRDefault="0084332C" w:rsidP="008C1F3B">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2022</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53A24F" w14:textId="0F809118" w:rsidR="004C58F8" w:rsidRPr="00830656" w:rsidRDefault="0084332C" w:rsidP="008C1F3B">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2023</w:t>
            </w:r>
          </w:p>
        </w:tc>
        <w:tc>
          <w:tcPr>
            <w:tcW w:w="99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867AE1" w14:textId="23B3A8E7" w:rsidR="004C58F8" w:rsidRPr="00830656" w:rsidRDefault="0084332C" w:rsidP="008C1F3B">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2024</w:t>
            </w:r>
          </w:p>
        </w:tc>
      </w:tr>
      <w:tr w:rsidR="004C58F8" w:rsidRPr="00830656" w14:paraId="63DBB0BF" w14:textId="77777777" w:rsidTr="004C58F8">
        <w:trPr>
          <w:trHeight w:val="1077"/>
        </w:trPr>
        <w:tc>
          <w:tcPr>
            <w:tcW w:w="1843" w:type="dxa"/>
            <w:vMerge w:val="restart"/>
            <w:tcBorders>
              <w:top w:val="outset" w:sz="6" w:space="0" w:color="414142"/>
              <w:left w:val="outset" w:sz="6" w:space="0" w:color="414142"/>
              <w:right w:val="outset" w:sz="6" w:space="0" w:color="414142"/>
            </w:tcBorders>
            <w:shd w:val="clear" w:color="auto" w:fill="FFFFFF"/>
            <w:vAlign w:val="center"/>
          </w:tcPr>
          <w:p w14:paraId="0138C215" w14:textId="77777777" w:rsidR="004C58F8" w:rsidRPr="00830656" w:rsidRDefault="004C58F8" w:rsidP="008E1610">
            <w:pPr>
              <w:spacing w:after="120" w:line="276" w:lineRule="auto"/>
              <w:rPr>
                <w:rFonts w:ascii="Times New Roman" w:hAnsi="Times New Roman" w:cs="Times New Roman"/>
              </w:rPr>
            </w:pPr>
            <w:r w:rsidRPr="00830656">
              <w:rPr>
                <w:rFonts w:ascii="Times New Roman" w:eastAsia="Times New Roman" w:hAnsi="Times New Roman" w:cs="Times New Roman"/>
                <w:bCs/>
              </w:rPr>
              <w:t>Ziņojumā paredzētā risinājuma ieviešanai</w:t>
            </w:r>
            <w:r>
              <w:rPr>
                <w:rFonts w:ascii="Times New Roman" w:eastAsia="Times New Roman" w:hAnsi="Times New Roman" w:cs="Times New Roman"/>
                <w:bCs/>
              </w:rPr>
              <w:t xml:space="preserve"> -</w:t>
            </w:r>
            <w:r>
              <w:t xml:space="preserve"> </w:t>
            </w:r>
            <w:r w:rsidRPr="009C2AFA">
              <w:rPr>
                <w:rFonts w:ascii="Times New Roman" w:eastAsia="Times New Roman" w:hAnsi="Times New Roman" w:cs="Times New Roman"/>
                <w:bCs/>
              </w:rPr>
              <w:t>profesionālās izglītības programmu īstenošanas izmaksu minimuma</w:t>
            </w:r>
            <w:r>
              <w:rPr>
                <w:rFonts w:ascii="Times New Roman" w:eastAsia="Times New Roman" w:hAnsi="Times New Roman" w:cs="Times New Roman"/>
                <w:bCs/>
              </w:rPr>
              <w:t xml:space="preserve"> palielināšanai</w:t>
            </w:r>
          </w:p>
        </w:tc>
        <w:tc>
          <w:tcPr>
            <w:tcW w:w="170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7A45EA" w14:textId="77777777" w:rsidR="004C58F8" w:rsidRPr="00830656" w:rsidRDefault="004C58F8" w:rsidP="008C1F3B">
            <w:pPr>
              <w:spacing w:after="0" w:line="240" w:lineRule="auto"/>
              <w:rPr>
                <w:rFonts w:ascii="Times New Roman" w:eastAsia="Times New Roman" w:hAnsi="Times New Roman" w:cs="Times New Roman"/>
              </w:rPr>
            </w:pPr>
            <w:r w:rsidRPr="00830656">
              <w:rPr>
                <w:rFonts w:ascii="Times New Roman" w:hAnsi="Times New Roman" w:cs="Times New Roman"/>
              </w:rPr>
              <w:t>Izglītības un zinātnes ministrija</w:t>
            </w:r>
          </w:p>
        </w:tc>
        <w:tc>
          <w:tcPr>
            <w:tcW w:w="8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D91B3E" w14:textId="77777777" w:rsidR="004C58F8" w:rsidRPr="00830656" w:rsidRDefault="004C58F8" w:rsidP="008C1F3B">
            <w:pPr>
              <w:spacing w:after="0" w:line="240" w:lineRule="auto"/>
              <w:jc w:val="center"/>
              <w:rPr>
                <w:rFonts w:ascii="Times New Roman" w:eastAsia="Times New Roman" w:hAnsi="Times New Roman" w:cs="Times New Roman"/>
              </w:rPr>
            </w:pPr>
            <w:r w:rsidRPr="00830656">
              <w:rPr>
                <w:rFonts w:ascii="Times New Roman" w:eastAsia="Times New Roman" w:hAnsi="Times New Roman" w:cs="Times New Roman"/>
              </w:rPr>
              <w:t>0</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F6FADB" w14:textId="77777777" w:rsidR="004C58F8" w:rsidRPr="00830656" w:rsidRDefault="004C58F8" w:rsidP="008C1F3B">
            <w:pPr>
              <w:spacing w:after="0" w:line="240" w:lineRule="auto"/>
              <w:jc w:val="center"/>
              <w:rPr>
                <w:rFonts w:ascii="Times New Roman" w:eastAsia="Times New Roman" w:hAnsi="Times New Roman" w:cs="Times New Roman"/>
              </w:rPr>
            </w:pPr>
            <w:r w:rsidRPr="00830656">
              <w:rPr>
                <w:rFonts w:ascii="Times New Roman" w:eastAsia="Times New Roman" w:hAnsi="Times New Roman" w:cs="Times New Roman"/>
              </w:rPr>
              <w:t>0</w:t>
            </w:r>
          </w:p>
        </w:tc>
        <w:tc>
          <w:tcPr>
            <w:tcW w:w="8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027B86" w14:textId="77777777" w:rsidR="004C58F8" w:rsidRPr="00830656" w:rsidRDefault="004C58F8" w:rsidP="008C1F3B">
            <w:pPr>
              <w:spacing w:after="0" w:line="240" w:lineRule="auto"/>
              <w:jc w:val="center"/>
              <w:rPr>
                <w:rFonts w:ascii="Times New Roman" w:eastAsia="Times New Roman" w:hAnsi="Times New Roman" w:cs="Times New Roman"/>
              </w:rPr>
            </w:pPr>
            <w:r w:rsidRPr="00830656">
              <w:rPr>
                <w:rFonts w:ascii="Times New Roman" w:eastAsia="Times New Roman" w:hAnsi="Times New Roman" w:cs="Times New Roman"/>
              </w:rPr>
              <w:t>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549A6F6" w14:textId="77777777" w:rsidR="004C58F8" w:rsidRPr="00830656" w:rsidRDefault="004C58F8" w:rsidP="008C1F3B">
            <w:pPr>
              <w:spacing w:after="0" w:line="240" w:lineRule="auto"/>
              <w:jc w:val="center"/>
              <w:rPr>
                <w:rFonts w:ascii="Times New Roman" w:eastAsia="Times New Roman" w:hAnsi="Times New Roman" w:cs="Times New Roman"/>
              </w:rPr>
            </w:pPr>
            <w:r w:rsidRPr="00AE0C72">
              <w:rPr>
                <w:rFonts w:ascii="Times New Roman" w:hAnsi="Times New Roman" w:cs="Times New Roman"/>
              </w:rPr>
              <w:t>5 944 573</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596F8B2" w14:textId="77777777" w:rsidR="004C58F8" w:rsidRPr="00830656" w:rsidRDefault="004C58F8" w:rsidP="008C1F3B">
            <w:pPr>
              <w:spacing w:after="0" w:line="240" w:lineRule="auto"/>
              <w:jc w:val="center"/>
              <w:rPr>
                <w:rFonts w:ascii="Times New Roman" w:eastAsia="Times New Roman" w:hAnsi="Times New Roman" w:cs="Times New Roman"/>
              </w:rPr>
            </w:pPr>
            <w:r w:rsidRPr="00AE0C72">
              <w:rPr>
                <w:rFonts w:ascii="Times New Roman" w:hAnsi="Times New Roman" w:cs="Times New Roman"/>
              </w:rPr>
              <w:t>5 944 573</w:t>
            </w:r>
          </w:p>
        </w:tc>
        <w:tc>
          <w:tcPr>
            <w:tcW w:w="99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BCF8985" w14:textId="77777777" w:rsidR="004C58F8" w:rsidRPr="00830656" w:rsidRDefault="004C58F8" w:rsidP="008C1F3B">
            <w:pPr>
              <w:spacing w:after="0" w:line="240" w:lineRule="auto"/>
              <w:jc w:val="center"/>
              <w:rPr>
                <w:rFonts w:ascii="Times New Roman" w:eastAsia="Times New Roman" w:hAnsi="Times New Roman" w:cs="Times New Roman"/>
              </w:rPr>
            </w:pPr>
            <w:r w:rsidRPr="00AE0C72">
              <w:rPr>
                <w:rFonts w:ascii="Times New Roman" w:hAnsi="Times New Roman" w:cs="Times New Roman"/>
              </w:rPr>
              <w:t>5 944 573</w:t>
            </w:r>
          </w:p>
        </w:tc>
      </w:tr>
      <w:tr w:rsidR="004C58F8" w:rsidRPr="00830656" w14:paraId="09F95B2C" w14:textId="77777777" w:rsidTr="004C58F8">
        <w:trPr>
          <w:trHeight w:val="1077"/>
        </w:trPr>
        <w:tc>
          <w:tcPr>
            <w:tcW w:w="1843" w:type="dxa"/>
            <w:vMerge/>
            <w:tcBorders>
              <w:left w:val="outset" w:sz="6" w:space="0" w:color="414142"/>
              <w:right w:val="outset" w:sz="6" w:space="0" w:color="414142"/>
            </w:tcBorders>
            <w:shd w:val="clear" w:color="auto" w:fill="FFFFFF"/>
            <w:vAlign w:val="center"/>
          </w:tcPr>
          <w:p w14:paraId="7E186BEB" w14:textId="77777777" w:rsidR="004C58F8" w:rsidRPr="00830656" w:rsidRDefault="004C58F8" w:rsidP="008C1F3B">
            <w:pPr>
              <w:spacing w:after="120" w:line="276" w:lineRule="auto"/>
              <w:jc w:val="center"/>
              <w:rPr>
                <w:rFonts w:ascii="Times New Roman" w:hAnsi="Times New Roman" w:cs="Times New Roman"/>
              </w:rPr>
            </w:pPr>
          </w:p>
        </w:tc>
        <w:tc>
          <w:tcPr>
            <w:tcW w:w="170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9F12317" w14:textId="77777777" w:rsidR="004C58F8" w:rsidRPr="00830656" w:rsidRDefault="004C58F8" w:rsidP="008C1F3B">
            <w:pPr>
              <w:spacing w:after="120" w:line="276" w:lineRule="auto"/>
              <w:rPr>
                <w:rFonts w:ascii="Times New Roman" w:hAnsi="Times New Roman" w:cs="Times New Roman"/>
              </w:rPr>
            </w:pPr>
            <w:r w:rsidRPr="00830656">
              <w:rPr>
                <w:rFonts w:ascii="Times New Roman" w:hAnsi="Times New Roman" w:cs="Times New Roman"/>
              </w:rPr>
              <w:t>Kultūras ministrija</w:t>
            </w:r>
          </w:p>
          <w:p w14:paraId="02DBE1A1" w14:textId="77777777" w:rsidR="004C58F8" w:rsidRPr="00830656" w:rsidRDefault="004C58F8" w:rsidP="008C1F3B">
            <w:pPr>
              <w:spacing w:after="0" w:line="240" w:lineRule="auto"/>
              <w:rPr>
                <w:rFonts w:ascii="Times New Roman" w:hAnsi="Times New Roman" w:cs="Times New Roman"/>
              </w:rPr>
            </w:pPr>
          </w:p>
        </w:tc>
        <w:tc>
          <w:tcPr>
            <w:tcW w:w="85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86BA0C6" w14:textId="77777777" w:rsidR="004C58F8" w:rsidRPr="00830656" w:rsidRDefault="004C58F8" w:rsidP="008C1F3B">
            <w:pPr>
              <w:spacing w:after="0" w:line="240" w:lineRule="auto"/>
              <w:jc w:val="center"/>
              <w:rPr>
                <w:rFonts w:ascii="Times New Roman" w:eastAsia="Times New Roman" w:hAnsi="Times New Roman" w:cs="Times New Roman"/>
              </w:rPr>
            </w:pPr>
            <w:r w:rsidRPr="00830656">
              <w:rPr>
                <w:rFonts w:ascii="Times New Roman" w:eastAsia="Times New Roman" w:hAnsi="Times New Roman" w:cs="Times New Roman"/>
              </w:rPr>
              <w:t>0</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403AA1D" w14:textId="77777777" w:rsidR="004C58F8" w:rsidRPr="00830656" w:rsidRDefault="004C58F8" w:rsidP="008C1F3B">
            <w:pPr>
              <w:spacing w:after="0" w:line="240" w:lineRule="auto"/>
              <w:jc w:val="center"/>
              <w:rPr>
                <w:rFonts w:ascii="Times New Roman" w:eastAsia="Times New Roman" w:hAnsi="Times New Roman" w:cs="Times New Roman"/>
              </w:rPr>
            </w:pPr>
            <w:r w:rsidRPr="00830656">
              <w:rPr>
                <w:rFonts w:ascii="Times New Roman" w:eastAsia="Times New Roman" w:hAnsi="Times New Roman" w:cs="Times New Roman"/>
              </w:rPr>
              <w:t>0</w:t>
            </w:r>
          </w:p>
        </w:tc>
        <w:tc>
          <w:tcPr>
            <w:tcW w:w="85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BA217BD" w14:textId="77777777" w:rsidR="004C58F8" w:rsidRPr="00830656" w:rsidRDefault="004C58F8" w:rsidP="008C1F3B">
            <w:pPr>
              <w:spacing w:after="0" w:line="240" w:lineRule="auto"/>
              <w:jc w:val="center"/>
              <w:rPr>
                <w:rFonts w:ascii="Times New Roman" w:eastAsia="Times New Roman" w:hAnsi="Times New Roman" w:cs="Times New Roman"/>
              </w:rPr>
            </w:pPr>
            <w:r w:rsidRPr="00830656">
              <w:rPr>
                <w:rFonts w:ascii="Times New Roman" w:eastAsia="Times New Roman" w:hAnsi="Times New Roman" w:cs="Times New Roman"/>
              </w:rPr>
              <w:t>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4759B82" w14:textId="77777777" w:rsidR="004C58F8" w:rsidRPr="00830656" w:rsidRDefault="004C58F8" w:rsidP="008C1F3B">
            <w:pPr>
              <w:spacing w:after="0" w:line="240" w:lineRule="auto"/>
              <w:jc w:val="center"/>
              <w:rPr>
                <w:rFonts w:ascii="Times New Roman" w:eastAsia="Times New Roman" w:hAnsi="Times New Roman" w:cs="Times New Roman"/>
              </w:rPr>
            </w:pPr>
            <w:r>
              <w:rPr>
                <w:rFonts w:ascii="Times New Roman" w:hAnsi="Times New Roman" w:cs="Times New Roman"/>
              </w:rPr>
              <w:t>940 840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EDB88CA" w14:textId="77777777" w:rsidR="004C58F8" w:rsidRPr="00830656" w:rsidRDefault="004C58F8" w:rsidP="008C1F3B">
            <w:pPr>
              <w:spacing w:after="0" w:line="240" w:lineRule="auto"/>
              <w:jc w:val="center"/>
              <w:rPr>
                <w:rFonts w:ascii="Times New Roman" w:eastAsia="Times New Roman" w:hAnsi="Times New Roman" w:cs="Times New Roman"/>
              </w:rPr>
            </w:pPr>
            <w:r>
              <w:rPr>
                <w:rFonts w:ascii="Times New Roman" w:hAnsi="Times New Roman" w:cs="Times New Roman"/>
              </w:rPr>
              <w:t>940 840</w:t>
            </w:r>
          </w:p>
        </w:tc>
        <w:tc>
          <w:tcPr>
            <w:tcW w:w="99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71BA0EC" w14:textId="77777777" w:rsidR="004C58F8" w:rsidRPr="00830656" w:rsidRDefault="004C58F8" w:rsidP="008C1F3B">
            <w:pPr>
              <w:spacing w:after="0" w:line="240" w:lineRule="auto"/>
              <w:jc w:val="center"/>
              <w:rPr>
                <w:rFonts w:ascii="Times New Roman" w:eastAsia="Times New Roman" w:hAnsi="Times New Roman" w:cs="Times New Roman"/>
              </w:rPr>
            </w:pPr>
            <w:r>
              <w:rPr>
                <w:rFonts w:ascii="Times New Roman" w:hAnsi="Times New Roman" w:cs="Times New Roman"/>
              </w:rPr>
              <w:t>940 840</w:t>
            </w:r>
          </w:p>
        </w:tc>
      </w:tr>
      <w:tr w:rsidR="004C58F8" w:rsidRPr="00830656" w14:paraId="7EA4B645" w14:textId="77777777" w:rsidTr="004C58F8">
        <w:trPr>
          <w:trHeight w:val="1077"/>
        </w:trPr>
        <w:tc>
          <w:tcPr>
            <w:tcW w:w="1843" w:type="dxa"/>
            <w:vMerge/>
            <w:tcBorders>
              <w:left w:val="outset" w:sz="6" w:space="0" w:color="414142"/>
              <w:right w:val="outset" w:sz="6" w:space="0" w:color="414142"/>
            </w:tcBorders>
            <w:shd w:val="clear" w:color="auto" w:fill="FFFFFF"/>
          </w:tcPr>
          <w:p w14:paraId="3E2B6DDE" w14:textId="77777777" w:rsidR="004C58F8" w:rsidRPr="00830656" w:rsidRDefault="004C58F8" w:rsidP="008C1F3B">
            <w:pPr>
              <w:spacing w:after="0" w:line="240" w:lineRule="auto"/>
              <w:rPr>
                <w:rFonts w:ascii="Times New Roman" w:hAnsi="Times New Roman" w:cs="Times New Roman"/>
              </w:rPr>
            </w:pPr>
          </w:p>
        </w:tc>
        <w:tc>
          <w:tcPr>
            <w:tcW w:w="170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322B10C" w14:textId="77777777" w:rsidR="004C58F8" w:rsidRPr="00830656" w:rsidRDefault="004C58F8" w:rsidP="008C1F3B">
            <w:pPr>
              <w:spacing w:after="0" w:line="240" w:lineRule="auto"/>
              <w:rPr>
                <w:rFonts w:ascii="Times New Roman" w:hAnsi="Times New Roman" w:cs="Times New Roman"/>
              </w:rPr>
            </w:pPr>
            <w:r w:rsidRPr="00830656">
              <w:rPr>
                <w:rFonts w:ascii="Times New Roman" w:hAnsi="Times New Roman" w:cs="Times New Roman"/>
              </w:rPr>
              <w:t>Veselības ministrija</w:t>
            </w:r>
          </w:p>
        </w:tc>
        <w:tc>
          <w:tcPr>
            <w:tcW w:w="85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4EED335" w14:textId="77777777" w:rsidR="004C58F8" w:rsidRPr="00830656" w:rsidRDefault="004C58F8" w:rsidP="008C1F3B">
            <w:pPr>
              <w:spacing w:after="0" w:line="240" w:lineRule="auto"/>
              <w:jc w:val="center"/>
              <w:rPr>
                <w:rFonts w:ascii="Times New Roman" w:eastAsia="Times New Roman" w:hAnsi="Times New Roman" w:cs="Times New Roman"/>
              </w:rPr>
            </w:pPr>
            <w:r w:rsidRPr="00830656">
              <w:rPr>
                <w:rFonts w:ascii="Times New Roman" w:eastAsia="Times New Roman" w:hAnsi="Times New Roman" w:cs="Times New Roman"/>
              </w:rPr>
              <w:t>0</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929546C" w14:textId="77777777" w:rsidR="004C58F8" w:rsidRPr="00830656" w:rsidRDefault="004C58F8" w:rsidP="008C1F3B">
            <w:pPr>
              <w:spacing w:after="0" w:line="240" w:lineRule="auto"/>
              <w:jc w:val="center"/>
              <w:rPr>
                <w:rFonts w:ascii="Times New Roman" w:eastAsia="Times New Roman" w:hAnsi="Times New Roman" w:cs="Times New Roman"/>
              </w:rPr>
            </w:pPr>
            <w:r w:rsidRPr="00830656">
              <w:rPr>
                <w:rFonts w:ascii="Times New Roman" w:eastAsia="Times New Roman" w:hAnsi="Times New Roman" w:cs="Times New Roman"/>
              </w:rPr>
              <w:t>0</w:t>
            </w:r>
          </w:p>
        </w:tc>
        <w:tc>
          <w:tcPr>
            <w:tcW w:w="85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198879B" w14:textId="77777777" w:rsidR="004C58F8" w:rsidRPr="00830656" w:rsidRDefault="004C58F8" w:rsidP="008C1F3B">
            <w:pPr>
              <w:spacing w:after="0" w:line="240" w:lineRule="auto"/>
              <w:jc w:val="center"/>
              <w:rPr>
                <w:rFonts w:ascii="Times New Roman" w:eastAsia="Times New Roman" w:hAnsi="Times New Roman" w:cs="Times New Roman"/>
              </w:rPr>
            </w:pPr>
            <w:r w:rsidRPr="00830656">
              <w:rPr>
                <w:rFonts w:ascii="Times New Roman" w:eastAsia="Times New Roman" w:hAnsi="Times New Roman" w:cs="Times New Roman"/>
              </w:rPr>
              <w:t>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3970D03" w14:textId="77777777" w:rsidR="004C58F8" w:rsidRPr="00830656" w:rsidRDefault="004C58F8" w:rsidP="008C1F3B">
            <w:pPr>
              <w:spacing w:after="0" w:line="240" w:lineRule="auto"/>
              <w:jc w:val="center"/>
              <w:rPr>
                <w:rFonts w:ascii="Times New Roman" w:eastAsia="Times New Roman" w:hAnsi="Times New Roman" w:cs="Times New Roman"/>
              </w:rPr>
            </w:pPr>
            <w:r w:rsidRPr="00830656">
              <w:rPr>
                <w:rFonts w:ascii="Times New Roman" w:hAnsi="Times New Roman" w:cs="Times New Roman"/>
              </w:rPr>
              <w:t>38 761</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4DB25C7" w14:textId="77777777" w:rsidR="004C58F8" w:rsidRPr="00830656" w:rsidRDefault="004C58F8" w:rsidP="008C1F3B">
            <w:pPr>
              <w:spacing w:after="0" w:line="240" w:lineRule="auto"/>
              <w:jc w:val="center"/>
              <w:rPr>
                <w:rFonts w:ascii="Times New Roman" w:eastAsia="Times New Roman" w:hAnsi="Times New Roman" w:cs="Times New Roman"/>
              </w:rPr>
            </w:pPr>
            <w:r w:rsidRPr="00830656">
              <w:rPr>
                <w:rFonts w:ascii="Times New Roman" w:hAnsi="Times New Roman" w:cs="Times New Roman"/>
              </w:rPr>
              <w:t>38 761</w:t>
            </w:r>
          </w:p>
        </w:tc>
        <w:tc>
          <w:tcPr>
            <w:tcW w:w="99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644F62B" w14:textId="77777777" w:rsidR="004C58F8" w:rsidRPr="00830656" w:rsidRDefault="004C58F8" w:rsidP="008C1F3B">
            <w:pPr>
              <w:spacing w:after="0" w:line="240" w:lineRule="auto"/>
              <w:jc w:val="center"/>
              <w:rPr>
                <w:rFonts w:ascii="Times New Roman" w:eastAsia="Times New Roman" w:hAnsi="Times New Roman" w:cs="Times New Roman"/>
              </w:rPr>
            </w:pPr>
            <w:r w:rsidRPr="00830656">
              <w:rPr>
                <w:rFonts w:ascii="Times New Roman" w:hAnsi="Times New Roman" w:cs="Times New Roman"/>
              </w:rPr>
              <w:t>38 761</w:t>
            </w:r>
          </w:p>
        </w:tc>
      </w:tr>
      <w:tr w:rsidR="004C58F8" w:rsidRPr="00830656" w14:paraId="2E966583" w14:textId="77777777" w:rsidTr="004C58F8">
        <w:trPr>
          <w:trHeight w:val="1077"/>
        </w:trPr>
        <w:tc>
          <w:tcPr>
            <w:tcW w:w="1843" w:type="dxa"/>
            <w:vMerge/>
            <w:tcBorders>
              <w:left w:val="outset" w:sz="6" w:space="0" w:color="414142"/>
              <w:right w:val="outset" w:sz="6" w:space="0" w:color="414142"/>
            </w:tcBorders>
            <w:shd w:val="clear" w:color="auto" w:fill="FFFFFF"/>
          </w:tcPr>
          <w:p w14:paraId="0FF16F6D" w14:textId="77777777" w:rsidR="004C58F8" w:rsidRPr="00830656" w:rsidRDefault="004C58F8" w:rsidP="008C1F3B">
            <w:pPr>
              <w:spacing w:after="0" w:line="240" w:lineRule="auto"/>
              <w:rPr>
                <w:rFonts w:ascii="Times New Roman" w:hAnsi="Times New Roman" w:cs="Times New Roman"/>
              </w:rPr>
            </w:pPr>
          </w:p>
        </w:tc>
        <w:tc>
          <w:tcPr>
            <w:tcW w:w="170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C4C73E7" w14:textId="77777777" w:rsidR="004C58F8" w:rsidRPr="00830656" w:rsidRDefault="004C58F8" w:rsidP="008C1F3B">
            <w:pPr>
              <w:spacing w:after="0" w:line="240" w:lineRule="auto"/>
              <w:rPr>
                <w:rFonts w:ascii="Times New Roman" w:hAnsi="Times New Roman" w:cs="Times New Roman"/>
              </w:rPr>
            </w:pPr>
            <w:r w:rsidRPr="00830656">
              <w:rPr>
                <w:rFonts w:ascii="Times New Roman" w:hAnsi="Times New Roman" w:cs="Times New Roman"/>
              </w:rPr>
              <w:t>Zemkopības ministrija</w:t>
            </w:r>
          </w:p>
        </w:tc>
        <w:tc>
          <w:tcPr>
            <w:tcW w:w="85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C072D72" w14:textId="77777777" w:rsidR="004C58F8" w:rsidRPr="00830656" w:rsidRDefault="004C58F8" w:rsidP="008C1F3B">
            <w:pPr>
              <w:spacing w:after="0" w:line="240" w:lineRule="auto"/>
              <w:jc w:val="center"/>
              <w:rPr>
                <w:rFonts w:ascii="Times New Roman" w:eastAsia="Times New Roman" w:hAnsi="Times New Roman" w:cs="Times New Roman"/>
              </w:rPr>
            </w:pPr>
            <w:r w:rsidRPr="00830656">
              <w:rPr>
                <w:rFonts w:ascii="Times New Roman" w:eastAsia="Times New Roman" w:hAnsi="Times New Roman" w:cs="Times New Roman"/>
              </w:rPr>
              <w:t>0</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A676806" w14:textId="77777777" w:rsidR="004C58F8" w:rsidRPr="00830656" w:rsidRDefault="004C58F8" w:rsidP="008C1F3B">
            <w:pPr>
              <w:spacing w:after="0" w:line="240" w:lineRule="auto"/>
              <w:jc w:val="center"/>
              <w:rPr>
                <w:rFonts w:ascii="Times New Roman" w:eastAsia="Times New Roman" w:hAnsi="Times New Roman" w:cs="Times New Roman"/>
              </w:rPr>
            </w:pPr>
            <w:r w:rsidRPr="00830656">
              <w:rPr>
                <w:rFonts w:ascii="Times New Roman" w:eastAsia="Times New Roman" w:hAnsi="Times New Roman" w:cs="Times New Roman"/>
              </w:rPr>
              <w:t>0</w:t>
            </w:r>
          </w:p>
        </w:tc>
        <w:tc>
          <w:tcPr>
            <w:tcW w:w="85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C0E8074" w14:textId="77777777" w:rsidR="004C58F8" w:rsidRPr="00830656" w:rsidRDefault="004C58F8" w:rsidP="008C1F3B">
            <w:pPr>
              <w:spacing w:after="0" w:line="240" w:lineRule="auto"/>
              <w:jc w:val="center"/>
              <w:rPr>
                <w:rFonts w:ascii="Times New Roman" w:eastAsia="Times New Roman" w:hAnsi="Times New Roman" w:cs="Times New Roman"/>
              </w:rPr>
            </w:pPr>
            <w:r w:rsidRPr="00830656">
              <w:rPr>
                <w:rFonts w:ascii="Times New Roman" w:eastAsia="Times New Roman" w:hAnsi="Times New Roman" w:cs="Times New Roman"/>
              </w:rPr>
              <w:t>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362A68D" w14:textId="77777777" w:rsidR="004C58F8" w:rsidRPr="00830656" w:rsidRDefault="004C58F8" w:rsidP="008C1F3B">
            <w:pPr>
              <w:spacing w:after="0" w:line="240" w:lineRule="auto"/>
              <w:jc w:val="center"/>
              <w:rPr>
                <w:rFonts w:ascii="Times New Roman" w:eastAsia="Times New Roman" w:hAnsi="Times New Roman" w:cs="Times New Roman"/>
              </w:rPr>
            </w:pPr>
            <w:r w:rsidRPr="00830656">
              <w:rPr>
                <w:rFonts w:ascii="Times New Roman" w:hAnsi="Times New Roman" w:cs="Times New Roman"/>
              </w:rPr>
              <w:t>60 055</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A9C42D8" w14:textId="77777777" w:rsidR="004C58F8" w:rsidRPr="00830656" w:rsidRDefault="004C58F8" w:rsidP="008C1F3B">
            <w:pPr>
              <w:spacing w:after="0" w:line="240" w:lineRule="auto"/>
              <w:jc w:val="center"/>
              <w:rPr>
                <w:rFonts w:ascii="Times New Roman" w:eastAsia="Times New Roman" w:hAnsi="Times New Roman" w:cs="Times New Roman"/>
              </w:rPr>
            </w:pPr>
            <w:r w:rsidRPr="00830656">
              <w:rPr>
                <w:rFonts w:ascii="Times New Roman" w:hAnsi="Times New Roman" w:cs="Times New Roman"/>
              </w:rPr>
              <w:t>60 055</w:t>
            </w:r>
          </w:p>
        </w:tc>
        <w:tc>
          <w:tcPr>
            <w:tcW w:w="99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7BD2737" w14:textId="77777777" w:rsidR="004C58F8" w:rsidRPr="00830656" w:rsidRDefault="004C58F8" w:rsidP="008C1F3B">
            <w:pPr>
              <w:spacing w:after="0" w:line="240" w:lineRule="auto"/>
              <w:jc w:val="center"/>
              <w:rPr>
                <w:rFonts w:ascii="Times New Roman" w:eastAsia="Times New Roman" w:hAnsi="Times New Roman" w:cs="Times New Roman"/>
              </w:rPr>
            </w:pPr>
            <w:r w:rsidRPr="00830656">
              <w:rPr>
                <w:rFonts w:ascii="Times New Roman" w:hAnsi="Times New Roman" w:cs="Times New Roman"/>
              </w:rPr>
              <w:t>60 055</w:t>
            </w:r>
          </w:p>
        </w:tc>
      </w:tr>
      <w:tr w:rsidR="004C58F8" w:rsidRPr="00830656" w14:paraId="6EF040EC" w14:textId="77777777" w:rsidTr="009B3228">
        <w:trPr>
          <w:trHeight w:val="624"/>
        </w:trPr>
        <w:tc>
          <w:tcPr>
            <w:tcW w:w="1843" w:type="dxa"/>
            <w:vMerge/>
            <w:tcBorders>
              <w:left w:val="outset" w:sz="6" w:space="0" w:color="414142"/>
              <w:right w:val="outset" w:sz="6" w:space="0" w:color="414142"/>
            </w:tcBorders>
            <w:shd w:val="clear" w:color="auto" w:fill="FFFFFF"/>
          </w:tcPr>
          <w:p w14:paraId="5AC1283B" w14:textId="77777777" w:rsidR="004C58F8" w:rsidRPr="00830656" w:rsidRDefault="004C58F8" w:rsidP="008C1F3B">
            <w:pPr>
              <w:spacing w:after="0" w:line="240" w:lineRule="auto"/>
              <w:jc w:val="right"/>
              <w:rPr>
                <w:rFonts w:ascii="Times New Roman" w:hAnsi="Times New Roman" w:cs="Times New Roman"/>
                <w:b/>
              </w:rPr>
            </w:pPr>
          </w:p>
        </w:tc>
        <w:tc>
          <w:tcPr>
            <w:tcW w:w="1701" w:type="dxa"/>
            <w:tcBorders>
              <w:top w:val="outset" w:sz="6" w:space="0" w:color="414142"/>
              <w:left w:val="outset" w:sz="6" w:space="0" w:color="414142"/>
              <w:right w:val="outset" w:sz="6" w:space="0" w:color="414142"/>
            </w:tcBorders>
            <w:shd w:val="clear" w:color="auto" w:fill="FFFFFF"/>
            <w:vAlign w:val="center"/>
          </w:tcPr>
          <w:p w14:paraId="3F3150E0" w14:textId="77777777" w:rsidR="004C58F8" w:rsidRPr="00830656" w:rsidRDefault="004C58F8" w:rsidP="008C1F3B">
            <w:pPr>
              <w:spacing w:after="0" w:line="240" w:lineRule="auto"/>
              <w:jc w:val="right"/>
              <w:rPr>
                <w:rFonts w:ascii="Times New Roman" w:hAnsi="Times New Roman" w:cs="Times New Roman"/>
              </w:rPr>
            </w:pPr>
            <w:r w:rsidRPr="00830656">
              <w:rPr>
                <w:rFonts w:ascii="Times New Roman" w:hAnsi="Times New Roman" w:cs="Times New Roman"/>
                <w:b/>
              </w:rPr>
              <w:t>Kopā:</w:t>
            </w:r>
          </w:p>
        </w:tc>
        <w:tc>
          <w:tcPr>
            <w:tcW w:w="851" w:type="dxa"/>
            <w:tcBorders>
              <w:top w:val="outset" w:sz="6" w:space="0" w:color="414142"/>
              <w:left w:val="outset" w:sz="6" w:space="0" w:color="414142"/>
              <w:right w:val="outset" w:sz="6" w:space="0" w:color="414142"/>
            </w:tcBorders>
            <w:shd w:val="clear" w:color="auto" w:fill="FFFFFF"/>
            <w:vAlign w:val="center"/>
          </w:tcPr>
          <w:p w14:paraId="61F87B5D" w14:textId="77777777" w:rsidR="004C58F8" w:rsidRPr="00830656" w:rsidRDefault="004C58F8" w:rsidP="008C1F3B">
            <w:pPr>
              <w:spacing w:after="0" w:line="240" w:lineRule="auto"/>
              <w:jc w:val="center"/>
              <w:rPr>
                <w:rFonts w:ascii="Times New Roman" w:eastAsia="Times New Roman" w:hAnsi="Times New Roman" w:cs="Times New Roman"/>
                <w:b/>
              </w:rPr>
            </w:pPr>
            <w:r w:rsidRPr="00830656">
              <w:rPr>
                <w:rFonts w:ascii="Times New Roman" w:eastAsia="Times New Roman" w:hAnsi="Times New Roman" w:cs="Times New Roman"/>
                <w:b/>
              </w:rPr>
              <w:t>0</w:t>
            </w:r>
          </w:p>
        </w:tc>
        <w:tc>
          <w:tcPr>
            <w:tcW w:w="850" w:type="dxa"/>
            <w:tcBorders>
              <w:top w:val="outset" w:sz="6" w:space="0" w:color="414142"/>
              <w:left w:val="outset" w:sz="6" w:space="0" w:color="414142"/>
              <w:right w:val="outset" w:sz="6" w:space="0" w:color="414142"/>
            </w:tcBorders>
            <w:shd w:val="clear" w:color="auto" w:fill="FFFFFF"/>
            <w:vAlign w:val="center"/>
          </w:tcPr>
          <w:p w14:paraId="14A17E66" w14:textId="77777777" w:rsidR="004C58F8" w:rsidRPr="00830656" w:rsidRDefault="004C58F8" w:rsidP="008C1F3B">
            <w:pPr>
              <w:spacing w:after="0" w:line="240" w:lineRule="auto"/>
              <w:jc w:val="center"/>
              <w:rPr>
                <w:rFonts w:ascii="Times New Roman" w:eastAsia="Times New Roman" w:hAnsi="Times New Roman" w:cs="Times New Roman"/>
                <w:b/>
              </w:rPr>
            </w:pPr>
            <w:r w:rsidRPr="00830656">
              <w:rPr>
                <w:rFonts w:ascii="Times New Roman" w:eastAsia="Times New Roman" w:hAnsi="Times New Roman" w:cs="Times New Roman"/>
                <w:b/>
              </w:rPr>
              <w:t>0</w:t>
            </w:r>
          </w:p>
        </w:tc>
        <w:tc>
          <w:tcPr>
            <w:tcW w:w="851" w:type="dxa"/>
            <w:tcBorders>
              <w:top w:val="outset" w:sz="6" w:space="0" w:color="414142"/>
              <w:left w:val="outset" w:sz="6" w:space="0" w:color="414142"/>
              <w:right w:val="outset" w:sz="6" w:space="0" w:color="414142"/>
            </w:tcBorders>
            <w:shd w:val="clear" w:color="auto" w:fill="FFFFFF"/>
            <w:vAlign w:val="center"/>
          </w:tcPr>
          <w:p w14:paraId="127AB9D8" w14:textId="77777777" w:rsidR="004C58F8" w:rsidRPr="00830656" w:rsidRDefault="004C58F8" w:rsidP="008C1F3B">
            <w:pPr>
              <w:spacing w:after="0" w:line="240" w:lineRule="auto"/>
              <w:jc w:val="center"/>
              <w:rPr>
                <w:rFonts w:ascii="Times New Roman" w:eastAsia="Times New Roman" w:hAnsi="Times New Roman" w:cs="Times New Roman"/>
                <w:b/>
              </w:rPr>
            </w:pPr>
            <w:r w:rsidRPr="00830656">
              <w:rPr>
                <w:rFonts w:ascii="Times New Roman" w:eastAsia="Times New Roman" w:hAnsi="Times New Roman" w:cs="Times New Roman"/>
                <w:b/>
              </w:rPr>
              <w:t>0</w:t>
            </w:r>
          </w:p>
        </w:tc>
        <w:tc>
          <w:tcPr>
            <w:tcW w:w="992" w:type="dxa"/>
            <w:tcBorders>
              <w:top w:val="outset" w:sz="6" w:space="0" w:color="414142"/>
              <w:left w:val="outset" w:sz="6" w:space="0" w:color="414142"/>
              <w:right w:val="outset" w:sz="6" w:space="0" w:color="414142"/>
            </w:tcBorders>
            <w:shd w:val="clear" w:color="auto" w:fill="FFFFFF"/>
            <w:vAlign w:val="center"/>
          </w:tcPr>
          <w:p w14:paraId="09383C15" w14:textId="77777777" w:rsidR="004C58F8" w:rsidRPr="006C5E35" w:rsidRDefault="004C58F8" w:rsidP="008C1F3B">
            <w:pPr>
              <w:spacing w:after="0" w:line="240" w:lineRule="auto"/>
              <w:jc w:val="center"/>
              <w:rPr>
                <w:rFonts w:ascii="Times New Roman" w:eastAsia="Times New Roman" w:hAnsi="Times New Roman" w:cs="Times New Roman"/>
                <w:highlight w:val="yellow"/>
              </w:rPr>
            </w:pPr>
            <w:r w:rsidRPr="006C5E35">
              <w:rPr>
                <w:rFonts w:ascii="Times New Roman" w:hAnsi="Times New Roman" w:cs="Times New Roman"/>
                <w:b/>
              </w:rPr>
              <w:t>6</w:t>
            </w:r>
            <w:r>
              <w:rPr>
                <w:rFonts w:ascii="Times New Roman" w:hAnsi="Times New Roman" w:cs="Times New Roman"/>
                <w:b/>
              </w:rPr>
              <w:t> </w:t>
            </w:r>
            <w:r w:rsidRPr="006C5E35">
              <w:rPr>
                <w:rFonts w:ascii="Times New Roman" w:hAnsi="Times New Roman" w:cs="Times New Roman"/>
                <w:b/>
              </w:rPr>
              <w:t>984</w:t>
            </w:r>
            <w:r>
              <w:rPr>
                <w:rFonts w:ascii="Times New Roman" w:hAnsi="Times New Roman" w:cs="Times New Roman"/>
                <w:b/>
              </w:rPr>
              <w:t xml:space="preserve"> </w:t>
            </w:r>
            <w:r w:rsidRPr="006C5E35">
              <w:rPr>
                <w:rFonts w:ascii="Times New Roman" w:hAnsi="Times New Roman" w:cs="Times New Roman"/>
                <w:b/>
              </w:rPr>
              <w:t>229</w:t>
            </w:r>
          </w:p>
        </w:tc>
        <w:tc>
          <w:tcPr>
            <w:tcW w:w="992" w:type="dxa"/>
            <w:tcBorders>
              <w:top w:val="outset" w:sz="6" w:space="0" w:color="414142"/>
              <w:left w:val="outset" w:sz="6" w:space="0" w:color="414142"/>
              <w:right w:val="outset" w:sz="6" w:space="0" w:color="414142"/>
            </w:tcBorders>
            <w:shd w:val="clear" w:color="auto" w:fill="FFFFFF"/>
            <w:vAlign w:val="center"/>
          </w:tcPr>
          <w:p w14:paraId="4D65B656" w14:textId="77777777" w:rsidR="004C58F8" w:rsidRPr="006C5E35" w:rsidRDefault="004C58F8" w:rsidP="008C1F3B">
            <w:pPr>
              <w:spacing w:after="0" w:line="240" w:lineRule="auto"/>
              <w:jc w:val="center"/>
              <w:rPr>
                <w:rFonts w:ascii="Times New Roman" w:eastAsia="Times New Roman" w:hAnsi="Times New Roman" w:cs="Times New Roman"/>
                <w:highlight w:val="yellow"/>
              </w:rPr>
            </w:pPr>
            <w:r w:rsidRPr="006C5E35">
              <w:rPr>
                <w:rFonts w:ascii="Times New Roman" w:hAnsi="Times New Roman" w:cs="Times New Roman"/>
                <w:b/>
              </w:rPr>
              <w:t>6</w:t>
            </w:r>
            <w:r>
              <w:rPr>
                <w:rFonts w:ascii="Times New Roman" w:hAnsi="Times New Roman" w:cs="Times New Roman"/>
                <w:b/>
              </w:rPr>
              <w:t> </w:t>
            </w:r>
            <w:r w:rsidRPr="006C5E35">
              <w:rPr>
                <w:rFonts w:ascii="Times New Roman" w:hAnsi="Times New Roman" w:cs="Times New Roman"/>
                <w:b/>
              </w:rPr>
              <w:t>984</w:t>
            </w:r>
            <w:r>
              <w:rPr>
                <w:rFonts w:ascii="Times New Roman" w:hAnsi="Times New Roman" w:cs="Times New Roman"/>
                <w:b/>
              </w:rPr>
              <w:t xml:space="preserve"> </w:t>
            </w:r>
            <w:r w:rsidRPr="006C5E35">
              <w:rPr>
                <w:rFonts w:ascii="Times New Roman" w:hAnsi="Times New Roman" w:cs="Times New Roman"/>
                <w:b/>
              </w:rPr>
              <w:t>229</w:t>
            </w:r>
          </w:p>
        </w:tc>
        <w:tc>
          <w:tcPr>
            <w:tcW w:w="991" w:type="dxa"/>
            <w:tcBorders>
              <w:top w:val="outset" w:sz="6" w:space="0" w:color="414142"/>
              <w:left w:val="outset" w:sz="6" w:space="0" w:color="414142"/>
              <w:right w:val="outset" w:sz="6" w:space="0" w:color="414142"/>
            </w:tcBorders>
            <w:shd w:val="clear" w:color="auto" w:fill="FFFFFF"/>
            <w:vAlign w:val="center"/>
          </w:tcPr>
          <w:p w14:paraId="5210F0BC" w14:textId="77777777" w:rsidR="004C58F8" w:rsidRPr="006C5E35" w:rsidRDefault="004C58F8" w:rsidP="008C1F3B">
            <w:pPr>
              <w:spacing w:after="0" w:line="240" w:lineRule="auto"/>
              <w:jc w:val="center"/>
              <w:rPr>
                <w:rFonts w:ascii="Times New Roman" w:eastAsia="Times New Roman" w:hAnsi="Times New Roman" w:cs="Times New Roman"/>
                <w:highlight w:val="yellow"/>
              </w:rPr>
            </w:pPr>
            <w:r w:rsidRPr="006C5E35">
              <w:rPr>
                <w:rFonts w:ascii="Times New Roman" w:hAnsi="Times New Roman" w:cs="Times New Roman"/>
                <w:b/>
              </w:rPr>
              <w:t>6</w:t>
            </w:r>
            <w:r>
              <w:rPr>
                <w:rFonts w:ascii="Times New Roman" w:hAnsi="Times New Roman" w:cs="Times New Roman"/>
                <w:b/>
              </w:rPr>
              <w:t> </w:t>
            </w:r>
            <w:r w:rsidRPr="006C5E35">
              <w:rPr>
                <w:rFonts w:ascii="Times New Roman" w:hAnsi="Times New Roman" w:cs="Times New Roman"/>
                <w:b/>
              </w:rPr>
              <w:t>984</w:t>
            </w:r>
            <w:r>
              <w:rPr>
                <w:rFonts w:ascii="Times New Roman" w:hAnsi="Times New Roman" w:cs="Times New Roman"/>
                <w:b/>
              </w:rPr>
              <w:t xml:space="preserve"> </w:t>
            </w:r>
            <w:r w:rsidRPr="006C5E35">
              <w:rPr>
                <w:rFonts w:ascii="Times New Roman" w:hAnsi="Times New Roman" w:cs="Times New Roman"/>
                <w:b/>
              </w:rPr>
              <w:t>229</w:t>
            </w:r>
          </w:p>
        </w:tc>
      </w:tr>
    </w:tbl>
    <w:p w14:paraId="66D844A2" w14:textId="77777777" w:rsidR="004C58F8" w:rsidRDefault="004C58F8" w:rsidP="00242DAB">
      <w:pPr>
        <w:spacing w:after="0" w:line="276" w:lineRule="auto"/>
        <w:jc w:val="both"/>
        <w:rPr>
          <w:rFonts w:ascii="Times New Roman" w:hAnsi="Times New Roman" w:cs="Times New Roman"/>
          <w:sz w:val="24"/>
          <w:szCs w:val="28"/>
        </w:rPr>
      </w:pPr>
    </w:p>
    <w:p w14:paraId="173543CF" w14:textId="7B4C01FD" w:rsidR="00996885" w:rsidRPr="00DB44A5" w:rsidRDefault="00786E15" w:rsidP="009530EE">
      <w:pPr>
        <w:pStyle w:val="ListParagraph"/>
        <w:shd w:val="clear" w:color="auto" w:fill="FFFFFF"/>
        <w:spacing w:after="0" w:line="360" w:lineRule="auto"/>
        <w:ind w:left="142"/>
        <w:jc w:val="right"/>
        <w:rPr>
          <w:rFonts w:ascii="Times New Roman" w:eastAsia="Times New Roman" w:hAnsi="Times New Roman" w:cs="Times New Roman"/>
          <w:b/>
          <w:bCs/>
          <w:sz w:val="24"/>
        </w:rPr>
      </w:pPr>
      <w:r>
        <w:rPr>
          <w:rFonts w:ascii="Times New Roman" w:eastAsia="Times New Roman" w:hAnsi="Times New Roman" w:cs="Times New Roman"/>
          <w:b/>
          <w:bCs/>
          <w:sz w:val="24"/>
        </w:rPr>
        <w:t>Tabula Nr. 4</w:t>
      </w:r>
      <w:r w:rsidR="00996885" w:rsidRPr="0085398B">
        <w:rPr>
          <w:rFonts w:ascii="Times New Roman" w:eastAsia="Times New Roman" w:hAnsi="Times New Roman" w:cs="Times New Roman"/>
          <w:b/>
          <w:bCs/>
          <w:sz w:val="24"/>
        </w:rPr>
        <w:t>. Piedāvātā risinājuma</w:t>
      </w:r>
      <w:r w:rsidR="009530EE">
        <w:rPr>
          <w:rFonts w:ascii="Times New Roman" w:eastAsia="Times New Roman" w:hAnsi="Times New Roman" w:cs="Times New Roman"/>
          <w:b/>
          <w:bCs/>
          <w:sz w:val="24"/>
        </w:rPr>
        <w:t xml:space="preserve"> pakāpeniskas ieviešanas</w:t>
      </w:r>
      <w:r w:rsidR="00996885" w:rsidRPr="0085398B">
        <w:rPr>
          <w:rFonts w:ascii="Times New Roman" w:eastAsia="Times New Roman" w:hAnsi="Times New Roman" w:cs="Times New Roman"/>
          <w:b/>
          <w:bCs/>
          <w:sz w:val="24"/>
        </w:rPr>
        <w:t xml:space="preserve"> ietekme uz </w:t>
      </w:r>
      <w:r w:rsidR="00996885">
        <w:rPr>
          <w:rFonts w:ascii="Times New Roman" w:eastAsia="Times New Roman" w:hAnsi="Times New Roman" w:cs="Times New Roman"/>
          <w:b/>
          <w:bCs/>
          <w:sz w:val="24"/>
        </w:rPr>
        <w:t xml:space="preserve">valsts </w:t>
      </w:r>
      <w:r w:rsidR="00996885" w:rsidRPr="0085398B">
        <w:rPr>
          <w:rFonts w:ascii="Times New Roman" w:eastAsia="Times New Roman" w:hAnsi="Times New Roman" w:cs="Times New Roman"/>
          <w:b/>
          <w:bCs/>
          <w:sz w:val="24"/>
        </w:rPr>
        <w:t>budžetu</w:t>
      </w:r>
    </w:p>
    <w:tbl>
      <w:tblPr>
        <w:tblW w:w="5009" w:type="pct"/>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843"/>
        <w:gridCol w:w="1701"/>
        <w:gridCol w:w="851"/>
        <w:gridCol w:w="850"/>
        <w:gridCol w:w="851"/>
        <w:gridCol w:w="992"/>
        <w:gridCol w:w="992"/>
        <w:gridCol w:w="991"/>
      </w:tblGrid>
      <w:tr w:rsidR="00996885" w:rsidRPr="00830656" w14:paraId="46BA015F" w14:textId="77777777" w:rsidTr="004C58F8">
        <w:trPr>
          <w:trHeight w:val="680"/>
        </w:trPr>
        <w:tc>
          <w:tcPr>
            <w:tcW w:w="1843" w:type="dxa"/>
            <w:vMerge w:val="restart"/>
            <w:tcBorders>
              <w:top w:val="outset" w:sz="6" w:space="0" w:color="414142"/>
              <w:left w:val="outset" w:sz="6" w:space="0" w:color="414142"/>
              <w:right w:val="outset" w:sz="6" w:space="0" w:color="414142"/>
            </w:tcBorders>
            <w:shd w:val="clear" w:color="auto" w:fill="FFFFFF"/>
            <w:vAlign w:val="center"/>
          </w:tcPr>
          <w:p w14:paraId="4F513257" w14:textId="77777777" w:rsidR="00996885" w:rsidRPr="009C2AFA" w:rsidRDefault="00996885" w:rsidP="00112045">
            <w:pPr>
              <w:spacing w:after="0"/>
              <w:jc w:val="center"/>
              <w:rPr>
                <w:rFonts w:ascii="Times New Roman" w:eastAsia="Times New Roman" w:hAnsi="Times New Roman" w:cs="Times New Roman"/>
              </w:rPr>
            </w:pPr>
            <w:r w:rsidRPr="00830656">
              <w:rPr>
                <w:rFonts w:ascii="Times New Roman" w:eastAsia="Times New Roman" w:hAnsi="Times New Roman" w:cs="Times New Roman"/>
                <w:bCs/>
              </w:rPr>
              <w:t>Risinājums</w:t>
            </w:r>
          </w:p>
        </w:tc>
        <w:tc>
          <w:tcPr>
            <w:tcW w:w="1701"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051A41" w14:textId="77777777" w:rsidR="00996885" w:rsidRPr="00830656" w:rsidRDefault="00996885" w:rsidP="00112045">
            <w:pPr>
              <w:spacing w:after="0" w:line="240" w:lineRule="auto"/>
              <w:jc w:val="center"/>
              <w:rPr>
                <w:rFonts w:ascii="Times New Roman" w:eastAsia="Times New Roman" w:hAnsi="Times New Roman" w:cs="Times New Roman"/>
                <w:bCs/>
              </w:rPr>
            </w:pPr>
            <w:r w:rsidRPr="00830656">
              <w:rPr>
                <w:rFonts w:ascii="Times New Roman" w:eastAsia="Times New Roman" w:hAnsi="Times New Roman" w:cs="Times New Roman"/>
                <w:bCs/>
              </w:rPr>
              <w:t>Institūcija</w:t>
            </w:r>
          </w:p>
        </w:tc>
        <w:tc>
          <w:tcPr>
            <w:tcW w:w="2552"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CD29F8" w14:textId="77777777" w:rsidR="00996885" w:rsidRPr="00830656" w:rsidRDefault="00996885" w:rsidP="00112045">
            <w:pPr>
              <w:spacing w:after="0" w:line="240" w:lineRule="auto"/>
              <w:jc w:val="center"/>
              <w:rPr>
                <w:rFonts w:ascii="Times New Roman" w:eastAsia="Times New Roman" w:hAnsi="Times New Roman" w:cs="Times New Roman"/>
                <w:bCs/>
              </w:rPr>
            </w:pPr>
            <w:r w:rsidRPr="00830656">
              <w:rPr>
                <w:rFonts w:ascii="Times New Roman" w:eastAsia="Times New Roman" w:hAnsi="Times New Roman" w:cs="Times New Roman"/>
                <w:bCs/>
              </w:rPr>
              <w:t>Vidēja termiņa budžeta ietvara likumā plānotais finansējums, EUR</w:t>
            </w:r>
          </w:p>
        </w:tc>
        <w:tc>
          <w:tcPr>
            <w:tcW w:w="2975"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D000C4" w14:textId="77777777" w:rsidR="00996885" w:rsidRPr="00830656" w:rsidRDefault="00996885" w:rsidP="00112045">
            <w:pPr>
              <w:spacing w:after="0" w:line="240" w:lineRule="auto"/>
              <w:jc w:val="center"/>
              <w:rPr>
                <w:rFonts w:ascii="Times New Roman" w:eastAsia="Times New Roman" w:hAnsi="Times New Roman" w:cs="Times New Roman"/>
                <w:bCs/>
              </w:rPr>
            </w:pPr>
            <w:r w:rsidRPr="00830656">
              <w:rPr>
                <w:rFonts w:ascii="Times New Roman" w:eastAsia="Times New Roman" w:hAnsi="Times New Roman" w:cs="Times New Roman"/>
                <w:bCs/>
              </w:rPr>
              <w:t>Nepieciešamais papildu finansējums, EUR</w:t>
            </w:r>
          </w:p>
        </w:tc>
      </w:tr>
      <w:tr w:rsidR="0084332C" w:rsidRPr="00830656" w14:paraId="4485B756" w14:textId="77777777" w:rsidTr="004C58F8">
        <w:trPr>
          <w:trHeight w:val="438"/>
        </w:trPr>
        <w:tc>
          <w:tcPr>
            <w:tcW w:w="1843" w:type="dxa"/>
            <w:vMerge/>
            <w:tcBorders>
              <w:left w:val="outset" w:sz="6" w:space="0" w:color="414142"/>
              <w:bottom w:val="outset" w:sz="6" w:space="0" w:color="414142"/>
              <w:right w:val="outset" w:sz="6" w:space="0" w:color="414142"/>
            </w:tcBorders>
            <w:shd w:val="clear" w:color="auto" w:fill="FFFFFF"/>
          </w:tcPr>
          <w:p w14:paraId="68D36CC2" w14:textId="77777777" w:rsidR="0084332C" w:rsidRPr="00830656" w:rsidRDefault="0084332C" w:rsidP="0084332C">
            <w:pPr>
              <w:spacing w:after="0" w:line="240" w:lineRule="auto"/>
              <w:rPr>
                <w:rFonts w:ascii="Times New Roman" w:eastAsia="Times New Roman" w:hAnsi="Times New Roman" w:cs="Times New Roman"/>
                <w:b/>
                <w:bCs/>
              </w:rPr>
            </w:pPr>
          </w:p>
        </w:tc>
        <w:tc>
          <w:tcPr>
            <w:tcW w:w="1701"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002C37" w14:textId="77777777" w:rsidR="0084332C" w:rsidRPr="00830656" w:rsidRDefault="0084332C" w:rsidP="0084332C">
            <w:pPr>
              <w:spacing w:after="0" w:line="240" w:lineRule="auto"/>
              <w:rPr>
                <w:rFonts w:ascii="Times New Roman" w:eastAsia="Times New Roman" w:hAnsi="Times New Roman" w:cs="Times New Roman"/>
                <w:b/>
                <w:bCs/>
              </w:rPr>
            </w:pPr>
          </w:p>
        </w:tc>
        <w:tc>
          <w:tcPr>
            <w:tcW w:w="8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ACF660" w14:textId="68A70E12" w:rsidR="0084332C" w:rsidRPr="00830656" w:rsidRDefault="0084332C" w:rsidP="0084332C">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2022</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7483CA" w14:textId="362AD9CF" w:rsidR="0084332C" w:rsidRPr="00830656" w:rsidRDefault="0084332C" w:rsidP="0084332C">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2023</w:t>
            </w:r>
          </w:p>
        </w:tc>
        <w:tc>
          <w:tcPr>
            <w:tcW w:w="8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F097BB" w14:textId="0D5C3C08" w:rsidR="0084332C" w:rsidRPr="00830656" w:rsidRDefault="0084332C" w:rsidP="0084332C">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2024</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F98F05" w14:textId="5C504540" w:rsidR="0084332C" w:rsidRPr="00830656" w:rsidRDefault="0084332C" w:rsidP="0084332C">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2022</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F05B21" w14:textId="024A6322" w:rsidR="0084332C" w:rsidRPr="00830656" w:rsidRDefault="0084332C" w:rsidP="0084332C">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2023</w:t>
            </w:r>
          </w:p>
        </w:tc>
        <w:tc>
          <w:tcPr>
            <w:tcW w:w="99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E4E72F" w14:textId="2738E83B" w:rsidR="0084332C" w:rsidRPr="00830656" w:rsidRDefault="0084332C" w:rsidP="0084332C">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2024</w:t>
            </w:r>
          </w:p>
        </w:tc>
      </w:tr>
      <w:tr w:rsidR="00FC2640" w:rsidRPr="00830656" w14:paraId="1DD7CE00" w14:textId="77777777" w:rsidTr="004C58F8">
        <w:trPr>
          <w:trHeight w:val="1077"/>
        </w:trPr>
        <w:tc>
          <w:tcPr>
            <w:tcW w:w="1843" w:type="dxa"/>
            <w:vMerge w:val="restart"/>
            <w:tcBorders>
              <w:top w:val="outset" w:sz="6" w:space="0" w:color="414142"/>
              <w:left w:val="outset" w:sz="6" w:space="0" w:color="414142"/>
              <w:right w:val="outset" w:sz="6" w:space="0" w:color="414142"/>
            </w:tcBorders>
            <w:shd w:val="clear" w:color="auto" w:fill="FFFFFF"/>
            <w:vAlign w:val="center"/>
          </w:tcPr>
          <w:p w14:paraId="58D74019" w14:textId="77777777" w:rsidR="00FC2640" w:rsidRPr="00830656" w:rsidRDefault="00FC2640" w:rsidP="00242DAB">
            <w:pPr>
              <w:spacing w:after="120" w:line="276" w:lineRule="auto"/>
              <w:rPr>
                <w:rFonts w:ascii="Times New Roman" w:hAnsi="Times New Roman" w:cs="Times New Roman"/>
              </w:rPr>
            </w:pPr>
            <w:r w:rsidRPr="00830656">
              <w:rPr>
                <w:rFonts w:ascii="Times New Roman" w:eastAsia="Times New Roman" w:hAnsi="Times New Roman" w:cs="Times New Roman"/>
                <w:bCs/>
              </w:rPr>
              <w:t>Ziņojumā paredzētā risinājuma ieviešanai</w:t>
            </w:r>
            <w:r>
              <w:rPr>
                <w:rFonts w:ascii="Times New Roman" w:eastAsia="Times New Roman" w:hAnsi="Times New Roman" w:cs="Times New Roman"/>
                <w:bCs/>
              </w:rPr>
              <w:t xml:space="preserve"> -</w:t>
            </w:r>
            <w:r>
              <w:t xml:space="preserve"> </w:t>
            </w:r>
            <w:r w:rsidRPr="009C2AFA">
              <w:rPr>
                <w:rFonts w:ascii="Times New Roman" w:eastAsia="Times New Roman" w:hAnsi="Times New Roman" w:cs="Times New Roman"/>
                <w:bCs/>
              </w:rPr>
              <w:t xml:space="preserve">profesionālās izglītības programmu īstenošanas </w:t>
            </w:r>
            <w:r w:rsidRPr="009C2AFA">
              <w:rPr>
                <w:rFonts w:ascii="Times New Roman" w:eastAsia="Times New Roman" w:hAnsi="Times New Roman" w:cs="Times New Roman"/>
                <w:bCs/>
              </w:rPr>
              <w:lastRenderedPageBreak/>
              <w:t>izmaksu minimuma</w:t>
            </w:r>
            <w:r>
              <w:rPr>
                <w:rFonts w:ascii="Times New Roman" w:eastAsia="Times New Roman" w:hAnsi="Times New Roman" w:cs="Times New Roman"/>
                <w:bCs/>
              </w:rPr>
              <w:t xml:space="preserve"> palielināšanai</w:t>
            </w:r>
          </w:p>
        </w:tc>
        <w:tc>
          <w:tcPr>
            <w:tcW w:w="170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C2E176" w14:textId="77777777" w:rsidR="00FC2640" w:rsidRPr="00830656" w:rsidRDefault="00FC2640" w:rsidP="00242DAB">
            <w:pPr>
              <w:spacing w:after="0" w:line="240" w:lineRule="auto"/>
              <w:rPr>
                <w:rFonts w:ascii="Times New Roman" w:eastAsia="Times New Roman" w:hAnsi="Times New Roman" w:cs="Times New Roman"/>
              </w:rPr>
            </w:pPr>
            <w:r w:rsidRPr="00830656">
              <w:rPr>
                <w:rFonts w:ascii="Times New Roman" w:hAnsi="Times New Roman" w:cs="Times New Roman"/>
              </w:rPr>
              <w:lastRenderedPageBreak/>
              <w:t>Izglītības un zinātnes ministrija</w:t>
            </w:r>
          </w:p>
        </w:tc>
        <w:tc>
          <w:tcPr>
            <w:tcW w:w="8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5058AA" w14:textId="77777777" w:rsidR="00FC2640" w:rsidRPr="00830656" w:rsidRDefault="00FC2640" w:rsidP="00242DAB">
            <w:pPr>
              <w:spacing w:after="0" w:line="240" w:lineRule="auto"/>
              <w:jc w:val="center"/>
              <w:rPr>
                <w:rFonts w:ascii="Times New Roman" w:eastAsia="Times New Roman" w:hAnsi="Times New Roman" w:cs="Times New Roman"/>
              </w:rPr>
            </w:pPr>
            <w:r w:rsidRPr="00830656">
              <w:rPr>
                <w:rFonts w:ascii="Times New Roman" w:eastAsia="Times New Roman" w:hAnsi="Times New Roman" w:cs="Times New Roman"/>
              </w:rPr>
              <w:t>0</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6641B5" w14:textId="77777777" w:rsidR="00FC2640" w:rsidRPr="00830656" w:rsidRDefault="00FC2640" w:rsidP="00242DAB">
            <w:pPr>
              <w:spacing w:after="0" w:line="240" w:lineRule="auto"/>
              <w:jc w:val="center"/>
              <w:rPr>
                <w:rFonts w:ascii="Times New Roman" w:eastAsia="Times New Roman" w:hAnsi="Times New Roman" w:cs="Times New Roman"/>
              </w:rPr>
            </w:pPr>
            <w:r w:rsidRPr="00830656">
              <w:rPr>
                <w:rFonts w:ascii="Times New Roman" w:eastAsia="Times New Roman" w:hAnsi="Times New Roman" w:cs="Times New Roman"/>
              </w:rPr>
              <w:t>0</w:t>
            </w:r>
          </w:p>
        </w:tc>
        <w:tc>
          <w:tcPr>
            <w:tcW w:w="8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F38F54" w14:textId="77777777" w:rsidR="00FC2640" w:rsidRPr="00830656" w:rsidRDefault="00FC2640" w:rsidP="00242DAB">
            <w:pPr>
              <w:spacing w:after="0" w:line="240" w:lineRule="auto"/>
              <w:jc w:val="center"/>
              <w:rPr>
                <w:rFonts w:ascii="Times New Roman" w:eastAsia="Times New Roman" w:hAnsi="Times New Roman" w:cs="Times New Roman"/>
              </w:rPr>
            </w:pPr>
            <w:r w:rsidRPr="00830656">
              <w:rPr>
                <w:rFonts w:ascii="Times New Roman" w:eastAsia="Times New Roman" w:hAnsi="Times New Roman" w:cs="Times New Roman"/>
              </w:rPr>
              <w:t>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FCE436F" w14:textId="5FF6D9D7" w:rsidR="00FC2640" w:rsidRPr="00830656" w:rsidRDefault="00FC2640" w:rsidP="00242DAB">
            <w:pPr>
              <w:spacing w:after="0" w:line="240" w:lineRule="auto"/>
              <w:jc w:val="center"/>
              <w:rPr>
                <w:rFonts w:ascii="Times New Roman" w:eastAsia="Times New Roman" w:hAnsi="Times New Roman" w:cs="Times New Roman"/>
              </w:rPr>
            </w:pPr>
            <w:r w:rsidRPr="00F93ADD">
              <w:rPr>
                <w:rFonts w:ascii="Times New Roman" w:eastAsia="Times New Roman" w:hAnsi="Times New Roman" w:cs="Times New Roman"/>
              </w:rPr>
              <w:t>1</w:t>
            </w:r>
            <w:r>
              <w:rPr>
                <w:rFonts w:ascii="Times New Roman" w:eastAsia="Times New Roman" w:hAnsi="Times New Roman" w:cs="Times New Roman"/>
              </w:rPr>
              <w:t xml:space="preserve"> </w:t>
            </w:r>
            <w:r w:rsidRPr="00F93ADD">
              <w:rPr>
                <w:rFonts w:ascii="Times New Roman" w:eastAsia="Times New Roman" w:hAnsi="Times New Roman" w:cs="Times New Roman"/>
              </w:rPr>
              <w:t>981</w:t>
            </w:r>
            <w:r>
              <w:rPr>
                <w:rFonts w:ascii="Times New Roman" w:eastAsia="Times New Roman" w:hAnsi="Times New Roman" w:cs="Times New Roman"/>
              </w:rPr>
              <w:t xml:space="preserve"> </w:t>
            </w:r>
            <w:r w:rsidRPr="00F93ADD">
              <w:rPr>
                <w:rFonts w:ascii="Times New Roman" w:eastAsia="Times New Roman" w:hAnsi="Times New Roman" w:cs="Times New Roman"/>
              </w:rPr>
              <w:t>524</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6FDE2D4" w14:textId="6F72DAA5" w:rsidR="00FC2640" w:rsidRPr="00830656" w:rsidRDefault="00FC2640" w:rsidP="00242DAB">
            <w:pPr>
              <w:spacing w:after="0" w:line="240" w:lineRule="auto"/>
              <w:jc w:val="center"/>
              <w:rPr>
                <w:rFonts w:ascii="Times New Roman" w:eastAsia="Times New Roman" w:hAnsi="Times New Roman" w:cs="Times New Roman"/>
              </w:rPr>
            </w:pPr>
            <w:r w:rsidRPr="00FE5742">
              <w:rPr>
                <w:rFonts w:ascii="Times New Roman" w:eastAsia="Times New Roman" w:hAnsi="Times New Roman" w:cs="Times New Roman"/>
              </w:rPr>
              <w:t>3</w:t>
            </w:r>
            <w:r>
              <w:rPr>
                <w:rFonts w:ascii="Times New Roman" w:eastAsia="Times New Roman" w:hAnsi="Times New Roman" w:cs="Times New Roman"/>
              </w:rPr>
              <w:t> </w:t>
            </w:r>
            <w:r w:rsidRPr="00FE5742">
              <w:rPr>
                <w:rFonts w:ascii="Times New Roman" w:eastAsia="Times New Roman" w:hAnsi="Times New Roman" w:cs="Times New Roman"/>
              </w:rPr>
              <w:t>963</w:t>
            </w:r>
            <w:r>
              <w:rPr>
                <w:rFonts w:ascii="Times New Roman" w:eastAsia="Times New Roman" w:hAnsi="Times New Roman" w:cs="Times New Roman"/>
              </w:rPr>
              <w:t xml:space="preserve"> </w:t>
            </w:r>
            <w:r w:rsidRPr="00FE5742">
              <w:rPr>
                <w:rFonts w:ascii="Times New Roman" w:eastAsia="Times New Roman" w:hAnsi="Times New Roman" w:cs="Times New Roman"/>
              </w:rPr>
              <w:t>049</w:t>
            </w:r>
          </w:p>
        </w:tc>
        <w:tc>
          <w:tcPr>
            <w:tcW w:w="99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4F388E6" w14:textId="29614009" w:rsidR="00FC2640" w:rsidRPr="00830656" w:rsidRDefault="00FC2640" w:rsidP="00242DAB">
            <w:pPr>
              <w:spacing w:after="0" w:line="240" w:lineRule="auto"/>
              <w:jc w:val="center"/>
              <w:rPr>
                <w:rFonts w:ascii="Times New Roman" w:eastAsia="Times New Roman" w:hAnsi="Times New Roman" w:cs="Times New Roman"/>
              </w:rPr>
            </w:pPr>
            <w:r w:rsidRPr="00AE0C72">
              <w:rPr>
                <w:rFonts w:ascii="Times New Roman" w:hAnsi="Times New Roman" w:cs="Times New Roman"/>
              </w:rPr>
              <w:t>5 944 573</w:t>
            </w:r>
          </w:p>
        </w:tc>
      </w:tr>
      <w:tr w:rsidR="00FC2640" w:rsidRPr="00830656" w14:paraId="4239D0F4" w14:textId="77777777" w:rsidTr="004C58F8">
        <w:trPr>
          <w:trHeight w:val="1077"/>
        </w:trPr>
        <w:tc>
          <w:tcPr>
            <w:tcW w:w="1843" w:type="dxa"/>
            <w:vMerge/>
            <w:tcBorders>
              <w:left w:val="outset" w:sz="6" w:space="0" w:color="414142"/>
              <w:right w:val="outset" w:sz="6" w:space="0" w:color="414142"/>
            </w:tcBorders>
            <w:shd w:val="clear" w:color="auto" w:fill="FFFFFF"/>
            <w:vAlign w:val="center"/>
          </w:tcPr>
          <w:p w14:paraId="7B06A5CC" w14:textId="77777777" w:rsidR="00FC2640" w:rsidRPr="00830656" w:rsidRDefault="00FC2640" w:rsidP="00242DAB">
            <w:pPr>
              <w:spacing w:after="120" w:line="276" w:lineRule="auto"/>
              <w:jc w:val="center"/>
              <w:rPr>
                <w:rFonts w:ascii="Times New Roman" w:hAnsi="Times New Roman" w:cs="Times New Roman"/>
              </w:rPr>
            </w:pPr>
          </w:p>
        </w:tc>
        <w:tc>
          <w:tcPr>
            <w:tcW w:w="170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9136E1B" w14:textId="77777777" w:rsidR="00FC2640" w:rsidRPr="00830656" w:rsidRDefault="00FC2640" w:rsidP="00242DAB">
            <w:pPr>
              <w:spacing w:after="120" w:line="276" w:lineRule="auto"/>
              <w:rPr>
                <w:rFonts w:ascii="Times New Roman" w:hAnsi="Times New Roman" w:cs="Times New Roman"/>
              </w:rPr>
            </w:pPr>
            <w:r w:rsidRPr="00830656">
              <w:rPr>
                <w:rFonts w:ascii="Times New Roman" w:hAnsi="Times New Roman" w:cs="Times New Roman"/>
              </w:rPr>
              <w:t>Kultūras ministrija</w:t>
            </w:r>
          </w:p>
          <w:p w14:paraId="0973EA56" w14:textId="77777777" w:rsidR="00FC2640" w:rsidRPr="00830656" w:rsidRDefault="00FC2640" w:rsidP="00242DAB">
            <w:pPr>
              <w:spacing w:after="0" w:line="240" w:lineRule="auto"/>
              <w:rPr>
                <w:rFonts w:ascii="Times New Roman" w:hAnsi="Times New Roman" w:cs="Times New Roman"/>
              </w:rPr>
            </w:pPr>
          </w:p>
        </w:tc>
        <w:tc>
          <w:tcPr>
            <w:tcW w:w="85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EF1A7A1" w14:textId="77777777" w:rsidR="00FC2640" w:rsidRPr="00830656" w:rsidRDefault="00FC2640" w:rsidP="00242DAB">
            <w:pPr>
              <w:spacing w:after="0" w:line="240" w:lineRule="auto"/>
              <w:jc w:val="center"/>
              <w:rPr>
                <w:rFonts w:ascii="Times New Roman" w:eastAsia="Times New Roman" w:hAnsi="Times New Roman" w:cs="Times New Roman"/>
              </w:rPr>
            </w:pPr>
            <w:r w:rsidRPr="00830656">
              <w:rPr>
                <w:rFonts w:ascii="Times New Roman" w:eastAsia="Times New Roman" w:hAnsi="Times New Roman" w:cs="Times New Roman"/>
              </w:rPr>
              <w:t>0</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7B8A2C7" w14:textId="77777777" w:rsidR="00FC2640" w:rsidRPr="00830656" w:rsidRDefault="00FC2640" w:rsidP="00242DAB">
            <w:pPr>
              <w:spacing w:after="0" w:line="240" w:lineRule="auto"/>
              <w:jc w:val="center"/>
              <w:rPr>
                <w:rFonts w:ascii="Times New Roman" w:eastAsia="Times New Roman" w:hAnsi="Times New Roman" w:cs="Times New Roman"/>
              </w:rPr>
            </w:pPr>
            <w:r w:rsidRPr="00830656">
              <w:rPr>
                <w:rFonts w:ascii="Times New Roman" w:eastAsia="Times New Roman" w:hAnsi="Times New Roman" w:cs="Times New Roman"/>
              </w:rPr>
              <w:t>0</w:t>
            </w:r>
          </w:p>
        </w:tc>
        <w:tc>
          <w:tcPr>
            <w:tcW w:w="85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1499D95" w14:textId="77777777" w:rsidR="00FC2640" w:rsidRPr="00830656" w:rsidRDefault="00FC2640" w:rsidP="00242DAB">
            <w:pPr>
              <w:spacing w:after="0" w:line="240" w:lineRule="auto"/>
              <w:jc w:val="center"/>
              <w:rPr>
                <w:rFonts w:ascii="Times New Roman" w:eastAsia="Times New Roman" w:hAnsi="Times New Roman" w:cs="Times New Roman"/>
              </w:rPr>
            </w:pPr>
            <w:r w:rsidRPr="00830656">
              <w:rPr>
                <w:rFonts w:ascii="Times New Roman" w:eastAsia="Times New Roman" w:hAnsi="Times New Roman" w:cs="Times New Roman"/>
              </w:rPr>
              <w:t>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02F4F8B" w14:textId="2396D914" w:rsidR="00FC2640" w:rsidRPr="00830656" w:rsidRDefault="009530EE" w:rsidP="00242DAB">
            <w:pPr>
              <w:spacing w:after="0" w:line="240" w:lineRule="auto"/>
              <w:jc w:val="center"/>
              <w:rPr>
                <w:rFonts w:ascii="Times New Roman" w:eastAsia="Times New Roman" w:hAnsi="Times New Roman" w:cs="Times New Roman"/>
              </w:rPr>
            </w:pPr>
            <w:r w:rsidRPr="009530EE">
              <w:rPr>
                <w:rFonts w:ascii="Times New Roman" w:eastAsia="Times New Roman" w:hAnsi="Times New Roman" w:cs="Times New Roman"/>
              </w:rPr>
              <w:t>313</w:t>
            </w:r>
            <w:r>
              <w:rPr>
                <w:rFonts w:ascii="Times New Roman" w:eastAsia="Times New Roman" w:hAnsi="Times New Roman" w:cs="Times New Roman"/>
              </w:rPr>
              <w:t xml:space="preserve"> </w:t>
            </w:r>
            <w:r w:rsidRPr="009530EE">
              <w:rPr>
                <w:rFonts w:ascii="Times New Roman" w:eastAsia="Times New Roman" w:hAnsi="Times New Roman" w:cs="Times New Roman"/>
              </w:rPr>
              <w:t>613</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20B6F5A" w14:textId="071977D4" w:rsidR="00FC2640" w:rsidRPr="00830656" w:rsidRDefault="009530EE" w:rsidP="00242DAB">
            <w:pPr>
              <w:spacing w:after="0" w:line="240" w:lineRule="auto"/>
              <w:jc w:val="center"/>
              <w:rPr>
                <w:rFonts w:ascii="Times New Roman" w:eastAsia="Times New Roman" w:hAnsi="Times New Roman" w:cs="Times New Roman"/>
              </w:rPr>
            </w:pPr>
            <w:r w:rsidRPr="009530EE">
              <w:rPr>
                <w:rFonts w:ascii="Times New Roman" w:eastAsia="Times New Roman" w:hAnsi="Times New Roman" w:cs="Times New Roman"/>
              </w:rPr>
              <w:t>627</w:t>
            </w:r>
            <w:r>
              <w:rPr>
                <w:rFonts w:ascii="Times New Roman" w:eastAsia="Times New Roman" w:hAnsi="Times New Roman" w:cs="Times New Roman"/>
              </w:rPr>
              <w:t xml:space="preserve"> </w:t>
            </w:r>
            <w:r w:rsidRPr="009530EE">
              <w:rPr>
                <w:rFonts w:ascii="Times New Roman" w:eastAsia="Times New Roman" w:hAnsi="Times New Roman" w:cs="Times New Roman"/>
              </w:rPr>
              <w:t>226</w:t>
            </w:r>
          </w:p>
        </w:tc>
        <w:tc>
          <w:tcPr>
            <w:tcW w:w="99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BBB79BB" w14:textId="66BCD1C2" w:rsidR="00FC2640" w:rsidRPr="00830656" w:rsidRDefault="009530EE" w:rsidP="00242DAB">
            <w:pPr>
              <w:spacing w:after="0" w:line="240" w:lineRule="auto"/>
              <w:jc w:val="center"/>
              <w:rPr>
                <w:rFonts w:ascii="Times New Roman" w:eastAsia="Times New Roman" w:hAnsi="Times New Roman" w:cs="Times New Roman"/>
              </w:rPr>
            </w:pPr>
            <w:r>
              <w:rPr>
                <w:rFonts w:ascii="Times New Roman" w:hAnsi="Times New Roman" w:cs="Times New Roman"/>
              </w:rPr>
              <w:t>940 840</w:t>
            </w:r>
          </w:p>
        </w:tc>
      </w:tr>
      <w:tr w:rsidR="00FC2640" w:rsidRPr="00830656" w14:paraId="04EBECFC" w14:textId="77777777" w:rsidTr="004C58F8">
        <w:trPr>
          <w:trHeight w:val="1077"/>
        </w:trPr>
        <w:tc>
          <w:tcPr>
            <w:tcW w:w="1843" w:type="dxa"/>
            <w:vMerge/>
            <w:tcBorders>
              <w:left w:val="outset" w:sz="6" w:space="0" w:color="414142"/>
              <w:right w:val="outset" w:sz="6" w:space="0" w:color="414142"/>
            </w:tcBorders>
            <w:shd w:val="clear" w:color="auto" w:fill="FFFFFF"/>
          </w:tcPr>
          <w:p w14:paraId="3F11E833" w14:textId="77777777" w:rsidR="00FC2640" w:rsidRPr="00830656" w:rsidRDefault="00FC2640" w:rsidP="00242DAB">
            <w:pPr>
              <w:spacing w:after="0" w:line="240" w:lineRule="auto"/>
              <w:rPr>
                <w:rFonts w:ascii="Times New Roman" w:hAnsi="Times New Roman" w:cs="Times New Roman"/>
              </w:rPr>
            </w:pPr>
          </w:p>
        </w:tc>
        <w:tc>
          <w:tcPr>
            <w:tcW w:w="170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D05B1EA" w14:textId="77777777" w:rsidR="00FC2640" w:rsidRPr="00830656" w:rsidRDefault="00FC2640" w:rsidP="00242DAB">
            <w:pPr>
              <w:spacing w:after="0" w:line="240" w:lineRule="auto"/>
              <w:rPr>
                <w:rFonts w:ascii="Times New Roman" w:hAnsi="Times New Roman" w:cs="Times New Roman"/>
              </w:rPr>
            </w:pPr>
            <w:r w:rsidRPr="00830656">
              <w:rPr>
                <w:rFonts w:ascii="Times New Roman" w:hAnsi="Times New Roman" w:cs="Times New Roman"/>
              </w:rPr>
              <w:t>Veselības ministrija</w:t>
            </w:r>
          </w:p>
        </w:tc>
        <w:tc>
          <w:tcPr>
            <w:tcW w:w="85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E871920" w14:textId="77777777" w:rsidR="00FC2640" w:rsidRPr="00830656" w:rsidRDefault="00FC2640" w:rsidP="00242DAB">
            <w:pPr>
              <w:spacing w:after="0" w:line="240" w:lineRule="auto"/>
              <w:jc w:val="center"/>
              <w:rPr>
                <w:rFonts w:ascii="Times New Roman" w:eastAsia="Times New Roman" w:hAnsi="Times New Roman" w:cs="Times New Roman"/>
              </w:rPr>
            </w:pPr>
            <w:r w:rsidRPr="00830656">
              <w:rPr>
                <w:rFonts w:ascii="Times New Roman" w:eastAsia="Times New Roman" w:hAnsi="Times New Roman" w:cs="Times New Roman"/>
              </w:rPr>
              <w:t>0</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FDBC687" w14:textId="77777777" w:rsidR="00FC2640" w:rsidRPr="00830656" w:rsidRDefault="00FC2640" w:rsidP="00242DAB">
            <w:pPr>
              <w:spacing w:after="0" w:line="240" w:lineRule="auto"/>
              <w:jc w:val="center"/>
              <w:rPr>
                <w:rFonts w:ascii="Times New Roman" w:eastAsia="Times New Roman" w:hAnsi="Times New Roman" w:cs="Times New Roman"/>
              </w:rPr>
            </w:pPr>
            <w:r w:rsidRPr="00830656">
              <w:rPr>
                <w:rFonts w:ascii="Times New Roman" w:eastAsia="Times New Roman" w:hAnsi="Times New Roman" w:cs="Times New Roman"/>
              </w:rPr>
              <w:t>0</w:t>
            </w:r>
          </w:p>
        </w:tc>
        <w:tc>
          <w:tcPr>
            <w:tcW w:w="85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D5C0415" w14:textId="77777777" w:rsidR="00FC2640" w:rsidRPr="00830656" w:rsidRDefault="00FC2640" w:rsidP="00242DAB">
            <w:pPr>
              <w:spacing w:after="0" w:line="240" w:lineRule="auto"/>
              <w:jc w:val="center"/>
              <w:rPr>
                <w:rFonts w:ascii="Times New Roman" w:eastAsia="Times New Roman" w:hAnsi="Times New Roman" w:cs="Times New Roman"/>
              </w:rPr>
            </w:pPr>
            <w:r w:rsidRPr="00830656">
              <w:rPr>
                <w:rFonts w:ascii="Times New Roman" w:eastAsia="Times New Roman" w:hAnsi="Times New Roman" w:cs="Times New Roman"/>
              </w:rPr>
              <w:t>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E1567B4" w14:textId="69715366" w:rsidR="00FC2640" w:rsidRPr="00830656" w:rsidRDefault="00FC2640" w:rsidP="00242DAB">
            <w:pPr>
              <w:spacing w:after="0" w:line="240" w:lineRule="auto"/>
              <w:jc w:val="center"/>
              <w:rPr>
                <w:rFonts w:ascii="Times New Roman" w:eastAsia="Times New Roman" w:hAnsi="Times New Roman" w:cs="Times New Roman"/>
              </w:rPr>
            </w:pPr>
            <w:r w:rsidRPr="00616694">
              <w:rPr>
                <w:rFonts w:ascii="Times New Roman" w:eastAsia="Times New Roman" w:hAnsi="Times New Roman" w:cs="Times New Roman"/>
              </w:rPr>
              <w:t>12</w:t>
            </w:r>
            <w:r>
              <w:rPr>
                <w:rFonts w:ascii="Times New Roman" w:eastAsia="Times New Roman" w:hAnsi="Times New Roman" w:cs="Times New Roman"/>
              </w:rPr>
              <w:t xml:space="preserve"> </w:t>
            </w:r>
            <w:r w:rsidRPr="00616694">
              <w:rPr>
                <w:rFonts w:ascii="Times New Roman" w:eastAsia="Times New Roman" w:hAnsi="Times New Roman" w:cs="Times New Roman"/>
              </w:rPr>
              <w:t>920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6384892" w14:textId="7B3820B6" w:rsidR="00FC2640" w:rsidRPr="00830656" w:rsidRDefault="00FC2640" w:rsidP="00242DAB">
            <w:pPr>
              <w:spacing w:after="0" w:line="240" w:lineRule="auto"/>
              <w:jc w:val="center"/>
              <w:rPr>
                <w:rFonts w:ascii="Times New Roman" w:eastAsia="Times New Roman" w:hAnsi="Times New Roman" w:cs="Times New Roman"/>
              </w:rPr>
            </w:pPr>
            <w:r w:rsidRPr="00FE5742">
              <w:rPr>
                <w:rFonts w:ascii="Times New Roman" w:eastAsia="Times New Roman" w:hAnsi="Times New Roman" w:cs="Times New Roman"/>
              </w:rPr>
              <w:t>25</w:t>
            </w:r>
            <w:r>
              <w:rPr>
                <w:rFonts w:ascii="Times New Roman" w:eastAsia="Times New Roman" w:hAnsi="Times New Roman" w:cs="Times New Roman"/>
              </w:rPr>
              <w:t xml:space="preserve"> </w:t>
            </w:r>
            <w:r w:rsidRPr="00FE5742">
              <w:rPr>
                <w:rFonts w:ascii="Times New Roman" w:eastAsia="Times New Roman" w:hAnsi="Times New Roman" w:cs="Times New Roman"/>
              </w:rPr>
              <w:t>841</w:t>
            </w:r>
          </w:p>
        </w:tc>
        <w:tc>
          <w:tcPr>
            <w:tcW w:w="99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844DD55" w14:textId="2B065538" w:rsidR="00FC2640" w:rsidRPr="00830656" w:rsidRDefault="00FC2640" w:rsidP="00242DAB">
            <w:pPr>
              <w:spacing w:after="0" w:line="240" w:lineRule="auto"/>
              <w:jc w:val="center"/>
              <w:rPr>
                <w:rFonts w:ascii="Times New Roman" w:eastAsia="Times New Roman" w:hAnsi="Times New Roman" w:cs="Times New Roman"/>
              </w:rPr>
            </w:pPr>
            <w:r w:rsidRPr="00830656">
              <w:rPr>
                <w:rFonts w:ascii="Times New Roman" w:hAnsi="Times New Roman" w:cs="Times New Roman"/>
              </w:rPr>
              <w:t>38 761</w:t>
            </w:r>
          </w:p>
        </w:tc>
      </w:tr>
      <w:tr w:rsidR="00FC2640" w:rsidRPr="00830656" w14:paraId="2ECAC9CF" w14:textId="77777777" w:rsidTr="004C58F8">
        <w:trPr>
          <w:trHeight w:val="1077"/>
        </w:trPr>
        <w:tc>
          <w:tcPr>
            <w:tcW w:w="1843" w:type="dxa"/>
            <w:vMerge/>
            <w:tcBorders>
              <w:left w:val="outset" w:sz="6" w:space="0" w:color="414142"/>
              <w:right w:val="outset" w:sz="6" w:space="0" w:color="414142"/>
            </w:tcBorders>
            <w:shd w:val="clear" w:color="auto" w:fill="FFFFFF"/>
          </w:tcPr>
          <w:p w14:paraId="69EF309F" w14:textId="77777777" w:rsidR="00FC2640" w:rsidRPr="00830656" w:rsidRDefault="00FC2640" w:rsidP="00242DAB">
            <w:pPr>
              <w:spacing w:after="0" w:line="240" w:lineRule="auto"/>
              <w:rPr>
                <w:rFonts w:ascii="Times New Roman" w:hAnsi="Times New Roman" w:cs="Times New Roman"/>
              </w:rPr>
            </w:pPr>
          </w:p>
        </w:tc>
        <w:tc>
          <w:tcPr>
            <w:tcW w:w="170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82942FE" w14:textId="77777777" w:rsidR="00FC2640" w:rsidRPr="00830656" w:rsidRDefault="00FC2640" w:rsidP="00242DAB">
            <w:pPr>
              <w:spacing w:after="0" w:line="240" w:lineRule="auto"/>
              <w:rPr>
                <w:rFonts w:ascii="Times New Roman" w:hAnsi="Times New Roman" w:cs="Times New Roman"/>
              </w:rPr>
            </w:pPr>
            <w:r w:rsidRPr="00830656">
              <w:rPr>
                <w:rFonts w:ascii="Times New Roman" w:hAnsi="Times New Roman" w:cs="Times New Roman"/>
              </w:rPr>
              <w:t>Zemkopības ministrija</w:t>
            </w:r>
          </w:p>
        </w:tc>
        <w:tc>
          <w:tcPr>
            <w:tcW w:w="85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1FBCE16" w14:textId="77777777" w:rsidR="00FC2640" w:rsidRPr="00830656" w:rsidRDefault="00FC2640" w:rsidP="00242DAB">
            <w:pPr>
              <w:spacing w:after="0" w:line="240" w:lineRule="auto"/>
              <w:jc w:val="center"/>
              <w:rPr>
                <w:rFonts w:ascii="Times New Roman" w:eastAsia="Times New Roman" w:hAnsi="Times New Roman" w:cs="Times New Roman"/>
              </w:rPr>
            </w:pPr>
            <w:r w:rsidRPr="00830656">
              <w:rPr>
                <w:rFonts w:ascii="Times New Roman" w:eastAsia="Times New Roman" w:hAnsi="Times New Roman" w:cs="Times New Roman"/>
              </w:rPr>
              <w:t>0</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41DE43B" w14:textId="77777777" w:rsidR="00FC2640" w:rsidRPr="00830656" w:rsidRDefault="00FC2640" w:rsidP="00242DAB">
            <w:pPr>
              <w:spacing w:after="0" w:line="240" w:lineRule="auto"/>
              <w:jc w:val="center"/>
              <w:rPr>
                <w:rFonts w:ascii="Times New Roman" w:eastAsia="Times New Roman" w:hAnsi="Times New Roman" w:cs="Times New Roman"/>
              </w:rPr>
            </w:pPr>
            <w:r w:rsidRPr="00830656">
              <w:rPr>
                <w:rFonts w:ascii="Times New Roman" w:eastAsia="Times New Roman" w:hAnsi="Times New Roman" w:cs="Times New Roman"/>
              </w:rPr>
              <w:t>0</w:t>
            </w:r>
          </w:p>
        </w:tc>
        <w:tc>
          <w:tcPr>
            <w:tcW w:w="85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9C974CA" w14:textId="77777777" w:rsidR="00FC2640" w:rsidRPr="00830656" w:rsidRDefault="00FC2640" w:rsidP="00242DAB">
            <w:pPr>
              <w:spacing w:after="0" w:line="240" w:lineRule="auto"/>
              <w:jc w:val="center"/>
              <w:rPr>
                <w:rFonts w:ascii="Times New Roman" w:eastAsia="Times New Roman" w:hAnsi="Times New Roman" w:cs="Times New Roman"/>
              </w:rPr>
            </w:pPr>
            <w:r w:rsidRPr="00830656">
              <w:rPr>
                <w:rFonts w:ascii="Times New Roman" w:eastAsia="Times New Roman" w:hAnsi="Times New Roman" w:cs="Times New Roman"/>
              </w:rPr>
              <w:t>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092538E" w14:textId="61FBA1B5" w:rsidR="00FC2640" w:rsidRPr="00830656" w:rsidRDefault="00FC2640" w:rsidP="00242DAB">
            <w:pPr>
              <w:spacing w:after="0" w:line="240" w:lineRule="auto"/>
              <w:jc w:val="center"/>
              <w:rPr>
                <w:rFonts w:ascii="Times New Roman" w:eastAsia="Times New Roman" w:hAnsi="Times New Roman" w:cs="Times New Roman"/>
              </w:rPr>
            </w:pPr>
            <w:r w:rsidRPr="00616694">
              <w:rPr>
                <w:rFonts w:ascii="Times New Roman" w:eastAsia="Times New Roman" w:hAnsi="Times New Roman" w:cs="Times New Roman"/>
              </w:rPr>
              <w:t>20</w:t>
            </w:r>
            <w:r>
              <w:rPr>
                <w:rFonts w:ascii="Times New Roman" w:eastAsia="Times New Roman" w:hAnsi="Times New Roman" w:cs="Times New Roman"/>
              </w:rPr>
              <w:t xml:space="preserve"> </w:t>
            </w:r>
            <w:r w:rsidRPr="00616694">
              <w:rPr>
                <w:rFonts w:ascii="Times New Roman" w:eastAsia="Times New Roman" w:hAnsi="Times New Roman" w:cs="Times New Roman"/>
              </w:rPr>
              <w:t>018</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89C5743" w14:textId="41AE9152" w:rsidR="00FC2640" w:rsidRPr="00830656" w:rsidRDefault="00FC2640" w:rsidP="00242DAB">
            <w:pPr>
              <w:spacing w:after="0" w:line="240" w:lineRule="auto"/>
              <w:jc w:val="center"/>
              <w:rPr>
                <w:rFonts w:ascii="Times New Roman" w:eastAsia="Times New Roman" w:hAnsi="Times New Roman" w:cs="Times New Roman"/>
              </w:rPr>
            </w:pPr>
            <w:r w:rsidRPr="00FE5742">
              <w:rPr>
                <w:rFonts w:ascii="Times New Roman" w:eastAsia="Times New Roman" w:hAnsi="Times New Roman" w:cs="Times New Roman"/>
              </w:rPr>
              <w:t>40</w:t>
            </w:r>
            <w:r>
              <w:rPr>
                <w:rFonts w:ascii="Times New Roman" w:eastAsia="Times New Roman" w:hAnsi="Times New Roman" w:cs="Times New Roman"/>
              </w:rPr>
              <w:t xml:space="preserve"> </w:t>
            </w:r>
            <w:r w:rsidRPr="00FE5742">
              <w:rPr>
                <w:rFonts w:ascii="Times New Roman" w:eastAsia="Times New Roman" w:hAnsi="Times New Roman" w:cs="Times New Roman"/>
              </w:rPr>
              <w:t>037</w:t>
            </w:r>
          </w:p>
        </w:tc>
        <w:tc>
          <w:tcPr>
            <w:tcW w:w="99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0CC75AA" w14:textId="2D000137" w:rsidR="00FC2640" w:rsidRPr="00830656" w:rsidRDefault="00FC2640" w:rsidP="00242DAB">
            <w:pPr>
              <w:spacing w:after="0" w:line="240" w:lineRule="auto"/>
              <w:jc w:val="center"/>
              <w:rPr>
                <w:rFonts w:ascii="Times New Roman" w:eastAsia="Times New Roman" w:hAnsi="Times New Roman" w:cs="Times New Roman"/>
              </w:rPr>
            </w:pPr>
            <w:r w:rsidRPr="00830656">
              <w:rPr>
                <w:rFonts w:ascii="Times New Roman" w:hAnsi="Times New Roman" w:cs="Times New Roman"/>
              </w:rPr>
              <w:t>60 055</w:t>
            </w:r>
          </w:p>
        </w:tc>
      </w:tr>
      <w:tr w:rsidR="00FC2640" w:rsidRPr="00830656" w14:paraId="76AB9754" w14:textId="77777777" w:rsidTr="009B3228">
        <w:trPr>
          <w:trHeight w:val="584"/>
        </w:trPr>
        <w:tc>
          <w:tcPr>
            <w:tcW w:w="1843" w:type="dxa"/>
            <w:vMerge/>
            <w:tcBorders>
              <w:left w:val="outset" w:sz="6" w:space="0" w:color="414142"/>
              <w:right w:val="outset" w:sz="6" w:space="0" w:color="414142"/>
            </w:tcBorders>
            <w:shd w:val="clear" w:color="auto" w:fill="FFFFFF"/>
          </w:tcPr>
          <w:p w14:paraId="34ACD5E1" w14:textId="77777777" w:rsidR="00FC2640" w:rsidRPr="00830656" w:rsidRDefault="00FC2640" w:rsidP="00242DAB">
            <w:pPr>
              <w:spacing w:after="0" w:line="240" w:lineRule="auto"/>
              <w:jc w:val="right"/>
              <w:rPr>
                <w:rFonts w:ascii="Times New Roman" w:hAnsi="Times New Roman" w:cs="Times New Roman"/>
                <w:b/>
              </w:rPr>
            </w:pPr>
          </w:p>
        </w:tc>
        <w:tc>
          <w:tcPr>
            <w:tcW w:w="1701" w:type="dxa"/>
            <w:tcBorders>
              <w:top w:val="outset" w:sz="6" w:space="0" w:color="414142"/>
              <w:left w:val="outset" w:sz="6" w:space="0" w:color="414142"/>
              <w:right w:val="outset" w:sz="6" w:space="0" w:color="414142"/>
            </w:tcBorders>
            <w:shd w:val="clear" w:color="auto" w:fill="FFFFFF"/>
            <w:vAlign w:val="center"/>
          </w:tcPr>
          <w:p w14:paraId="6595DDBF" w14:textId="77777777" w:rsidR="00FC2640" w:rsidRPr="00830656" w:rsidRDefault="00FC2640" w:rsidP="00242DAB">
            <w:pPr>
              <w:spacing w:after="0" w:line="240" w:lineRule="auto"/>
              <w:jc w:val="right"/>
              <w:rPr>
                <w:rFonts w:ascii="Times New Roman" w:hAnsi="Times New Roman" w:cs="Times New Roman"/>
              </w:rPr>
            </w:pPr>
            <w:r w:rsidRPr="00830656">
              <w:rPr>
                <w:rFonts w:ascii="Times New Roman" w:hAnsi="Times New Roman" w:cs="Times New Roman"/>
                <w:b/>
              </w:rPr>
              <w:t>Kopā:</w:t>
            </w:r>
          </w:p>
        </w:tc>
        <w:tc>
          <w:tcPr>
            <w:tcW w:w="851" w:type="dxa"/>
            <w:tcBorders>
              <w:top w:val="outset" w:sz="6" w:space="0" w:color="414142"/>
              <w:left w:val="outset" w:sz="6" w:space="0" w:color="414142"/>
              <w:right w:val="outset" w:sz="6" w:space="0" w:color="414142"/>
            </w:tcBorders>
            <w:shd w:val="clear" w:color="auto" w:fill="FFFFFF"/>
            <w:vAlign w:val="center"/>
          </w:tcPr>
          <w:p w14:paraId="4168CD64" w14:textId="77777777" w:rsidR="00FC2640" w:rsidRPr="00830656" w:rsidRDefault="00FC2640" w:rsidP="00242DAB">
            <w:pPr>
              <w:spacing w:after="0" w:line="240" w:lineRule="auto"/>
              <w:jc w:val="center"/>
              <w:rPr>
                <w:rFonts w:ascii="Times New Roman" w:eastAsia="Times New Roman" w:hAnsi="Times New Roman" w:cs="Times New Roman"/>
                <w:b/>
              </w:rPr>
            </w:pPr>
            <w:r w:rsidRPr="00830656">
              <w:rPr>
                <w:rFonts w:ascii="Times New Roman" w:eastAsia="Times New Roman" w:hAnsi="Times New Roman" w:cs="Times New Roman"/>
                <w:b/>
              </w:rPr>
              <w:t>0</w:t>
            </w:r>
          </w:p>
        </w:tc>
        <w:tc>
          <w:tcPr>
            <w:tcW w:w="850" w:type="dxa"/>
            <w:tcBorders>
              <w:top w:val="outset" w:sz="6" w:space="0" w:color="414142"/>
              <w:left w:val="outset" w:sz="6" w:space="0" w:color="414142"/>
              <w:right w:val="outset" w:sz="6" w:space="0" w:color="414142"/>
            </w:tcBorders>
            <w:shd w:val="clear" w:color="auto" w:fill="FFFFFF"/>
            <w:vAlign w:val="center"/>
          </w:tcPr>
          <w:p w14:paraId="6C9C4978" w14:textId="77777777" w:rsidR="00FC2640" w:rsidRPr="00830656" w:rsidRDefault="00FC2640" w:rsidP="00242DAB">
            <w:pPr>
              <w:spacing w:after="0" w:line="240" w:lineRule="auto"/>
              <w:jc w:val="center"/>
              <w:rPr>
                <w:rFonts w:ascii="Times New Roman" w:eastAsia="Times New Roman" w:hAnsi="Times New Roman" w:cs="Times New Roman"/>
                <w:b/>
              </w:rPr>
            </w:pPr>
            <w:r w:rsidRPr="00830656">
              <w:rPr>
                <w:rFonts w:ascii="Times New Roman" w:eastAsia="Times New Roman" w:hAnsi="Times New Roman" w:cs="Times New Roman"/>
                <w:b/>
              </w:rPr>
              <w:t>0</w:t>
            </w:r>
          </w:p>
        </w:tc>
        <w:tc>
          <w:tcPr>
            <w:tcW w:w="851" w:type="dxa"/>
            <w:tcBorders>
              <w:top w:val="outset" w:sz="6" w:space="0" w:color="414142"/>
              <w:left w:val="outset" w:sz="6" w:space="0" w:color="414142"/>
              <w:right w:val="outset" w:sz="6" w:space="0" w:color="414142"/>
            </w:tcBorders>
            <w:shd w:val="clear" w:color="auto" w:fill="FFFFFF"/>
            <w:vAlign w:val="center"/>
          </w:tcPr>
          <w:p w14:paraId="42BB801F" w14:textId="77777777" w:rsidR="00FC2640" w:rsidRPr="00830656" w:rsidRDefault="00FC2640" w:rsidP="00242DAB">
            <w:pPr>
              <w:spacing w:after="0" w:line="240" w:lineRule="auto"/>
              <w:jc w:val="center"/>
              <w:rPr>
                <w:rFonts w:ascii="Times New Roman" w:eastAsia="Times New Roman" w:hAnsi="Times New Roman" w:cs="Times New Roman"/>
                <w:b/>
              </w:rPr>
            </w:pPr>
            <w:r w:rsidRPr="00830656">
              <w:rPr>
                <w:rFonts w:ascii="Times New Roman" w:eastAsia="Times New Roman" w:hAnsi="Times New Roman" w:cs="Times New Roman"/>
                <w:b/>
              </w:rPr>
              <w:t>0</w:t>
            </w:r>
          </w:p>
        </w:tc>
        <w:tc>
          <w:tcPr>
            <w:tcW w:w="992" w:type="dxa"/>
            <w:tcBorders>
              <w:top w:val="outset" w:sz="6" w:space="0" w:color="414142"/>
              <w:left w:val="outset" w:sz="6" w:space="0" w:color="414142"/>
              <w:right w:val="outset" w:sz="6" w:space="0" w:color="414142"/>
            </w:tcBorders>
            <w:shd w:val="clear" w:color="auto" w:fill="FFFFFF"/>
            <w:vAlign w:val="center"/>
          </w:tcPr>
          <w:p w14:paraId="2E2F0519" w14:textId="316D9FD5" w:rsidR="00FC2640" w:rsidRPr="009530EE" w:rsidRDefault="00FC2640" w:rsidP="00242DAB">
            <w:pPr>
              <w:spacing w:after="0" w:line="240" w:lineRule="auto"/>
              <w:jc w:val="center"/>
              <w:rPr>
                <w:rFonts w:ascii="Times New Roman" w:eastAsia="Times New Roman" w:hAnsi="Times New Roman" w:cs="Times New Roman"/>
                <w:b/>
                <w:bCs/>
              </w:rPr>
            </w:pPr>
            <w:r w:rsidRPr="009530EE">
              <w:rPr>
                <w:rFonts w:ascii="Times New Roman" w:eastAsia="Times New Roman" w:hAnsi="Times New Roman" w:cs="Times New Roman"/>
                <w:b/>
                <w:bCs/>
              </w:rPr>
              <w:t>2</w:t>
            </w:r>
            <w:r w:rsidR="009530EE" w:rsidRPr="009530EE">
              <w:rPr>
                <w:rFonts w:ascii="Times New Roman" w:eastAsia="Times New Roman" w:hAnsi="Times New Roman" w:cs="Times New Roman"/>
                <w:b/>
                <w:bCs/>
              </w:rPr>
              <w:t> 328 075</w:t>
            </w:r>
          </w:p>
        </w:tc>
        <w:tc>
          <w:tcPr>
            <w:tcW w:w="992" w:type="dxa"/>
            <w:tcBorders>
              <w:top w:val="outset" w:sz="6" w:space="0" w:color="414142"/>
              <w:left w:val="outset" w:sz="6" w:space="0" w:color="414142"/>
              <w:right w:val="outset" w:sz="6" w:space="0" w:color="414142"/>
            </w:tcBorders>
            <w:shd w:val="clear" w:color="auto" w:fill="FFFFFF"/>
            <w:vAlign w:val="center"/>
          </w:tcPr>
          <w:p w14:paraId="5CE34FC5" w14:textId="0226D676" w:rsidR="00FC2640" w:rsidRPr="009530EE" w:rsidRDefault="009530EE" w:rsidP="00242DAB">
            <w:pPr>
              <w:spacing w:after="0" w:line="240" w:lineRule="auto"/>
              <w:jc w:val="center"/>
              <w:rPr>
                <w:rFonts w:ascii="Times New Roman" w:eastAsia="Times New Roman" w:hAnsi="Times New Roman" w:cs="Times New Roman"/>
                <w:b/>
                <w:bCs/>
              </w:rPr>
            </w:pPr>
            <w:r w:rsidRPr="009530EE">
              <w:rPr>
                <w:rFonts w:ascii="Times New Roman" w:eastAsia="Times New Roman" w:hAnsi="Times New Roman" w:cs="Times New Roman"/>
                <w:b/>
                <w:bCs/>
              </w:rPr>
              <w:t>4 656 153</w:t>
            </w:r>
          </w:p>
        </w:tc>
        <w:tc>
          <w:tcPr>
            <w:tcW w:w="991" w:type="dxa"/>
            <w:tcBorders>
              <w:top w:val="outset" w:sz="6" w:space="0" w:color="414142"/>
              <w:left w:val="outset" w:sz="6" w:space="0" w:color="414142"/>
              <w:right w:val="outset" w:sz="6" w:space="0" w:color="414142"/>
            </w:tcBorders>
            <w:shd w:val="clear" w:color="auto" w:fill="FFFFFF"/>
            <w:vAlign w:val="center"/>
          </w:tcPr>
          <w:p w14:paraId="1778218B" w14:textId="3D617B85" w:rsidR="00FC2640" w:rsidRPr="009530EE" w:rsidRDefault="009530EE" w:rsidP="00242DAB">
            <w:pPr>
              <w:spacing w:after="0" w:line="240" w:lineRule="auto"/>
              <w:jc w:val="center"/>
              <w:rPr>
                <w:rFonts w:ascii="Times New Roman" w:eastAsia="Times New Roman" w:hAnsi="Times New Roman" w:cs="Times New Roman"/>
                <w:b/>
                <w:bCs/>
              </w:rPr>
            </w:pPr>
            <w:r w:rsidRPr="009530EE">
              <w:rPr>
                <w:rFonts w:ascii="Times New Roman" w:hAnsi="Times New Roman" w:cs="Times New Roman"/>
                <w:b/>
              </w:rPr>
              <w:t>6 984 229</w:t>
            </w:r>
          </w:p>
        </w:tc>
      </w:tr>
    </w:tbl>
    <w:p w14:paraId="41955A7F" w14:textId="77777777" w:rsidR="009B3228" w:rsidRDefault="009B3228" w:rsidP="00242DAB">
      <w:pPr>
        <w:spacing w:after="0" w:line="276" w:lineRule="auto"/>
        <w:jc w:val="both"/>
        <w:rPr>
          <w:rFonts w:ascii="Times New Roman" w:hAnsi="Times New Roman" w:cs="Times New Roman"/>
          <w:sz w:val="24"/>
          <w:szCs w:val="28"/>
        </w:rPr>
      </w:pPr>
    </w:p>
    <w:p w14:paraId="0329ABEA" w14:textId="70B4E880" w:rsidR="00762463" w:rsidRDefault="00762463" w:rsidP="00242DAB">
      <w:pPr>
        <w:spacing w:after="120" w:line="276" w:lineRule="auto"/>
        <w:jc w:val="both"/>
        <w:rPr>
          <w:rFonts w:ascii="Times New Roman" w:hAnsi="Times New Roman" w:cs="Times New Roman"/>
          <w:sz w:val="24"/>
          <w:szCs w:val="28"/>
        </w:rPr>
      </w:pPr>
      <w:r w:rsidRPr="00D744EB">
        <w:rPr>
          <w:rFonts w:ascii="Times New Roman" w:hAnsi="Times New Roman" w:cs="Times New Roman"/>
          <w:sz w:val="24"/>
          <w:szCs w:val="24"/>
        </w:rPr>
        <w:t>Lai paredzētu iespēju pašvaldību un privātajām izglītības iestādēm saņemt valsts budžeta finansējumu profesionālās izglītības programmu īstenošanai, gadījumos, kad tās īsteno vai plāno īstenot izglītības programmas, kas atbilst noteiktiem kritērijiem, papil</w:t>
      </w:r>
      <w:r>
        <w:rPr>
          <w:rFonts w:ascii="Times New Roman" w:hAnsi="Times New Roman" w:cs="Times New Roman"/>
          <w:sz w:val="24"/>
          <w:szCs w:val="24"/>
        </w:rPr>
        <w:t xml:space="preserve">dus nepieciešams finansējums </w:t>
      </w:r>
      <w:r w:rsidRPr="00762463">
        <w:rPr>
          <w:rFonts w:ascii="Times New Roman" w:eastAsia="Times New Roman" w:hAnsi="Times New Roman" w:cs="Times New Roman"/>
        </w:rPr>
        <w:t>1 155 262</w:t>
      </w:r>
      <w:r w:rsidRPr="00D744EB">
        <w:rPr>
          <w:rFonts w:ascii="Times New Roman" w:hAnsi="Times New Roman" w:cs="Times New Roman"/>
          <w:sz w:val="24"/>
          <w:szCs w:val="24"/>
        </w:rPr>
        <w:t xml:space="preserve"> </w:t>
      </w:r>
      <w:r w:rsidRPr="00762463">
        <w:rPr>
          <w:rFonts w:ascii="Times New Roman" w:hAnsi="Times New Roman" w:cs="Times New Roman"/>
          <w:i/>
          <w:sz w:val="24"/>
          <w:szCs w:val="24"/>
        </w:rPr>
        <w:t>euro</w:t>
      </w:r>
      <w:r w:rsidRPr="00D744EB">
        <w:rPr>
          <w:rFonts w:ascii="Times New Roman" w:hAnsi="Times New Roman" w:cs="Times New Roman"/>
          <w:sz w:val="24"/>
          <w:szCs w:val="24"/>
        </w:rPr>
        <w:t xml:space="preserve"> (t.sk. normējamās izmaksas, dienesta viesnīcas uzturēšanās izdevumi, kultūrizglītībai un sportam un stipendijām).</w:t>
      </w:r>
    </w:p>
    <w:p w14:paraId="17B7AF79" w14:textId="3545DD6F" w:rsidR="00297C04" w:rsidRDefault="00297C04" w:rsidP="00242DAB">
      <w:pPr>
        <w:spacing w:after="120" w:line="276" w:lineRule="auto"/>
        <w:jc w:val="both"/>
        <w:rPr>
          <w:rFonts w:ascii="Times New Roman" w:hAnsi="Times New Roman" w:cs="Times New Roman"/>
          <w:sz w:val="24"/>
          <w:szCs w:val="28"/>
        </w:rPr>
      </w:pPr>
      <w:r w:rsidRPr="005B6E28">
        <w:rPr>
          <w:rFonts w:ascii="Times New Roman" w:hAnsi="Times New Roman" w:cs="Times New Roman"/>
          <w:sz w:val="24"/>
          <w:szCs w:val="28"/>
        </w:rPr>
        <w:t xml:space="preserve">Jautājums par papildus nepieciešamā finansējuma avotu skatāms ikgadējā valsts budžeta ietvaros, tāpat arī </w:t>
      </w:r>
      <w:r>
        <w:rPr>
          <w:rFonts w:ascii="Times New Roman" w:hAnsi="Times New Roman" w:cs="Times New Roman"/>
          <w:sz w:val="24"/>
          <w:szCs w:val="28"/>
        </w:rPr>
        <w:t>IZM</w:t>
      </w:r>
      <w:r w:rsidR="00573D1A">
        <w:rPr>
          <w:rFonts w:ascii="Times New Roman" w:hAnsi="Times New Roman" w:cs="Times New Roman"/>
          <w:sz w:val="24"/>
          <w:szCs w:val="28"/>
        </w:rPr>
        <w:t xml:space="preserve"> sagatavoja</w:t>
      </w:r>
      <w:r w:rsidRPr="005B6E28">
        <w:rPr>
          <w:rFonts w:ascii="Times New Roman" w:hAnsi="Times New Roman" w:cs="Times New Roman"/>
          <w:sz w:val="24"/>
          <w:szCs w:val="28"/>
        </w:rPr>
        <w:t xml:space="preserve"> un </w:t>
      </w:r>
      <w:r>
        <w:rPr>
          <w:rFonts w:ascii="Times New Roman" w:hAnsi="Times New Roman" w:cs="Times New Roman"/>
          <w:sz w:val="24"/>
          <w:szCs w:val="28"/>
        </w:rPr>
        <w:t xml:space="preserve">2020.gada 8.jūlijā </w:t>
      </w:r>
      <w:r w:rsidRPr="005B6E28">
        <w:rPr>
          <w:rFonts w:ascii="Times New Roman" w:hAnsi="Times New Roman" w:cs="Times New Roman"/>
          <w:sz w:val="24"/>
          <w:szCs w:val="28"/>
        </w:rPr>
        <w:t>Finanšu minist</w:t>
      </w:r>
      <w:r>
        <w:rPr>
          <w:rFonts w:ascii="Times New Roman" w:hAnsi="Times New Roman" w:cs="Times New Roman"/>
          <w:sz w:val="24"/>
          <w:szCs w:val="28"/>
        </w:rPr>
        <w:t xml:space="preserve">rijai </w:t>
      </w:r>
      <w:r w:rsidR="00573D1A">
        <w:rPr>
          <w:rFonts w:ascii="Times New Roman" w:hAnsi="Times New Roman" w:cs="Times New Roman"/>
          <w:sz w:val="24"/>
          <w:szCs w:val="28"/>
        </w:rPr>
        <w:t>iesniedza</w:t>
      </w:r>
      <w:r>
        <w:rPr>
          <w:rFonts w:ascii="Times New Roman" w:hAnsi="Times New Roman" w:cs="Times New Roman"/>
          <w:sz w:val="24"/>
          <w:szCs w:val="28"/>
        </w:rPr>
        <w:t xml:space="preserve"> pieteikumu</w:t>
      </w:r>
      <w:r w:rsidRPr="005B6E28">
        <w:rPr>
          <w:rFonts w:ascii="Times New Roman" w:hAnsi="Times New Roman" w:cs="Times New Roman"/>
          <w:sz w:val="24"/>
          <w:szCs w:val="28"/>
        </w:rPr>
        <w:t xml:space="preserve"> prioritārajiem pasākumiem</w:t>
      </w:r>
      <w:r>
        <w:rPr>
          <w:rFonts w:ascii="Times New Roman" w:hAnsi="Times New Roman" w:cs="Times New Roman"/>
          <w:sz w:val="24"/>
          <w:szCs w:val="28"/>
        </w:rPr>
        <w:t xml:space="preserve"> 2021.gadam</w:t>
      </w:r>
      <w:r w:rsidRPr="005B6E28">
        <w:rPr>
          <w:rFonts w:ascii="Times New Roman" w:hAnsi="Times New Roman" w:cs="Times New Roman"/>
          <w:sz w:val="24"/>
          <w:szCs w:val="28"/>
        </w:rPr>
        <w:t>: 1) Bāzes finansējuma nodrošināšana profesionālās izglītības programmu īstenošanai; 2) Mācību prakšu organizēšanas izmaksu nodrošināšana profesionālajā izglītībā.</w:t>
      </w:r>
      <w:r>
        <w:rPr>
          <w:rFonts w:ascii="Times New Roman" w:hAnsi="Times New Roman" w:cs="Times New Roman"/>
          <w:sz w:val="24"/>
          <w:szCs w:val="28"/>
        </w:rPr>
        <w:t xml:space="preserve"> </w:t>
      </w:r>
      <w:r w:rsidRPr="00F72F7B">
        <w:rPr>
          <w:rFonts w:ascii="Times New Roman" w:hAnsi="Times New Roman" w:cs="Times New Roman"/>
          <w:sz w:val="24"/>
          <w:szCs w:val="28"/>
        </w:rPr>
        <w:t>Prioritārā pasākuma - bāzes finansējuma nodrošināšana profesionālās izglītības programmu īstenošanai, grafiks paredz bāzes finansējuma pakāpenisku paaugstinājumu trīs gadu laikā</w:t>
      </w:r>
      <w:r>
        <w:rPr>
          <w:rFonts w:ascii="Times New Roman" w:hAnsi="Times New Roman" w:cs="Times New Roman"/>
          <w:sz w:val="24"/>
          <w:szCs w:val="28"/>
        </w:rPr>
        <w:t xml:space="preserve"> (skatīt Tabula Nr. 5)</w:t>
      </w:r>
      <w:r w:rsidRPr="00F72F7B">
        <w:rPr>
          <w:rFonts w:ascii="Times New Roman" w:hAnsi="Times New Roman" w:cs="Times New Roman"/>
          <w:sz w:val="24"/>
          <w:szCs w:val="28"/>
        </w:rPr>
        <w:t>.</w:t>
      </w:r>
    </w:p>
    <w:p w14:paraId="57AC6251" w14:textId="77777777" w:rsidR="00ED595B" w:rsidRDefault="00ED595B" w:rsidP="00ED595B">
      <w:pPr>
        <w:spacing w:after="120" w:line="276" w:lineRule="auto"/>
        <w:jc w:val="right"/>
        <w:rPr>
          <w:rFonts w:ascii="Times New Roman" w:hAnsi="Times New Roman" w:cs="Times New Roman"/>
          <w:b/>
          <w:sz w:val="24"/>
          <w:szCs w:val="28"/>
        </w:rPr>
      </w:pPr>
      <w:r>
        <w:rPr>
          <w:rFonts w:ascii="Times New Roman" w:hAnsi="Times New Roman" w:cs="Times New Roman"/>
          <w:b/>
          <w:sz w:val="24"/>
          <w:szCs w:val="28"/>
        </w:rPr>
        <w:t>Tabula Nr. 5</w:t>
      </w:r>
      <w:r w:rsidRPr="004316CD">
        <w:rPr>
          <w:rFonts w:ascii="Times New Roman" w:hAnsi="Times New Roman" w:cs="Times New Roman"/>
          <w:b/>
          <w:sz w:val="24"/>
          <w:szCs w:val="28"/>
        </w:rPr>
        <w:t>. Pieteikumi prioritāro pasākumu īstenošanai</w:t>
      </w:r>
    </w:p>
    <w:tbl>
      <w:tblPr>
        <w:tblStyle w:val="TableGrid"/>
        <w:tblW w:w="9067" w:type="dxa"/>
        <w:tblLook w:val="04A0" w:firstRow="1" w:lastRow="0" w:firstColumn="1" w:lastColumn="0" w:noHBand="0" w:noVBand="1"/>
      </w:tblPr>
      <w:tblGrid>
        <w:gridCol w:w="5240"/>
        <w:gridCol w:w="3827"/>
      </w:tblGrid>
      <w:tr w:rsidR="00ED595B" w:rsidRPr="004316CD" w14:paraId="0E1D6F2F" w14:textId="77777777" w:rsidTr="00DB5815">
        <w:tc>
          <w:tcPr>
            <w:tcW w:w="5240" w:type="dxa"/>
            <w:vAlign w:val="center"/>
          </w:tcPr>
          <w:p w14:paraId="0B448F1A" w14:textId="7326B4E7" w:rsidR="00ED595B" w:rsidRPr="004316CD" w:rsidRDefault="00ED595B" w:rsidP="00DB5815">
            <w:pPr>
              <w:jc w:val="center"/>
              <w:rPr>
                <w:rFonts w:ascii="Times New Roman" w:hAnsi="Times New Roman" w:cs="Times New Roman"/>
                <w:bCs/>
                <w:sz w:val="24"/>
              </w:rPr>
            </w:pPr>
            <w:r w:rsidRPr="004316CD">
              <w:rPr>
                <w:rFonts w:ascii="Times New Roman" w:hAnsi="Times New Roman" w:cs="Times New Roman"/>
                <w:bCs/>
                <w:sz w:val="24"/>
              </w:rPr>
              <w:t>Bāzes finansējuma nodrošināšana profesionālās izglītības programmu īstenošanai</w:t>
            </w:r>
            <w:r w:rsidR="005C7C90">
              <w:rPr>
                <w:rFonts w:ascii="Times New Roman" w:hAnsi="Times New Roman" w:cs="Times New Roman"/>
                <w:bCs/>
                <w:sz w:val="24"/>
              </w:rPr>
              <w:t xml:space="preserve"> </w:t>
            </w:r>
            <w:r w:rsidR="005C7C90" w:rsidRPr="005C7C90">
              <w:rPr>
                <w:rFonts w:ascii="Times New Roman" w:hAnsi="Times New Roman" w:cs="Times New Roman"/>
                <w:bCs/>
                <w:sz w:val="24"/>
              </w:rPr>
              <w:t>(t.sk. pašvaldību un citu dibinātāju izglītības iestāžu īstenoto IP finansēšana no valsts budžeta)</w:t>
            </w:r>
            <w:r w:rsidRPr="004316CD">
              <w:rPr>
                <w:rFonts w:ascii="Times New Roman" w:hAnsi="Times New Roman" w:cs="Times New Roman"/>
                <w:bCs/>
                <w:sz w:val="24"/>
              </w:rPr>
              <w:t>:</w:t>
            </w:r>
          </w:p>
        </w:tc>
        <w:tc>
          <w:tcPr>
            <w:tcW w:w="3827" w:type="dxa"/>
            <w:vAlign w:val="center"/>
          </w:tcPr>
          <w:p w14:paraId="60328B78" w14:textId="77777777" w:rsidR="00ED595B" w:rsidRPr="004316CD" w:rsidRDefault="00ED595B" w:rsidP="00DB5815">
            <w:pPr>
              <w:jc w:val="center"/>
              <w:rPr>
                <w:rFonts w:ascii="Times New Roman" w:hAnsi="Times New Roman" w:cs="Times New Roman"/>
                <w:bCs/>
                <w:sz w:val="24"/>
              </w:rPr>
            </w:pPr>
            <w:r w:rsidRPr="004316CD">
              <w:rPr>
                <w:rFonts w:ascii="Times New Roman" w:hAnsi="Times New Roman" w:cs="Times New Roman"/>
                <w:bCs/>
                <w:sz w:val="24"/>
              </w:rPr>
              <w:t>Mācību prakšu organizēšanas izmaksu nodrošināšana profesionālajā izglītībā:</w:t>
            </w:r>
          </w:p>
        </w:tc>
      </w:tr>
      <w:tr w:rsidR="00ED595B" w:rsidRPr="004316CD" w14:paraId="6B9F7227" w14:textId="77777777" w:rsidTr="00DB5815">
        <w:trPr>
          <w:trHeight w:val="340"/>
        </w:trPr>
        <w:tc>
          <w:tcPr>
            <w:tcW w:w="5240" w:type="dxa"/>
            <w:vAlign w:val="center"/>
          </w:tcPr>
          <w:p w14:paraId="1A3F29D4" w14:textId="77777777" w:rsidR="00ED595B" w:rsidRPr="004316CD" w:rsidRDefault="00ED595B" w:rsidP="00ED595B">
            <w:pPr>
              <w:jc w:val="both"/>
              <w:rPr>
                <w:rFonts w:ascii="Times New Roman" w:hAnsi="Times New Roman" w:cs="Times New Roman"/>
                <w:bCs/>
                <w:sz w:val="24"/>
              </w:rPr>
            </w:pPr>
            <w:r>
              <w:rPr>
                <w:rFonts w:ascii="Times New Roman" w:hAnsi="Times New Roman" w:cs="Times New Roman"/>
                <w:bCs/>
                <w:sz w:val="24"/>
              </w:rPr>
              <w:t>2022.gads - 3 380 031</w:t>
            </w:r>
          </w:p>
        </w:tc>
        <w:tc>
          <w:tcPr>
            <w:tcW w:w="3827" w:type="dxa"/>
            <w:vAlign w:val="center"/>
          </w:tcPr>
          <w:p w14:paraId="043475FF" w14:textId="77777777" w:rsidR="00ED595B" w:rsidRPr="004316CD" w:rsidRDefault="00ED595B" w:rsidP="00ED595B">
            <w:pPr>
              <w:jc w:val="both"/>
              <w:rPr>
                <w:rFonts w:ascii="Times New Roman" w:hAnsi="Times New Roman" w:cs="Times New Roman"/>
                <w:bCs/>
                <w:sz w:val="24"/>
              </w:rPr>
            </w:pPr>
            <w:r>
              <w:rPr>
                <w:rFonts w:ascii="Times New Roman" w:hAnsi="Times New Roman" w:cs="Times New Roman"/>
                <w:bCs/>
                <w:sz w:val="24"/>
              </w:rPr>
              <w:t>2022.gads - 4 074 484</w:t>
            </w:r>
          </w:p>
        </w:tc>
      </w:tr>
      <w:tr w:rsidR="00ED595B" w:rsidRPr="004316CD" w14:paraId="56E56E3A" w14:textId="77777777" w:rsidTr="00DB5815">
        <w:trPr>
          <w:trHeight w:val="340"/>
        </w:trPr>
        <w:tc>
          <w:tcPr>
            <w:tcW w:w="5240" w:type="dxa"/>
            <w:vAlign w:val="center"/>
          </w:tcPr>
          <w:p w14:paraId="5EEB3D0C" w14:textId="77777777" w:rsidR="00ED595B" w:rsidRPr="004316CD" w:rsidRDefault="00ED595B" w:rsidP="00ED595B">
            <w:pPr>
              <w:jc w:val="both"/>
              <w:rPr>
                <w:rFonts w:ascii="Times New Roman" w:hAnsi="Times New Roman" w:cs="Times New Roman"/>
                <w:bCs/>
                <w:sz w:val="24"/>
              </w:rPr>
            </w:pPr>
            <w:r>
              <w:rPr>
                <w:rFonts w:ascii="Times New Roman" w:hAnsi="Times New Roman" w:cs="Times New Roman"/>
                <w:bCs/>
                <w:sz w:val="24"/>
              </w:rPr>
              <w:t>2023.gads - 5 678 851</w:t>
            </w:r>
          </w:p>
        </w:tc>
        <w:tc>
          <w:tcPr>
            <w:tcW w:w="3827" w:type="dxa"/>
            <w:vAlign w:val="center"/>
          </w:tcPr>
          <w:p w14:paraId="0191F15F" w14:textId="77777777" w:rsidR="00ED595B" w:rsidRPr="004316CD" w:rsidRDefault="00ED595B" w:rsidP="00ED595B">
            <w:pPr>
              <w:jc w:val="both"/>
              <w:rPr>
                <w:rFonts w:ascii="Times New Roman" w:hAnsi="Times New Roman" w:cs="Times New Roman"/>
                <w:bCs/>
                <w:sz w:val="24"/>
              </w:rPr>
            </w:pPr>
            <w:r>
              <w:rPr>
                <w:rFonts w:ascii="Times New Roman" w:hAnsi="Times New Roman" w:cs="Times New Roman"/>
                <w:bCs/>
                <w:sz w:val="24"/>
              </w:rPr>
              <w:t>2023.gads - 4 074 484</w:t>
            </w:r>
          </w:p>
        </w:tc>
      </w:tr>
      <w:tr w:rsidR="00ED595B" w:rsidRPr="004316CD" w14:paraId="2AD368D0" w14:textId="77777777" w:rsidTr="00DB5815">
        <w:trPr>
          <w:trHeight w:val="340"/>
        </w:trPr>
        <w:tc>
          <w:tcPr>
            <w:tcW w:w="5240" w:type="dxa"/>
          </w:tcPr>
          <w:p w14:paraId="3AC28110" w14:textId="77777777" w:rsidR="00ED595B" w:rsidRPr="004316CD" w:rsidRDefault="00ED595B" w:rsidP="00ED595B">
            <w:pPr>
              <w:jc w:val="both"/>
              <w:rPr>
                <w:rFonts w:ascii="Times New Roman" w:hAnsi="Times New Roman" w:cs="Times New Roman"/>
                <w:bCs/>
                <w:sz w:val="24"/>
              </w:rPr>
            </w:pPr>
            <w:r>
              <w:rPr>
                <w:rFonts w:ascii="Times New Roman" w:hAnsi="Times New Roman" w:cs="Times New Roman"/>
                <w:bCs/>
                <w:sz w:val="24"/>
              </w:rPr>
              <w:t>2024.g</w:t>
            </w:r>
            <w:r w:rsidRPr="004316CD">
              <w:rPr>
                <w:rFonts w:ascii="Times New Roman" w:hAnsi="Times New Roman" w:cs="Times New Roman"/>
                <w:bCs/>
                <w:sz w:val="24"/>
              </w:rPr>
              <w:t>ads - 7 977 672</w:t>
            </w:r>
          </w:p>
        </w:tc>
        <w:tc>
          <w:tcPr>
            <w:tcW w:w="3827" w:type="dxa"/>
          </w:tcPr>
          <w:p w14:paraId="52DE0785" w14:textId="77777777" w:rsidR="00ED595B" w:rsidRPr="004316CD" w:rsidRDefault="00ED595B" w:rsidP="00ED595B">
            <w:pPr>
              <w:jc w:val="both"/>
              <w:rPr>
                <w:rFonts w:ascii="Times New Roman" w:hAnsi="Times New Roman" w:cs="Times New Roman"/>
                <w:bCs/>
                <w:sz w:val="24"/>
              </w:rPr>
            </w:pPr>
            <w:r>
              <w:rPr>
                <w:rFonts w:ascii="Times New Roman" w:hAnsi="Times New Roman" w:cs="Times New Roman"/>
                <w:bCs/>
                <w:sz w:val="24"/>
              </w:rPr>
              <w:t>2024.g</w:t>
            </w:r>
            <w:r w:rsidRPr="004316CD">
              <w:rPr>
                <w:rFonts w:ascii="Times New Roman" w:hAnsi="Times New Roman" w:cs="Times New Roman"/>
                <w:bCs/>
                <w:sz w:val="24"/>
              </w:rPr>
              <w:t>ads - 4 074 484</w:t>
            </w:r>
          </w:p>
        </w:tc>
      </w:tr>
    </w:tbl>
    <w:p w14:paraId="6FD893B5" w14:textId="77777777" w:rsidR="00ED595B" w:rsidRDefault="00ED595B" w:rsidP="00242DAB">
      <w:pPr>
        <w:spacing w:after="120" w:line="276" w:lineRule="auto"/>
        <w:jc w:val="both"/>
        <w:rPr>
          <w:rFonts w:ascii="Times New Roman" w:hAnsi="Times New Roman" w:cs="Times New Roman"/>
          <w:sz w:val="24"/>
          <w:szCs w:val="28"/>
        </w:rPr>
      </w:pPr>
    </w:p>
    <w:p w14:paraId="69DAFB1D" w14:textId="770089AD" w:rsidR="00573D1A" w:rsidRDefault="00573D1A" w:rsidP="00242DAB">
      <w:pPr>
        <w:spacing w:after="120" w:line="276" w:lineRule="auto"/>
        <w:jc w:val="both"/>
        <w:rPr>
          <w:rFonts w:ascii="Times New Roman" w:hAnsi="Times New Roman" w:cs="Times New Roman"/>
          <w:sz w:val="24"/>
          <w:szCs w:val="28"/>
        </w:rPr>
      </w:pPr>
      <w:r>
        <w:rPr>
          <w:rFonts w:ascii="Times New Roman" w:hAnsi="Times New Roman" w:cs="Times New Roman"/>
          <w:sz w:val="24"/>
          <w:szCs w:val="28"/>
        </w:rPr>
        <w:t xml:space="preserve">Saskaņā ar </w:t>
      </w:r>
      <w:r w:rsidRPr="00573D1A">
        <w:rPr>
          <w:rFonts w:ascii="Times New Roman" w:hAnsi="Times New Roman" w:cs="Times New Roman"/>
          <w:sz w:val="24"/>
          <w:szCs w:val="28"/>
        </w:rPr>
        <w:t>Ministru kabineta 2020.gada 2</w:t>
      </w:r>
      <w:r>
        <w:rPr>
          <w:rFonts w:ascii="Times New Roman" w:hAnsi="Times New Roman" w:cs="Times New Roman"/>
          <w:sz w:val="24"/>
          <w:szCs w:val="28"/>
        </w:rPr>
        <w:t>2.septembra sēdes protokola Nr. 55 38.§ Informatīvais ziņojums “</w:t>
      </w:r>
      <w:r w:rsidRPr="00573D1A">
        <w:rPr>
          <w:rFonts w:ascii="Times New Roman" w:hAnsi="Times New Roman" w:cs="Times New Roman"/>
          <w:sz w:val="24"/>
          <w:szCs w:val="28"/>
        </w:rPr>
        <w:t>Par priekšlikumiem valsts budžeta ieņēmumiem un izdevumiem 2021.gad</w:t>
      </w:r>
      <w:r>
        <w:rPr>
          <w:rFonts w:ascii="Times New Roman" w:hAnsi="Times New Roman" w:cs="Times New Roman"/>
          <w:sz w:val="24"/>
          <w:szCs w:val="28"/>
        </w:rPr>
        <w:t>am un ietvaram 2021.-2023.gadam” IZM iepriekšminētie pieteikumi prioritārajiem pasākumiem 2021.gadam netika atbalstīti.</w:t>
      </w:r>
      <w:r w:rsidR="006C07DD">
        <w:rPr>
          <w:rFonts w:ascii="Times New Roman" w:hAnsi="Times New Roman" w:cs="Times New Roman"/>
          <w:sz w:val="24"/>
          <w:szCs w:val="28"/>
        </w:rPr>
        <w:t xml:space="preserve"> Ņemot vērā Ministru kabineta lēmumu, </w:t>
      </w:r>
      <w:r w:rsidR="00DB5815">
        <w:rPr>
          <w:rFonts w:ascii="Times New Roman" w:eastAsia="Times New Roman" w:hAnsi="Times New Roman" w:cs="Times New Roman"/>
          <w:sz w:val="24"/>
          <w:szCs w:val="24"/>
        </w:rPr>
        <w:t>j</w:t>
      </w:r>
      <w:r w:rsidR="00ED595B" w:rsidRPr="00ED595B">
        <w:rPr>
          <w:rFonts w:ascii="Times New Roman" w:eastAsia="Times New Roman" w:hAnsi="Times New Roman" w:cs="Times New Roman"/>
          <w:sz w:val="24"/>
          <w:szCs w:val="24"/>
        </w:rPr>
        <w:t>autājums par papildu finansējuma piešķiršanu, konceptuālajā ziņojumā sniegto priekšlikumu īstenošanai</w:t>
      </w:r>
      <w:r w:rsidR="005C7C90">
        <w:rPr>
          <w:rFonts w:ascii="Times New Roman" w:eastAsia="Times New Roman" w:hAnsi="Times New Roman" w:cs="Times New Roman"/>
          <w:sz w:val="24"/>
          <w:szCs w:val="24"/>
        </w:rPr>
        <w:t xml:space="preserve"> nav īstenojams 2021.gadā</w:t>
      </w:r>
      <w:r w:rsidR="00ED595B" w:rsidRPr="00ED595B">
        <w:rPr>
          <w:rFonts w:ascii="Times New Roman" w:eastAsia="Times New Roman" w:hAnsi="Times New Roman" w:cs="Times New Roman"/>
          <w:sz w:val="24"/>
          <w:szCs w:val="24"/>
        </w:rPr>
        <w:t>,</w:t>
      </w:r>
      <w:r w:rsidR="005C7C90">
        <w:rPr>
          <w:rFonts w:ascii="Times New Roman" w:eastAsia="Times New Roman" w:hAnsi="Times New Roman" w:cs="Times New Roman"/>
          <w:sz w:val="24"/>
          <w:szCs w:val="24"/>
        </w:rPr>
        <w:t xml:space="preserve"> bet</w:t>
      </w:r>
      <w:r w:rsidR="00ED595B" w:rsidRPr="00ED595B">
        <w:rPr>
          <w:rFonts w:ascii="Times New Roman" w:eastAsia="Times New Roman" w:hAnsi="Times New Roman" w:cs="Times New Roman"/>
          <w:sz w:val="24"/>
          <w:szCs w:val="24"/>
        </w:rPr>
        <w:t xml:space="preserve"> ir skatāms Ministru kabinetā likumprojekta “Par valsts budžetu 2022. gadam” un likumprojekta “Par vidēja termiņa budžeta ietvaru 2022., 2023. un 2024. gadam” sagatavošanas procesā kopā ar visu ministriju iesniegtajiem prioritārajiem pasākumiem atbilstoši valsts budžeta fi</w:t>
      </w:r>
      <w:r w:rsidR="00DB5815">
        <w:rPr>
          <w:rFonts w:ascii="Times New Roman" w:eastAsia="Times New Roman" w:hAnsi="Times New Roman" w:cs="Times New Roman"/>
          <w:sz w:val="24"/>
          <w:szCs w:val="24"/>
        </w:rPr>
        <w:t>nansiālajām iespējām</w:t>
      </w:r>
      <w:r w:rsidR="006C07DD">
        <w:rPr>
          <w:rFonts w:ascii="Times New Roman" w:eastAsia="Times New Roman" w:hAnsi="Times New Roman" w:cs="Times New Roman"/>
          <w:sz w:val="24"/>
          <w:szCs w:val="24"/>
        </w:rPr>
        <w:t>.</w:t>
      </w:r>
    </w:p>
    <w:p w14:paraId="45546A66" w14:textId="6970EBFD" w:rsidR="004316CD" w:rsidRPr="00242DAB" w:rsidRDefault="004316CD" w:rsidP="00242DAB">
      <w:pPr>
        <w:pStyle w:val="Heading1"/>
        <w:numPr>
          <w:ilvl w:val="0"/>
          <w:numId w:val="3"/>
        </w:numPr>
        <w:spacing w:after="120"/>
        <w:ind w:left="714" w:hanging="357"/>
        <w:jc w:val="center"/>
        <w:rPr>
          <w:rFonts w:ascii="Times New Roman" w:hAnsi="Times New Roman" w:cs="Times New Roman"/>
          <w:b/>
          <w:bCs/>
          <w:color w:val="000000" w:themeColor="text1"/>
          <w:sz w:val="28"/>
        </w:rPr>
      </w:pPr>
      <w:bookmarkStart w:id="19" w:name="_Toc53136193"/>
      <w:r w:rsidRPr="004316CD">
        <w:rPr>
          <w:rFonts w:ascii="Times New Roman" w:hAnsi="Times New Roman" w:cs="Times New Roman"/>
          <w:b/>
          <w:color w:val="000000" w:themeColor="text1"/>
          <w:sz w:val="28"/>
        </w:rPr>
        <w:lastRenderedPageBreak/>
        <w:t>Profesionāl</w:t>
      </w:r>
      <w:r w:rsidRPr="00242DAB">
        <w:rPr>
          <w:rFonts w:ascii="Times New Roman" w:hAnsi="Times New Roman" w:cs="Times New Roman"/>
          <w:b/>
          <w:color w:val="000000" w:themeColor="text1"/>
          <w:sz w:val="28"/>
        </w:rPr>
        <w:t>ās izglītības programmu finansēšanas pilnveides laika grafiks</w:t>
      </w:r>
      <w:bookmarkEnd w:id="19"/>
    </w:p>
    <w:p w14:paraId="35E8D0E6" w14:textId="1BE12793" w:rsidR="00C949B4" w:rsidRPr="00242DAB" w:rsidRDefault="00B71E77" w:rsidP="00242DAB">
      <w:pPr>
        <w:jc w:val="both"/>
        <w:rPr>
          <w:rFonts w:ascii="Times New Roman" w:eastAsia="Times New Roman" w:hAnsi="Times New Roman" w:cs="Times New Roman"/>
          <w:sz w:val="24"/>
          <w:szCs w:val="24"/>
        </w:rPr>
      </w:pPr>
      <w:r w:rsidRPr="00242DAB">
        <w:rPr>
          <w:rFonts w:ascii="Times New Roman" w:eastAsia="Times New Roman" w:hAnsi="Times New Roman" w:cs="Times New Roman"/>
          <w:sz w:val="24"/>
          <w:szCs w:val="24"/>
        </w:rPr>
        <w:t>K</w:t>
      </w:r>
      <w:r w:rsidR="004316CD" w:rsidRPr="00242DAB">
        <w:rPr>
          <w:rFonts w:ascii="Times New Roman" w:eastAsia="Times New Roman" w:hAnsi="Times New Roman" w:cs="Times New Roman"/>
          <w:sz w:val="24"/>
          <w:szCs w:val="24"/>
        </w:rPr>
        <w:t xml:space="preserve">onceptuālajā ziņojumā sniegto priekšlikumu </w:t>
      </w:r>
      <w:r w:rsidR="00901D58" w:rsidRPr="00242DAB">
        <w:rPr>
          <w:rFonts w:ascii="Times New Roman" w:eastAsia="Times New Roman" w:hAnsi="Times New Roman" w:cs="Times New Roman"/>
          <w:sz w:val="24"/>
          <w:szCs w:val="24"/>
        </w:rPr>
        <w:t xml:space="preserve">- </w:t>
      </w:r>
      <w:r w:rsidR="004316CD" w:rsidRPr="00242DAB">
        <w:rPr>
          <w:rFonts w:ascii="Times New Roman" w:eastAsia="Times New Roman" w:hAnsi="Times New Roman" w:cs="Times New Roman"/>
          <w:sz w:val="24"/>
          <w:szCs w:val="24"/>
        </w:rPr>
        <w:t>profesionālās izglītības programmu finansēšanas pilnveide</w:t>
      </w:r>
      <w:r w:rsidRPr="00242DAB">
        <w:rPr>
          <w:rFonts w:ascii="Times New Roman" w:eastAsia="Times New Roman" w:hAnsi="Times New Roman" w:cs="Times New Roman"/>
          <w:sz w:val="24"/>
          <w:szCs w:val="24"/>
        </w:rPr>
        <w:t>i</w:t>
      </w:r>
      <w:r w:rsidR="00901D58" w:rsidRPr="00242DAB">
        <w:rPr>
          <w:rFonts w:ascii="Times New Roman" w:eastAsia="Times New Roman" w:hAnsi="Times New Roman" w:cs="Times New Roman"/>
          <w:sz w:val="24"/>
          <w:szCs w:val="24"/>
        </w:rPr>
        <w:t>,</w:t>
      </w:r>
      <w:r w:rsidR="004316CD" w:rsidRPr="00242DAB">
        <w:rPr>
          <w:rFonts w:ascii="Times New Roman" w:eastAsia="Times New Roman" w:hAnsi="Times New Roman" w:cs="Times New Roman"/>
          <w:sz w:val="24"/>
          <w:szCs w:val="24"/>
        </w:rPr>
        <w:t xml:space="preserve"> </w:t>
      </w:r>
      <w:r w:rsidRPr="00242DAB">
        <w:rPr>
          <w:rFonts w:ascii="Times New Roman" w:eastAsia="Times New Roman" w:hAnsi="Times New Roman" w:cs="Times New Roman"/>
          <w:sz w:val="24"/>
          <w:szCs w:val="24"/>
        </w:rPr>
        <w:t>īstenošan</w:t>
      </w:r>
      <w:r w:rsidR="00B81261" w:rsidRPr="00242DAB">
        <w:rPr>
          <w:rFonts w:ascii="Times New Roman" w:eastAsia="Times New Roman" w:hAnsi="Times New Roman" w:cs="Times New Roman"/>
          <w:sz w:val="24"/>
          <w:szCs w:val="24"/>
        </w:rPr>
        <w:t>ai ir nepieciešams papildu</w:t>
      </w:r>
      <w:r w:rsidRPr="00242DAB">
        <w:rPr>
          <w:rFonts w:ascii="Times New Roman" w:eastAsia="Times New Roman" w:hAnsi="Times New Roman" w:cs="Times New Roman"/>
          <w:sz w:val="24"/>
          <w:szCs w:val="24"/>
        </w:rPr>
        <w:t xml:space="preserve"> finansējums. </w:t>
      </w:r>
      <w:r w:rsidR="00FF5E3F" w:rsidRPr="00242DAB">
        <w:rPr>
          <w:rFonts w:ascii="Times New Roman" w:eastAsia="Times New Roman" w:hAnsi="Times New Roman" w:cs="Times New Roman"/>
          <w:sz w:val="24"/>
          <w:szCs w:val="24"/>
        </w:rPr>
        <w:t xml:space="preserve">Jautājums par papildu nepieciešamā finansējuma avotu skatāms ikgadējā valsts budžeta ietvaros. </w:t>
      </w:r>
      <w:r w:rsidRPr="00242DAB">
        <w:rPr>
          <w:rFonts w:ascii="Times New Roman" w:eastAsia="Times New Roman" w:hAnsi="Times New Roman" w:cs="Times New Roman"/>
          <w:sz w:val="24"/>
          <w:szCs w:val="24"/>
        </w:rPr>
        <w:t>Ziņojumā ir iekļauts IZM piedāvātais risinājums, kas paredz b</w:t>
      </w:r>
      <w:r w:rsidR="00901D58" w:rsidRPr="00242DAB">
        <w:rPr>
          <w:rFonts w:ascii="Times New Roman" w:eastAsia="Times New Roman" w:hAnsi="Times New Roman" w:cs="Times New Roman"/>
          <w:sz w:val="24"/>
          <w:szCs w:val="24"/>
        </w:rPr>
        <w:t xml:space="preserve">āzes finansējuma </w:t>
      </w:r>
      <w:r w:rsidRPr="00242DAB">
        <w:rPr>
          <w:rFonts w:ascii="Times New Roman" w:eastAsia="Times New Roman" w:hAnsi="Times New Roman" w:cs="Times New Roman"/>
          <w:sz w:val="24"/>
          <w:szCs w:val="24"/>
        </w:rPr>
        <w:t>profesionālās izglītības programmu īstenošanai un mācību prakšu organizēšanas izmaksas profesionālajā izglītībā nodrošināt no valsts budžeta līdzekļiem prioritāro pasākumu ietvaros.</w:t>
      </w:r>
      <w:r w:rsidR="008D6348" w:rsidRPr="00242DAB">
        <w:rPr>
          <w:rFonts w:ascii="Times New Roman" w:eastAsia="Times New Roman" w:hAnsi="Times New Roman" w:cs="Times New Roman"/>
          <w:sz w:val="24"/>
          <w:szCs w:val="24"/>
        </w:rPr>
        <w:t xml:space="preserve"> </w:t>
      </w:r>
      <w:r w:rsidR="00FF5E3F" w:rsidRPr="00242DAB">
        <w:rPr>
          <w:rFonts w:ascii="Times New Roman" w:eastAsia="Times New Roman" w:hAnsi="Times New Roman" w:cs="Times New Roman"/>
          <w:sz w:val="24"/>
          <w:szCs w:val="24"/>
        </w:rPr>
        <w:t xml:space="preserve">IZM piedāvātais laika grafiks paredz pakāpenisku bāzes finansējuma palielināšanu profesionālās izglītības programmu īstenošanai trīs gadu laikā. Šāda pieeja izmantota, ņemot vērā </w:t>
      </w:r>
      <w:r w:rsidR="00034B09" w:rsidRPr="00242DAB">
        <w:rPr>
          <w:rFonts w:ascii="Times New Roman" w:eastAsia="Times New Roman" w:hAnsi="Times New Roman" w:cs="Times New Roman"/>
          <w:sz w:val="24"/>
          <w:szCs w:val="24"/>
        </w:rPr>
        <w:t xml:space="preserve">noteikto valsts budžeta plānošanas procesu, tā </w:t>
      </w:r>
      <w:r w:rsidR="00FF5E3F" w:rsidRPr="00242DAB">
        <w:rPr>
          <w:rFonts w:ascii="Times New Roman" w:eastAsia="Times New Roman" w:hAnsi="Times New Roman" w:cs="Times New Roman"/>
          <w:sz w:val="24"/>
          <w:szCs w:val="24"/>
        </w:rPr>
        <w:t xml:space="preserve">ierobežotās </w:t>
      </w:r>
      <w:r w:rsidR="00034B09" w:rsidRPr="00242DAB">
        <w:rPr>
          <w:rFonts w:ascii="Times New Roman" w:eastAsia="Times New Roman" w:hAnsi="Times New Roman" w:cs="Times New Roman"/>
          <w:sz w:val="24"/>
          <w:szCs w:val="24"/>
        </w:rPr>
        <w:t xml:space="preserve">finansiālās </w:t>
      </w:r>
      <w:r w:rsidR="00FF5E3F" w:rsidRPr="00242DAB">
        <w:rPr>
          <w:rFonts w:ascii="Times New Roman" w:eastAsia="Times New Roman" w:hAnsi="Times New Roman" w:cs="Times New Roman"/>
          <w:sz w:val="24"/>
          <w:szCs w:val="24"/>
        </w:rPr>
        <w:t xml:space="preserve">iespējas, kā arī </w:t>
      </w:r>
      <w:r w:rsidR="009B2FEB" w:rsidRPr="00242DAB">
        <w:rPr>
          <w:rFonts w:ascii="Times New Roman" w:eastAsia="Times New Roman" w:hAnsi="Times New Roman" w:cs="Times New Roman"/>
          <w:sz w:val="24"/>
          <w:szCs w:val="24"/>
        </w:rPr>
        <w:t>priekšlikumu</w:t>
      </w:r>
      <w:r w:rsidR="00FF5E3F" w:rsidRPr="00242DAB">
        <w:rPr>
          <w:rFonts w:ascii="Times New Roman" w:eastAsia="Times New Roman" w:hAnsi="Times New Roman" w:cs="Times New Roman"/>
          <w:sz w:val="24"/>
          <w:szCs w:val="24"/>
        </w:rPr>
        <w:t xml:space="preserve"> </w:t>
      </w:r>
      <w:r w:rsidR="00034B09" w:rsidRPr="00242DAB">
        <w:rPr>
          <w:rFonts w:ascii="Times New Roman" w:eastAsia="Times New Roman" w:hAnsi="Times New Roman" w:cs="Times New Roman"/>
          <w:sz w:val="24"/>
          <w:szCs w:val="24"/>
        </w:rPr>
        <w:t>fiskālo</w:t>
      </w:r>
      <w:r w:rsidR="00FF5E3F" w:rsidRPr="00242DAB">
        <w:rPr>
          <w:rFonts w:ascii="Times New Roman" w:eastAsia="Times New Roman" w:hAnsi="Times New Roman" w:cs="Times New Roman"/>
          <w:sz w:val="24"/>
          <w:szCs w:val="24"/>
        </w:rPr>
        <w:t xml:space="preserve"> ietekmi, kas tādā veidā tiktu sadalīta uz vairākiem gadiem, turklāt jāņem vērā, ka nozīmīgu ietekmi uz valsts budžetu ir atstājuši izdevumi Covid-19 krīzes seku pārvarēšanas atbalsta</w:t>
      </w:r>
      <w:r w:rsidR="009B2FEB" w:rsidRPr="00242DAB">
        <w:rPr>
          <w:rFonts w:ascii="Times New Roman" w:eastAsia="Times New Roman" w:hAnsi="Times New Roman" w:cs="Times New Roman"/>
          <w:sz w:val="24"/>
          <w:szCs w:val="24"/>
        </w:rPr>
        <w:t xml:space="preserve"> pasākumu īstenošanai</w:t>
      </w:r>
      <w:r w:rsidR="00FF5E3F" w:rsidRPr="00242DAB">
        <w:rPr>
          <w:rFonts w:ascii="Times New Roman" w:eastAsia="Times New Roman" w:hAnsi="Times New Roman" w:cs="Times New Roman"/>
          <w:sz w:val="24"/>
          <w:szCs w:val="24"/>
        </w:rPr>
        <w:t xml:space="preserve">. </w:t>
      </w:r>
      <w:r w:rsidR="008D6348" w:rsidRPr="00242DAB">
        <w:rPr>
          <w:rFonts w:ascii="Times New Roman" w:eastAsia="Times New Roman" w:hAnsi="Times New Roman" w:cs="Times New Roman"/>
          <w:sz w:val="24"/>
          <w:szCs w:val="24"/>
        </w:rPr>
        <w:t>Tāpat arī ziņojumā piedāvāts nodrošināt iespēju pašvaldību un citu dibinātāju izglītības iestādēm pretendēt uz valsts budžeta finansējumu profesionālās izglītības programmu īstenošanai (t.sk. stipendijām) gadījumos, kad to īstenotās izglītības programmas atbilst noteiktiem kritērijiem.</w:t>
      </w:r>
      <w:r w:rsidR="00042922" w:rsidRPr="00242DAB">
        <w:rPr>
          <w:rFonts w:ascii="Times New Roman" w:eastAsia="Times New Roman" w:hAnsi="Times New Roman" w:cs="Times New Roman"/>
          <w:sz w:val="24"/>
          <w:szCs w:val="24"/>
        </w:rPr>
        <w:t xml:space="preserve"> </w:t>
      </w:r>
    </w:p>
    <w:p w14:paraId="7CCFD9BB" w14:textId="104F4354" w:rsidR="008332CF" w:rsidRPr="00242DAB" w:rsidRDefault="008332CF" w:rsidP="00242DAB">
      <w:pPr>
        <w:jc w:val="both"/>
        <w:rPr>
          <w:rFonts w:ascii="Times New Roman" w:eastAsia="Times New Roman" w:hAnsi="Times New Roman" w:cs="Times New Roman"/>
          <w:sz w:val="24"/>
          <w:szCs w:val="24"/>
        </w:rPr>
      </w:pPr>
      <w:r w:rsidRPr="00242DAB">
        <w:rPr>
          <w:rFonts w:ascii="Times New Roman" w:eastAsia="Times New Roman" w:hAnsi="Times New Roman" w:cs="Times New Roman"/>
          <w:sz w:val="24"/>
          <w:szCs w:val="24"/>
        </w:rPr>
        <w:t>Konceptuālā ziņojuma izstrādei tika izveidota IZM darba grupa, kurā bija iesaistīti pārstāvji no Kultūras ministrijas, Zemkopības ministrijas, Labklājības ministrijas, Latvijas Pašvaldību savienības</w:t>
      </w:r>
      <w:r w:rsidR="00423292" w:rsidRPr="00242DAB">
        <w:rPr>
          <w:rFonts w:ascii="Times New Roman" w:eastAsia="Times New Roman" w:hAnsi="Times New Roman" w:cs="Times New Roman"/>
          <w:sz w:val="24"/>
          <w:szCs w:val="24"/>
        </w:rPr>
        <w:t>, B</w:t>
      </w:r>
      <w:r w:rsidRPr="00242DAB">
        <w:rPr>
          <w:rFonts w:ascii="Times New Roman" w:eastAsia="Times New Roman" w:hAnsi="Times New Roman" w:cs="Times New Roman"/>
          <w:sz w:val="24"/>
          <w:szCs w:val="24"/>
        </w:rPr>
        <w:t>iedrības “Latvijas Lielo pilsētu asociācija”, Biedrības “Latvijas koledžu asociācija”, Profesionālās izglītības biedrības, Valsts izglītības satura centra, Rīgas Tehniskās universitātes, Lauksaimniecības organizāciju sadarbības padomes, Latvijas Darba devēju konfederācijas un Latvijas Izglītības un zinātnes darbinieku arodbiedrības.</w:t>
      </w:r>
      <w:r w:rsidR="00423292" w:rsidRPr="00242DAB">
        <w:rPr>
          <w:rFonts w:ascii="Times New Roman" w:eastAsia="Times New Roman" w:hAnsi="Times New Roman" w:cs="Times New Roman"/>
          <w:sz w:val="24"/>
          <w:szCs w:val="24"/>
        </w:rPr>
        <w:t xml:space="preserve"> Par konceptuālajā ziņojumā sniegtajiem priekšlikumiem</w:t>
      </w:r>
      <w:r w:rsidR="00CC35E4" w:rsidRPr="00242DAB">
        <w:rPr>
          <w:rFonts w:ascii="Times New Roman" w:eastAsia="Times New Roman" w:hAnsi="Times New Roman" w:cs="Times New Roman"/>
          <w:sz w:val="24"/>
          <w:szCs w:val="24"/>
        </w:rPr>
        <w:t xml:space="preserve"> tika</w:t>
      </w:r>
      <w:r w:rsidR="00423292" w:rsidRPr="00242DAB">
        <w:rPr>
          <w:rFonts w:ascii="Times New Roman" w:eastAsia="Times New Roman" w:hAnsi="Times New Roman" w:cs="Times New Roman"/>
          <w:sz w:val="24"/>
          <w:szCs w:val="24"/>
        </w:rPr>
        <w:t xml:space="preserve"> panākta vienošanās ar profesionālās izglītības īstenošanā iesaistītajām pusēm. Konceptuālais ziņojums tika nodots sabiedriskajai </w:t>
      </w:r>
      <w:r w:rsidR="00D94B87" w:rsidRPr="00242DAB">
        <w:rPr>
          <w:rFonts w:ascii="Times New Roman" w:eastAsia="Times New Roman" w:hAnsi="Times New Roman" w:cs="Times New Roman"/>
          <w:sz w:val="24"/>
          <w:szCs w:val="24"/>
        </w:rPr>
        <w:t xml:space="preserve">apspriešanai, attiecīgi iespējas iepazīties ar </w:t>
      </w:r>
      <w:r w:rsidR="00901D58" w:rsidRPr="00242DAB">
        <w:rPr>
          <w:rFonts w:ascii="Times New Roman" w:eastAsia="Times New Roman" w:hAnsi="Times New Roman" w:cs="Times New Roman"/>
          <w:sz w:val="24"/>
          <w:szCs w:val="24"/>
        </w:rPr>
        <w:t>tajā</w:t>
      </w:r>
      <w:r w:rsidR="00D94B87" w:rsidRPr="00242DAB">
        <w:rPr>
          <w:rFonts w:ascii="Times New Roman" w:eastAsia="Times New Roman" w:hAnsi="Times New Roman" w:cs="Times New Roman"/>
          <w:sz w:val="24"/>
          <w:szCs w:val="24"/>
        </w:rPr>
        <w:t xml:space="preserve"> sniegtajiem priekšlikumiem</w:t>
      </w:r>
      <w:r w:rsidR="0084332C">
        <w:rPr>
          <w:rFonts w:ascii="Times New Roman" w:eastAsia="Times New Roman" w:hAnsi="Times New Roman" w:cs="Times New Roman"/>
          <w:sz w:val="24"/>
          <w:szCs w:val="24"/>
        </w:rPr>
        <w:t xml:space="preserve"> bija</w:t>
      </w:r>
      <w:r w:rsidR="00D94B87" w:rsidRPr="00242DAB">
        <w:rPr>
          <w:rFonts w:ascii="Times New Roman" w:eastAsia="Times New Roman" w:hAnsi="Times New Roman" w:cs="Times New Roman"/>
          <w:sz w:val="24"/>
          <w:szCs w:val="24"/>
        </w:rPr>
        <w:t xml:space="preserve"> </w:t>
      </w:r>
      <w:r w:rsidR="0084332C" w:rsidRPr="00242DAB">
        <w:rPr>
          <w:rFonts w:ascii="Times New Roman" w:eastAsia="Times New Roman" w:hAnsi="Times New Roman" w:cs="Times New Roman"/>
          <w:sz w:val="24"/>
          <w:szCs w:val="24"/>
        </w:rPr>
        <w:t>plašāka</w:t>
      </w:r>
      <w:r w:rsidR="0084332C">
        <w:rPr>
          <w:rFonts w:ascii="Times New Roman" w:eastAsia="Times New Roman" w:hAnsi="Times New Roman" w:cs="Times New Roman"/>
          <w:sz w:val="24"/>
          <w:szCs w:val="24"/>
        </w:rPr>
        <w:t>i</w:t>
      </w:r>
      <w:r w:rsidR="0084332C" w:rsidRPr="00242DAB">
        <w:rPr>
          <w:rFonts w:ascii="Times New Roman" w:eastAsia="Times New Roman" w:hAnsi="Times New Roman" w:cs="Times New Roman"/>
          <w:sz w:val="24"/>
          <w:szCs w:val="24"/>
        </w:rPr>
        <w:t xml:space="preserve"> sabiedrībai </w:t>
      </w:r>
      <w:r w:rsidR="00D94B87" w:rsidRPr="00242DAB">
        <w:rPr>
          <w:rFonts w:ascii="Times New Roman" w:eastAsia="Times New Roman" w:hAnsi="Times New Roman" w:cs="Times New Roman"/>
          <w:sz w:val="24"/>
          <w:szCs w:val="24"/>
        </w:rPr>
        <w:t xml:space="preserve">un sniegt viedokli </w:t>
      </w:r>
      <w:r w:rsidR="00CC35E4" w:rsidRPr="00242DAB">
        <w:rPr>
          <w:rFonts w:ascii="Times New Roman" w:eastAsia="Times New Roman" w:hAnsi="Times New Roman" w:cs="Times New Roman"/>
          <w:sz w:val="24"/>
          <w:szCs w:val="24"/>
        </w:rPr>
        <w:t>varēja jebkurš interesents</w:t>
      </w:r>
      <w:r w:rsidR="00D94B87" w:rsidRPr="00242DAB">
        <w:rPr>
          <w:rFonts w:ascii="Times New Roman" w:eastAsia="Times New Roman" w:hAnsi="Times New Roman" w:cs="Times New Roman"/>
          <w:sz w:val="24"/>
          <w:szCs w:val="24"/>
        </w:rPr>
        <w:t>.</w:t>
      </w:r>
    </w:p>
    <w:p w14:paraId="11C55421" w14:textId="14CE26FA" w:rsidR="00FD0448" w:rsidRPr="00242DAB" w:rsidRDefault="00042922" w:rsidP="00242DAB">
      <w:pPr>
        <w:spacing w:after="120" w:line="276" w:lineRule="auto"/>
        <w:jc w:val="both"/>
        <w:rPr>
          <w:rFonts w:ascii="Times New Roman" w:eastAsia="Times New Roman" w:hAnsi="Times New Roman" w:cs="Times New Roman"/>
          <w:sz w:val="24"/>
          <w:szCs w:val="24"/>
        </w:rPr>
      </w:pPr>
      <w:r w:rsidRPr="00242DAB">
        <w:rPr>
          <w:rFonts w:ascii="Times New Roman" w:eastAsia="Times New Roman" w:hAnsi="Times New Roman" w:cs="Times New Roman"/>
          <w:sz w:val="24"/>
          <w:szCs w:val="24"/>
        </w:rPr>
        <w:t xml:space="preserve">Lai nodrošinātu izstrādāto priekšlikumu īstenošanu ir nepieciešams Ministru kabineta lēmums, kas atbalstītu plānotās izmaiņas, vienlaikus nodrošinot </w:t>
      </w:r>
      <w:r w:rsidR="005F26D8" w:rsidRPr="00242DAB">
        <w:rPr>
          <w:rFonts w:ascii="Times New Roman" w:eastAsia="Times New Roman" w:hAnsi="Times New Roman" w:cs="Times New Roman"/>
          <w:sz w:val="24"/>
          <w:szCs w:val="24"/>
        </w:rPr>
        <w:t>tam</w:t>
      </w:r>
      <w:r w:rsidRPr="00242DAB">
        <w:rPr>
          <w:rFonts w:ascii="Times New Roman" w:eastAsia="Times New Roman" w:hAnsi="Times New Roman" w:cs="Times New Roman"/>
          <w:sz w:val="24"/>
          <w:szCs w:val="24"/>
        </w:rPr>
        <w:t xml:space="preserve"> nepieciešamo finansējumu</w:t>
      </w:r>
      <w:r w:rsidR="00C949B4" w:rsidRPr="00242DAB">
        <w:rPr>
          <w:rFonts w:ascii="Times New Roman" w:eastAsia="Times New Roman" w:hAnsi="Times New Roman" w:cs="Times New Roman"/>
          <w:sz w:val="24"/>
          <w:szCs w:val="24"/>
        </w:rPr>
        <w:t xml:space="preserve">. </w:t>
      </w:r>
      <w:r w:rsidRPr="00242DAB">
        <w:rPr>
          <w:rFonts w:ascii="Times New Roman" w:eastAsia="Times New Roman" w:hAnsi="Times New Roman" w:cs="Times New Roman"/>
          <w:sz w:val="24"/>
          <w:szCs w:val="24"/>
        </w:rPr>
        <w:t xml:space="preserve">Atbalsta gadījumā konceptuālajā ziņojumā sniegto priekšlikumu īstenošanai tiks nodrošināts darbs pie grozījumiem MK noteikumos Nr. 655. Attiecīgi plānots, ka jaunā finansēšanas kārtība </w:t>
      </w:r>
      <w:r w:rsidR="005F26D8" w:rsidRPr="00242DAB">
        <w:rPr>
          <w:rFonts w:ascii="Times New Roman" w:eastAsia="Times New Roman" w:hAnsi="Times New Roman" w:cs="Times New Roman"/>
          <w:sz w:val="24"/>
          <w:szCs w:val="24"/>
        </w:rPr>
        <w:t xml:space="preserve">pakāpeniski </w:t>
      </w:r>
      <w:r w:rsidRPr="00242DAB">
        <w:rPr>
          <w:rFonts w:ascii="Times New Roman" w:eastAsia="Times New Roman" w:hAnsi="Times New Roman" w:cs="Times New Roman"/>
          <w:sz w:val="24"/>
          <w:szCs w:val="24"/>
        </w:rPr>
        <w:t xml:space="preserve">varētu </w:t>
      </w:r>
      <w:r w:rsidR="005F26D8" w:rsidRPr="00242DAB">
        <w:rPr>
          <w:rFonts w:ascii="Times New Roman" w:eastAsia="Times New Roman" w:hAnsi="Times New Roman" w:cs="Times New Roman"/>
          <w:sz w:val="24"/>
          <w:szCs w:val="24"/>
        </w:rPr>
        <w:t>tikt ieviesta līdz</w:t>
      </w:r>
      <w:r w:rsidR="001B7B74">
        <w:rPr>
          <w:rFonts w:ascii="Times New Roman" w:eastAsia="Times New Roman" w:hAnsi="Times New Roman" w:cs="Times New Roman"/>
          <w:sz w:val="24"/>
          <w:szCs w:val="24"/>
        </w:rPr>
        <w:t xml:space="preserve"> 2024</w:t>
      </w:r>
      <w:r w:rsidR="005F26D8" w:rsidRPr="00242DAB">
        <w:rPr>
          <w:rFonts w:ascii="Times New Roman" w:eastAsia="Times New Roman" w:hAnsi="Times New Roman" w:cs="Times New Roman"/>
          <w:sz w:val="24"/>
          <w:szCs w:val="24"/>
        </w:rPr>
        <w:t>.gadam</w:t>
      </w:r>
      <w:r w:rsidRPr="00242DAB">
        <w:rPr>
          <w:rFonts w:ascii="Times New Roman" w:eastAsia="Times New Roman" w:hAnsi="Times New Roman" w:cs="Times New Roman"/>
          <w:sz w:val="24"/>
          <w:szCs w:val="24"/>
        </w:rPr>
        <w:t>.</w:t>
      </w:r>
      <w:r w:rsidR="00FD0448" w:rsidRPr="00242DAB">
        <w:rPr>
          <w:rFonts w:ascii="Times New Roman" w:eastAsia="Times New Roman" w:hAnsi="Times New Roman" w:cs="Times New Roman"/>
          <w:sz w:val="24"/>
          <w:szCs w:val="24"/>
        </w:rPr>
        <w:t xml:space="preserve"> Vienlaikus </w:t>
      </w:r>
      <w:r w:rsidR="00AD6C58" w:rsidRPr="00242DAB">
        <w:rPr>
          <w:rFonts w:ascii="Times New Roman" w:eastAsia="Times New Roman" w:hAnsi="Times New Roman" w:cs="Times New Roman"/>
          <w:sz w:val="24"/>
          <w:szCs w:val="24"/>
        </w:rPr>
        <w:t>pēc iepriekšminēto priekšlikumu (</w:t>
      </w:r>
      <w:r w:rsidR="005F26D8" w:rsidRPr="00242DAB">
        <w:rPr>
          <w:rFonts w:ascii="Times New Roman" w:eastAsia="Times New Roman" w:hAnsi="Times New Roman" w:cs="Times New Roman"/>
          <w:sz w:val="24"/>
          <w:szCs w:val="24"/>
        </w:rPr>
        <w:t>skat. 3.</w:t>
      </w:r>
      <w:r w:rsidR="00AD6C58" w:rsidRPr="00242DAB">
        <w:rPr>
          <w:rFonts w:ascii="Times New Roman" w:eastAsia="Times New Roman" w:hAnsi="Times New Roman" w:cs="Times New Roman"/>
          <w:sz w:val="24"/>
          <w:szCs w:val="24"/>
        </w:rPr>
        <w:t>nodaļu) īstenošanas tiks nodrošināts darbs pie z</w:t>
      </w:r>
      <w:r w:rsidR="005F26D8" w:rsidRPr="00242DAB">
        <w:rPr>
          <w:rFonts w:ascii="Times New Roman" w:eastAsia="Times New Roman" w:hAnsi="Times New Roman" w:cs="Times New Roman"/>
          <w:sz w:val="24"/>
          <w:szCs w:val="24"/>
        </w:rPr>
        <w:t>iņojumā</w:t>
      </w:r>
      <w:r w:rsidR="00AD6C58" w:rsidRPr="00242DAB">
        <w:rPr>
          <w:rFonts w:ascii="Times New Roman" w:eastAsia="Times New Roman" w:hAnsi="Times New Roman" w:cs="Times New Roman"/>
          <w:sz w:val="24"/>
          <w:szCs w:val="24"/>
        </w:rPr>
        <w:t xml:space="preserve"> iezīmēto </w:t>
      </w:r>
      <w:r w:rsidR="0020495A" w:rsidRPr="00242DAB">
        <w:rPr>
          <w:rFonts w:ascii="Times New Roman" w:eastAsia="Times New Roman" w:hAnsi="Times New Roman" w:cs="Times New Roman"/>
          <w:sz w:val="24"/>
          <w:szCs w:val="24"/>
        </w:rPr>
        <w:t>ieteikumu</w:t>
      </w:r>
      <w:r w:rsidR="00AD6C58" w:rsidRPr="00242DAB">
        <w:rPr>
          <w:rFonts w:ascii="Times New Roman" w:eastAsia="Times New Roman" w:hAnsi="Times New Roman" w:cs="Times New Roman"/>
          <w:sz w:val="24"/>
          <w:szCs w:val="24"/>
        </w:rPr>
        <w:t xml:space="preserve"> izstrādes </w:t>
      </w:r>
      <w:r w:rsidR="00FD0448" w:rsidRPr="00242DAB">
        <w:rPr>
          <w:rFonts w:ascii="Times New Roman" w:eastAsia="Times New Roman" w:hAnsi="Times New Roman" w:cs="Times New Roman"/>
          <w:sz w:val="24"/>
          <w:szCs w:val="24"/>
        </w:rPr>
        <w:t xml:space="preserve">profesionālās </w:t>
      </w:r>
      <w:r w:rsidR="00FD0448" w:rsidRPr="00242DAB">
        <w:rPr>
          <w:rFonts w:ascii="Times New Roman" w:hAnsi="Times New Roman" w:cs="Times New Roman"/>
          <w:sz w:val="24"/>
          <w:szCs w:val="24"/>
        </w:rPr>
        <w:t>izglītības programmu</w:t>
      </w:r>
      <w:r w:rsidR="00FD0448" w:rsidRPr="00242DAB">
        <w:rPr>
          <w:rFonts w:ascii="Times New Roman" w:eastAsia="Times New Roman" w:hAnsi="Times New Roman" w:cs="Times New Roman"/>
          <w:sz w:val="24"/>
          <w:szCs w:val="24"/>
        </w:rPr>
        <w:t xml:space="preserve"> finansēšanas </w:t>
      </w:r>
      <w:r w:rsidR="0020495A" w:rsidRPr="00242DAB">
        <w:rPr>
          <w:rFonts w:ascii="Times New Roman" w:eastAsia="Times New Roman" w:hAnsi="Times New Roman" w:cs="Times New Roman"/>
          <w:sz w:val="24"/>
          <w:szCs w:val="24"/>
        </w:rPr>
        <w:t>attīstībai</w:t>
      </w:r>
      <w:r w:rsidR="00FD0448" w:rsidRPr="00242DAB">
        <w:rPr>
          <w:rFonts w:ascii="Times New Roman" w:eastAsia="Times New Roman" w:hAnsi="Times New Roman" w:cs="Times New Roman"/>
          <w:sz w:val="24"/>
          <w:szCs w:val="24"/>
        </w:rPr>
        <w:t xml:space="preserve"> nākotnē</w:t>
      </w:r>
      <w:r w:rsidR="00AD6C58" w:rsidRPr="00242DAB">
        <w:rPr>
          <w:rFonts w:ascii="Times New Roman" w:eastAsia="Times New Roman" w:hAnsi="Times New Roman" w:cs="Times New Roman"/>
          <w:sz w:val="24"/>
          <w:szCs w:val="24"/>
        </w:rPr>
        <w:t xml:space="preserve"> </w:t>
      </w:r>
      <w:r w:rsidR="005F26D8" w:rsidRPr="00242DAB">
        <w:rPr>
          <w:rFonts w:ascii="Times New Roman" w:eastAsia="Times New Roman" w:hAnsi="Times New Roman" w:cs="Times New Roman"/>
          <w:sz w:val="24"/>
          <w:szCs w:val="24"/>
        </w:rPr>
        <w:t xml:space="preserve">(skat. 4.nodaļu) </w:t>
      </w:r>
      <w:r w:rsidR="00AD6C58" w:rsidRPr="00242DAB">
        <w:rPr>
          <w:rFonts w:ascii="Times New Roman" w:eastAsia="Times New Roman" w:hAnsi="Times New Roman" w:cs="Times New Roman"/>
          <w:sz w:val="24"/>
          <w:szCs w:val="24"/>
        </w:rPr>
        <w:t>– plānots pārskatīt normējamo un nenormējamo izmaksu struktūru, aktualizēt izglītības programmu izmaksu minimālos koeficientus, izstrādāt snieguma finansējuma mehānismu - atrunāt snieguma finansējuma piešķiršanas nosacījumus, kritērijus un kārtību, kādā finansējums tiek piešķirts un ieviest profesionālās izglītības absolventu nodarbinātības monitoringa sistēmu.</w:t>
      </w:r>
      <w:r w:rsidR="005F26D8" w:rsidRPr="00242DAB">
        <w:rPr>
          <w:rFonts w:ascii="Times New Roman" w:eastAsia="Times New Roman" w:hAnsi="Times New Roman" w:cs="Times New Roman"/>
          <w:sz w:val="24"/>
          <w:szCs w:val="24"/>
        </w:rPr>
        <w:t xml:space="preserve"> Ar plānotajiem pasākumiem profesionālās izglītības programmu finansēšanas turpmākajai pilnveidei var iepazīties ziņojuma</w:t>
      </w:r>
      <w:r w:rsidR="00D841DF" w:rsidRPr="00242DAB">
        <w:rPr>
          <w:rFonts w:ascii="Times New Roman" w:eastAsia="Times New Roman" w:hAnsi="Times New Roman" w:cs="Times New Roman"/>
          <w:sz w:val="24"/>
          <w:szCs w:val="24"/>
        </w:rPr>
        <w:t xml:space="preserve"> </w:t>
      </w:r>
      <w:r w:rsidR="00D841DF" w:rsidRPr="00242DAB">
        <w:rPr>
          <w:rFonts w:ascii="Times New Roman" w:eastAsia="Times New Roman" w:hAnsi="Times New Roman" w:cs="Times New Roman"/>
          <w:sz w:val="24"/>
          <w:szCs w:val="24"/>
        </w:rPr>
        <w:fldChar w:fldCharType="begin"/>
      </w:r>
      <w:r w:rsidR="00D841DF" w:rsidRPr="00242DAB">
        <w:rPr>
          <w:rFonts w:ascii="Times New Roman" w:eastAsia="Times New Roman" w:hAnsi="Times New Roman" w:cs="Times New Roman"/>
          <w:sz w:val="24"/>
          <w:szCs w:val="24"/>
        </w:rPr>
        <w:instrText xml:space="preserve"> REF _Ref52271723 \h  \* MERGEFORMAT </w:instrText>
      </w:r>
      <w:r w:rsidR="00D841DF" w:rsidRPr="00242DAB">
        <w:rPr>
          <w:rFonts w:ascii="Times New Roman" w:eastAsia="Times New Roman" w:hAnsi="Times New Roman" w:cs="Times New Roman"/>
          <w:sz w:val="24"/>
          <w:szCs w:val="24"/>
        </w:rPr>
      </w:r>
      <w:r w:rsidR="00D841DF" w:rsidRPr="00242DAB">
        <w:rPr>
          <w:rFonts w:ascii="Times New Roman" w:eastAsia="Times New Roman" w:hAnsi="Times New Roman" w:cs="Times New Roman"/>
          <w:sz w:val="24"/>
          <w:szCs w:val="24"/>
        </w:rPr>
        <w:fldChar w:fldCharType="separate"/>
      </w:r>
      <w:r w:rsidR="00D841DF" w:rsidRPr="00242DAB">
        <w:rPr>
          <w:rFonts w:ascii="Times New Roman" w:eastAsia="Times New Roman" w:hAnsi="Times New Roman" w:cs="Times New Roman"/>
          <w:bCs/>
          <w:color w:val="000000" w:themeColor="text1"/>
          <w:sz w:val="24"/>
          <w:szCs w:val="24"/>
        </w:rPr>
        <w:t>Pielikums Nr. 4</w:t>
      </w:r>
      <w:r w:rsidR="00D841DF" w:rsidRPr="00242DAB">
        <w:rPr>
          <w:rFonts w:ascii="Times New Roman" w:eastAsia="Times New Roman" w:hAnsi="Times New Roman" w:cs="Times New Roman"/>
          <w:sz w:val="24"/>
          <w:szCs w:val="24"/>
        </w:rPr>
        <w:fldChar w:fldCharType="end"/>
      </w:r>
      <w:r w:rsidR="005F26D8" w:rsidRPr="00242DAB">
        <w:rPr>
          <w:rFonts w:ascii="Times New Roman" w:eastAsia="Times New Roman" w:hAnsi="Times New Roman" w:cs="Times New Roman"/>
          <w:sz w:val="24"/>
          <w:szCs w:val="24"/>
        </w:rPr>
        <w:t>, kurā sniegts pasākumu īstenošanas laika grafiks un iesaistītās institūcijas.</w:t>
      </w:r>
    </w:p>
    <w:p w14:paraId="5077F858" w14:textId="08311A2A" w:rsidR="006C07DD" w:rsidRPr="00242DAB" w:rsidRDefault="006C07DD" w:rsidP="00242DAB">
      <w:pPr>
        <w:spacing w:after="120" w:line="276" w:lineRule="auto"/>
        <w:jc w:val="both"/>
        <w:rPr>
          <w:rFonts w:ascii="Times New Roman" w:eastAsia="Times New Roman" w:hAnsi="Times New Roman" w:cs="Times New Roman"/>
          <w:sz w:val="24"/>
          <w:szCs w:val="24"/>
        </w:rPr>
      </w:pPr>
      <w:r w:rsidRPr="00242DAB">
        <w:rPr>
          <w:rFonts w:ascii="Times New Roman" w:hAnsi="Times New Roman" w:cs="Times New Roman"/>
          <w:sz w:val="24"/>
          <w:szCs w:val="28"/>
        </w:rPr>
        <w:t>Ņemot vērā Ministru kabineta lēmumu, ar kuru netika atbalstīti IZM pieteiktie prioritārie pasākumi 2021.gadam par bāzes finansējuma nodrošināšanu profesionālās izglītības programmu īstenošanai</w:t>
      </w:r>
      <w:r w:rsidR="005C7C90">
        <w:rPr>
          <w:rFonts w:ascii="Times New Roman" w:hAnsi="Times New Roman" w:cs="Times New Roman"/>
          <w:sz w:val="24"/>
          <w:szCs w:val="28"/>
        </w:rPr>
        <w:t xml:space="preserve"> </w:t>
      </w:r>
      <w:r w:rsidR="005C7C90" w:rsidRPr="005C7C90">
        <w:rPr>
          <w:rFonts w:ascii="Times New Roman" w:hAnsi="Times New Roman" w:cs="Times New Roman"/>
          <w:sz w:val="24"/>
          <w:szCs w:val="28"/>
        </w:rPr>
        <w:t>(t.sk. pašvaldību un citu dibinātāju izglītības iestāžu īstenoto IP finansēšana no valsts budžeta)</w:t>
      </w:r>
      <w:r w:rsidR="005C7C90">
        <w:rPr>
          <w:rFonts w:ascii="Times New Roman" w:hAnsi="Times New Roman" w:cs="Times New Roman"/>
          <w:sz w:val="24"/>
          <w:szCs w:val="28"/>
        </w:rPr>
        <w:t xml:space="preserve"> </w:t>
      </w:r>
      <w:r w:rsidRPr="00242DAB">
        <w:rPr>
          <w:rFonts w:ascii="Times New Roman" w:hAnsi="Times New Roman" w:cs="Times New Roman"/>
          <w:sz w:val="24"/>
          <w:szCs w:val="28"/>
        </w:rPr>
        <w:t xml:space="preserve"> un mācību prakšu organizēšanas izmaksu nodrošināšanu profesionālajā izglītībā,</w:t>
      </w:r>
      <w:r w:rsidRPr="00242DAB">
        <w:rPr>
          <w:rFonts w:ascii="Times New Roman" w:eastAsia="Times New Roman" w:hAnsi="Times New Roman" w:cs="Times New Roman"/>
          <w:sz w:val="24"/>
          <w:szCs w:val="24"/>
        </w:rPr>
        <w:t xml:space="preserve"> profesionālās izglītības programmu finan</w:t>
      </w:r>
      <w:r w:rsidR="0084332C">
        <w:rPr>
          <w:rFonts w:ascii="Times New Roman" w:eastAsia="Times New Roman" w:hAnsi="Times New Roman" w:cs="Times New Roman"/>
          <w:sz w:val="24"/>
          <w:szCs w:val="24"/>
        </w:rPr>
        <w:t>sēšanas pilnveides pasākumu</w:t>
      </w:r>
      <w:r w:rsidRPr="00242DAB">
        <w:rPr>
          <w:rFonts w:ascii="Times New Roman" w:eastAsia="Times New Roman" w:hAnsi="Times New Roman" w:cs="Times New Roman"/>
          <w:sz w:val="24"/>
          <w:szCs w:val="24"/>
        </w:rPr>
        <w:t xml:space="preserve"> </w:t>
      </w:r>
      <w:r w:rsidR="0084332C">
        <w:rPr>
          <w:rFonts w:ascii="Times New Roman" w:eastAsia="Times New Roman" w:hAnsi="Times New Roman" w:cs="Times New Roman"/>
          <w:sz w:val="24"/>
          <w:szCs w:val="24"/>
        </w:rPr>
        <w:lastRenderedPageBreak/>
        <w:t xml:space="preserve">īstenošana </w:t>
      </w:r>
      <w:r w:rsidRPr="00242DAB">
        <w:rPr>
          <w:rFonts w:ascii="Times New Roman" w:eastAsia="Times New Roman" w:hAnsi="Times New Roman" w:cs="Times New Roman"/>
          <w:sz w:val="24"/>
          <w:szCs w:val="24"/>
        </w:rPr>
        <w:t xml:space="preserve">saskaņā ar ziņojumā noteikto laika grafiku </w:t>
      </w:r>
      <w:r w:rsidR="005C7C90">
        <w:rPr>
          <w:rFonts w:ascii="Times New Roman" w:eastAsia="Times New Roman" w:hAnsi="Times New Roman" w:cs="Times New Roman"/>
          <w:sz w:val="24"/>
          <w:szCs w:val="24"/>
        </w:rPr>
        <w:t xml:space="preserve">izskatāma </w:t>
      </w:r>
      <w:r w:rsidR="005C7C90" w:rsidRPr="005C7C90">
        <w:rPr>
          <w:rFonts w:ascii="Times New Roman" w:eastAsia="Times New Roman" w:hAnsi="Times New Roman" w:cs="Times New Roman"/>
          <w:sz w:val="24"/>
          <w:szCs w:val="24"/>
        </w:rPr>
        <w:t>Ministru kabinetā likumprojekta “Par valsts budžetu 2022. gadam” un likumprojekta “Par vidēja termiņa budžeta ietvaru 2022., 2023. un 2024. gadam” sagatavošanas procesā kopā ar visu ministriju iesniegtajiem prioritārajiem pasākumiem atbilstoši valsts budžeta finansiālajām iespējām</w:t>
      </w:r>
      <w:r w:rsidRPr="00242DAB">
        <w:rPr>
          <w:rFonts w:ascii="Times New Roman" w:eastAsia="Times New Roman" w:hAnsi="Times New Roman" w:cs="Times New Roman"/>
          <w:sz w:val="24"/>
          <w:szCs w:val="24"/>
        </w:rPr>
        <w:t>.</w:t>
      </w:r>
    </w:p>
    <w:p w14:paraId="38AC005B" w14:textId="5CFC7A2F" w:rsidR="004316CD" w:rsidRPr="00242DAB" w:rsidRDefault="004316CD" w:rsidP="00242DAB">
      <w:pPr>
        <w:jc w:val="both"/>
        <w:rPr>
          <w:rFonts w:asciiTheme="majorHAnsi" w:hAnsiTheme="majorHAnsi" w:cstheme="majorHAnsi"/>
          <w:bCs/>
          <w:sz w:val="24"/>
        </w:rPr>
      </w:pPr>
    </w:p>
    <w:p w14:paraId="29E9E791" w14:textId="77777777" w:rsidR="004316CD" w:rsidRPr="00242DAB" w:rsidRDefault="004316CD" w:rsidP="00242DAB">
      <w:pPr>
        <w:spacing w:after="120" w:line="276" w:lineRule="auto"/>
        <w:jc w:val="both"/>
        <w:rPr>
          <w:rFonts w:ascii="Times New Roman" w:hAnsi="Times New Roman" w:cs="Times New Roman"/>
          <w:sz w:val="24"/>
          <w:szCs w:val="28"/>
        </w:rPr>
      </w:pPr>
    </w:p>
    <w:p w14:paraId="37D40C77" w14:textId="70ACF313" w:rsidR="002758BA" w:rsidRPr="002B7D3B" w:rsidRDefault="00E5593B" w:rsidP="00242DAB">
      <w:pPr>
        <w:spacing w:after="0" w:line="276" w:lineRule="auto"/>
        <w:jc w:val="both"/>
        <w:rPr>
          <w:rFonts w:ascii="Times New Roman" w:hAnsi="Times New Roman" w:cs="Times New Roman"/>
          <w:sz w:val="24"/>
          <w:szCs w:val="28"/>
        </w:rPr>
      </w:pPr>
      <w:r w:rsidRPr="00242DAB">
        <w:rPr>
          <w:rFonts w:ascii="Times New Roman" w:hAnsi="Times New Roman" w:cs="Times New Roman"/>
          <w:sz w:val="24"/>
          <w:szCs w:val="28"/>
        </w:rPr>
        <w:t>I</w:t>
      </w:r>
      <w:r w:rsidR="00F000E7" w:rsidRPr="00242DAB">
        <w:rPr>
          <w:rFonts w:ascii="Times New Roman" w:hAnsi="Times New Roman" w:cs="Times New Roman"/>
          <w:sz w:val="24"/>
          <w:szCs w:val="28"/>
        </w:rPr>
        <w:t>zglītības un zinātnes ministre</w:t>
      </w:r>
      <w:r w:rsidR="002758BA" w:rsidRPr="00242DAB">
        <w:rPr>
          <w:rFonts w:ascii="Times New Roman" w:hAnsi="Times New Roman" w:cs="Times New Roman"/>
          <w:sz w:val="24"/>
          <w:szCs w:val="28"/>
        </w:rPr>
        <w:tab/>
      </w:r>
      <w:r w:rsidR="002758BA" w:rsidRPr="00242DAB">
        <w:rPr>
          <w:rFonts w:ascii="Times New Roman" w:hAnsi="Times New Roman" w:cs="Times New Roman"/>
          <w:sz w:val="24"/>
          <w:szCs w:val="28"/>
        </w:rPr>
        <w:tab/>
        <w:t xml:space="preserve"> </w:t>
      </w:r>
      <w:r w:rsidR="002758BA" w:rsidRPr="00242DAB">
        <w:rPr>
          <w:rFonts w:ascii="Times New Roman" w:hAnsi="Times New Roman" w:cs="Times New Roman"/>
          <w:sz w:val="24"/>
          <w:szCs w:val="28"/>
        </w:rPr>
        <w:tab/>
        <w:t xml:space="preserve">  </w:t>
      </w:r>
      <w:r w:rsidR="00DD6003" w:rsidRPr="00242DAB">
        <w:rPr>
          <w:rFonts w:ascii="Times New Roman" w:hAnsi="Times New Roman" w:cs="Times New Roman"/>
          <w:sz w:val="24"/>
          <w:szCs w:val="28"/>
        </w:rPr>
        <w:tab/>
      </w:r>
      <w:r w:rsidR="002758BA" w:rsidRPr="00242DAB">
        <w:rPr>
          <w:rFonts w:ascii="Times New Roman" w:hAnsi="Times New Roman" w:cs="Times New Roman"/>
          <w:sz w:val="24"/>
          <w:szCs w:val="28"/>
        </w:rPr>
        <w:tab/>
      </w:r>
      <w:r w:rsidR="00F000E7" w:rsidRPr="00242DAB">
        <w:rPr>
          <w:rFonts w:ascii="Times New Roman" w:hAnsi="Times New Roman" w:cs="Times New Roman"/>
          <w:sz w:val="24"/>
          <w:szCs w:val="28"/>
        </w:rPr>
        <w:t>Ilga Šuplinska</w:t>
      </w:r>
    </w:p>
    <w:p w14:paraId="57876D50" w14:textId="77777777" w:rsidR="009A12B8" w:rsidRDefault="009A12B8" w:rsidP="0009333A">
      <w:pPr>
        <w:spacing w:after="0" w:line="276" w:lineRule="auto"/>
        <w:rPr>
          <w:rFonts w:ascii="Times New Roman" w:hAnsi="Times New Roman" w:cs="Times New Roman"/>
          <w:szCs w:val="28"/>
        </w:rPr>
      </w:pPr>
    </w:p>
    <w:p w14:paraId="1A27F894" w14:textId="77777777" w:rsidR="00793664" w:rsidRPr="002758BA" w:rsidRDefault="00793664" w:rsidP="0009333A">
      <w:pPr>
        <w:spacing w:after="0" w:line="276" w:lineRule="auto"/>
        <w:rPr>
          <w:rFonts w:ascii="Times New Roman" w:hAnsi="Times New Roman" w:cs="Times New Roman"/>
          <w:szCs w:val="28"/>
        </w:rPr>
      </w:pPr>
    </w:p>
    <w:p w14:paraId="5CEF024D" w14:textId="77777777" w:rsidR="002758BA" w:rsidRPr="002758BA" w:rsidRDefault="002758BA" w:rsidP="0009333A">
      <w:pPr>
        <w:spacing w:after="0" w:line="276" w:lineRule="auto"/>
        <w:jc w:val="both"/>
        <w:rPr>
          <w:rFonts w:ascii="Times New Roman" w:hAnsi="Times New Roman" w:cs="Times New Roman"/>
          <w:sz w:val="24"/>
          <w:szCs w:val="28"/>
        </w:rPr>
      </w:pPr>
      <w:r w:rsidRPr="002758BA">
        <w:rPr>
          <w:rFonts w:ascii="Times New Roman" w:hAnsi="Times New Roman" w:cs="Times New Roman"/>
          <w:sz w:val="24"/>
          <w:szCs w:val="28"/>
        </w:rPr>
        <w:t xml:space="preserve">Vīza: </w:t>
      </w:r>
    </w:p>
    <w:p w14:paraId="5CB8BDE2" w14:textId="3FE53C56" w:rsidR="00AE5B8E" w:rsidRPr="001B066F" w:rsidRDefault="00B9527F" w:rsidP="00B9527F">
      <w:pPr>
        <w:spacing w:after="0" w:line="240" w:lineRule="auto"/>
        <w:jc w:val="both"/>
        <w:rPr>
          <w:rFonts w:ascii="Times New Roman" w:hAnsi="Times New Roman"/>
          <w:sz w:val="24"/>
          <w:szCs w:val="24"/>
        </w:rPr>
      </w:pPr>
      <w:r>
        <w:rPr>
          <w:rFonts w:ascii="Times New Roman" w:hAnsi="Times New Roman"/>
          <w:sz w:val="24"/>
          <w:szCs w:val="24"/>
        </w:rPr>
        <w:t xml:space="preserve">Valsts sekretāre </w:t>
      </w:r>
      <w:r w:rsidR="00AE5B8E">
        <w:rPr>
          <w:rFonts w:ascii="Times New Roman" w:hAnsi="Times New Roman"/>
          <w:sz w:val="24"/>
          <w:szCs w:val="24"/>
        </w:rPr>
        <w:tab/>
      </w:r>
      <w:r w:rsidR="00AE5B8E">
        <w:rPr>
          <w:rFonts w:ascii="Times New Roman" w:hAnsi="Times New Roman"/>
          <w:sz w:val="24"/>
          <w:szCs w:val="24"/>
        </w:rPr>
        <w:tab/>
      </w:r>
      <w:r w:rsidR="00AE5B8E">
        <w:rPr>
          <w:rFonts w:ascii="Times New Roman" w:hAnsi="Times New Roman"/>
          <w:sz w:val="24"/>
          <w:szCs w:val="24"/>
        </w:rPr>
        <w:tab/>
      </w:r>
      <w:r w:rsidR="00AE5B8E">
        <w:rPr>
          <w:rFonts w:ascii="Times New Roman" w:hAnsi="Times New Roman"/>
          <w:sz w:val="24"/>
          <w:szCs w:val="24"/>
        </w:rPr>
        <w:tab/>
      </w:r>
      <w:r w:rsidR="00144FDB">
        <w:rPr>
          <w:rFonts w:ascii="Times New Roman" w:hAnsi="Times New Roman"/>
          <w:sz w:val="24"/>
          <w:szCs w:val="24"/>
        </w:rPr>
        <w:tab/>
      </w:r>
      <w:r w:rsidR="00144FDB">
        <w:rPr>
          <w:rFonts w:ascii="Times New Roman" w:hAnsi="Times New Roman"/>
          <w:sz w:val="24"/>
          <w:szCs w:val="24"/>
        </w:rPr>
        <w:tab/>
      </w:r>
      <w:r w:rsidR="00144FDB">
        <w:rPr>
          <w:rFonts w:ascii="Times New Roman" w:hAnsi="Times New Roman"/>
          <w:sz w:val="24"/>
          <w:szCs w:val="24"/>
        </w:rPr>
        <w:tab/>
        <w:t xml:space="preserve">Līga </w:t>
      </w:r>
      <w:r>
        <w:rPr>
          <w:rFonts w:ascii="Times New Roman" w:hAnsi="Times New Roman"/>
          <w:sz w:val="24"/>
          <w:szCs w:val="24"/>
        </w:rPr>
        <w:t>Lejiņa</w:t>
      </w:r>
    </w:p>
    <w:p w14:paraId="4630FF75" w14:textId="0FAB9510" w:rsidR="003A7510" w:rsidRPr="00830656" w:rsidRDefault="00AE5B8E" w:rsidP="00830656">
      <w:pPr>
        <w:tabs>
          <w:tab w:val="left" w:pos="968"/>
        </w:tabs>
        <w:rPr>
          <w:sz w:val="24"/>
          <w:szCs w:val="24"/>
        </w:rPr>
        <w:sectPr w:rsidR="003A7510" w:rsidRPr="00830656" w:rsidSect="00584A27">
          <w:headerReference w:type="default" r:id="rId9"/>
          <w:footerReference w:type="default" r:id="rId10"/>
          <w:headerReference w:type="first" r:id="rId11"/>
          <w:footerReference w:type="first" r:id="rId12"/>
          <w:pgSz w:w="11906" w:h="16838"/>
          <w:pgMar w:top="1134" w:right="1134" w:bottom="1134" w:left="1701" w:header="709" w:footer="709" w:gutter="0"/>
          <w:cols w:space="708"/>
          <w:titlePg/>
          <w:docGrid w:linePitch="360"/>
        </w:sectPr>
      </w:pPr>
      <w:r w:rsidRPr="001B066F">
        <w:rPr>
          <w:sz w:val="24"/>
          <w:szCs w:val="24"/>
        </w:rPr>
        <w:tab/>
      </w:r>
    </w:p>
    <w:p w14:paraId="48317B42" w14:textId="398C5C67" w:rsidR="00422FF3" w:rsidRPr="00D841DF" w:rsidRDefault="00D841DF" w:rsidP="00D841DF">
      <w:pPr>
        <w:pStyle w:val="Caption"/>
        <w:jc w:val="right"/>
        <w:rPr>
          <w:rFonts w:ascii="Times New Roman" w:hAnsi="Times New Roman" w:cs="Times New Roman"/>
          <w:b/>
          <w:i w:val="0"/>
          <w:color w:val="000000" w:themeColor="text1"/>
          <w:sz w:val="24"/>
          <w:szCs w:val="24"/>
        </w:rPr>
      </w:pPr>
      <w:bookmarkStart w:id="20" w:name="_Toc53136194"/>
      <w:bookmarkStart w:id="21" w:name="_Ref52271431"/>
      <w:bookmarkStart w:id="22" w:name="_Ref52271443"/>
      <w:r w:rsidRPr="009B3228">
        <w:rPr>
          <w:rStyle w:val="Heading1Char"/>
          <w:rFonts w:ascii="Times New Roman" w:hAnsi="Times New Roman" w:cs="Times New Roman"/>
          <w:b/>
          <w:i w:val="0"/>
          <w:color w:val="000000" w:themeColor="text1"/>
          <w:sz w:val="24"/>
          <w:szCs w:val="24"/>
        </w:rPr>
        <w:lastRenderedPageBreak/>
        <w:t>Pielikums</w:t>
      </w:r>
      <w:bookmarkEnd w:id="20"/>
      <w:r w:rsidRPr="009B3228">
        <w:rPr>
          <w:rFonts w:ascii="Times New Roman" w:hAnsi="Times New Roman" w:cs="Times New Roman"/>
          <w:b/>
          <w:i w:val="0"/>
          <w:color w:val="000000" w:themeColor="text1"/>
          <w:sz w:val="24"/>
          <w:szCs w:val="24"/>
        </w:rPr>
        <w:t xml:space="preserve"> </w:t>
      </w:r>
      <w:r w:rsidRPr="00D841DF">
        <w:rPr>
          <w:rFonts w:ascii="Times New Roman" w:hAnsi="Times New Roman" w:cs="Times New Roman"/>
          <w:b/>
          <w:i w:val="0"/>
          <w:color w:val="000000" w:themeColor="text1"/>
          <w:sz w:val="24"/>
          <w:szCs w:val="24"/>
        </w:rPr>
        <w:t xml:space="preserve">Nr. </w:t>
      </w:r>
      <w:r w:rsidRPr="00D841DF">
        <w:rPr>
          <w:rFonts w:ascii="Times New Roman" w:hAnsi="Times New Roman" w:cs="Times New Roman"/>
          <w:b/>
          <w:i w:val="0"/>
          <w:color w:val="000000" w:themeColor="text1"/>
          <w:sz w:val="24"/>
          <w:szCs w:val="24"/>
        </w:rPr>
        <w:fldChar w:fldCharType="begin"/>
      </w:r>
      <w:r w:rsidRPr="00D841DF">
        <w:rPr>
          <w:rFonts w:ascii="Times New Roman" w:hAnsi="Times New Roman" w:cs="Times New Roman"/>
          <w:b/>
          <w:i w:val="0"/>
          <w:color w:val="000000" w:themeColor="text1"/>
          <w:sz w:val="24"/>
          <w:szCs w:val="24"/>
        </w:rPr>
        <w:instrText xml:space="preserve"> SEQ Pielikums \* ARABIC </w:instrText>
      </w:r>
      <w:r w:rsidRPr="00D841DF">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1</w:t>
      </w:r>
      <w:r w:rsidRPr="00D841DF">
        <w:rPr>
          <w:rFonts w:ascii="Times New Roman" w:hAnsi="Times New Roman" w:cs="Times New Roman"/>
          <w:b/>
          <w:i w:val="0"/>
          <w:color w:val="000000" w:themeColor="text1"/>
          <w:sz w:val="24"/>
          <w:szCs w:val="24"/>
        </w:rPr>
        <w:fldChar w:fldCharType="end"/>
      </w:r>
      <w:bookmarkEnd w:id="21"/>
      <w:bookmarkEnd w:id="22"/>
      <w:r w:rsidRPr="00D841DF">
        <w:rPr>
          <w:rStyle w:val="Heading1Char"/>
          <w:rFonts w:ascii="Times New Roman" w:hAnsi="Times New Roman" w:cs="Times New Roman"/>
          <w:b/>
          <w:i w:val="0"/>
          <w:color w:val="000000" w:themeColor="text1"/>
          <w:sz w:val="24"/>
          <w:szCs w:val="24"/>
        </w:rPr>
        <w:t xml:space="preserve">. </w:t>
      </w:r>
      <w:bookmarkStart w:id="23" w:name="_Ref52271425"/>
      <w:r w:rsidR="001F3273" w:rsidRPr="00D841DF">
        <w:rPr>
          <w:rFonts w:ascii="Times New Roman" w:eastAsia="Times New Roman" w:hAnsi="Times New Roman" w:cs="Times New Roman"/>
          <w:b/>
          <w:bCs/>
          <w:i w:val="0"/>
          <w:color w:val="000000" w:themeColor="text1"/>
          <w:sz w:val="24"/>
          <w:szCs w:val="24"/>
        </w:rPr>
        <w:t>Izglītības iestādes, kas īsteno profesionālās izglītības programmas</w:t>
      </w:r>
      <w:bookmarkEnd w:id="23"/>
      <w:r w:rsidR="001F3273" w:rsidRPr="00D841DF">
        <w:rPr>
          <w:rFonts w:ascii="Times New Roman" w:hAnsi="Times New Roman" w:cs="Times New Roman"/>
          <w:b/>
          <w:i w:val="0"/>
          <w:color w:val="000000" w:themeColor="text1"/>
          <w:sz w:val="24"/>
          <w:szCs w:val="24"/>
        </w:rPr>
        <w:t xml:space="preserve"> </w:t>
      </w:r>
    </w:p>
    <w:tbl>
      <w:tblPr>
        <w:tblW w:w="14449" w:type="dxa"/>
        <w:tblLook w:val="04A0" w:firstRow="1" w:lastRow="0" w:firstColumn="1" w:lastColumn="0" w:noHBand="0" w:noVBand="1"/>
      </w:tblPr>
      <w:tblGrid>
        <w:gridCol w:w="452"/>
        <w:gridCol w:w="1272"/>
        <w:gridCol w:w="2729"/>
        <w:gridCol w:w="1428"/>
        <w:gridCol w:w="3323"/>
        <w:gridCol w:w="2715"/>
        <w:gridCol w:w="1559"/>
        <w:gridCol w:w="971"/>
      </w:tblGrid>
      <w:tr w:rsidR="00422FF3" w:rsidRPr="00422FF3" w14:paraId="15F3A55E" w14:textId="77777777" w:rsidTr="001F3273">
        <w:trPr>
          <w:trHeight w:val="307"/>
        </w:trPr>
        <w:tc>
          <w:tcPr>
            <w:tcW w:w="1724" w:type="dxa"/>
            <w:gridSpan w:val="2"/>
            <w:vMerge w:val="restart"/>
            <w:tcBorders>
              <w:top w:val="single" w:sz="8" w:space="0" w:color="auto"/>
              <w:left w:val="single" w:sz="8" w:space="0" w:color="auto"/>
              <w:bottom w:val="single" w:sz="8" w:space="0" w:color="000000"/>
              <w:right w:val="single" w:sz="8" w:space="0" w:color="000000"/>
            </w:tcBorders>
            <w:shd w:val="clear" w:color="000000" w:fill="F2F2F2"/>
            <w:vAlign w:val="center"/>
            <w:hideMark/>
          </w:tcPr>
          <w:p w14:paraId="2D527822" w14:textId="77777777" w:rsidR="00422FF3" w:rsidRPr="00422FF3" w:rsidRDefault="00422FF3" w:rsidP="00422FF3">
            <w:pPr>
              <w:spacing w:after="0" w:line="240" w:lineRule="auto"/>
              <w:jc w:val="center"/>
              <w:rPr>
                <w:rFonts w:ascii="Times New Roman" w:eastAsia="Times New Roman" w:hAnsi="Times New Roman" w:cs="Times New Roman"/>
                <w:b/>
                <w:bCs/>
                <w:color w:val="000000"/>
                <w:sz w:val="20"/>
                <w:szCs w:val="20"/>
              </w:rPr>
            </w:pPr>
            <w:r w:rsidRPr="00422FF3">
              <w:rPr>
                <w:rFonts w:ascii="Times New Roman" w:eastAsia="Times New Roman" w:hAnsi="Times New Roman" w:cs="Times New Roman"/>
                <w:b/>
                <w:bCs/>
                <w:color w:val="000000"/>
                <w:sz w:val="20"/>
                <w:szCs w:val="20"/>
              </w:rPr>
              <w:t>Dibinātājs</w:t>
            </w:r>
          </w:p>
        </w:tc>
        <w:tc>
          <w:tcPr>
            <w:tcW w:w="2729" w:type="dxa"/>
            <w:tcBorders>
              <w:top w:val="single" w:sz="8" w:space="0" w:color="auto"/>
              <w:left w:val="nil"/>
              <w:bottom w:val="nil"/>
              <w:right w:val="single" w:sz="8" w:space="0" w:color="auto"/>
            </w:tcBorders>
            <w:shd w:val="clear" w:color="000000" w:fill="F2F2F2"/>
            <w:vAlign w:val="center"/>
            <w:hideMark/>
          </w:tcPr>
          <w:p w14:paraId="4FD76C12" w14:textId="77777777" w:rsidR="00422FF3" w:rsidRPr="00422FF3" w:rsidRDefault="00422FF3" w:rsidP="00422FF3">
            <w:pPr>
              <w:spacing w:after="0" w:line="240" w:lineRule="auto"/>
              <w:jc w:val="center"/>
              <w:rPr>
                <w:rFonts w:ascii="Times New Roman" w:eastAsia="Times New Roman" w:hAnsi="Times New Roman" w:cs="Times New Roman"/>
                <w:b/>
                <w:bCs/>
                <w:color w:val="000000"/>
                <w:sz w:val="20"/>
                <w:szCs w:val="20"/>
              </w:rPr>
            </w:pPr>
            <w:r w:rsidRPr="00422FF3">
              <w:rPr>
                <w:rFonts w:ascii="Times New Roman" w:eastAsia="Times New Roman" w:hAnsi="Times New Roman" w:cs="Times New Roman"/>
                <w:b/>
                <w:bCs/>
                <w:color w:val="000000"/>
                <w:sz w:val="20"/>
                <w:szCs w:val="20"/>
              </w:rPr>
              <w:t>Augstākās izglītības iestāde</w:t>
            </w:r>
          </w:p>
        </w:tc>
        <w:tc>
          <w:tcPr>
            <w:tcW w:w="7466" w:type="dxa"/>
            <w:gridSpan w:val="3"/>
            <w:tcBorders>
              <w:top w:val="single" w:sz="8" w:space="0" w:color="auto"/>
              <w:left w:val="nil"/>
              <w:bottom w:val="single" w:sz="8" w:space="0" w:color="auto"/>
              <w:right w:val="single" w:sz="8" w:space="0" w:color="000000"/>
            </w:tcBorders>
            <w:shd w:val="clear" w:color="000000" w:fill="F2F2F2"/>
            <w:vAlign w:val="center"/>
            <w:hideMark/>
          </w:tcPr>
          <w:p w14:paraId="1659BF77" w14:textId="77777777" w:rsidR="00422FF3" w:rsidRPr="00422FF3" w:rsidRDefault="00422FF3" w:rsidP="00422FF3">
            <w:pPr>
              <w:spacing w:after="0" w:line="240" w:lineRule="auto"/>
              <w:jc w:val="center"/>
              <w:rPr>
                <w:rFonts w:ascii="Times New Roman" w:eastAsia="Times New Roman" w:hAnsi="Times New Roman" w:cs="Times New Roman"/>
                <w:b/>
                <w:bCs/>
                <w:color w:val="000000"/>
                <w:sz w:val="20"/>
                <w:szCs w:val="20"/>
              </w:rPr>
            </w:pPr>
            <w:r w:rsidRPr="00422FF3">
              <w:rPr>
                <w:rFonts w:ascii="Times New Roman" w:eastAsia="Times New Roman" w:hAnsi="Times New Roman" w:cs="Times New Roman"/>
                <w:b/>
                <w:bCs/>
                <w:color w:val="000000"/>
                <w:sz w:val="20"/>
                <w:szCs w:val="20"/>
              </w:rPr>
              <w:t>Profesionālās izglītības iestādes</w:t>
            </w:r>
          </w:p>
        </w:tc>
        <w:tc>
          <w:tcPr>
            <w:tcW w:w="1559" w:type="dxa"/>
            <w:vMerge w:val="restart"/>
            <w:tcBorders>
              <w:top w:val="single" w:sz="8" w:space="0" w:color="000000"/>
              <w:left w:val="nil"/>
              <w:bottom w:val="single" w:sz="8" w:space="0" w:color="000000"/>
              <w:right w:val="single" w:sz="8" w:space="0" w:color="000000"/>
            </w:tcBorders>
            <w:shd w:val="clear" w:color="000000" w:fill="F2F2F2"/>
            <w:vAlign w:val="center"/>
            <w:hideMark/>
          </w:tcPr>
          <w:p w14:paraId="0C12F24E" w14:textId="77777777" w:rsidR="00422FF3" w:rsidRPr="00422FF3" w:rsidRDefault="00422FF3" w:rsidP="00422FF3">
            <w:pPr>
              <w:spacing w:after="0" w:line="240" w:lineRule="auto"/>
              <w:jc w:val="center"/>
              <w:rPr>
                <w:rFonts w:ascii="Times New Roman" w:eastAsia="Times New Roman" w:hAnsi="Times New Roman" w:cs="Times New Roman"/>
                <w:b/>
                <w:bCs/>
                <w:color w:val="000000"/>
                <w:sz w:val="20"/>
                <w:szCs w:val="20"/>
              </w:rPr>
            </w:pPr>
            <w:r w:rsidRPr="00422FF3">
              <w:rPr>
                <w:rFonts w:ascii="Times New Roman" w:eastAsia="Times New Roman" w:hAnsi="Times New Roman" w:cs="Times New Roman"/>
                <w:b/>
                <w:bCs/>
                <w:color w:val="000000"/>
                <w:sz w:val="20"/>
                <w:szCs w:val="20"/>
              </w:rPr>
              <w:t>Vispārējās izglītības iestāde</w:t>
            </w:r>
          </w:p>
        </w:tc>
        <w:tc>
          <w:tcPr>
            <w:tcW w:w="971" w:type="dxa"/>
            <w:vMerge w:val="restart"/>
            <w:tcBorders>
              <w:top w:val="single" w:sz="8" w:space="0" w:color="000000"/>
              <w:left w:val="single" w:sz="8" w:space="0" w:color="000000"/>
              <w:bottom w:val="single" w:sz="8" w:space="0" w:color="000000"/>
              <w:right w:val="single" w:sz="8" w:space="0" w:color="auto"/>
            </w:tcBorders>
            <w:shd w:val="clear" w:color="000000" w:fill="F2F2F2"/>
            <w:vAlign w:val="center"/>
            <w:hideMark/>
          </w:tcPr>
          <w:p w14:paraId="4DE6450B" w14:textId="77777777" w:rsidR="00422FF3" w:rsidRPr="00422FF3" w:rsidRDefault="00422FF3" w:rsidP="00422FF3">
            <w:pPr>
              <w:spacing w:after="0" w:line="240" w:lineRule="auto"/>
              <w:jc w:val="center"/>
              <w:rPr>
                <w:rFonts w:ascii="Times New Roman" w:eastAsia="Times New Roman" w:hAnsi="Times New Roman" w:cs="Times New Roman"/>
                <w:b/>
                <w:bCs/>
                <w:color w:val="000000"/>
                <w:sz w:val="20"/>
                <w:szCs w:val="20"/>
              </w:rPr>
            </w:pPr>
            <w:r w:rsidRPr="00422FF3">
              <w:rPr>
                <w:rFonts w:ascii="Times New Roman" w:eastAsia="Times New Roman" w:hAnsi="Times New Roman" w:cs="Times New Roman"/>
                <w:b/>
                <w:bCs/>
                <w:color w:val="000000"/>
                <w:sz w:val="20"/>
                <w:szCs w:val="20"/>
              </w:rPr>
              <w:t>Kopā</w:t>
            </w:r>
          </w:p>
        </w:tc>
      </w:tr>
      <w:tr w:rsidR="00422FF3" w:rsidRPr="00422FF3" w14:paraId="198DAFD2" w14:textId="77777777" w:rsidTr="001F3273">
        <w:trPr>
          <w:trHeight w:val="60"/>
        </w:trPr>
        <w:tc>
          <w:tcPr>
            <w:tcW w:w="1724" w:type="dxa"/>
            <w:gridSpan w:val="2"/>
            <w:vMerge/>
            <w:tcBorders>
              <w:top w:val="single" w:sz="8" w:space="0" w:color="auto"/>
              <w:left w:val="single" w:sz="8" w:space="0" w:color="auto"/>
              <w:bottom w:val="single" w:sz="8" w:space="0" w:color="000000"/>
              <w:right w:val="single" w:sz="8" w:space="0" w:color="000000"/>
            </w:tcBorders>
            <w:vAlign w:val="center"/>
            <w:hideMark/>
          </w:tcPr>
          <w:p w14:paraId="3F1BCFFB" w14:textId="77777777" w:rsidR="00422FF3" w:rsidRPr="00422FF3" w:rsidRDefault="00422FF3" w:rsidP="00422FF3">
            <w:pPr>
              <w:spacing w:after="0" w:line="240" w:lineRule="auto"/>
              <w:rPr>
                <w:rFonts w:ascii="Times New Roman" w:eastAsia="Times New Roman" w:hAnsi="Times New Roman" w:cs="Times New Roman"/>
                <w:b/>
                <w:bCs/>
                <w:color w:val="000000"/>
                <w:sz w:val="20"/>
                <w:szCs w:val="20"/>
              </w:rPr>
            </w:pPr>
          </w:p>
        </w:tc>
        <w:tc>
          <w:tcPr>
            <w:tcW w:w="2729" w:type="dxa"/>
            <w:tcBorders>
              <w:top w:val="single" w:sz="8" w:space="0" w:color="auto"/>
              <w:left w:val="nil"/>
              <w:bottom w:val="single" w:sz="8" w:space="0" w:color="auto"/>
              <w:right w:val="single" w:sz="8" w:space="0" w:color="auto"/>
            </w:tcBorders>
            <w:shd w:val="clear" w:color="000000" w:fill="F2F2F2"/>
            <w:vAlign w:val="center"/>
            <w:hideMark/>
          </w:tcPr>
          <w:p w14:paraId="290698F1" w14:textId="77777777" w:rsidR="00422FF3" w:rsidRPr="00422FF3" w:rsidRDefault="00422FF3" w:rsidP="00422FF3">
            <w:pPr>
              <w:spacing w:after="0" w:line="240" w:lineRule="auto"/>
              <w:jc w:val="center"/>
              <w:rPr>
                <w:rFonts w:ascii="Times New Roman" w:eastAsia="Times New Roman" w:hAnsi="Times New Roman" w:cs="Times New Roman"/>
                <w:b/>
                <w:bCs/>
                <w:color w:val="000000"/>
                <w:sz w:val="20"/>
                <w:szCs w:val="20"/>
              </w:rPr>
            </w:pPr>
            <w:r w:rsidRPr="00422FF3">
              <w:rPr>
                <w:rFonts w:ascii="Times New Roman" w:eastAsia="Times New Roman" w:hAnsi="Times New Roman" w:cs="Times New Roman"/>
                <w:b/>
                <w:bCs/>
                <w:color w:val="000000"/>
                <w:sz w:val="20"/>
                <w:szCs w:val="20"/>
              </w:rPr>
              <w:t>Koledža</w:t>
            </w:r>
          </w:p>
        </w:tc>
        <w:tc>
          <w:tcPr>
            <w:tcW w:w="1428" w:type="dxa"/>
            <w:tcBorders>
              <w:top w:val="nil"/>
              <w:left w:val="nil"/>
              <w:bottom w:val="single" w:sz="8" w:space="0" w:color="000000"/>
              <w:right w:val="single" w:sz="8" w:space="0" w:color="000000"/>
            </w:tcBorders>
            <w:shd w:val="clear" w:color="000000" w:fill="F2F2F2"/>
            <w:vAlign w:val="center"/>
            <w:hideMark/>
          </w:tcPr>
          <w:p w14:paraId="7D261756" w14:textId="77777777" w:rsidR="00422FF3" w:rsidRPr="00422FF3" w:rsidRDefault="00422FF3" w:rsidP="00422FF3">
            <w:pPr>
              <w:spacing w:after="0" w:line="240" w:lineRule="auto"/>
              <w:jc w:val="center"/>
              <w:rPr>
                <w:rFonts w:ascii="Times New Roman" w:eastAsia="Times New Roman" w:hAnsi="Times New Roman" w:cs="Times New Roman"/>
                <w:b/>
                <w:bCs/>
                <w:color w:val="000000"/>
                <w:sz w:val="20"/>
                <w:szCs w:val="20"/>
              </w:rPr>
            </w:pPr>
            <w:r w:rsidRPr="00422FF3">
              <w:rPr>
                <w:rFonts w:ascii="Times New Roman" w:eastAsia="Times New Roman" w:hAnsi="Times New Roman" w:cs="Times New Roman"/>
                <w:b/>
                <w:bCs/>
                <w:color w:val="000000"/>
                <w:sz w:val="20"/>
                <w:szCs w:val="20"/>
              </w:rPr>
              <w:t>Arodizglītības iestāde</w:t>
            </w:r>
          </w:p>
        </w:tc>
        <w:tc>
          <w:tcPr>
            <w:tcW w:w="3323" w:type="dxa"/>
            <w:tcBorders>
              <w:top w:val="nil"/>
              <w:left w:val="nil"/>
              <w:bottom w:val="single" w:sz="8" w:space="0" w:color="000000"/>
              <w:right w:val="single" w:sz="8" w:space="0" w:color="000000"/>
            </w:tcBorders>
            <w:shd w:val="clear" w:color="000000" w:fill="F2F2F2"/>
            <w:vAlign w:val="center"/>
            <w:hideMark/>
          </w:tcPr>
          <w:p w14:paraId="395A2A84" w14:textId="77777777" w:rsidR="00422FF3" w:rsidRPr="00422FF3" w:rsidRDefault="00422FF3" w:rsidP="00422FF3">
            <w:pPr>
              <w:spacing w:after="0" w:line="240" w:lineRule="auto"/>
              <w:jc w:val="center"/>
              <w:rPr>
                <w:rFonts w:ascii="Times New Roman" w:eastAsia="Times New Roman" w:hAnsi="Times New Roman" w:cs="Times New Roman"/>
                <w:b/>
                <w:bCs/>
                <w:color w:val="000000"/>
                <w:sz w:val="20"/>
                <w:szCs w:val="20"/>
              </w:rPr>
            </w:pPr>
            <w:r w:rsidRPr="00422FF3">
              <w:rPr>
                <w:rFonts w:ascii="Times New Roman" w:eastAsia="Times New Roman" w:hAnsi="Times New Roman" w:cs="Times New Roman"/>
                <w:b/>
                <w:bCs/>
                <w:color w:val="000000"/>
                <w:sz w:val="20"/>
                <w:szCs w:val="20"/>
              </w:rPr>
              <w:t>PIKC</w:t>
            </w:r>
          </w:p>
        </w:tc>
        <w:tc>
          <w:tcPr>
            <w:tcW w:w="2715" w:type="dxa"/>
            <w:tcBorders>
              <w:top w:val="nil"/>
              <w:left w:val="nil"/>
              <w:bottom w:val="single" w:sz="8" w:space="0" w:color="000000"/>
              <w:right w:val="single" w:sz="8" w:space="0" w:color="000000"/>
            </w:tcBorders>
            <w:shd w:val="clear" w:color="000000" w:fill="F2F2F2"/>
            <w:vAlign w:val="center"/>
            <w:hideMark/>
          </w:tcPr>
          <w:p w14:paraId="531DCF90" w14:textId="77777777" w:rsidR="00422FF3" w:rsidRPr="00422FF3" w:rsidRDefault="00422FF3" w:rsidP="00422FF3">
            <w:pPr>
              <w:spacing w:after="0" w:line="240" w:lineRule="auto"/>
              <w:jc w:val="center"/>
              <w:rPr>
                <w:rFonts w:ascii="Times New Roman" w:eastAsia="Times New Roman" w:hAnsi="Times New Roman" w:cs="Times New Roman"/>
                <w:b/>
                <w:bCs/>
                <w:color w:val="000000"/>
                <w:sz w:val="20"/>
                <w:szCs w:val="20"/>
              </w:rPr>
            </w:pPr>
            <w:r w:rsidRPr="00422FF3">
              <w:rPr>
                <w:rFonts w:ascii="Times New Roman" w:eastAsia="Times New Roman" w:hAnsi="Times New Roman" w:cs="Times New Roman"/>
                <w:b/>
                <w:bCs/>
                <w:color w:val="000000"/>
                <w:sz w:val="20"/>
                <w:szCs w:val="20"/>
              </w:rPr>
              <w:t>Profesionālās vidējās izglītības iestāde</w:t>
            </w:r>
          </w:p>
        </w:tc>
        <w:tc>
          <w:tcPr>
            <w:tcW w:w="1559" w:type="dxa"/>
            <w:vMerge/>
            <w:tcBorders>
              <w:top w:val="single" w:sz="8" w:space="0" w:color="000000"/>
              <w:left w:val="nil"/>
              <w:bottom w:val="single" w:sz="8" w:space="0" w:color="000000"/>
              <w:right w:val="single" w:sz="8" w:space="0" w:color="000000"/>
            </w:tcBorders>
            <w:vAlign w:val="center"/>
            <w:hideMark/>
          </w:tcPr>
          <w:p w14:paraId="39B09756" w14:textId="77777777" w:rsidR="00422FF3" w:rsidRPr="00422FF3" w:rsidRDefault="00422FF3" w:rsidP="00422FF3">
            <w:pPr>
              <w:spacing w:after="0" w:line="240" w:lineRule="auto"/>
              <w:rPr>
                <w:rFonts w:ascii="Times New Roman" w:eastAsia="Times New Roman" w:hAnsi="Times New Roman" w:cs="Times New Roman"/>
                <w:b/>
                <w:bCs/>
                <w:color w:val="000000"/>
                <w:sz w:val="20"/>
                <w:szCs w:val="20"/>
              </w:rPr>
            </w:pPr>
          </w:p>
        </w:tc>
        <w:tc>
          <w:tcPr>
            <w:tcW w:w="971" w:type="dxa"/>
            <w:vMerge/>
            <w:tcBorders>
              <w:top w:val="single" w:sz="8" w:space="0" w:color="000000"/>
              <w:left w:val="single" w:sz="8" w:space="0" w:color="000000"/>
              <w:bottom w:val="single" w:sz="8" w:space="0" w:color="000000"/>
              <w:right w:val="single" w:sz="8" w:space="0" w:color="auto"/>
            </w:tcBorders>
            <w:vAlign w:val="center"/>
            <w:hideMark/>
          </w:tcPr>
          <w:p w14:paraId="46AA97C8" w14:textId="77777777" w:rsidR="00422FF3" w:rsidRPr="00422FF3" w:rsidRDefault="00422FF3" w:rsidP="00422FF3">
            <w:pPr>
              <w:spacing w:after="0" w:line="240" w:lineRule="auto"/>
              <w:rPr>
                <w:rFonts w:ascii="Times New Roman" w:eastAsia="Times New Roman" w:hAnsi="Times New Roman" w:cs="Times New Roman"/>
                <w:b/>
                <w:bCs/>
                <w:color w:val="000000"/>
                <w:sz w:val="20"/>
                <w:szCs w:val="20"/>
              </w:rPr>
            </w:pPr>
          </w:p>
        </w:tc>
      </w:tr>
      <w:tr w:rsidR="00422FF3" w:rsidRPr="00422FF3" w14:paraId="7B5B449A" w14:textId="77777777" w:rsidTr="001F3273">
        <w:trPr>
          <w:trHeight w:val="4800"/>
        </w:trPr>
        <w:tc>
          <w:tcPr>
            <w:tcW w:w="452" w:type="dxa"/>
            <w:vMerge w:val="restart"/>
            <w:tcBorders>
              <w:top w:val="nil"/>
              <w:left w:val="single" w:sz="4" w:space="0" w:color="auto"/>
              <w:bottom w:val="nil"/>
              <w:right w:val="single" w:sz="8" w:space="0" w:color="auto"/>
            </w:tcBorders>
            <w:shd w:val="clear" w:color="auto" w:fill="F2F2F2" w:themeFill="background1" w:themeFillShade="F2"/>
            <w:textDirection w:val="btLr"/>
            <w:vAlign w:val="center"/>
            <w:hideMark/>
          </w:tcPr>
          <w:p w14:paraId="6B9ECECC" w14:textId="4524DD49" w:rsidR="00422FF3" w:rsidRPr="00422FF3" w:rsidRDefault="00422FF3" w:rsidP="00422FF3">
            <w:pPr>
              <w:spacing w:after="0" w:line="240" w:lineRule="auto"/>
              <w:jc w:val="center"/>
              <w:rPr>
                <w:rFonts w:ascii="Times New Roman" w:eastAsia="Times New Roman" w:hAnsi="Times New Roman" w:cs="Times New Roman"/>
                <w:b/>
                <w:bCs/>
                <w:color w:val="000000"/>
                <w:sz w:val="20"/>
                <w:szCs w:val="20"/>
              </w:rPr>
            </w:pPr>
            <w:r w:rsidRPr="00422FF3">
              <w:rPr>
                <w:rFonts w:ascii="Times New Roman" w:eastAsia="Times New Roman" w:hAnsi="Times New Roman" w:cs="Times New Roman"/>
                <w:b/>
                <w:bCs/>
                <w:color w:val="000000"/>
                <w:sz w:val="20"/>
                <w:szCs w:val="20"/>
              </w:rPr>
              <w:t xml:space="preserve">Valsts dibinātas izglītības iestādes </w:t>
            </w:r>
            <w:r w:rsidR="00D021C4">
              <w:rPr>
                <w:rFonts w:ascii="Times New Roman" w:eastAsia="Times New Roman" w:hAnsi="Times New Roman" w:cs="Times New Roman"/>
                <w:b/>
                <w:bCs/>
                <w:color w:val="000000"/>
                <w:sz w:val="20"/>
                <w:szCs w:val="20"/>
              </w:rPr>
              <w:t>(ministriju padotībā)</w:t>
            </w:r>
          </w:p>
        </w:tc>
        <w:tc>
          <w:tcPr>
            <w:tcW w:w="1272" w:type="dxa"/>
            <w:tcBorders>
              <w:top w:val="nil"/>
              <w:left w:val="nil"/>
              <w:bottom w:val="single" w:sz="8" w:space="0" w:color="000000"/>
              <w:right w:val="single" w:sz="8" w:space="0" w:color="000000"/>
            </w:tcBorders>
            <w:shd w:val="clear" w:color="auto" w:fill="F2F2F2" w:themeFill="background1" w:themeFillShade="F2"/>
            <w:vAlign w:val="center"/>
            <w:hideMark/>
          </w:tcPr>
          <w:p w14:paraId="46705B33" w14:textId="7D75F795" w:rsidR="00422FF3" w:rsidRPr="00422FF3" w:rsidRDefault="00422FF3" w:rsidP="00D021C4">
            <w:pPr>
              <w:spacing w:after="0" w:line="240" w:lineRule="auto"/>
              <w:rPr>
                <w:rFonts w:ascii="Times New Roman" w:eastAsia="Times New Roman" w:hAnsi="Times New Roman" w:cs="Times New Roman"/>
                <w:b/>
                <w:bCs/>
                <w:color w:val="000000"/>
                <w:sz w:val="20"/>
                <w:szCs w:val="20"/>
              </w:rPr>
            </w:pPr>
            <w:r w:rsidRPr="00422FF3">
              <w:rPr>
                <w:rFonts w:ascii="Times New Roman" w:eastAsia="Times New Roman" w:hAnsi="Times New Roman" w:cs="Times New Roman"/>
                <w:b/>
                <w:bCs/>
                <w:color w:val="000000"/>
                <w:sz w:val="20"/>
                <w:szCs w:val="20"/>
              </w:rPr>
              <w:t>Izg</w:t>
            </w:r>
            <w:r w:rsidR="00D021C4">
              <w:rPr>
                <w:rFonts w:ascii="Times New Roman" w:eastAsia="Times New Roman" w:hAnsi="Times New Roman" w:cs="Times New Roman"/>
                <w:b/>
                <w:bCs/>
                <w:color w:val="000000"/>
                <w:sz w:val="20"/>
                <w:szCs w:val="20"/>
              </w:rPr>
              <w:t>lītības un zinātnes ministrija</w:t>
            </w:r>
          </w:p>
        </w:tc>
        <w:tc>
          <w:tcPr>
            <w:tcW w:w="2729" w:type="dxa"/>
            <w:tcBorders>
              <w:top w:val="nil"/>
              <w:left w:val="nil"/>
              <w:bottom w:val="single" w:sz="8" w:space="0" w:color="000000"/>
              <w:right w:val="single" w:sz="8" w:space="0" w:color="000000"/>
            </w:tcBorders>
            <w:shd w:val="clear" w:color="auto" w:fill="auto"/>
            <w:vAlign w:val="center"/>
            <w:hideMark/>
          </w:tcPr>
          <w:p w14:paraId="5F678D5D" w14:textId="77777777"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t>1) Jēkabpils Agrobiznesa koledža</w:t>
            </w:r>
            <w:r w:rsidRPr="00422FF3">
              <w:rPr>
                <w:rFonts w:ascii="Times New Roman" w:eastAsia="Times New Roman" w:hAnsi="Times New Roman" w:cs="Times New Roman"/>
                <w:color w:val="000000"/>
                <w:sz w:val="20"/>
                <w:szCs w:val="20"/>
              </w:rPr>
              <w:br/>
              <w:t>2) Liepājas Jūrniecības koledža</w:t>
            </w:r>
            <w:r w:rsidRPr="00422FF3">
              <w:rPr>
                <w:rFonts w:ascii="Times New Roman" w:eastAsia="Times New Roman" w:hAnsi="Times New Roman" w:cs="Times New Roman"/>
                <w:color w:val="000000"/>
                <w:sz w:val="20"/>
                <w:szCs w:val="20"/>
              </w:rPr>
              <w:br/>
              <w:t>3) Rīgas Celtniecības koledža</w:t>
            </w:r>
            <w:r w:rsidRPr="00422FF3">
              <w:rPr>
                <w:rFonts w:ascii="Times New Roman" w:eastAsia="Times New Roman" w:hAnsi="Times New Roman" w:cs="Times New Roman"/>
                <w:color w:val="000000"/>
                <w:sz w:val="20"/>
                <w:szCs w:val="20"/>
              </w:rPr>
              <w:br/>
              <w:t>4) PIKC "Rīgas Tehniskā koledža"</w:t>
            </w:r>
            <w:r w:rsidRPr="00422FF3">
              <w:rPr>
                <w:rFonts w:ascii="Times New Roman" w:eastAsia="Times New Roman" w:hAnsi="Times New Roman" w:cs="Times New Roman"/>
                <w:color w:val="000000"/>
                <w:sz w:val="20"/>
                <w:szCs w:val="20"/>
              </w:rPr>
              <w:br/>
              <w:t>5) Malnavas koledža</w:t>
            </w:r>
          </w:p>
        </w:tc>
        <w:tc>
          <w:tcPr>
            <w:tcW w:w="1428" w:type="dxa"/>
            <w:tcBorders>
              <w:top w:val="nil"/>
              <w:left w:val="nil"/>
              <w:bottom w:val="single" w:sz="8" w:space="0" w:color="000000"/>
              <w:right w:val="single" w:sz="8" w:space="0" w:color="000000"/>
            </w:tcBorders>
            <w:shd w:val="clear" w:color="auto" w:fill="auto"/>
            <w:vAlign w:val="center"/>
            <w:hideMark/>
          </w:tcPr>
          <w:p w14:paraId="22A720D3" w14:textId="77777777"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t>1) Rīgas 3. arodskola</w:t>
            </w:r>
          </w:p>
        </w:tc>
        <w:tc>
          <w:tcPr>
            <w:tcW w:w="3323" w:type="dxa"/>
            <w:tcBorders>
              <w:top w:val="nil"/>
              <w:left w:val="nil"/>
              <w:bottom w:val="single" w:sz="8" w:space="0" w:color="000000"/>
              <w:right w:val="single" w:sz="8" w:space="0" w:color="000000"/>
            </w:tcBorders>
            <w:shd w:val="clear" w:color="auto" w:fill="auto"/>
            <w:vAlign w:val="center"/>
            <w:hideMark/>
          </w:tcPr>
          <w:p w14:paraId="00A2F1AF" w14:textId="77777777"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t>1) Valmieras tehnikums</w:t>
            </w:r>
            <w:r w:rsidRPr="00422FF3">
              <w:rPr>
                <w:rFonts w:ascii="Times New Roman" w:eastAsia="Times New Roman" w:hAnsi="Times New Roman" w:cs="Times New Roman"/>
                <w:color w:val="000000"/>
                <w:sz w:val="20"/>
                <w:szCs w:val="20"/>
              </w:rPr>
              <w:br/>
              <w:t>2) Daugavpils Būvniecības tehnikums</w:t>
            </w:r>
            <w:r w:rsidRPr="00422FF3">
              <w:rPr>
                <w:rFonts w:ascii="Times New Roman" w:eastAsia="Times New Roman" w:hAnsi="Times New Roman" w:cs="Times New Roman"/>
                <w:color w:val="000000"/>
                <w:sz w:val="20"/>
                <w:szCs w:val="20"/>
              </w:rPr>
              <w:br/>
              <w:t>3) Daugavpils tehnikums</w:t>
            </w:r>
            <w:r w:rsidRPr="00422FF3">
              <w:rPr>
                <w:rFonts w:ascii="Times New Roman" w:eastAsia="Times New Roman" w:hAnsi="Times New Roman" w:cs="Times New Roman"/>
                <w:color w:val="000000"/>
                <w:sz w:val="20"/>
                <w:szCs w:val="20"/>
              </w:rPr>
              <w:br/>
              <w:t>4) Jelgavas Tehnikums</w:t>
            </w:r>
            <w:r w:rsidRPr="00422FF3">
              <w:rPr>
                <w:rFonts w:ascii="Times New Roman" w:eastAsia="Times New Roman" w:hAnsi="Times New Roman" w:cs="Times New Roman"/>
                <w:color w:val="000000"/>
                <w:sz w:val="20"/>
                <w:szCs w:val="20"/>
              </w:rPr>
              <w:br/>
              <w:t>5) PIKC "Liepājas Valsts tehnikums"</w:t>
            </w:r>
            <w:r w:rsidRPr="00422FF3">
              <w:rPr>
                <w:rFonts w:ascii="Times New Roman" w:eastAsia="Times New Roman" w:hAnsi="Times New Roman" w:cs="Times New Roman"/>
                <w:color w:val="000000"/>
                <w:sz w:val="20"/>
                <w:szCs w:val="20"/>
              </w:rPr>
              <w:br/>
              <w:t xml:space="preserve">6) Rēzeknes tehnikums </w:t>
            </w:r>
            <w:r w:rsidRPr="00422FF3">
              <w:rPr>
                <w:rFonts w:ascii="Times New Roman" w:eastAsia="Times New Roman" w:hAnsi="Times New Roman" w:cs="Times New Roman"/>
                <w:color w:val="000000"/>
                <w:sz w:val="20"/>
                <w:szCs w:val="20"/>
              </w:rPr>
              <w:br/>
              <w:t>7) Ventspils Tehnikums</w:t>
            </w:r>
            <w:r w:rsidRPr="00422FF3">
              <w:rPr>
                <w:rFonts w:ascii="Times New Roman" w:eastAsia="Times New Roman" w:hAnsi="Times New Roman" w:cs="Times New Roman"/>
                <w:color w:val="000000"/>
                <w:sz w:val="20"/>
                <w:szCs w:val="20"/>
              </w:rPr>
              <w:br/>
              <w:t>8) PIKC "Rīgas Valsts tehnikums"</w:t>
            </w:r>
            <w:r w:rsidRPr="00422FF3">
              <w:rPr>
                <w:rFonts w:ascii="Times New Roman" w:eastAsia="Times New Roman" w:hAnsi="Times New Roman" w:cs="Times New Roman"/>
                <w:color w:val="000000"/>
                <w:sz w:val="20"/>
                <w:szCs w:val="20"/>
              </w:rPr>
              <w:br/>
              <w:t>9) VSIA "Rīgas Tūrisma un radošās industrijas tehnikums"</w:t>
            </w:r>
            <w:r w:rsidRPr="00422FF3">
              <w:rPr>
                <w:rFonts w:ascii="Times New Roman" w:eastAsia="Times New Roman" w:hAnsi="Times New Roman" w:cs="Times New Roman"/>
                <w:color w:val="000000"/>
                <w:sz w:val="20"/>
                <w:szCs w:val="20"/>
              </w:rPr>
              <w:br/>
              <w:t>10) Rīgas Mākslas un mediju tehnikums</w:t>
            </w:r>
            <w:r w:rsidRPr="00422FF3">
              <w:rPr>
                <w:rFonts w:ascii="Times New Roman" w:eastAsia="Times New Roman" w:hAnsi="Times New Roman" w:cs="Times New Roman"/>
                <w:color w:val="000000"/>
                <w:sz w:val="20"/>
                <w:szCs w:val="20"/>
              </w:rPr>
              <w:br/>
              <w:t>11) Rīgas Stila un modes tehnikums</w:t>
            </w:r>
            <w:r w:rsidRPr="00422FF3">
              <w:rPr>
                <w:rFonts w:ascii="Times New Roman" w:eastAsia="Times New Roman" w:hAnsi="Times New Roman" w:cs="Times New Roman"/>
                <w:color w:val="000000"/>
                <w:sz w:val="20"/>
                <w:szCs w:val="20"/>
              </w:rPr>
              <w:br/>
              <w:t>12) Kuldīgas Tehnoloģiju un tūrisma tehnikums</w:t>
            </w:r>
            <w:r w:rsidRPr="00422FF3">
              <w:rPr>
                <w:rFonts w:ascii="Times New Roman" w:eastAsia="Times New Roman" w:hAnsi="Times New Roman" w:cs="Times New Roman"/>
                <w:color w:val="000000"/>
                <w:sz w:val="20"/>
                <w:szCs w:val="20"/>
              </w:rPr>
              <w:br/>
              <w:t>13) Saldus tehnikums</w:t>
            </w:r>
            <w:r w:rsidRPr="00422FF3">
              <w:rPr>
                <w:rFonts w:ascii="Times New Roman" w:eastAsia="Times New Roman" w:hAnsi="Times New Roman" w:cs="Times New Roman"/>
                <w:color w:val="000000"/>
                <w:sz w:val="20"/>
                <w:szCs w:val="20"/>
              </w:rPr>
              <w:br/>
              <w:t>14) Kandavas Lauksaimniecības tehnikums</w:t>
            </w:r>
            <w:r w:rsidRPr="00422FF3">
              <w:rPr>
                <w:rFonts w:ascii="Times New Roman" w:eastAsia="Times New Roman" w:hAnsi="Times New Roman" w:cs="Times New Roman"/>
                <w:color w:val="000000"/>
                <w:sz w:val="20"/>
                <w:szCs w:val="20"/>
              </w:rPr>
              <w:br/>
              <w:t>15) Ogres tehnikums</w:t>
            </w:r>
            <w:r w:rsidRPr="00422FF3">
              <w:rPr>
                <w:rFonts w:ascii="Times New Roman" w:eastAsia="Times New Roman" w:hAnsi="Times New Roman" w:cs="Times New Roman"/>
                <w:color w:val="000000"/>
                <w:sz w:val="20"/>
                <w:szCs w:val="20"/>
              </w:rPr>
              <w:br/>
              <w:t>16) Smiltenes tehnikums</w:t>
            </w:r>
            <w:r w:rsidRPr="00422FF3">
              <w:rPr>
                <w:rFonts w:ascii="Times New Roman" w:eastAsia="Times New Roman" w:hAnsi="Times New Roman" w:cs="Times New Roman"/>
                <w:color w:val="000000"/>
                <w:sz w:val="20"/>
                <w:szCs w:val="20"/>
              </w:rPr>
              <w:br/>
              <w:t>17) Vidzemes Tehnoloģiju un dizaina tehnikums</w:t>
            </w:r>
          </w:p>
        </w:tc>
        <w:tc>
          <w:tcPr>
            <w:tcW w:w="2715" w:type="dxa"/>
            <w:tcBorders>
              <w:top w:val="nil"/>
              <w:left w:val="nil"/>
              <w:bottom w:val="single" w:sz="8" w:space="0" w:color="000000"/>
              <w:right w:val="single" w:sz="8" w:space="0" w:color="000000"/>
            </w:tcBorders>
            <w:shd w:val="clear" w:color="auto" w:fill="auto"/>
            <w:vAlign w:val="center"/>
            <w:hideMark/>
          </w:tcPr>
          <w:p w14:paraId="061E6E71" w14:textId="77777777"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t>1) Daugavpils Tirdzniecības profesionālā vidusskola</w:t>
            </w:r>
            <w:r w:rsidRPr="00422FF3">
              <w:rPr>
                <w:rFonts w:ascii="Times New Roman" w:eastAsia="Times New Roman" w:hAnsi="Times New Roman" w:cs="Times New Roman"/>
                <w:color w:val="000000"/>
                <w:sz w:val="20"/>
                <w:szCs w:val="20"/>
              </w:rPr>
              <w:br/>
              <w:t>2) Rīgas Tirdzniecības profesionālā vidusskola</w:t>
            </w:r>
            <w:r w:rsidRPr="00422FF3">
              <w:rPr>
                <w:rFonts w:ascii="Times New Roman" w:eastAsia="Times New Roman" w:hAnsi="Times New Roman" w:cs="Times New Roman"/>
                <w:color w:val="000000"/>
                <w:sz w:val="20"/>
                <w:szCs w:val="20"/>
              </w:rPr>
              <w:br/>
              <w:t>3) Aizkraukles Profesionālā vidusskola</w:t>
            </w:r>
          </w:p>
        </w:tc>
        <w:tc>
          <w:tcPr>
            <w:tcW w:w="1559" w:type="dxa"/>
            <w:tcBorders>
              <w:top w:val="nil"/>
              <w:left w:val="nil"/>
              <w:bottom w:val="single" w:sz="8" w:space="0" w:color="000000"/>
              <w:right w:val="single" w:sz="8" w:space="0" w:color="000000"/>
            </w:tcBorders>
            <w:shd w:val="clear" w:color="auto" w:fill="auto"/>
            <w:vAlign w:val="center"/>
            <w:hideMark/>
          </w:tcPr>
          <w:p w14:paraId="587F8A71" w14:textId="77777777"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t> </w:t>
            </w:r>
          </w:p>
        </w:tc>
        <w:tc>
          <w:tcPr>
            <w:tcW w:w="971" w:type="dxa"/>
            <w:tcBorders>
              <w:top w:val="nil"/>
              <w:left w:val="nil"/>
              <w:bottom w:val="single" w:sz="8" w:space="0" w:color="000000"/>
              <w:right w:val="single" w:sz="8" w:space="0" w:color="auto"/>
            </w:tcBorders>
            <w:shd w:val="clear" w:color="auto" w:fill="auto"/>
            <w:vAlign w:val="center"/>
            <w:hideMark/>
          </w:tcPr>
          <w:p w14:paraId="2FEEE887" w14:textId="77777777" w:rsidR="00422FF3" w:rsidRPr="00422FF3" w:rsidRDefault="00422FF3" w:rsidP="00422FF3">
            <w:pPr>
              <w:spacing w:after="0" w:line="240" w:lineRule="auto"/>
              <w:jc w:val="center"/>
              <w:rPr>
                <w:rFonts w:ascii="Times New Roman" w:eastAsia="Times New Roman" w:hAnsi="Times New Roman" w:cs="Times New Roman"/>
                <w:b/>
                <w:bCs/>
                <w:color w:val="000000"/>
                <w:sz w:val="20"/>
                <w:szCs w:val="20"/>
              </w:rPr>
            </w:pPr>
            <w:r w:rsidRPr="00422FF3">
              <w:rPr>
                <w:rFonts w:ascii="Times New Roman" w:eastAsia="Times New Roman" w:hAnsi="Times New Roman" w:cs="Times New Roman"/>
                <w:b/>
                <w:bCs/>
                <w:color w:val="000000"/>
                <w:sz w:val="20"/>
                <w:szCs w:val="20"/>
              </w:rPr>
              <w:t>26</w:t>
            </w:r>
          </w:p>
        </w:tc>
      </w:tr>
      <w:tr w:rsidR="00422FF3" w:rsidRPr="00422FF3" w14:paraId="53435E37" w14:textId="77777777" w:rsidTr="001F3273">
        <w:trPr>
          <w:trHeight w:val="600"/>
        </w:trPr>
        <w:tc>
          <w:tcPr>
            <w:tcW w:w="452" w:type="dxa"/>
            <w:vMerge/>
            <w:tcBorders>
              <w:top w:val="nil"/>
              <w:left w:val="single" w:sz="4" w:space="0" w:color="auto"/>
              <w:bottom w:val="nil"/>
              <w:right w:val="single" w:sz="8" w:space="0" w:color="auto"/>
            </w:tcBorders>
            <w:shd w:val="clear" w:color="auto" w:fill="F2F2F2" w:themeFill="background1" w:themeFillShade="F2"/>
            <w:vAlign w:val="center"/>
            <w:hideMark/>
          </w:tcPr>
          <w:p w14:paraId="7763C5AC" w14:textId="77777777" w:rsidR="00422FF3" w:rsidRPr="00422FF3" w:rsidRDefault="00422FF3" w:rsidP="00422FF3">
            <w:pPr>
              <w:spacing w:after="0" w:line="240" w:lineRule="auto"/>
              <w:rPr>
                <w:rFonts w:ascii="Times New Roman" w:eastAsia="Times New Roman" w:hAnsi="Times New Roman" w:cs="Times New Roman"/>
                <w:b/>
                <w:bCs/>
                <w:color w:val="000000"/>
                <w:sz w:val="20"/>
                <w:szCs w:val="20"/>
              </w:rPr>
            </w:pPr>
          </w:p>
        </w:tc>
        <w:tc>
          <w:tcPr>
            <w:tcW w:w="1272" w:type="dxa"/>
            <w:tcBorders>
              <w:top w:val="nil"/>
              <w:left w:val="nil"/>
              <w:bottom w:val="single" w:sz="8" w:space="0" w:color="000000"/>
              <w:right w:val="single" w:sz="8" w:space="0" w:color="000000"/>
            </w:tcBorders>
            <w:shd w:val="clear" w:color="auto" w:fill="F2F2F2" w:themeFill="background1" w:themeFillShade="F2"/>
            <w:vAlign w:val="center"/>
            <w:hideMark/>
          </w:tcPr>
          <w:p w14:paraId="49A34FE5" w14:textId="5005A274" w:rsidR="00422FF3" w:rsidRPr="00422FF3" w:rsidRDefault="00D021C4" w:rsidP="00D021C4">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Iekšlietu ministrija</w:t>
            </w:r>
          </w:p>
        </w:tc>
        <w:tc>
          <w:tcPr>
            <w:tcW w:w="2729" w:type="dxa"/>
            <w:tcBorders>
              <w:top w:val="nil"/>
              <w:left w:val="nil"/>
              <w:bottom w:val="single" w:sz="8" w:space="0" w:color="000000"/>
              <w:right w:val="single" w:sz="8" w:space="0" w:color="000000"/>
            </w:tcBorders>
            <w:shd w:val="clear" w:color="auto" w:fill="auto"/>
            <w:vAlign w:val="center"/>
            <w:hideMark/>
          </w:tcPr>
          <w:p w14:paraId="193CDA23" w14:textId="77777777"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t>1) Valsts policijas koledža</w:t>
            </w:r>
          </w:p>
        </w:tc>
        <w:tc>
          <w:tcPr>
            <w:tcW w:w="1428" w:type="dxa"/>
            <w:tcBorders>
              <w:top w:val="nil"/>
              <w:left w:val="nil"/>
              <w:bottom w:val="single" w:sz="8" w:space="0" w:color="000000"/>
              <w:right w:val="single" w:sz="8" w:space="0" w:color="000000"/>
            </w:tcBorders>
            <w:shd w:val="clear" w:color="auto" w:fill="auto"/>
            <w:vAlign w:val="center"/>
            <w:hideMark/>
          </w:tcPr>
          <w:p w14:paraId="4E89314D" w14:textId="77777777"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t> </w:t>
            </w:r>
          </w:p>
        </w:tc>
        <w:tc>
          <w:tcPr>
            <w:tcW w:w="3323" w:type="dxa"/>
            <w:tcBorders>
              <w:top w:val="nil"/>
              <w:left w:val="nil"/>
              <w:bottom w:val="single" w:sz="8" w:space="0" w:color="000000"/>
              <w:right w:val="single" w:sz="8" w:space="0" w:color="000000"/>
            </w:tcBorders>
            <w:shd w:val="clear" w:color="auto" w:fill="auto"/>
            <w:vAlign w:val="center"/>
            <w:hideMark/>
          </w:tcPr>
          <w:p w14:paraId="003546D8" w14:textId="77777777"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t> </w:t>
            </w:r>
          </w:p>
        </w:tc>
        <w:tc>
          <w:tcPr>
            <w:tcW w:w="2715" w:type="dxa"/>
            <w:tcBorders>
              <w:top w:val="nil"/>
              <w:left w:val="nil"/>
              <w:bottom w:val="single" w:sz="8" w:space="0" w:color="000000"/>
              <w:right w:val="single" w:sz="8" w:space="0" w:color="000000"/>
            </w:tcBorders>
            <w:shd w:val="clear" w:color="auto" w:fill="auto"/>
            <w:vAlign w:val="center"/>
            <w:hideMark/>
          </w:tcPr>
          <w:p w14:paraId="16EB8737" w14:textId="77777777"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t> </w:t>
            </w:r>
          </w:p>
        </w:tc>
        <w:tc>
          <w:tcPr>
            <w:tcW w:w="1559" w:type="dxa"/>
            <w:tcBorders>
              <w:top w:val="nil"/>
              <w:left w:val="nil"/>
              <w:bottom w:val="single" w:sz="8" w:space="0" w:color="000000"/>
              <w:right w:val="single" w:sz="8" w:space="0" w:color="000000"/>
            </w:tcBorders>
            <w:shd w:val="clear" w:color="auto" w:fill="auto"/>
            <w:vAlign w:val="center"/>
            <w:hideMark/>
          </w:tcPr>
          <w:p w14:paraId="64AF0C0A" w14:textId="77777777"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t> </w:t>
            </w:r>
          </w:p>
        </w:tc>
        <w:tc>
          <w:tcPr>
            <w:tcW w:w="971" w:type="dxa"/>
            <w:tcBorders>
              <w:top w:val="nil"/>
              <w:left w:val="nil"/>
              <w:bottom w:val="single" w:sz="8" w:space="0" w:color="000000"/>
              <w:right w:val="single" w:sz="8" w:space="0" w:color="auto"/>
            </w:tcBorders>
            <w:shd w:val="clear" w:color="auto" w:fill="auto"/>
            <w:vAlign w:val="center"/>
            <w:hideMark/>
          </w:tcPr>
          <w:p w14:paraId="2A6DD9A5" w14:textId="77777777" w:rsidR="00422FF3" w:rsidRPr="00422FF3" w:rsidRDefault="00422FF3" w:rsidP="00422FF3">
            <w:pPr>
              <w:spacing w:after="0" w:line="240" w:lineRule="auto"/>
              <w:jc w:val="center"/>
              <w:rPr>
                <w:rFonts w:ascii="Times New Roman" w:eastAsia="Times New Roman" w:hAnsi="Times New Roman" w:cs="Times New Roman"/>
                <w:b/>
                <w:bCs/>
                <w:color w:val="000000"/>
                <w:sz w:val="20"/>
                <w:szCs w:val="20"/>
              </w:rPr>
            </w:pPr>
            <w:r w:rsidRPr="00422FF3">
              <w:rPr>
                <w:rFonts w:ascii="Times New Roman" w:eastAsia="Times New Roman" w:hAnsi="Times New Roman" w:cs="Times New Roman"/>
                <w:b/>
                <w:bCs/>
                <w:color w:val="000000"/>
                <w:sz w:val="20"/>
                <w:szCs w:val="20"/>
              </w:rPr>
              <w:t>1</w:t>
            </w:r>
          </w:p>
        </w:tc>
      </w:tr>
      <w:tr w:rsidR="00422FF3" w:rsidRPr="00422FF3" w14:paraId="3AC79F4D" w14:textId="77777777" w:rsidTr="00563F65">
        <w:trPr>
          <w:trHeight w:val="732"/>
        </w:trPr>
        <w:tc>
          <w:tcPr>
            <w:tcW w:w="452" w:type="dxa"/>
            <w:vMerge/>
            <w:tcBorders>
              <w:top w:val="nil"/>
              <w:left w:val="single" w:sz="4" w:space="0" w:color="auto"/>
              <w:bottom w:val="nil"/>
              <w:right w:val="single" w:sz="8" w:space="0" w:color="auto"/>
            </w:tcBorders>
            <w:shd w:val="clear" w:color="auto" w:fill="F2F2F2" w:themeFill="background1" w:themeFillShade="F2"/>
            <w:vAlign w:val="center"/>
            <w:hideMark/>
          </w:tcPr>
          <w:p w14:paraId="5A824490" w14:textId="77777777" w:rsidR="00422FF3" w:rsidRPr="00422FF3" w:rsidRDefault="00422FF3" w:rsidP="00422FF3">
            <w:pPr>
              <w:spacing w:after="0" w:line="240" w:lineRule="auto"/>
              <w:rPr>
                <w:rFonts w:ascii="Times New Roman" w:eastAsia="Times New Roman" w:hAnsi="Times New Roman" w:cs="Times New Roman"/>
                <w:b/>
                <w:bCs/>
                <w:color w:val="000000"/>
                <w:sz w:val="20"/>
                <w:szCs w:val="20"/>
              </w:rPr>
            </w:pPr>
          </w:p>
        </w:tc>
        <w:tc>
          <w:tcPr>
            <w:tcW w:w="1272" w:type="dxa"/>
            <w:tcBorders>
              <w:top w:val="nil"/>
              <w:left w:val="nil"/>
              <w:bottom w:val="single" w:sz="8" w:space="0" w:color="000000"/>
              <w:right w:val="single" w:sz="8" w:space="0" w:color="000000"/>
            </w:tcBorders>
            <w:shd w:val="clear" w:color="auto" w:fill="F2F2F2" w:themeFill="background1" w:themeFillShade="F2"/>
            <w:vAlign w:val="center"/>
            <w:hideMark/>
          </w:tcPr>
          <w:p w14:paraId="528D2752" w14:textId="077E3F31" w:rsidR="00422FF3" w:rsidRPr="00422FF3" w:rsidRDefault="00D021C4" w:rsidP="00D021C4">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Kultūras ministrija</w:t>
            </w:r>
          </w:p>
        </w:tc>
        <w:tc>
          <w:tcPr>
            <w:tcW w:w="2729" w:type="dxa"/>
            <w:tcBorders>
              <w:top w:val="nil"/>
              <w:left w:val="nil"/>
              <w:bottom w:val="single" w:sz="8" w:space="0" w:color="000000"/>
              <w:right w:val="single" w:sz="8" w:space="0" w:color="000000"/>
            </w:tcBorders>
            <w:shd w:val="clear" w:color="auto" w:fill="auto"/>
            <w:vAlign w:val="center"/>
            <w:hideMark/>
          </w:tcPr>
          <w:p w14:paraId="0C2A5AEB" w14:textId="77777777"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t> </w:t>
            </w:r>
          </w:p>
        </w:tc>
        <w:tc>
          <w:tcPr>
            <w:tcW w:w="1428" w:type="dxa"/>
            <w:tcBorders>
              <w:top w:val="nil"/>
              <w:left w:val="nil"/>
              <w:bottom w:val="single" w:sz="8" w:space="0" w:color="000000"/>
              <w:right w:val="single" w:sz="8" w:space="0" w:color="000000"/>
            </w:tcBorders>
            <w:shd w:val="clear" w:color="auto" w:fill="auto"/>
            <w:vAlign w:val="center"/>
            <w:hideMark/>
          </w:tcPr>
          <w:p w14:paraId="4FEEB2F3" w14:textId="77777777"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t> </w:t>
            </w:r>
          </w:p>
        </w:tc>
        <w:tc>
          <w:tcPr>
            <w:tcW w:w="3323" w:type="dxa"/>
            <w:tcBorders>
              <w:top w:val="nil"/>
              <w:left w:val="nil"/>
              <w:bottom w:val="single" w:sz="8" w:space="0" w:color="000000"/>
              <w:right w:val="single" w:sz="8" w:space="0" w:color="000000"/>
            </w:tcBorders>
            <w:shd w:val="clear" w:color="auto" w:fill="auto"/>
            <w:vAlign w:val="center"/>
            <w:hideMark/>
          </w:tcPr>
          <w:p w14:paraId="1353FC5B" w14:textId="77777777"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t>1) PIKC "Ventspils Mūzikas vidusskola"</w:t>
            </w:r>
            <w:r w:rsidRPr="00422FF3">
              <w:rPr>
                <w:rFonts w:ascii="Times New Roman" w:eastAsia="Times New Roman" w:hAnsi="Times New Roman" w:cs="Times New Roman"/>
                <w:color w:val="000000"/>
                <w:sz w:val="20"/>
                <w:szCs w:val="20"/>
              </w:rPr>
              <w:br/>
              <w:t>2) PIKC "Liepājas Mūzikas, mākslas un dizaina vidusskola"</w:t>
            </w:r>
            <w:r w:rsidRPr="00422FF3">
              <w:rPr>
                <w:rFonts w:ascii="Times New Roman" w:eastAsia="Times New Roman" w:hAnsi="Times New Roman" w:cs="Times New Roman"/>
                <w:color w:val="000000"/>
                <w:sz w:val="20"/>
                <w:szCs w:val="20"/>
              </w:rPr>
              <w:br/>
              <w:t>3) PIKC "Rīgas Dizaina un mākslas vidusskola"</w:t>
            </w:r>
            <w:r w:rsidRPr="00422FF3">
              <w:rPr>
                <w:rFonts w:ascii="Times New Roman" w:eastAsia="Times New Roman" w:hAnsi="Times New Roman" w:cs="Times New Roman"/>
                <w:color w:val="000000"/>
                <w:sz w:val="20"/>
                <w:szCs w:val="20"/>
              </w:rPr>
              <w:br/>
              <w:t>4) PIKC "Nacionālā Mākslu vidusskola"</w:t>
            </w:r>
          </w:p>
        </w:tc>
        <w:tc>
          <w:tcPr>
            <w:tcW w:w="2715" w:type="dxa"/>
            <w:tcBorders>
              <w:top w:val="nil"/>
              <w:left w:val="nil"/>
              <w:bottom w:val="single" w:sz="8" w:space="0" w:color="000000"/>
              <w:right w:val="single" w:sz="8" w:space="0" w:color="000000"/>
            </w:tcBorders>
            <w:shd w:val="clear" w:color="auto" w:fill="auto"/>
            <w:vAlign w:val="center"/>
            <w:hideMark/>
          </w:tcPr>
          <w:p w14:paraId="1804EE00" w14:textId="77777777"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br/>
              <w:t>1) Staņislava Broka Daugavpils Mūzikas vidusskola</w:t>
            </w:r>
            <w:r w:rsidRPr="00422FF3">
              <w:rPr>
                <w:rFonts w:ascii="Times New Roman" w:eastAsia="Times New Roman" w:hAnsi="Times New Roman" w:cs="Times New Roman"/>
                <w:color w:val="000000"/>
                <w:sz w:val="20"/>
                <w:szCs w:val="20"/>
              </w:rPr>
              <w:br/>
              <w:t>2) Jelgavas Mūzikas vidusskola</w:t>
            </w:r>
            <w:r w:rsidRPr="00422FF3">
              <w:rPr>
                <w:rFonts w:ascii="Times New Roman" w:eastAsia="Times New Roman" w:hAnsi="Times New Roman" w:cs="Times New Roman"/>
                <w:color w:val="000000"/>
                <w:sz w:val="20"/>
                <w:szCs w:val="20"/>
              </w:rPr>
              <w:br/>
              <w:t>3) Jāņa Ivanova Rēzeknes mūzikas vidusskola</w:t>
            </w:r>
            <w:r w:rsidRPr="00422FF3">
              <w:rPr>
                <w:rFonts w:ascii="Times New Roman" w:eastAsia="Times New Roman" w:hAnsi="Times New Roman" w:cs="Times New Roman"/>
                <w:color w:val="000000"/>
                <w:sz w:val="20"/>
                <w:szCs w:val="20"/>
              </w:rPr>
              <w:br/>
              <w:t>4) Rēzeknes Mākslas un dizaina vidusskola</w:t>
            </w:r>
            <w:r w:rsidRPr="00422FF3">
              <w:rPr>
                <w:rFonts w:ascii="Times New Roman" w:eastAsia="Times New Roman" w:hAnsi="Times New Roman" w:cs="Times New Roman"/>
                <w:color w:val="000000"/>
                <w:sz w:val="20"/>
                <w:szCs w:val="20"/>
              </w:rPr>
              <w:br/>
            </w:r>
            <w:r w:rsidRPr="00422FF3">
              <w:rPr>
                <w:rFonts w:ascii="Times New Roman" w:eastAsia="Times New Roman" w:hAnsi="Times New Roman" w:cs="Times New Roman"/>
                <w:color w:val="000000"/>
                <w:sz w:val="20"/>
                <w:szCs w:val="20"/>
              </w:rPr>
              <w:lastRenderedPageBreak/>
              <w:t>5) Jāzepa Mediņa Rīgas Mūzikas vidusskola</w:t>
            </w:r>
            <w:r w:rsidRPr="00422FF3">
              <w:rPr>
                <w:rFonts w:ascii="Times New Roman" w:eastAsia="Times New Roman" w:hAnsi="Times New Roman" w:cs="Times New Roman"/>
                <w:color w:val="000000"/>
                <w:sz w:val="20"/>
                <w:szCs w:val="20"/>
              </w:rPr>
              <w:br/>
              <w:t>6) Alfrēda Kalniņa Cēsu Mūzikas vidusskola</w:t>
            </w:r>
          </w:p>
        </w:tc>
        <w:tc>
          <w:tcPr>
            <w:tcW w:w="1559" w:type="dxa"/>
            <w:tcBorders>
              <w:top w:val="nil"/>
              <w:left w:val="nil"/>
              <w:bottom w:val="single" w:sz="8" w:space="0" w:color="000000"/>
              <w:right w:val="single" w:sz="8" w:space="0" w:color="000000"/>
            </w:tcBorders>
            <w:shd w:val="clear" w:color="auto" w:fill="auto"/>
            <w:vAlign w:val="center"/>
            <w:hideMark/>
          </w:tcPr>
          <w:p w14:paraId="102B3FA8" w14:textId="77777777"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lastRenderedPageBreak/>
              <w:t> </w:t>
            </w:r>
          </w:p>
        </w:tc>
        <w:tc>
          <w:tcPr>
            <w:tcW w:w="971" w:type="dxa"/>
            <w:tcBorders>
              <w:top w:val="nil"/>
              <w:left w:val="nil"/>
              <w:bottom w:val="single" w:sz="8" w:space="0" w:color="000000"/>
              <w:right w:val="single" w:sz="8" w:space="0" w:color="auto"/>
            </w:tcBorders>
            <w:shd w:val="clear" w:color="auto" w:fill="auto"/>
            <w:vAlign w:val="center"/>
            <w:hideMark/>
          </w:tcPr>
          <w:p w14:paraId="6635D8B6" w14:textId="77777777" w:rsidR="00422FF3" w:rsidRPr="00422FF3" w:rsidRDefault="00422FF3" w:rsidP="00422FF3">
            <w:pPr>
              <w:spacing w:after="0" w:line="240" w:lineRule="auto"/>
              <w:jc w:val="center"/>
              <w:rPr>
                <w:rFonts w:ascii="Times New Roman" w:eastAsia="Times New Roman" w:hAnsi="Times New Roman" w:cs="Times New Roman"/>
                <w:b/>
                <w:bCs/>
                <w:color w:val="000000"/>
                <w:sz w:val="20"/>
                <w:szCs w:val="20"/>
              </w:rPr>
            </w:pPr>
            <w:r w:rsidRPr="00422FF3">
              <w:rPr>
                <w:rFonts w:ascii="Times New Roman" w:eastAsia="Times New Roman" w:hAnsi="Times New Roman" w:cs="Times New Roman"/>
                <w:b/>
                <w:bCs/>
                <w:color w:val="000000"/>
                <w:sz w:val="20"/>
                <w:szCs w:val="20"/>
              </w:rPr>
              <w:t>10</w:t>
            </w:r>
          </w:p>
        </w:tc>
      </w:tr>
      <w:tr w:rsidR="00422FF3" w:rsidRPr="00422FF3" w14:paraId="2A3845E6" w14:textId="77777777" w:rsidTr="001F3273">
        <w:trPr>
          <w:trHeight w:val="600"/>
        </w:trPr>
        <w:tc>
          <w:tcPr>
            <w:tcW w:w="452" w:type="dxa"/>
            <w:vMerge/>
            <w:tcBorders>
              <w:top w:val="nil"/>
              <w:left w:val="single" w:sz="4" w:space="0" w:color="auto"/>
              <w:bottom w:val="nil"/>
              <w:right w:val="single" w:sz="8" w:space="0" w:color="auto"/>
            </w:tcBorders>
            <w:shd w:val="clear" w:color="auto" w:fill="F2F2F2" w:themeFill="background1" w:themeFillShade="F2"/>
            <w:vAlign w:val="center"/>
            <w:hideMark/>
          </w:tcPr>
          <w:p w14:paraId="17371701" w14:textId="77777777" w:rsidR="00422FF3" w:rsidRPr="00422FF3" w:rsidRDefault="00422FF3" w:rsidP="00422FF3">
            <w:pPr>
              <w:spacing w:after="0" w:line="240" w:lineRule="auto"/>
              <w:rPr>
                <w:rFonts w:ascii="Times New Roman" w:eastAsia="Times New Roman" w:hAnsi="Times New Roman" w:cs="Times New Roman"/>
                <w:b/>
                <w:bCs/>
                <w:color w:val="000000"/>
                <w:sz w:val="20"/>
                <w:szCs w:val="20"/>
              </w:rPr>
            </w:pPr>
          </w:p>
        </w:tc>
        <w:tc>
          <w:tcPr>
            <w:tcW w:w="1272" w:type="dxa"/>
            <w:tcBorders>
              <w:top w:val="single" w:sz="4" w:space="0" w:color="auto"/>
              <w:left w:val="nil"/>
              <w:bottom w:val="single" w:sz="8" w:space="0" w:color="000000"/>
              <w:right w:val="single" w:sz="8" w:space="0" w:color="000000"/>
            </w:tcBorders>
            <w:shd w:val="clear" w:color="auto" w:fill="F2F2F2" w:themeFill="background1" w:themeFillShade="F2"/>
            <w:vAlign w:val="center"/>
            <w:hideMark/>
          </w:tcPr>
          <w:p w14:paraId="377A4686" w14:textId="559B3E77" w:rsidR="00422FF3" w:rsidRPr="00422FF3" w:rsidRDefault="00D021C4" w:rsidP="00D021C4">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Labklājības ministrija</w:t>
            </w:r>
          </w:p>
        </w:tc>
        <w:tc>
          <w:tcPr>
            <w:tcW w:w="2729" w:type="dxa"/>
            <w:tcBorders>
              <w:top w:val="single" w:sz="4" w:space="0" w:color="auto"/>
              <w:left w:val="nil"/>
              <w:bottom w:val="single" w:sz="8" w:space="0" w:color="000000"/>
              <w:right w:val="single" w:sz="8" w:space="0" w:color="000000"/>
            </w:tcBorders>
            <w:shd w:val="clear" w:color="auto" w:fill="auto"/>
            <w:vAlign w:val="center"/>
            <w:hideMark/>
          </w:tcPr>
          <w:p w14:paraId="68F04F41" w14:textId="77777777"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t> </w:t>
            </w:r>
          </w:p>
        </w:tc>
        <w:tc>
          <w:tcPr>
            <w:tcW w:w="1428" w:type="dxa"/>
            <w:tcBorders>
              <w:top w:val="single" w:sz="4" w:space="0" w:color="auto"/>
              <w:left w:val="nil"/>
              <w:bottom w:val="single" w:sz="8" w:space="0" w:color="000000"/>
              <w:right w:val="single" w:sz="8" w:space="0" w:color="000000"/>
            </w:tcBorders>
            <w:shd w:val="clear" w:color="auto" w:fill="auto"/>
            <w:vAlign w:val="center"/>
            <w:hideMark/>
          </w:tcPr>
          <w:p w14:paraId="661D62E0" w14:textId="77777777"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t> </w:t>
            </w:r>
          </w:p>
        </w:tc>
        <w:tc>
          <w:tcPr>
            <w:tcW w:w="3323" w:type="dxa"/>
            <w:tcBorders>
              <w:top w:val="single" w:sz="4" w:space="0" w:color="auto"/>
              <w:left w:val="nil"/>
              <w:bottom w:val="single" w:sz="8" w:space="0" w:color="000000"/>
              <w:right w:val="single" w:sz="8" w:space="0" w:color="000000"/>
            </w:tcBorders>
            <w:shd w:val="clear" w:color="auto" w:fill="auto"/>
            <w:vAlign w:val="center"/>
            <w:hideMark/>
          </w:tcPr>
          <w:p w14:paraId="10672BA8" w14:textId="77777777"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t> </w:t>
            </w:r>
          </w:p>
        </w:tc>
        <w:tc>
          <w:tcPr>
            <w:tcW w:w="2715" w:type="dxa"/>
            <w:tcBorders>
              <w:top w:val="single" w:sz="4" w:space="0" w:color="auto"/>
              <w:left w:val="nil"/>
              <w:bottom w:val="single" w:sz="8" w:space="0" w:color="000000"/>
              <w:right w:val="single" w:sz="8" w:space="0" w:color="000000"/>
            </w:tcBorders>
            <w:shd w:val="clear" w:color="auto" w:fill="auto"/>
            <w:vAlign w:val="center"/>
            <w:hideMark/>
          </w:tcPr>
          <w:p w14:paraId="61027E4E" w14:textId="77777777"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t>1) Sociālās integrācijas valsts aģentūras (SIVA) Jūrmalas profesionālā vidusskola</w:t>
            </w:r>
          </w:p>
        </w:tc>
        <w:tc>
          <w:tcPr>
            <w:tcW w:w="1559" w:type="dxa"/>
            <w:tcBorders>
              <w:top w:val="single" w:sz="4" w:space="0" w:color="auto"/>
              <w:left w:val="nil"/>
              <w:bottom w:val="single" w:sz="8" w:space="0" w:color="000000"/>
              <w:right w:val="single" w:sz="8" w:space="0" w:color="000000"/>
            </w:tcBorders>
            <w:shd w:val="clear" w:color="auto" w:fill="auto"/>
            <w:vAlign w:val="center"/>
            <w:hideMark/>
          </w:tcPr>
          <w:p w14:paraId="37B471F8" w14:textId="77777777"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t> </w:t>
            </w:r>
          </w:p>
        </w:tc>
        <w:tc>
          <w:tcPr>
            <w:tcW w:w="971" w:type="dxa"/>
            <w:tcBorders>
              <w:top w:val="single" w:sz="4" w:space="0" w:color="auto"/>
              <w:left w:val="nil"/>
              <w:bottom w:val="single" w:sz="8" w:space="0" w:color="000000"/>
              <w:right w:val="single" w:sz="8" w:space="0" w:color="auto"/>
            </w:tcBorders>
            <w:shd w:val="clear" w:color="auto" w:fill="auto"/>
            <w:vAlign w:val="center"/>
            <w:hideMark/>
          </w:tcPr>
          <w:p w14:paraId="208505B2" w14:textId="77777777" w:rsidR="00422FF3" w:rsidRPr="00422FF3" w:rsidRDefault="00422FF3" w:rsidP="00422FF3">
            <w:pPr>
              <w:spacing w:after="0" w:line="240" w:lineRule="auto"/>
              <w:jc w:val="center"/>
              <w:rPr>
                <w:rFonts w:ascii="Times New Roman" w:eastAsia="Times New Roman" w:hAnsi="Times New Roman" w:cs="Times New Roman"/>
                <w:b/>
                <w:bCs/>
                <w:color w:val="000000"/>
                <w:sz w:val="20"/>
                <w:szCs w:val="20"/>
              </w:rPr>
            </w:pPr>
            <w:r w:rsidRPr="00422FF3">
              <w:rPr>
                <w:rFonts w:ascii="Times New Roman" w:eastAsia="Times New Roman" w:hAnsi="Times New Roman" w:cs="Times New Roman"/>
                <w:b/>
                <w:bCs/>
                <w:color w:val="000000"/>
                <w:sz w:val="20"/>
                <w:szCs w:val="20"/>
              </w:rPr>
              <w:t>1</w:t>
            </w:r>
          </w:p>
        </w:tc>
      </w:tr>
      <w:tr w:rsidR="00422FF3" w:rsidRPr="00422FF3" w14:paraId="74684324" w14:textId="77777777" w:rsidTr="001F3273">
        <w:trPr>
          <w:trHeight w:val="600"/>
        </w:trPr>
        <w:tc>
          <w:tcPr>
            <w:tcW w:w="452" w:type="dxa"/>
            <w:vMerge/>
            <w:tcBorders>
              <w:top w:val="nil"/>
              <w:left w:val="single" w:sz="4" w:space="0" w:color="auto"/>
              <w:bottom w:val="nil"/>
              <w:right w:val="single" w:sz="8" w:space="0" w:color="auto"/>
            </w:tcBorders>
            <w:shd w:val="clear" w:color="auto" w:fill="F2F2F2" w:themeFill="background1" w:themeFillShade="F2"/>
            <w:vAlign w:val="center"/>
            <w:hideMark/>
          </w:tcPr>
          <w:p w14:paraId="4BDE3FED" w14:textId="77777777" w:rsidR="00422FF3" w:rsidRPr="00422FF3" w:rsidRDefault="00422FF3" w:rsidP="00422FF3">
            <w:pPr>
              <w:spacing w:after="0" w:line="240" w:lineRule="auto"/>
              <w:rPr>
                <w:rFonts w:ascii="Times New Roman" w:eastAsia="Times New Roman" w:hAnsi="Times New Roman" w:cs="Times New Roman"/>
                <w:b/>
                <w:bCs/>
                <w:color w:val="000000"/>
                <w:sz w:val="20"/>
                <w:szCs w:val="20"/>
              </w:rPr>
            </w:pPr>
          </w:p>
        </w:tc>
        <w:tc>
          <w:tcPr>
            <w:tcW w:w="1272" w:type="dxa"/>
            <w:tcBorders>
              <w:top w:val="nil"/>
              <w:left w:val="nil"/>
              <w:bottom w:val="single" w:sz="8" w:space="0" w:color="000000"/>
              <w:right w:val="single" w:sz="8" w:space="0" w:color="000000"/>
            </w:tcBorders>
            <w:shd w:val="clear" w:color="auto" w:fill="F2F2F2" w:themeFill="background1" w:themeFillShade="F2"/>
            <w:vAlign w:val="center"/>
            <w:hideMark/>
          </w:tcPr>
          <w:p w14:paraId="284749DB" w14:textId="3AB75931" w:rsidR="00422FF3" w:rsidRPr="00422FF3" w:rsidRDefault="00D021C4" w:rsidP="00D021C4">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Veselības ministrija</w:t>
            </w:r>
          </w:p>
        </w:tc>
        <w:tc>
          <w:tcPr>
            <w:tcW w:w="2729" w:type="dxa"/>
            <w:tcBorders>
              <w:top w:val="nil"/>
              <w:left w:val="nil"/>
              <w:bottom w:val="single" w:sz="8" w:space="0" w:color="000000"/>
              <w:right w:val="single" w:sz="8" w:space="0" w:color="000000"/>
            </w:tcBorders>
            <w:shd w:val="clear" w:color="auto" w:fill="auto"/>
            <w:vAlign w:val="center"/>
            <w:hideMark/>
          </w:tcPr>
          <w:p w14:paraId="51E91978" w14:textId="77777777"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t>1) Rīgas Stradiņa universitātes Sarkanā Krusta medicīnas koledža</w:t>
            </w:r>
          </w:p>
        </w:tc>
        <w:tc>
          <w:tcPr>
            <w:tcW w:w="1428" w:type="dxa"/>
            <w:tcBorders>
              <w:top w:val="nil"/>
              <w:left w:val="nil"/>
              <w:bottom w:val="single" w:sz="8" w:space="0" w:color="000000"/>
              <w:right w:val="single" w:sz="8" w:space="0" w:color="000000"/>
            </w:tcBorders>
            <w:shd w:val="clear" w:color="auto" w:fill="auto"/>
            <w:vAlign w:val="center"/>
            <w:hideMark/>
          </w:tcPr>
          <w:p w14:paraId="7682F24C" w14:textId="77777777"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t> </w:t>
            </w:r>
          </w:p>
        </w:tc>
        <w:tc>
          <w:tcPr>
            <w:tcW w:w="3323" w:type="dxa"/>
            <w:tcBorders>
              <w:top w:val="nil"/>
              <w:left w:val="nil"/>
              <w:bottom w:val="single" w:sz="8" w:space="0" w:color="000000"/>
              <w:right w:val="single" w:sz="8" w:space="0" w:color="000000"/>
            </w:tcBorders>
            <w:shd w:val="clear" w:color="auto" w:fill="auto"/>
            <w:vAlign w:val="center"/>
            <w:hideMark/>
          </w:tcPr>
          <w:p w14:paraId="1896486B" w14:textId="77777777"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t> </w:t>
            </w:r>
          </w:p>
        </w:tc>
        <w:tc>
          <w:tcPr>
            <w:tcW w:w="2715" w:type="dxa"/>
            <w:tcBorders>
              <w:top w:val="nil"/>
              <w:left w:val="nil"/>
              <w:bottom w:val="single" w:sz="8" w:space="0" w:color="000000"/>
              <w:right w:val="single" w:sz="8" w:space="0" w:color="000000"/>
            </w:tcBorders>
            <w:shd w:val="clear" w:color="auto" w:fill="auto"/>
            <w:vAlign w:val="center"/>
            <w:hideMark/>
          </w:tcPr>
          <w:p w14:paraId="5864FF9F" w14:textId="77777777"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t> </w:t>
            </w:r>
          </w:p>
        </w:tc>
        <w:tc>
          <w:tcPr>
            <w:tcW w:w="1559" w:type="dxa"/>
            <w:tcBorders>
              <w:top w:val="nil"/>
              <w:left w:val="nil"/>
              <w:bottom w:val="single" w:sz="8" w:space="0" w:color="000000"/>
              <w:right w:val="single" w:sz="8" w:space="0" w:color="000000"/>
            </w:tcBorders>
            <w:shd w:val="clear" w:color="auto" w:fill="auto"/>
            <w:vAlign w:val="center"/>
            <w:hideMark/>
          </w:tcPr>
          <w:p w14:paraId="35AF4CEE" w14:textId="77777777"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t> </w:t>
            </w:r>
          </w:p>
        </w:tc>
        <w:tc>
          <w:tcPr>
            <w:tcW w:w="971" w:type="dxa"/>
            <w:tcBorders>
              <w:top w:val="nil"/>
              <w:left w:val="nil"/>
              <w:bottom w:val="single" w:sz="8" w:space="0" w:color="000000"/>
              <w:right w:val="single" w:sz="8" w:space="0" w:color="auto"/>
            </w:tcBorders>
            <w:shd w:val="clear" w:color="auto" w:fill="auto"/>
            <w:vAlign w:val="center"/>
            <w:hideMark/>
          </w:tcPr>
          <w:p w14:paraId="21271BF5" w14:textId="77777777" w:rsidR="00422FF3" w:rsidRPr="00422FF3" w:rsidRDefault="00422FF3" w:rsidP="00422FF3">
            <w:pPr>
              <w:spacing w:after="0" w:line="240" w:lineRule="auto"/>
              <w:jc w:val="center"/>
              <w:rPr>
                <w:rFonts w:ascii="Times New Roman" w:eastAsia="Times New Roman" w:hAnsi="Times New Roman" w:cs="Times New Roman"/>
                <w:b/>
                <w:bCs/>
                <w:color w:val="000000"/>
                <w:sz w:val="20"/>
                <w:szCs w:val="20"/>
              </w:rPr>
            </w:pPr>
            <w:r w:rsidRPr="00422FF3">
              <w:rPr>
                <w:rFonts w:ascii="Times New Roman" w:eastAsia="Times New Roman" w:hAnsi="Times New Roman" w:cs="Times New Roman"/>
                <w:b/>
                <w:bCs/>
                <w:color w:val="000000"/>
                <w:sz w:val="20"/>
                <w:szCs w:val="20"/>
              </w:rPr>
              <w:t>1</w:t>
            </w:r>
          </w:p>
        </w:tc>
      </w:tr>
      <w:tr w:rsidR="00422FF3" w:rsidRPr="00422FF3" w14:paraId="29C48DE1" w14:textId="77777777" w:rsidTr="001F3273">
        <w:trPr>
          <w:trHeight w:val="600"/>
        </w:trPr>
        <w:tc>
          <w:tcPr>
            <w:tcW w:w="452" w:type="dxa"/>
            <w:vMerge/>
            <w:tcBorders>
              <w:top w:val="nil"/>
              <w:left w:val="single" w:sz="4" w:space="0" w:color="auto"/>
              <w:bottom w:val="nil"/>
              <w:right w:val="single" w:sz="8" w:space="0" w:color="auto"/>
            </w:tcBorders>
            <w:shd w:val="clear" w:color="auto" w:fill="F2F2F2" w:themeFill="background1" w:themeFillShade="F2"/>
            <w:vAlign w:val="center"/>
            <w:hideMark/>
          </w:tcPr>
          <w:p w14:paraId="5EE4C4AC" w14:textId="77777777" w:rsidR="00422FF3" w:rsidRPr="00422FF3" w:rsidRDefault="00422FF3" w:rsidP="00422FF3">
            <w:pPr>
              <w:spacing w:after="0" w:line="240" w:lineRule="auto"/>
              <w:rPr>
                <w:rFonts w:ascii="Times New Roman" w:eastAsia="Times New Roman" w:hAnsi="Times New Roman" w:cs="Times New Roman"/>
                <w:b/>
                <w:bCs/>
                <w:color w:val="000000"/>
                <w:sz w:val="20"/>
                <w:szCs w:val="20"/>
              </w:rPr>
            </w:pPr>
          </w:p>
        </w:tc>
        <w:tc>
          <w:tcPr>
            <w:tcW w:w="1272" w:type="dxa"/>
            <w:tcBorders>
              <w:top w:val="nil"/>
              <w:left w:val="nil"/>
              <w:bottom w:val="nil"/>
              <w:right w:val="single" w:sz="8" w:space="0" w:color="000000"/>
            </w:tcBorders>
            <w:shd w:val="clear" w:color="auto" w:fill="F2F2F2" w:themeFill="background1" w:themeFillShade="F2"/>
            <w:vAlign w:val="center"/>
            <w:hideMark/>
          </w:tcPr>
          <w:p w14:paraId="0959D96C" w14:textId="2BE91675" w:rsidR="00422FF3" w:rsidRPr="00422FF3" w:rsidRDefault="00D021C4" w:rsidP="00D021C4">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Zemkopības ministrija</w:t>
            </w:r>
          </w:p>
        </w:tc>
        <w:tc>
          <w:tcPr>
            <w:tcW w:w="2729" w:type="dxa"/>
            <w:tcBorders>
              <w:top w:val="nil"/>
              <w:left w:val="nil"/>
              <w:bottom w:val="single" w:sz="8" w:space="0" w:color="000000"/>
              <w:right w:val="single" w:sz="8" w:space="0" w:color="000000"/>
            </w:tcBorders>
            <w:shd w:val="clear" w:color="auto" w:fill="auto"/>
            <w:vAlign w:val="center"/>
            <w:hideMark/>
          </w:tcPr>
          <w:p w14:paraId="56F6BD07" w14:textId="64AB09E9"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p>
        </w:tc>
        <w:tc>
          <w:tcPr>
            <w:tcW w:w="1428" w:type="dxa"/>
            <w:tcBorders>
              <w:top w:val="nil"/>
              <w:left w:val="nil"/>
              <w:bottom w:val="single" w:sz="8" w:space="0" w:color="000000"/>
              <w:right w:val="single" w:sz="8" w:space="0" w:color="000000"/>
            </w:tcBorders>
            <w:shd w:val="clear" w:color="auto" w:fill="auto"/>
            <w:vAlign w:val="center"/>
            <w:hideMark/>
          </w:tcPr>
          <w:p w14:paraId="52BEA99B" w14:textId="77777777"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t> </w:t>
            </w:r>
          </w:p>
        </w:tc>
        <w:tc>
          <w:tcPr>
            <w:tcW w:w="3323" w:type="dxa"/>
            <w:tcBorders>
              <w:top w:val="nil"/>
              <w:left w:val="nil"/>
              <w:bottom w:val="single" w:sz="8" w:space="0" w:color="000000"/>
              <w:right w:val="single" w:sz="8" w:space="0" w:color="000000"/>
            </w:tcBorders>
            <w:shd w:val="clear" w:color="auto" w:fill="auto"/>
            <w:vAlign w:val="center"/>
            <w:hideMark/>
          </w:tcPr>
          <w:p w14:paraId="777D8702" w14:textId="77777777"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t> </w:t>
            </w:r>
          </w:p>
        </w:tc>
        <w:tc>
          <w:tcPr>
            <w:tcW w:w="2715" w:type="dxa"/>
            <w:tcBorders>
              <w:top w:val="nil"/>
              <w:left w:val="nil"/>
              <w:bottom w:val="single" w:sz="8" w:space="0" w:color="000000"/>
              <w:right w:val="single" w:sz="8" w:space="0" w:color="000000"/>
            </w:tcBorders>
            <w:shd w:val="clear" w:color="auto" w:fill="auto"/>
            <w:vAlign w:val="center"/>
            <w:hideMark/>
          </w:tcPr>
          <w:p w14:paraId="25B1408E" w14:textId="10A81CD2" w:rsidR="00422FF3" w:rsidRPr="00422FF3" w:rsidRDefault="00B6196A"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t>1) SIA "Bulduru Dārzkopības vidusskola"</w:t>
            </w:r>
            <w:r w:rsidR="00422FF3" w:rsidRPr="00422FF3">
              <w:rPr>
                <w:rFonts w:ascii="Times New Roman" w:eastAsia="Times New Roman" w:hAnsi="Times New Roman" w:cs="Times New Roman"/>
                <w:color w:val="000000"/>
                <w:sz w:val="20"/>
                <w:szCs w:val="20"/>
              </w:rPr>
              <w:t> </w:t>
            </w:r>
          </w:p>
        </w:tc>
        <w:tc>
          <w:tcPr>
            <w:tcW w:w="1559" w:type="dxa"/>
            <w:tcBorders>
              <w:top w:val="nil"/>
              <w:left w:val="nil"/>
              <w:bottom w:val="single" w:sz="8" w:space="0" w:color="000000"/>
              <w:right w:val="single" w:sz="8" w:space="0" w:color="000000"/>
            </w:tcBorders>
            <w:shd w:val="clear" w:color="auto" w:fill="auto"/>
            <w:vAlign w:val="center"/>
            <w:hideMark/>
          </w:tcPr>
          <w:p w14:paraId="1C063F8F" w14:textId="77777777"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t> </w:t>
            </w:r>
          </w:p>
        </w:tc>
        <w:tc>
          <w:tcPr>
            <w:tcW w:w="971" w:type="dxa"/>
            <w:tcBorders>
              <w:top w:val="nil"/>
              <w:left w:val="nil"/>
              <w:bottom w:val="nil"/>
              <w:right w:val="single" w:sz="8" w:space="0" w:color="auto"/>
            </w:tcBorders>
            <w:shd w:val="clear" w:color="auto" w:fill="auto"/>
            <w:vAlign w:val="center"/>
            <w:hideMark/>
          </w:tcPr>
          <w:p w14:paraId="36C11EBA" w14:textId="77777777" w:rsidR="00422FF3" w:rsidRPr="00422FF3" w:rsidRDefault="00422FF3" w:rsidP="00422FF3">
            <w:pPr>
              <w:spacing w:after="0" w:line="240" w:lineRule="auto"/>
              <w:jc w:val="center"/>
              <w:rPr>
                <w:rFonts w:ascii="Times New Roman" w:eastAsia="Times New Roman" w:hAnsi="Times New Roman" w:cs="Times New Roman"/>
                <w:b/>
                <w:bCs/>
                <w:color w:val="000000"/>
                <w:sz w:val="20"/>
                <w:szCs w:val="20"/>
              </w:rPr>
            </w:pPr>
            <w:r w:rsidRPr="00422FF3">
              <w:rPr>
                <w:rFonts w:ascii="Times New Roman" w:eastAsia="Times New Roman" w:hAnsi="Times New Roman" w:cs="Times New Roman"/>
                <w:b/>
                <w:bCs/>
                <w:color w:val="000000"/>
                <w:sz w:val="20"/>
                <w:szCs w:val="20"/>
              </w:rPr>
              <w:t>1</w:t>
            </w:r>
          </w:p>
        </w:tc>
      </w:tr>
      <w:tr w:rsidR="00422FF3" w:rsidRPr="00422FF3" w14:paraId="45D1AB0B" w14:textId="77777777" w:rsidTr="001F3273">
        <w:trPr>
          <w:trHeight w:val="3600"/>
        </w:trPr>
        <w:tc>
          <w:tcPr>
            <w:tcW w:w="1724"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7483AF13" w14:textId="2FC3E60D" w:rsidR="00422FF3" w:rsidRPr="00422FF3" w:rsidRDefault="00422FF3" w:rsidP="00422FF3">
            <w:pPr>
              <w:spacing w:after="0" w:line="240" w:lineRule="auto"/>
              <w:jc w:val="center"/>
              <w:rPr>
                <w:rFonts w:ascii="Times New Roman" w:eastAsia="Times New Roman" w:hAnsi="Times New Roman" w:cs="Times New Roman"/>
                <w:b/>
                <w:bCs/>
                <w:color w:val="000000"/>
                <w:sz w:val="20"/>
                <w:szCs w:val="20"/>
              </w:rPr>
            </w:pPr>
            <w:r w:rsidRPr="00422FF3">
              <w:rPr>
                <w:rFonts w:ascii="Times New Roman" w:eastAsia="Times New Roman" w:hAnsi="Times New Roman" w:cs="Times New Roman"/>
                <w:b/>
                <w:bCs/>
                <w:color w:val="000000"/>
                <w:sz w:val="20"/>
                <w:szCs w:val="20"/>
              </w:rPr>
              <w:t>Fiziskas vai juridiska</w:t>
            </w:r>
            <w:r w:rsidR="00EB13A5">
              <w:rPr>
                <w:rFonts w:ascii="Times New Roman" w:eastAsia="Times New Roman" w:hAnsi="Times New Roman" w:cs="Times New Roman"/>
                <w:b/>
                <w:bCs/>
                <w:color w:val="000000"/>
                <w:sz w:val="20"/>
                <w:szCs w:val="20"/>
              </w:rPr>
              <w:t>s</w:t>
            </w:r>
            <w:r w:rsidRPr="00422FF3">
              <w:rPr>
                <w:rFonts w:ascii="Times New Roman" w:eastAsia="Times New Roman" w:hAnsi="Times New Roman" w:cs="Times New Roman"/>
                <w:b/>
                <w:bCs/>
                <w:color w:val="000000"/>
                <w:sz w:val="20"/>
                <w:szCs w:val="20"/>
              </w:rPr>
              <w:t xml:space="preserve"> personas dibinātas izglītības iestādes</w:t>
            </w:r>
          </w:p>
        </w:tc>
        <w:tc>
          <w:tcPr>
            <w:tcW w:w="2729" w:type="dxa"/>
            <w:tcBorders>
              <w:top w:val="nil"/>
              <w:left w:val="nil"/>
              <w:bottom w:val="single" w:sz="8" w:space="0" w:color="000000"/>
              <w:right w:val="single" w:sz="8" w:space="0" w:color="000000"/>
            </w:tcBorders>
            <w:shd w:val="clear" w:color="auto" w:fill="auto"/>
            <w:vAlign w:val="center"/>
            <w:hideMark/>
          </w:tcPr>
          <w:p w14:paraId="7AE070E6" w14:textId="77777777"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t>1) Daugavpils Universitātes aģentūra "Daugavpils Universitātes Daugavpils medicīnas koledža"</w:t>
            </w:r>
            <w:r w:rsidRPr="00422FF3">
              <w:rPr>
                <w:rFonts w:ascii="Times New Roman" w:eastAsia="Times New Roman" w:hAnsi="Times New Roman" w:cs="Times New Roman"/>
                <w:color w:val="000000"/>
                <w:sz w:val="20"/>
                <w:szCs w:val="20"/>
              </w:rPr>
              <w:br/>
              <w:t>2) Latvijas Universitātes aģentūra "Latvijas Universitātes Rīgas 1. medicīnas koledža"</w:t>
            </w:r>
            <w:r w:rsidRPr="00422FF3">
              <w:rPr>
                <w:rFonts w:ascii="Times New Roman" w:eastAsia="Times New Roman" w:hAnsi="Times New Roman" w:cs="Times New Roman"/>
                <w:color w:val="000000"/>
                <w:sz w:val="20"/>
                <w:szCs w:val="20"/>
              </w:rPr>
              <w:br/>
              <w:t>3) Banku augstskolas Uzņēmējdarbības koledža</w:t>
            </w:r>
            <w:r w:rsidRPr="00422FF3">
              <w:rPr>
                <w:rFonts w:ascii="Times New Roman" w:eastAsia="Times New Roman" w:hAnsi="Times New Roman" w:cs="Times New Roman"/>
                <w:color w:val="000000"/>
                <w:sz w:val="20"/>
                <w:szCs w:val="20"/>
              </w:rPr>
              <w:br/>
              <w:t>4) Rīgas Tehniskās universitātes aģentūra "Rīgas Tehniskās universitātes Olaines Tehnoloģiju koledža"</w:t>
            </w:r>
            <w:r w:rsidRPr="00422FF3">
              <w:rPr>
                <w:rFonts w:ascii="Times New Roman" w:eastAsia="Times New Roman" w:hAnsi="Times New Roman" w:cs="Times New Roman"/>
                <w:color w:val="000000"/>
                <w:sz w:val="20"/>
                <w:szCs w:val="20"/>
              </w:rPr>
              <w:br/>
              <w:t xml:space="preserve">5)  Latvijas Jūras akadēmijas Jūrskola </w:t>
            </w:r>
          </w:p>
        </w:tc>
        <w:tc>
          <w:tcPr>
            <w:tcW w:w="1428" w:type="dxa"/>
            <w:tcBorders>
              <w:top w:val="nil"/>
              <w:left w:val="nil"/>
              <w:bottom w:val="single" w:sz="8" w:space="0" w:color="000000"/>
              <w:right w:val="single" w:sz="8" w:space="0" w:color="000000"/>
            </w:tcBorders>
            <w:shd w:val="clear" w:color="auto" w:fill="auto"/>
            <w:vAlign w:val="center"/>
            <w:hideMark/>
          </w:tcPr>
          <w:p w14:paraId="0F581148" w14:textId="77777777"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t> </w:t>
            </w:r>
          </w:p>
        </w:tc>
        <w:tc>
          <w:tcPr>
            <w:tcW w:w="3323" w:type="dxa"/>
            <w:tcBorders>
              <w:top w:val="nil"/>
              <w:left w:val="nil"/>
              <w:bottom w:val="single" w:sz="8" w:space="0" w:color="000000"/>
              <w:right w:val="single" w:sz="8" w:space="0" w:color="000000"/>
            </w:tcBorders>
            <w:shd w:val="clear" w:color="auto" w:fill="auto"/>
            <w:vAlign w:val="center"/>
            <w:hideMark/>
          </w:tcPr>
          <w:p w14:paraId="409BB605" w14:textId="77777777"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t> </w:t>
            </w:r>
          </w:p>
        </w:tc>
        <w:tc>
          <w:tcPr>
            <w:tcW w:w="2715" w:type="dxa"/>
            <w:tcBorders>
              <w:top w:val="nil"/>
              <w:left w:val="nil"/>
              <w:bottom w:val="single" w:sz="8" w:space="0" w:color="000000"/>
              <w:right w:val="single" w:sz="8" w:space="0" w:color="000000"/>
            </w:tcBorders>
            <w:shd w:val="clear" w:color="auto" w:fill="auto"/>
            <w:vAlign w:val="center"/>
            <w:hideMark/>
          </w:tcPr>
          <w:p w14:paraId="30A2C6DE" w14:textId="77777777"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br/>
              <w:t>1) Skaistumkopšanas profesionālā vidusskola "BEAUTY SCHOOL"</w:t>
            </w:r>
            <w:r w:rsidRPr="00422FF3">
              <w:rPr>
                <w:rFonts w:ascii="Times New Roman" w:eastAsia="Times New Roman" w:hAnsi="Times New Roman" w:cs="Times New Roman"/>
                <w:color w:val="000000"/>
                <w:sz w:val="20"/>
                <w:szCs w:val="20"/>
              </w:rPr>
              <w:br/>
              <w:t>2) Profesionālā vidusskola "RIMAN"</w:t>
            </w:r>
            <w:r w:rsidRPr="00422FF3">
              <w:rPr>
                <w:rFonts w:ascii="Times New Roman" w:eastAsia="Times New Roman" w:hAnsi="Times New Roman" w:cs="Times New Roman"/>
                <w:color w:val="000000"/>
                <w:sz w:val="20"/>
                <w:szCs w:val="20"/>
              </w:rPr>
              <w:br/>
              <w:t>3) Starptautiskā CIDESCO Rīgas Kosmētikas skola</w:t>
            </w:r>
            <w:r w:rsidRPr="00422FF3">
              <w:rPr>
                <w:rFonts w:ascii="Times New Roman" w:eastAsia="Times New Roman" w:hAnsi="Times New Roman" w:cs="Times New Roman"/>
                <w:color w:val="000000"/>
                <w:sz w:val="20"/>
                <w:szCs w:val="20"/>
              </w:rPr>
              <w:br/>
              <w:t>4) Profesionālā stilistu skola</w:t>
            </w:r>
            <w:r w:rsidRPr="00422FF3">
              <w:rPr>
                <w:rFonts w:ascii="Times New Roman" w:eastAsia="Times New Roman" w:hAnsi="Times New Roman" w:cs="Times New Roman"/>
                <w:color w:val="000000"/>
                <w:sz w:val="20"/>
                <w:szCs w:val="20"/>
              </w:rPr>
              <w:br/>
              <w:t>5) Profesionālā vidusskola "Victoria"</w:t>
            </w:r>
            <w:r w:rsidRPr="00422FF3">
              <w:rPr>
                <w:rFonts w:ascii="Times New Roman" w:eastAsia="Times New Roman" w:hAnsi="Times New Roman" w:cs="Times New Roman"/>
                <w:color w:val="000000"/>
                <w:sz w:val="20"/>
                <w:szCs w:val="20"/>
              </w:rPr>
              <w:br/>
              <w:t>6) Ģenerāļa Pētera Radziņa Staiceles Sporta profesionālā vidusskola</w:t>
            </w:r>
          </w:p>
        </w:tc>
        <w:tc>
          <w:tcPr>
            <w:tcW w:w="1559" w:type="dxa"/>
            <w:tcBorders>
              <w:top w:val="nil"/>
              <w:left w:val="nil"/>
              <w:bottom w:val="single" w:sz="8" w:space="0" w:color="000000"/>
              <w:right w:val="nil"/>
            </w:tcBorders>
            <w:shd w:val="clear" w:color="auto" w:fill="auto"/>
            <w:vAlign w:val="center"/>
            <w:hideMark/>
          </w:tcPr>
          <w:p w14:paraId="6FB3FF73" w14:textId="77777777"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t> </w:t>
            </w:r>
          </w:p>
        </w:tc>
        <w:tc>
          <w:tcPr>
            <w:tcW w:w="9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5BBF95" w14:textId="77777777" w:rsidR="00422FF3" w:rsidRPr="00422FF3" w:rsidRDefault="00422FF3" w:rsidP="00422FF3">
            <w:pPr>
              <w:spacing w:after="0" w:line="240" w:lineRule="auto"/>
              <w:jc w:val="center"/>
              <w:rPr>
                <w:rFonts w:ascii="Times New Roman" w:eastAsia="Times New Roman" w:hAnsi="Times New Roman" w:cs="Times New Roman"/>
                <w:b/>
                <w:bCs/>
                <w:color w:val="000000"/>
                <w:sz w:val="20"/>
                <w:szCs w:val="20"/>
              </w:rPr>
            </w:pPr>
            <w:r w:rsidRPr="00422FF3">
              <w:rPr>
                <w:rFonts w:ascii="Times New Roman" w:eastAsia="Times New Roman" w:hAnsi="Times New Roman" w:cs="Times New Roman"/>
                <w:b/>
                <w:bCs/>
                <w:color w:val="000000"/>
                <w:sz w:val="20"/>
                <w:szCs w:val="20"/>
              </w:rPr>
              <w:t>11</w:t>
            </w:r>
          </w:p>
        </w:tc>
      </w:tr>
      <w:tr w:rsidR="00422FF3" w:rsidRPr="00422FF3" w14:paraId="35A8920A" w14:textId="77777777" w:rsidTr="001F3273">
        <w:trPr>
          <w:trHeight w:val="1800"/>
        </w:trPr>
        <w:tc>
          <w:tcPr>
            <w:tcW w:w="1724"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79B9EC3" w14:textId="77777777" w:rsidR="00422FF3" w:rsidRPr="00422FF3" w:rsidRDefault="00422FF3" w:rsidP="00422FF3">
            <w:pPr>
              <w:spacing w:after="0" w:line="240" w:lineRule="auto"/>
              <w:jc w:val="center"/>
              <w:rPr>
                <w:rFonts w:ascii="Times New Roman" w:eastAsia="Times New Roman" w:hAnsi="Times New Roman" w:cs="Times New Roman"/>
                <w:b/>
                <w:bCs/>
                <w:color w:val="000000"/>
                <w:sz w:val="20"/>
                <w:szCs w:val="20"/>
              </w:rPr>
            </w:pPr>
            <w:r w:rsidRPr="00422FF3">
              <w:rPr>
                <w:rFonts w:ascii="Times New Roman" w:eastAsia="Times New Roman" w:hAnsi="Times New Roman" w:cs="Times New Roman"/>
                <w:b/>
                <w:bCs/>
                <w:color w:val="000000"/>
                <w:sz w:val="20"/>
                <w:szCs w:val="20"/>
              </w:rPr>
              <w:t>Pašvaldības dibinātas izglītības iestādes</w:t>
            </w:r>
          </w:p>
        </w:tc>
        <w:tc>
          <w:tcPr>
            <w:tcW w:w="2729" w:type="dxa"/>
            <w:tcBorders>
              <w:top w:val="single" w:sz="4" w:space="0" w:color="auto"/>
              <w:left w:val="nil"/>
              <w:bottom w:val="single" w:sz="8" w:space="0" w:color="000000"/>
              <w:right w:val="single" w:sz="8" w:space="0" w:color="000000"/>
            </w:tcBorders>
            <w:shd w:val="clear" w:color="auto" w:fill="auto"/>
            <w:vAlign w:val="center"/>
            <w:hideMark/>
          </w:tcPr>
          <w:p w14:paraId="4826698B" w14:textId="77777777"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t> </w:t>
            </w:r>
          </w:p>
        </w:tc>
        <w:tc>
          <w:tcPr>
            <w:tcW w:w="1428" w:type="dxa"/>
            <w:tcBorders>
              <w:top w:val="single" w:sz="4" w:space="0" w:color="auto"/>
              <w:left w:val="nil"/>
              <w:bottom w:val="single" w:sz="8" w:space="0" w:color="000000"/>
              <w:right w:val="single" w:sz="8" w:space="0" w:color="000000"/>
            </w:tcBorders>
            <w:shd w:val="clear" w:color="auto" w:fill="auto"/>
            <w:vAlign w:val="center"/>
            <w:hideMark/>
          </w:tcPr>
          <w:p w14:paraId="04ABD703" w14:textId="77777777"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t> </w:t>
            </w:r>
          </w:p>
        </w:tc>
        <w:tc>
          <w:tcPr>
            <w:tcW w:w="3323" w:type="dxa"/>
            <w:tcBorders>
              <w:top w:val="single" w:sz="4" w:space="0" w:color="auto"/>
              <w:left w:val="nil"/>
              <w:bottom w:val="single" w:sz="8" w:space="0" w:color="000000"/>
              <w:right w:val="single" w:sz="8" w:space="0" w:color="000000"/>
            </w:tcBorders>
            <w:shd w:val="clear" w:color="auto" w:fill="auto"/>
            <w:vAlign w:val="center"/>
            <w:hideMark/>
          </w:tcPr>
          <w:p w14:paraId="4F643594" w14:textId="77777777"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t>1) PIKC "Daugavpils Dizaina un mākslas vidusskola "Saules skola""</w:t>
            </w:r>
          </w:p>
        </w:tc>
        <w:tc>
          <w:tcPr>
            <w:tcW w:w="2715" w:type="dxa"/>
            <w:tcBorders>
              <w:top w:val="single" w:sz="4" w:space="0" w:color="auto"/>
              <w:left w:val="nil"/>
              <w:bottom w:val="single" w:sz="8" w:space="0" w:color="000000"/>
              <w:right w:val="single" w:sz="8" w:space="0" w:color="000000"/>
            </w:tcBorders>
            <w:shd w:val="clear" w:color="auto" w:fill="auto"/>
            <w:vAlign w:val="center"/>
            <w:hideMark/>
          </w:tcPr>
          <w:p w14:paraId="52683E0A" w14:textId="77777777"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t>1) Jelgavas Amatu vidusskola</w:t>
            </w:r>
            <w:r w:rsidRPr="00422FF3">
              <w:rPr>
                <w:rFonts w:ascii="Times New Roman" w:eastAsia="Times New Roman" w:hAnsi="Times New Roman" w:cs="Times New Roman"/>
                <w:color w:val="000000"/>
                <w:sz w:val="20"/>
                <w:szCs w:val="20"/>
              </w:rPr>
              <w:br/>
              <w:t>2) Balvu profesionālā un vispārizglītojošā vidusskola</w:t>
            </w:r>
            <w:r w:rsidRPr="00422FF3">
              <w:rPr>
                <w:rFonts w:ascii="Times New Roman" w:eastAsia="Times New Roman" w:hAnsi="Times New Roman" w:cs="Times New Roman"/>
                <w:color w:val="000000"/>
                <w:sz w:val="20"/>
                <w:szCs w:val="20"/>
              </w:rPr>
              <w:br/>
              <w:t>3) Dobeles Amatniecības un vispārizglītojošā vidusskola</w:t>
            </w:r>
            <w:r w:rsidRPr="00422FF3">
              <w:rPr>
                <w:rFonts w:ascii="Times New Roman" w:eastAsia="Times New Roman" w:hAnsi="Times New Roman" w:cs="Times New Roman"/>
                <w:color w:val="000000"/>
                <w:sz w:val="20"/>
                <w:szCs w:val="20"/>
              </w:rPr>
              <w:br/>
              <w:t>4) Valmieras Dizaina un mākslas vidusskola</w:t>
            </w:r>
          </w:p>
        </w:tc>
        <w:tc>
          <w:tcPr>
            <w:tcW w:w="1559" w:type="dxa"/>
            <w:tcBorders>
              <w:top w:val="single" w:sz="4" w:space="0" w:color="auto"/>
              <w:left w:val="nil"/>
              <w:bottom w:val="single" w:sz="8" w:space="0" w:color="000000"/>
              <w:right w:val="single" w:sz="8" w:space="0" w:color="000000"/>
            </w:tcBorders>
            <w:shd w:val="clear" w:color="auto" w:fill="auto"/>
            <w:vAlign w:val="center"/>
            <w:hideMark/>
          </w:tcPr>
          <w:p w14:paraId="0420E638" w14:textId="77777777" w:rsidR="00422FF3" w:rsidRPr="00422FF3" w:rsidRDefault="00422FF3" w:rsidP="00422FF3">
            <w:pPr>
              <w:spacing w:after="0" w:line="240" w:lineRule="auto"/>
              <w:jc w:val="center"/>
              <w:rPr>
                <w:rFonts w:ascii="Times New Roman" w:eastAsia="Times New Roman" w:hAnsi="Times New Roman" w:cs="Times New Roman"/>
                <w:color w:val="000000"/>
                <w:sz w:val="20"/>
                <w:szCs w:val="20"/>
              </w:rPr>
            </w:pPr>
            <w:r w:rsidRPr="00422FF3">
              <w:rPr>
                <w:rFonts w:ascii="Times New Roman" w:eastAsia="Times New Roman" w:hAnsi="Times New Roman" w:cs="Times New Roman"/>
                <w:color w:val="000000"/>
                <w:sz w:val="20"/>
                <w:szCs w:val="20"/>
              </w:rPr>
              <w:t>1) Bebrenes vispārizglītojošā un profesionālā vidusskola</w:t>
            </w:r>
            <w:r w:rsidRPr="00422FF3">
              <w:rPr>
                <w:rFonts w:ascii="Times New Roman" w:eastAsia="Times New Roman" w:hAnsi="Times New Roman" w:cs="Times New Roman"/>
                <w:color w:val="000000"/>
                <w:sz w:val="20"/>
                <w:szCs w:val="20"/>
              </w:rPr>
              <w:br/>
              <w:t>2) Zaļenieku komerciālā un amatniecības vidusskola</w:t>
            </w:r>
          </w:p>
        </w:tc>
        <w:tc>
          <w:tcPr>
            <w:tcW w:w="971" w:type="dxa"/>
            <w:tcBorders>
              <w:top w:val="single" w:sz="4" w:space="0" w:color="auto"/>
              <w:left w:val="nil"/>
              <w:bottom w:val="single" w:sz="8" w:space="0" w:color="000000"/>
              <w:right w:val="single" w:sz="8" w:space="0" w:color="auto"/>
            </w:tcBorders>
            <w:shd w:val="clear" w:color="auto" w:fill="auto"/>
            <w:vAlign w:val="center"/>
            <w:hideMark/>
          </w:tcPr>
          <w:p w14:paraId="7D2CAAFC" w14:textId="77777777" w:rsidR="00422FF3" w:rsidRPr="00422FF3" w:rsidRDefault="00422FF3" w:rsidP="00422FF3">
            <w:pPr>
              <w:spacing w:after="0" w:line="240" w:lineRule="auto"/>
              <w:jc w:val="center"/>
              <w:rPr>
                <w:rFonts w:ascii="Times New Roman" w:eastAsia="Times New Roman" w:hAnsi="Times New Roman" w:cs="Times New Roman"/>
                <w:b/>
                <w:bCs/>
                <w:color w:val="000000"/>
                <w:sz w:val="20"/>
                <w:szCs w:val="20"/>
              </w:rPr>
            </w:pPr>
            <w:r w:rsidRPr="00422FF3">
              <w:rPr>
                <w:rFonts w:ascii="Times New Roman" w:eastAsia="Times New Roman" w:hAnsi="Times New Roman" w:cs="Times New Roman"/>
                <w:b/>
                <w:bCs/>
                <w:color w:val="000000"/>
                <w:sz w:val="20"/>
                <w:szCs w:val="20"/>
              </w:rPr>
              <w:t>7</w:t>
            </w:r>
          </w:p>
        </w:tc>
      </w:tr>
      <w:tr w:rsidR="00422FF3" w:rsidRPr="00422FF3" w14:paraId="0433C605" w14:textId="77777777" w:rsidTr="001F3273">
        <w:trPr>
          <w:trHeight w:val="600"/>
        </w:trPr>
        <w:tc>
          <w:tcPr>
            <w:tcW w:w="1724"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1EF7534A" w14:textId="77777777" w:rsidR="00422FF3" w:rsidRPr="00422FF3" w:rsidRDefault="00422FF3" w:rsidP="00422FF3">
            <w:pPr>
              <w:spacing w:after="0" w:line="240" w:lineRule="auto"/>
              <w:jc w:val="center"/>
              <w:rPr>
                <w:rFonts w:ascii="Times New Roman" w:eastAsia="Times New Roman" w:hAnsi="Times New Roman" w:cs="Times New Roman"/>
                <w:b/>
                <w:bCs/>
                <w:color w:val="000000"/>
                <w:sz w:val="20"/>
                <w:szCs w:val="20"/>
              </w:rPr>
            </w:pPr>
            <w:r w:rsidRPr="00422FF3">
              <w:rPr>
                <w:rFonts w:ascii="Times New Roman" w:eastAsia="Times New Roman" w:hAnsi="Times New Roman" w:cs="Times New Roman"/>
                <w:b/>
                <w:bCs/>
                <w:color w:val="000000"/>
                <w:sz w:val="20"/>
                <w:szCs w:val="20"/>
              </w:rPr>
              <w:t>Kopā:</w:t>
            </w:r>
          </w:p>
        </w:tc>
        <w:tc>
          <w:tcPr>
            <w:tcW w:w="2729" w:type="dxa"/>
            <w:tcBorders>
              <w:top w:val="nil"/>
              <w:left w:val="nil"/>
              <w:bottom w:val="single" w:sz="8" w:space="0" w:color="auto"/>
              <w:right w:val="single" w:sz="8" w:space="0" w:color="000000"/>
            </w:tcBorders>
            <w:shd w:val="clear" w:color="000000" w:fill="F2F2F2"/>
            <w:vAlign w:val="center"/>
            <w:hideMark/>
          </w:tcPr>
          <w:p w14:paraId="11430691" w14:textId="1EB1BB53" w:rsidR="00422FF3" w:rsidRPr="00422FF3" w:rsidRDefault="00B6196A" w:rsidP="00422FF3">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w:t>
            </w:r>
          </w:p>
        </w:tc>
        <w:tc>
          <w:tcPr>
            <w:tcW w:w="1428" w:type="dxa"/>
            <w:tcBorders>
              <w:top w:val="nil"/>
              <w:left w:val="nil"/>
              <w:bottom w:val="single" w:sz="8" w:space="0" w:color="auto"/>
              <w:right w:val="single" w:sz="8" w:space="0" w:color="000000"/>
            </w:tcBorders>
            <w:shd w:val="clear" w:color="000000" w:fill="F2F2F2"/>
            <w:vAlign w:val="center"/>
            <w:hideMark/>
          </w:tcPr>
          <w:p w14:paraId="535FA37E" w14:textId="77777777" w:rsidR="00422FF3" w:rsidRPr="008E4ECE" w:rsidRDefault="00422FF3" w:rsidP="00422FF3">
            <w:pPr>
              <w:spacing w:after="0" w:line="240" w:lineRule="auto"/>
              <w:jc w:val="center"/>
              <w:rPr>
                <w:rFonts w:ascii="Times New Roman" w:eastAsia="Times New Roman" w:hAnsi="Times New Roman" w:cs="Times New Roman"/>
                <w:b/>
                <w:bCs/>
                <w:color w:val="000000"/>
                <w:sz w:val="20"/>
                <w:szCs w:val="20"/>
              </w:rPr>
            </w:pPr>
            <w:r w:rsidRPr="008E4ECE">
              <w:rPr>
                <w:rFonts w:ascii="Times New Roman" w:eastAsia="Times New Roman" w:hAnsi="Times New Roman" w:cs="Times New Roman"/>
                <w:b/>
                <w:bCs/>
                <w:color w:val="000000"/>
                <w:sz w:val="20"/>
                <w:szCs w:val="20"/>
              </w:rPr>
              <w:t>1</w:t>
            </w:r>
          </w:p>
        </w:tc>
        <w:tc>
          <w:tcPr>
            <w:tcW w:w="3323" w:type="dxa"/>
            <w:tcBorders>
              <w:top w:val="nil"/>
              <w:left w:val="nil"/>
              <w:bottom w:val="single" w:sz="8" w:space="0" w:color="auto"/>
              <w:right w:val="single" w:sz="8" w:space="0" w:color="000000"/>
            </w:tcBorders>
            <w:shd w:val="clear" w:color="000000" w:fill="F2F2F2"/>
            <w:vAlign w:val="center"/>
            <w:hideMark/>
          </w:tcPr>
          <w:p w14:paraId="1710092B" w14:textId="77777777" w:rsidR="00422FF3" w:rsidRPr="008E4ECE" w:rsidRDefault="00422FF3" w:rsidP="00422FF3">
            <w:pPr>
              <w:spacing w:after="0" w:line="240" w:lineRule="auto"/>
              <w:jc w:val="center"/>
              <w:rPr>
                <w:rFonts w:ascii="Times New Roman" w:eastAsia="Times New Roman" w:hAnsi="Times New Roman" w:cs="Times New Roman"/>
                <w:b/>
                <w:bCs/>
                <w:color w:val="000000"/>
                <w:sz w:val="20"/>
                <w:szCs w:val="20"/>
              </w:rPr>
            </w:pPr>
            <w:r w:rsidRPr="008E4ECE">
              <w:rPr>
                <w:rFonts w:ascii="Times New Roman" w:eastAsia="Times New Roman" w:hAnsi="Times New Roman" w:cs="Times New Roman"/>
                <w:b/>
                <w:bCs/>
                <w:color w:val="000000"/>
                <w:sz w:val="20"/>
                <w:szCs w:val="20"/>
              </w:rPr>
              <w:t>22</w:t>
            </w:r>
          </w:p>
        </w:tc>
        <w:tc>
          <w:tcPr>
            <w:tcW w:w="2715" w:type="dxa"/>
            <w:tcBorders>
              <w:top w:val="nil"/>
              <w:left w:val="nil"/>
              <w:bottom w:val="single" w:sz="8" w:space="0" w:color="auto"/>
              <w:right w:val="single" w:sz="8" w:space="0" w:color="000000"/>
            </w:tcBorders>
            <w:shd w:val="clear" w:color="000000" w:fill="F2F2F2"/>
            <w:vAlign w:val="center"/>
            <w:hideMark/>
          </w:tcPr>
          <w:p w14:paraId="5D3C7BC7" w14:textId="05722C63" w:rsidR="00422FF3" w:rsidRPr="008E4ECE" w:rsidRDefault="00B6196A" w:rsidP="00422FF3">
            <w:pPr>
              <w:spacing w:after="0" w:line="240" w:lineRule="auto"/>
              <w:jc w:val="center"/>
              <w:rPr>
                <w:rFonts w:ascii="Times New Roman" w:eastAsia="Times New Roman" w:hAnsi="Times New Roman" w:cs="Times New Roman"/>
                <w:b/>
                <w:bCs/>
                <w:color w:val="000000"/>
                <w:sz w:val="20"/>
                <w:szCs w:val="20"/>
              </w:rPr>
            </w:pPr>
            <w:r w:rsidRPr="008E4ECE">
              <w:rPr>
                <w:rFonts w:ascii="Times New Roman" w:eastAsia="Times New Roman" w:hAnsi="Times New Roman" w:cs="Times New Roman"/>
                <w:b/>
                <w:bCs/>
                <w:color w:val="000000"/>
                <w:sz w:val="20"/>
                <w:szCs w:val="20"/>
              </w:rPr>
              <w:t>21</w:t>
            </w:r>
          </w:p>
        </w:tc>
        <w:tc>
          <w:tcPr>
            <w:tcW w:w="1559" w:type="dxa"/>
            <w:tcBorders>
              <w:top w:val="nil"/>
              <w:left w:val="nil"/>
              <w:bottom w:val="single" w:sz="8" w:space="0" w:color="auto"/>
              <w:right w:val="single" w:sz="8" w:space="0" w:color="000000"/>
            </w:tcBorders>
            <w:shd w:val="clear" w:color="000000" w:fill="F2F2F2"/>
            <w:vAlign w:val="center"/>
            <w:hideMark/>
          </w:tcPr>
          <w:p w14:paraId="7465743B" w14:textId="77777777" w:rsidR="00422FF3" w:rsidRPr="008E4ECE" w:rsidRDefault="00422FF3" w:rsidP="00422FF3">
            <w:pPr>
              <w:spacing w:after="0" w:line="240" w:lineRule="auto"/>
              <w:jc w:val="center"/>
              <w:rPr>
                <w:rFonts w:ascii="Times New Roman" w:eastAsia="Times New Roman" w:hAnsi="Times New Roman" w:cs="Times New Roman"/>
                <w:b/>
                <w:bCs/>
                <w:color w:val="000000"/>
                <w:sz w:val="20"/>
                <w:szCs w:val="20"/>
              </w:rPr>
            </w:pPr>
            <w:r w:rsidRPr="008E4ECE">
              <w:rPr>
                <w:rFonts w:ascii="Times New Roman" w:eastAsia="Times New Roman" w:hAnsi="Times New Roman" w:cs="Times New Roman"/>
                <w:b/>
                <w:bCs/>
                <w:color w:val="000000"/>
                <w:sz w:val="20"/>
                <w:szCs w:val="20"/>
              </w:rPr>
              <w:t>2</w:t>
            </w:r>
          </w:p>
        </w:tc>
        <w:tc>
          <w:tcPr>
            <w:tcW w:w="971" w:type="dxa"/>
            <w:tcBorders>
              <w:top w:val="nil"/>
              <w:left w:val="nil"/>
              <w:bottom w:val="single" w:sz="8" w:space="0" w:color="auto"/>
              <w:right w:val="single" w:sz="8" w:space="0" w:color="auto"/>
            </w:tcBorders>
            <w:shd w:val="clear" w:color="000000" w:fill="F2F2F2"/>
            <w:vAlign w:val="center"/>
            <w:hideMark/>
          </w:tcPr>
          <w:p w14:paraId="7328EDB2" w14:textId="77777777" w:rsidR="00422FF3" w:rsidRPr="00422FF3" w:rsidRDefault="00422FF3" w:rsidP="00422FF3">
            <w:pPr>
              <w:spacing w:after="0" w:line="240" w:lineRule="auto"/>
              <w:jc w:val="center"/>
              <w:rPr>
                <w:rFonts w:ascii="Times New Roman" w:eastAsia="Times New Roman" w:hAnsi="Times New Roman" w:cs="Times New Roman"/>
                <w:b/>
                <w:bCs/>
                <w:color w:val="000000"/>
                <w:sz w:val="20"/>
                <w:szCs w:val="20"/>
              </w:rPr>
            </w:pPr>
            <w:r w:rsidRPr="00422FF3">
              <w:rPr>
                <w:rFonts w:ascii="Times New Roman" w:eastAsia="Times New Roman" w:hAnsi="Times New Roman" w:cs="Times New Roman"/>
                <w:b/>
                <w:bCs/>
                <w:color w:val="000000"/>
                <w:sz w:val="20"/>
                <w:szCs w:val="20"/>
              </w:rPr>
              <w:t>58</w:t>
            </w:r>
          </w:p>
        </w:tc>
      </w:tr>
    </w:tbl>
    <w:p w14:paraId="7883B83B" w14:textId="7AA55273" w:rsidR="00422FF3" w:rsidRPr="007107C5" w:rsidRDefault="007107C5" w:rsidP="007107C5">
      <w:pPr>
        <w:spacing w:after="120" w:line="276" w:lineRule="auto"/>
        <w:ind w:firstLine="714"/>
        <w:jc w:val="both"/>
        <w:rPr>
          <w:rFonts w:ascii="Times New Roman" w:eastAsia="Times New Roman" w:hAnsi="Times New Roman" w:cs="Times New Roman"/>
          <w:szCs w:val="24"/>
        </w:rPr>
      </w:pPr>
      <w:r w:rsidRPr="00A757CC">
        <w:rPr>
          <w:rFonts w:ascii="Times New Roman" w:eastAsia="Times New Roman" w:hAnsi="Times New Roman" w:cs="Times New Roman"/>
          <w:szCs w:val="24"/>
        </w:rPr>
        <w:t xml:space="preserve">Datu avots: </w:t>
      </w:r>
      <w:r w:rsidR="00A757CC" w:rsidRPr="00A757CC">
        <w:rPr>
          <w:rFonts w:ascii="Times New Roman" w:eastAsia="Times New Roman" w:hAnsi="Times New Roman" w:cs="Times New Roman"/>
          <w:szCs w:val="24"/>
        </w:rPr>
        <w:t>VIIS operatīvā informācija uz 01.10.2019</w:t>
      </w:r>
      <w:r w:rsidRPr="00A757CC">
        <w:rPr>
          <w:rFonts w:ascii="Times New Roman" w:eastAsia="Times New Roman" w:hAnsi="Times New Roman" w:cs="Times New Roman"/>
          <w:szCs w:val="24"/>
        </w:rPr>
        <w:t>.</w:t>
      </w:r>
    </w:p>
    <w:p w14:paraId="189FAB69" w14:textId="60D0FE09" w:rsidR="002E19DC" w:rsidRPr="00D841DF" w:rsidRDefault="00D841DF" w:rsidP="00D841DF">
      <w:pPr>
        <w:pStyle w:val="Caption"/>
        <w:jc w:val="right"/>
        <w:rPr>
          <w:rFonts w:ascii="Times New Roman" w:eastAsia="Times New Roman" w:hAnsi="Times New Roman" w:cs="Times New Roman"/>
          <w:b/>
          <w:bCs/>
          <w:i w:val="0"/>
          <w:color w:val="000000" w:themeColor="text1"/>
          <w:sz w:val="24"/>
          <w:szCs w:val="24"/>
        </w:rPr>
      </w:pPr>
      <w:bookmarkStart w:id="24" w:name="_Ref52271629"/>
      <w:r w:rsidRPr="00D841DF">
        <w:rPr>
          <w:rFonts w:ascii="Times New Roman" w:eastAsia="Times New Roman" w:hAnsi="Times New Roman" w:cs="Times New Roman"/>
          <w:b/>
          <w:bCs/>
          <w:i w:val="0"/>
          <w:color w:val="000000" w:themeColor="text1"/>
          <w:sz w:val="24"/>
          <w:szCs w:val="24"/>
        </w:rPr>
        <w:lastRenderedPageBreak/>
        <w:t>Pielikums</w:t>
      </w:r>
      <w:r>
        <w:rPr>
          <w:rFonts w:ascii="Times New Roman" w:eastAsia="Times New Roman" w:hAnsi="Times New Roman" w:cs="Times New Roman"/>
          <w:b/>
          <w:bCs/>
          <w:i w:val="0"/>
          <w:color w:val="000000" w:themeColor="text1"/>
          <w:sz w:val="24"/>
          <w:szCs w:val="24"/>
        </w:rPr>
        <w:t xml:space="preserve"> Nr.</w:t>
      </w:r>
      <w:r w:rsidRPr="00D841DF">
        <w:rPr>
          <w:rFonts w:ascii="Times New Roman" w:eastAsia="Times New Roman" w:hAnsi="Times New Roman" w:cs="Times New Roman"/>
          <w:b/>
          <w:bCs/>
          <w:i w:val="0"/>
          <w:color w:val="000000" w:themeColor="text1"/>
          <w:sz w:val="24"/>
          <w:szCs w:val="24"/>
        </w:rPr>
        <w:t xml:space="preserve"> </w:t>
      </w:r>
      <w:r w:rsidRPr="00D841DF">
        <w:rPr>
          <w:rFonts w:ascii="Times New Roman" w:eastAsia="Times New Roman" w:hAnsi="Times New Roman" w:cs="Times New Roman"/>
          <w:b/>
          <w:bCs/>
          <w:i w:val="0"/>
          <w:color w:val="000000" w:themeColor="text1"/>
          <w:sz w:val="24"/>
          <w:szCs w:val="24"/>
        </w:rPr>
        <w:fldChar w:fldCharType="begin"/>
      </w:r>
      <w:r w:rsidRPr="00D841DF">
        <w:rPr>
          <w:rFonts w:ascii="Times New Roman" w:eastAsia="Times New Roman" w:hAnsi="Times New Roman" w:cs="Times New Roman"/>
          <w:b/>
          <w:bCs/>
          <w:i w:val="0"/>
          <w:color w:val="000000" w:themeColor="text1"/>
          <w:sz w:val="24"/>
          <w:szCs w:val="24"/>
        </w:rPr>
        <w:instrText xml:space="preserve"> SEQ Pielikums \* ARABIC </w:instrText>
      </w:r>
      <w:r w:rsidRPr="00D841DF">
        <w:rPr>
          <w:rFonts w:ascii="Times New Roman" w:eastAsia="Times New Roman" w:hAnsi="Times New Roman" w:cs="Times New Roman"/>
          <w:b/>
          <w:bCs/>
          <w:i w:val="0"/>
          <w:color w:val="000000" w:themeColor="text1"/>
          <w:sz w:val="24"/>
          <w:szCs w:val="24"/>
        </w:rPr>
        <w:fldChar w:fldCharType="separate"/>
      </w:r>
      <w:r>
        <w:rPr>
          <w:rFonts w:ascii="Times New Roman" w:eastAsia="Times New Roman" w:hAnsi="Times New Roman" w:cs="Times New Roman"/>
          <w:b/>
          <w:bCs/>
          <w:i w:val="0"/>
          <w:noProof/>
          <w:color w:val="000000" w:themeColor="text1"/>
          <w:sz w:val="24"/>
          <w:szCs w:val="24"/>
        </w:rPr>
        <w:t>2</w:t>
      </w:r>
      <w:r w:rsidRPr="00D841DF">
        <w:rPr>
          <w:rFonts w:ascii="Times New Roman" w:eastAsia="Times New Roman" w:hAnsi="Times New Roman" w:cs="Times New Roman"/>
          <w:b/>
          <w:bCs/>
          <w:i w:val="0"/>
          <w:color w:val="000000" w:themeColor="text1"/>
          <w:sz w:val="24"/>
          <w:szCs w:val="24"/>
        </w:rPr>
        <w:fldChar w:fldCharType="end"/>
      </w:r>
      <w:bookmarkEnd w:id="24"/>
      <w:r w:rsidRPr="00D841DF">
        <w:rPr>
          <w:rFonts w:ascii="Times New Roman" w:eastAsia="Times New Roman" w:hAnsi="Times New Roman" w:cs="Times New Roman"/>
          <w:b/>
          <w:bCs/>
          <w:i w:val="0"/>
          <w:color w:val="000000" w:themeColor="text1"/>
          <w:sz w:val="24"/>
          <w:szCs w:val="24"/>
        </w:rPr>
        <w:t xml:space="preserve">. </w:t>
      </w:r>
      <w:r w:rsidR="002E19DC" w:rsidRPr="00D841DF">
        <w:rPr>
          <w:rFonts w:ascii="Times New Roman" w:eastAsia="Times New Roman" w:hAnsi="Times New Roman" w:cs="Times New Roman"/>
          <w:b/>
          <w:bCs/>
          <w:i w:val="0"/>
          <w:color w:val="000000" w:themeColor="text1"/>
          <w:sz w:val="24"/>
          <w:szCs w:val="24"/>
        </w:rPr>
        <w:t>Pašvaldību</w:t>
      </w:r>
      <w:r w:rsidRPr="00D841DF">
        <w:rPr>
          <w:rFonts w:ascii="Times New Roman" w:eastAsia="Times New Roman" w:hAnsi="Times New Roman" w:cs="Times New Roman"/>
          <w:b/>
          <w:bCs/>
          <w:i w:val="0"/>
          <w:color w:val="000000" w:themeColor="text1"/>
          <w:sz w:val="24"/>
          <w:szCs w:val="24"/>
        </w:rPr>
        <w:t xml:space="preserve"> dibināto izglītības iestāžu īstenotās profesionālās izglītības programmas</w:t>
      </w:r>
    </w:p>
    <w:tbl>
      <w:tblPr>
        <w:tblW w:w="14356" w:type="dxa"/>
        <w:tblLook w:val="04A0" w:firstRow="1" w:lastRow="0" w:firstColumn="1" w:lastColumn="0" w:noHBand="0" w:noVBand="1"/>
      </w:tblPr>
      <w:tblGrid>
        <w:gridCol w:w="2972"/>
        <w:gridCol w:w="2693"/>
        <w:gridCol w:w="1339"/>
        <w:gridCol w:w="2205"/>
        <w:gridCol w:w="2693"/>
        <w:gridCol w:w="1260"/>
        <w:gridCol w:w="1194"/>
      </w:tblGrid>
      <w:tr w:rsidR="002E19DC" w:rsidRPr="002E19DC" w14:paraId="1486CBEA" w14:textId="77777777" w:rsidTr="000D09BE">
        <w:trPr>
          <w:trHeight w:val="1125"/>
        </w:trPr>
        <w:tc>
          <w:tcPr>
            <w:tcW w:w="297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07F930B" w14:textId="77777777" w:rsidR="002E19DC" w:rsidRPr="00395CFD" w:rsidRDefault="002E19DC" w:rsidP="002E19DC">
            <w:pPr>
              <w:spacing w:after="0" w:line="240" w:lineRule="auto"/>
              <w:jc w:val="center"/>
              <w:rPr>
                <w:rFonts w:ascii="Times New Roman" w:eastAsia="Times New Roman" w:hAnsi="Times New Roman" w:cs="Times New Roman"/>
                <w:b/>
                <w:bCs/>
                <w:sz w:val="18"/>
                <w:szCs w:val="20"/>
              </w:rPr>
            </w:pPr>
            <w:r w:rsidRPr="00395CFD">
              <w:rPr>
                <w:rFonts w:ascii="Times New Roman" w:eastAsia="Times New Roman" w:hAnsi="Times New Roman" w:cs="Times New Roman"/>
                <w:b/>
                <w:bCs/>
                <w:sz w:val="18"/>
                <w:szCs w:val="20"/>
              </w:rPr>
              <w:t>Izglītības iestāde</w:t>
            </w:r>
          </w:p>
        </w:tc>
        <w:tc>
          <w:tcPr>
            <w:tcW w:w="2693" w:type="dxa"/>
            <w:tcBorders>
              <w:top w:val="single" w:sz="4" w:space="0" w:color="auto"/>
              <w:left w:val="nil"/>
              <w:bottom w:val="single" w:sz="4" w:space="0" w:color="auto"/>
              <w:right w:val="single" w:sz="4" w:space="0" w:color="auto"/>
            </w:tcBorders>
            <w:shd w:val="clear" w:color="000000" w:fill="F2F2F2"/>
            <w:vAlign w:val="center"/>
            <w:hideMark/>
          </w:tcPr>
          <w:p w14:paraId="7938D3CD" w14:textId="77777777" w:rsidR="002E19DC" w:rsidRPr="00395CFD" w:rsidRDefault="002E19DC" w:rsidP="002E19DC">
            <w:pPr>
              <w:spacing w:after="0" w:line="240" w:lineRule="auto"/>
              <w:jc w:val="center"/>
              <w:rPr>
                <w:rFonts w:ascii="Times New Roman" w:eastAsia="Times New Roman" w:hAnsi="Times New Roman" w:cs="Times New Roman"/>
                <w:b/>
                <w:bCs/>
                <w:sz w:val="18"/>
                <w:szCs w:val="20"/>
              </w:rPr>
            </w:pPr>
            <w:r w:rsidRPr="00395CFD">
              <w:rPr>
                <w:rFonts w:ascii="Times New Roman" w:eastAsia="Times New Roman" w:hAnsi="Times New Roman" w:cs="Times New Roman"/>
                <w:b/>
                <w:bCs/>
                <w:sz w:val="18"/>
                <w:szCs w:val="20"/>
              </w:rPr>
              <w:t>Izglītības programmas veids</w:t>
            </w:r>
          </w:p>
        </w:tc>
        <w:tc>
          <w:tcPr>
            <w:tcW w:w="1339" w:type="dxa"/>
            <w:tcBorders>
              <w:top w:val="single" w:sz="4" w:space="0" w:color="auto"/>
              <w:left w:val="nil"/>
              <w:bottom w:val="single" w:sz="4" w:space="0" w:color="auto"/>
              <w:right w:val="single" w:sz="4" w:space="0" w:color="auto"/>
            </w:tcBorders>
            <w:shd w:val="clear" w:color="000000" w:fill="F2F2F2"/>
            <w:vAlign w:val="center"/>
            <w:hideMark/>
          </w:tcPr>
          <w:p w14:paraId="14225244" w14:textId="77777777" w:rsidR="002E19DC" w:rsidRPr="00395CFD" w:rsidRDefault="002E19DC" w:rsidP="002E19DC">
            <w:pPr>
              <w:spacing w:after="0" w:line="240" w:lineRule="auto"/>
              <w:jc w:val="center"/>
              <w:rPr>
                <w:rFonts w:ascii="Times New Roman" w:eastAsia="Times New Roman" w:hAnsi="Times New Roman" w:cs="Times New Roman"/>
                <w:b/>
                <w:bCs/>
                <w:sz w:val="18"/>
                <w:szCs w:val="20"/>
              </w:rPr>
            </w:pPr>
            <w:r w:rsidRPr="00395CFD">
              <w:rPr>
                <w:rFonts w:ascii="Times New Roman" w:eastAsia="Times New Roman" w:hAnsi="Times New Roman" w:cs="Times New Roman"/>
                <w:b/>
                <w:bCs/>
                <w:sz w:val="18"/>
                <w:szCs w:val="20"/>
              </w:rPr>
              <w:t>Otrais klasifikācijas līmenis</w:t>
            </w:r>
          </w:p>
        </w:tc>
        <w:tc>
          <w:tcPr>
            <w:tcW w:w="2205" w:type="dxa"/>
            <w:tcBorders>
              <w:top w:val="single" w:sz="4" w:space="0" w:color="auto"/>
              <w:left w:val="nil"/>
              <w:bottom w:val="single" w:sz="4" w:space="0" w:color="auto"/>
              <w:right w:val="single" w:sz="4" w:space="0" w:color="auto"/>
            </w:tcBorders>
            <w:shd w:val="clear" w:color="000000" w:fill="F2F2F2"/>
            <w:vAlign w:val="center"/>
            <w:hideMark/>
          </w:tcPr>
          <w:p w14:paraId="03BAB8AC" w14:textId="77777777" w:rsidR="002E19DC" w:rsidRPr="00395CFD" w:rsidRDefault="002E19DC" w:rsidP="002E19DC">
            <w:pPr>
              <w:spacing w:after="0" w:line="240" w:lineRule="auto"/>
              <w:jc w:val="center"/>
              <w:rPr>
                <w:rFonts w:ascii="Times New Roman" w:eastAsia="Times New Roman" w:hAnsi="Times New Roman" w:cs="Times New Roman"/>
                <w:b/>
                <w:bCs/>
                <w:sz w:val="18"/>
                <w:szCs w:val="20"/>
              </w:rPr>
            </w:pPr>
            <w:r w:rsidRPr="00395CFD">
              <w:rPr>
                <w:rFonts w:ascii="Times New Roman" w:eastAsia="Times New Roman" w:hAnsi="Times New Roman" w:cs="Times New Roman"/>
                <w:b/>
                <w:bCs/>
                <w:sz w:val="18"/>
                <w:szCs w:val="20"/>
              </w:rPr>
              <w:t>Izglītības programma</w:t>
            </w:r>
          </w:p>
        </w:tc>
        <w:tc>
          <w:tcPr>
            <w:tcW w:w="2693" w:type="dxa"/>
            <w:tcBorders>
              <w:top w:val="single" w:sz="4" w:space="0" w:color="auto"/>
              <w:left w:val="nil"/>
              <w:bottom w:val="single" w:sz="4" w:space="0" w:color="auto"/>
              <w:right w:val="single" w:sz="4" w:space="0" w:color="auto"/>
            </w:tcBorders>
            <w:shd w:val="clear" w:color="000000" w:fill="F2F2F2"/>
            <w:vAlign w:val="center"/>
            <w:hideMark/>
          </w:tcPr>
          <w:p w14:paraId="2D4B5A47" w14:textId="77777777" w:rsidR="002E19DC" w:rsidRPr="00395CFD" w:rsidRDefault="002E19DC" w:rsidP="002E19DC">
            <w:pPr>
              <w:spacing w:after="0" w:line="240" w:lineRule="auto"/>
              <w:jc w:val="center"/>
              <w:rPr>
                <w:rFonts w:ascii="Times New Roman" w:eastAsia="Times New Roman" w:hAnsi="Times New Roman" w:cs="Times New Roman"/>
                <w:b/>
                <w:bCs/>
                <w:color w:val="000000"/>
                <w:sz w:val="18"/>
                <w:szCs w:val="20"/>
              </w:rPr>
            </w:pPr>
            <w:r w:rsidRPr="00395CFD">
              <w:rPr>
                <w:rFonts w:ascii="Times New Roman" w:eastAsia="Times New Roman" w:hAnsi="Times New Roman" w:cs="Times New Roman"/>
                <w:b/>
                <w:bCs/>
                <w:color w:val="000000"/>
                <w:sz w:val="18"/>
                <w:szCs w:val="20"/>
              </w:rPr>
              <w:t>Piešķiramā kvalifikācija</w:t>
            </w:r>
          </w:p>
        </w:tc>
        <w:tc>
          <w:tcPr>
            <w:tcW w:w="1260" w:type="dxa"/>
            <w:tcBorders>
              <w:top w:val="single" w:sz="4" w:space="0" w:color="auto"/>
              <w:left w:val="nil"/>
              <w:bottom w:val="single" w:sz="4" w:space="0" w:color="auto"/>
              <w:right w:val="single" w:sz="4" w:space="0" w:color="auto"/>
            </w:tcBorders>
            <w:shd w:val="clear" w:color="000000" w:fill="F2F2F2"/>
            <w:vAlign w:val="center"/>
            <w:hideMark/>
          </w:tcPr>
          <w:p w14:paraId="3ED32DAF" w14:textId="77777777" w:rsidR="002E19DC" w:rsidRPr="00395CFD" w:rsidRDefault="002E19DC" w:rsidP="002E19DC">
            <w:pPr>
              <w:spacing w:after="0" w:line="240" w:lineRule="auto"/>
              <w:jc w:val="center"/>
              <w:rPr>
                <w:rFonts w:ascii="Times New Roman" w:eastAsia="Times New Roman" w:hAnsi="Times New Roman" w:cs="Times New Roman"/>
                <w:b/>
                <w:bCs/>
                <w:sz w:val="18"/>
                <w:szCs w:val="20"/>
              </w:rPr>
            </w:pPr>
            <w:r w:rsidRPr="00395CFD">
              <w:rPr>
                <w:rFonts w:ascii="Times New Roman" w:eastAsia="Times New Roman" w:hAnsi="Times New Roman" w:cs="Times New Roman"/>
                <w:b/>
                <w:bCs/>
                <w:sz w:val="18"/>
                <w:szCs w:val="20"/>
              </w:rPr>
              <w:t>Mācību ilgums, gadi</w:t>
            </w:r>
          </w:p>
        </w:tc>
        <w:tc>
          <w:tcPr>
            <w:tcW w:w="1194" w:type="dxa"/>
            <w:tcBorders>
              <w:top w:val="single" w:sz="4" w:space="0" w:color="auto"/>
              <w:left w:val="nil"/>
              <w:bottom w:val="single" w:sz="4" w:space="0" w:color="auto"/>
              <w:right w:val="single" w:sz="4" w:space="0" w:color="auto"/>
            </w:tcBorders>
            <w:shd w:val="clear" w:color="000000" w:fill="F2F2F2"/>
            <w:vAlign w:val="center"/>
            <w:hideMark/>
          </w:tcPr>
          <w:p w14:paraId="468C6EE3" w14:textId="77777777" w:rsidR="002E19DC" w:rsidRPr="00395CFD" w:rsidRDefault="002E19DC" w:rsidP="002E19DC">
            <w:pPr>
              <w:spacing w:after="0" w:line="240" w:lineRule="auto"/>
              <w:jc w:val="center"/>
              <w:rPr>
                <w:rFonts w:ascii="Times New Roman" w:eastAsia="Times New Roman" w:hAnsi="Times New Roman" w:cs="Times New Roman"/>
                <w:b/>
                <w:bCs/>
                <w:sz w:val="18"/>
                <w:szCs w:val="20"/>
              </w:rPr>
            </w:pPr>
            <w:r w:rsidRPr="00395CFD">
              <w:rPr>
                <w:rFonts w:ascii="Times New Roman" w:eastAsia="Times New Roman" w:hAnsi="Times New Roman" w:cs="Times New Roman"/>
                <w:b/>
                <w:bCs/>
                <w:sz w:val="18"/>
                <w:szCs w:val="20"/>
              </w:rPr>
              <w:t>Izglītojamo skaits</w:t>
            </w:r>
          </w:p>
        </w:tc>
      </w:tr>
      <w:tr w:rsidR="002E19DC" w:rsidRPr="002E19DC" w14:paraId="32719020" w14:textId="77777777" w:rsidTr="000D09BE">
        <w:trPr>
          <w:trHeight w:val="300"/>
        </w:trPr>
        <w:tc>
          <w:tcPr>
            <w:tcW w:w="29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49947F"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Jelgavas Amatu vidusskola</w:t>
            </w:r>
          </w:p>
        </w:tc>
        <w:tc>
          <w:tcPr>
            <w:tcW w:w="2693" w:type="dxa"/>
            <w:tcBorders>
              <w:top w:val="nil"/>
              <w:left w:val="nil"/>
              <w:bottom w:val="single" w:sz="4" w:space="0" w:color="auto"/>
              <w:right w:val="single" w:sz="4" w:space="0" w:color="auto"/>
            </w:tcBorders>
            <w:shd w:val="clear" w:color="auto" w:fill="auto"/>
            <w:noWrap/>
            <w:vAlign w:val="center"/>
            <w:hideMark/>
          </w:tcPr>
          <w:p w14:paraId="2BD2805D" w14:textId="77777777" w:rsidR="002E19DC" w:rsidRPr="00C205E7" w:rsidRDefault="002E19DC" w:rsidP="002E19DC">
            <w:pPr>
              <w:spacing w:after="0" w:line="240" w:lineRule="auto"/>
              <w:rPr>
                <w:rFonts w:ascii="Times New Roman" w:eastAsia="Times New Roman" w:hAnsi="Times New Roman" w:cs="Times New Roman"/>
                <w:color w:val="000000" w:themeColor="text1"/>
                <w:sz w:val="20"/>
                <w:szCs w:val="20"/>
              </w:rPr>
            </w:pPr>
            <w:r w:rsidRPr="00C205E7">
              <w:rPr>
                <w:rFonts w:ascii="Times New Roman" w:eastAsia="Times New Roman" w:hAnsi="Times New Roman" w:cs="Times New Roman"/>
                <w:color w:val="000000" w:themeColor="text1"/>
                <w:sz w:val="20"/>
                <w:szCs w:val="20"/>
              </w:rPr>
              <w:t>Profesionālā pamatizglītība</w:t>
            </w:r>
          </w:p>
        </w:tc>
        <w:tc>
          <w:tcPr>
            <w:tcW w:w="1339" w:type="dxa"/>
            <w:tcBorders>
              <w:top w:val="nil"/>
              <w:left w:val="nil"/>
              <w:bottom w:val="single" w:sz="4" w:space="0" w:color="auto"/>
              <w:right w:val="single" w:sz="4" w:space="0" w:color="auto"/>
            </w:tcBorders>
            <w:shd w:val="clear" w:color="auto" w:fill="auto"/>
            <w:noWrap/>
            <w:vAlign w:val="center"/>
            <w:hideMark/>
          </w:tcPr>
          <w:p w14:paraId="45933A6A" w14:textId="77777777" w:rsidR="002E19DC" w:rsidRPr="00C205E7" w:rsidRDefault="002E19DC" w:rsidP="002E19DC">
            <w:pPr>
              <w:spacing w:after="0" w:line="240" w:lineRule="auto"/>
              <w:jc w:val="right"/>
              <w:rPr>
                <w:rFonts w:ascii="Times New Roman" w:eastAsia="Times New Roman" w:hAnsi="Times New Roman" w:cs="Times New Roman"/>
                <w:color w:val="000000" w:themeColor="text1"/>
                <w:sz w:val="20"/>
                <w:szCs w:val="20"/>
              </w:rPr>
            </w:pPr>
            <w:r w:rsidRPr="00C205E7">
              <w:rPr>
                <w:rFonts w:ascii="Times New Roman" w:eastAsia="Times New Roman" w:hAnsi="Times New Roman" w:cs="Times New Roman"/>
                <w:color w:val="000000" w:themeColor="text1"/>
                <w:sz w:val="20"/>
                <w:szCs w:val="20"/>
              </w:rPr>
              <w:t>22</w:t>
            </w:r>
          </w:p>
        </w:tc>
        <w:tc>
          <w:tcPr>
            <w:tcW w:w="2205" w:type="dxa"/>
            <w:tcBorders>
              <w:top w:val="nil"/>
              <w:left w:val="nil"/>
              <w:bottom w:val="single" w:sz="4" w:space="0" w:color="auto"/>
              <w:right w:val="single" w:sz="4" w:space="0" w:color="auto"/>
            </w:tcBorders>
            <w:shd w:val="clear" w:color="auto" w:fill="auto"/>
            <w:noWrap/>
            <w:vAlign w:val="center"/>
            <w:hideMark/>
          </w:tcPr>
          <w:p w14:paraId="3C34CB0D" w14:textId="77777777" w:rsidR="002E19DC" w:rsidRPr="00C205E7" w:rsidRDefault="002E19DC" w:rsidP="002E19DC">
            <w:pPr>
              <w:spacing w:after="0" w:line="240" w:lineRule="auto"/>
              <w:rPr>
                <w:rFonts w:ascii="Times New Roman" w:eastAsia="Times New Roman" w:hAnsi="Times New Roman" w:cs="Times New Roman"/>
                <w:color w:val="000000" w:themeColor="text1"/>
                <w:sz w:val="20"/>
                <w:szCs w:val="20"/>
              </w:rPr>
            </w:pPr>
            <w:r w:rsidRPr="00C205E7">
              <w:rPr>
                <w:rFonts w:ascii="Times New Roman" w:eastAsia="Times New Roman" w:hAnsi="Times New Roman" w:cs="Times New Roman"/>
                <w:color w:val="000000" w:themeColor="text1"/>
                <w:sz w:val="20"/>
                <w:szCs w:val="20"/>
              </w:rPr>
              <w:t>Ēdināšanas pakalpojumi</w:t>
            </w:r>
          </w:p>
        </w:tc>
        <w:tc>
          <w:tcPr>
            <w:tcW w:w="2693" w:type="dxa"/>
            <w:tcBorders>
              <w:top w:val="nil"/>
              <w:left w:val="nil"/>
              <w:bottom w:val="single" w:sz="4" w:space="0" w:color="auto"/>
              <w:right w:val="single" w:sz="4" w:space="0" w:color="auto"/>
            </w:tcBorders>
            <w:shd w:val="clear" w:color="auto" w:fill="auto"/>
            <w:noWrap/>
            <w:vAlign w:val="center"/>
            <w:hideMark/>
          </w:tcPr>
          <w:p w14:paraId="505E83B2" w14:textId="77777777" w:rsidR="002E19DC" w:rsidRPr="00C205E7" w:rsidRDefault="002E19DC" w:rsidP="002E19DC">
            <w:pPr>
              <w:spacing w:after="0" w:line="240" w:lineRule="auto"/>
              <w:rPr>
                <w:rFonts w:ascii="Times New Roman" w:eastAsia="Times New Roman" w:hAnsi="Times New Roman" w:cs="Times New Roman"/>
                <w:color w:val="000000" w:themeColor="text1"/>
                <w:sz w:val="20"/>
                <w:szCs w:val="20"/>
              </w:rPr>
            </w:pPr>
            <w:r w:rsidRPr="00C205E7">
              <w:rPr>
                <w:rFonts w:ascii="Times New Roman" w:eastAsia="Times New Roman" w:hAnsi="Times New Roman" w:cs="Times New Roman"/>
                <w:color w:val="000000" w:themeColor="text1"/>
                <w:sz w:val="20"/>
                <w:szCs w:val="20"/>
              </w:rPr>
              <w:t>Virtuves darbinieks</w:t>
            </w:r>
          </w:p>
        </w:tc>
        <w:tc>
          <w:tcPr>
            <w:tcW w:w="1260" w:type="dxa"/>
            <w:tcBorders>
              <w:top w:val="nil"/>
              <w:left w:val="nil"/>
              <w:bottom w:val="single" w:sz="4" w:space="0" w:color="auto"/>
              <w:right w:val="single" w:sz="4" w:space="0" w:color="auto"/>
            </w:tcBorders>
            <w:shd w:val="clear" w:color="auto" w:fill="auto"/>
            <w:noWrap/>
            <w:vAlign w:val="center"/>
            <w:hideMark/>
          </w:tcPr>
          <w:p w14:paraId="54EF1290" w14:textId="77777777" w:rsidR="002E19DC" w:rsidRPr="00C205E7" w:rsidRDefault="002E19DC" w:rsidP="002E19DC">
            <w:pPr>
              <w:spacing w:after="0" w:line="240" w:lineRule="auto"/>
              <w:jc w:val="right"/>
              <w:rPr>
                <w:rFonts w:ascii="Times New Roman" w:eastAsia="Times New Roman" w:hAnsi="Times New Roman" w:cs="Times New Roman"/>
                <w:color w:val="000000" w:themeColor="text1"/>
                <w:sz w:val="20"/>
                <w:szCs w:val="20"/>
              </w:rPr>
            </w:pPr>
            <w:r w:rsidRPr="00C205E7">
              <w:rPr>
                <w:rFonts w:ascii="Times New Roman" w:eastAsia="Times New Roman" w:hAnsi="Times New Roman" w:cs="Times New Roman"/>
                <w:color w:val="000000" w:themeColor="text1"/>
                <w:sz w:val="20"/>
                <w:szCs w:val="20"/>
              </w:rPr>
              <w:t>2</w:t>
            </w:r>
          </w:p>
        </w:tc>
        <w:tc>
          <w:tcPr>
            <w:tcW w:w="1194" w:type="dxa"/>
            <w:tcBorders>
              <w:top w:val="nil"/>
              <w:left w:val="nil"/>
              <w:bottom w:val="single" w:sz="4" w:space="0" w:color="auto"/>
              <w:right w:val="single" w:sz="4" w:space="0" w:color="auto"/>
            </w:tcBorders>
            <w:shd w:val="clear" w:color="auto" w:fill="auto"/>
            <w:noWrap/>
            <w:vAlign w:val="center"/>
            <w:hideMark/>
          </w:tcPr>
          <w:p w14:paraId="72A8026A" w14:textId="7D278C2F" w:rsidR="002E19DC" w:rsidRPr="00C205E7" w:rsidRDefault="00803B8A" w:rsidP="002E19DC">
            <w:pPr>
              <w:spacing w:after="0" w:line="240" w:lineRule="auto"/>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33</w:t>
            </w:r>
          </w:p>
        </w:tc>
      </w:tr>
      <w:tr w:rsidR="002E19DC" w:rsidRPr="002E19DC" w14:paraId="5DB79924" w14:textId="77777777" w:rsidTr="00BC5709">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49B2D997"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6D525802" w14:textId="77777777" w:rsidR="002E19DC" w:rsidRPr="00C205E7" w:rsidRDefault="002E19DC" w:rsidP="002E19DC">
            <w:pPr>
              <w:spacing w:after="0" w:line="240" w:lineRule="auto"/>
              <w:rPr>
                <w:rFonts w:ascii="Times New Roman" w:eastAsia="Times New Roman" w:hAnsi="Times New Roman" w:cs="Times New Roman"/>
                <w:color w:val="000000" w:themeColor="text1"/>
                <w:sz w:val="20"/>
                <w:szCs w:val="20"/>
              </w:rPr>
            </w:pPr>
            <w:r w:rsidRPr="00C205E7">
              <w:rPr>
                <w:rFonts w:ascii="Times New Roman" w:eastAsia="Times New Roman" w:hAnsi="Times New Roman" w:cs="Times New Roman"/>
                <w:color w:val="000000" w:themeColor="text1"/>
                <w:sz w:val="20"/>
                <w:szCs w:val="20"/>
              </w:rPr>
              <w:t>Profesionālā pamatizglītība</w:t>
            </w:r>
          </w:p>
        </w:tc>
        <w:tc>
          <w:tcPr>
            <w:tcW w:w="1339" w:type="dxa"/>
            <w:tcBorders>
              <w:top w:val="nil"/>
              <w:left w:val="nil"/>
              <w:bottom w:val="single" w:sz="4" w:space="0" w:color="auto"/>
              <w:right w:val="single" w:sz="4" w:space="0" w:color="auto"/>
            </w:tcBorders>
            <w:shd w:val="clear" w:color="auto" w:fill="auto"/>
            <w:noWrap/>
            <w:vAlign w:val="center"/>
            <w:hideMark/>
          </w:tcPr>
          <w:p w14:paraId="0B0742FC" w14:textId="77777777" w:rsidR="002E19DC" w:rsidRPr="00C205E7" w:rsidRDefault="002E19DC" w:rsidP="002E19DC">
            <w:pPr>
              <w:spacing w:after="0" w:line="240" w:lineRule="auto"/>
              <w:jc w:val="right"/>
              <w:rPr>
                <w:rFonts w:ascii="Times New Roman" w:eastAsia="Times New Roman" w:hAnsi="Times New Roman" w:cs="Times New Roman"/>
                <w:color w:val="000000" w:themeColor="text1"/>
                <w:sz w:val="20"/>
                <w:szCs w:val="20"/>
              </w:rPr>
            </w:pPr>
            <w:r w:rsidRPr="00C205E7">
              <w:rPr>
                <w:rFonts w:ascii="Times New Roman" w:eastAsia="Times New Roman" w:hAnsi="Times New Roman" w:cs="Times New Roman"/>
                <w:color w:val="000000" w:themeColor="text1"/>
                <w:sz w:val="20"/>
                <w:szCs w:val="20"/>
              </w:rPr>
              <w:t>22</w:t>
            </w:r>
          </w:p>
        </w:tc>
        <w:tc>
          <w:tcPr>
            <w:tcW w:w="2205" w:type="dxa"/>
            <w:tcBorders>
              <w:top w:val="nil"/>
              <w:left w:val="nil"/>
              <w:bottom w:val="single" w:sz="4" w:space="0" w:color="auto"/>
              <w:right w:val="single" w:sz="4" w:space="0" w:color="auto"/>
            </w:tcBorders>
            <w:shd w:val="clear" w:color="auto" w:fill="92D050"/>
            <w:noWrap/>
            <w:vAlign w:val="center"/>
            <w:hideMark/>
          </w:tcPr>
          <w:p w14:paraId="30A17392" w14:textId="77777777" w:rsidR="002E19DC" w:rsidRPr="00C205E7" w:rsidRDefault="002E19DC" w:rsidP="002E19DC">
            <w:pPr>
              <w:spacing w:after="0" w:line="240" w:lineRule="auto"/>
              <w:rPr>
                <w:rFonts w:ascii="Times New Roman" w:eastAsia="Times New Roman" w:hAnsi="Times New Roman" w:cs="Times New Roman"/>
                <w:color w:val="000000" w:themeColor="text1"/>
                <w:sz w:val="20"/>
                <w:szCs w:val="20"/>
              </w:rPr>
            </w:pPr>
            <w:r w:rsidRPr="00C205E7">
              <w:rPr>
                <w:rFonts w:ascii="Times New Roman" w:eastAsia="Times New Roman" w:hAnsi="Times New Roman" w:cs="Times New Roman"/>
                <w:color w:val="000000" w:themeColor="text1"/>
                <w:sz w:val="20"/>
                <w:szCs w:val="20"/>
              </w:rPr>
              <w:t>Metālapstrāde</w:t>
            </w:r>
          </w:p>
        </w:tc>
        <w:tc>
          <w:tcPr>
            <w:tcW w:w="2693" w:type="dxa"/>
            <w:tcBorders>
              <w:top w:val="nil"/>
              <w:left w:val="nil"/>
              <w:bottom w:val="single" w:sz="4" w:space="0" w:color="auto"/>
              <w:right w:val="single" w:sz="4" w:space="0" w:color="auto"/>
            </w:tcBorders>
            <w:shd w:val="clear" w:color="auto" w:fill="auto"/>
            <w:noWrap/>
            <w:vAlign w:val="center"/>
            <w:hideMark/>
          </w:tcPr>
          <w:p w14:paraId="3CDB8074" w14:textId="77777777" w:rsidR="002E19DC" w:rsidRPr="00C205E7" w:rsidRDefault="002E19DC" w:rsidP="002E19DC">
            <w:pPr>
              <w:spacing w:after="0" w:line="240" w:lineRule="auto"/>
              <w:rPr>
                <w:rFonts w:ascii="Times New Roman" w:eastAsia="Times New Roman" w:hAnsi="Times New Roman" w:cs="Times New Roman"/>
                <w:color w:val="000000" w:themeColor="text1"/>
                <w:sz w:val="20"/>
                <w:szCs w:val="20"/>
              </w:rPr>
            </w:pPr>
            <w:r w:rsidRPr="00C205E7">
              <w:rPr>
                <w:rFonts w:ascii="Times New Roman" w:eastAsia="Times New Roman" w:hAnsi="Times New Roman" w:cs="Times New Roman"/>
                <w:color w:val="000000" w:themeColor="text1"/>
                <w:sz w:val="20"/>
                <w:szCs w:val="20"/>
              </w:rPr>
              <w:t>Montāžas darbu atslēdznieks</w:t>
            </w:r>
          </w:p>
        </w:tc>
        <w:tc>
          <w:tcPr>
            <w:tcW w:w="1260" w:type="dxa"/>
            <w:tcBorders>
              <w:top w:val="nil"/>
              <w:left w:val="nil"/>
              <w:bottom w:val="single" w:sz="4" w:space="0" w:color="auto"/>
              <w:right w:val="single" w:sz="4" w:space="0" w:color="auto"/>
            </w:tcBorders>
            <w:shd w:val="clear" w:color="auto" w:fill="auto"/>
            <w:noWrap/>
            <w:vAlign w:val="center"/>
            <w:hideMark/>
          </w:tcPr>
          <w:p w14:paraId="4BDBC8DE" w14:textId="77777777" w:rsidR="002E19DC" w:rsidRPr="00C205E7" w:rsidRDefault="002E19DC" w:rsidP="002E19DC">
            <w:pPr>
              <w:spacing w:after="0" w:line="240" w:lineRule="auto"/>
              <w:jc w:val="right"/>
              <w:rPr>
                <w:rFonts w:ascii="Times New Roman" w:eastAsia="Times New Roman" w:hAnsi="Times New Roman" w:cs="Times New Roman"/>
                <w:color w:val="000000" w:themeColor="text1"/>
                <w:sz w:val="20"/>
                <w:szCs w:val="20"/>
              </w:rPr>
            </w:pPr>
            <w:r w:rsidRPr="00C205E7">
              <w:rPr>
                <w:rFonts w:ascii="Times New Roman" w:eastAsia="Times New Roman" w:hAnsi="Times New Roman" w:cs="Times New Roman"/>
                <w:color w:val="000000" w:themeColor="text1"/>
                <w:sz w:val="20"/>
                <w:szCs w:val="20"/>
              </w:rPr>
              <w:t>3</w:t>
            </w:r>
          </w:p>
        </w:tc>
        <w:tc>
          <w:tcPr>
            <w:tcW w:w="1194" w:type="dxa"/>
            <w:tcBorders>
              <w:top w:val="nil"/>
              <w:left w:val="nil"/>
              <w:bottom w:val="single" w:sz="4" w:space="0" w:color="auto"/>
              <w:right w:val="single" w:sz="4" w:space="0" w:color="auto"/>
            </w:tcBorders>
            <w:shd w:val="clear" w:color="auto" w:fill="auto"/>
            <w:noWrap/>
            <w:vAlign w:val="center"/>
            <w:hideMark/>
          </w:tcPr>
          <w:p w14:paraId="49B5C79C" w14:textId="1BC5B326" w:rsidR="002E19DC" w:rsidRPr="00C205E7" w:rsidRDefault="00803B8A" w:rsidP="002E19DC">
            <w:pPr>
              <w:spacing w:after="0" w:line="240" w:lineRule="auto"/>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r>
      <w:tr w:rsidR="002E19DC" w:rsidRPr="002E19DC" w14:paraId="578900DB" w14:textId="77777777" w:rsidTr="000D09BE">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677AE260"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704B7715" w14:textId="77777777" w:rsidR="002E19DC" w:rsidRPr="00C205E7" w:rsidRDefault="002E19DC" w:rsidP="002E19DC">
            <w:pPr>
              <w:spacing w:after="0" w:line="240" w:lineRule="auto"/>
              <w:rPr>
                <w:rFonts w:ascii="Times New Roman" w:eastAsia="Times New Roman" w:hAnsi="Times New Roman" w:cs="Times New Roman"/>
                <w:color w:val="000000" w:themeColor="text1"/>
                <w:sz w:val="20"/>
                <w:szCs w:val="20"/>
              </w:rPr>
            </w:pPr>
            <w:r w:rsidRPr="00C205E7">
              <w:rPr>
                <w:rFonts w:ascii="Times New Roman" w:eastAsia="Times New Roman" w:hAnsi="Times New Roman" w:cs="Times New Roman"/>
                <w:color w:val="000000" w:themeColor="text1"/>
                <w:sz w:val="20"/>
                <w:szCs w:val="20"/>
              </w:rPr>
              <w:t>Profesionālā pamatizglītība</w:t>
            </w:r>
          </w:p>
        </w:tc>
        <w:tc>
          <w:tcPr>
            <w:tcW w:w="1339" w:type="dxa"/>
            <w:tcBorders>
              <w:top w:val="nil"/>
              <w:left w:val="nil"/>
              <w:bottom w:val="single" w:sz="4" w:space="0" w:color="auto"/>
              <w:right w:val="single" w:sz="4" w:space="0" w:color="auto"/>
            </w:tcBorders>
            <w:shd w:val="clear" w:color="auto" w:fill="auto"/>
            <w:noWrap/>
            <w:vAlign w:val="center"/>
            <w:hideMark/>
          </w:tcPr>
          <w:p w14:paraId="1A244449" w14:textId="77777777" w:rsidR="002E19DC" w:rsidRPr="00C205E7" w:rsidRDefault="002E19DC" w:rsidP="002E19DC">
            <w:pPr>
              <w:spacing w:after="0" w:line="240" w:lineRule="auto"/>
              <w:jc w:val="right"/>
              <w:rPr>
                <w:rFonts w:ascii="Times New Roman" w:eastAsia="Times New Roman" w:hAnsi="Times New Roman" w:cs="Times New Roman"/>
                <w:color w:val="000000" w:themeColor="text1"/>
                <w:sz w:val="20"/>
                <w:szCs w:val="20"/>
              </w:rPr>
            </w:pPr>
            <w:r w:rsidRPr="00C205E7">
              <w:rPr>
                <w:rFonts w:ascii="Times New Roman" w:eastAsia="Times New Roman" w:hAnsi="Times New Roman" w:cs="Times New Roman"/>
                <w:color w:val="000000" w:themeColor="text1"/>
                <w:sz w:val="20"/>
                <w:szCs w:val="20"/>
              </w:rPr>
              <w:t>22</w:t>
            </w:r>
          </w:p>
        </w:tc>
        <w:tc>
          <w:tcPr>
            <w:tcW w:w="2205" w:type="dxa"/>
            <w:tcBorders>
              <w:top w:val="nil"/>
              <w:left w:val="nil"/>
              <w:bottom w:val="single" w:sz="4" w:space="0" w:color="auto"/>
              <w:right w:val="single" w:sz="4" w:space="0" w:color="auto"/>
            </w:tcBorders>
            <w:shd w:val="clear" w:color="auto" w:fill="auto"/>
            <w:noWrap/>
            <w:vAlign w:val="center"/>
            <w:hideMark/>
          </w:tcPr>
          <w:p w14:paraId="7C5C6E78" w14:textId="77777777" w:rsidR="002E19DC" w:rsidRPr="00C205E7" w:rsidRDefault="002E19DC" w:rsidP="002E19DC">
            <w:pPr>
              <w:spacing w:after="0" w:line="240" w:lineRule="auto"/>
              <w:rPr>
                <w:rFonts w:ascii="Times New Roman" w:eastAsia="Times New Roman" w:hAnsi="Times New Roman" w:cs="Times New Roman"/>
                <w:color w:val="000000" w:themeColor="text1"/>
                <w:sz w:val="20"/>
                <w:szCs w:val="20"/>
              </w:rPr>
            </w:pPr>
            <w:r w:rsidRPr="00C205E7">
              <w:rPr>
                <w:rFonts w:ascii="Times New Roman" w:eastAsia="Times New Roman" w:hAnsi="Times New Roman" w:cs="Times New Roman"/>
                <w:color w:val="000000" w:themeColor="text1"/>
                <w:sz w:val="20"/>
                <w:szCs w:val="20"/>
              </w:rPr>
              <w:t>Šūto izstrādājumu ražošanas tehnoloģija</w:t>
            </w:r>
          </w:p>
        </w:tc>
        <w:tc>
          <w:tcPr>
            <w:tcW w:w="2693" w:type="dxa"/>
            <w:tcBorders>
              <w:top w:val="nil"/>
              <w:left w:val="nil"/>
              <w:bottom w:val="single" w:sz="4" w:space="0" w:color="auto"/>
              <w:right w:val="single" w:sz="4" w:space="0" w:color="auto"/>
            </w:tcBorders>
            <w:shd w:val="clear" w:color="auto" w:fill="auto"/>
            <w:noWrap/>
            <w:vAlign w:val="center"/>
            <w:hideMark/>
          </w:tcPr>
          <w:p w14:paraId="0106FC84" w14:textId="77777777" w:rsidR="002E19DC" w:rsidRPr="00C205E7" w:rsidRDefault="002E19DC" w:rsidP="002E19DC">
            <w:pPr>
              <w:spacing w:after="0" w:line="240" w:lineRule="auto"/>
              <w:rPr>
                <w:rFonts w:ascii="Times New Roman" w:eastAsia="Times New Roman" w:hAnsi="Times New Roman" w:cs="Times New Roman"/>
                <w:color w:val="000000" w:themeColor="text1"/>
                <w:sz w:val="20"/>
                <w:szCs w:val="20"/>
              </w:rPr>
            </w:pPr>
            <w:r w:rsidRPr="00C205E7">
              <w:rPr>
                <w:rFonts w:ascii="Times New Roman" w:eastAsia="Times New Roman" w:hAnsi="Times New Roman" w:cs="Times New Roman"/>
                <w:color w:val="000000" w:themeColor="text1"/>
                <w:sz w:val="20"/>
                <w:szCs w:val="20"/>
              </w:rPr>
              <w:t>Šuvēja palīgs</w:t>
            </w:r>
          </w:p>
        </w:tc>
        <w:tc>
          <w:tcPr>
            <w:tcW w:w="1260" w:type="dxa"/>
            <w:tcBorders>
              <w:top w:val="nil"/>
              <w:left w:val="nil"/>
              <w:bottom w:val="single" w:sz="4" w:space="0" w:color="auto"/>
              <w:right w:val="single" w:sz="4" w:space="0" w:color="auto"/>
            </w:tcBorders>
            <w:shd w:val="clear" w:color="auto" w:fill="auto"/>
            <w:noWrap/>
            <w:vAlign w:val="center"/>
            <w:hideMark/>
          </w:tcPr>
          <w:p w14:paraId="0411FE71" w14:textId="77777777" w:rsidR="002E19DC" w:rsidRPr="00C205E7" w:rsidRDefault="002E19DC" w:rsidP="002E19DC">
            <w:pPr>
              <w:spacing w:after="0" w:line="240" w:lineRule="auto"/>
              <w:jc w:val="right"/>
              <w:rPr>
                <w:rFonts w:ascii="Times New Roman" w:eastAsia="Times New Roman" w:hAnsi="Times New Roman" w:cs="Times New Roman"/>
                <w:color w:val="000000" w:themeColor="text1"/>
                <w:sz w:val="20"/>
                <w:szCs w:val="20"/>
              </w:rPr>
            </w:pPr>
            <w:r w:rsidRPr="00C205E7">
              <w:rPr>
                <w:rFonts w:ascii="Times New Roman" w:eastAsia="Times New Roman" w:hAnsi="Times New Roman" w:cs="Times New Roman"/>
                <w:color w:val="000000" w:themeColor="text1"/>
                <w:sz w:val="20"/>
                <w:szCs w:val="20"/>
              </w:rPr>
              <w:t>2</w:t>
            </w:r>
          </w:p>
        </w:tc>
        <w:tc>
          <w:tcPr>
            <w:tcW w:w="1194" w:type="dxa"/>
            <w:tcBorders>
              <w:top w:val="nil"/>
              <w:left w:val="nil"/>
              <w:bottom w:val="single" w:sz="4" w:space="0" w:color="auto"/>
              <w:right w:val="single" w:sz="4" w:space="0" w:color="auto"/>
            </w:tcBorders>
            <w:shd w:val="clear" w:color="auto" w:fill="auto"/>
            <w:noWrap/>
            <w:vAlign w:val="center"/>
            <w:hideMark/>
          </w:tcPr>
          <w:p w14:paraId="415AE827" w14:textId="77777777" w:rsidR="002E19DC" w:rsidRPr="00C205E7" w:rsidRDefault="002E19DC" w:rsidP="002E19DC">
            <w:pPr>
              <w:spacing w:after="0" w:line="240" w:lineRule="auto"/>
              <w:jc w:val="right"/>
              <w:rPr>
                <w:rFonts w:ascii="Times New Roman" w:eastAsia="Times New Roman" w:hAnsi="Times New Roman" w:cs="Times New Roman"/>
                <w:color w:val="000000" w:themeColor="text1"/>
                <w:sz w:val="20"/>
                <w:szCs w:val="20"/>
              </w:rPr>
            </w:pPr>
            <w:r w:rsidRPr="00C205E7">
              <w:rPr>
                <w:rFonts w:ascii="Times New Roman" w:eastAsia="Times New Roman" w:hAnsi="Times New Roman" w:cs="Times New Roman"/>
                <w:color w:val="000000" w:themeColor="text1"/>
                <w:sz w:val="20"/>
                <w:szCs w:val="20"/>
              </w:rPr>
              <w:t>7</w:t>
            </w:r>
          </w:p>
        </w:tc>
      </w:tr>
      <w:tr w:rsidR="002E19DC" w:rsidRPr="002E19DC" w14:paraId="49F9C9CE" w14:textId="77777777" w:rsidTr="000D09BE">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3DF2C699"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25B9AAC8"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Arodizglītība</w:t>
            </w:r>
          </w:p>
        </w:tc>
        <w:tc>
          <w:tcPr>
            <w:tcW w:w="1339" w:type="dxa"/>
            <w:tcBorders>
              <w:top w:val="nil"/>
              <w:left w:val="nil"/>
              <w:bottom w:val="single" w:sz="4" w:space="0" w:color="auto"/>
              <w:right w:val="single" w:sz="4" w:space="0" w:color="auto"/>
            </w:tcBorders>
            <w:shd w:val="clear" w:color="auto" w:fill="auto"/>
            <w:noWrap/>
            <w:vAlign w:val="center"/>
            <w:hideMark/>
          </w:tcPr>
          <w:p w14:paraId="5ED99445" w14:textId="77777777" w:rsidR="002E19DC" w:rsidRPr="002E19DC" w:rsidRDefault="002E19DC" w:rsidP="002E19DC">
            <w:pPr>
              <w:spacing w:after="0" w:line="240" w:lineRule="auto"/>
              <w:jc w:val="right"/>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32</w:t>
            </w:r>
          </w:p>
        </w:tc>
        <w:tc>
          <w:tcPr>
            <w:tcW w:w="2205" w:type="dxa"/>
            <w:tcBorders>
              <w:top w:val="nil"/>
              <w:left w:val="nil"/>
              <w:bottom w:val="single" w:sz="4" w:space="0" w:color="auto"/>
              <w:right w:val="single" w:sz="4" w:space="0" w:color="auto"/>
            </w:tcBorders>
            <w:shd w:val="clear" w:color="auto" w:fill="auto"/>
            <w:noWrap/>
            <w:vAlign w:val="center"/>
            <w:hideMark/>
          </w:tcPr>
          <w:p w14:paraId="5C19FE32"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Frizieru pakalpojumi</w:t>
            </w:r>
          </w:p>
        </w:tc>
        <w:tc>
          <w:tcPr>
            <w:tcW w:w="2693" w:type="dxa"/>
            <w:tcBorders>
              <w:top w:val="nil"/>
              <w:left w:val="nil"/>
              <w:bottom w:val="single" w:sz="4" w:space="0" w:color="auto"/>
              <w:right w:val="single" w:sz="4" w:space="0" w:color="auto"/>
            </w:tcBorders>
            <w:shd w:val="clear" w:color="auto" w:fill="auto"/>
            <w:noWrap/>
            <w:vAlign w:val="center"/>
            <w:hideMark/>
          </w:tcPr>
          <w:p w14:paraId="6C39A9EA"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Frizieris</w:t>
            </w:r>
          </w:p>
        </w:tc>
        <w:tc>
          <w:tcPr>
            <w:tcW w:w="1260" w:type="dxa"/>
            <w:tcBorders>
              <w:top w:val="nil"/>
              <w:left w:val="nil"/>
              <w:bottom w:val="single" w:sz="4" w:space="0" w:color="auto"/>
              <w:right w:val="single" w:sz="4" w:space="0" w:color="auto"/>
            </w:tcBorders>
            <w:shd w:val="clear" w:color="auto" w:fill="auto"/>
            <w:noWrap/>
            <w:vAlign w:val="center"/>
            <w:hideMark/>
          </w:tcPr>
          <w:p w14:paraId="7B386978" w14:textId="77777777" w:rsidR="002E19DC" w:rsidRPr="002E19DC" w:rsidRDefault="002E19DC" w:rsidP="002E19DC">
            <w:pPr>
              <w:spacing w:after="0" w:line="240" w:lineRule="auto"/>
              <w:jc w:val="right"/>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3</w:t>
            </w:r>
          </w:p>
        </w:tc>
        <w:tc>
          <w:tcPr>
            <w:tcW w:w="1194" w:type="dxa"/>
            <w:tcBorders>
              <w:top w:val="nil"/>
              <w:left w:val="nil"/>
              <w:bottom w:val="single" w:sz="4" w:space="0" w:color="auto"/>
              <w:right w:val="single" w:sz="4" w:space="0" w:color="auto"/>
            </w:tcBorders>
            <w:shd w:val="clear" w:color="auto" w:fill="auto"/>
            <w:noWrap/>
            <w:vAlign w:val="center"/>
            <w:hideMark/>
          </w:tcPr>
          <w:p w14:paraId="3E331D5A" w14:textId="77777777" w:rsidR="002E19DC" w:rsidRPr="002E19DC" w:rsidRDefault="002E19DC" w:rsidP="002E19DC">
            <w:pPr>
              <w:spacing w:after="0" w:line="240" w:lineRule="auto"/>
              <w:jc w:val="right"/>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49</w:t>
            </w:r>
          </w:p>
        </w:tc>
      </w:tr>
      <w:tr w:rsidR="002E19DC" w:rsidRPr="002E19DC" w14:paraId="0DBE9F29" w14:textId="77777777" w:rsidTr="000D09BE">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0EBFC1F3"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6D804025"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Arodizglītība</w:t>
            </w:r>
          </w:p>
        </w:tc>
        <w:tc>
          <w:tcPr>
            <w:tcW w:w="1339" w:type="dxa"/>
            <w:tcBorders>
              <w:top w:val="nil"/>
              <w:left w:val="nil"/>
              <w:bottom w:val="single" w:sz="4" w:space="0" w:color="auto"/>
              <w:right w:val="single" w:sz="4" w:space="0" w:color="auto"/>
            </w:tcBorders>
            <w:shd w:val="clear" w:color="auto" w:fill="auto"/>
            <w:noWrap/>
            <w:vAlign w:val="center"/>
            <w:hideMark/>
          </w:tcPr>
          <w:p w14:paraId="6C29C679" w14:textId="77777777" w:rsidR="002E19DC" w:rsidRPr="002E19DC" w:rsidRDefault="002E19DC" w:rsidP="002E19DC">
            <w:pPr>
              <w:spacing w:after="0" w:line="240" w:lineRule="auto"/>
              <w:jc w:val="right"/>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32</w:t>
            </w:r>
          </w:p>
        </w:tc>
        <w:tc>
          <w:tcPr>
            <w:tcW w:w="2205" w:type="dxa"/>
            <w:tcBorders>
              <w:top w:val="nil"/>
              <w:left w:val="nil"/>
              <w:bottom w:val="single" w:sz="4" w:space="0" w:color="auto"/>
              <w:right w:val="single" w:sz="4" w:space="0" w:color="auto"/>
            </w:tcBorders>
            <w:shd w:val="clear" w:color="auto" w:fill="auto"/>
            <w:vAlign w:val="center"/>
            <w:hideMark/>
          </w:tcPr>
          <w:p w14:paraId="19AFF3B0"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Ēdināšanas pakalpojumi</w:t>
            </w:r>
          </w:p>
        </w:tc>
        <w:tc>
          <w:tcPr>
            <w:tcW w:w="2693" w:type="dxa"/>
            <w:tcBorders>
              <w:top w:val="nil"/>
              <w:left w:val="nil"/>
              <w:bottom w:val="single" w:sz="4" w:space="0" w:color="auto"/>
              <w:right w:val="single" w:sz="4" w:space="0" w:color="auto"/>
            </w:tcBorders>
            <w:shd w:val="clear" w:color="auto" w:fill="auto"/>
            <w:vAlign w:val="center"/>
            <w:hideMark/>
          </w:tcPr>
          <w:p w14:paraId="0E2477CA"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Pavārs</w:t>
            </w:r>
          </w:p>
        </w:tc>
        <w:tc>
          <w:tcPr>
            <w:tcW w:w="1260" w:type="dxa"/>
            <w:tcBorders>
              <w:top w:val="nil"/>
              <w:left w:val="nil"/>
              <w:bottom w:val="single" w:sz="4" w:space="0" w:color="auto"/>
              <w:right w:val="single" w:sz="4" w:space="0" w:color="auto"/>
            </w:tcBorders>
            <w:shd w:val="clear" w:color="auto" w:fill="auto"/>
            <w:vAlign w:val="center"/>
            <w:hideMark/>
          </w:tcPr>
          <w:p w14:paraId="2814337C"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3</w:t>
            </w:r>
          </w:p>
        </w:tc>
        <w:tc>
          <w:tcPr>
            <w:tcW w:w="1194" w:type="dxa"/>
            <w:tcBorders>
              <w:top w:val="nil"/>
              <w:left w:val="nil"/>
              <w:bottom w:val="single" w:sz="4" w:space="0" w:color="auto"/>
              <w:right w:val="single" w:sz="4" w:space="0" w:color="auto"/>
            </w:tcBorders>
            <w:shd w:val="clear" w:color="auto" w:fill="auto"/>
            <w:vAlign w:val="center"/>
            <w:hideMark/>
          </w:tcPr>
          <w:p w14:paraId="2A07F13E"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11</w:t>
            </w:r>
          </w:p>
        </w:tc>
      </w:tr>
      <w:tr w:rsidR="002E19DC" w:rsidRPr="002E19DC" w14:paraId="44C5A70A" w14:textId="77777777" w:rsidTr="000D09BE">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64EC8DE2"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620BF476"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vAlign w:val="center"/>
            <w:hideMark/>
          </w:tcPr>
          <w:p w14:paraId="7FAE3924"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33</w:t>
            </w:r>
          </w:p>
        </w:tc>
        <w:tc>
          <w:tcPr>
            <w:tcW w:w="2205" w:type="dxa"/>
            <w:tcBorders>
              <w:top w:val="nil"/>
              <w:left w:val="nil"/>
              <w:bottom w:val="single" w:sz="4" w:space="0" w:color="auto"/>
              <w:right w:val="single" w:sz="4" w:space="0" w:color="auto"/>
            </w:tcBorders>
            <w:shd w:val="clear" w:color="auto" w:fill="auto"/>
            <w:vAlign w:val="center"/>
            <w:hideMark/>
          </w:tcPr>
          <w:p w14:paraId="59D317F5"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Ēdināšanas pakalpojumi</w:t>
            </w:r>
          </w:p>
        </w:tc>
        <w:tc>
          <w:tcPr>
            <w:tcW w:w="2693" w:type="dxa"/>
            <w:tcBorders>
              <w:top w:val="nil"/>
              <w:left w:val="nil"/>
              <w:bottom w:val="single" w:sz="4" w:space="0" w:color="auto"/>
              <w:right w:val="single" w:sz="4" w:space="0" w:color="auto"/>
            </w:tcBorders>
            <w:shd w:val="clear" w:color="auto" w:fill="auto"/>
            <w:vAlign w:val="center"/>
            <w:hideMark/>
          </w:tcPr>
          <w:p w14:paraId="124AF1D7"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Konditors</w:t>
            </w:r>
          </w:p>
        </w:tc>
        <w:tc>
          <w:tcPr>
            <w:tcW w:w="1260" w:type="dxa"/>
            <w:tcBorders>
              <w:top w:val="nil"/>
              <w:left w:val="nil"/>
              <w:bottom w:val="single" w:sz="4" w:space="0" w:color="auto"/>
              <w:right w:val="single" w:sz="4" w:space="0" w:color="auto"/>
            </w:tcBorders>
            <w:shd w:val="clear" w:color="auto" w:fill="auto"/>
            <w:vAlign w:val="center"/>
            <w:hideMark/>
          </w:tcPr>
          <w:p w14:paraId="602C84CB"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4</w:t>
            </w:r>
          </w:p>
        </w:tc>
        <w:tc>
          <w:tcPr>
            <w:tcW w:w="1194" w:type="dxa"/>
            <w:tcBorders>
              <w:top w:val="nil"/>
              <w:left w:val="nil"/>
              <w:bottom w:val="single" w:sz="4" w:space="0" w:color="auto"/>
              <w:right w:val="single" w:sz="4" w:space="0" w:color="auto"/>
            </w:tcBorders>
            <w:shd w:val="clear" w:color="auto" w:fill="auto"/>
            <w:vAlign w:val="center"/>
            <w:hideMark/>
          </w:tcPr>
          <w:p w14:paraId="26EF48B9" w14:textId="5741CB54" w:rsidR="002E19DC" w:rsidRPr="002E19DC" w:rsidRDefault="00803B8A" w:rsidP="002E19D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r>
      <w:tr w:rsidR="002E19DC" w:rsidRPr="002E19DC" w14:paraId="1C2B6B36" w14:textId="77777777" w:rsidTr="000D09BE">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6DA60F8F"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16AFD47E"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noWrap/>
            <w:vAlign w:val="center"/>
            <w:hideMark/>
          </w:tcPr>
          <w:p w14:paraId="72779CD8" w14:textId="77777777" w:rsidR="002E19DC" w:rsidRPr="002E19DC" w:rsidRDefault="002E19DC" w:rsidP="002E19DC">
            <w:pPr>
              <w:spacing w:after="0" w:line="240" w:lineRule="auto"/>
              <w:jc w:val="right"/>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33</w:t>
            </w:r>
          </w:p>
        </w:tc>
        <w:tc>
          <w:tcPr>
            <w:tcW w:w="2205" w:type="dxa"/>
            <w:tcBorders>
              <w:top w:val="nil"/>
              <w:left w:val="nil"/>
              <w:bottom w:val="single" w:sz="4" w:space="0" w:color="auto"/>
              <w:right w:val="single" w:sz="4" w:space="0" w:color="auto"/>
            </w:tcBorders>
            <w:shd w:val="clear" w:color="auto" w:fill="auto"/>
            <w:vAlign w:val="center"/>
            <w:hideMark/>
          </w:tcPr>
          <w:p w14:paraId="71C8F7B6" w14:textId="77777777" w:rsidR="002E19DC" w:rsidRPr="00803B8A" w:rsidRDefault="002E19DC" w:rsidP="002E19DC">
            <w:pPr>
              <w:spacing w:after="0" w:line="240" w:lineRule="auto"/>
              <w:rPr>
                <w:rFonts w:ascii="Times New Roman" w:eastAsia="Times New Roman" w:hAnsi="Times New Roman" w:cs="Times New Roman"/>
                <w:color w:val="000000"/>
                <w:sz w:val="20"/>
                <w:szCs w:val="20"/>
              </w:rPr>
            </w:pPr>
            <w:r w:rsidRPr="00803B8A">
              <w:rPr>
                <w:rFonts w:ascii="Times New Roman" w:eastAsia="Times New Roman" w:hAnsi="Times New Roman" w:cs="Times New Roman"/>
                <w:color w:val="000000"/>
                <w:sz w:val="20"/>
                <w:szCs w:val="20"/>
              </w:rPr>
              <w:t>Ēdināšanas pakalpojumi</w:t>
            </w:r>
          </w:p>
        </w:tc>
        <w:tc>
          <w:tcPr>
            <w:tcW w:w="2693" w:type="dxa"/>
            <w:tcBorders>
              <w:top w:val="nil"/>
              <w:left w:val="nil"/>
              <w:bottom w:val="single" w:sz="4" w:space="0" w:color="auto"/>
              <w:right w:val="single" w:sz="4" w:space="0" w:color="auto"/>
            </w:tcBorders>
            <w:shd w:val="clear" w:color="auto" w:fill="auto"/>
            <w:vAlign w:val="center"/>
            <w:hideMark/>
          </w:tcPr>
          <w:p w14:paraId="45D3FB07" w14:textId="77777777" w:rsidR="002E19DC" w:rsidRPr="00803B8A" w:rsidRDefault="002E19DC" w:rsidP="002E19DC">
            <w:pPr>
              <w:spacing w:after="0" w:line="240" w:lineRule="auto"/>
              <w:rPr>
                <w:rFonts w:ascii="Times New Roman" w:eastAsia="Times New Roman" w:hAnsi="Times New Roman" w:cs="Times New Roman"/>
                <w:color w:val="000000"/>
                <w:sz w:val="20"/>
                <w:szCs w:val="20"/>
              </w:rPr>
            </w:pPr>
            <w:r w:rsidRPr="00803B8A">
              <w:rPr>
                <w:rFonts w:ascii="Times New Roman" w:eastAsia="Times New Roman" w:hAnsi="Times New Roman" w:cs="Times New Roman"/>
                <w:color w:val="000000"/>
                <w:sz w:val="20"/>
                <w:szCs w:val="20"/>
              </w:rPr>
              <w:t>Pavārs</w:t>
            </w:r>
          </w:p>
        </w:tc>
        <w:tc>
          <w:tcPr>
            <w:tcW w:w="1260" w:type="dxa"/>
            <w:tcBorders>
              <w:top w:val="nil"/>
              <w:left w:val="nil"/>
              <w:bottom w:val="single" w:sz="4" w:space="0" w:color="auto"/>
              <w:right w:val="single" w:sz="4" w:space="0" w:color="auto"/>
            </w:tcBorders>
            <w:shd w:val="clear" w:color="auto" w:fill="auto"/>
            <w:vAlign w:val="center"/>
            <w:hideMark/>
          </w:tcPr>
          <w:p w14:paraId="70520366" w14:textId="77777777" w:rsidR="002E19DC" w:rsidRPr="00803B8A" w:rsidRDefault="002E19DC" w:rsidP="002E19DC">
            <w:pPr>
              <w:spacing w:after="0" w:line="240" w:lineRule="auto"/>
              <w:jc w:val="right"/>
              <w:rPr>
                <w:rFonts w:ascii="Times New Roman" w:eastAsia="Times New Roman" w:hAnsi="Times New Roman" w:cs="Times New Roman"/>
                <w:color w:val="000000"/>
                <w:sz w:val="20"/>
                <w:szCs w:val="20"/>
              </w:rPr>
            </w:pPr>
            <w:r w:rsidRPr="00803B8A">
              <w:rPr>
                <w:rFonts w:ascii="Times New Roman" w:eastAsia="Times New Roman" w:hAnsi="Times New Roman" w:cs="Times New Roman"/>
                <w:color w:val="000000"/>
                <w:sz w:val="20"/>
                <w:szCs w:val="20"/>
              </w:rPr>
              <w:t>4</w:t>
            </w:r>
          </w:p>
        </w:tc>
        <w:tc>
          <w:tcPr>
            <w:tcW w:w="1194" w:type="dxa"/>
            <w:tcBorders>
              <w:top w:val="nil"/>
              <w:left w:val="nil"/>
              <w:bottom w:val="single" w:sz="4" w:space="0" w:color="auto"/>
              <w:right w:val="single" w:sz="4" w:space="0" w:color="auto"/>
            </w:tcBorders>
            <w:shd w:val="clear" w:color="auto" w:fill="auto"/>
            <w:vAlign w:val="center"/>
            <w:hideMark/>
          </w:tcPr>
          <w:p w14:paraId="15594151" w14:textId="47AFE300" w:rsidR="002E19DC" w:rsidRPr="00803B8A" w:rsidRDefault="00803B8A" w:rsidP="002E19DC">
            <w:pPr>
              <w:spacing w:after="0" w:line="240" w:lineRule="auto"/>
              <w:jc w:val="right"/>
              <w:rPr>
                <w:rFonts w:ascii="Times New Roman" w:eastAsia="Times New Roman" w:hAnsi="Times New Roman" w:cs="Times New Roman"/>
                <w:color w:val="000000"/>
                <w:sz w:val="20"/>
                <w:szCs w:val="20"/>
              </w:rPr>
            </w:pPr>
            <w:r w:rsidRPr="00803B8A">
              <w:rPr>
                <w:rFonts w:ascii="Times New Roman" w:eastAsia="Times New Roman" w:hAnsi="Times New Roman" w:cs="Times New Roman"/>
                <w:color w:val="000000"/>
                <w:sz w:val="20"/>
                <w:szCs w:val="20"/>
              </w:rPr>
              <w:t>42</w:t>
            </w:r>
          </w:p>
        </w:tc>
      </w:tr>
      <w:tr w:rsidR="002E19DC" w:rsidRPr="002E19DC" w14:paraId="09635007" w14:textId="77777777" w:rsidTr="00B71CDE">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48BCC597"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0CF51CEE"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noWrap/>
            <w:vAlign w:val="center"/>
            <w:hideMark/>
          </w:tcPr>
          <w:p w14:paraId="32639F98" w14:textId="77777777" w:rsidR="002E19DC" w:rsidRPr="002E19DC" w:rsidRDefault="002E19DC" w:rsidP="002E19DC">
            <w:pPr>
              <w:spacing w:after="0" w:line="240" w:lineRule="auto"/>
              <w:jc w:val="right"/>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33</w:t>
            </w:r>
          </w:p>
        </w:tc>
        <w:tc>
          <w:tcPr>
            <w:tcW w:w="2205" w:type="dxa"/>
            <w:tcBorders>
              <w:top w:val="nil"/>
              <w:left w:val="nil"/>
              <w:bottom w:val="single" w:sz="4" w:space="0" w:color="auto"/>
              <w:right w:val="single" w:sz="4" w:space="0" w:color="auto"/>
            </w:tcBorders>
            <w:shd w:val="clear" w:color="auto" w:fill="auto"/>
            <w:vAlign w:val="center"/>
            <w:hideMark/>
          </w:tcPr>
          <w:p w14:paraId="32EE487C" w14:textId="77777777" w:rsidR="002E19DC" w:rsidRPr="00803B8A" w:rsidRDefault="002E19DC" w:rsidP="002E19DC">
            <w:pPr>
              <w:spacing w:after="0" w:line="240" w:lineRule="auto"/>
              <w:rPr>
                <w:rFonts w:ascii="Times New Roman" w:eastAsia="Times New Roman" w:hAnsi="Times New Roman" w:cs="Times New Roman"/>
                <w:color w:val="000000"/>
                <w:sz w:val="20"/>
                <w:szCs w:val="20"/>
              </w:rPr>
            </w:pPr>
            <w:r w:rsidRPr="00803B8A">
              <w:rPr>
                <w:rFonts w:ascii="Times New Roman" w:eastAsia="Times New Roman" w:hAnsi="Times New Roman" w:cs="Times New Roman"/>
                <w:color w:val="000000"/>
                <w:sz w:val="20"/>
                <w:szCs w:val="20"/>
              </w:rPr>
              <w:t>Komerczinības</w:t>
            </w:r>
          </w:p>
        </w:tc>
        <w:tc>
          <w:tcPr>
            <w:tcW w:w="2693" w:type="dxa"/>
            <w:tcBorders>
              <w:top w:val="nil"/>
              <w:left w:val="nil"/>
              <w:bottom w:val="single" w:sz="4" w:space="0" w:color="auto"/>
              <w:right w:val="single" w:sz="4" w:space="0" w:color="auto"/>
            </w:tcBorders>
            <w:shd w:val="clear" w:color="auto" w:fill="auto"/>
            <w:vAlign w:val="center"/>
            <w:hideMark/>
          </w:tcPr>
          <w:p w14:paraId="7A5F94B6" w14:textId="77777777" w:rsidR="002E19DC" w:rsidRPr="00803B8A" w:rsidRDefault="002E19DC" w:rsidP="002E19DC">
            <w:pPr>
              <w:spacing w:after="0" w:line="240" w:lineRule="auto"/>
              <w:rPr>
                <w:rFonts w:ascii="Times New Roman" w:eastAsia="Times New Roman" w:hAnsi="Times New Roman" w:cs="Times New Roman"/>
                <w:color w:val="000000"/>
                <w:sz w:val="20"/>
                <w:szCs w:val="20"/>
              </w:rPr>
            </w:pPr>
            <w:r w:rsidRPr="00803B8A">
              <w:rPr>
                <w:rFonts w:ascii="Times New Roman" w:eastAsia="Times New Roman" w:hAnsi="Times New Roman" w:cs="Times New Roman"/>
                <w:color w:val="000000"/>
                <w:sz w:val="20"/>
                <w:szCs w:val="20"/>
              </w:rPr>
              <w:t>Mazumtirdzniecības komercdarbinieks</w:t>
            </w:r>
          </w:p>
        </w:tc>
        <w:tc>
          <w:tcPr>
            <w:tcW w:w="1260" w:type="dxa"/>
            <w:tcBorders>
              <w:top w:val="nil"/>
              <w:left w:val="nil"/>
              <w:bottom w:val="single" w:sz="4" w:space="0" w:color="auto"/>
              <w:right w:val="single" w:sz="4" w:space="0" w:color="auto"/>
            </w:tcBorders>
            <w:shd w:val="clear" w:color="auto" w:fill="auto"/>
            <w:vAlign w:val="center"/>
            <w:hideMark/>
          </w:tcPr>
          <w:p w14:paraId="3FD8F7E3" w14:textId="77777777" w:rsidR="002E19DC" w:rsidRPr="00803B8A" w:rsidRDefault="002E19DC" w:rsidP="002E19DC">
            <w:pPr>
              <w:spacing w:after="0" w:line="240" w:lineRule="auto"/>
              <w:jc w:val="right"/>
              <w:rPr>
                <w:rFonts w:ascii="Times New Roman" w:eastAsia="Times New Roman" w:hAnsi="Times New Roman" w:cs="Times New Roman"/>
                <w:color w:val="000000"/>
                <w:sz w:val="20"/>
                <w:szCs w:val="20"/>
              </w:rPr>
            </w:pPr>
            <w:r w:rsidRPr="00803B8A">
              <w:rPr>
                <w:rFonts w:ascii="Times New Roman" w:eastAsia="Times New Roman" w:hAnsi="Times New Roman" w:cs="Times New Roman"/>
                <w:color w:val="000000"/>
                <w:sz w:val="20"/>
                <w:szCs w:val="20"/>
              </w:rPr>
              <w:t>4</w:t>
            </w:r>
          </w:p>
        </w:tc>
        <w:tc>
          <w:tcPr>
            <w:tcW w:w="1194" w:type="dxa"/>
            <w:tcBorders>
              <w:top w:val="nil"/>
              <w:left w:val="nil"/>
              <w:bottom w:val="single" w:sz="4" w:space="0" w:color="auto"/>
              <w:right w:val="single" w:sz="4" w:space="0" w:color="auto"/>
            </w:tcBorders>
            <w:shd w:val="clear" w:color="auto" w:fill="auto"/>
            <w:vAlign w:val="center"/>
            <w:hideMark/>
          </w:tcPr>
          <w:p w14:paraId="01AA9D5B" w14:textId="77777777" w:rsidR="002E19DC" w:rsidRPr="00803B8A" w:rsidRDefault="002E19DC" w:rsidP="002E19DC">
            <w:pPr>
              <w:spacing w:after="0" w:line="240" w:lineRule="auto"/>
              <w:jc w:val="right"/>
              <w:rPr>
                <w:rFonts w:ascii="Times New Roman" w:eastAsia="Times New Roman" w:hAnsi="Times New Roman" w:cs="Times New Roman"/>
                <w:color w:val="000000"/>
                <w:sz w:val="20"/>
                <w:szCs w:val="20"/>
              </w:rPr>
            </w:pPr>
            <w:r w:rsidRPr="00803B8A">
              <w:rPr>
                <w:rFonts w:ascii="Times New Roman" w:eastAsia="Times New Roman" w:hAnsi="Times New Roman" w:cs="Times New Roman"/>
                <w:color w:val="000000"/>
                <w:sz w:val="20"/>
                <w:szCs w:val="20"/>
              </w:rPr>
              <w:t>10</w:t>
            </w:r>
          </w:p>
        </w:tc>
      </w:tr>
      <w:tr w:rsidR="002E19DC" w:rsidRPr="002E19DC" w14:paraId="18021FBF" w14:textId="77777777" w:rsidTr="00BC5709">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4201D737"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5BAA2C11"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noWrap/>
            <w:vAlign w:val="center"/>
            <w:hideMark/>
          </w:tcPr>
          <w:p w14:paraId="2A696397" w14:textId="77777777" w:rsidR="002E19DC" w:rsidRPr="002E19DC" w:rsidRDefault="002E19DC" w:rsidP="002E19DC">
            <w:pPr>
              <w:spacing w:after="0" w:line="240" w:lineRule="auto"/>
              <w:jc w:val="right"/>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33</w:t>
            </w:r>
          </w:p>
        </w:tc>
        <w:tc>
          <w:tcPr>
            <w:tcW w:w="2205" w:type="dxa"/>
            <w:tcBorders>
              <w:top w:val="nil"/>
              <w:left w:val="nil"/>
              <w:bottom w:val="single" w:sz="4" w:space="0" w:color="auto"/>
              <w:right w:val="single" w:sz="4" w:space="0" w:color="auto"/>
            </w:tcBorders>
            <w:shd w:val="clear" w:color="auto" w:fill="92D050"/>
            <w:vAlign w:val="center"/>
            <w:hideMark/>
          </w:tcPr>
          <w:p w14:paraId="281E6269"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Metālapstrāde</w:t>
            </w:r>
          </w:p>
        </w:tc>
        <w:tc>
          <w:tcPr>
            <w:tcW w:w="2693" w:type="dxa"/>
            <w:tcBorders>
              <w:top w:val="nil"/>
              <w:left w:val="nil"/>
              <w:bottom w:val="single" w:sz="4" w:space="0" w:color="auto"/>
              <w:right w:val="single" w:sz="4" w:space="0" w:color="auto"/>
            </w:tcBorders>
            <w:shd w:val="clear" w:color="auto" w:fill="auto"/>
            <w:vAlign w:val="center"/>
            <w:hideMark/>
          </w:tcPr>
          <w:p w14:paraId="30B225B8"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Programmvadības metālapstrādes darbgaldu iestatītājs</w:t>
            </w:r>
          </w:p>
        </w:tc>
        <w:tc>
          <w:tcPr>
            <w:tcW w:w="1260" w:type="dxa"/>
            <w:tcBorders>
              <w:top w:val="nil"/>
              <w:left w:val="nil"/>
              <w:bottom w:val="single" w:sz="4" w:space="0" w:color="auto"/>
              <w:right w:val="single" w:sz="4" w:space="0" w:color="auto"/>
            </w:tcBorders>
            <w:shd w:val="clear" w:color="auto" w:fill="auto"/>
            <w:vAlign w:val="center"/>
            <w:hideMark/>
          </w:tcPr>
          <w:p w14:paraId="3D5DD9F0"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4</w:t>
            </w:r>
          </w:p>
        </w:tc>
        <w:tc>
          <w:tcPr>
            <w:tcW w:w="1194" w:type="dxa"/>
            <w:tcBorders>
              <w:top w:val="nil"/>
              <w:left w:val="nil"/>
              <w:bottom w:val="single" w:sz="4" w:space="0" w:color="auto"/>
              <w:right w:val="single" w:sz="4" w:space="0" w:color="auto"/>
            </w:tcBorders>
            <w:shd w:val="clear" w:color="auto" w:fill="auto"/>
            <w:vAlign w:val="center"/>
            <w:hideMark/>
          </w:tcPr>
          <w:p w14:paraId="547E9AB6" w14:textId="5A8139F6" w:rsidR="002E19DC" w:rsidRPr="002E19DC" w:rsidRDefault="00803B8A" w:rsidP="002E19D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r>
      <w:tr w:rsidR="002E19DC" w:rsidRPr="002E19DC" w14:paraId="3270F24F" w14:textId="77777777" w:rsidTr="000D09BE">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24889DE2"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281DA31F"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noWrap/>
            <w:vAlign w:val="center"/>
            <w:hideMark/>
          </w:tcPr>
          <w:p w14:paraId="1407A2B3" w14:textId="77777777" w:rsidR="002E19DC" w:rsidRPr="002E19DC" w:rsidRDefault="002E19DC" w:rsidP="002E19DC">
            <w:pPr>
              <w:spacing w:after="0" w:line="240" w:lineRule="auto"/>
              <w:jc w:val="right"/>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33</w:t>
            </w:r>
          </w:p>
        </w:tc>
        <w:tc>
          <w:tcPr>
            <w:tcW w:w="2205" w:type="dxa"/>
            <w:tcBorders>
              <w:top w:val="nil"/>
              <w:left w:val="nil"/>
              <w:bottom w:val="single" w:sz="4" w:space="0" w:color="auto"/>
              <w:right w:val="single" w:sz="4" w:space="0" w:color="auto"/>
            </w:tcBorders>
            <w:shd w:val="clear" w:color="auto" w:fill="auto"/>
            <w:vAlign w:val="center"/>
            <w:hideMark/>
          </w:tcPr>
          <w:p w14:paraId="03F9569E" w14:textId="77777777" w:rsidR="002E19DC" w:rsidRPr="00803B8A" w:rsidRDefault="002E19DC" w:rsidP="002E19DC">
            <w:pPr>
              <w:spacing w:after="0" w:line="240" w:lineRule="auto"/>
              <w:rPr>
                <w:rFonts w:ascii="Times New Roman" w:eastAsia="Times New Roman" w:hAnsi="Times New Roman" w:cs="Times New Roman"/>
                <w:color w:val="000000"/>
                <w:sz w:val="20"/>
                <w:szCs w:val="20"/>
              </w:rPr>
            </w:pPr>
            <w:r w:rsidRPr="00803B8A">
              <w:rPr>
                <w:rFonts w:ascii="Times New Roman" w:eastAsia="Times New Roman" w:hAnsi="Times New Roman" w:cs="Times New Roman"/>
                <w:color w:val="000000"/>
                <w:sz w:val="20"/>
                <w:szCs w:val="20"/>
              </w:rPr>
              <w:t>Miltu izstrādājumu ražošana</w:t>
            </w:r>
          </w:p>
        </w:tc>
        <w:tc>
          <w:tcPr>
            <w:tcW w:w="2693" w:type="dxa"/>
            <w:tcBorders>
              <w:top w:val="nil"/>
              <w:left w:val="nil"/>
              <w:bottom w:val="single" w:sz="4" w:space="0" w:color="auto"/>
              <w:right w:val="single" w:sz="4" w:space="0" w:color="auto"/>
            </w:tcBorders>
            <w:shd w:val="clear" w:color="auto" w:fill="auto"/>
            <w:vAlign w:val="center"/>
            <w:hideMark/>
          </w:tcPr>
          <w:p w14:paraId="0F7C979C" w14:textId="77777777" w:rsidR="002E19DC" w:rsidRPr="00803B8A" w:rsidRDefault="002E19DC" w:rsidP="002E19DC">
            <w:pPr>
              <w:spacing w:after="0" w:line="240" w:lineRule="auto"/>
              <w:rPr>
                <w:rFonts w:ascii="Times New Roman" w:eastAsia="Times New Roman" w:hAnsi="Times New Roman" w:cs="Times New Roman"/>
                <w:color w:val="000000"/>
                <w:sz w:val="20"/>
                <w:szCs w:val="20"/>
              </w:rPr>
            </w:pPr>
            <w:r w:rsidRPr="00803B8A">
              <w:rPr>
                <w:rFonts w:ascii="Times New Roman" w:eastAsia="Times New Roman" w:hAnsi="Times New Roman" w:cs="Times New Roman"/>
                <w:color w:val="000000"/>
                <w:sz w:val="20"/>
                <w:szCs w:val="20"/>
              </w:rPr>
              <w:t>Maizes un miltu konditorejas izstrādājumu speciālists</w:t>
            </w:r>
          </w:p>
        </w:tc>
        <w:tc>
          <w:tcPr>
            <w:tcW w:w="1260" w:type="dxa"/>
            <w:tcBorders>
              <w:top w:val="nil"/>
              <w:left w:val="nil"/>
              <w:bottom w:val="single" w:sz="4" w:space="0" w:color="auto"/>
              <w:right w:val="single" w:sz="4" w:space="0" w:color="auto"/>
            </w:tcBorders>
            <w:shd w:val="clear" w:color="auto" w:fill="auto"/>
            <w:vAlign w:val="center"/>
            <w:hideMark/>
          </w:tcPr>
          <w:p w14:paraId="39D0F598" w14:textId="77777777" w:rsidR="002E19DC" w:rsidRPr="00803B8A" w:rsidRDefault="002E19DC" w:rsidP="002E19DC">
            <w:pPr>
              <w:spacing w:after="0" w:line="240" w:lineRule="auto"/>
              <w:jc w:val="right"/>
              <w:rPr>
                <w:rFonts w:ascii="Times New Roman" w:eastAsia="Times New Roman" w:hAnsi="Times New Roman" w:cs="Times New Roman"/>
                <w:color w:val="000000"/>
                <w:sz w:val="20"/>
                <w:szCs w:val="20"/>
              </w:rPr>
            </w:pPr>
            <w:r w:rsidRPr="00803B8A">
              <w:rPr>
                <w:rFonts w:ascii="Times New Roman" w:eastAsia="Times New Roman" w:hAnsi="Times New Roman" w:cs="Times New Roman"/>
                <w:color w:val="000000"/>
                <w:sz w:val="20"/>
                <w:szCs w:val="20"/>
              </w:rPr>
              <w:t>4</w:t>
            </w:r>
          </w:p>
        </w:tc>
        <w:tc>
          <w:tcPr>
            <w:tcW w:w="1194" w:type="dxa"/>
            <w:tcBorders>
              <w:top w:val="nil"/>
              <w:left w:val="nil"/>
              <w:bottom w:val="single" w:sz="4" w:space="0" w:color="auto"/>
              <w:right w:val="single" w:sz="4" w:space="0" w:color="auto"/>
            </w:tcBorders>
            <w:shd w:val="clear" w:color="auto" w:fill="auto"/>
            <w:vAlign w:val="center"/>
            <w:hideMark/>
          </w:tcPr>
          <w:p w14:paraId="206A8B5B" w14:textId="77777777" w:rsidR="002E19DC" w:rsidRPr="00803B8A" w:rsidRDefault="002E19DC" w:rsidP="002E19DC">
            <w:pPr>
              <w:spacing w:after="0" w:line="240" w:lineRule="auto"/>
              <w:jc w:val="right"/>
              <w:rPr>
                <w:rFonts w:ascii="Times New Roman" w:eastAsia="Times New Roman" w:hAnsi="Times New Roman" w:cs="Times New Roman"/>
                <w:color w:val="000000"/>
                <w:sz w:val="20"/>
                <w:szCs w:val="20"/>
              </w:rPr>
            </w:pPr>
            <w:r w:rsidRPr="00803B8A">
              <w:rPr>
                <w:rFonts w:ascii="Times New Roman" w:eastAsia="Times New Roman" w:hAnsi="Times New Roman" w:cs="Times New Roman"/>
                <w:color w:val="000000"/>
                <w:sz w:val="20"/>
                <w:szCs w:val="20"/>
              </w:rPr>
              <w:t>6</w:t>
            </w:r>
          </w:p>
        </w:tc>
      </w:tr>
      <w:tr w:rsidR="002E19DC" w:rsidRPr="002E19DC" w14:paraId="16B60D9B" w14:textId="77777777" w:rsidTr="000D09BE">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320C88C8"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25E83075"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noWrap/>
            <w:vAlign w:val="center"/>
            <w:hideMark/>
          </w:tcPr>
          <w:p w14:paraId="5797BD23" w14:textId="77777777" w:rsidR="002E19DC" w:rsidRPr="002E19DC" w:rsidRDefault="002E19DC" w:rsidP="002E19DC">
            <w:pPr>
              <w:spacing w:after="0" w:line="240" w:lineRule="auto"/>
              <w:jc w:val="right"/>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33</w:t>
            </w:r>
          </w:p>
        </w:tc>
        <w:tc>
          <w:tcPr>
            <w:tcW w:w="2205" w:type="dxa"/>
            <w:tcBorders>
              <w:top w:val="nil"/>
              <w:left w:val="nil"/>
              <w:bottom w:val="single" w:sz="4" w:space="0" w:color="auto"/>
              <w:right w:val="single" w:sz="4" w:space="0" w:color="auto"/>
            </w:tcBorders>
            <w:shd w:val="clear" w:color="auto" w:fill="auto"/>
            <w:vAlign w:val="center"/>
            <w:hideMark/>
          </w:tcPr>
          <w:p w14:paraId="733FD03D" w14:textId="77777777" w:rsidR="002E19DC" w:rsidRPr="00803B8A" w:rsidRDefault="002E19DC" w:rsidP="002E19DC">
            <w:pPr>
              <w:spacing w:after="0" w:line="240" w:lineRule="auto"/>
              <w:rPr>
                <w:rFonts w:ascii="Times New Roman" w:eastAsia="Times New Roman" w:hAnsi="Times New Roman" w:cs="Times New Roman"/>
                <w:color w:val="000000"/>
                <w:sz w:val="20"/>
                <w:szCs w:val="20"/>
              </w:rPr>
            </w:pPr>
            <w:r w:rsidRPr="00803B8A">
              <w:rPr>
                <w:rFonts w:ascii="Times New Roman" w:eastAsia="Times New Roman" w:hAnsi="Times New Roman" w:cs="Times New Roman"/>
                <w:color w:val="000000"/>
                <w:sz w:val="20"/>
                <w:szCs w:val="20"/>
              </w:rPr>
              <w:t>Šūto izstrādājumu ražošanas tehnoloģija</w:t>
            </w:r>
          </w:p>
        </w:tc>
        <w:tc>
          <w:tcPr>
            <w:tcW w:w="2693" w:type="dxa"/>
            <w:tcBorders>
              <w:top w:val="nil"/>
              <w:left w:val="nil"/>
              <w:bottom w:val="single" w:sz="4" w:space="0" w:color="auto"/>
              <w:right w:val="single" w:sz="4" w:space="0" w:color="auto"/>
            </w:tcBorders>
            <w:shd w:val="clear" w:color="auto" w:fill="auto"/>
            <w:vAlign w:val="center"/>
            <w:hideMark/>
          </w:tcPr>
          <w:p w14:paraId="72249CE8" w14:textId="77777777" w:rsidR="002E19DC" w:rsidRPr="00803B8A" w:rsidRDefault="002E19DC" w:rsidP="002E19DC">
            <w:pPr>
              <w:spacing w:after="0" w:line="240" w:lineRule="auto"/>
              <w:rPr>
                <w:rFonts w:ascii="Times New Roman" w:eastAsia="Times New Roman" w:hAnsi="Times New Roman" w:cs="Times New Roman"/>
                <w:color w:val="000000"/>
                <w:sz w:val="20"/>
                <w:szCs w:val="20"/>
              </w:rPr>
            </w:pPr>
            <w:r w:rsidRPr="00803B8A">
              <w:rPr>
                <w:rFonts w:ascii="Times New Roman" w:eastAsia="Times New Roman" w:hAnsi="Times New Roman" w:cs="Times New Roman"/>
                <w:color w:val="000000"/>
                <w:sz w:val="20"/>
                <w:szCs w:val="20"/>
              </w:rPr>
              <w:t>Tērpu izgatavošanas un stila speciālists</w:t>
            </w:r>
          </w:p>
        </w:tc>
        <w:tc>
          <w:tcPr>
            <w:tcW w:w="1260" w:type="dxa"/>
            <w:tcBorders>
              <w:top w:val="nil"/>
              <w:left w:val="nil"/>
              <w:bottom w:val="single" w:sz="4" w:space="0" w:color="auto"/>
              <w:right w:val="single" w:sz="4" w:space="0" w:color="auto"/>
            </w:tcBorders>
            <w:shd w:val="clear" w:color="auto" w:fill="auto"/>
            <w:vAlign w:val="center"/>
            <w:hideMark/>
          </w:tcPr>
          <w:p w14:paraId="01A46E17" w14:textId="77777777" w:rsidR="002E19DC" w:rsidRPr="00803B8A" w:rsidRDefault="002E19DC" w:rsidP="002E19DC">
            <w:pPr>
              <w:spacing w:after="0" w:line="240" w:lineRule="auto"/>
              <w:jc w:val="right"/>
              <w:rPr>
                <w:rFonts w:ascii="Times New Roman" w:eastAsia="Times New Roman" w:hAnsi="Times New Roman" w:cs="Times New Roman"/>
                <w:color w:val="000000"/>
                <w:sz w:val="20"/>
                <w:szCs w:val="20"/>
              </w:rPr>
            </w:pPr>
            <w:r w:rsidRPr="00803B8A">
              <w:rPr>
                <w:rFonts w:ascii="Times New Roman" w:eastAsia="Times New Roman" w:hAnsi="Times New Roman" w:cs="Times New Roman"/>
                <w:color w:val="000000"/>
                <w:sz w:val="20"/>
                <w:szCs w:val="20"/>
              </w:rPr>
              <w:t>4</w:t>
            </w:r>
          </w:p>
        </w:tc>
        <w:tc>
          <w:tcPr>
            <w:tcW w:w="1194" w:type="dxa"/>
            <w:tcBorders>
              <w:top w:val="nil"/>
              <w:left w:val="nil"/>
              <w:bottom w:val="single" w:sz="4" w:space="0" w:color="auto"/>
              <w:right w:val="single" w:sz="4" w:space="0" w:color="auto"/>
            </w:tcBorders>
            <w:shd w:val="clear" w:color="auto" w:fill="auto"/>
            <w:vAlign w:val="center"/>
            <w:hideMark/>
          </w:tcPr>
          <w:p w14:paraId="1C201AEF" w14:textId="5E14D9AE" w:rsidR="002E19DC" w:rsidRPr="00803B8A" w:rsidRDefault="00803B8A" w:rsidP="002E19DC">
            <w:pPr>
              <w:spacing w:after="0" w:line="240" w:lineRule="auto"/>
              <w:jc w:val="right"/>
              <w:rPr>
                <w:rFonts w:ascii="Times New Roman" w:eastAsia="Times New Roman" w:hAnsi="Times New Roman" w:cs="Times New Roman"/>
                <w:color w:val="000000"/>
                <w:sz w:val="20"/>
                <w:szCs w:val="20"/>
              </w:rPr>
            </w:pPr>
            <w:r w:rsidRPr="00803B8A">
              <w:rPr>
                <w:rFonts w:ascii="Times New Roman" w:eastAsia="Times New Roman" w:hAnsi="Times New Roman" w:cs="Times New Roman"/>
                <w:color w:val="000000"/>
                <w:sz w:val="20"/>
                <w:szCs w:val="20"/>
              </w:rPr>
              <w:t>25</w:t>
            </w:r>
          </w:p>
        </w:tc>
      </w:tr>
      <w:tr w:rsidR="002E19DC" w:rsidRPr="002E19DC" w14:paraId="689EDC37" w14:textId="77777777" w:rsidTr="000D09BE">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6134BCED"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3F40A87A"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noWrap/>
            <w:vAlign w:val="center"/>
            <w:hideMark/>
          </w:tcPr>
          <w:p w14:paraId="2E8C2058" w14:textId="77777777" w:rsidR="002E19DC" w:rsidRPr="002E19DC" w:rsidRDefault="002E19DC" w:rsidP="002E19DC">
            <w:pPr>
              <w:spacing w:after="0" w:line="240" w:lineRule="auto"/>
              <w:jc w:val="right"/>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35b</w:t>
            </w:r>
          </w:p>
        </w:tc>
        <w:tc>
          <w:tcPr>
            <w:tcW w:w="2205" w:type="dxa"/>
            <w:tcBorders>
              <w:top w:val="nil"/>
              <w:left w:val="nil"/>
              <w:bottom w:val="single" w:sz="4" w:space="0" w:color="auto"/>
              <w:right w:val="single" w:sz="4" w:space="0" w:color="auto"/>
            </w:tcBorders>
            <w:shd w:val="clear" w:color="auto" w:fill="auto"/>
            <w:vAlign w:val="center"/>
            <w:hideMark/>
          </w:tcPr>
          <w:p w14:paraId="50C1A982" w14:textId="77777777" w:rsidR="002E19DC" w:rsidRPr="00803B8A" w:rsidRDefault="002E19DC" w:rsidP="002E19DC">
            <w:pPr>
              <w:spacing w:after="0" w:line="240" w:lineRule="auto"/>
              <w:rPr>
                <w:rFonts w:ascii="Times New Roman" w:eastAsia="Times New Roman" w:hAnsi="Times New Roman" w:cs="Times New Roman"/>
                <w:color w:val="000000"/>
                <w:sz w:val="20"/>
                <w:szCs w:val="20"/>
              </w:rPr>
            </w:pPr>
            <w:r w:rsidRPr="00803B8A">
              <w:rPr>
                <w:rFonts w:ascii="Times New Roman" w:eastAsia="Times New Roman" w:hAnsi="Times New Roman" w:cs="Times New Roman"/>
                <w:color w:val="000000"/>
                <w:sz w:val="20"/>
                <w:szCs w:val="20"/>
              </w:rPr>
              <w:t>Ēdināšanas pakalpojumi</w:t>
            </w:r>
          </w:p>
        </w:tc>
        <w:tc>
          <w:tcPr>
            <w:tcW w:w="2693" w:type="dxa"/>
            <w:tcBorders>
              <w:top w:val="nil"/>
              <w:left w:val="nil"/>
              <w:bottom w:val="single" w:sz="4" w:space="0" w:color="auto"/>
              <w:right w:val="single" w:sz="4" w:space="0" w:color="auto"/>
            </w:tcBorders>
            <w:shd w:val="clear" w:color="auto" w:fill="auto"/>
            <w:vAlign w:val="center"/>
            <w:hideMark/>
          </w:tcPr>
          <w:p w14:paraId="3090BC64" w14:textId="77777777" w:rsidR="002E19DC" w:rsidRPr="00803B8A" w:rsidRDefault="002E19DC" w:rsidP="002E19DC">
            <w:pPr>
              <w:spacing w:after="0" w:line="240" w:lineRule="auto"/>
              <w:rPr>
                <w:rFonts w:ascii="Times New Roman" w:eastAsia="Times New Roman" w:hAnsi="Times New Roman" w:cs="Times New Roman"/>
                <w:color w:val="000000"/>
                <w:sz w:val="20"/>
                <w:szCs w:val="20"/>
              </w:rPr>
            </w:pPr>
            <w:r w:rsidRPr="00803B8A">
              <w:rPr>
                <w:rFonts w:ascii="Times New Roman" w:eastAsia="Times New Roman" w:hAnsi="Times New Roman" w:cs="Times New Roman"/>
                <w:color w:val="000000"/>
                <w:sz w:val="20"/>
                <w:szCs w:val="20"/>
              </w:rPr>
              <w:t>Konditors</w:t>
            </w:r>
          </w:p>
        </w:tc>
        <w:tc>
          <w:tcPr>
            <w:tcW w:w="1260" w:type="dxa"/>
            <w:tcBorders>
              <w:top w:val="nil"/>
              <w:left w:val="nil"/>
              <w:bottom w:val="single" w:sz="4" w:space="0" w:color="auto"/>
              <w:right w:val="single" w:sz="4" w:space="0" w:color="auto"/>
            </w:tcBorders>
            <w:shd w:val="clear" w:color="auto" w:fill="auto"/>
            <w:vAlign w:val="center"/>
            <w:hideMark/>
          </w:tcPr>
          <w:p w14:paraId="3B980BD7" w14:textId="77777777" w:rsidR="002E19DC" w:rsidRPr="00803B8A" w:rsidRDefault="002E19DC" w:rsidP="002E19DC">
            <w:pPr>
              <w:spacing w:after="0" w:line="240" w:lineRule="auto"/>
              <w:jc w:val="right"/>
              <w:rPr>
                <w:rFonts w:ascii="Times New Roman" w:eastAsia="Times New Roman" w:hAnsi="Times New Roman" w:cs="Times New Roman"/>
                <w:color w:val="000000"/>
                <w:sz w:val="20"/>
                <w:szCs w:val="20"/>
              </w:rPr>
            </w:pPr>
            <w:r w:rsidRPr="00803B8A">
              <w:rPr>
                <w:rFonts w:ascii="Times New Roman" w:eastAsia="Times New Roman" w:hAnsi="Times New Roman" w:cs="Times New Roman"/>
                <w:color w:val="000000"/>
                <w:sz w:val="20"/>
                <w:szCs w:val="20"/>
              </w:rPr>
              <w:t>1,5</w:t>
            </w:r>
          </w:p>
        </w:tc>
        <w:tc>
          <w:tcPr>
            <w:tcW w:w="1194" w:type="dxa"/>
            <w:tcBorders>
              <w:top w:val="nil"/>
              <w:left w:val="nil"/>
              <w:bottom w:val="single" w:sz="4" w:space="0" w:color="auto"/>
              <w:right w:val="single" w:sz="4" w:space="0" w:color="auto"/>
            </w:tcBorders>
            <w:shd w:val="clear" w:color="auto" w:fill="auto"/>
            <w:vAlign w:val="center"/>
            <w:hideMark/>
          </w:tcPr>
          <w:p w14:paraId="530B03D5" w14:textId="77777777" w:rsidR="002E19DC" w:rsidRPr="00803B8A" w:rsidRDefault="002E19DC" w:rsidP="002E19DC">
            <w:pPr>
              <w:spacing w:after="0" w:line="240" w:lineRule="auto"/>
              <w:jc w:val="right"/>
              <w:rPr>
                <w:rFonts w:ascii="Times New Roman" w:eastAsia="Times New Roman" w:hAnsi="Times New Roman" w:cs="Times New Roman"/>
                <w:color w:val="000000"/>
                <w:sz w:val="20"/>
                <w:szCs w:val="20"/>
              </w:rPr>
            </w:pPr>
            <w:r w:rsidRPr="00803B8A">
              <w:rPr>
                <w:rFonts w:ascii="Times New Roman" w:eastAsia="Times New Roman" w:hAnsi="Times New Roman" w:cs="Times New Roman"/>
                <w:color w:val="000000"/>
                <w:sz w:val="20"/>
                <w:szCs w:val="20"/>
              </w:rPr>
              <w:t>11</w:t>
            </w:r>
          </w:p>
        </w:tc>
      </w:tr>
      <w:tr w:rsidR="002E19DC" w:rsidRPr="002E19DC" w14:paraId="1B3A83A5" w14:textId="77777777" w:rsidTr="000D09BE">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31732204"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28ECCCD8"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noWrap/>
            <w:vAlign w:val="center"/>
            <w:hideMark/>
          </w:tcPr>
          <w:p w14:paraId="1F7B48B2" w14:textId="77777777" w:rsidR="002E19DC" w:rsidRPr="002E19DC" w:rsidRDefault="002E19DC" w:rsidP="002E19DC">
            <w:pPr>
              <w:spacing w:after="0" w:line="240" w:lineRule="auto"/>
              <w:jc w:val="right"/>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35b</w:t>
            </w:r>
          </w:p>
        </w:tc>
        <w:tc>
          <w:tcPr>
            <w:tcW w:w="2205" w:type="dxa"/>
            <w:tcBorders>
              <w:top w:val="nil"/>
              <w:left w:val="nil"/>
              <w:bottom w:val="single" w:sz="4" w:space="0" w:color="auto"/>
              <w:right w:val="single" w:sz="4" w:space="0" w:color="auto"/>
            </w:tcBorders>
            <w:shd w:val="clear" w:color="auto" w:fill="auto"/>
            <w:vAlign w:val="center"/>
            <w:hideMark/>
          </w:tcPr>
          <w:p w14:paraId="57A0A06A" w14:textId="77777777" w:rsidR="002E19DC" w:rsidRPr="00803B8A" w:rsidRDefault="002E19DC" w:rsidP="002E19DC">
            <w:pPr>
              <w:spacing w:after="0" w:line="240" w:lineRule="auto"/>
              <w:rPr>
                <w:rFonts w:ascii="Times New Roman" w:eastAsia="Times New Roman" w:hAnsi="Times New Roman" w:cs="Times New Roman"/>
                <w:color w:val="000000"/>
                <w:sz w:val="20"/>
                <w:szCs w:val="20"/>
              </w:rPr>
            </w:pPr>
            <w:r w:rsidRPr="00803B8A">
              <w:rPr>
                <w:rFonts w:ascii="Times New Roman" w:eastAsia="Times New Roman" w:hAnsi="Times New Roman" w:cs="Times New Roman"/>
                <w:color w:val="000000"/>
                <w:sz w:val="20"/>
                <w:szCs w:val="20"/>
              </w:rPr>
              <w:t>Frizieru pakalpojumi</w:t>
            </w:r>
          </w:p>
        </w:tc>
        <w:tc>
          <w:tcPr>
            <w:tcW w:w="2693" w:type="dxa"/>
            <w:tcBorders>
              <w:top w:val="nil"/>
              <w:left w:val="nil"/>
              <w:bottom w:val="single" w:sz="4" w:space="0" w:color="auto"/>
              <w:right w:val="single" w:sz="4" w:space="0" w:color="auto"/>
            </w:tcBorders>
            <w:shd w:val="clear" w:color="auto" w:fill="auto"/>
            <w:vAlign w:val="center"/>
            <w:hideMark/>
          </w:tcPr>
          <w:p w14:paraId="4836F4D9" w14:textId="77777777" w:rsidR="002E19DC" w:rsidRPr="00803B8A" w:rsidRDefault="002E19DC" w:rsidP="002E19DC">
            <w:pPr>
              <w:spacing w:after="0" w:line="240" w:lineRule="auto"/>
              <w:rPr>
                <w:rFonts w:ascii="Times New Roman" w:eastAsia="Times New Roman" w:hAnsi="Times New Roman" w:cs="Times New Roman"/>
                <w:color w:val="000000"/>
                <w:sz w:val="20"/>
                <w:szCs w:val="20"/>
              </w:rPr>
            </w:pPr>
            <w:r w:rsidRPr="00803B8A">
              <w:rPr>
                <w:rFonts w:ascii="Times New Roman" w:eastAsia="Times New Roman" w:hAnsi="Times New Roman" w:cs="Times New Roman"/>
                <w:color w:val="000000"/>
                <w:sz w:val="20"/>
                <w:szCs w:val="20"/>
              </w:rPr>
              <w:t>Frizieris - stilists</w:t>
            </w:r>
          </w:p>
        </w:tc>
        <w:tc>
          <w:tcPr>
            <w:tcW w:w="1260" w:type="dxa"/>
            <w:tcBorders>
              <w:top w:val="nil"/>
              <w:left w:val="nil"/>
              <w:bottom w:val="single" w:sz="4" w:space="0" w:color="auto"/>
              <w:right w:val="single" w:sz="4" w:space="0" w:color="auto"/>
            </w:tcBorders>
            <w:shd w:val="clear" w:color="auto" w:fill="auto"/>
            <w:vAlign w:val="center"/>
            <w:hideMark/>
          </w:tcPr>
          <w:p w14:paraId="7F5C09B6" w14:textId="77777777" w:rsidR="002E19DC" w:rsidRPr="00803B8A" w:rsidRDefault="002E19DC" w:rsidP="002E19DC">
            <w:pPr>
              <w:spacing w:after="0" w:line="240" w:lineRule="auto"/>
              <w:jc w:val="right"/>
              <w:rPr>
                <w:rFonts w:ascii="Times New Roman" w:eastAsia="Times New Roman" w:hAnsi="Times New Roman" w:cs="Times New Roman"/>
                <w:color w:val="000000"/>
                <w:sz w:val="20"/>
                <w:szCs w:val="20"/>
              </w:rPr>
            </w:pPr>
            <w:r w:rsidRPr="00803B8A">
              <w:rPr>
                <w:rFonts w:ascii="Times New Roman" w:eastAsia="Times New Roman" w:hAnsi="Times New Roman" w:cs="Times New Roman"/>
                <w:color w:val="000000"/>
                <w:sz w:val="20"/>
                <w:szCs w:val="20"/>
              </w:rPr>
              <w:t>1,5</w:t>
            </w:r>
          </w:p>
        </w:tc>
        <w:tc>
          <w:tcPr>
            <w:tcW w:w="1194" w:type="dxa"/>
            <w:tcBorders>
              <w:top w:val="nil"/>
              <w:left w:val="nil"/>
              <w:bottom w:val="single" w:sz="4" w:space="0" w:color="auto"/>
              <w:right w:val="single" w:sz="4" w:space="0" w:color="auto"/>
            </w:tcBorders>
            <w:shd w:val="clear" w:color="auto" w:fill="auto"/>
            <w:vAlign w:val="center"/>
            <w:hideMark/>
          </w:tcPr>
          <w:p w14:paraId="08ED8601" w14:textId="6CED5320" w:rsidR="002E19DC" w:rsidRPr="00803B8A" w:rsidRDefault="00803B8A" w:rsidP="002E19DC">
            <w:pPr>
              <w:spacing w:after="0" w:line="240" w:lineRule="auto"/>
              <w:jc w:val="right"/>
              <w:rPr>
                <w:rFonts w:ascii="Times New Roman" w:eastAsia="Times New Roman" w:hAnsi="Times New Roman" w:cs="Times New Roman"/>
                <w:color w:val="000000"/>
                <w:sz w:val="20"/>
                <w:szCs w:val="20"/>
              </w:rPr>
            </w:pPr>
            <w:r w:rsidRPr="00803B8A">
              <w:rPr>
                <w:rFonts w:ascii="Times New Roman" w:eastAsia="Times New Roman" w:hAnsi="Times New Roman" w:cs="Times New Roman"/>
                <w:color w:val="000000"/>
                <w:sz w:val="20"/>
                <w:szCs w:val="20"/>
              </w:rPr>
              <w:t>11</w:t>
            </w:r>
          </w:p>
        </w:tc>
      </w:tr>
      <w:tr w:rsidR="002E19DC" w:rsidRPr="002E19DC" w14:paraId="6256CE42" w14:textId="77777777" w:rsidTr="00B71CDE">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2ED91C05"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5A14C5CE"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noWrap/>
            <w:vAlign w:val="center"/>
            <w:hideMark/>
          </w:tcPr>
          <w:p w14:paraId="69F54F71" w14:textId="77777777" w:rsidR="002E19DC" w:rsidRPr="002E19DC" w:rsidRDefault="002E19DC" w:rsidP="002E19DC">
            <w:pPr>
              <w:spacing w:after="0" w:line="240" w:lineRule="auto"/>
              <w:jc w:val="right"/>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35b</w:t>
            </w:r>
          </w:p>
        </w:tc>
        <w:tc>
          <w:tcPr>
            <w:tcW w:w="2205" w:type="dxa"/>
            <w:tcBorders>
              <w:top w:val="nil"/>
              <w:left w:val="nil"/>
              <w:bottom w:val="single" w:sz="4" w:space="0" w:color="auto"/>
              <w:right w:val="single" w:sz="4" w:space="0" w:color="auto"/>
            </w:tcBorders>
            <w:shd w:val="clear" w:color="auto" w:fill="auto"/>
            <w:vAlign w:val="center"/>
            <w:hideMark/>
          </w:tcPr>
          <w:p w14:paraId="02F59991" w14:textId="77777777" w:rsidR="002E19DC" w:rsidRPr="00803B8A" w:rsidRDefault="002E19DC" w:rsidP="002E19DC">
            <w:pPr>
              <w:spacing w:after="0" w:line="240" w:lineRule="auto"/>
              <w:rPr>
                <w:rFonts w:ascii="Times New Roman" w:eastAsia="Times New Roman" w:hAnsi="Times New Roman" w:cs="Times New Roman"/>
                <w:color w:val="000000"/>
                <w:sz w:val="20"/>
                <w:szCs w:val="20"/>
              </w:rPr>
            </w:pPr>
            <w:r w:rsidRPr="00803B8A">
              <w:rPr>
                <w:rFonts w:ascii="Times New Roman" w:eastAsia="Times New Roman" w:hAnsi="Times New Roman" w:cs="Times New Roman"/>
                <w:color w:val="000000"/>
                <w:sz w:val="20"/>
                <w:szCs w:val="20"/>
              </w:rPr>
              <w:t>Grāmatvedība</w:t>
            </w:r>
          </w:p>
        </w:tc>
        <w:tc>
          <w:tcPr>
            <w:tcW w:w="2693" w:type="dxa"/>
            <w:tcBorders>
              <w:top w:val="nil"/>
              <w:left w:val="nil"/>
              <w:bottom w:val="single" w:sz="4" w:space="0" w:color="auto"/>
              <w:right w:val="single" w:sz="4" w:space="0" w:color="auto"/>
            </w:tcBorders>
            <w:shd w:val="clear" w:color="auto" w:fill="auto"/>
            <w:vAlign w:val="center"/>
            <w:hideMark/>
          </w:tcPr>
          <w:p w14:paraId="2310F84A" w14:textId="77777777" w:rsidR="002E19DC" w:rsidRPr="00803B8A" w:rsidRDefault="002E19DC" w:rsidP="002E19DC">
            <w:pPr>
              <w:spacing w:after="0" w:line="240" w:lineRule="auto"/>
              <w:rPr>
                <w:rFonts w:ascii="Times New Roman" w:eastAsia="Times New Roman" w:hAnsi="Times New Roman" w:cs="Times New Roman"/>
                <w:color w:val="000000"/>
                <w:sz w:val="20"/>
                <w:szCs w:val="20"/>
              </w:rPr>
            </w:pPr>
            <w:r w:rsidRPr="00803B8A">
              <w:rPr>
                <w:rFonts w:ascii="Times New Roman" w:eastAsia="Times New Roman" w:hAnsi="Times New Roman" w:cs="Times New Roman"/>
                <w:color w:val="000000"/>
                <w:sz w:val="20"/>
                <w:szCs w:val="20"/>
              </w:rPr>
              <w:t>Grāmatvedis</w:t>
            </w:r>
          </w:p>
        </w:tc>
        <w:tc>
          <w:tcPr>
            <w:tcW w:w="1260" w:type="dxa"/>
            <w:tcBorders>
              <w:top w:val="nil"/>
              <w:left w:val="nil"/>
              <w:bottom w:val="single" w:sz="4" w:space="0" w:color="auto"/>
              <w:right w:val="single" w:sz="4" w:space="0" w:color="auto"/>
            </w:tcBorders>
            <w:shd w:val="clear" w:color="auto" w:fill="auto"/>
            <w:vAlign w:val="center"/>
            <w:hideMark/>
          </w:tcPr>
          <w:p w14:paraId="5D11F398" w14:textId="77777777" w:rsidR="002E19DC" w:rsidRPr="00803B8A" w:rsidRDefault="002E19DC" w:rsidP="002E19DC">
            <w:pPr>
              <w:spacing w:after="0" w:line="240" w:lineRule="auto"/>
              <w:jc w:val="right"/>
              <w:rPr>
                <w:rFonts w:ascii="Times New Roman" w:eastAsia="Times New Roman" w:hAnsi="Times New Roman" w:cs="Times New Roman"/>
                <w:color w:val="000000"/>
                <w:sz w:val="20"/>
                <w:szCs w:val="20"/>
              </w:rPr>
            </w:pPr>
            <w:r w:rsidRPr="00803B8A">
              <w:rPr>
                <w:rFonts w:ascii="Times New Roman" w:eastAsia="Times New Roman" w:hAnsi="Times New Roman" w:cs="Times New Roman"/>
                <w:color w:val="000000"/>
                <w:sz w:val="20"/>
                <w:szCs w:val="20"/>
              </w:rPr>
              <w:t>1,5</w:t>
            </w:r>
          </w:p>
        </w:tc>
        <w:tc>
          <w:tcPr>
            <w:tcW w:w="1194" w:type="dxa"/>
            <w:tcBorders>
              <w:top w:val="nil"/>
              <w:left w:val="nil"/>
              <w:bottom w:val="single" w:sz="4" w:space="0" w:color="auto"/>
              <w:right w:val="single" w:sz="4" w:space="0" w:color="auto"/>
            </w:tcBorders>
            <w:shd w:val="clear" w:color="auto" w:fill="auto"/>
            <w:vAlign w:val="center"/>
            <w:hideMark/>
          </w:tcPr>
          <w:p w14:paraId="14BAEE5B" w14:textId="77777777" w:rsidR="002E19DC" w:rsidRPr="00803B8A" w:rsidRDefault="002E19DC" w:rsidP="002E19DC">
            <w:pPr>
              <w:spacing w:after="0" w:line="240" w:lineRule="auto"/>
              <w:jc w:val="right"/>
              <w:rPr>
                <w:rFonts w:ascii="Times New Roman" w:eastAsia="Times New Roman" w:hAnsi="Times New Roman" w:cs="Times New Roman"/>
                <w:color w:val="000000"/>
                <w:sz w:val="20"/>
                <w:szCs w:val="20"/>
              </w:rPr>
            </w:pPr>
            <w:r w:rsidRPr="00803B8A">
              <w:rPr>
                <w:rFonts w:ascii="Times New Roman" w:eastAsia="Times New Roman" w:hAnsi="Times New Roman" w:cs="Times New Roman"/>
                <w:color w:val="000000"/>
                <w:sz w:val="20"/>
                <w:szCs w:val="20"/>
              </w:rPr>
              <w:t>12</w:t>
            </w:r>
          </w:p>
        </w:tc>
      </w:tr>
      <w:tr w:rsidR="002E19DC" w:rsidRPr="002E19DC" w14:paraId="662EA3EF" w14:textId="77777777" w:rsidTr="00BC5709">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37339278"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5086CCED"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noWrap/>
            <w:vAlign w:val="center"/>
            <w:hideMark/>
          </w:tcPr>
          <w:p w14:paraId="5E7076F0" w14:textId="77777777" w:rsidR="002E19DC" w:rsidRPr="002E19DC" w:rsidRDefault="002E19DC" w:rsidP="002E19DC">
            <w:pPr>
              <w:spacing w:after="0" w:line="240" w:lineRule="auto"/>
              <w:jc w:val="right"/>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35b</w:t>
            </w:r>
          </w:p>
        </w:tc>
        <w:tc>
          <w:tcPr>
            <w:tcW w:w="2205" w:type="dxa"/>
            <w:tcBorders>
              <w:top w:val="nil"/>
              <w:left w:val="nil"/>
              <w:bottom w:val="single" w:sz="4" w:space="0" w:color="auto"/>
              <w:right w:val="single" w:sz="4" w:space="0" w:color="auto"/>
            </w:tcBorders>
            <w:shd w:val="clear" w:color="auto" w:fill="92D050"/>
            <w:vAlign w:val="center"/>
            <w:hideMark/>
          </w:tcPr>
          <w:p w14:paraId="1B8FC309"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Metālapstrāde</w:t>
            </w:r>
          </w:p>
        </w:tc>
        <w:tc>
          <w:tcPr>
            <w:tcW w:w="2693" w:type="dxa"/>
            <w:tcBorders>
              <w:top w:val="nil"/>
              <w:left w:val="nil"/>
              <w:bottom w:val="single" w:sz="4" w:space="0" w:color="auto"/>
              <w:right w:val="single" w:sz="4" w:space="0" w:color="auto"/>
            </w:tcBorders>
            <w:shd w:val="clear" w:color="auto" w:fill="auto"/>
            <w:vAlign w:val="center"/>
            <w:hideMark/>
          </w:tcPr>
          <w:p w14:paraId="7539EEAF"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Programmvadības metālapstrādes darbgaldu iestatītājs</w:t>
            </w:r>
          </w:p>
        </w:tc>
        <w:tc>
          <w:tcPr>
            <w:tcW w:w="1260" w:type="dxa"/>
            <w:tcBorders>
              <w:top w:val="nil"/>
              <w:left w:val="nil"/>
              <w:bottom w:val="single" w:sz="4" w:space="0" w:color="auto"/>
              <w:right w:val="single" w:sz="4" w:space="0" w:color="auto"/>
            </w:tcBorders>
            <w:shd w:val="clear" w:color="auto" w:fill="auto"/>
            <w:vAlign w:val="center"/>
            <w:hideMark/>
          </w:tcPr>
          <w:p w14:paraId="4A86952D"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1,5</w:t>
            </w:r>
          </w:p>
        </w:tc>
        <w:tc>
          <w:tcPr>
            <w:tcW w:w="1194" w:type="dxa"/>
            <w:tcBorders>
              <w:top w:val="nil"/>
              <w:left w:val="nil"/>
              <w:bottom w:val="single" w:sz="4" w:space="0" w:color="auto"/>
              <w:right w:val="single" w:sz="4" w:space="0" w:color="auto"/>
            </w:tcBorders>
            <w:shd w:val="clear" w:color="auto" w:fill="auto"/>
            <w:vAlign w:val="center"/>
            <w:hideMark/>
          </w:tcPr>
          <w:p w14:paraId="2815C4E1" w14:textId="693EFB08" w:rsidR="002E19DC" w:rsidRPr="002E19DC" w:rsidRDefault="00803B8A" w:rsidP="002E19D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r w:rsidR="002E19DC" w:rsidRPr="002E19DC" w14:paraId="104FB2A6" w14:textId="77777777" w:rsidTr="000D09BE">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2653EA82"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7C58392A"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noWrap/>
            <w:vAlign w:val="center"/>
            <w:hideMark/>
          </w:tcPr>
          <w:p w14:paraId="5F960C72" w14:textId="77777777" w:rsidR="002E19DC" w:rsidRPr="002E19DC" w:rsidRDefault="002E19DC" w:rsidP="002E19DC">
            <w:pPr>
              <w:spacing w:after="0" w:line="240" w:lineRule="auto"/>
              <w:jc w:val="right"/>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35b</w:t>
            </w:r>
          </w:p>
        </w:tc>
        <w:tc>
          <w:tcPr>
            <w:tcW w:w="2205" w:type="dxa"/>
            <w:tcBorders>
              <w:top w:val="nil"/>
              <w:left w:val="nil"/>
              <w:bottom w:val="single" w:sz="4" w:space="0" w:color="auto"/>
              <w:right w:val="single" w:sz="4" w:space="0" w:color="auto"/>
            </w:tcBorders>
            <w:shd w:val="clear" w:color="auto" w:fill="auto"/>
            <w:vAlign w:val="center"/>
            <w:hideMark/>
          </w:tcPr>
          <w:p w14:paraId="1A686BED"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Skaistumkopšanas pakalpojumi</w:t>
            </w:r>
          </w:p>
        </w:tc>
        <w:tc>
          <w:tcPr>
            <w:tcW w:w="2693" w:type="dxa"/>
            <w:tcBorders>
              <w:top w:val="nil"/>
              <w:left w:val="nil"/>
              <w:bottom w:val="single" w:sz="4" w:space="0" w:color="auto"/>
              <w:right w:val="single" w:sz="4" w:space="0" w:color="auto"/>
            </w:tcBorders>
            <w:shd w:val="clear" w:color="auto" w:fill="auto"/>
            <w:vAlign w:val="center"/>
            <w:hideMark/>
          </w:tcPr>
          <w:p w14:paraId="330115E6"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Vizuālā tēla stilists</w:t>
            </w:r>
          </w:p>
        </w:tc>
        <w:tc>
          <w:tcPr>
            <w:tcW w:w="1260" w:type="dxa"/>
            <w:tcBorders>
              <w:top w:val="nil"/>
              <w:left w:val="nil"/>
              <w:bottom w:val="single" w:sz="4" w:space="0" w:color="auto"/>
              <w:right w:val="single" w:sz="4" w:space="0" w:color="auto"/>
            </w:tcBorders>
            <w:shd w:val="clear" w:color="auto" w:fill="auto"/>
            <w:vAlign w:val="center"/>
            <w:hideMark/>
          </w:tcPr>
          <w:p w14:paraId="4BB1F83D"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1,5</w:t>
            </w:r>
          </w:p>
        </w:tc>
        <w:tc>
          <w:tcPr>
            <w:tcW w:w="1194" w:type="dxa"/>
            <w:tcBorders>
              <w:top w:val="nil"/>
              <w:left w:val="nil"/>
              <w:bottom w:val="single" w:sz="4" w:space="0" w:color="auto"/>
              <w:right w:val="single" w:sz="4" w:space="0" w:color="auto"/>
            </w:tcBorders>
            <w:shd w:val="clear" w:color="auto" w:fill="auto"/>
            <w:vAlign w:val="center"/>
            <w:hideMark/>
          </w:tcPr>
          <w:p w14:paraId="058D1448"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14</w:t>
            </w:r>
          </w:p>
        </w:tc>
      </w:tr>
      <w:tr w:rsidR="002E19DC" w:rsidRPr="002E19DC" w14:paraId="1C963ACE" w14:textId="77777777" w:rsidTr="00BC5709">
        <w:trPr>
          <w:trHeight w:val="300"/>
        </w:trPr>
        <w:tc>
          <w:tcPr>
            <w:tcW w:w="29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854F63"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Balvu profesionālā un vispārizglītojošā vidusskola</w:t>
            </w:r>
          </w:p>
        </w:tc>
        <w:tc>
          <w:tcPr>
            <w:tcW w:w="2693" w:type="dxa"/>
            <w:tcBorders>
              <w:top w:val="nil"/>
              <w:left w:val="nil"/>
              <w:bottom w:val="single" w:sz="4" w:space="0" w:color="auto"/>
              <w:right w:val="single" w:sz="4" w:space="0" w:color="auto"/>
            </w:tcBorders>
            <w:shd w:val="clear" w:color="auto" w:fill="auto"/>
            <w:noWrap/>
            <w:vAlign w:val="center"/>
            <w:hideMark/>
          </w:tcPr>
          <w:p w14:paraId="014374F1" w14:textId="77777777" w:rsidR="002E19DC" w:rsidRPr="00C205E7" w:rsidRDefault="002E19DC" w:rsidP="002E19DC">
            <w:pPr>
              <w:spacing w:after="0" w:line="240" w:lineRule="auto"/>
              <w:rPr>
                <w:rFonts w:ascii="Times New Roman" w:eastAsia="Times New Roman" w:hAnsi="Times New Roman" w:cs="Times New Roman"/>
                <w:color w:val="000000" w:themeColor="text1"/>
                <w:sz w:val="20"/>
                <w:szCs w:val="20"/>
              </w:rPr>
            </w:pPr>
            <w:r w:rsidRPr="00C205E7">
              <w:rPr>
                <w:rFonts w:ascii="Times New Roman" w:eastAsia="Times New Roman" w:hAnsi="Times New Roman" w:cs="Times New Roman"/>
                <w:color w:val="000000" w:themeColor="text1"/>
                <w:sz w:val="20"/>
                <w:szCs w:val="20"/>
              </w:rPr>
              <w:t>Profesionālā pamatizglītība</w:t>
            </w:r>
          </w:p>
        </w:tc>
        <w:tc>
          <w:tcPr>
            <w:tcW w:w="1339" w:type="dxa"/>
            <w:tcBorders>
              <w:top w:val="nil"/>
              <w:left w:val="nil"/>
              <w:bottom w:val="single" w:sz="4" w:space="0" w:color="auto"/>
              <w:right w:val="single" w:sz="4" w:space="0" w:color="auto"/>
            </w:tcBorders>
            <w:shd w:val="clear" w:color="auto" w:fill="auto"/>
            <w:noWrap/>
            <w:vAlign w:val="center"/>
            <w:hideMark/>
          </w:tcPr>
          <w:p w14:paraId="13E9EB37" w14:textId="77777777" w:rsidR="002E19DC" w:rsidRPr="00C205E7" w:rsidRDefault="002E19DC" w:rsidP="002E19DC">
            <w:pPr>
              <w:spacing w:after="0" w:line="240" w:lineRule="auto"/>
              <w:jc w:val="right"/>
              <w:rPr>
                <w:rFonts w:ascii="Times New Roman" w:eastAsia="Times New Roman" w:hAnsi="Times New Roman" w:cs="Times New Roman"/>
                <w:color w:val="000000" w:themeColor="text1"/>
                <w:sz w:val="20"/>
                <w:szCs w:val="20"/>
              </w:rPr>
            </w:pPr>
            <w:r w:rsidRPr="00C205E7">
              <w:rPr>
                <w:rFonts w:ascii="Times New Roman" w:eastAsia="Times New Roman" w:hAnsi="Times New Roman" w:cs="Times New Roman"/>
                <w:color w:val="000000" w:themeColor="text1"/>
                <w:sz w:val="20"/>
                <w:szCs w:val="20"/>
              </w:rPr>
              <w:t>22</w:t>
            </w:r>
          </w:p>
        </w:tc>
        <w:tc>
          <w:tcPr>
            <w:tcW w:w="2205" w:type="dxa"/>
            <w:tcBorders>
              <w:top w:val="nil"/>
              <w:left w:val="nil"/>
              <w:bottom w:val="single" w:sz="4" w:space="0" w:color="auto"/>
              <w:right w:val="single" w:sz="4" w:space="0" w:color="auto"/>
            </w:tcBorders>
            <w:shd w:val="clear" w:color="auto" w:fill="92D050"/>
            <w:vAlign w:val="center"/>
            <w:hideMark/>
          </w:tcPr>
          <w:p w14:paraId="0FF15029" w14:textId="77777777" w:rsidR="002E19DC" w:rsidRPr="00C205E7" w:rsidRDefault="002E19DC" w:rsidP="002E19DC">
            <w:pPr>
              <w:spacing w:after="0" w:line="240" w:lineRule="auto"/>
              <w:rPr>
                <w:rFonts w:ascii="Times New Roman" w:eastAsia="Times New Roman" w:hAnsi="Times New Roman" w:cs="Times New Roman"/>
                <w:color w:val="000000" w:themeColor="text1"/>
                <w:sz w:val="20"/>
                <w:szCs w:val="20"/>
              </w:rPr>
            </w:pPr>
            <w:r w:rsidRPr="00C205E7">
              <w:rPr>
                <w:rFonts w:ascii="Times New Roman" w:eastAsia="Times New Roman" w:hAnsi="Times New Roman" w:cs="Times New Roman"/>
                <w:color w:val="000000" w:themeColor="text1"/>
                <w:sz w:val="20"/>
                <w:szCs w:val="20"/>
              </w:rPr>
              <w:t>Kokizstrādājumu izgatavošana</w:t>
            </w:r>
          </w:p>
        </w:tc>
        <w:tc>
          <w:tcPr>
            <w:tcW w:w="2693" w:type="dxa"/>
            <w:tcBorders>
              <w:top w:val="nil"/>
              <w:left w:val="nil"/>
              <w:bottom w:val="single" w:sz="4" w:space="0" w:color="auto"/>
              <w:right w:val="single" w:sz="4" w:space="0" w:color="auto"/>
            </w:tcBorders>
            <w:shd w:val="clear" w:color="auto" w:fill="auto"/>
            <w:vAlign w:val="center"/>
            <w:hideMark/>
          </w:tcPr>
          <w:p w14:paraId="379CF632" w14:textId="77777777" w:rsidR="002E19DC" w:rsidRPr="00C205E7" w:rsidRDefault="002E19DC" w:rsidP="002E19DC">
            <w:pPr>
              <w:spacing w:after="0" w:line="240" w:lineRule="auto"/>
              <w:rPr>
                <w:rFonts w:ascii="Times New Roman" w:eastAsia="Times New Roman" w:hAnsi="Times New Roman" w:cs="Times New Roman"/>
                <w:color w:val="000000" w:themeColor="text1"/>
                <w:sz w:val="20"/>
                <w:szCs w:val="20"/>
              </w:rPr>
            </w:pPr>
            <w:r w:rsidRPr="00C205E7">
              <w:rPr>
                <w:rFonts w:ascii="Times New Roman" w:eastAsia="Times New Roman" w:hAnsi="Times New Roman" w:cs="Times New Roman"/>
                <w:color w:val="000000" w:themeColor="text1"/>
                <w:sz w:val="20"/>
                <w:szCs w:val="20"/>
              </w:rPr>
              <w:t>Koksnes materiālu apstrādātājs</w:t>
            </w:r>
          </w:p>
        </w:tc>
        <w:tc>
          <w:tcPr>
            <w:tcW w:w="1260" w:type="dxa"/>
            <w:tcBorders>
              <w:top w:val="nil"/>
              <w:left w:val="nil"/>
              <w:bottom w:val="single" w:sz="4" w:space="0" w:color="auto"/>
              <w:right w:val="single" w:sz="4" w:space="0" w:color="auto"/>
            </w:tcBorders>
            <w:shd w:val="clear" w:color="auto" w:fill="auto"/>
            <w:vAlign w:val="center"/>
            <w:hideMark/>
          </w:tcPr>
          <w:p w14:paraId="1B9DAE53" w14:textId="77777777" w:rsidR="002E19DC" w:rsidRPr="00C205E7" w:rsidRDefault="002E19DC" w:rsidP="002E19DC">
            <w:pPr>
              <w:spacing w:after="0" w:line="240" w:lineRule="auto"/>
              <w:jc w:val="right"/>
              <w:rPr>
                <w:rFonts w:ascii="Times New Roman" w:eastAsia="Times New Roman" w:hAnsi="Times New Roman" w:cs="Times New Roman"/>
                <w:color w:val="000000" w:themeColor="text1"/>
                <w:sz w:val="20"/>
                <w:szCs w:val="20"/>
              </w:rPr>
            </w:pPr>
            <w:r w:rsidRPr="00C205E7">
              <w:rPr>
                <w:rFonts w:ascii="Times New Roman" w:eastAsia="Times New Roman" w:hAnsi="Times New Roman" w:cs="Times New Roman"/>
                <w:color w:val="000000" w:themeColor="text1"/>
                <w:sz w:val="20"/>
                <w:szCs w:val="20"/>
              </w:rPr>
              <w:t>1</w:t>
            </w:r>
          </w:p>
        </w:tc>
        <w:tc>
          <w:tcPr>
            <w:tcW w:w="1194" w:type="dxa"/>
            <w:tcBorders>
              <w:top w:val="nil"/>
              <w:left w:val="nil"/>
              <w:bottom w:val="single" w:sz="4" w:space="0" w:color="auto"/>
              <w:right w:val="single" w:sz="4" w:space="0" w:color="auto"/>
            </w:tcBorders>
            <w:shd w:val="clear" w:color="auto" w:fill="auto"/>
            <w:vAlign w:val="center"/>
            <w:hideMark/>
          </w:tcPr>
          <w:p w14:paraId="0B357355" w14:textId="2F6D0699" w:rsidR="002E19DC" w:rsidRPr="00C205E7" w:rsidRDefault="00A757CC" w:rsidP="002E19DC">
            <w:pPr>
              <w:spacing w:after="0" w:line="240" w:lineRule="auto"/>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r>
      <w:tr w:rsidR="002E19DC" w:rsidRPr="002E19DC" w14:paraId="4B8CA75B" w14:textId="77777777" w:rsidTr="00BC5709">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4A5AA9C8"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1330394C"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noWrap/>
            <w:vAlign w:val="center"/>
            <w:hideMark/>
          </w:tcPr>
          <w:p w14:paraId="3C12D1B5" w14:textId="77777777" w:rsidR="002E19DC" w:rsidRPr="002E19DC" w:rsidRDefault="002E19DC" w:rsidP="002E19DC">
            <w:pPr>
              <w:spacing w:after="0" w:line="240" w:lineRule="auto"/>
              <w:jc w:val="right"/>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33</w:t>
            </w:r>
          </w:p>
        </w:tc>
        <w:tc>
          <w:tcPr>
            <w:tcW w:w="2205" w:type="dxa"/>
            <w:tcBorders>
              <w:top w:val="nil"/>
              <w:left w:val="nil"/>
              <w:bottom w:val="single" w:sz="4" w:space="0" w:color="auto"/>
              <w:right w:val="single" w:sz="4" w:space="0" w:color="auto"/>
            </w:tcBorders>
            <w:shd w:val="clear" w:color="auto" w:fill="92D050"/>
            <w:vAlign w:val="center"/>
            <w:hideMark/>
          </w:tcPr>
          <w:p w14:paraId="3903CFF7"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Kokizstrādājumu izgatavošana</w:t>
            </w:r>
          </w:p>
        </w:tc>
        <w:tc>
          <w:tcPr>
            <w:tcW w:w="2693" w:type="dxa"/>
            <w:tcBorders>
              <w:top w:val="nil"/>
              <w:left w:val="nil"/>
              <w:bottom w:val="single" w:sz="4" w:space="0" w:color="auto"/>
              <w:right w:val="single" w:sz="4" w:space="0" w:color="auto"/>
            </w:tcBorders>
            <w:shd w:val="clear" w:color="auto" w:fill="auto"/>
            <w:vAlign w:val="center"/>
            <w:hideMark/>
          </w:tcPr>
          <w:p w14:paraId="624E0DF2"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Būvizstrādājumu galdnieks</w:t>
            </w:r>
          </w:p>
        </w:tc>
        <w:tc>
          <w:tcPr>
            <w:tcW w:w="1260" w:type="dxa"/>
            <w:tcBorders>
              <w:top w:val="nil"/>
              <w:left w:val="nil"/>
              <w:bottom w:val="single" w:sz="4" w:space="0" w:color="auto"/>
              <w:right w:val="single" w:sz="4" w:space="0" w:color="auto"/>
            </w:tcBorders>
            <w:shd w:val="clear" w:color="auto" w:fill="auto"/>
            <w:vAlign w:val="center"/>
            <w:hideMark/>
          </w:tcPr>
          <w:p w14:paraId="6779E73C"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4</w:t>
            </w:r>
          </w:p>
        </w:tc>
        <w:tc>
          <w:tcPr>
            <w:tcW w:w="1194" w:type="dxa"/>
            <w:tcBorders>
              <w:top w:val="nil"/>
              <w:left w:val="nil"/>
              <w:bottom w:val="single" w:sz="4" w:space="0" w:color="auto"/>
              <w:right w:val="single" w:sz="4" w:space="0" w:color="auto"/>
            </w:tcBorders>
            <w:shd w:val="clear" w:color="auto" w:fill="auto"/>
            <w:vAlign w:val="center"/>
            <w:hideMark/>
          </w:tcPr>
          <w:p w14:paraId="4AA8DF55" w14:textId="784F7D31" w:rsidR="002E19DC" w:rsidRPr="002E19DC" w:rsidRDefault="00A757CC" w:rsidP="002E19D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r>
      <w:tr w:rsidR="002E19DC" w:rsidRPr="002E19DC" w14:paraId="66945341" w14:textId="77777777" w:rsidTr="00B71CDE">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6DFD21FA"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230D5E72"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noWrap/>
            <w:vAlign w:val="center"/>
            <w:hideMark/>
          </w:tcPr>
          <w:p w14:paraId="52ED012C" w14:textId="77777777" w:rsidR="002E19DC" w:rsidRPr="002E19DC" w:rsidRDefault="002E19DC" w:rsidP="002E19DC">
            <w:pPr>
              <w:spacing w:after="0" w:line="240" w:lineRule="auto"/>
              <w:jc w:val="right"/>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33</w:t>
            </w:r>
          </w:p>
        </w:tc>
        <w:tc>
          <w:tcPr>
            <w:tcW w:w="2205" w:type="dxa"/>
            <w:tcBorders>
              <w:top w:val="nil"/>
              <w:left w:val="nil"/>
              <w:bottom w:val="single" w:sz="4" w:space="0" w:color="auto"/>
              <w:right w:val="single" w:sz="4" w:space="0" w:color="auto"/>
            </w:tcBorders>
            <w:shd w:val="clear" w:color="auto" w:fill="auto"/>
            <w:vAlign w:val="center"/>
            <w:hideMark/>
          </w:tcPr>
          <w:p w14:paraId="6952D2F1"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Komerczinības</w:t>
            </w:r>
          </w:p>
        </w:tc>
        <w:tc>
          <w:tcPr>
            <w:tcW w:w="2693" w:type="dxa"/>
            <w:tcBorders>
              <w:top w:val="nil"/>
              <w:left w:val="nil"/>
              <w:bottom w:val="single" w:sz="4" w:space="0" w:color="auto"/>
              <w:right w:val="single" w:sz="4" w:space="0" w:color="auto"/>
            </w:tcBorders>
            <w:shd w:val="clear" w:color="auto" w:fill="auto"/>
            <w:vAlign w:val="center"/>
            <w:hideMark/>
          </w:tcPr>
          <w:p w14:paraId="29735F37"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Komercpakalpojumu darbinieks</w:t>
            </w:r>
          </w:p>
        </w:tc>
        <w:tc>
          <w:tcPr>
            <w:tcW w:w="1260" w:type="dxa"/>
            <w:tcBorders>
              <w:top w:val="nil"/>
              <w:left w:val="nil"/>
              <w:bottom w:val="single" w:sz="4" w:space="0" w:color="auto"/>
              <w:right w:val="single" w:sz="4" w:space="0" w:color="auto"/>
            </w:tcBorders>
            <w:shd w:val="clear" w:color="auto" w:fill="auto"/>
            <w:vAlign w:val="center"/>
            <w:hideMark/>
          </w:tcPr>
          <w:p w14:paraId="4A187787"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4</w:t>
            </w:r>
          </w:p>
        </w:tc>
        <w:tc>
          <w:tcPr>
            <w:tcW w:w="1194" w:type="dxa"/>
            <w:tcBorders>
              <w:top w:val="nil"/>
              <w:left w:val="nil"/>
              <w:bottom w:val="single" w:sz="4" w:space="0" w:color="auto"/>
              <w:right w:val="single" w:sz="4" w:space="0" w:color="auto"/>
            </w:tcBorders>
            <w:shd w:val="clear" w:color="auto" w:fill="auto"/>
            <w:vAlign w:val="center"/>
            <w:hideMark/>
          </w:tcPr>
          <w:p w14:paraId="27AE58E0"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14</w:t>
            </w:r>
          </w:p>
        </w:tc>
      </w:tr>
      <w:tr w:rsidR="002E19DC" w:rsidRPr="002E19DC" w14:paraId="06E75F15" w14:textId="77777777" w:rsidTr="000D09BE">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634AC232"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4608F359"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noWrap/>
            <w:vAlign w:val="center"/>
            <w:hideMark/>
          </w:tcPr>
          <w:p w14:paraId="606C687C" w14:textId="77777777" w:rsidR="002E19DC" w:rsidRPr="002E19DC" w:rsidRDefault="002E19DC" w:rsidP="002E19DC">
            <w:pPr>
              <w:spacing w:after="0" w:line="240" w:lineRule="auto"/>
              <w:jc w:val="right"/>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33</w:t>
            </w:r>
          </w:p>
        </w:tc>
        <w:tc>
          <w:tcPr>
            <w:tcW w:w="2205" w:type="dxa"/>
            <w:tcBorders>
              <w:top w:val="nil"/>
              <w:left w:val="nil"/>
              <w:bottom w:val="single" w:sz="4" w:space="0" w:color="auto"/>
              <w:right w:val="single" w:sz="4" w:space="0" w:color="auto"/>
            </w:tcBorders>
            <w:shd w:val="clear" w:color="auto" w:fill="auto"/>
            <w:vAlign w:val="center"/>
            <w:hideMark/>
          </w:tcPr>
          <w:p w14:paraId="39F13E01"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Šūto izstrādājumu ražošanas tehnoloģija</w:t>
            </w:r>
          </w:p>
        </w:tc>
        <w:tc>
          <w:tcPr>
            <w:tcW w:w="2693" w:type="dxa"/>
            <w:tcBorders>
              <w:top w:val="nil"/>
              <w:left w:val="nil"/>
              <w:bottom w:val="single" w:sz="4" w:space="0" w:color="auto"/>
              <w:right w:val="single" w:sz="4" w:space="0" w:color="auto"/>
            </w:tcBorders>
            <w:shd w:val="clear" w:color="auto" w:fill="auto"/>
            <w:vAlign w:val="center"/>
            <w:hideMark/>
          </w:tcPr>
          <w:p w14:paraId="76E487D9"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Tērpu izgatavošanas un stila speciālists</w:t>
            </w:r>
          </w:p>
        </w:tc>
        <w:tc>
          <w:tcPr>
            <w:tcW w:w="1260" w:type="dxa"/>
            <w:tcBorders>
              <w:top w:val="nil"/>
              <w:left w:val="nil"/>
              <w:bottom w:val="single" w:sz="4" w:space="0" w:color="auto"/>
              <w:right w:val="single" w:sz="4" w:space="0" w:color="auto"/>
            </w:tcBorders>
            <w:shd w:val="clear" w:color="auto" w:fill="auto"/>
            <w:vAlign w:val="center"/>
            <w:hideMark/>
          </w:tcPr>
          <w:p w14:paraId="383C87B8"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4</w:t>
            </w:r>
          </w:p>
        </w:tc>
        <w:tc>
          <w:tcPr>
            <w:tcW w:w="1194" w:type="dxa"/>
            <w:tcBorders>
              <w:top w:val="nil"/>
              <w:left w:val="nil"/>
              <w:bottom w:val="single" w:sz="4" w:space="0" w:color="auto"/>
              <w:right w:val="single" w:sz="4" w:space="0" w:color="auto"/>
            </w:tcBorders>
            <w:shd w:val="clear" w:color="auto" w:fill="auto"/>
            <w:vAlign w:val="center"/>
            <w:hideMark/>
          </w:tcPr>
          <w:p w14:paraId="052F694D"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14</w:t>
            </w:r>
          </w:p>
        </w:tc>
      </w:tr>
      <w:tr w:rsidR="002E19DC" w:rsidRPr="002E19DC" w14:paraId="61008E1B" w14:textId="77777777" w:rsidTr="000D09BE">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75374D44"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659C2316"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Arodizglītība</w:t>
            </w:r>
          </w:p>
        </w:tc>
        <w:tc>
          <w:tcPr>
            <w:tcW w:w="1339" w:type="dxa"/>
            <w:tcBorders>
              <w:top w:val="nil"/>
              <w:left w:val="nil"/>
              <w:bottom w:val="single" w:sz="4" w:space="0" w:color="auto"/>
              <w:right w:val="single" w:sz="4" w:space="0" w:color="auto"/>
            </w:tcBorders>
            <w:shd w:val="clear" w:color="auto" w:fill="auto"/>
            <w:noWrap/>
            <w:vAlign w:val="center"/>
            <w:hideMark/>
          </w:tcPr>
          <w:p w14:paraId="31FAE6B9" w14:textId="77777777" w:rsidR="002E19DC" w:rsidRPr="002E19DC" w:rsidRDefault="002E19DC" w:rsidP="002E19DC">
            <w:pPr>
              <w:spacing w:after="0" w:line="240" w:lineRule="auto"/>
              <w:jc w:val="right"/>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35a</w:t>
            </w:r>
          </w:p>
        </w:tc>
        <w:tc>
          <w:tcPr>
            <w:tcW w:w="2205" w:type="dxa"/>
            <w:tcBorders>
              <w:top w:val="nil"/>
              <w:left w:val="nil"/>
              <w:bottom w:val="single" w:sz="4" w:space="0" w:color="auto"/>
              <w:right w:val="single" w:sz="4" w:space="0" w:color="auto"/>
            </w:tcBorders>
            <w:shd w:val="clear" w:color="auto" w:fill="auto"/>
            <w:vAlign w:val="center"/>
            <w:hideMark/>
          </w:tcPr>
          <w:p w14:paraId="017217FC"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Šūto izstrādājumu ražošanas tehnoloģija</w:t>
            </w:r>
          </w:p>
        </w:tc>
        <w:tc>
          <w:tcPr>
            <w:tcW w:w="2693" w:type="dxa"/>
            <w:tcBorders>
              <w:top w:val="nil"/>
              <w:left w:val="nil"/>
              <w:bottom w:val="single" w:sz="4" w:space="0" w:color="auto"/>
              <w:right w:val="single" w:sz="4" w:space="0" w:color="auto"/>
            </w:tcBorders>
            <w:shd w:val="clear" w:color="auto" w:fill="auto"/>
            <w:vAlign w:val="center"/>
            <w:hideMark/>
          </w:tcPr>
          <w:p w14:paraId="110ECAAF"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Šuvējs</w:t>
            </w:r>
          </w:p>
        </w:tc>
        <w:tc>
          <w:tcPr>
            <w:tcW w:w="1260" w:type="dxa"/>
            <w:tcBorders>
              <w:top w:val="nil"/>
              <w:left w:val="nil"/>
              <w:bottom w:val="single" w:sz="4" w:space="0" w:color="auto"/>
              <w:right w:val="single" w:sz="4" w:space="0" w:color="auto"/>
            </w:tcBorders>
            <w:shd w:val="clear" w:color="auto" w:fill="auto"/>
            <w:vAlign w:val="center"/>
            <w:hideMark/>
          </w:tcPr>
          <w:p w14:paraId="7F824E86"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1</w:t>
            </w:r>
          </w:p>
        </w:tc>
        <w:tc>
          <w:tcPr>
            <w:tcW w:w="1194" w:type="dxa"/>
            <w:tcBorders>
              <w:top w:val="nil"/>
              <w:left w:val="nil"/>
              <w:bottom w:val="single" w:sz="4" w:space="0" w:color="auto"/>
              <w:right w:val="single" w:sz="4" w:space="0" w:color="auto"/>
            </w:tcBorders>
            <w:shd w:val="clear" w:color="auto" w:fill="auto"/>
            <w:vAlign w:val="center"/>
            <w:hideMark/>
          </w:tcPr>
          <w:p w14:paraId="450B63CD" w14:textId="40202883" w:rsidR="002E19DC" w:rsidRPr="002E19DC" w:rsidRDefault="00A757CC" w:rsidP="002E19D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r>
      <w:tr w:rsidR="002E19DC" w:rsidRPr="002E19DC" w14:paraId="39BFA55F" w14:textId="77777777" w:rsidTr="000D09BE">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6D588B74"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78EAE5B0"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noWrap/>
            <w:vAlign w:val="center"/>
            <w:hideMark/>
          </w:tcPr>
          <w:p w14:paraId="667A7736" w14:textId="77777777" w:rsidR="002E19DC" w:rsidRPr="002E19DC" w:rsidRDefault="002E19DC" w:rsidP="002E19DC">
            <w:pPr>
              <w:spacing w:after="0" w:line="240" w:lineRule="auto"/>
              <w:jc w:val="right"/>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35b</w:t>
            </w:r>
          </w:p>
        </w:tc>
        <w:tc>
          <w:tcPr>
            <w:tcW w:w="2205" w:type="dxa"/>
            <w:tcBorders>
              <w:top w:val="nil"/>
              <w:left w:val="nil"/>
              <w:bottom w:val="single" w:sz="4" w:space="0" w:color="auto"/>
              <w:right w:val="single" w:sz="4" w:space="0" w:color="auto"/>
            </w:tcBorders>
            <w:shd w:val="clear" w:color="auto" w:fill="auto"/>
            <w:vAlign w:val="center"/>
            <w:hideMark/>
          </w:tcPr>
          <w:p w14:paraId="033C5093"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Skaistumkopšanas pakalpojumi</w:t>
            </w:r>
          </w:p>
        </w:tc>
        <w:tc>
          <w:tcPr>
            <w:tcW w:w="2693" w:type="dxa"/>
            <w:tcBorders>
              <w:top w:val="nil"/>
              <w:left w:val="nil"/>
              <w:bottom w:val="single" w:sz="4" w:space="0" w:color="auto"/>
              <w:right w:val="single" w:sz="4" w:space="0" w:color="auto"/>
            </w:tcBorders>
            <w:shd w:val="clear" w:color="auto" w:fill="auto"/>
            <w:vAlign w:val="center"/>
            <w:hideMark/>
          </w:tcPr>
          <w:p w14:paraId="3BEBD7D7"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Vizuālā tēla stilists</w:t>
            </w:r>
          </w:p>
        </w:tc>
        <w:tc>
          <w:tcPr>
            <w:tcW w:w="1260" w:type="dxa"/>
            <w:tcBorders>
              <w:top w:val="nil"/>
              <w:left w:val="nil"/>
              <w:bottom w:val="single" w:sz="4" w:space="0" w:color="auto"/>
              <w:right w:val="single" w:sz="4" w:space="0" w:color="auto"/>
            </w:tcBorders>
            <w:shd w:val="clear" w:color="auto" w:fill="auto"/>
            <w:vAlign w:val="center"/>
            <w:hideMark/>
          </w:tcPr>
          <w:p w14:paraId="61C4350A"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1,5</w:t>
            </w:r>
          </w:p>
        </w:tc>
        <w:tc>
          <w:tcPr>
            <w:tcW w:w="1194" w:type="dxa"/>
            <w:tcBorders>
              <w:top w:val="nil"/>
              <w:left w:val="nil"/>
              <w:bottom w:val="single" w:sz="4" w:space="0" w:color="auto"/>
              <w:right w:val="single" w:sz="4" w:space="0" w:color="auto"/>
            </w:tcBorders>
            <w:shd w:val="clear" w:color="auto" w:fill="auto"/>
            <w:vAlign w:val="center"/>
            <w:hideMark/>
          </w:tcPr>
          <w:p w14:paraId="3F339A9F" w14:textId="5D364C13" w:rsidR="002E19DC" w:rsidRPr="002E19DC" w:rsidRDefault="00A757CC" w:rsidP="002E19D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r>
      <w:tr w:rsidR="002E19DC" w:rsidRPr="002E19DC" w14:paraId="64B332B5" w14:textId="77777777" w:rsidTr="000D09BE">
        <w:trPr>
          <w:trHeight w:val="300"/>
        </w:trPr>
        <w:tc>
          <w:tcPr>
            <w:tcW w:w="29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37FEAA"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Dobeles Amatniecības un vispārizglītojošā vidusskola</w:t>
            </w:r>
          </w:p>
        </w:tc>
        <w:tc>
          <w:tcPr>
            <w:tcW w:w="2693" w:type="dxa"/>
            <w:tcBorders>
              <w:top w:val="nil"/>
              <w:left w:val="nil"/>
              <w:bottom w:val="single" w:sz="4" w:space="0" w:color="auto"/>
              <w:right w:val="single" w:sz="4" w:space="0" w:color="auto"/>
            </w:tcBorders>
            <w:shd w:val="clear" w:color="auto" w:fill="auto"/>
            <w:noWrap/>
            <w:vAlign w:val="center"/>
            <w:hideMark/>
          </w:tcPr>
          <w:p w14:paraId="6731685E"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Arodizglītība</w:t>
            </w:r>
          </w:p>
        </w:tc>
        <w:tc>
          <w:tcPr>
            <w:tcW w:w="1339" w:type="dxa"/>
            <w:tcBorders>
              <w:top w:val="nil"/>
              <w:left w:val="nil"/>
              <w:bottom w:val="single" w:sz="4" w:space="0" w:color="auto"/>
              <w:right w:val="single" w:sz="4" w:space="0" w:color="auto"/>
            </w:tcBorders>
            <w:shd w:val="clear" w:color="auto" w:fill="auto"/>
            <w:noWrap/>
            <w:vAlign w:val="center"/>
            <w:hideMark/>
          </w:tcPr>
          <w:p w14:paraId="6D7DC938" w14:textId="77777777" w:rsidR="002E19DC" w:rsidRPr="002E19DC" w:rsidRDefault="002E19DC" w:rsidP="002E19DC">
            <w:pPr>
              <w:spacing w:after="0" w:line="240" w:lineRule="auto"/>
              <w:jc w:val="right"/>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32</w:t>
            </w:r>
          </w:p>
        </w:tc>
        <w:tc>
          <w:tcPr>
            <w:tcW w:w="2205" w:type="dxa"/>
            <w:tcBorders>
              <w:top w:val="nil"/>
              <w:left w:val="nil"/>
              <w:bottom w:val="single" w:sz="4" w:space="0" w:color="auto"/>
              <w:right w:val="single" w:sz="4" w:space="0" w:color="auto"/>
            </w:tcBorders>
            <w:shd w:val="clear" w:color="auto" w:fill="auto"/>
            <w:vAlign w:val="center"/>
            <w:hideMark/>
          </w:tcPr>
          <w:p w14:paraId="0D9D58D7"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Frizieru pakalpojumi</w:t>
            </w:r>
          </w:p>
        </w:tc>
        <w:tc>
          <w:tcPr>
            <w:tcW w:w="2693" w:type="dxa"/>
            <w:tcBorders>
              <w:top w:val="nil"/>
              <w:left w:val="nil"/>
              <w:bottom w:val="single" w:sz="4" w:space="0" w:color="auto"/>
              <w:right w:val="single" w:sz="4" w:space="0" w:color="auto"/>
            </w:tcBorders>
            <w:shd w:val="clear" w:color="auto" w:fill="auto"/>
            <w:vAlign w:val="center"/>
            <w:hideMark/>
          </w:tcPr>
          <w:p w14:paraId="6865EE5E"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Frizieris</w:t>
            </w:r>
          </w:p>
        </w:tc>
        <w:tc>
          <w:tcPr>
            <w:tcW w:w="1260" w:type="dxa"/>
            <w:tcBorders>
              <w:top w:val="nil"/>
              <w:left w:val="nil"/>
              <w:bottom w:val="single" w:sz="4" w:space="0" w:color="auto"/>
              <w:right w:val="single" w:sz="4" w:space="0" w:color="auto"/>
            </w:tcBorders>
            <w:shd w:val="clear" w:color="auto" w:fill="auto"/>
            <w:vAlign w:val="center"/>
            <w:hideMark/>
          </w:tcPr>
          <w:p w14:paraId="29768A2E"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3</w:t>
            </w:r>
          </w:p>
        </w:tc>
        <w:tc>
          <w:tcPr>
            <w:tcW w:w="1194" w:type="dxa"/>
            <w:tcBorders>
              <w:top w:val="nil"/>
              <w:left w:val="nil"/>
              <w:bottom w:val="single" w:sz="4" w:space="0" w:color="auto"/>
              <w:right w:val="single" w:sz="4" w:space="0" w:color="auto"/>
            </w:tcBorders>
            <w:shd w:val="clear" w:color="auto" w:fill="auto"/>
            <w:vAlign w:val="center"/>
            <w:hideMark/>
          </w:tcPr>
          <w:p w14:paraId="439FCE1E" w14:textId="352A57F6" w:rsidR="002E19DC" w:rsidRPr="002E19DC" w:rsidRDefault="008D4C96" w:rsidP="002E19D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r>
      <w:tr w:rsidR="002E19DC" w:rsidRPr="002E19DC" w14:paraId="2020F464" w14:textId="77777777" w:rsidTr="000D09BE">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49AD337A"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149CB47A"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noWrap/>
            <w:vAlign w:val="center"/>
            <w:hideMark/>
          </w:tcPr>
          <w:p w14:paraId="5AC46809" w14:textId="77777777" w:rsidR="002E19DC" w:rsidRPr="002E19DC" w:rsidRDefault="002E19DC" w:rsidP="002E19DC">
            <w:pPr>
              <w:spacing w:after="0" w:line="240" w:lineRule="auto"/>
              <w:jc w:val="right"/>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33</w:t>
            </w:r>
          </w:p>
        </w:tc>
        <w:tc>
          <w:tcPr>
            <w:tcW w:w="2205" w:type="dxa"/>
            <w:tcBorders>
              <w:top w:val="nil"/>
              <w:left w:val="nil"/>
              <w:bottom w:val="single" w:sz="4" w:space="0" w:color="auto"/>
              <w:right w:val="single" w:sz="4" w:space="0" w:color="auto"/>
            </w:tcBorders>
            <w:shd w:val="clear" w:color="auto" w:fill="auto"/>
            <w:vAlign w:val="center"/>
            <w:hideMark/>
          </w:tcPr>
          <w:p w14:paraId="3BD8188E"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Autotransports</w:t>
            </w:r>
          </w:p>
        </w:tc>
        <w:tc>
          <w:tcPr>
            <w:tcW w:w="2693" w:type="dxa"/>
            <w:tcBorders>
              <w:top w:val="nil"/>
              <w:left w:val="nil"/>
              <w:bottom w:val="single" w:sz="4" w:space="0" w:color="auto"/>
              <w:right w:val="single" w:sz="4" w:space="0" w:color="auto"/>
            </w:tcBorders>
            <w:shd w:val="clear" w:color="auto" w:fill="auto"/>
            <w:vAlign w:val="center"/>
            <w:hideMark/>
          </w:tcPr>
          <w:p w14:paraId="6C32E004"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Automehāniķis</w:t>
            </w:r>
          </w:p>
        </w:tc>
        <w:tc>
          <w:tcPr>
            <w:tcW w:w="1260" w:type="dxa"/>
            <w:tcBorders>
              <w:top w:val="nil"/>
              <w:left w:val="nil"/>
              <w:bottom w:val="single" w:sz="4" w:space="0" w:color="auto"/>
              <w:right w:val="single" w:sz="4" w:space="0" w:color="auto"/>
            </w:tcBorders>
            <w:shd w:val="clear" w:color="auto" w:fill="auto"/>
            <w:vAlign w:val="center"/>
            <w:hideMark/>
          </w:tcPr>
          <w:p w14:paraId="76C8F0E3"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4</w:t>
            </w:r>
          </w:p>
        </w:tc>
        <w:tc>
          <w:tcPr>
            <w:tcW w:w="1194" w:type="dxa"/>
            <w:tcBorders>
              <w:top w:val="nil"/>
              <w:left w:val="nil"/>
              <w:bottom w:val="single" w:sz="4" w:space="0" w:color="auto"/>
              <w:right w:val="single" w:sz="4" w:space="0" w:color="auto"/>
            </w:tcBorders>
            <w:shd w:val="clear" w:color="auto" w:fill="auto"/>
            <w:vAlign w:val="center"/>
            <w:hideMark/>
          </w:tcPr>
          <w:p w14:paraId="15CE22FD" w14:textId="4318B758" w:rsidR="002E19DC" w:rsidRPr="002E19DC" w:rsidRDefault="008D4C96" w:rsidP="002E19D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r>
      <w:tr w:rsidR="002E19DC" w:rsidRPr="002E19DC" w14:paraId="7FF5CD8D" w14:textId="77777777" w:rsidTr="00BC5709">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2B4C67D0"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2D3754FB"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noWrap/>
            <w:vAlign w:val="center"/>
            <w:hideMark/>
          </w:tcPr>
          <w:p w14:paraId="3EC3E06C" w14:textId="77777777" w:rsidR="002E19DC" w:rsidRPr="002E19DC" w:rsidRDefault="002E19DC" w:rsidP="002E19DC">
            <w:pPr>
              <w:spacing w:after="0" w:line="240" w:lineRule="auto"/>
              <w:jc w:val="right"/>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33</w:t>
            </w:r>
          </w:p>
        </w:tc>
        <w:tc>
          <w:tcPr>
            <w:tcW w:w="2205" w:type="dxa"/>
            <w:tcBorders>
              <w:top w:val="nil"/>
              <w:left w:val="nil"/>
              <w:bottom w:val="single" w:sz="4" w:space="0" w:color="auto"/>
              <w:right w:val="single" w:sz="4" w:space="0" w:color="auto"/>
            </w:tcBorders>
            <w:shd w:val="clear" w:color="auto" w:fill="92D050"/>
            <w:vAlign w:val="center"/>
            <w:hideMark/>
          </w:tcPr>
          <w:p w14:paraId="7B8574C2"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Datorsistēmas, datubāzes un datortīkli</w:t>
            </w:r>
          </w:p>
        </w:tc>
        <w:tc>
          <w:tcPr>
            <w:tcW w:w="2693" w:type="dxa"/>
            <w:tcBorders>
              <w:top w:val="nil"/>
              <w:left w:val="nil"/>
              <w:bottom w:val="single" w:sz="4" w:space="0" w:color="auto"/>
              <w:right w:val="single" w:sz="4" w:space="0" w:color="auto"/>
            </w:tcBorders>
            <w:shd w:val="clear" w:color="auto" w:fill="auto"/>
            <w:vAlign w:val="center"/>
            <w:hideMark/>
          </w:tcPr>
          <w:p w14:paraId="49DD3B66"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Datorsistēmu tehniķis</w:t>
            </w:r>
          </w:p>
        </w:tc>
        <w:tc>
          <w:tcPr>
            <w:tcW w:w="1260" w:type="dxa"/>
            <w:tcBorders>
              <w:top w:val="nil"/>
              <w:left w:val="nil"/>
              <w:bottom w:val="single" w:sz="4" w:space="0" w:color="auto"/>
              <w:right w:val="single" w:sz="4" w:space="0" w:color="auto"/>
            </w:tcBorders>
            <w:shd w:val="clear" w:color="auto" w:fill="auto"/>
            <w:vAlign w:val="center"/>
            <w:hideMark/>
          </w:tcPr>
          <w:p w14:paraId="473C9AE3"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4</w:t>
            </w:r>
          </w:p>
        </w:tc>
        <w:tc>
          <w:tcPr>
            <w:tcW w:w="1194" w:type="dxa"/>
            <w:tcBorders>
              <w:top w:val="nil"/>
              <w:left w:val="nil"/>
              <w:bottom w:val="single" w:sz="4" w:space="0" w:color="auto"/>
              <w:right w:val="single" w:sz="4" w:space="0" w:color="auto"/>
            </w:tcBorders>
            <w:shd w:val="clear" w:color="auto" w:fill="auto"/>
            <w:vAlign w:val="center"/>
            <w:hideMark/>
          </w:tcPr>
          <w:p w14:paraId="7B0EC057" w14:textId="48C17C21" w:rsidR="002E19DC" w:rsidRPr="002E19DC" w:rsidRDefault="008D4C96" w:rsidP="002E19D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r>
      <w:tr w:rsidR="002E19DC" w:rsidRPr="002E19DC" w14:paraId="0F71F6C8" w14:textId="77777777" w:rsidTr="000D09BE">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13DB957C"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6A0261E1"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noWrap/>
            <w:vAlign w:val="center"/>
            <w:hideMark/>
          </w:tcPr>
          <w:p w14:paraId="7871D88A" w14:textId="77777777" w:rsidR="002E19DC" w:rsidRPr="002E19DC" w:rsidRDefault="002E19DC" w:rsidP="002E19DC">
            <w:pPr>
              <w:spacing w:after="0" w:line="240" w:lineRule="auto"/>
              <w:jc w:val="right"/>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33</w:t>
            </w:r>
          </w:p>
        </w:tc>
        <w:tc>
          <w:tcPr>
            <w:tcW w:w="2205" w:type="dxa"/>
            <w:tcBorders>
              <w:top w:val="nil"/>
              <w:left w:val="nil"/>
              <w:bottom w:val="single" w:sz="4" w:space="0" w:color="auto"/>
              <w:right w:val="single" w:sz="4" w:space="0" w:color="auto"/>
            </w:tcBorders>
            <w:shd w:val="clear" w:color="auto" w:fill="auto"/>
            <w:vAlign w:val="center"/>
            <w:hideMark/>
          </w:tcPr>
          <w:p w14:paraId="428D243D"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Ēdināšanas pakalpojumi</w:t>
            </w:r>
          </w:p>
        </w:tc>
        <w:tc>
          <w:tcPr>
            <w:tcW w:w="2693" w:type="dxa"/>
            <w:tcBorders>
              <w:top w:val="nil"/>
              <w:left w:val="nil"/>
              <w:bottom w:val="single" w:sz="4" w:space="0" w:color="auto"/>
              <w:right w:val="single" w:sz="4" w:space="0" w:color="auto"/>
            </w:tcBorders>
            <w:shd w:val="clear" w:color="auto" w:fill="auto"/>
            <w:vAlign w:val="center"/>
            <w:hideMark/>
          </w:tcPr>
          <w:p w14:paraId="3BB4069C"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Pavārs</w:t>
            </w:r>
          </w:p>
        </w:tc>
        <w:tc>
          <w:tcPr>
            <w:tcW w:w="1260" w:type="dxa"/>
            <w:tcBorders>
              <w:top w:val="nil"/>
              <w:left w:val="nil"/>
              <w:bottom w:val="single" w:sz="4" w:space="0" w:color="auto"/>
              <w:right w:val="single" w:sz="4" w:space="0" w:color="auto"/>
            </w:tcBorders>
            <w:shd w:val="clear" w:color="auto" w:fill="auto"/>
            <w:vAlign w:val="center"/>
            <w:hideMark/>
          </w:tcPr>
          <w:p w14:paraId="046E6F55"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4</w:t>
            </w:r>
          </w:p>
        </w:tc>
        <w:tc>
          <w:tcPr>
            <w:tcW w:w="1194" w:type="dxa"/>
            <w:tcBorders>
              <w:top w:val="nil"/>
              <w:left w:val="nil"/>
              <w:bottom w:val="single" w:sz="4" w:space="0" w:color="auto"/>
              <w:right w:val="single" w:sz="4" w:space="0" w:color="auto"/>
            </w:tcBorders>
            <w:shd w:val="clear" w:color="auto" w:fill="auto"/>
            <w:vAlign w:val="center"/>
            <w:hideMark/>
          </w:tcPr>
          <w:p w14:paraId="1BB1CF7F" w14:textId="0FC042C3" w:rsidR="002E19DC" w:rsidRPr="002E19DC" w:rsidRDefault="008D4C96" w:rsidP="002E19D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r>
      <w:tr w:rsidR="002E19DC" w:rsidRPr="002E19DC" w14:paraId="1D292521" w14:textId="77777777" w:rsidTr="00B71CDE">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2215209D"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1F90E53A"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vAlign w:val="center"/>
            <w:hideMark/>
          </w:tcPr>
          <w:p w14:paraId="14B6B2C5"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33</w:t>
            </w:r>
          </w:p>
        </w:tc>
        <w:tc>
          <w:tcPr>
            <w:tcW w:w="2205" w:type="dxa"/>
            <w:tcBorders>
              <w:top w:val="nil"/>
              <w:left w:val="nil"/>
              <w:bottom w:val="single" w:sz="4" w:space="0" w:color="auto"/>
              <w:right w:val="single" w:sz="4" w:space="0" w:color="auto"/>
            </w:tcBorders>
            <w:shd w:val="clear" w:color="auto" w:fill="auto"/>
            <w:vAlign w:val="center"/>
            <w:hideMark/>
          </w:tcPr>
          <w:p w14:paraId="3FF4FB18"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Viesnīcu pakalpojumi</w:t>
            </w:r>
          </w:p>
        </w:tc>
        <w:tc>
          <w:tcPr>
            <w:tcW w:w="2693" w:type="dxa"/>
            <w:tcBorders>
              <w:top w:val="nil"/>
              <w:left w:val="nil"/>
              <w:bottom w:val="single" w:sz="4" w:space="0" w:color="auto"/>
              <w:right w:val="single" w:sz="4" w:space="0" w:color="auto"/>
            </w:tcBorders>
            <w:shd w:val="clear" w:color="auto" w:fill="auto"/>
            <w:vAlign w:val="center"/>
            <w:hideMark/>
          </w:tcPr>
          <w:p w14:paraId="3451A528"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Viesmīlības pakalpojumu speciālists</w:t>
            </w:r>
          </w:p>
        </w:tc>
        <w:tc>
          <w:tcPr>
            <w:tcW w:w="1260" w:type="dxa"/>
            <w:tcBorders>
              <w:top w:val="nil"/>
              <w:left w:val="nil"/>
              <w:bottom w:val="single" w:sz="4" w:space="0" w:color="auto"/>
              <w:right w:val="single" w:sz="4" w:space="0" w:color="auto"/>
            </w:tcBorders>
            <w:shd w:val="clear" w:color="auto" w:fill="auto"/>
            <w:vAlign w:val="center"/>
            <w:hideMark/>
          </w:tcPr>
          <w:p w14:paraId="3B39B66A"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4</w:t>
            </w:r>
          </w:p>
        </w:tc>
        <w:tc>
          <w:tcPr>
            <w:tcW w:w="1194" w:type="dxa"/>
            <w:tcBorders>
              <w:top w:val="nil"/>
              <w:left w:val="nil"/>
              <w:bottom w:val="single" w:sz="4" w:space="0" w:color="auto"/>
              <w:right w:val="single" w:sz="4" w:space="0" w:color="auto"/>
            </w:tcBorders>
            <w:shd w:val="clear" w:color="auto" w:fill="auto"/>
            <w:vAlign w:val="center"/>
            <w:hideMark/>
          </w:tcPr>
          <w:p w14:paraId="3017D3E8" w14:textId="4387F49F" w:rsidR="002E19DC" w:rsidRPr="002E19DC" w:rsidRDefault="008D4C96" w:rsidP="002E19D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r>
      <w:tr w:rsidR="002E19DC" w:rsidRPr="002E19DC" w14:paraId="43C5F09E" w14:textId="77777777" w:rsidTr="00BC5709">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4E821F28"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70F215E6"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Arodizglītība</w:t>
            </w:r>
          </w:p>
        </w:tc>
        <w:tc>
          <w:tcPr>
            <w:tcW w:w="1339" w:type="dxa"/>
            <w:tcBorders>
              <w:top w:val="nil"/>
              <w:left w:val="nil"/>
              <w:bottom w:val="single" w:sz="4" w:space="0" w:color="auto"/>
              <w:right w:val="single" w:sz="4" w:space="0" w:color="auto"/>
            </w:tcBorders>
            <w:shd w:val="clear" w:color="auto" w:fill="auto"/>
            <w:vAlign w:val="center"/>
            <w:hideMark/>
          </w:tcPr>
          <w:p w14:paraId="123F06A1"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35a</w:t>
            </w:r>
          </w:p>
        </w:tc>
        <w:tc>
          <w:tcPr>
            <w:tcW w:w="2205" w:type="dxa"/>
            <w:tcBorders>
              <w:top w:val="nil"/>
              <w:left w:val="nil"/>
              <w:bottom w:val="single" w:sz="4" w:space="0" w:color="auto"/>
              <w:right w:val="single" w:sz="4" w:space="0" w:color="auto"/>
            </w:tcBorders>
            <w:shd w:val="clear" w:color="auto" w:fill="auto"/>
            <w:vAlign w:val="center"/>
            <w:hideMark/>
          </w:tcPr>
          <w:p w14:paraId="16EDFB86"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Administratīvie un sekretāra pakalpojumi</w:t>
            </w:r>
          </w:p>
        </w:tc>
        <w:tc>
          <w:tcPr>
            <w:tcW w:w="2693" w:type="dxa"/>
            <w:tcBorders>
              <w:top w:val="nil"/>
              <w:left w:val="nil"/>
              <w:bottom w:val="single" w:sz="4" w:space="0" w:color="auto"/>
              <w:right w:val="single" w:sz="4" w:space="0" w:color="auto"/>
            </w:tcBorders>
            <w:shd w:val="clear" w:color="auto" w:fill="auto"/>
            <w:vAlign w:val="center"/>
            <w:hideMark/>
          </w:tcPr>
          <w:p w14:paraId="42D6FD86"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Lietvedis</w:t>
            </w:r>
          </w:p>
        </w:tc>
        <w:tc>
          <w:tcPr>
            <w:tcW w:w="1260" w:type="dxa"/>
            <w:tcBorders>
              <w:top w:val="nil"/>
              <w:left w:val="nil"/>
              <w:bottom w:val="single" w:sz="4" w:space="0" w:color="auto"/>
              <w:right w:val="single" w:sz="4" w:space="0" w:color="auto"/>
            </w:tcBorders>
            <w:shd w:val="clear" w:color="auto" w:fill="auto"/>
            <w:vAlign w:val="center"/>
            <w:hideMark/>
          </w:tcPr>
          <w:p w14:paraId="4CC8E036"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1</w:t>
            </w:r>
          </w:p>
        </w:tc>
        <w:tc>
          <w:tcPr>
            <w:tcW w:w="1194" w:type="dxa"/>
            <w:tcBorders>
              <w:top w:val="nil"/>
              <w:left w:val="nil"/>
              <w:bottom w:val="single" w:sz="4" w:space="0" w:color="auto"/>
              <w:right w:val="single" w:sz="4" w:space="0" w:color="auto"/>
            </w:tcBorders>
            <w:shd w:val="clear" w:color="auto" w:fill="auto"/>
            <w:vAlign w:val="center"/>
            <w:hideMark/>
          </w:tcPr>
          <w:p w14:paraId="514E4BFC" w14:textId="4000B7FA" w:rsidR="002E19DC" w:rsidRPr="002E19DC" w:rsidRDefault="008D4C96" w:rsidP="002E19D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2E19DC" w:rsidRPr="002E19DC">
              <w:rPr>
                <w:rFonts w:ascii="Times New Roman" w:eastAsia="Times New Roman" w:hAnsi="Times New Roman" w:cs="Times New Roman"/>
                <w:color w:val="000000"/>
                <w:sz w:val="20"/>
                <w:szCs w:val="20"/>
              </w:rPr>
              <w:t>0</w:t>
            </w:r>
          </w:p>
        </w:tc>
      </w:tr>
      <w:tr w:rsidR="002E19DC" w:rsidRPr="002E19DC" w14:paraId="6C0BC247" w14:textId="77777777" w:rsidTr="000D09BE">
        <w:trPr>
          <w:trHeight w:val="300"/>
        </w:trPr>
        <w:tc>
          <w:tcPr>
            <w:tcW w:w="29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ACB0B9"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Bebrenes vispārizglītojošā un profesionālā vidusskola</w:t>
            </w:r>
          </w:p>
        </w:tc>
        <w:tc>
          <w:tcPr>
            <w:tcW w:w="2693" w:type="dxa"/>
            <w:tcBorders>
              <w:top w:val="nil"/>
              <w:left w:val="nil"/>
              <w:bottom w:val="single" w:sz="4" w:space="0" w:color="auto"/>
              <w:right w:val="single" w:sz="4" w:space="0" w:color="auto"/>
            </w:tcBorders>
            <w:shd w:val="clear" w:color="auto" w:fill="auto"/>
            <w:noWrap/>
            <w:vAlign w:val="center"/>
            <w:hideMark/>
          </w:tcPr>
          <w:p w14:paraId="4B045C15"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Arodizglītība</w:t>
            </w:r>
          </w:p>
        </w:tc>
        <w:tc>
          <w:tcPr>
            <w:tcW w:w="1339" w:type="dxa"/>
            <w:tcBorders>
              <w:top w:val="nil"/>
              <w:left w:val="nil"/>
              <w:bottom w:val="single" w:sz="4" w:space="0" w:color="auto"/>
              <w:right w:val="single" w:sz="4" w:space="0" w:color="auto"/>
            </w:tcBorders>
            <w:shd w:val="clear" w:color="auto" w:fill="auto"/>
            <w:noWrap/>
            <w:vAlign w:val="center"/>
            <w:hideMark/>
          </w:tcPr>
          <w:p w14:paraId="014D7849" w14:textId="77777777" w:rsidR="002E19DC" w:rsidRPr="002E19DC" w:rsidRDefault="002E19DC" w:rsidP="002E19DC">
            <w:pPr>
              <w:spacing w:after="0" w:line="240" w:lineRule="auto"/>
              <w:jc w:val="right"/>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32</w:t>
            </w:r>
          </w:p>
        </w:tc>
        <w:tc>
          <w:tcPr>
            <w:tcW w:w="2205" w:type="dxa"/>
            <w:tcBorders>
              <w:top w:val="nil"/>
              <w:left w:val="nil"/>
              <w:bottom w:val="single" w:sz="4" w:space="0" w:color="auto"/>
              <w:right w:val="single" w:sz="4" w:space="0" w:color="auto"/>
            </w:tcBorders>
            <w:shd w:val="clear" w:color="auto" w:fill="auto"/>
            <w:vAlign w:val="center"/>
            <w:hideMark/>
          </w:tcPr>
          <w:p w14:paraId="140C3627"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Ēdināšanas pakalpojumi</w:t>
            </w:r>
          </w:p>
        </w:tc>
        <w:tc>
          <w:tcPr>
            <w:tcW w:w="2693" w:type="dxa"/>
            <w:tcBorders>
              <w:top w:val="nil"/>
              <w:left w:val="nil"/>
              <w:bottom w:val="single" w:sz="4" w:space="0" w:color="auto"/>
              <w:right w:val="single" w:sz="4" w:space="0" w:color="auto"/>
            </w:tcBorders>
            <w:shd w:val="clear" w:color="auto" w:fill="auto"/>
            <w:vAlign w:val="center"/>
            <w:hideMark/>
          </w:tcPr>
          <w:p w14:paraId="33864166"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Pavārs</w:t>
            </w:r>
          </w:p>
        </w:tc>
        <w:tc>
          <w:tcPr>
            <w:tcW w:w="1260" w:type="dxa"/>
            <w:tcBorders>
              <w:top w:val="nil"/>
              <w:left w:val="nil"/>
              <w:bottom w:val="single" w:sz="4" w:space="0" w:color="auto"/>
              <w:right w:val="single" w:sz="4" w:space="0" w:color="auto"/>
            </w:tcBorders>
            <w:shd w:val="clear" w:color="auto" w:fill="auto"/>
            <w:vAlign w:val="center"/>
            <w:hideMark/>
          </w:tcPr>
          <w:p w14:paraId="4087B31E"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3</w:t>
            </w:r>
          </w:p>
        </w:tc>
        <w:tc>
          <w:tcPr>
            <w:tcW w:w="1194" w:type="dxa"/>
            <w:tcBorders>
              <w:top w:val="nil"/>
              <w:left w:val="nil"/>
              <w:bottom w:val="single" w:sz="4" w:space="0" w:color="auto"/>
              <w:right w:val="single" w:sz="4" w:space="0" w:color="auto"/>
            </w:tcBorders>
            <w:shd w:val="clear" w:color="auto" w:fill="auto"/>
            <w:vAlign w:val="center"/>
            <w:hideMark/>
          </w:tcPr>
          <w:p w14:paraId="30EF6BEA" w14:textId="7DB573FB" w:rsidR="002E19DC" w:rsidRPr="002E19DC" w:rsidRDefault="007D67A3" w:rsidP="002E19D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r>
      <w:tr w:rsidR="002E19DC" w:rsidRPr="002E19DC" w14:paraId="25A2E479" w14:textId="77777777" w:rsidTr="00BC5709">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1A290892"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333A765F"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noWrap/>
            <w:vAlign w:val="center"/>
            <w:hideMark/>
          </w:tcPr>
          <w:p w14:paraId="64DBF03A" w14:textId="77777777" w:rsidR="002E19DC" w:rsidRPr="002E19DC" w:rsidRDefault="002E19DC" w:rsidP="002E19DC">
            <w:pPr>
              <w:spacing w:after="0" w:line="240" w:lineRule="auto"/>
              <w:jc w:val="right"/>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33</w:t>
            </w:r>
          </w:p>
        </w:tc>
        <w:tc>
          <w:tcPr>
            <w:tcW w:w="2205" w:type="dxa"/>
            <w:tcBorders>
              <w:top w:val="nil"/>
              <w:left w:val="nil"/>
              <w:bottom w:val="single" w:sz="4" w:space="0" w:color="auto"/>
              <w:right w:val="single" w:sz="4" w:space="0" w:color="auto"/>
            </w:tcBorders>
            <w:shd w:val="clear" w:color="auto" w:fill="92D050"/>
            <w:vAlign w:val="center"/>
            <w:hideMark/>
          </w:tcPr>
          <w:p w14:paraId="649BD97A"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Veterinārmedicīna</w:t>
            </w:r>
          </w:p>
        </w:tc>
        <w:tc>
          <w:tcPr>
            <w:tcW w:w="2693" w:type="dxa"/>
            <w:tcBorders>
              <w:top w:val="nil"/>
              <w:left w:val="nil"/>
              <w:bottom w:val="single" w:sz="4" w:space="0" w:color="auto"/>
              <w:right w:val="single" w:sz="4" w:space="0" w:color="auto"/>
            </w:tcBorders>
            <w:shd w:val="clear" w:color="auto" w:fill="auto"/>
            <w:vAlign w:val="center"/>
            <w:hideMark/>
          </w:tcPr>
          <w:p w14:paraId="49F3198D"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Veterinārārsta asistents</w:t>
            </w:r>
          </w:p>
        </w:tc>
        <w:tc>
          <w:tcPr>
            <w:tcW w:w="1260" w:type="dxa"/>
            <w:tcBorders>
              <w:top w:val="nil"/>
              <w:left w:val="nil"/>
              <w:bottom w:val="single" w:sz="4" w:space="0" w:color="auto"/>
              <w:right w:val="single" w:sz="4" w:space="0" w:color="auto"/>
            </w:tcBorders>
            <w:shd w:val="clear" w:color="auto" w:fill="auto"/>
            <w:vAlign w:val="center"/>
            <w:hideMark/>
          </w:tcPr>
          <w:p w14:paraId="0E281636"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4</w:t>
            </w:r>
          </w:p>
        </w:tc>
        <w:tc>
          <w:tcPr>
            <w:tcW w:w="1194" w:type="dxa"/>
            <w:tcBorders>
              <w:top w:val="nil"/>
              <w:left w:val="nil"/>
              <w:bottom w:val="single" w:sz="4" w:space="0" w:color="auto"/>
              <w:right w:val="single" w:sz="4" w:space="0" w:color="auto"/>
            </w:tcBorders>
            <w:shd w:val="clear" w:color="auto" w:fill="auto"/>
            <w:vAlign w:val="center"/>
            <w:hideMark/>
          </w:tcPr>
          <w:p w14:paraId="32E8BCE1" w14:textId="7805464B" w:rsidR="002E19DC" w:rsidRPr="002E19DC" w:rsidRDefault="007D67A3" w:rsidP="002E19D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r>
      <w:tr w:rsidR="002E19DC" w:rsidRPr="002E19DC" w14:paraId="094D8E0D" w14:textId="77777777" w:rsidTr="00B71CDE">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7523BC89"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7704D804"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vAlign w:val="center"/>
            <w:hideMark/>
          </w:tcPr>
          <w:p w14:paraId="0FE00239"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35b</w:t>
            </w:r>
          </w:p>
        </w:tc>
        <w:tc>
          <w:tcPr>
            <w:tcW w:w="2205" w:type="dxa"/>
            <w:tcBorders>
              <w:top w:val="nil"/>
              <w:left w:val="nil"/>
              <w:bottom w:val="single" w:sz="4" w:space="0" w:color="auto"/>
              <w:right w:val="single" w:sz="4" w:space="0" w:color="auto"/>
            </w:tcBorders>
            <w:shd w:val="clear" w:color="auto" w:fill="auto"/>
            <w:vAlign w:val="center"/>
            <w:hideMark/>
          </w:tcPr>
          <w:p w14:paraId="1FC2066C"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Tūrisma pakalpojumi</w:t>
            </w:r>
          </w:p>
        </w:tc>
        <w:tc>
          <w:tcPr>
            <w:tcW w:w="2693" w:type="dxa"/>
            <w:tcBorders>
              <w:top w:val="nil"/>
              <w:left w:val="nil"/>
              <w:bottom w:val="single" w:sz="4" w:space="0" w:color="auto"/>
              <w:right w:val="single" w:sz="4" w:space="0" w:color="auto"/>
            </w:tcBorders>
            <w:shd w:val="clear" w:color="auto" w:fill="auto"/>
            <w:vAlign w:val="center"/>
            <w:hideMark/>
          </w:tcPr>
          <w:p w14:paraId="717D1C2C"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Ekotūrisma speciālists</w:t>
            </w:r>
          </w:p>
        </w:tc>
        <w:tc>
          <w:tcPr>
            <w:tcW w:w="1260" w:type="dxa"/>
            <w:tcBorders>
              <w:top w:val="nil"/>
              <w:left w:val="nil"/>
              <w:bottom w:val="single" w:sz="4" w:space="0" w:color="auto"/>
              <w:right w:val="single" w:sz="4" w:space="0" w:color="auto"/>
            </w:tcBorders>
            <w:shd w:val="clear" w:color="auto" w:fill="auto"/>
            <w:vAlign w:val="center"/>
            <w:hideMark/>
          </w:tcPr>
          <w:p w14:paraId="67AEB400"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2</w:t>
            </w:r>
          </w:p>
        </w:tc>
        <w:tc>
          <w:tcPr>
            <w:tcW w:w="1194" w:type="dxa"/>
            <w:tcBorders>
              <w:top w:val="nil"/>
              <w:left w:val="nil"/>
              <w:bottom w:val="single" w:sz="4" w:space="0" w:color="auto"/>
              <w:right w:val="single" w:sz="4" w:space="0" w:color="auto"/>
            </w:tcBorders>
            <w:shd w:val="clear" w:color="auto" w:fill="auto"/>
            <w:vAlign w:val="center"/>
            <w:hideMark/>
          </w:tcPr>
          <w:p w14:paraId="343C531F" w14:textId="656BED07" w:rsidR="002E19DC" w:rsidRPr="002E19DC" w:rsidRDefault="008D4C96" w:rsidP="002E19D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r>
      <w:tr w:rsidR="002E19DC" w:rsidRPr="002E19DC" w14:paraId="249405AD" w14:textId="77777777" w:rsidTr="00BC5709">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7F4F4EA1"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20886263"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vAlign w:val="center"/>
            <w:hideMark/>
          </w:tcPr>
          <w:p w14:paraId="2B333906"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35b</w:t>
            </w:r>
          </w:p>
        </w:tc>
        <w:tc>
          <w:tcPr>
            <w:tcW w:w="2205" w:type="dxa"/>
            <w:tcBorders>
              <w:top w:val="nil"/>
              <w:left w:val="nil"/>
              <w:bottom w:val="single" w:sz="4" w:space="0" w:color="auto"/>
              <w:right w:val="single" w:sz="4" w:space="0" w:color="auto"/>
            </w:tcBorders>
            <w:shd w:val="clear" w:color="auto" w:fill="92D050"/>
            <w:vAlign w:val="center"/>
            <w:hideMark/>
          </w:tcPr>
          <w:p w14:paraId="671F527A"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Veterinārmedicīna</w:t>
            </w:r>
          </w:p>
        </w:tc>
        <w:tc>
          <w:tcPr>
            <w:tcW w:w="2693" w:type="dxa"/>
            <w:tcBorders>
              <w:top w:val="nil"/>
              <w:left w:val="nil"/>
              <w:bottom w:val="single" w:sz="4" w:space="0" w:color="auto"/>
              <w:right w:val="single" w:sz="4" w:space="0" w:color="auto"/>
            </w:tcBorders>
            <w:shd w:val="clear" w:color="auto" w:fill="auto"/>
            <w:vAlign w:val="center"/>
            <w:hideMark/>
          </w:tcPr>
          <w:p w14:paraId="37ABEE1C"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Veterinārārsta asistents</w:t>
            </w:r>
          </w:p>
        </w:tc>
        <w:tc>
          <w:tcPr>
            <w:tcW w:w="1260" w:type="dxa"/>
            <w:tcBorders>
              <w:top w:val="nil"/>
              <w:left w:val="nil"/>
              <w:bottom w:val="single" w:sz="4" w:space="0" w:color="auto"/>
              <w:right w:val="single" w:sz="4" w:space="0" w:color="auto"/>
            </w:tcBorders>
            <w:shd w:val="clear" w:color="auto" w:fill="auto"/>
            <w:vAlign w:val="center"/>
            <w:hideMark/>
          </w:tcPr>
          <w:p w14:paraId="59DA6F34"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1,5</w:t>
            </w:r>
          </w:p>
        </w:tc>
        <w:tc>
          <w:tcPr>
            <w:tcW w:w="1194" w:type="dxa"/>
            <w:tcBorders>
              <w:top w:val="nil"/>
              <w:left w:val="nil"/>
              <w:bottom w:val="single" w:sz="4" w:space="0" w:color="auto"/>
              <w:right w:val="single" w:sz="4" w:space="0" w:color="auto"/>
            </w:tcBorders>
            <w:shd w:val="clear" w:color="auto" w:fill="auto"/>
            <w:vAlign w:val="center"/>
            <w:hideMark/>
          </w:tcPr>
          <w:p w14:paraId="2BE8FF39" w14:textId="46EC1D82" w:rsidR="002E19DC" w:rsidRPr="002E19DC" w:rsidRDefault="008D4C96" w:rsidP="002E19D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r>
      <w:tr w:rsidR="002E19DC" w:rsidRPr="002E19DC" w14:paraId="0EBC09E6" w14:textId="77777777" w:rsidTr="00BC5709">
        <w:trPr>
          <w:trHeight w:val="300"/>
        </w:trPr>
        <w:tc>
          <w:tcPr>
            <w:tcW w:w="29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AA7AC3"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Zaļenieku komerciālā un amatniecības vidusskola</w:t>
            </w:r>
          </w:p>
        </w:tc>
        <w:tc>
          <w:tcPr>
            <w:tcW w:w="2693" w:type="dxa"/>
            <w:tcBorders>
              <w:top w:val="nil"/>
              <w:left w:val="nil"/>
              <w:bottom w:val="single" w:sz="4" w:space="0" w:color="auto"/>
              <w:right w:val="single" w:sz="4" w:space="0" w:color="auto"/>
            </w:tcBorders>
            <w:shd w:val="clear" w:color="auto" w:fill="auto"/>
            <w:noWrap/>
            <w:vAlign w:val="center"/>
            <w:hideMark/>
          </w:tcPr>
          <w:p w14:paraId="70347E87"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Arodizglītība</w:t>
            </w:r>
          </w:p>
        </w:tc>
        <w:tc>
          <w:tcPr>
            <w:tcW w:w="1339" w:type="dxa"/>
            <w:tcBorders>
              <w:top w:val="nil"/>
              <w:left w:val="nil"/>
              <w:bottom w:val="single" w:sz="4" w:space="0" w:color="auto"/>
              <w:right w:val="single" w:sz="4" w:space="0" w:color="auto"/>
            </w:tcBorders>
            <w:shd w:val="clear" w:color="auto" w:fill="auto"/>
            <w:vAlign w:val="center"/>
            <w:hideMark/>
          </w:tcPr>
          <w:p w14:paraId="28E6EC44"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32a</w:t>
            </w:r>
          </w:p>
        </w:tc>
        <w:tc>
          <w:tcPr>
            <w:tcW w:w="2205" w:type="dxa"/>
            <w:tcBorders>
              <w:top w:val="nil"/>
              <w:left w:val="nil"/>
              <w:bottom w:val="single" w:sz="4" w:space="0" w:color="auto"/>
              <w:right w:val="single" w:sz="4" w:space="0" w:color="auto"/>
            </w:tcBorders>
            <w:shd w:val="clear" w:color="auto" w:fill="92D050"/>
            <w:vAlign w:val="center"/>
            <w:hideMark/>
          </w:tcPr>
          <w:p w14:paraId="3E02C3D8"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Būvdarbi</w:t>
            </w:r>
          </w:p>
        </w:tc>
        <w:tc>
          <w:tcPr>
            <w:tcW w:w="2693" w:type="dxa"/>
            <w:tcBorders>
              <w:top w:val="nil"/>
              <w:left w:val="nil"/>
              <w:bottom w:val="single" w:sz="4" w:space="0" w:color="auto"/>
              <w:right w:val="single" w:sz="4" w:space="0" w:color="auto"/>
            </w:tcBorders>
            <w:shd w:val="clear" w:color="auto" w:fill="auto"/>
            <w:vAlign w:val="center"/>
            <w:hideMark/>
          </w:tcPr>
          <w:p w14:paraId="0B2018D4"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Mūrnieks</w:t>
            </w:r>
          </w:p>
        </w:tc>
        <w:tc>
          <w:tcPr>
            <w:tcW w:w="1260" w:type="dxa"/>
            <w:tcBorders>
              <w:top w:val="nil"/>
              <w:left w:val="nil"/>
              <w:bottom w:val="single" w:sz="4" w:space="0" w:color="auto"/>
              <w:right w:val="single" w:sz="4" w:space="0" w:color="auto"/>
            </w:tcBorders>
            <w:shd w:val="clear" w:color="auto" w:fill="auto"/>
            <w:vAlign w:val="center"/>
            <w:hideMark/>
          </w:tcPr>
          <w:p w14:paraId="69652AF2"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1</w:t>
            </w:r>
          </w:p>
        </w:tc>
        <w:tc>
          <w:tcPr>
            <w:tcW w:w="1194" w:type="dxa"/>
            <w:tcBorders>
              <w:top w:val="nil"/>
              <w:left w:val="nil"/>
              <w:bottom w:val="single" w:sz="4" w:space="0" w:color="auto"/>
              <w:right w:val="single" w:sz="4" w:space="0" w:color="auto"/>
            </w:tcBorders>
            <w:shd w:val="clear" w:color="auto" w:fill="auto"/>
            <w:vAlign w:val="center"/>
            <w:hideMark/>
          </w:tcPr>
          <w:p w14:paraId="692D6D03"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23</w:t>
            </w:r>
          </w:p>
        </w:tc>
      </w:tr>
      <w:tr w:rsidR="002E19DC" w:rsidRPr="002E19DC" w14:paraId="2C26EDEF" w14:textId="77777777" w:rsidTr="00BC5709">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5ED46F0E"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16B55643"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vAlign w:val="center"/>
            <w:hideMark/>
          </w:tcPr>
          <w:p w14:paraId="45BB0A94"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33</w:t>
            </w:r>
          </w:p>
        </w:tc>
        <w:tc>
          <w:tcPr>
            <w:tcW w:w="2205" w:type="dxa"/>
            <w:tcBorders>
              <w:top w:val="nil"/>
              <w:left w:val="nil"/>
              <w:bottom w:val="single" w:sz="4" w:space="0" w:color="auto"/>
              <w:right w:val="single" w:sz="4" w:space="0" w:color="auto"/>
            </w:tcBorders>
            <w:shd w:val="clear" w:color="auto" w:fill="92D050"/>
            <w:vAlign w:val="center"/>
            <w:hideMark/>
          </w:tcPr>
          <w:p w14:paraId="3391991F"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Restaurācija</w:t>
            </w:r>
          </w:p>
        </w:tc>
        <w:tc>
          <w:tcPr>
            <w:tcW w:w="2693" w:type="dxa"/>
            <w:tcBorders>
              <w:top w:val="nil"/>
              <w:left w:val="nil"/>
              <w:bottom w:val="single" w:sz="4" w:space="0" w:color="auto"/>
              <w:right w:val="single" w:sz="4" w:space="0" w:color="auto"/>
            </w:tcBorders>
            <w:shd w:val="clear" w:color="auto" w:fill="auto"/>
            <w:vAlign w:val="center"/>
            <w:hideMark/>
          </w:tcPr>
          <w:p w14:paraId="73AC0D6E"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Restauratora asistents</w:t>
            </w:r>
          </w:p>
        </w:tc>
        <w:tc>
          <w:tcPr>
            <w:tcW w:w="1260" w:type="dxa"/>
            <w:tcBorders>
              <w:top w:val="nil"/>
              <w:left w:val="nil"/>
              <w:bottom w:val="single" w:sz="4" w:space="0" w:color="auto"/>
              <w:right w:val="single" w:sz="4" w:space="0" w:color="auto"/>
            </w:tcBorders>
            <w:shd w:val="clear" w:color="auto" w:fill="auto"/>
            <w:vAlign w:val="center"/>
            <w:hideMark/>
          </w:tcPr>
          <w:p w14:paraId="2A8C26A1"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4</w:t>
            </w:r>
          </w:p>
        </w:tc>
        <w:tc>
          <w:tcPr>
            <w:tcW w:w="1194" w:type="dxa"/>
            <w:tcBorders>
              <w:top w:val="nil"/>
              <w:left w:val="nil"/>
              <w:bottom w:val="single" w:sz="4" w:space="0" w:color="auto"/>
              <w:right w:val="single" w:sz="4" w:space="0" w:color="auto"/>
            </w:tcBorders>
            <w:shd w:val="clear" w:color="auto" w:fill="auto"/>
            <w:vAlign w:val="center"/>
            <w:hideMark/>
          </w:tcPr>
          <w:p w14:paraId="5DB2B718" w14:textId="5ED16A12" w:rsidR="002E19DC" w:rsidRPr="002E19DC" w:rsidRDefault="00F81A1B" w:rsidP="002E19D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r>
      <w:tr w:rsidR="002E19DC" w:rsidRPr="002E19DC" w14:paraId="03EBAD88" w14:textId="77777777" w:rsidTr="00BC5709">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6C82B7F9"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6DD8B69A"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vAlign w:val="center"/>
            <w:hideMark/>
          </w:tcPr>
          <w:p w14:paraId="2DE2288F"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35b</w:t>
            </w:r>
          </w:p>
        </w:tc>
        <w:tc>
          <w:tcPr>
            <w:tcW w:w="2205" w:type="dxa"/>
            <w:tcBorders>
              <w:top w:val="nil"/>
              <w:left w:val="nil"/>
              <w:bottom w:val="single" w:sz="4" w:space="0" w:color="auto"/>
              <w:right w:val="single" w:sz="4" w:space="0" w:color="auto"/>
            </w:tcBorders>
            <w:shd w:val="clear" w:color="auto" w:fill="92D050"/>
            <w:vAlign w:val="center"/>
            <w:hideMark/>
          </w:tcPr>
          <w:p w14:paraId="583ABE1B"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Augkopība</w:t>
            </w:r>
          </w:p>
        </w:tc>
        <w:tc>
          <w:tcPr>
            <w:tcW w:w="2693" w:type="dxa"/>
            <w:tcBorders>
              <w:top w:val="nil"/>
              <w:left w:val="nil"/>
              <w:bottom w:val="single" w:sz="4" w:space="0" w:color="auto"/>
              <w:right w:val="single" w:sz="4" w:space="0" w:color="auto"/>
            </w:tcBorders>
            <w:shd w:val="clear" w:color="auto" w:fill="auto"/>
            <w:vAlign w:val="center"/>
            <w:hideMark/>
          </w:tcPr>
          <w:p w14:paraId="609BE893"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Augkopības tehniķis</w:t>
            </w:r>
          </w:p>
        </w:tc>
        <w:tc>
          <w:tcPr>
            <w:tcW w:w="1260" w:type="dxa"/>
            <w:tcBorders>
              <w:top w:val="nil"/>
              <w:left w:val="nil"/>
              <w:bottom w:val="single" w:sz="4" w:space="0" w:color="auto"/>
              <w:right w:val="single" w:sz="4" w:space="0" w:color="auto"/>
            </w:tcBorders>
            <w:shd w:val="clear" w:color="auto" w:fill="auto"/>
            <w:vAlign w:val="center"/>
            <w:hideMark/>
          </w:tcPr>
          <w:p w14:paraId="58363647"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1,5</w:t>
            </w:r>
          </w:p>
        </w:tc>
        <w:tc>
          <w:tcPr>
            <w:tcW w:w="1194" w:type="dxa"/>
            <w:tcBorders>
              <w:top w:val="nil"/>
              <w:left w:val="nil"/>
              <w:bottom w:val="single" w:sz="4" w:space="0" w:color="auto"/>
              <w:right w:val="single" w:sz="4" w:space="0" w:color="auto"/>
            </w:tcBorders>
            <w:shd w:val="clear" w:color="auto" w:fill="auto"/>
            <w:vAlign w:val="center"/>
            <w:hideMark/>
          </w:tcPr>
          <w:p w14:paraId="32CD2AB2" w14:textId="250764F6" w:rsidR="002E19DC" w:rsidRPr="002E19DC" w:rsidRDefault="00F81A1B" w:rsidP="002E19D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r>
      <w:tr w:rsidR="002E19DC" w:rsidRPr="002E19DC" w14:paraId="67B68E56" w14:textId="77777777" w:rsidTr="000D09BE">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036CFD19"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07364E86"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vAlign w:val="center"/>
            <w:hideMark/>
          </w:tcPr>
          <w:p w14:paraId="496F2520"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35b</w:t>
            </w:r>
          </w:p>
        </w:tc>
        <w:tc>
          <w:tcPr>
            <w:tcW w:w="2205" w:type="dxa"/>
            <w:tcBorders>
              <w:top w:val="nil"/>
              <w:left w:val="nil"/>
              <w:bottom w:val="single" w:sz="4" w:space="0" w:color="auto"/>
              <w:right w:val="single" w:sz="4" w:space="0" w:color="auto"/>
            </w:tcBorders>
            <w:shd w:val="clear" w:color="auto" w:fill="auto"/>
            <w:vAlign w:val="center"/>
            <w:hideMark/>
          </w:tcPr>
          <w:p w14:paraId="47F00A2D"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Ēdināšanas pakalpojumi</w:t>
            </w:r>
          </w:p>
        </w:tc>
        <w:tc>
          <w:tcPr>
            <w:tcW w:w="2693" w:type="dxa"/>
            <w:tcBorders>
              <w:top w:val="nil"/>
              <w:left w:val="nil"/>
              <w:bottom w:val="single" w:sz="4" w:space="0" w:color="auto"/>
              <w:right w:val="single" w:sz="4" w:space="0" w:color="auto"/>
            </w:tcBorders>
            <w:shd w:val="clear" w:color="auto" w:fill="auto"/>
            <w:vAlign w:val="center"/>
            <w:hideMark/>
          </w:tcPr>
          <w:p w14:paraId="5EC33A1C"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Pavārs</w:t>
            </w:r>
          </w:p>
        </w:tc>
        <w:tc>
          <w:tcPr>
            <w:tcW w:w="1260" w:type="dxa"/>
            <w:tcBorders>
              <w:top w:val="nil"/>
              <w:left w:val="nil"/>
              <w:bottom w:val="single" w:sz="4" w:space="0" w:color="auto"/>
              <w:right w:val="single" w:sz="4" w:space="0" w:color="auto"/>
            </w:tcBorders>
            <w:shd w:val="clear" w:color="auto" w:fill="auto"/>
            <w:vAlign w:val="center"/>
            <w:hideMark/>
          </w:tcPr>
          <w:p w14:paraId="0299353E"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1,5</w:t>
            </w:r>
          </w:p>
        </w:tc>
        <w:tc>
          <w:tcPr>
            <w:tcW w:w="1194" w:type="dxa"/>
            <w:tcBorders>
              <w:top w:val="nil"/>
              <w:left w:val="nil"/>
              <w:bottom w:val="single" w:sz="4" w:space="0" w:color="auto"/>
              <w:right w:val="single" w:sz="4" w:space="0" w:color="auto"/>
            </w:tcBorders>
            <w:shd w:val="clear" w:color="auto" w:fill="auto"/>
            <w:vAlign w:val="center"/>
            <w:hideMark/>
          </w:tcPr>
          <w:p w14:paraId="4A9C42AC" w14:textId="7F0CD7A6" w:rsidR="002E19DC" w:rsidRPr="002E19DC" w:rsidRDefault="00F81A1B" w:rsidP="002E19D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r>
      <w:tr w:rsidR="002E19DC" w:rsidRPr="002E19DC" w14:paraId="3E5071BC" w14:textId="77777777" w:rsidTr="00BC5709">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617F5F85"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6E8048D5"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vAlign w:val="center"/>
            <w:hideMark/>
          </w:tcPr>
          <w:p w14:paraId="4A76F336"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35b</w:t>
            </w:r>
          </w:p>
        </w:tc>
        <w:tc>
          <w:tcPr>
            <w:tcW w:w="2205" w:type="dxa"/>
            <w:tcBorders>
              <w:top w:val="nil"/>
              <w:left w:val="nil"/>
              <w:bottom w:val="single" w:sz="4" w:space="0" w:color="auto"/>
              <w:right w:val="single" w:sz="4" w:space="0" w:color="auto"/>
            </w:tcBorders>
            <w:shd w:val="clear" w:color="auto" w:fill="92D050"/>
            <w:vAlign w:val="center"/>
            <w:hideMark/>
          </w:tcPr>
          <w:p w14:paraId="505D44BE"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Restaurācija</w:t>
            </w:r>
          </w:p>
        </w:tc>
        <w:tc>
          <w:tcPr>
            <w:tcW w:w="2693" w:type="dxa"/>
            <w:tcBorders>
              <w:top w:val="nil"/>
              <w:left w:val="nil"/>
              <w:bottom w:val="single" w:sz="4" w:space="0" w:color="auto"/>
              <w:right w:val="single" w:sz="4" w:space="0" w:color="auto"/>
            </w:tcBorders>
            <w:shd w:val="clear" w:color="auto" w:fill="auto"/>
            <w:vAlign w:val="center"/>
            <w:hideMark/>
          </w:tcPr>
          <w:p w14:paraId="25231CF8"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Restauratora asistents</w:t>
            </w:r>
          </w:p>
        </w:tc>
        <w:tc>
          <w:tcPr>
            <w:tcW w:w="1260" w:type="dxa"/>
            <w:tcBorders>
              <w:top w:val="nil"/>
              <w:left w:val="nil"/>
              <w:bottom w:val="single" w:sz="4" w:space="0" w:color="auto"/>
              <w:right w:val="single" w:sz="4" w:space="0" w:color="auto"/>
            </w:tcBorders>
            <w:shd w:val="clear" w:color="auto" w:fill="auto"/>
            <w:vAlign w:val="center"/>
            <w:hideMark/>
          </w:tcPr>
          <w:p w14:paraId="4F1B17CE"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2</w:t>
            </w:r>
          </w:p>
        </w:tc>
        <w:tc>
          <w:tcPr>
            <w:tcW w:w="1194" w:type="dxa"/>
            <w:tcBorders>
              <w:top w:val="nil"/>
              <w:left w:val="nil"/>
              <w:bottom w:val="single" w:sz="4" w:space="0" w:color="auto"/>
              <w:right w:val="single" w:sz="4" w:space="0" w:color="auto"/>
            </w:tcBorders>
            <w:shd w:val="clear" w:color="auto" w:fill="auto"/>
            <w:vAlign w:val="center"/>
            <w:hideMark/>
          </w:tcPr>
          <w:p w14:paraId="5D6D1F23" w14:textId="3C2639A5" w:rsidR="002E19DC" w:rsidRPr="002E19DC" w:rsidRDefault="00F81A1B" w:rsidP="002E19D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r>
      <w:tr w:rsidR="002E19DC" w:rsidRPr="002E19DC" w14:paraId="1D9BDCE4" w14:textId="77777777" w:rsidTr="000D09BE">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2F2801FB"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2CE0B501"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vAlign w:val="center"/>
            <w:hideMark/>
          </w:tcPr>
          <w:p w14:paraId="438CB164"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35b</w:t>
            </w:r>
          </w:p>
        </w:tc>
        <w:tc>
          <w:tcPr>
            <w:tcW w:w="2205" w:type="dxa"/>
            <w:tcBorders>
              <w:top w:val="nil"/>
              <w:left w:val="nil"/>
              <w:bottom w:val="single" w:sz="4" w:space="0" w:color="auto"/>
              <w:right w:val="single" w:sz="4" w:space="0" w:color="auto"/>
            </w:tcBorders>
            <w:shd w:val="clear" w:color="auto" w:fill="auto"/>
            <w:vAlign w:val="center"/>
            <w:hideMark/>
          </w:tcPr>
          <w:p w14:paraId="077E34DB"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Administratīvie un sekretāra pakalpojumi</w:t>
            </w:r>
          </w:p>
        </w:tc>
        <w:tc>
          <w:tcPr>
            <w:tcW w:w="2693" w:type="dxa"/>
            <w:tcBorders>
              <w:top w:val="nil"/>
              <w:left w:val="nil"/>
              <w:bottom w:val="single" w:sz="4" w:space="0" w:color="auto"/>
              <w:right w:val="single" w:sz="4" w:space="0" w:color="auto"/>
            </w:tcBorders>
            <w:shd w:val="clear" w:color="auto" w:fill="auto"/>
            <w:vAlign w:val="center"/>
            <w:hideMark/>
          </w:tcPr>
          <w:p w14:paraId="0FBE5BC6"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Klientu apkalpošanas speciālists</w:t>
            </w:r>
          </w:p>
        </w:tc>
        <w:tc>
          <w:tcPr>
            <w:tcW w:w="1260" w:type="dxa"/>
            <w:tcBorders>
              <w:top w:val="nil"/>
              <w:left w:val="nil"/>
              <w:bottom w:val="single" w:sz="4" w:space="0" w:color="auto"/>
              <w:right w:val="single" w:sz="4" w:space="0" w:color="auto"/>
            </w:tcBorders>
            <w:shd w:val="clear" w:color="auto" w:fill="auto"/>
            <w:vAlign w:val="center"/>
            <w:hideMark/>
          </w:tcPr>
          <w:p w14:paraId="14D386D6"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1,5</w:t>
            </w:r>
          </w:p>
        </w:tc>
        <w:tc>
          <w:tcPr>
            <w:tcW w:w="1194" w:type="dxa"/>
            <w:tcBorders>
              <w:top w:val="nil"/>
              <w:left w:val="nil"/>
              <w:bottom w:val="single" w:sz="4" w:space="0" w:color="auto"/>
              <w:right w:val="single" w:sz="4" w:space="0" w:color="auto"/>
            </w:tcBorders>
            <w:shd w:val="clear" w:color="auto" w:fill="auto"/>
            <w:vAlign w:val="center"/>
            <w:hideMark/>
          </w:tcPr>
          <w:p w14:paraId="11E8734C" w14:textId="323766AD" w:rsidR="002E19DC" w:rsidRPr="002E19DC" w:rsidRDefault="00F81A1B" w:rsidP="002E19D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r>
      <w:tr w:rsidR="002E19DC" w:rsidRPr="002E19DC" w14:paraId="20F85072" w14:textId="77777777" w:rsidTr="00EB6271">
        <w:trPr>
          <w:trHeight w:val="300"/>
        </w:trPr>
        <w:tc>
          <w:tcPr>
            <w:tcW w:w="29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75C5BB"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Valmieras Dizaina un mākslas vidusskola</w:t>
            </w:r>
          </w:p>
        </w:tc>
        <w:tc>
          <w:tcPr>
            <w:tcW w:w="2693" w:type="dxa"/>
            <w:tcBorders>
              <w:top w:val="nil"/>
              <w:left w:val="nil"/>
              <w:bottom w:val="single" w:sz="4" w:space="0" w:color="auto"/>
              <w:right w:val="single" w:sz="4" w:space="0" w:color="auto"/>
            </w:tcBorders>
            <w:shd w:val="clear" w:color="auto" w:fill="auto"/>
            <w:noWrap/>
            <w:vAlign w:val="center"/>
            <w:hideMark/>
          </w:tcPr>
          <w:p w14:paraId="642F8BE5"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vAlign w:val="center"/>
            <w:hideMark/>
          </w:tcPr>
          <w:p w14:paraId="0F16BEDD"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33</w:t>
            </w:r>
          </w:p>
        </w:tc>
        <w:tc>
          <w:tcPr>
            <w:tcW w:w="2205" w:type="dxa"/>
            <w:tcBorders>
              <w:top w:val="nil"/>
              <w:left w:val="nil"/>
              <w:bottom w:val="single" w:sz="4" w:space="0" w:color="auto"/>
              <w:right w:val="single" w:sz="4" w:space="0" w:color="auto"/>
            </w:tcBorders>
            <w:shd w:val="clear" w:color="auto" w:fill="auto"/>
            <w:vAlign w:val="center"/>
            <w:hideMark/>
          </w:tcPr>
          <w:p w14:paraId="76A4E29F"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Apģērbu dizains</w:t>
            </w:r>
          </w:p>
        </w:tc>
        <w:tc>
          <w:tcPr>
            <w:tcW w:w="2693" w:type="dxa"/>
            <w:tcBorders>
              <w:top w:val="nil"/>
              <w:left w:val="nil"/>
              <w:bottom w:val="single" w:sz="4" w:space="0" w:color="auto"/>
              <w:right w:val="single" w:sz="4" w:space="0" w:color="auto"/>
            </w:tcBorders>
            <w:shd w:val="clear" w:color="auto" w:fill="auto"/>
            <w:vAlign w:val="center"/>
            <w:hideMark/>
          </w:tcPr>
          <w:p w14:paraId="2E96F2C3"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Apģērbu dizaina speciālists</w:t>
            </w:r>
          </w:p>
        </w:tc>
        <w:tc>
          <w:tcPr>
            <w:tcW w:w="1260" w:type="dxa"/>
            <w:tcBorders>
              <w:top w:val="nil"/>
              <w:left w:val="nil"/>
              <w:bottom w:val="single" w:sz="4" w:space="0" w:color="auto"/>
              <w:right w:val="single" w:sz="4" w:space="0" w:color="auto"/>
            </w:tcBorders>
            <w:shd w:val="clear" w:color="auto" w:fill="auto"/>
            <w:vAlign w:val="center"/>
            <w:hideMark/>
          </w:tcPr>
          <w:p w14:paraId="6FEBE633"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4</w:t>
            </w:r>
          </w:p>
        </w:tc>
        <w:tc>
          <w:tcPr>
            <w:tcW w:w="1194" w:type="dxa"/>
            <w:tcBorders>
              <w:top w:val="nil"/>
              <w:left w:val="nil"/>
              <w:bottom w:val="single" w:sz="4" w:space="0" w:color="auto"/>
              <w:right w:val="single" w:sz="4" w:space="0" w:color="auto"/>
            </w:tcBorders>
            <w:shd w:val="clear" w:color="auto" w:fill="auto"/>
            <w:vAlign w:val="center"/>
            <w:hideMark/>
          </w:tcPr>
          <w:p w14:paraId="47EB17AE" w14:textId="1138147D" w:rsidR="002E19DC" w:rsidRPr="002E19DC" w:rsidRDefault="00F81A1B" w:rsidP="002E19D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2E19DC" w:rsidRPr="002E19DC" w14:paraId="378AD8DD" w14:textId="77777777" w:rsidTr="00BC5709">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7132DDE8"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47780BD6"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vAlign w:val="center"/>
            <w:hideMark/>
          </w:tcPr>
          <w:p w14:paraId="636AE2A3"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33</w:t>
            </w:r>
          </w:p>
        </w:tc>
        <w:tc>
          <w:tcPr>
            <w:tcW w:w="2205" w:type="dxa"/>
            <w:tcBorders>
              <w:top w:val="nil"/>
              <w:left w:val="nil"/>
              <w:bottom w:val="single" w:sz="4" w:space="0" w:color="auto"/>
              <w:right w:val="single" w:sz="4" w:space="0" w:color="auto"/>
            </w:tcBorders>
            <w:shd w:val="clear" w:color="auto" w:fill="92D050"/>
            <w:vAlign w:val="center"/>
            <w:hideMark/>
          </w:tcPr>
          <w:p w14:paraId="16857583"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Interjera dizains</w:t>
            </w:r>
          </w:p>
        </w:tc>
        <w:tc>
          <w:tcPr>
            <w:tcW w:w="2693" w:type="dxa"/>
            <w:tcBorders>
              <w:top w:val="nil"/>
              <w:left w:val="nil"/>
              <w:bottom w:val="single" w:sz="4" w:space="0" w:color="auto"/>
              <w:right w:val="single" w:sz="4" w:space="0" w:color="auto"/>
            </w:tcBorders>
            <w:shd w:val="clear" w:color="auto" w:fill="auto"/>
            <w:vAlign w:val="center"/>
            <w:hideMark/>
          </w:tcPr>
          <w:p w14:paraId="18F9E474"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Interjera dizaina speciālists</w:t>
            </w:r>
          </w:p>
        </w:tc>
        <w:tc>
          <w:tcPr>
            <w:tcW w:w="1260" w:type="dxa"/>
            <w:tcBorders>
              <w:top w:val="nil"/>
              <w:left w:val="nil"/>
              <w:bottom w:val="single" w:sz="4" w:space="0" w:color="auto"/>
              <w:right w:val="single" w:sz="4" w:space="0" w:color="auto"/>
            </w:tcBorders>
            <w:shd w:val="clear" w:color="auto" w:fill="auto"/>
            <w:vAlign w:val="center"/>
            <w:hideMark/>
          </w:tcPr>
          <w:p w14:paraId="45BE0304"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4</w:t>
            </w:r>
          </w:p>
        </w:tc>
        <w:tc>
          <w:tcPr>
            <w:tcW w:w="1194" w:type="dxa"/>
            <w:tcBorders>
              <w:top w:val="nil"/>
              <w:left w:val="nil"/>
              <w:bottom w:val="single" w:sz="4" w:space="0" w:color="auto"/>
              <w:right w:val="single" w:sz="4" w:space="0" w:color="auto"/>
            </w:tcBorders>
            <w:shd w:val="clear" w:color="auto" w:fill="auto"/>
            <w:vAlign w:val="center"/>
            <w:hideMark/>
          </w:tcPr>
          <w:p w14:paraId="2586983B" w14:textId="5B074EEB" w:rsidR="002E19DC" w:rsidRPr="002E19DC" w:rsidRDefault="00F81A1B" w:rsidP="002E19D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r>
      <w:tr w:rsidR="002E19DC" w:rsidRPr="002E19DC" w14:paraId="4D17F3B9" w14:textId="77777777" w:rsidTr="00BC5709">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64AE706C"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131BCCC8"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vAlign w:val="center"/>
            <w:hideMark/>
          </w:tcPr>
          <w:p w14:paraId="2C8BDD90"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33</w:t>
            </w:r>
          </w:p>
        </w:tc>
        <w:tc>
          <w:tcPr>
            <w:tcW w:w="2205" w:type="dxa"/>
            <w:tcBorders>
              <w:top w:val="nil"/>
              <w:left w:val="nil"/>
              <w:bottom w:val="single" w:sz="4" w:space="0" w:color="auto"/>
              <w:right w:val="single" w:sz="4" w:space="0" w:color="auto"/>
            </w:tcBorders>
            <w:shd w:val="clear" w:color="auto" w:fill="92D050"/>
            <w:vAlign w:val="center"/>
            <w:hideMark/>
          </w:tcPr>
          <w:p w14:paraId="0CBFAD0A"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Multimediju dizains</w:t>
            </w:r>
          </w:p>
        </w:tc>
        <w:tc>
          <w:tcPr>
            <w:tcW w:w="2693" w:type="dxa"/>
            <w:tcBorders>
              <w:top w:val="nil"/>
              <w:left w:val="nil"/>
              <w:bottom w:val="single" w:sz="4" w:space="0" w:color="auto"/>
              <w:right w:val="single" w:sz="4" w:space="0" w:color="auto"/>
            </w:tcBorders>
            <w:shd w:val="clear" w:color="auto" w:fill="auto"/>
            <w:vAlign w:val="center"/>
            <w:hideMark/>
          </w:tcPr>
          <w:p w14:paraId="305E164D"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Multimediju dizaina speciālists</w:t>
            </w:r>
          </w:p>
        </w:tc>
        <w:tc>
          <w:tcPr>
            <w:tcW w:w="1260" w:type="dxa"/>
            <w:tcBorders>
              <w:top w:val="nil"/>
              <w:left w:val="nil"/>
              <w:bottom w:val="single" w:sz="4" w:space="0" w:color="auto"/>
              <w:right w:val="single" w:sz="4" w:space="0" w:color="auto"/>
            </w:tcBorders>
            <w:shd w:val="clear" w:color="auto" w:fill="auto"/>
            <w:vAlign w:val="center"/>
            <w:hideMark/>
          </w:tcPr>
          <w:p w14:paraId="248A4E42"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4</w:t>
            </w:r>
          </w:p>
        </w:tc>
        <w:tc>
          <w:tcPr>
            <w:tcW w:w="1194" w:type="dxa"/>
            <w:tcBorders>
              <w:top w:val="nil"/>
              <w:left w:val="nil"/>
              <w:bottom w:val="single" w:sz="4" w:space="0" w:color="auto"/>
              <w:right w:val="single" w:sz="4" w:space="0" w:color="auto"/>
            </w:tcBorders>
            <w:shd w:val="clear" w:color="auto" w:fill="auto"/>
            <w:vAlign w:val="center"/>
            <w:hideMark/>
          </w:tcPr>
          <w:p w14:paraId="68E8FBFC"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12</w:t>
            </w:r>
          </w:p>
        </w:tc>
      </w:tr>
      <w:tr w:rsidR="002E19DC" w:rsidRPr="002E19DC" w14:paraId="74E848CB" w14:textId="77777777" w:rsidTr="00EB6271">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2AEDDFBE"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02AD4635"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noWrap/>
            <w:vAlign w:val="center"/>
            <w:hideMark/>
          </w:tcPr>
          <w:p w14:paraId="4C6B0BFC" w14:textId="77777777" w:rsidR="002E19DC" w:rsidRPr="002E19DC" w:rsidRDefault="002E19DC" w:rsidP="002E19DC">
            <w:pPr>
              <w:spacing w:after="0" w:line="240" w:lineRule="auto"/>
              <w:jc w:val="right"/>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33</w:t>
            </w:r>
          </w:p>
        </w:tc>
        <w:tc>
          <w:tcPr>
            <w:tcW w:w="2205" w:type="dxa"/>
            <w:tcBorders>
              <w:top w:val="nil"/>
              <w:left w:val="nil"/>
              <w:bottom w:val="single" w:sz="4" w:space="0" w:color="auto"/>
              <w:right w:val="single" w:sz="4" w:space="0" w:color="auto"/>
            </w:tcBorders>
            <w:shd w:val="clear" w:color="auto" w:fill="92D050"/>
            <w:vAlign w:val="center"/>
            <w:hideMark/>
          </w:tcPr>
          <w:p w14:paraId="41B7AD3F"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Reklāmas dizains</w:t>
            </w:r>
          </w:p>
        </w:tc>
        <w:tc>
          <w:tcPr>
            <w:tcW w:w="2693" w:type="dxa"/>
            <w:tcBorders>
              <w:top w:val="nil"/>
              <w:left w:val="nil"/>
              <w:bottom w:val="single" w:sz="4" w:space="0" w:color="auto"/>
              <w:right w:val="single" w:sz="4" w:space="0" w:color="auto"/>
            </w:tcBorders>
            <w:shd w:val="clear" w:color="auto" w:fill="auto"/>
            <w:vAlign w:val="center"/>
            <w:hideMark/>
          </w:tcPr>
          <w:p w14:paraId="3E7E2D8B"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Vizuālās reklāmas dizaina speciālists</w:t>
            </w:r>
          </w:p>
        </w:tc>
        <w:tc>
          <w:tcPr>
            <w:tcW w:w="1260" w:type="dxa"/>
            <w:tcBorders>
              <w:top w:val="nil"/>
              <w:left w:val="nil"/>
              <w:bottom w:val="single" w:sz="4" w:space="0" w:color="auto"/>
              <w:right w:val="single" w:sz="4" w:space="0" w:color="auto"/>
            </w:tcBorders>
            <w:shd w:val="clear" w:color="auto" w:fill="auto"/>
            <w:vAlign w:val="center"/>
            <w:hideMark/>
          </w:tcPr>
          <w:p w14:paraId="09A5F74E"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4</w:t>
            </w:r>
          </w:p>
        </w:tc>
        <w:tc>
          <w:tcPr>
            <w:tcW w:w="1194" w:type="dxa"/>
            <w:tcBorders>
              <w:top w:val="nil"/>
              <w:left w:val="nil"/>
              <w:bottom w:val="single" w:sz="4" w:space="0" w:color="auto"/>
              <w:right w:val="single" w:sz="4" w:space="0" w:color="auto"/>
            </w:tcBorders>
            <w:shd w:val="clear" w:color="auto" w:fill="auto"/>
            <w:vAlign w:val="center"/>
            <w:hideMark/>
          </w:tcPr>
          <w:p w14:paraId="3F0D1B97"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30</w:t>
            </w:r>
          </w:p>
        </w:tc>
      </w:tr>
      <w:tr w:rsidR="002E19DC" w:rsidRPr="002E19DC" w14:paraId="7100081A" w14:textId="77777777" w:rsidTr="00EB6271">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0E3D84E4"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691FDD17"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vAlign w:val="center"/>
            <w:hideMark/>
          </w:tcPr>
          <w:p w14:paraId="0671B964"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35b</w:t>
            </w:r>
          </w:p>
        </w:tc>
        <w:tc>
          <w:tcPr>
            <w:tcW w:w="2205" w:type="dxa"/>
            <w:tcBorders>
              <w:top w:val="nil"/>
              <w:left w:val="nil"/>
              <w:bottom w:val="single" w:sz="4" w:space="0" w:color="auto"/>
              <w:right w:val="single" w:sz="4" w:space="0" w:color="auto"/>
            </w:tcBorders>
            <w:shd w:val="clear" w:color="auto" w:fill="auto"/>
            <w:vAlign w:val="center"/>
            <w:hideMark/>
          </w:tcPr>
          <w:p w14:paraId="53E1D25F"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Apģērbu dizains</w:t>
            </w:r>
          </w:p>
        </w:tc>
        <w:tc>
          <w:tcPr>
            <w:tcW w:w="2693" w:type="dxa"/>
            <w:tcBorders>
              <w:top w:val="nil"/>
              <w:left w:val="nil"/>
              <w:bottom w:val="single" w:sz="4" w:space="0" w:color="auto"/>
              <w:right w:val="single" w:sz="4" w:space="0" w:color="auto"/>
            </w:tcBorders>
            <w:shd w:val="clear" w:color="auto" w:fill="auto"/>
            <w:vAlign w:val="center"/>
            <w:hideMark/>
          </w:tcPr>
          <w:p w14:paraId="19506453"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Apģērbu modelētājs</w:t>
            </w:r>
          </w:p>
        </w:tc>
        <w:tc>
          <w:tcPr>
            <w:tcW w:w="1260" w:type="dxa"/>
            <w:tcBorders>
              <w:top w:val="nil"/>
              <w:left w:val="nil"/>
              <w:bottom w:val="single" w:sz="4" w:space="0" w:color="auto"/>
              <w:right w:val="single" w:sz="4" w:space="0" w:color="auto"/>
            </w:tcBorders>
            <w:shd w:val="clear" w:color="auto" w:fill="auto"/>
            <w:vAlign w:val="center"/>
            <w:hideMark/>
          </w:tcPr>
          <w:p w14:paraId="3C258783"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2</w:t>
            </w:r>
          </w:p>
        </w:tc>
        <w:tc>
          <w:tcPr>
            <w:tcW w:w="1194" w:type="dxa"/>
            <w:tcBorders>
              <w:top w:val="nil"/>
              <w:left w:val="nil"/>
              <w:bottom w:val="single" w:sz="4" w:space="0" w:color="auto"/>
              <w:right w:val="single" w:sz="4" w:space="0" w:color="auto"/>
            </w:tcBorders>
            <w:shd w:val="clear" w:color="auto" w:fill="auto"/>
            <w:vAlign w:val="center"/>
            <w:hideMark/>
          </w:tcPr>
          <w:p w14:paraId="06CC91BF"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5</w:t>
            </w:r>
          </w:p>
        </w:tc>
      </w:tr>
      <w:tr w:rsidR="002E19DC" w:rsidRPr="002E19DC" w14:paraId="2DACE42D" w14:textId="77777777" w:rsidTr="00BC5709">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2943C4BC"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27DF1A5E"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vAlign w:val="center"/>
            <w:hideMark/>
          </w:tcPr>
          <w:p w14:paraId="35035939"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35b</w:t>
            </w:r>
          </w:p>
        </w:tc>
        <w:tc>
          <w:tcPr>
            <w:tcW w:w="2205" w:type="dxa"/>
            <w:tcBorders>
              <w:top w:val="nil"/>
              <w:left w:val="nil"/>
              <w:bottom w:val="single" w:sz="4" w:space="0" w:color="auto"/>
              <w:right w:val="single" w:sz="4" w:space="0" w:color="auto"/>
            </w:tcBorders>
            <w:shd w:val="clear" w:color="auto" w:fill="92D050"/>
            <w:vAlign w:val="center"/>
            <w:hideMark/>
          </w:tcPr>
          <w:p w14:paraId="5C82A7B6"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Foto dizains</w:t>
            </w:r>
          </w:p>
        </w:tc>
        <w:tc>
          <w:tcPr>
            <w:tcW w:w="2693" w:type="dxa"/>
            <w:tcBorders>
              <w:top w:val="nil"/>
              <w:left w:val="nil"/>
              <w:bottom w:val="single" w:sz="4" w:space="0" w:color="auto"/>
              <w:right w:val="single" w:sz="4" w:space="0" w:color="auto"/>
            </w:tcBorders>
            <w:shd w:val="clear" w:color="auto" w:fill="auto"/>
            <w:vAlign w:val="center"/>
            <w:hideMark/>
          </w:tcPr>
          <w:p w14:paraId="1B68E050"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Foto dizaina speciālists</w:t>
            </w:r>
          </w:p>
        </w:tc>
        <w:tc>
          <w:tcPr>
            <w:tcW w:w="1260" w:type="dxa"/>
            <w:tcBorders>
              <w:top w:val="nil"/>
              <w:left w:val="nil"/>
              <w:bottom w:val="single" w:sz="4" w:space="0" w:color="auto"/>
              <w:right w:val="single" w:sz="4" w:space="0" w:color="auto"/>
            </w:tcBorders>
            <w:shd w:val="clear" w:color="auto" w:fill="auto"/>
            <w:vAlign w:val="center"/>
            <w:hideMark/>
          </w:tcPr>
          <w:p w14:paraId="217225D2"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2</w:t>
            </w:r>
          </w:p>
        </w:tc>
        <w:tc>
          <w:tcPr>
            <w:tcW w:w="1194" w:type="dxa"/>
            <w:tcBorders>
              <w:top w:val="nil"/>
              <w:left w:val="nil"/>
              <w:bottom w:val="single" w:sz="4" w:space="0" w:color="auto"/>
              <w:right w:val="single" w:sz="4" w:space="0" w:color="auto"/>
            </w:tcBorders>
            <w:shd w:val="clear" w:color="auto" w:fill="auto"/>
            <w:vAlign w:val="center"/>
            <w:hideMark/>
          </w:tcPr>
          <w:p w14:paraId="3321AB14"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1</w:t>
            </w:r>
          </w:p>
        </w:tc>
      </w:tr>
      <w:tr w:rsidR="002E19DC" w:rsidRPr="002E19DC" w14:paraId="5C4A5DCA" w14:textId="77777777" w:rsidTr="00BC5709">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5CBA57E1"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73CA4227"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vAlign w:val="center"/>
            <w:hideMark/>
          </w:tcPr>
          <w:p w14:paraId="3158D631"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35b</w:t>
            </w:r>
          </w:p>
        </w:tc>
        <w:tc>
          <w:tcPr>
            <w:tcW w:w="2205" w:type="dxa"/>
            <w:tcBorders>
              <w:top w:val="nil"/>
              <w:left w:val="nil"/>
              <w:bottom w:val="single" w:sz="4" w:space="0" w:color="auto"/>
              <w:right w:val="single" w:sz="4" w:space="0" w:color="auto"/>
            </w:tcBorders>
            <w:shd w:val="clear" w:color="auto" w:fill="92D050"/>
            <w:vAlign w:val="center"/>
            <w:hideMark/>
          </w:tcPr>
          <w:p w14:paraId="381DF1BD"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Interjera dizains</w:t>
            </w:r>
          </w:p>
        </w:tc>
        <w:tc>
          <w:tcPr>
            <w:tcW w:w="2693" w:type="dxa"/>
            <w:tcBorders>
              <w:top w:val="nil"/>
              <w:left w:val="nil"/>
              <w:bottom w:val="single" w:sz="4" w:space="0" w:color="auto"/>
              <w:right w:val="single" w:sz="4" w:space="0" w:color="auto"/>
            </w:tcBorders>
            <w:shd w:val="clear" w:color="auto" w:fill="auto"/>
            <w:vAlign w:val="center"/>
            <w:hideMark/>
          </w:tcPr>
          <w:p w14:paraId="6FCFB4A0"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Interjera noformētājs</w:t>
            </w:r>
          </w:p>
        </w:tc>
        <w:tc>
          <w:tcPr>
            <w:tcW w:w="1260" w:type="dxa"/>
            <w:tcBorders>
              <w:top w:val="nil"/>
              <w:left w:val="nil"/>
              <w:bottom w:val="single" w:sz="4" w:space="0" w:color="auto"/>
              <w:right w:val="single" w:sz="4" w:space="0" w:color="auto"/>
            </w:tcBorders>
            <w:shd w:val="clear" w:color="auto" w:fill="auto"/>
            <w:vAlign w:val="center"/>
            <w:hideMark/>
          </w:tcPr>
          <w:p w14:paraId="0E515D95"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2</w:t>
            </w:r>
          </w:p>
        </w:tc>
        <w:tc>
          <w:tcPr>
            <w:tcW w:w="1194" w:type="dxa"/>
            <w:tcBorders>
              <w:top w:val="nil"/>
              <w:left w:val="nil"/>
              <w:bottom w:val="single" w:sz="4" w:space="0" w:color="auto"/>
              <w:right w:val="single" w:sz="4" w:space="0" w:color="auto"/>
            </w:tcBorders>
            <w:shd w:val="clear" w:color="auto" w:fill="auto"/>
            <w:vAlign w:val="center"/>
            <w:hideMark/>
          </w:tcPr>
          <w:p w14:paraId="627FCF8E" w14:textId="318244D4" w:rsidR="002E19DC" w:rsidRPr="002E19DC" w:rsidRDefault="00F81A1B" w:rsidP="002E19D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r>
      <w:tr w:rsidR="002E19DC" w:rsidRPr="002E19DC" w14:paraId="224709B5" w14:textId="77777777" w:rsidTr="00EB6271">
        <w:trPr>
          <w:trHeight w:val="300"/>
        </w:trPr>
        <w:tc>
          <w:tcPr>
            <w:tcW w:w="29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FCFB1B"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PIKC "Daugavpils Dizaina un mākslas vidusskola "Saules skola""</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33A03CA"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14:paraId="03B03314" w14:textId="77777777" w:rsidR="002E19DC" w:rsidRPr="002E19DC" w:rsidRDefault="002E19DC" w:rsidP="002E19DC">
            <w:pPr>
              <w:spacing w:after="0" w:line="240" w:lineRule="auto"/>
              <w:jc w:val="right"/>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33</w:t>
            </w:r>
          </w:p>
        </w:tc>
        <w:tc>
          <w:tcPr>
            <w:tcW w:w="2205" w:type="dxa"/>
            <w:tcBorders>
              <w:top w:val="single" w:sz="4" w:space="0" w:color="auto"/>
              <w:left w:val="nil"/>
              <w:bottom w:val="single" w:sz="4" w:space="0" w:color="auto"/>
              <w:right w:val="single" w:sz="4" w:space="0" w:color="auto"/>
            </w:tcBorders>
            <w:shd w:val="clear" w:color="auto" w:fill="auto"/>
            <w:vAlign w:val="center"/>
            <w:hideMark/>
          </w:tcPr>
          <w:p w14:paraId="19A43FD0"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Apģērbu dizains</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D30D538"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Apģērbu dizaina speciālists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570AA32"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4</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2E3E2CBD" w14:textId="5F62D764" w:rsidR="002E19DC" w:rsidRPr="002E19DC" w:rsidRDefault="00F81A1B" w:rsidP="002E19D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r>
      <w:tr w:rsidR="002E19DC" w:rsidRPr="002E19DC" w14:paraId="04F32564" w14:textId="77777777" w:rsidTr="00BC5709">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1A4C1D54"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750DD84F"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noWrap/>
            <w:vAlign w:val="center"/>
            <w:hideMark/>
          </w:tcPr>
          <w:p w14:paraId="2F3042C4" w14:textId="77777777" w:rsidR="002E19DC" w:rsidRPr="002E19DC" w:rsidRDefault="002E19DC" w:rsidP="002E19DC">
            <w:pPr>
              <w:spacing w:after="0" w:line="240" w:lineRule="auto"/>
              <w:jc w:val="right"/>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33</w:t>
            </w:r>
          </w:p>
        </w:tc>
        <w:tc>
          <w:tcPr>
            <w:tcW w:w="2205" w:type="dxa"/>
            <w:tcBorders>
              <w:top w:val="nil"/>
              <w:left w:val="nil"/>
              <w:bottom w:val="single" w:sz="4" w:space="0" w:color="auto"/>
              <w:right w:val="single" w:sz="4" w:space="0" w:color="auto"/>
            </w:tcBorders>
            <w:shd w:val="clear" w:color="auto" w:fill="92D050"/>
            <w:vAlign w:val="center"/>
            <w:hideMark/>
          </w:tcPr>
          <w:p w14:paraId="697E1A9D"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Foto dizains</w:t>
            </w:r>
          </w:p>
        </w:tc>
        <w:tc>
          <w:tcPr>
            <w:tcW w:w="2693" w:type="dxa"/>
            <w:tcBorders>
              <w:top w:val="nil"/>
              <w:left w:val="nil"/>
              <w:bottom w:val="single" w:sz="4" w:space="0" w:color="auto"/>
              <w:right w:val="single" w:sz="4" w:space="0" w:color="auto"/>
            </w:tcBorders>
            <w:shd w:val="clear" w:color="auto" w:fill="auto"/>
            <w:vAlign w:val="center"/>
            <w:hideMark/>
          </w:tcPr>
          <w:p w14:paraId="25CFE8D5"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Foto dizaina speciālists</w:t>
            </w:r>
          </w:p>
        </w:tc>
        <w:tc>
          <w:tcPr>
            <w:tcW w:w="1260" w:type="dxa"/>
            <w:tcBorders>
              <w:top w:val="nil"/>
              <w:left w:val="nil"/>
              <w:bottom w:val="single" w:sz="4" w:space="0" w:color="auto"/>
              <w:right w:val="single" w:sz="4" w:space="0" w:color="auto"/>
            </w:tcBorders>
            <w:shd w:val="clear" w:color="auto" w:fill="auto"/>
            <w:vAlign w:val="center"/>
            <w:hideMark/>
          </w:tcPr>
          <w:p w14:paraId="3423E728"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4</w:t>
            </w:r>
          </w:p>
        </w:tc>
        <w:tc>
          <w:tcPr>
            <w:tcW w:w="1194" w:type="dxa"/>
            <w:tcBorders>
              <w:top w:val="nil"/>
              <w:left w:val="nil"/>
              <w:bottom w:val="single" w:sz="4" w:space="0" w:color="auto"/>
              <w:right w:val="single" w:sz="4" w:space="0" w:color="auto"/>
            </w:tcBorders>
            <w:shd w:val="clear" w:color="auto" w:fill="auto"/>
            <w:vAlign w:val="center"/>
            <w:hideMark/>
          </w:tcPr>
          <w:p w14:paraId="6067B0B6" w14:textId="604EE1FE" w:rsidR="002E19DC" w:rsidRPr="002E19DC" w:rsidRDefault="00F81A1B" w:rsidP="002E19D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r>
      <w:tr w:rsidR="002E19DC" w:rsidRPr="002E19DC" w14:paraId="57BA8297" w14:textId="77777777" w:rsidTr="00BC5709">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7EEE16AF"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0EE941F8"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vAlign w:val="center"/>
            <w:hideMark/>
          </w:tcPr>
          <w:p w14:paraId="25948D74"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33</w:t>
            </w:r>
          </w:p>
        </w:tc>
        <w:tc>
          <w:tcPr>
            <w:tcW w:w="2205" w:type="dxa"/>
            <w:tcBorders>
              <w:top w:val="nil"/>
              <w:left w:val="nil"/>
              <w:bottom w:val="single" w:sz="4" w:space="0" w:color="auto"/>
              <w:right w:val="single" w:sz="4" w:space="0" w:color="auto"/>
            </w:tcBorders>
            <w:shd w:val="clear" w:color="auto" w:fill="92D050"/>
            <w:vAlign w:val="center"/>
            <w:hideMark/>
          </w:tcPr>
          <w:p w14:paraId="4F03641F"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Interjera dizains</w:t>
            </w:r>
          </w:p>
        </w:tc>
        <w:tc>
          <w:tcPr>
            <w:tcW w:w="2693" w:type="dxa"/>
            <w:tcBorders>
              <w:top w:val="nil"/>
              <w:left w:val="nil"/>
              <w:bottom w:val="single" w:sz="4" w:space="0" w:color="auto"/>
              <w:right w:val="single" w:sz="4" w:space="0" w:color="auto"/>
            </w:tcBorders>
            <w:shd w:val="clear" w:color="auto" w:fill="auto"/>
            <w:vAlign w:val="center"/>
            <w:hideMark/>
          </w:tcPr>
          <w:p w14:paraId="5024CFF4"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Interjera dizaina speciālists</w:t>
            </w:r>
          </w:p>
        </w:tc>
        <w:tc>
          <w:tcPr>
            <w:tcW w:w="1260" w:type="dxa"/>
            <w:tcBorders>
              <w:top w:val="nil"/>
              <w:left w:val="nil"/>
              <w:bottom w:val="single" w:sz="4" w:space="0" w:color="auto"/>
              <w:right w:val="single" w:sz="4" w:space="0" w:color="auto"/>
            </w:tcBorders>
            <w:shd w:val="clear" w:color="auto" w:fill="auto"/>
            <w:vAlign w:val="center"/>
            <w:hideMark/>
          </w:tcPr>
          <w:p w14:paraId="2F4AA38D"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4</w:t>
            </w:r>
          </w:p>
        </w:tc>
        <w:tc>
          <w:tcPr>
            <w:tcW w:w="1194" w:type="dxa"/>
            <w:tcBorders>
              <w:top w:val="nil"/>
              <w:left w:val="nil"/>
              <w:bottom w:val="single" w:sz="4" w:space="0" w:color="auto"/>
              <w:right w:val="single" w:sz="4" w:space="0" w:color="auto"/>
            </w:tcBorders>
            <w:shd w:val="clear" w:color="auto" w:fill="auto"/>
            <w:vAlign w:val="center"/>
            <w:hideMark/>
          </w:tcPr>
          <w:p w14:paraId="5D711EE1" w14:textId="4765B208" w:rsidR="002E19DC" w:rsidRPr="002E19DC" w:rsidRDefault="00F81A1B" w:rsidP="002E19D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r>
      <w:tr w:rsidR="002E19DC" w:rsidRPr="002E19DC" w14:paraId="6B00CCDB" w14:textId="77777777" w:rsidTr="00BC5709">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2930C76E"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4F5F8201"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vAlign w:val="center"/>
            <w:hideMark/>
          </w:tcPr>
          <w:p w14:paraId="1E0B3F4D"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33</w:t>
            </w:r>
          </w:p>
        </w:tc>
        <w:tc>
          <w:tcPr>
            <w:tcW w:w="2205" w:type="dxa"/>
            <w:tcBorders>
              <w:top w:val="nil"/>
              <w:left w:val="nil"/>
              <w:bottom w:val="single" w:sz="4" w:space="0" w:color="auto"/>
              <w:right w:val="single" w:sz="4" w:space="0" w:color="auto"/>
            </w:tcBorders>
            <w:shd w:val="clear" w:color="auto" w:fill="92D050"/>
            <w:vAlign w:val="center"/>
            <w:hideMark/>
          </w:tcPr>
          <w:p w14:paraId="308825C5"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Koka izstrādājumu dizains</w:t>
            </w:r>
          </w:p>
        </w:tc>
        <w:tc>
          <w:tcPr>
            <w:tcW w:w="2693" w:type="dxa"/>
            <w:tcBorders>
              <w:top w:val="nil"/>
              <w:left w:val="nil"/>
              <w:bottom w:val="single" w:sz="4" w:space="0" w:color="auto"/>
              <w:right w:val="single" w:sz="4" w:space="0" w:color="auto"/>
            </w:tcBorders>
            <w:shd w:val="clear" w:color="auto" w:fill="auto"/>
            <w:vAlign w:val="center"/>
            <w:hideMark/>
          </w:tcPr>
          <w:p w14:paraId="721DC444"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Koka izstrādājumu dizaina speciālists</w:t>
            </w:r>
          </w:p>
        </w:tc>
        <w:tc>
          <w:tcPr>
            <w:tcW w:w="1260" w:type="dxa"/>
            <w:tcBorders>
              <w:top w:val="nil"/>
              <w:left w:val="nil"/>
              <w:bottom w:val="single" w:sz="4" w:space="0" w:color="auto"/>
              <w:right w:val="single" w:sz="4" w:space="0" w:color="auto"/>
            </w:tcBorders>
            <w:shd w:val="clear" w:color="auto" w:fill="auto"/>
            <w:vAlign w:val="center"/>
            <w:hideMark/>
          </w:tcPr>
          <w:p w14:paraId="7AFF4C67"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4</w:t>
            </w:r>
          </w:p>
        </w:tc>
        <w:tc>
          <w:tcPr>
            <w:tcW w:w="1194" w:type="dxa"/>
            <w:tcBorders>
              <w:top w:val="nil"/>
              <w:left w:val="nil"/>
              <w:bottom w:val="single" w:sz="4" w:space="0" w:color="auto"/>
              <w:right w:val="single" w:sz="4" w:space="0" w:color="auto"/>
            </w:tcBorders>
            <w:shd w:val="clear" w:color="auto" w:fill="auto"/>
            <w:vAlign w:val="center"/>
            <w:hideMark/>
          </w:tcPr>
          <w:p w14:paraId="2F22F43E"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6</w:t>
            </w:r>
          </w:p>
        </w:tc>
      </w:tr>
      <w:tr w:rsidR="002E19DC" w:rsidRPr="002E19DC" w14:paraId="79DB9B17" w14:textId="77777777" w:rsidTr="00BC5709">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18BFE1B3"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1442587C"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vAlign w:val="center"/>
            <w:hideMark/>
          </w:tcPr>
          <w:p w14:paraId="50495953"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33</w:t>
            </w:r>
          </w:p>
        </w:tc>
        <w:tc>
          <w:tcPr>
            <w:tcW w:w="2205" w:type="dxa"/>
            <w:tcBorders>
              <w:top w:val="nil"/>
              <w:left w:val="nil"/>
              <w:bottom w:val="single" w:sz="4" w:space="0" w:color="auto"/>
              <w:right w:val="single" w:sz="4" w:space="0" w:color="auto"/>
            </w:tcBorders>
            <w:shd w:val="clear" w:color="auto" w:fill="92D050"/>
            <w:vAlign w:val="center"/>
            <w:hideMark/>
          </w:tcPr>
          <w:p w14:paraId="28F49B8C"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Multimediju dizains</w:t>
            </w:r>
          </w:p>
        </w:tc>
        <w:tc>
          <w:tcPr>
            <w:tcW w:w="2693" w:type="dxa"/>
            <w:tcBorders>
              <w:top w:val="nil"/>
              <w:left w:val="nil"/>
              <w:bottom w:val="single" w:sz="4" w:space="0" w:color="auto"/>
              <w:right w:val="single" w:sz="4" w:space="0" w:color="auto"/>
            </w:tcBorders>
            <w:shd w:val="clear" w:color="auto" w:fill="auto"/>
            <w:vAlign w:val="center"/>
            <w:hideMark/>
          </w:tcPr>
          <w:p w14:paraId="4B000DE5"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Multimediju dizaina speciālists</w:t>
            </w:r>
          </w:p>
        </w:tc>
        <w:tc>
          <w:tcPr>
            <w:tcW w:w="1260" w:type="dxa"/>
            <w:tcBorders>
              <w:top w:val="nil"/>
              <w:left w:val="nil"/>
              <w:bottom w:val="single" w:sz="4" w:space="0" w:color="auto"/>
              <w:right w:val="single" w:sz="4" w:space="0" w:color="auto"/>
            </w:tcBorders>
            <w:shd w:val="clear" w:color="auto" w:fill="auto"/>
            <w:vAlign w:val="center"/>
            <w:hideMark/>
          </w:tcPr>
          <w:p w14:paraId="5C21E155"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4</w:t>
            </w:r>
          </w:p>
        </w:tc>
        <w:tc>
          <w:tcPr>
            <w:tcW w:w="1194" w:type="dxa"/>
            <w:tcBorders>
              <w:top w:val="nil"/>
              <w:left w:val="nil"/>
              <w:bottom w:val="single" w:sz="4" w:space="0" w:color="auto"/>
              <w:right w:val="single" w:sz="4" w:space="0" w:color="auto"/>
            </w:tcBorders>
            <w:shd w:val="clear" w:color="auto" w:fill="auto"/>
            <w:vAlign w:val="center"/>
            <w:hideMark/>
          </w:tcPr>
          <w:p w14:paraId="1ACE5D3D" w14:textId="74FB5E51" w:rsidR="002E19DC" w:rsidRPr="002E19DC" w:rsidRDefault="00F81A1B" w:rsidP="002E19D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r>
      <w:tr w:rsidR="002E19DC" w:rsidRPr="002E19DC" w14:paraId="33EB28CE" w14:textId="77777777" w:rsidTr="00EB6271">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78D9A874"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512067F2"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vAlign w:val="center"/>
            <w:hideMark/>
          </w:tcPr>
          <w:p w14:paraId="634087DA"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33</w:t>
            </w:r>
          </w:p>
        </w:tc>
        <w:tc>
          <w:tcPr>
            <w:tcW w:w="2205" w:type="dxa"/>
            <w:tcBorders>
              <w:top w:val="nil"/>
              <w:left w:val="nil"/>
              <w:bottom w:val="single" w:sz="4" w:space="0" w:color="auto"/>
              <w:right w:val="single" w:sz="4" w:space="0" w:color="auto"/>
            </w:tcBorders>
            <w:shd w:val="clear" w:color="auto" w:fill="92D050"/>
            <w:vAlign w:val="center"/>
            <w:hideMark/>
          </w:tcPr>
          <w:p w14:paraId="3DA8A756"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Reklāmas dizains</w:t>
            </w:r>
          </w:p>
        </w:tc>
        <w:tc>
          <w:tcPr>
            <w:tcW w:w="2693" w:type="dxa"/>
            <w:tcBorders>
              <w:top w:val="nil"/>
              <w:left w:val="nil"/>
              <w:bottom w:val="single" w:sz="4" w:space="0" w:color="auto"/>
              <w:right w:val="single" w:sz="4" w:space="0" w:color="auto"/>
            </w:tcBorders>
            <w:shd w:val="clear" w:color="auto" w:fill="auto"/>
            <w:vAlign w:val="center"/>
            <w:hideMark/>
          </w:tcPr>
          <w:p w14:paraId="0A2872BA"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Vizuālās reklāmas dizaina speciālists</w:t>
            </w:r>
          </w:p>
        </w:tc>
        <w:tc>
          <w:tcPr>
            <w:tcW w:w="1260" w:type="dxa"/>
            <w:tcBorders>
              <w:top w:val="nil"/>
              <w:left w:val="nil"/>
              <w:bottom w:val="single" w:sz="4" w:space="0" w:color="auto"/>
              <w:right w:val="single" w:sz="4" w:space="0" w:color="auto"/>
            </w:tcBorders>
            <w:shd w:val="clear" w:color="auto" w:fill="auto"/>
            <w:vAlign w:val="center"/>
            <w:hideMark/>
          </w:tcPr>
          <w:p w14:paraId="4CC5ECF0"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4</w:t>
            </w:r>
          </w:p>
        </w:tc>
        <w:tc>
          <w:tcPr>
            <w:tcW w:w="1194" w:type="dxa"/>
            <w:tcBorders>
              <w:top w:val="nil"/>
              <w:left w:val="nil"/>
              <w:bottom w:val="single" w:sz="4" w:space="0" w:color="auto"/>
              <w:right w:val="single" w:sz="4" w:space="0" w:color="auto"/>
            </w:tcBorders>
            <w:shd w:val="clear" w:color="auto" w:fill="auto"/>
            <w:vAlign w:val="center"/>
            <w:hideMark/>
          </w:tcPr>
          <w:p w14:paraId="601F82D6" w14:textId="3C4D0D7B" w:rsidR="002E19DC" w:rsidRPr="002E19DC" w:rsidRDefault="00F81A1B" w:rsidP="002E19D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r>
      <w:tr w:rsidR="002E19DC" w:rsidRPr="002E19DC" w14:paraId="300AB870" w14:textId="77777777" w:rsidTr="00EB6271">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5F89313D"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2D32D929"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vAlign w:val="center"/>
            <w:hideMark/>
          </w:tcPr>
          <w:p w14:paraId="12C1D83B"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33</w:t>
            </w:r>
          </w:p>
        </w:tc>
        <w:tc>
          <w:tcPr>
            <w:tcW w:w="2205" w:type="dxa"/>
            <w:tcBorders>
              <w:top w:val="nil"/>
              <w:left w:val="nil"/>
              <w:bottom w:val="single" w:sz="4" w:space="0" w:color="auto"/>
              <w:right w:val="single" w:sz="4" w:space="0" w:color="auto"/>
            </w:tcBorders>
            <w:shd w:val="clear" w:color="auto" w:fill="auto"/>
            <w:vAlign w:val="center"/>
            <w:hideMark/>
          </w:tcPr>
          <w:p w14:paraId="31911D36"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Tekstilizstrādājumu dizains</w:t>
            </w:r>
          </w:p>
        </w:tc>
        <w:tc>
          <w:tcPr>
            <w:tcW w:w="2693" w:type="dxa"/>
            <w:tcBorders>
              <w:top w:val="nil"/>
              <w:left w:val="nil"/>
              <w:bottom w:val="single" w:sz="4" w:space="0" w:color="auto"/>
              <w:right w:val="single" w:sz="4" w:space="0" w:color="auto"/>
            </w:tcBorders>
            <w:shd w:val="clear" w:color="auto" w:fill="auto"/>
            <w:vAlign w:val="center"/>
            <w:hideMark/>
          </w:tcPr>
          <w:p w14:paraId="271A68ED"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Tekstilizstrādājumu dizaina speciālists</w:t>
            </w:r>
          </w:p>
        </w:tc>
        <w:tc>
          <w:tcPr>
            <w:tcW w:w="1260" w:type="dxa"/>
            <w:tcBorders>
              <w:top w:val="nil"/>
              <w:left w:val="nil"/>
              <w:bottom w:val="single" w:sz="4" w:space="0" w:color="auto"/>
              <w:right w:val="single" w:sz="4" w:space="0" w:color="auto"/>
            </w:tcBorders>
            <w:shd w:val="clear" w:color="auto" w:fill="auto"/>
            <w:vAlign w:val="center"/>
            <w:hideMark/>
          </w:tcPr>
          <w:p w14:paraId="3B380A70"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4</w:t>
            </w:r>
          </w:p>
        </w:tc>
        <w:tc>
          <w:tcPr>
            <w:tcW w:w="1194" w:type="dxa"/>
            <w:tcBorders>
              <w:top w:val="nil"/>
              <w:left w:val="nil"/>
              <w:bottom w:val="single" w:sz="4" w:space="0" w:color="auto"/>
              <w:right w:val="single" w:sz="4" w:space="0" w:color="auto"/>
            </w:tcBorders>
            <w:shd w:val="clear" w:color="auto" w:fill="auto"/>
            <w:vAlign w:val="center"/>
            <w:hideMark/>
          </w:tcPr>
          <w:p w14:paraId="6FF54952"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3</w:t>
            </w:r>
          </w:p>
        </w:tc>
      </w:tr>
      <w:tr w:rsidR="002E19DC" w:rsidRPr="002E19DC" w14:paraId="6CB06AF0" w14:textId="77777777" w:rsidTr="00EB6271">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26527F06"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45DFD6F5"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vAlign w:val="center"/>
            <w:hideMark/>
          </w:tcPr>
          <w:p w14:paraId="37463D50"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35b</w:t>
            </w:r>
          </w:p>
        </w:tc>
        <w:tc>
          <w:tcPr>
            <w:tcW w:w="2205" w:type="dxa"/>
            <w:tcBorders>
              <w:top w:val="nil"/>
              <w:left w:val="nil"/>
              <w:bottom w:val="single" w:sz="4" w:space="0" w:color="auto"/>
              <w:right w:val="single" w:sz="4" w:space="0" w:color="auto"/>
            </w:tcBorders>
            <w:shd w:val="clear" w:color="auto" w:fill="auto"/>
            <w:vAlign w:val="center"/>
            <w:hideMark/>
          </w:tcPr>
          <w:p w14:paraId="1CAAE468"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Apģērbu dizains</w:t>
            </w:r>
          </w:p>
        </w:tc>
        <w:tc>
          <w:tcPr>
            <w:tcW w:w="2693" w:type="dxa"/>
            <w:tcBorders>
              <w:top w:val="nil"/>
              <w:left w:val="nil"/>
              <w:bottom w:val="single" w:sz="4" w:space="0" w:color="auto"/>
              <w:right w:val="single" w:sz="4" w:space="0" w:color="auto"/>
            </w:tcBorders>
            <w:shd w:val="clear" w:color="auto" w:fill="auto"/>
            <w:vAlign w:val="center"/>
            <w:hideMark/>
          </w:tcPr>
          <w:p w14:paraId="6309220D"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Apģērbu dizaina speciālists</w:t>
            </w:r>
          </w:p>
        </w:tc>
        <w:tc>
          <w:tcPr>
            <w:tcW w:w="1260" w:type="dxa"/>
            <w:tcBorders>
              <w:top w:val="nil"/>
              <w:left w:val="nil"/>
              <w:bottom w:val="single" w:sz="4" w:space="0" w:color="auto"/>
              <w:right w:val="single" w:sz="4" w:space="0" w:color="auto"/>
            </w:tcBorders>
            <w:shd w:val="clear" w:color="auto" w:fill="auto"/>
            <w:vAlign w:val="center"/>
            <w:hideMark/>
          </w:tcPr>
          <w:p w14:paraId="706C365E"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2</w:t>
            </w:r>
          </w:p>
        </w:tc>
        <w:tc>
          <w:tcPr>
            <w:tcW w:w="1194" w:type="dxa"/>
            <w:tcBorders>
              <w:top w:val="nil"/>
              <w:left w:val="nil"/>
              <w:bottom w:val="single" w:sz="4" w:space="0" w:color="auto"/>
              <w:right w:val="single" w:sz="4" w:space="0" w:color="auto"/>
            </w:tcBorders>
            <w:shd w:val="clear" w:color="auto" w:fill="auto"/>
            <w:vAlign w:val="center"/>
            <w:hideMark/>
          </w:tcPr>
          <w:p w14:paraId="026EB8B3"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3</w:t>
            </w:r>
          </w:p>
        </w:tc>
      </w:tr>
      <w:tr w:rsidR="002E19DC" w:rsidRPr="002E19DC" w14:paraId="5D8EC015" w14:textId="77777777" w:rsidTr="00B71CDE">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47037712"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6AFBBE16"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vAlign w:val="center"/>
            <w:hideMark/>
          </w:tcPr>
          <w:p w14:paraId="56B835F2"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35b</w:t>
            </w:r>
          </w:p>
        </w:tc>
        <w:tc>
          <w:tcPr>
            <w:tcW w:w="2205" w:type="dxa"/>
            <w:tcBorders>
              <w:top w:val="nil"/>
              <w:left w:val="nil"/>
              <w:bottom w:val="single" w:sz="4" w:space="0" w:color="auto"/>
              <w:right w:val="single" w:sz="4" w:space="0" w:color="auto"/>
            </w:tcBorders>
            <w:shd w:val="clear" w:color="auto" w:fill="92D050"/>
            <w:vAlign w:val="center"/>
            <w:hideMark/>
          </w:tcPr>
          <w:p w14:paraId="73FA6ABD"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Foto dizains</w:t>
            </w:r>
          </w:p>
        </w:tc>
        <w:tc>
          <w:tcPr>
            <w:tcW w:w="2693" w:type="dxa"/>
            <w:tcBorders>
              <w:top w:val="nil"/>
              <w:left w:val="nil"/>
              <w:bottom w:val="single" w:sz="4" w:space="0" w:color="auto"/>
              <w:right w:val="single" w:sz="4" w:space="0" w:color="auto"/>
            </w:tcBorders>
            <w:shd w:val="clear" w:color="auto" w:fill="auto"/>
            <w:vAlign w:val="center"/>
            <w:hideMark/>
          </w:tcPr>
          <w:p w14:paraId="68DDCF17"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Foto dizaina speciālists</w:t>
            </w:r>
          </w:p>
        </w:tc>
        <w:tc>
          <w:tcPr>
            <w:tcW w:w="1260" w:type="dxa"/>
            <w:tcBorders>
              <w:top w:val="nil"/>
              <w:left w:val="nil"/>
              <w:bottom w:val="single" w:sz="4" w:space="0" w:color="auto"/>
              <w:right w:val="single" w:sz="4" w:space="0" w:color="auto"/>
            </w:tcBorders>
            <w:shd w:val="clear" w:color="auto" w:fill="auto"/>
            <w:vAlign w:val="center"/>
            <w:hideMark/>
          </w:tcPr>
          <w:p w14:paraId="205E9E11"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2</w:t>
            </w:r>
          </w:p>
        </w:tc>
        <w:tc>
          <w:tcPr>
            <w:tcW w:w="1194" w:type="dxa"/>
            <w:tcBorders>
              <w:top w:val="nil"/>
              <w:left w:val="nil"/>
              <w:bottom w:val="single" w:sz="4" w:space="0" w:color="auto"/>
              <w:right w:val="single" w:sz="4" w:space="0" w:color="auto"/>
            </w:tcBorders>
            <w:shd w:val="clear" w:color="auto" w:fill="auto"/>
            <w:vAlign w:val="center"/>
            <w:hideMark/>
          </w:tcPr>
          <w:p w14:paraId="68E2BD8D" w14:textId="063DFAC3" w:rsidR="002E19DC" w:rsidRPr="002E19DC" w:rsidRDefault="00F81A1B" w:rsidP="002E19D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r>
      <w:tr w:rsidR="002E19DC" w:rsidRPr="002E19DC" w14:paraId="3DB6D99D" w14:textId="77777777" w:rsidTr="00B71CDE">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486BDB1E"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6CC1E08B"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vAlign w:val="center"/>
            <w:hideMark/>
          </w:tcPr>
          <w:p w14:paraId="64D01BBF"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35b</w:t>
            </w:r>
          </w:p>
        </w:tc>
        <w:tc>
          <w:tcPr>
            <w:tcW w:w="2205" w:type="dxa"/>
            <w:tcBorders>
              <w:top w:val="nil"/>
              <w:left w:val="nil"/>
              <w:bottom w:val="single" w:sz="4" w:space="0" w:color="auto"/>
              <w:right w:val="single" w:sz="4" w:space="0" w:color="auto"/>
            </w:tcBorders>
            <w:shd w:val="clear" w:color="auto" w:fill="92D050"/>
            <w:vAlign w:val="center"/>
            <w:hideMark/>
          </w:tcPr>
          <w:p w14:paraId="1EC553EB"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Interjera dizains</w:t>
            </w:r>
          </w:p>
        </w:tc>
        <w:tc>
          <w:tcPr>
            <w:tcW w:w="2693" w:type="dxa"/>
            <w:tcBorders>
              <w:top w:val="nil"/>
              <w:left w:val="nil"/>
              <w:bottom w:val="single" w:sz="4" w:space="0" w:color="auto"/>
              <w:right w:val="single" w:sz="4" w:space="0" w:color="auto"/>
            </w:tcBorders>
            <w:shd w:val="clear" w:color="auto" w:fill="auto"/>
            <w:vAlign w:val="center"/>
            <w:hideMark/>
          </w:tcPr>
          <w:p w14:paraId="13311692"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Interjera dizaina speciālists</w:t>
            </w:r>
          </w:p>
        </w:tc>
        <w:tc>
          <w:tcPr>
            <w:tcW w:w="1260" w:type="dxa"/>
            <w:tcBorders>
              <w:top w:val="nil"/>
              <w:left w:val="nil"/>
              <w:bottom w:val="single" w:sz="4" w:space="0" w:color="auto"/>
              <w:right w:val="single" w:sz="4" w:space="0" w:color="auto"/>
            </w:tcBorders>
            <w:shd w:val="clear" w:color="auto" w:fill="auto"/>
            <w:vAlign w:val="center"/>
            <w:hideMark/>
          </w:tcPr>
          <w:p w14:paraId="5D3B9B5B"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2</w:t>
            </w:r>
          </w:p>
        </w:tc>
        <w:tc>
          <w:tcPr>
            <w:tcW w:w="1194" w:type="dxa"/>
            <w:tcBorders>
              <w:top w:val="nil"/>
              <w:left w:val="nil"/>
              <w:bottom w:val="single" w:sz="4" w:space="0" w:color="auto"/>
              <w:right w:val="single" w:sz="4" w:space="0" w:color="auto"/>
            </w:tcBorders>
            <w:shd w:val="clear" w:color="auto" w:fill="auto"/>
            <w:vAlign w:val="center"/>
            <w:hideMark/>
          </w:tcPr>
          <w:p w14:paraId="52C3D45D" w14:textId="3C3B9B33" w:rsidR="002E19DC" w:rsidRPr="002E19DC" w:rsidRDefault="00F81A1B" w:rsidP="002E19D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r>
      <w:tr w:rsidR="002E19DC" w:rsidRPr="002E19DC" w14:paraId="1230B5B4" w14:textId="77777777" w:rsidTr="00EB6271">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2AC7301B"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368D4E01"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vAlign w:val="center"/>
            <w:hideMark/>
          </w:tcPr>
          <w:p w14:paraId="65F6602A"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35b</w:t>
            </w:r>
          </w:p>
        </w:tc>
        <w:tc>
          <w:tcPr>
            <w:tcW w:w="2205" w:type="dxa"/>
            <w:tcBorders>
              <w:top w:val="nil"/>
              <w:left w:val="nil"/>
              <w:bottom w:val="single" w:sz="4" w:space="0" w:color="auto"/>
              <w:right w:val="single" w:sz="4" w:space="0" w:color="auto"/>
            </w:tcBorders>
            <w:shd w:val="clear" w:color="auto" w:fill="92D050"/>
            <w:vAlign w:val="center"/>
            <w:hideMark/>
          </w:tcPr>
          <w:p w14:paraId="37D4295D"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Reklāmas dizains</w:t>
            </w:r>
          </w:p>
        </w:tc>
        <w:tc>
          <w:tcPr>
            <w:tcW w:w="2693" w:type="dxa"/>
            <w:tcBorders>
              <w:top w:val="nil"/>
              <w:left w:val="nil"/>
              <w:bottom w:val="single" w:sz="4" w:space="0" w:color="auto"/>
              <w:right w:val="single" w:sz="4" w:space="0" w:color="auto"/>
            </w:tcBorders>
            <w:shd w:val="clear" w:color="auto" w:fill="auto"/>
            <w:vAlign w:val="center"/>
            <w:hideMark/>
          </w:tcPr>
          <w:p w14:paraId="6143A329"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Vizuālās reklāmas dizaina speciālists</w:t>
            </w:r>
          </w:p>
        </w:tc>
        <w:tc>
          <w:tcPr>
            <w:tcW w:w="1260" w:type="dxa"/>
            <w:tcBorders>
              <w:top w:val="nil"/>
              <w:left w:val="nil"/>
              <w:bottom w:val="single" w:sz="4" w:space="0" w:color="auto"/>
              <w:right w:val="single" w:sz="4" w:space="0" w:color="auto"/>
            </w:tcBorders>
            <w:shd w:val="clear" w:color="auto" w:fill="auto"/>
            <w:vAlign w:val="center"/>
            <w:hideMark/>
          </w:tcPr>
          <w:p w14:paraId="7AD73595"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2</w:t>
            </w:r>
          </w:p>
        </w:tc>
        <w:tc>
          <w:tcPr>
            <w:tcW w:w="1194" w:type="dxa"/>
            <w:tcBorders>
              <w:top w:val="nil"/>
              <w:left w:val="nil"/>
              <w:bottom w:val="single" w:sz="4" w:space="0" w:color="auto"/>
              <w:right w:val="single" w:sz="4" w:space="0" w:color="auto"/>
            </w:tcBorders>
            <w:shd w:val="clear" w:color="auto" w:fill="auto"/>
            <w:vAlign w:val="center"/>
            <w:hideMark/>
          </w:tcPr>
          <w:p w14:paraId="2D2F7F3B" w14:textId="6CB609BE" w:rsidR="002E19DC" w:rsidRPr="002E19DC" w:rsidRDefault="00F81A1B" w:rsidP="002E19D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r>
      <w:tr w:rsidR="002E19DC" w:rsidRPr="002E19DC" w14:paraId="4C8959D7" w14:textId="77777777" w:rsidTr="00EB6271">
        <w:trPr>
          <w:trHeight w:val="300"/>
        </w:trPr>
        <w:tc>
          <w:tcPr>
            <w:tcW w:w="2972" w:type="dxa"/>
            <w:vMerge/>
            <w:tcBorders>
              <w:top w:val="nil"/>
              <w:left w:val="single" w:sz="4" w:space="0" w:color="auto"/>
              <w:bottom w:val="single" w:sz="4" w:space="0" w:color="000000"/>
              <w:right w:val="single" w:sz="4" w:space="0" w:color="auto"/>
            </w:tcBorders>
            <w:vAlign w:val="center"/>
            <w:hideMark/>
          </w:tcPr>
          <w:p w14:paraId="71B787DD" w14:textId="77777777" w:rsidR="002E19DC" w:rsidRPr="002E19DC" w:rsidRDefault="002E19DC" w:rsidP="002E19DC">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14:paraId="28E42272" w14:textId="77777777" w:rsidR="002E19DC" w:rsidRPr="002E19DC" w:rsidRDefault="002E19DC" w:rsidP="002E19DC">
            <w:pPr>
              <w:spacing w:after="0" w:line="240" w:lineRule="auto"/>
              <w:rPr>
                <w:rFonts w:ascii="Times New Roman" w:eastAsia="Times New Roman" w:hAnsi="Times New Roman" w:cs="Times New Roman"/>
                <w:sz w:val="20"/>
                <w:szCs w:val="20"/>
              </w:rPr>
            </w:pPr>
            <w:r w:rsidRPr="002E19DC">
              <w:rPr>
                <w:rFonts w:ascii="Times New Roman" w:eastAsia="Times New Roman" w:hAnsi="Times New Roman" w:cs="Times New Roman"/>
                <w:sz w:val="20"/>
                <w:szCs w:val="20"/>
              </w:rPr>
              <w:t>Profesionālā vidējā izglītība</w:t>
            </w:r>
          </w:p>
        </w:tc>
        <w:tc>
          <w:tcPr>
            <w:tcW w:w="1339" w:type="dxa"/>
            <w:tcBorders>
              <w:top w:val="nil"/>
              <w:left w:val="nil"/>
              <w:bottom w:val="single" w:sz="4" w:space="0" w:color="auto"/>
              <w:right w:val="single" w:sz="4" w:space="0" w:color="auto"/>
            </w:tcBorders>
            <w:shd w:val="clear" w:color="auto" w:fill="auto"/>
            <w:vAlign w:val="center"/>
            <w:hideMark/>
          </w:tcPr>
          <w:p w14:paraId="530A3E50"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35b</w:t>
            </w:r>
          </w:p>
        </w:tc>
        <w:tc>
          <w:tcPr>
            <w:tcW w:w="2205" w:type="dxa"/>
            <w:tcBorders>
              <w:top w:val="nil"/>
              <w:left w:val="nil"/>
              <w:bottom w:val="single" w:sz="4" w:space="0" w:color="auto"/>
              <w:right w:val="single" w:sz="4" w:space="0" w:color="auto"/>
            </w:tcBorders>
            <w:shd w:val="clear" w:color="auto" w:fill="auto"/>
            <w:vAlign w:val="center"/>
            <w:hideMark/>
          </w:tcPr>
          <w:p w14:paraId="4B05672B"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Tekstilizstrādājumu dizains</w:t>
            </w:r>
          </w:p>
        </w:tc>
        <w:tc>
          <w:tcPr>
            <w:tcW w:w="2693" w:type="dxa"/>
            <w:tcBorders>
              <w:top w:val="nil"/>
              <w:left w:val="nil"/>
              <w:bottom w:val="single" w:sz="4" w:space="0" w:color="auto"/>
              <w:right w:val="single" w:sz="4" w:space="0" w:color="auto"/>
            </w:tcBorders>
            <w:shd w:val="clear" w:color="auto" w:fill="auto"/>
            <w:vAlign w:val="center"/>
            <w:hideMark/>
          </w:tcPr>
          <w:p w14:paraId="2953A9E0" w14:textId="77777777" w:rsidR="002E19DC" w:rsidRPr="002E19DC" w:rsidRDefault="002E19DC" w:rsidP="002E19DC">
            <w:pPr>
              <w:spacing w:after="0" w:line="240" w:lineRule="auto"/>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Tekstilizstrādājumu dizaina speciālists</w:t>
            </w:r>
          </w:p>
        </w:tc>
        <w:tc>
          <w:tcPr>
            <w:tcW w:w="1260" w:type="dxa"/>
            <w:tcBorders>
              <w:top w:val="nil"/>
              <w:left w:val="nil"/>
              <w:bottom w:val="single" w:sz="4" w:space="0" w:color="auto"/>
              <w:right w:val="single" w:sz="4" w:space="0" w:color="auto"/>
            </w:tcBorders>
            <w:shd w:val="clear" w:color="auto" w:fill="auto"/>
            <w:vAlign w:val="center"/>
            <w:hideMark/>
          </w:tcPr>
          <w:p w14:paraId="09A8B445" w14:textId="77777777" w:rsidR="002E19DC" w:rsidRPr="002E19DC" w:rsidRDefault="002E19DC"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color w:val="000000"/>
                <w:sz w:val="20"/>
                <w:szCs w:val="20"/>
              </w:rPr>
              <w:t>2</w:t>
            </w:r>
          </w:p>
        </w:tc>
        <w:tc>
          <w:tcPr>
            <w:tcW w:w="1194" w:type="dxa"/>
            <w:tcBorders>
              <w:top w:val="nil"/>
              <w:left w:val="nil"/>
              <w:bottom w:val="single" w:sz="4" w:space="0" w:color="auto"/>
              <w:right w:val="single" w:sz="4" w:space="0" w:color="auto"/>
            </w:tcBorders>
            <w:shd w:val="clear" w:color="auto" w:fill="auto"/>
            <w:vAlign w:val="center"/>
            <w:hideMark/>
          </w:tcPr>
          <w:p w14:paraId="28186FE5" w14:textId="143C1073" w:rsidR="002E19DC" w:rsidRPr="002E19DC" w:rsidRDefault="00F81A1B" w:rsidP="002E19D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0D09BE" w:rsidRPr="002E19DC" w14:paraId="5DF44D20" w14:textId="77777777" w:rsidTr="00677879">
        <w:trPr>
          <w:trHeight w:val="300"/>
        </w:trPr>
        <w:tc>
          <w:tcPr>
            <w:tcW w:w="13162" w:type="dxa"/>
            <w:gridSpan w:val="6"/>
            <w:tcBorders>
              <w:top w:val="nil"/>
              <w:left w:val="single" w:sz="4" w:space="0" w:color="auto"/>
              <w:bottom w:val="single" w:sz="4" w:space="0" w:color="000000"/>
              <w:right w:val="single" w:sz="4" w:space="0" w:color="auto"/>
            </w:tcBorders>
            <w:shd w:val="clear" w:color="auto" w:fill="F2F2F2" w:themeFill="background1" w:themeFillShade="F2"/>
            <w:vAlign w:val="center"/>
          </w:tcPr>
          <w:p w14:paraId="704ACD08" w14:textId="00E6D80F" w:rsidR="000D09BE" w:rsidRPr="002E19DC" w:rsidRDefault="000D09BE" w:rsidP="002E19DC">
            <w:pPr>
              <w:spacing w:after="0" w:line="240" w:lineRule="auto"/>
              <w:jc w:val="right"/>
              <w:rPr>
                <w:rFonts w:ascii="Times New Roman" w:eastAsia="Times New Roman" w:hAnsi="Times New Roman" w:cs="Times New Roman"/>
                <w:color w:val="000000"/>
                <w:sz w:val="20"/>
                <w:szCs w:val="20"/>
              </w:rPr>
            </w:pPr>
            <w:r w:rsidRPr="002E19DC">
              <w:rPr>
                <w:rFonts w:ascii="Times New Roman" w:eastAsia="Times New Roman" w:hAnsi="Times New Roman" w:cs="Times New Roman"/>
                <w:b/>
                <w:bCs/>
                <w:color w:val="000000"/>
                <w:sz w:val="20"/>
                <w:szCs w:val="20"/>
              </w:rPr>
              <w:t>Izglītojamo skaits kopā:</w:t>
            </w:r>
          </w:p>
        </w:tc>
        <w:tc>
          <w:tcPr>
            <w:tcW w:w="1194" w:type="dxa"/>
            <w:tcBorders>
              <w:top w:val="nil"/>
              <w:left w:val="nil"/>
              <w:bottom w:val="single" w:sz="4" w:space="0" w:color="auto"/>
              <w:right w:val="single" w:sz="4" w:space="0" w:color="auto"/>
            </w:tcBorders>
            <w:shd w:val="clear" w:color="auto" w:fill="F2F2F2" w:themeFill="background1" w:themeFillShade="F2"/>
            <w:vAlign w:val="center"/>
          </w:tcPr>
          <w:p w14:paraId="00A891F6" w14:textId="64F12BAE" w:rsidR="000D09BE" w:rsidRPr="000D09BE" w:rsidRDefault="00F81A1B" w:rsidP="00F81A1B">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1 053</w:t>
            </w:r>
          </w:p>
        </w:tc>
      </w:tr>
    </w:tbl>
    <w:p w14:paraId="5A2235EF" w14:textId="1156AAA1" w:rsidR="000D09BE" w:rsidRDefault="003037F2" w:rsidP="003037F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3F937C1" wp14:editId="0D759D7E">
                <wp:simplePos x="0" y="0"/>
                <wp:positionH relativeFrom="column">
                  <wp:posOffset>43234</wp:posOffset>
                </wp:positionH>
                <wp:positionV relativeFrom="paragraph">
                  <wp:posOffset>228600</wp:posOffset>
                </wp:positionV>
                <wp:extent cx="5112689" cy="257175"/>
                <wp:effectExtent l="0" t="0" r="12065" b="28575"/>
                <wp:wrapNone/>
                <wp:docPr id="1" name="Rectangle 1"/>
                <wp:cNvGraphicFramePr/>
                <a:graphic xmlns:a="http://schemas.openxmlformats.org/drawingml/2006/main">
                  <a:graphicData uri="http://schemas.microsoft.com/office/word/2010/wordprocessingShape">
                    <wps:wsp>
                      <wps:cNvSpPr/>
                      <wps:spPr>
                        <a:xfrm>
                          <a:off x="0" y="0"/>
                          <a:ext cx="5112689" cy="257175"/>
                        </a:xfrm>
                        <a:prstGeom prst="rect">
                          <a:avLst/>
                        </a:prstGeom>
                        <a:solidFill>
                          <a:srgbClr val="92D050"/>
                        </a:solidFill>
                      </wps:spPr>
                      <wps:style>
                        <a:lnRef idx="2">
                          <a:schemeClr val="accent6">
                            <a:shade val="50000"/>
                          </a:schemeClr>
                        </a:lnRef>
                        <a:fillRef idx="1">
                          <a:schemeClr val="accent6"/>
                        </a:fillRef>
                        <a:effectRef idx="0">
                          <a:schemeClr val="accent6"/>
                        </a:effectRef>
                        <a:fontRef idx="minor">
                          <a:schemeClr val="lt1"/>
                        </a:fontRef>
                      </wps:style>
                      <wps:txbx>
                        <w:txbxContent>
                          <w:p w14:paraId="7AD693BC" w14:textId="613D71B8" w:rsidR="00AA4E73" w:rsidRPr="003037F2" w:rsidRDefault="00AA4E73" w:rsidP="003037F2">
                            <w:pPr>
                              <w:shd w:val="clear" w:color="auto" w:fill="92D050"/>
                              <w:rPr>
                                <w:rFonts w:ascii="Times New Roman" w:hAnsi="Times New Roman" w:cs="Times New Roman"/>
                                <w:color w:val="000000" w:themeColor="text1"/>
                              </w:rPr>
                            </w:pPr>
                            <w:r>
                              <w:rPr>
                                <w:rFonts w:ascii="Times New Roman" w:hAnsi="Times New Roman" w:cs="Times New Roman"/>
                                <w:color w:val="000000" w:themeColor="text1"/>
                              </w:rPr>
                              <w:t>Profesionālās izglītības programmas</w:t>
                            </w:r>
                            <w:r w:rsidRPr="003037F2">
                              <w:rPr>
                                <w:rFonts w:ascii="Times New Roman" w:hAnsi="Times New Roman" w:cs="Times New Roman"/>
                                <w:color w:val="000000" w:themeColor="text1"/>
                              </w:rPr>
                              <w:t>, kas indikatīvi atbilst noteiktajiem kritērijiem.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937C1" id="Rectangle 1" o:spid="_x0000_s1026" style="position:absolute;margin-left:3.4pt;margin-top:18pt;width:402.5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" fillcolor="#92d050" strokecolor="#375623 [1609]" strokeweight="1pt">
                <v:textbox>
                  <w:txbxContent>
                    <w:p w14:paraId="7AD693BC" w14:textId="613D71B8" w:rsidR="00AA4E73" w:rsidRPr="003037F2" w:rsidRDefault="00AA4E73" w:rsidP="003037F2">
                      <w:pPr>
                        <w:shd w:val="clear" w:color="auto" w:fill="92D050"/>
                        <w:rPr>
                          <w:rFonts w:ascii="Times New Roman" w:hAnsi="Times New Roman" w:cs="Times New Roman"/>
                          <w:color w:val="000000" w:themeColor="text1"/>
                        </w:rPr>
                      </w:pPr>
                      <w:r>
                        <w:rPr>
                          <w:rFonts w:ascii="Times New Roman" w:hAnsi="Times New Roman" w:cs="Times New Roman"/>
                          <w:color w:val="000000" w:themeColor="text1"/>
                        </w:rPr>
                        <w:t>Profesionālās izglītības programmas</w:t>
                      </w:r>
                      <w:r w:rsidRPr="003037F2">
                        <w:rPr>
                          <w:rFonts w:ascii="Times New Roman" w:hAnsi="Times New Roman" w:cs="Times New Roman"/>
                          <w:color w:val="000000" w:themeColor="text1"/>
                        </w:rPr>
                        <w:t>, kas indikatīvi atbilst noteiktajiem kritērijiem.</w:t>
                      </w:r>
                    </w:p>
                  </w:txbxContent>
                </v:textbox>
              </v:rect>
            </w:pict>
          </mc:Fallback>
        </mc:AlternateContent>
      </w:r>
      <w:r w:rsidR="000D09BE" w:rsidRPr="003037F2">
        <w:rPr>
          <w:rFonts w:ascii="Times New Roman" w:hAnsi="Times New Roman" w:cs="Times New Roman"/>
        </w:rPr>
        <w:t xml:space="preserve">Datu avots: </w:t>
      </w:r>
      <w:r w:rsidR="00A757CC">
        <w:rPr>
          <w:rFonts w:ascii="Times New Roman" w:hAnsi="Times New Roman" w:cs="Times New Roman"/>
        </w:rPr>
        <w:t>P</w:t>
      </w:r>
      <w:r w:rsidR="008C6711">
        <w:rPr>
          <w:rFonts w:ascii="Times New Roman" w:hAnsi="Times New Roman" w:cs="Times New Roman"/>
        </w:rPr>
        <w:t>rofesionālās izglītības iestāžu pārskatu</w:t>
      </w:r>
      <w:r w:rsidR="00A757CC">
        <w:rPr>
          <w:rFonts w:ascii="Times New Roman" w:hAnsi="Times New Roman" w:cs="Times New Roman"/>
        </w:rPr>
        <w:t xml:space="preserve"> (PROF 2) dati uz 01.10.2019</w:t>
      </w:r>
      <w:r w:rsidR="00A757CC" w:rsidRPr="003037F2">
        <w:rPr>
          <w:rFonts w:ascii="Times New Roman" w:hAnsi="Times New Roman" w:cs="Times New Roman"/>
        </w:rPr>
        <w:t>.</w:t>
      </w:r>
    </w:p>
    <w:p w14:paraId="1BD06F76" w14:textId="17231356" w:rsidR="003037F2" w:rsidRPr="003037F2" w:rsidRDefault="003037F2" w:rsidP="003037F2">
      <w:pPr>
        <w:rPr>
          <w:rFonts w:ascii="Times New Roman" w:hAnsi="Times New Roman" w:cs="Times New Roman"/>
        </w:rPr>
      </w:pPr>
    </w:p>
    <w:p w14:paraId="09C86980" w14:textId="2D601569" w:rsidR="002E19DC" w:rsidRDefault="002E19DC" w:rsidP="000D09BE">
      <w:pPr>
        <w:pStyle w:val="ListParagraph"/>
        <w:tabs>
          <w:tab w:val="left" w:pos="3005"/>
        </w:tabs>
        <w:ind w:left="1080"/>
        <w:rPr>
          <w:rFonts w:ascii="Times New Roman" w:hAnsi="Times New Roman" w:cs="Times New Roman"/>
          <w:b/>
        </w:rPr>
      </w:pPr>
    </w:p>
    <w:p w14:paraId="47437F36" w14:textId="55F1B708" w:rsidR="003A7510" w:rsidRPr="002D3103" w:rsidRDefault="002E19DC" w:rsidP="00D841DF">
      <w:pPr>
        <w:pStyle w:val="Caption"/>
        <w:jc w:val="right"/>
        <w:rPr>
          <w:rFonts w:ascii="Times New Roman" w:hAnsi="Times New Roman" w:cs="Times New Roman"/>
          <w:b/>
          <w:sz w:val="20"/>
        </w:rPr>
      </w:pPr>
      <w:r w:rsidRPr="002E19DC">
        <w:br w:type="page"/>
      </w:r>
      <w:bookmarkStart w:id="25" w:name="_Ref52271632"/>
      <w:r w:rsidR="00D841DF" w:rsidRPr="00D841DF">
        <w:rPr>
          <w:rFonts w:ascii="Times New Roman" w:eastAsia="Times New Roman" w:hAnsi="Times New Roman" w:cs="Times New Roman"/>
          <w:b/>
          <w:bCs/>
          <w:i w:val="0"/>
          <w:color w:val="000000" w:themeColor="text1"/>
          <w:sz w:val="24"/>
          <w:szCs w:val="24"/>
        </w:rPr>
        <w:lastRenderedPageBreak/>
        <w:t>Pielikums</w:t>
      </w:r>
      <w:r w:rsidR="00D841DF">
        <w:rPr>
          <w:rFonts w:ascii="Times New Roman" w:eastAsia="Times New Roman" w:hAnsi="Times New Roman" w:cs="Times New Roman"/>
          <w:b/>
          <w:bCs/>
          <w:i w:val="0"/>
          <w:color w:val="000000" w:themeColor="text1"/>
          <w:sz w:val="24"/>
          <w:szCs w:val="24"/>
        </w:rPr>
        <w:t xml:space="preserve"> Nr.</w:t>
      </w:r>
      <w:r w:rsidR="00D841DF" w:rsidRPr="00D841DF">
        <w:rPr>
          <w:rFonts w:ascii="Times New Roman" w:eastAsia="Times New Roman" w:hAnsi="Times New Roman" w:cs="Times New Roman"/>
          <w:b/>
          <w:bCs/>
          <w:i w:val="0"/>
          <w:color w:val="000000" w:themeColor="text1"/>
          <w:sz w:val="24"/>
          <w:szCs w:val="24"/>
        </w:rPr>
        <w:t xml:space="preserve"> </w:t>
      </w:r>
      <w:r w:rsidR="00D841DF" w:rsidRPr="00D841DF">
        <w:rPr>
          <w:rFonts w:ascii="Times New Roman" w:eastAsia="Times New Roman" w:hAnsi="Times New Roman" w:cs="Times New Roman"/>
          <w:b/>
          <w:bCs/>
          <w:i w:val="0"/>
          <w:color w:val="000000" w:themeColor="text1"/>
          <w:sz w:val="24"/>
          <w:szCs w:val="24"/>
        </w:rPr>
        <w:fldChar w:fldCharType="begin"/>
      </w:r>
      <w:r w:rsidR="00D841DF" w:rsidRPr="00D841DF">
        <w:rPr>
          <w:rFonts w:ascii="Times New Roman" w:eastAsia="Times New Roman" w:hAnsi="Times New Roman" w:cs="Times New Roman"/>
          <w:b/>
          <w:bCs/>
          <w:i w:val="0"/>
          <w:color w:val="000000" w:themeColor="text1"/>
          <w:sz w:val="24"/>
          <w:szCs w:val="24"/>
        </w:rPr>
        <w:instrText xml:space="preserve"> SEQ Pielikums \* ARABIC </w:instrText>
      </w:r>
      <w:r w:rsidR="00D841DF" w:rsidRPr="00D841DF">
        <w:rPr>
          <w:rFonts w:ascii="Times New Roman" w:eastAsia="Times New Roman" w:hAnsi="Times New Roman" w:cs="Times New Roman"/>
          <w:b/>
          <w:bCs/>
          <w:i w:val="0"/>
          <w:color w:val="000000" w:themeColor="text1"/>
          <w:sz w:val="24"/>
          <w:szCs w:val="24"/>
        </w:rPr>
        <w:fldChar w:fldCharType="separate"/>
      </w:r>
      <w:r w:rsidR="00D841DF">
        <w:rPr>
          <w:rFonts w:ascii="Times New Roman" w:eastAsia="Times New Roman" w:hAnsi="Times New Roman" w:cs="Times New Roman"/>
          <w:b/>
          <w:bCs/>
          <w:i w:val="0"/>
          <w:noProof/>
          <w:color w:val="000000" w:themeColor="text1"/>
          <w:sz w:val="24"/>
          <w:szCs w:val="24"/>
        </w:rPr>
        <w:t>3</w:t>
      </w:r>
      <w:r w:rsidR="00D841DF" w:rsidRPr="00D841DF">
        <w:rPr>
          <w:rFonts w:ascii="Times New Roman" w:eastAsia="Times New Roman" w:hAnsi="Times New Roman" w:cs="Times New Roman"/>
          <w:b/>
          <w:bCs/>
          <w:i w:val="0"/>
          <w:color w:val="000000" w:themeColor="text1"/>
          <w:sz w:val="24"/>
          <w:szCs w:val="24"/>
        </w:rPr>
        <w:fldChar w:fldCharType="end"/>
      </w:r>
      <w:bookmarkEnd w:id="25"/>
      <w:r w:rsidR="00D841DF">
        <w:rPr>
          <w:rFonts w:ascii="Times New Roman" w:eastAsia="Times New Roman" w:hAnsi="Times New Roman" w:cs="Times New Roman"/>
          <w:b/>
          <w:bCs/>
          <w:i w:val="0"/>
          <w:color w:val="000000" w:themeColor="text1"/>
          <w:sz w:val="24"/>
          <w:szCs w:val="24"/>
        </w:rPr>
        <w:t>.</w:t>
      </w:r>
      <w:r w:rsidR="003A7510" w:rsidRPr="00D841DF">
        <w:rPr>
          <w:rFonts w:ascii="Times New Roman" w:eastAsia="Times New Roman" w:hAnsi="Times New Roman" w:cs="Times New Roman"/>
          <w:b/>
          <w:bCs/>
          <w:i w:val="0"/>
          <w:color w:val="000000" w:themeColor="text1"/>
          <w:sz w:val="24"/>
          <w:szCs w:val="24"/>
        </w:rPr>
        <w:t xml:space="preserve"> Juridi</w:t>
      </w:r>
      <w:r w:rsidR="00D841DF" w:rsidRPr="00D841DF">
        <w:rPr>
          <w:rFonts w:ascii="Times New Roman" w:eastAsia="Times New Roman" w:hAnsi="Times New Roman" w:cs="Times New Roman"/>
          <w:b/>
          <w:bCs/>
          <w:i w:val="0"/>
          <w:color w:val="000000" w:themeColor="text1"/>
          <w:sz w:val="24"/>
          <w:szCs w:val="24"/>
        </w:rPr>
        <w:t>sku un fizisku personu dibināto</w:t>
      </w:r>
      <w:r w:rsidR="003A7510" w:rsidRPr="00D841DF">
        <w:rPr>
          <w:rFonts w:ascii="Times New Roman" w:eastAsia="Times New Roman" w:hAnsi="Times New Roman" w:cs="Times New Roman"/>
          <w:b/>
          <w:bCs/>
          <w:i w:val="0"/>
          <w:color w:val="000000" w:themeColor="text1"/>
          <w:sz w:val="24"/>
          <w:szCs w:val="24"/>
        </w:rPr>
        <w:t xml:space="preserve"> izglītības </w:t>
      </w:r>
      <w:r w:rsidR="00D841DF" w:rsidRPr="00D841DF">
        <w:rPr>
          <w:rFonts w:ascii="Times New Roman" w:eastAsia="Times New Roman" w:hAnsi="Times New Roman" w:cs="Times New Roman"/>
          <w:b/>
          <w:bCs/>
          <w:i w:val="0"/>
          <w:color w:val="000000" w:themeColor="text1"/>
          <w:sz w:val="24"/>
          <w:szCs w:val="24"/>
        </w:rPr>
        <w:t>iestāžu īstenotās profesionālās izglītības programmas</w:t>
      </w:r>
    </w:p>
    <w:tbl>
      <w:tblPr>
        <w:tblW w:w="14596" w:type="dxa"/>
        <w:tblLayout w:type="fixed"/>
        <w:tblLook w:val="04A0" w:firstRow="1" w:lastRow="0" w:firstColumn="1" w:lastColumn="0" w:noHBand="0" w:noVBand="1"/>
      </w:tblPr>
      <w:tblGrid>
        <w:gridCol w:w="3114"/>
        <w:gridCol w:w="2551"/>
        <w:gridCol w:w="1276"/>
        <w:gridCol w:w="2977"/>
        <w:gridCol w:w="2693"/>
        <w:gridCol w:w="851"/>
        <w:gridCol w:w="1134"/>
      </w:tblGrid>
      <w:tr w:rsidR="002D3103" w:rsidRPr="002D3103" w14:paraId="4A78046F" w14:textId="77777777" w:rsidTr="002D3103">
        <w:trPr>
          <w:trHeight w:val="340"/>
        </w:trPr>
        <w:tc>
          <w:tcPr>
            <w:tcW w:w="311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3740F71" w14:textId="77777777" w:rsidR="003A7510" w:rsidRPr="002D3103" w:rsidRDefault="003A7510" w:rsidP="00AF60AA">
            <w:pPr>
              <w:spacing w:after="0" w:line="240" w:lineRule="auto"/>
              <w:jc w:val="center"/>
              <w:rPr>
                <w:rFonts w:ascii="Times New Roman" w:eastAsia="Times New Roman" w:hAnsi="Times New Roman" w:cs="Times New Roman"/>
                <w:b/>
                <w:bCs/>
                <w:sz w:val="18"/>
                <w:szCs w:val="20"/>
              </w:rPr>
            </w:pPr>
            <w:r w:rsidRPr="002D3103">
              <w:rPr>
                <w:rFonts w:ascii="Times New Roman" w:eastAsia="Times New Roman" w:hAnsi="Times New Roman" w:cs="Times New Roman"/>
                <w:b/>
                <w:bCs/>
                <w:sz w:val="18"/>
                <w:szCs w:val="20"/>
              </w:rPr>
              <w:t>Izglītības iestāde</w:t>
            </w:r>
          </w:p>
        </w:tc>
        <w:tc>
          <w:tcPr>
            <w:tcW w:w="2551" w:type="dxa"/>
            <w:tcBorders>
              <w:top w:val="single" w:sz="4" w:space="0" w:color="auto"/>
              <w:left w:val="nil"/>
              <w:bottom w:val="single" w:sz="4" w:space="0" w:color="auto"/>
              <w:right w:val="single" w:sz="4" w:space="0" w:color="auto"/>
            </w:tcBorders>
            <w:shd w:val="clear" w:color="000000" w:fill="F2F2F2"/>
            <w:vAlign w:val="center"/>
            <w:hideMark/>
          </w:tcPr>
          <w:p w14:paraId="168106D8" w14:textId="77777777" w:rsidR="003A7510" w:rsidRPr="002D3103" w:rsidRDefault="003A7510" w:rsidP="00AF60AA">
            <w:pPr>
              <w:spacing w:after="0" w:line="240" w:lineRule="auto"/>
              <w:jc w:val="center"/>
              <w:rPr>
                <w:rFonts w:ascii="Times New Roman" w:eastAsia="Times New Roman" w:hAnsi="Times New Roman" w:cs="Times New Roman"/>
                <w:b/>
                <w:bCs/>
                <w:sz w:val="18"/>
                <w:szCs w:val="20"/>
              </w:rPr>
            </w:pPr>
            <w:r w:rsidRPr="002D3103">
              <w:rPr>
                <w:rFonts w:ascii="Times New Roman" w:eastAsia="Times New Roman" w:hAnsi="Times New Roman" w:cs="Times New Roman"/>
                <w:b/>
                <w:bCs/>
                <w:sz w:val="18"/>
                <w:szCs w:val="20"/>
              </w:rPr>
              <w:t>Izglītības programmas veids</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14:paraId="6EF0470F" w14:textId="77777777" w:rsidR="003A7510" w:rsidRPr="002D3103" w:rsidRDefault="003A7510" w:rsidP="00AF60AA">
            <w:pPr>
              <w:spacing w:after="0" w:line="240" w:lineRule="auto"/>
              <w:jc w:val="center"/>
              <w:rPr>
                <w:rFonts w:ascii="Times New Roman" w:eastAsia="Times New Roman" w:hAnsi="Times New Roman" w:cs="Times New Roman"/>
                <w:b/>
                <w:bCs/>
                <w:sz w:val="18"/>
                <w:szCs w:val="20"/>
              </w:rPr>
            </w:pPr>
            <w:r w:rsidRPr="002D3103">
              <w:rPr>
                <w:rFonts w:ascii="Times New Roman" w:eastAsia="Times New Roman" w:hAnsi="Times New Roman" w:cs="Times New Roman"/>
                <w:b/>
                <w:bCs/>
                <w:sz w:val="18"/>
                <w:szCs w:val="20"/>
              </w:rPr>
              <w:t>Otrais klasifikācijas līmenis</w:t>
            </w:r>
          </w:p>
        </w:tc>
        <w:tc>
          <w:tcPr>
            <w:tcW w:w="2977" w:type="dxa"/>
            <w:tcBorders>
              <w:top w:val="single" w:sz="4" w:space="0" w:color="auto"/>
              <w:left w:val="nil"/>
              <w:bottom w:val="single" w:sz="4" w:space="0" w:color="auto"/>
              <w:right w:val="single" w:sz="4" w:space="0" w:color="auto"/>
            </w:tcBorders>
            <w:shd w:val="clear" w:color="000000" w:fill="F2F2F2"/>
            <w:vAlign w:val="center"/>
            <w:hideMark/>
          </w:tcPr>
          <w:p w14:paraId="12E30C4E" w14:textId="77777777" w:rsidR="003A7510" w:rsidRPr="002D3103" w:rsidRDefault="003A7510" w:rsidP="00AF60AA">
            <w:pPr>
              <w:spacing w:after="0" w:line="240" w:lineRule="auto"/>
              <w:jc w:val="center"/>
              <w:rPr>
                <w:rFonts w:ascii="Times New Roman" w:eastAsia="Times New Roman" w:hAnsi="Times New Roman" w:cs="Times New Roman"/>
                <w:b/>
                <w:bCs/>
                <w:sz w:val="18"/>
                <w:szCs w:val="20"/>
              </w:rPr>
            </w:pPr>
            <w:r w:rsidRPr="002D3103">
              <w:rPr>
                <w:rFonts w:ascii="Times New Roman" w:eastAsia="Times New Roman" w:hAnsi="Times New Roman" w:cs="Times New Roman"/>
                <w:b/>
                <w:bCs/>
                <w:sz w:val="18"/>
                <w:szCs w:val="20"/>
              </w:rPr>
              <w:t>Izglītības programma</w:t>
            </w:r>
          </w:p>
        </w:tc>
        <w:tc>
          <w:tcPr>
            <w:tcW w:w="2693" w:type="dxa"/>
            <w:tcBorders>
              <w:top w:val="single" w:sz="4" w:space="0" w:color="auto"/>
              <w:left w:val="nil"/>
              <w:bottom w:val="single" w:sz="4" w:space="0" w:color="auto"/>
              <w:right w:val="single" w:sz="4" w:space="0" w:color="auto"/>
            </w:tcBorders>
            <w:shd w:val="clear" w:color="000000" w:fill="F2F2F2"/>
            <w:vAlign w:val="center"/>
            <w:hideMark/>
          </w:tcPr>
          <w:p w14:paraId="2B5BB792" w14:textId="77777777" w:rsidR="003A7510" w:rsidRPr="002D3103" w:rsidRDefault="003A7510" w:rsidP="00AF60AA">
            <w:pPr>
              <w:spacing w:after="0" w:line="240" w:lineRule="auto"/>
              <w:jc w:val="center"/>
              <w:rPr>
                <w:rFonts w:ascii="Times New Roman" w:eastAsia="Times New Roman" w:hAnsi="Times New Roman" w:cs="Times New Roman"/>
                <w:b/>
                <w:bCs/>
                <w:color w:val="000000"/>
                <w:sz w:val="18"/>
                <w:szCs w:val="20"/>
              </w:rPr>
            </w:pPr>
            <w:r w:rsidRPr="002D3103">
              <w:rPr>
                <w:rFonts w:ascii="Times New Roman" w:eastAsia="Times New Roman" w:hAnsi="Times New Roman" w:cs="Times New Roman"/>
                <w:b/>
                <w:bCs/>
                <w:color w:val="000000"/>
                <w:sz w:val="18"/>
                <w:szCs w:val="20"/>
              </w:rPr>
              <w:t>Piešķiramā kvalifikācija</w:t>
            </w:r>
          </w:p>
        </w:tc>
        <w:tc>
          <w:tcPr>
            <w:tcW w:w="851" w:type="dxa"/>
            <w:tcBorders>
              <w:top w:val="single" w:sz="4" w:space="0" w:color="auto"/>
              <w:left w:val="nil"/>
              <w:bottom w:val="single" w:sz="4" w:space="0" w:color="auto"/>
              <w:right w:val="single" w:sz="4" w:space="0" w:color="auto"/>
            </w:tcBorders>
            <w:shd w:val="clear" w:color="000000" w:fill="F2F2F2"/>
            <w:vAlign w:val="center"/>
            <w:hideMark/>
          </w:tcPr>
          <w:p w14:paraId="789E2E75" w14:textId="77777777" w:rsidR="003A7510" w:rsidRPr="002D3103" w:rsidRDefault="003A7510" w:rsidP="00AF60AA">
            <w:pPr>
              <w:spacing w:after="0" w:line="240" w:lineRule="auto"/>
              <w:jc w:val="center"/>
              <w:rPr>
                <w:rFonts w:ascii="Times New Roman" w:eastAsia="Times New Roman" w:hAnsi="Times New Roman" w:cs="Times New Roman"/>
                <w:b/>
                <w:bCs/>
                <w:sz w:val="18"/>
                <w:szCs w:val="20"/>
              </w:rPr>
            </w:pPr>
            <w:r w:rsidRPr="002D3103">
              <w:rPr>
                <w:rFonts w:ascii="Times New Roman" w:eastAsia="Times New Roman" w:hAnsi="Times New Roman" w:cs="Times New Roman"/>
                <w:b/>
                <w:bCs/>
                <w:sz w:val="18"/>
                <w:szCs w:val="20"/>
              </w:rPr>
              <w:t>Mācību ilgums, gadi</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67693736" w14:textId="77777777" w:rsidR="003A7510" w:rsidRPr="002D3103" w:rsidRDefault="003A7510" w:rsidP="00AF60AA">
            <w:pPr>
              <w:spacing w:after="0" w:line="240" w:lineRule="auto"/>
              <w:jc w:val="center"/>
              <w:rPr>
                <w:rFonts w:ascii="Times New Roman" w:eastAsia="Times New Roman" w:hAnsi="Times New Roman" w:cs="Times New Roman"/>
                <w:b/>
                <w:bCs/>
                <w:sz w:val="18"/>
                <w:szCs w:val="20"/>
              </w:rPr>
            </w:pPr>
            <w:r w:rsidRPr="002D3103">
              <w:rPr>
                <w:rFonts w:ascii="Times New Roman" w:eastAsia="Times New Roman" w:hAnsi="Times New Roman" w:cs="Times New Roman"/>
                <w:b/>
                <w:bCs/>
                <w:sz w:val="18"/>
                <w:szCs w:val="20"/>
              </w:rPr>
              <w:t>Izglītojamo skaits</w:t>
            </w:r>
          </w:p>
        </w:tc>
      </w:tr>
      <w:tr w:rsidR="002D3103" w:rsidRPr="002D3103" w14:paraId="0F2BB439" w14:textId="77777777" w:rsidTr="002B753D">
        <w:trPr>
          <w:trHeight w:val="6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94EECCA" w14:textId="77777777" w:rsidR="003A7510" w:rsidRPr="002D3103" w:rsidRDefault="003A7510"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Ģenerāļa Pētera Radziņa Staiceles Sporta profesionālā vidusskola</w:t>
            </w:r>
          </w:p>
        </w:tc>
        <w:tc>
          <w:tcPr>
            <w:tcW w:w="2551" w:type="dxa"/>
            <w:tcBorders>
              <w:top w:val="nil"/>
              <w:left w:val="nil"/>
              <w:bottom w:val="single" w:sz="4" w:space="0" w:color="auto"/>
              <w:right w:val="single" w:sz="4" w:space="0" w:color="auto"/>
            </w:tcBorders>
            <w:shd w:val="clear" w:color="auto" w:fill="auto"/>
            <w:noWrap/>
            <w:vAlign w:val="center"/>
            <w:hideMark/>
          </w:tcPr>
          <w:p w14:paraId="63DEF2BF" w14:textId="77777777" w:rsidR="003A7510" w:rsidRPr="002D3103" w:rsidRDefault="003A7510"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Profesionālā vidējā izglītība</w:t>
            </w:r>
          </w:p>
        </w:tc>
        <w:tc>
          <w:tcPr>
            <w:tcW w:w="1276" w:type="dxa"/>
            <w:tcBorders>
              <w:top w:val="nil"/>
              <w:left w:val="nil"/>
              <w:bottom w:val="single" w:sz="4" w:space="0" w:color="auto"/>
              <w:right w:val="single" w:sz="4" w:space="0" w:color="auto"/>
            </w:tcBorders>
            <w:shd w:val="clear" w:color="auto" w:fill="auto"/>
            <w:noWrap/>
            <w:vAlign w:val="center"/>
            <w:hideMark/>
          </w:tcPr>
          <w:p w14:paraId="7B1382D8" w14:textId="77777777" w:rsidR="003A7510" w:rsidRPr="002D3103" w:rsidRDefault="003A7510" w:rsidP="00AF60AA">
            <w:pPr>
              <w:spacing w:after="0" w:line="240" w:lineRule="auto"/>
              <w:jc w:val="right"/>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33</w:t>
            </w:r>
          </w:p>
        </w:tc>
        <w:tc>
          <w:tcPr>
            <w:tcW w:w="2977" w:type="dxa"/>
            <w:tcBorders>
              <w:top w:val="nil"/>
              <w:left w:val="nil"/>
              <w:bottom w:val="single" w:sz="4" w:space="0" w:color="auto"/>
              <w:right w:val="single" w:sz="4" w:space="0" w:color="auto"/>
            </w:tcBorders>
            <w:shd w:val="clear" w:color="auto" w:fill="auto"/>
            <w:noWrap/>
            <w:vAlign w:val="center"/>
            <w:hideMark/>
          </w:tcPr>
          <w:p w14:paraId="368F832B" w14:textId="77777777" w:rsidR="003A7510" w:rsidRPr="002D3103" w:rsidRDefault="003A7510"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Sports</w:t>
            </w:r>
          </w:p>
        </w:tc>
        <w:tc>
          <w:tcPr>
            <w:tcW w:w="2693" w:type="dxa"/>
            <w:tcBorders>
              <w:top w:val="nil"/>
              <w:left w:val="nil"/>
              <w:bottom w:val="single" w:sz="4" w:space="0" w:color="auto"/>
              <w:right w:val="single" w:sz="4" w:space="0" w:color="auto"/>
            </w:tcBorders>
            <w:shd w:val="clear" w:color="auto" w:fill="auto"/>
            <w:noWrap/>
            <w:vAlign w:val="center"/>
            <w:hideMark/>
          </w:tcPr>
          <w:p w14:paraId="3AA7D546" w14:textId="77777777" w:rsidR="003A7510" w:rsidRPr="002D3103" w:rsidRDefault="003A7510"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Sporta pasākumu organizators</w:t>
            </w:r>
          </w:p>
        </w:tc>
        <w:tc>
          <w:tcPr>
            <w:tcW w:w="851" w:type="dxa"/>
            <w:tcBorders>
              <w:top w:val="nil"/>
              <w:left w:val="nil"/>
              <w:bottom w:val="single" w:sz="4" w:space="0" w:color="auto"/>
              <w:right w:val="single" w:sz="4" w:space="0" w:color="auto"/>
            </w:tcBorders>
            <w:shd w:val="clear" w:color="auto" w:fill="auto"/>
            <w:noWrap/>
            <w:vAlign w:val="center"/>
            <w:hideMark/>
          </w:tcPr>
          <w:p w14:paraId="53ADB14D" w14:textId="77777777" w:rsidR="003A7510" w:rsidRPr="002D3103" w:rsidRDefault="003A7510" w:rsidP="00AF60AA">
            <w:pPr>
              <w:spacing w:after="0" w:line="240" w:lineRule="auto"/>
              <w:jc w:val="right"/>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14:paraId="4977ACC4" w14:textId="77777777" w:rsidR="003A7510" w:rsidRPr="002D3103" w:rsidRDefault="003A7510" w:rsidP="00AF60AA">
            <w:pPr>
              <w:spacing w:after="0" w:line="240" w:lineRule="auto"/>
              <w:jc w:val="right"/>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8</w:t>
            </w:r>
          </w:p>
        </w:tc>
      </w:tr>
      <w:tr w:rsidR="00483287" w:rsidRPr="002D3103" w14:paraId="52CE1957" w14:textId="77777777" w:rsidTr="002B753D">
        <w:trPr>
          <w:trHeight w:val="60"/>
        </w:trPr>
        <w:tc>
          <w:tcPr>
            <w:tcW w:w="3114" w:type="dxa"/>
            <w:tcBorders>
              <w:top w:val="nil"/>
              <w:left w:val="single" w:sz="4" w:space="0" w:color="auto"/>
              <w:bottom w:val="single" w:sz="4" w:space="0" w:color="auto"/>
              <w:right w:val="single" w:sz="4" w:space="0" w:color="auto"/>
            </w:tcBorders>
            <w:shd w:val="clear" w:color="auto" w:fill="auto"/>
            <w:noWrap/>
            <w:vAlign w:val="center"/>
          </w:tcPr>
          <w:p w14:paraId="705FBF15" w14:textId="537A6A91" w:rsidR="00483287" w:rsidRPr="002D3103" w:rsidRDefault="00483287"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Skaistumkopšanas profesionālā vidusskola "BEAUTY SCHOOL"</w:t>
            </w:r>
          </w:p>
        </w:tc>
        <w:tc>
          <w:tcPr>
            <w:tcW w:w="2551" w:type="dxa"/>
            <w:tcBorders>
              <w:top w:val="nil"/>
              <w:left w:val="nil"/>
              <w:bottom w:val="single" w:sz="4" w:space="0" w:color="auto"/>
              <w:right w:val="single" w:sz="4" w:space="0" w:color="auto"/>
            </w:tcBorders>
            <w:shd w:val="clear" w:color="auto" w:fill="auto"/>
            <w:noWrap/>
            <w:vAlign w:val="center"/>
          </w:tcPr>
          <w:p w14:paraId="24327893" w14:textId="0D94134D" w:rsidR="00483287" w:rsidRPr="002D3103" w:rsidRDefault="00483287"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Profesionālā vidējā izglītība</w:t>
            </w:r>
          </w:p>
        </w:tc>
        <w:tc>
          <w:tcPr>
            <w:tcW w:w="1276" w:type="dxa"/>
            <w:tcBorders>
              <w:top w:val="nil"/>
              <w:left w:val="nil"/>
              <w:bottom w:val="single" w:sz="4" w:space="0" w:color="auto"/>
              <w:right w:val="single" w:sz="4" w:space="0" w:color="auto"/>
            </w:tcBorders>
            <w:shd w:val="clear" w:color="auto" w:fill="auto"/>
            <w:noWrap/>
            <w:vAlign w:val="center"/>
          </w:tcPr>
          <w:p w14:paraId="3F486144" w14:textId="2E4CD219" w:rsidR="00483287" w:rsidRPr="002D3103" w:rsidRDefault="00483287" w:rsidP="00AF60AA">
            <w:pPr>
              <w:spacing w:after="0" w:line="240" w:lineRule="auto"/>
              <w:jc w:val="right"/>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35b</w:t>
            </w:r>
          </w:p>
        </w:tc>
        <w:tc>
          <w:tcPr>
            <w:tcW w:w="2977" w:type="dxa"/>
            <w:tcBorders>
              <w:top w:val="nil"/>
              <w:left w:val="nil"/>
              <w:bottom w:val="single" w:sz="4" w:space="0" w:color="auto"/>
              <w:right w:val="single" w:sz="4" w:space="0" w:color="auto"/>
            </w:tcBorders>
            <w:shd w:val="clear" w:color="auto" w:fill="auto"/>
            <w:noWrap/>
            <w:vAlign w:val="center"/>
          </w:tcPr>
          <w:p w14:paraId="56C83A94" w14:textId="604490D8" w:rsidR="00483287" w:rsidRPr="002D3103" w:rsidRDefault="00483287"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Kosmetoloģija</w:t>
            </w:r>
          </w:p>
        </w:tc>
        <w:tc>
          <w:tcPr>
            <w:tcW w:w="2693" w:type="dxa"/>
            <w:tcBorders>
              <w:top w:val="nil"/>
              <w:left w:val="nil"/>
              <w:bottom w:val="single" w:sz="4" w:space="0" w:color="auto"/>
              <w:right w:val="single" w:sz="4" w:space="0" w:color="auto"/>
            </w:tcBorders>
            <w:shd w:val="clear" w:color="auto" w:fill="auto"/>
            <w:noWrap/>
            <w:vAlign w:val="center"/>
          </w:tcPr>
          <w:p w14:paraId="5A7C278A" w14:textId="065855D9" w:rsidR="00483287" w:rsidRPr="002D3103" w:rsidRDefault="00483287"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Kosmētiķis</w:t>
            </w:r>
          </w:p>
        </w:tc>
        <w:tc>
          <w:tcPr>
            <w:tcW w:w="851" w:type="dxa"/>
            <w:tcBorders>
              <w:top w:val="nil"/>
              <w:left w:val="nil"/>
              <w:bottom w:val="single" w:sz="4" w:space="0" w:color="auto"/>
              <w:right w:val="single" w:sz="4" w:space="0" w:color="auto"/>
            </w:tcBorders>
            <w:shd w:val="clear" w:color="auto" w:fill="auto"/>
            <w:noWrap/>
            <w:vAlign w:val="center"/>
          </w:tcPr>
          <w:p w14:paraId="6805C8EC" w14:textId="05E216EA" w:rsidR="00483287" w:rsidRPr="002D3103" w:rsidRDefault="00483287" w:rsidP="00AF60A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34" w:type="dxa"/>
            <w:tcBorders>
              <w:top w:val="nil"/>
              <w:left w:val="nil"/>
              <w:bottom w:val="single" w:sz="4" w:space="0" w:color="auto"/>
              <w:right w:val="single" w:sz="4" w:space="0" w:color="auto"/>
            </w:tcBorders>
            <w:shd w:val="clear" w:color="auto" w:fill="auto"/>
            <w:noWrap/>
            <w:vAlign w:val="center"/>
          </w:tcPr>
          <w:p w14:paraId="40FA063D" w14:textId="4D95C182" w:rsidR="00483287" w:rsidRPr="002D3103" w:rsidRDefault="00483287" w:rsidP="00AF60A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2D3103" w:rsidRPr="002D3103" w14:paraId="1B0DCE41" w14:textId="77777777" w:rsidTr="002D3103">
        <w:trPr>
          <w:trHeight w:val="34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81494A6" w14:textId="77777777" w:rsidR="003A7510" w:rsidRPr="002D3103" w:rsidRDefault="003A7510"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Profesionālā vidusskola "RIMAN"</w:t>
            </w:r>
          </w:p>
        </w:tc>
        <w:tc>
          <w:tcPr>
            <w:tcW w:w="2551" w:type="dxa"/>
            <w:tcBorders>
              <w:top w:val="nil"/>
              <w:left w:val="nil"/>
              <w:bottom w:val="single" w:sz="4" w:space="0" w:color="auto"/>
              <w:right w:val="single" w:sz="4" w:space="0" w:color="auto"/>
            </w:tcBorders>
            <w:shd w:val="clear" w:color="auto" w:fill="auto"/>
            <w:noWrap/>
            <w:vAlign w:val="center"/>
            <w:hideMark/>
          </w:tcPr>
          <w:p w14:paraId="189749D9" w14:textId="77777777" w:rsidR="003A7510" w:rsidRPr="002D3103" w:rsidRDefault="003A7510"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Arodizglītība</w:t>
            </w:r>
          </w:p>
        </w:tc>
        <w:tc>
          <w:tcPr>
            <w:tcW w:w="1276" w:type="dxa"/>
            <w:tcBorders>
              <w:top w:val="nil"/>
              <w:left w:val="nil"/>
              <w:bottom w:val="single" w:sz="4" w:space="0" w:color="auto"/>
              <w:right w:val="single" w:sz="4" w:space="0" w:color="auto"/>
            </w:tcBorders>
            <w:shd w:val="clear" w:color="auto" w:fill="auto"/>
            <w:noWrap/>
            <w:vAlign w:val="center"/>
            <w:hideMark/>
          </w:tcPr>
          <w:p w14:paraId="7EF8BD61" w14:textId="77777777" w:rsidR="003A7510" w:rsidRPr="002D3103" w:rsidRDefault="003A7510" w:rsidP="00AF60AA">
            <w:pPr>
              <w:spacing w:after="0" w:line="240" w:lineRule="auto"/>
              <w:jc w:val="right"/>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32</w:t>
            </w:r>
          </w:p>
        </w:tc>
        <w:tc>
          <w:tcPr>
            <w:tcW w:w="2977" w:type="dxa"/>
            <w:tcBorders>
              <w:top w:val="nil"/>
              <w:left w:val="nil"/>
              <w:bottom w:val="single" w:sz="4" w:space="0" w:color="auto"/>
              <w:right w:val="single" w:sz="4" w:space="0" w:color="auto"/>
            </w:tcBorders>
            <w:shd w:val="clear" w:color="auto" w:fill="auto"/>
            <w:noWrap/>
            <w:vAlign w:val="center"/>
            <w:hideMark/>
          </w:tcPr>
          <w:p w14:paraId="2786313E" w14:textId="77777777" w:rsidR="003A7510" w:rsidRPr="002D3103" w:rsidRDefault="003A7510"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Ēdināšanas pakalpojumi</w:t>
            </w:r>
          </w:p>
        </w:tc>
        <w:tc>
          <w:tcPr>
            <w:tcW w:w="2693" w:type="dxa"/>
            <w:tcBorders>
              <w:top w:val="nil"/>
              <w:left w:val="nil"/>
              <w:bottom w:val="single" w:sz="4" w:space="0" w:color="auto"/>
              <w:right w:val="single" w:sz="4" w:space="0" w:color="auto"/>
            </w:tcBorders>
            <w:shd w:val="clear" w:color="auto" w:fill="auto"/>
            <w:noWrap/>
            <w:vAlign w:val="center"/>
            <w:hideMark/>
          </w:tcPr>
          <w:p w14:paraId="621BECDD" w14:textId="77777777" w:rsidR="003A7510" w:rsidRPr="002D3103" w:rsidRDefault="003A7510"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Pavārs</w:t>
            </w:r>
          </w:p>
        </w:tc>
        <w:tc>
          <w:tcPr>
            <w:tcW w:w="851" w:type="dxa"/>
            <w:tcBorders>
              <w:top w:val="nil"/>
              <w:left w:val="nil"/>
              <w:bottom w:val="single" w:sz="4" w:space="0" w:color="auto"/>
              <w:right w:val="single" w:sz="4" w:space="0" w:color="auto"/>
            </w:tcBorders>
            <w:shd w:val="clear" w:color="auto" w:fill="auto"/>
            <w:noWrap/>
            <w:vAlign w:val="center"/>
            <w:hideMark/>
          </w:tcPr>
          <w:p w14:paraId="645AD637" w14:textId="77777777" w:rsidR="003A7510" w:rsidRPr="002D3103" w:rsidRDefault="003A7510" w:rsidP="00AF60AA">
            <w:pPr>
              <w:spacing w:after="0" w:line="240" w:lineRule="auto"/>
              <w:jc w:val="right"/>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3</w:t>
            </w:r>
          </w:p>
        </w:tc>
        <w:tc>
          <w:tcPr>
            <w:tcW w:w="1134" w:type="dxa"/>
            <w:tcBorders>
              <w:top w:val="nil"/>
              <w:left w:val="nil"/>
              <w:bottom w:val="single" w:sz="4" w:space="0" w:color="auto"/>
              <w:right w:val="single" w:sz="4" w:space="0" w:color="auto"/>
            </w:tcBorders>
            <w:shd w:val="clear" w:color="auto" w:fill="auto"/>
            <w:noWrap/>
            <w:vAlign w:val="center"/>
            <w:hideMark/>
          </w:tcPr>
          <w:p w14:paraId="0BD8E675" w14:textId="102D0A23" w:rsidR="003A7510" w:rsidRPr="002D3103" w:rsidRDefault="00483287" w:rsidP="00AF60A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2D3103" w:rsidRPr="002D3103" w14:paraId="309A7FC2" w14:textId="77777777" w:rsidTr="002D3103">
        <w:trPr>
          <w:trHeight w:val="34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AE4C7B" w14:textId="77777777" w:rsidR="003A7510" w:rsidRPr="002D3103" w:rsidRDefault="003A7510"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Starptautiskā CIDESCO Rīgas Kosmētikas skola</w:t>
            </w:r>
          </w:p>
        </w:tc>
        <w:tc>
          <w:tcPr>
            <w:tcW w:w="2551" w:type="dxa"/>
            <w:tcBorders>
              <w:top w:val="nil"/>
              <w:left w:val="nil"/>
              <w:bottom w:val="single" w:sz="4" w:space="0" w:color="auto"/>
              <w:right w:val="single" w:sz="4" w:space="0" w:color="auto"/>
            </w:tcBorders>
            <w:shd w:val="clear" w:color="auto" w:fill="auto"/>
            <w:noWrap/>
            <w:vAlign w:val="center"/>
            <w:hideMark/>
          </w:tcPr>
          <w:p w14:paraId="68B905B7" w14:textId="77777777" w:rsidR="003A7510" w:rsidRPr="002D3103" w:rsidRDefault="003A7510"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Profesionālā vidējā izglītība</w:t>
            </w:r>
          </w:p>
        </w:tc>
        <w:tc>
          <w:tcPr>
            <w:tcW w:w="1276" w:type="dxa"/>
            <w:tcBorders>
              <w:top w:val="nil"/>
              <w:left w:val="nil"/>
              <w:bottom w:val="single" w:sz="4" w:space="0" w:color="auto"/>
              <w:right w:val="single" w:sz="4" w:space="0" w:color="auto"/>
            </w:tcBorders>
            <w:shd w:val="clear" w:color="auto" w:fill="auto"/>
            <w:noWrap/>
            <w:vAlign w:val="center"/>
            <w:hideMark/>
          </w:tcPr>
          <w:p w14:paraId="1D1D2136" w14:textId="77777777" w:rsidR="003A7510" w:rsidRPr="002D3103" w:rsidRDefault="003A7510" w:rsidP="00AF60AA">
            <w:pPr>
              <w:spacing w:after="0" w:line="240" w:lineRule="auto"/>
              <w:jc w:val="right"/>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35b</w:t>
            </w:r>
          </w:p>
        </w:tc>
        <w:tc>
          <w:tcPr>
            <w:tcW w:w="2977" w:type="dxa"/>
            <w:tcBorders>
              <w:top w:val="nil"/>
              <w:left w:val="nil"/>
              <w:bottom w:val="single" w:sz="4" w:space="0" w:color="auto"/>
              <w:right w:val="single" w:sz="4" w:space="0" w:color="auto"/>
            </w:tcBorders>
            <w:shd w:val="clear" w:color="auto" w:fill="auto"/>
            <w:noWrap/>
            <w:vAlign w:val="center"/>
            <w:hideMark/>
          </w:tcPr>
          <w:p w14:paraId="018FE565" w14:textId="77777777" w:rsidR="003A7510" w:rsidRPr="002D3103" w:rsidRDefault="003A7510"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Kosmetoloģija</w:t>
            </w:r>
          </w:p>
        </w:tc>
        <w:tc>
          <w:tcPr>
            <w:tcW w:w="2693" w:type="dxa"/>
            <w:tcBorders>
              <w:top w:val="nil"/>
              <w:left w:val="nil"/>
              <w:bottom w:val="single" w:sz="4" w:space="0" w:color="auto"/>
              <w:right w:val="single" w:sz="4" w:space="0" w:color="auto"/>
            </w:tcBorders>
            <w:shd w:val="clear" w:color="auto" w:fill="auto"/>
            <w:noWrap/>
            <w:vAlign w:val="center"/>
            <w:hideMark/>
          </w:tcPr>
          <w:p w14:paraId="085FFFD4" w14:textId="77777777" w:rsidR="003A7510" w:rsidRPr="002D3103" w:rsidRDefault="003A7510"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Kosmētiķis</w:t>
            </w:r>
          </w:p>
        </w:tc>
        <w:tc>
          <w:tcPr>
            <w:tcW w:w="851" w:type="dxa"/>
            <w:tcBorders>
              <w:top w:val="nil"/>
              <w:left w:val="nil"/>
              <w:bottom w:val="single" w:sz="4" w:space="0" w:color="auto"/>
              <w:right w:val="single" w:sz="4" w:space="0" w:color="auto"/>
            </w:tcBorders>
            <w:shd w:val="clear" w:color="auto" w:fill="auto"/>
            <w:noWrap/>
            <w:vAlign w:val="center"/>
            <w:hideMark/>
          </w:tcPr>
          <w:p w14:paraId="65E61AF7" w14:textId="77777777" w:rsidR="003A7510" w:rsidRPr="002D3103" w:rsidRDefault="003A7510" w:rsidP="00AF60AA">
            <w:pPr>
              <w:spacing w:after="0" w:line="240" w:lineRule="auto"/>
              <w:jc w:val="right"/>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14:paraId="47A56EDA" w14:textId="77777777" w:rsidR="003A7510" w:rsidRPr="002D3103" w:rsidRDefault="003A7510" w:rsidP="00AF60AA">
            <w:pPr>
              <w:spacing w:after="0" w:line="240" w:lineRule="auto"/>
              <w:jc w:val="right"/>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56</w:t>
            </w:r>
          </w:p>
        </w:tc>
      </w:tr>
      <w:tr w:rsidR="002D3103" w:rsidRPr="002D3103" w14:paraId="32FF4A59" w14:textId="77777777" w:rsidTr="002D3103">
        <w:trPr>
          <w:trHeight w:val="34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223F1CC" w14:textId="77777777" w:rsidR="003A7510" w:rsidRPr="002D3103" w:rsidRDefault="003A7510"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Profesionālā stilistu skola</w:t>
            </w:r>
          </w:p>
        </w:tc>
        <w:tc>
          <w:tcPr>
            <w:tcW w:w="2551" w:type="dxa"/>
            <w:tcBorders>
              <w:top w:val="nil"/>
              <w:left w:val="nil"/>
              <w:bottom w:val="single" w:sz="4" w:space="0" w:color="auto"/>
              <w:right w:val="single" w:sz="4" w:space="0" w:color="auto"/>
            </w:tcBorders>
            <w:shd w:val="clear" w:color="auto" w:fill="auto"/>
            <w:noWrap/>
            <w:vAlign w:val="center"/>
            <w:hideMark/>
          </w:tcPr>
          <w:p w14:paraId="27FFDB0E" w14:textId="77777777" w:rsidR="003A7510" w:rsidRPr="002D3103" w:rsidRDefault="003A7510"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Profesionālā vidējā izglītība</w:t>
            </w:r>
          </w:p>
        </w:tc>
        <w:tc>
          <w:tcPr>
            <w:tcW w:w="1276" w:type="dxa"/>
            <w:tcBorders>
              <w:top w:val="nil"/>
              <w:left w:val="nil"/>
              <w:bottom w:val="single" w:sz="4" w:space="0" w:color="auto"/>
              <w:right w:val="single" w:sz="4" w:space="0" w:color="auto"/>
            </w:tcBorders>
            <w:shd w:val="clear" w:color="auto" w:fill="auto"/>
            <w:noWrap/>
            <w:vAlign w:val="center"/>
            <w:hideMark/>
          </w:tcPr>
          <w:p w14:paraId="1D83678D" w14:textId="77777777" w:rsidR="003A7510" w:rsidRPr="002D3103" w:rsidRDefault="003A7510" w:rsidP="00AF60AA">
            <w:pPr>
              <w:spacing w:after="0" w:line="240" w:lineRule="auto"/>
              <w:jc w:val="right"/>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35b</w:t>
            </w:r>
          </w:p>
        </w:tc>
        <w:tc>
          <w:tcPr>
            <w:tcW w:w="2977" w:type="dxa"/>
            <w:tcBorders>
              <w:top w:val="nil"/>
              <w:left w:val="nil"/>
              <w:bottom w:val="single" w:sz="4" w:space="0" w:color="auto"/>
              <w:right w:val="single" w:sz="4" w:space="0" w:color="auto"/>
            </w:tcBorders>
            <w:shd w:val="clear" w:color="auto" w:fill="auto"/>
            <w:noWrap/>
            <w:vAlign w:val="center"/>
            <w:hideMark/>
          </w:tcPr>
          <w:p w14:paraId="5528604B" w14:textId="77777777" w:rsidR="003A7510" w:rsidRPr="002D3103" w:rsidRDefault="003A7510"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Skaistumkopšanas pakalpojumi</w:t>
            </w:r>
          </w:p>
        </w:tc>
        <w:tc>
          <w:tcPr>
            <w:tcW w:w="2693" w:type="dxa"/>
            <w:tcBorders>
              <w:top w:val="nil"/>
              <w:left w:val="nil"/>
              <w:bottom w:val="single" w:sz="4" w:space="0" w:color="auto"/>
              <w:right w:val="single" w:sz="4" w:space="0" w:color="auto"/>
            </w:tcBorders>
            <w:shd w:val="clear" w:color="auto" w:fill="auto"/>
            <w:noWrap/>
            <w:vAlign w:val="center"/>
            <w:hideMark/>
          </w:tcPr>
          <w:p w14:paraId="0902EF72" w14:textId="77777777" w:rsidR="003A7510" w:rsidRPr="002D3103" w:rsidRDefault="003A7510"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Vizuālā tēla stilists</w:t>
            </w:r>
          </w:p>
        </w:tc>
        <w:tc>
          <w:tcPr>
            <w:tcW w:w="851" w:type="dxa"/>
            <w:tcBorders>
              <w:top w:val="nil"/>
              <w:left w:val="nil"/>
              <w:bottom w:val="single" w:sz="4" w:space="0" w:color="auto"/>
              <w:right w:val="single" w:sz="4" w:space="0" w:color="auto"/>
            </w:tcBorders>
            <w:shd w:val="clear" w:color="auto" w:fill="auto"/>
            <w:noWrap/>
            <w:vAlign w:val="center"/>
            <w:hideMark/>
          </w:tcPr>
          <w:p w14:paraId="50A8A5DB" w14:textId="07D6045A" w:rsidR="003A7510" w:rsidRPr="002D3103" w:rsidRDefault="00483287" w:rsidP="00AF60A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14:paraId="70EF9A4C" w14:textId="79B70909" w:rsidR="003A7510" w:rsidRPr="002D3103" w:rsidRDefault="00483287" w:rsidP="00AF60A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2D3103" w:rsidRPr="002D3103" w14:paraId="7CF15604" w14:textId="77777777" w:rsidTr="002D3103">
        <w:trPr>
          <w:trHeight w:val="340"/>
        </w:trPr>
        <w:tc>
          <w:tcPr>
            <w:tcW w:w="31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D4122D" w14:textId="77777777" w:rsidR="003A7510" w:rsidRPr="002D3103" w:rsidRDefault="003A7510"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Profesionālā vidusskola "Victoria"</w:t>
            </w:r>
          </w:p>
        </w:tc>
        <w:tc>
          <w:tcPr>
            <w:tcW w:w="2551" w:type="dxa"/>
            <w:tcBorders>
              <w:top w:val="nil"/>
              <w:left w:val="nil"/>
              <w:bottom w:val="single" w:sz="4" w:space="0" w:color="auto"/>
              <w:right w:val="single" w:sz="4" w:space="0" w:color="auto"/>
            </w:tcBorders>
            <w:shd w:val="clear" w:color="auto" w:fill="auto"/>
            <w:noWrap/>
            <w:vAlign w:val="center"/>
            <w:hideMark/>
          </w:tcPr>
          <w:p w14:paraId="10C9F3A9" w14:textId="77777777" w:rsidR="003A7510" w:rsidRPr="002D3103" w:rsidRDefault="003A7510"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Profesionālā vidējā izglītība</w:t>
            </w:r>
          </w:p>
        </w:tc>
        <w:tc>
          <w:tcPr>
            <w:tcW w:w="1276" w:type="dxa"/>
            <w:tcBorders>
              <w:top w:val="nil"/>
              <w:left w:val="nil"/>
              <w:bottom w:val="single" w:sz="4" w:space="0" w:color="auto"/>
              <w:right w:val="single" w:sz="4" w:space="0" w:color="auto"/>
            </w:tcBorders>
            <w:shd w:val="clear" w:color="auto" w:fill="auto"/>
            <w:noWrap/>
            <w:vAlign w:val="center"/>
            <w:hideMark/>
          </w:tcPr>
          <w:p w14:paraId="2E954D6C" w14:textId="77777777" w:rsidR="003A7510" w:rsidRPr="002D3103" w:rsidRDefault="003A7510" w:rsidP="00AF60AA">
            <w:pPr>
              <w:spacing w:after="0" w:line="240" w:lineRule="auto"/>
              <w:jc w:val="right"/>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33</w:t>
            </w:r>
          </w:p>
        </w:tc>
        <w:tc>
          <w:tcPr>
            <w:tcW w:w="2977" w:type="dxa"/>
            <w:tcBorders>
              <w:top w:val="nil"/>
              <w:left w:val="nil"/>
              <w:bottom w:val="single" w:sz="4" w:space="0" w:color="auto"/>
              <w:right w:val="single" w:sz="4" w:space="0" w:color="auto"/>
            </w:tcBorders>
            <w:shd w:val="clear" w:color="auto" w:fill="auto"/>
            <w:noWrap/>
            <w:vAlign w:val="center"/>
            <w:hideMark/>
          </w:tcPr>
          <w:p w14:paraId="30C7F676" w14:textId="77777777" w:rsidR="003A7510" w:rsidRPr="002D3103" w:rsidRDefault="003A7510"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Administratīvie un sekretāra pakalpojumi</w:t>
            </w:r>
          </w:p>
        </w:tc>
        <w:tc>
          <w:tcPr>
            <w:tcW w:w="2693" w:type="dxa"/>
            <w:tcBorders>
              <w:top w:val="nil"/>
              <w:left w:val="nil"/>
              <w:bottom w:val="single" w:sz="4" w:space="0" w:color="auto"/>
              <w:right w:val="single" w:sz="4" w:space="0" w:color="auto"/>
            </w:tcBorders>
            <w:shd w:val="clear" w:color="auto" w:fill="auto"/>
            <w:noWrap/>
            <w:vAlign w:val="center"/>
            <w:hideMark/>
          </w:tcPr>
          <w:p w14:paraId="0246D8A0" w14:textId="77777777" w:rsidR="003A7510" w:rsidRPr="002D3103" w:rsidRDefault="003A7510"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Klientu apkalpošanas speciālists</w:t>
            </w:r>
          </w:p>
        </w:tc>
        <w:tc>
          <w:tcPr>
            <w:tcW w:w="851" w:type="dxa"/>
            <w:tcBorders>
              <w:top w:val="nil"/>
              <w:left w:val="nil"/>
              <w:bottom w:val="single" w:sz="4" w:space="0" w:color="auto"/>
              <w:right w:val="single" w:sz="4" w:space="0" w:color="auto"/>
            </w:tcBorders>
            <w:shd w:val="clear" w:color="auto" w:fill="auto"/>
            <w:noWrap/>
            <w:vAlign w:val="center"/>
            <w:hideMark/>
          </w:tcPr>
          <w:p w14:paraId="72F117BC" w14:textId="77777777" w:rsidR="003A7510" w:rsidRPr="002D3103" w:rsidRDefault="003A7510" w:rsidP="00AF60AA">
            <w:pPr>
              <w:spacing w:after="0" w:line="240" w:lineRule="auto"/>
              <w:jc w:val="right"/>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14:paraId="26288E8C" w14:textId="76B03EB0" w:rsidR="003A7510" w:rsidRPr="002D3103" w:rsidRDefault="00483287" w:rsidP="00AF60A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r>
      <w:tr w:rsidR="002D3103" w:rsidRPr="002D3103" w14:paraId="2B22A742" w14:textId="77777777" w:rsidTr="002D3103">
        <w:trPr>
          <w:trHeight w:val="340"/>
        </w:trPr>
        <w:tc>
          <w:tcPr>
            <w:tcW w:w="3114" w:type="dxa"/>
            <w:vMerge/>
            <w:tcBorders>
              <w:top w:val="nil"/>
              <w:left w:val="single" w:sz="4" w:space="0" w:color="auto"/>
              <w:bottom w:val="single" w:sz="4" w:space="0" w:color="auto"/>
              <w:right w:val="single" w:sz="4" w:space="0" w:color="auto"/>
            </w:tcBorders>
            <w:vAlign w:val="center"/>
            <w:hideMark/>
          </w:tcPr>
          <w:p w14:paraId="517DCA64" w14:textId="77777777" w:rsidR="003A7510" w:rsidRPr="002D3103" w:rsidRDefault="003A7510" w:rsidP="00AF60AA">
            <w:pPr>
              <w:spacing w:after="0" w:line="240" w:lineRule="auto"/>
              <w:rPr>
                <w:rFonts w:ascii="Times New Roman" w:eastAsia="Times New Roman" w:hAnsi="Times New Roman" w:cs="Times New Roman"/>
                <w:sz w:val="20"/>
                <w:szCs w:val="20"/>
              </w:rPr>
            </w:pPr>
          </w:p>
        </w:tc>
        <w:tc>
          <w:tcPr>
            <w:tcW w:w="2551" w:type="dxa"/>
            <w:tcBorders>
              <w:top w:val="nil"/>
              <w:left w:val="nil"/>
              <w:bottom w:val="single" w:sz="4" w:space="0" w:color="auto"/>
              <w:right w:val="single" w:sz="4" w:space="0" w:color="auto"/>
            </w:tcBorders>
            <w:shd w:val="clear" w:color="auto" w:fill="auto"/>
            <w:noWrap/>
            <w:vAlign w:val="center"/>
            <w:hideMark/>
          </w:tcPr>
          <w:p w14:paraId="61CA50BE" w14:textId="77777777" w:rsidR="003A7510" w:rsidRPr="002D3103" w:rsidRDefault="003A7510"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 Profesionālā vidējā izglītība</w:t>
            </w:r>
          </w:p>
        </w:tc>
        <w:tc>
          <w:tcPr>
            <w:tcW w:w="1276" w:type="dxa"/>
            <w:tcBorders>
              <w:top w:val="nil"/>
              <w:left w:val="nil"/>
              <w:bottom w:val="single" w:sz="4" w:space="0" w:color="auto"/>
              <w:right w:val="single" w:sz="4" w:space="0" w:color="auto"/>
            </w:tcBorders>
            <w:shd w:val="clear" w:color="auto" w:fill="auto"/>
            <w:noWrap/>
            <w:vAlign w:val="center"/>
            <w:hideMark/>
          </w:tcPr>
          <w:p w14:paraId="298870E0" w14:textId="77777777" w:rsidR="003A7510" w:rsidRPr="002D3103" w:rsidRDefault="003A7510" w:rsidP="00AF60AA">
            <w:pPr>
              <w:spacing w:after="0" w:line="240" w:lineRule="auto"/>
              <w:jc w:val="right"/>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33</w:t>
            </w:r>
          </w:p>
        </w:tc>
        <w:tc>
          <w:tcPr>
            <w:tcW w:w="2977" w:type="dxa"/>
            <w:tcBorders>
              <w:top w:val="nil"/>
              <w:left w:val="nil"/>
              <w:bottom w:val="single" w:sz="4" w:space="0" w:color="auto"/>
              <w:right w:val="single" w:sz="4" w:space="0" w:color="auto"/>
            </w:tcBorders>
            <w:shd w:val="clear" w:color="auto" w:fill="auto"/>
            <w:noWrap/>
            <w:vAlign w:val="center"/>
            <w:hideMark/>
          </w:tcPr>
          <w:p w14:paraId="725F11C5" w14:textId="77777777" w:rsidR="003A7510" w:rsidRPr="002D3103" w:rsidRDefault="003A7510"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Banku zinības un finanses</w:t>
            </w:r>
          </w:p>
        </w:tc>
        <w:tc>
          <w:tcPr>
            <w:tcW w:w="2693" w:type="dxa"/>
            <w:tcBorders>
              <w:top w:val="nil"/>
              <w:left w:val="nil"/>
              <w:bottom w:val="single" w:sz="4" w:space="0" w:color="auto"/>
              <w:right w:val="single" w:sz="4" w:space="0" w:color="auto"/>
            </w:tcBorders>
            <w:shd w:val="clear" w:color="auto" w:fill="auto"/>
            <w:noWrap/>
            <w:vAlign w:val="center"/>
            <w:hideMark/>
          </w:tcPr>
          <w:p w14:paraId="4439AEF3" w14:textId="77777777" w:rsidR="003A7510" w:rsidRPr="002D3103" w:rsidRDefault="003A7510"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Finanšu darbinieks</w:t>
            </w:r>
          </w:p>
        </w:tc>
        <w:tc>
          <w:tcPr>
            <w:tcW w:w="851" w:type="dxa"/>
            <w:tcBorders>
              <w:top w:val="nil"/>
              <w:left w:val="nil"/>
              <w:bottom w:val="single" w:sz="4" w:space="0" w:color="auto"/>
              <w:right w:val="single" w:sz="4" w:space="0" w:color="auto"/>
            </w:tcBorders>
            <w:shd w:val="clear" w:color="auto" w:fill="auto"/>
            <w:noWrap/>
            <w:vAlign w:val="center"/>
            <w:hideMark/>
          </w:tcPr>
          <w:p w14:paraId="73F967D5" w14:textId="77777777" w:rsidR="003A7510" w:rsidRPr="002D3103" w:rsidRDefault="003A7510" w:rsidP="00AF60AA">
            <w:pPr>
              <w:spacing w:after="0" w:line="240" w:lineRule="auto"/>
              <w:jc w:val="right"/>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14:paraId="42114220" w14:textId="602B8BCF" w:rsidR="003A7510" w:rsidRPr="002D3103" w:rsidRDefault="00483287" w:rsidP="00AF60A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r>
      <w:tr w:rsidR="002D3103" w:rsidRPr="002D3103" w14:paraId="4CE01425" w14:textId="77777777" w:rsidTr="00B71CDE">
        <w:trPr>
          <w:trHeight w:val="340"/>
        </w:trPr>
        <w:tc>
          <w:tcPr>
            <w:tcW w:w="3114" w:type="dxa"/>
            <w:vMerge/>
            <w:tcBorders>
              <w:top w:val="nil"/>
              <w:left w:val="single" w:sz="4" w:space="0" w:color="auto"/>
              <w:bottom w:val="single" w:sz="4" w:space="0" w:color="auto"/>
              <w:right w:val="single" w:sz="4" w:space="0" w:color="auto"/>
            </w:tcBorders>
            <w:vAlign w:val="center"/>
            <w:hideMark/>
          </w:tcPr>
          <w:p w14:paraId="6B775C73" w14:textId="77777777" w:rsidR="003A7510" w:rsidRPr="002D3103" w:rsidRDefault="003A7510" w:rsidP="00AF60AA">
            <w:pPr>
              <w:spacing w:after="0" w:line="240" w:lineRule="auto"/>
              <w:rPr>
                <w:rFonts w:ascii="Times New Roman" w:eastAsia="Times New Roman" w:hAnsi="Times New Roman" w:cs="Times New Roman"/>
                <w:sz w:val="20"/>
                <w:szCs w:val="20"/>
              </w:rPr>
            </w:pPr>
          </w:p>
        </w:tc>
        <w:tc>
          <w:tcPr>
            <w:tcW w:w="2551" w:type="dxa"/>
            <w:tcBorders>
              <w:top w:val="nil"/>
              <w:left w:val="nil"/>
              <w:bottom w:val="single" w:sz="4" w:space="0" w:color="auto"/>
              <w:right w:val="single" w:sz="4" w:space="0" w:color="auto"/>
            </w:tcBorders>
            <w:shd w:val="clear" w:color="auto" w:fill="auto"/>
            <w:noWrap/>
            <w:vAlign w:val="center"/>
            <w:hideMark/>
          </w:tcPr>
          <w:p w14:paraId="5D22A0EF" w14:textId="77777777" w:rsidR="003A7510" w:rsidRPr="002D3103" w:rsidRDefault="003A7510"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 Profesionālā vidējā izglītība</w:t>
            </w:r>
          </w:p>
        </w:tc>
        <w:tc>
          <w:tcPr>
            <w:tcW w:w="1276" w:type="dxa"/>
            <w:tcBorders>
              <w:top w:val="nil"/>
              <w:left w:val="nil"/>
              <w:bottom w:val="single" w:sz="4" w:space="0" w:color="auto"/>
              <w:right w:val="single" w:sz="4" w:space="0" w:color="auto"/>
            </w:tcBorders>
            <w:shd w:val="clear" w:color="auto" w:fill="auto"/>
            <w:noWrap/>
            <w:vAlign w:val="center"/>
            <w:hideMark/>
          </w:tcPr>
          <w:p w14:paraId="1484E617" w14:textId="77777777" w:rsidR="003A7510" w:rsidRPr="002D3103" w:rsidRDefault="003A7510" w:rsidP="00AF60AA">
            <w:pPr>
              <w:spacing w:after="0" w:line="240" w:lineRule="auto"/>
              <w:jc w:val="right"/>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33</w:t>
            </w:r>
          </w:p>
        </w:tc>
        <w:tc>
          <w:tcPr>
            <w:tcW w:w="2977" w:type="dxa"/>
            <w:tcBorders>
              <w:top w:val="nil"/>
              <w:left w:val="nil"/>
              <w:bottom w:val="single" w:sz="4" w:space="0" w:color="auto"/>
              <w:right w:val="single" w:sz="4" w:space="0" w:color="auto"/>
            </w:tcBorders>
            <w:shd w:val="clear" w:color="auto" w:fill="92D050"/>
            <w:noWrap/>
            <w:vAlign w:val="center"/>
            <w:hideMark/>
          </w:tcPr>
          <w:p w14:paraId="497BBE19" w14:textId="77777777" w:rsidR="003A7510" w:rsidRPr="002D3103" w:rsidRDefault="003A7510"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Interjera dizains</w:t>
            </w:r>
          </w:p>
        </w:tc>
        <w:tc>
          <w:tcPr>
            <w:tcW w:w="2693" w:type="dxa"/>
            <w:tcBorders>
              <w:top w:val="nil"/>
              <w:left w:val="nil"/>
              <w:bottom w:val="single" w:sz="4" w:space="0" w:color="auto"/>
              <w:right w:val="single" w:sz="4" w:space="0" w:color="auto"/>
            </w:tcBorders>
            <w:shd w:val="clear" w:color="auto" w:fill="auto"/>
            <w:noWrap/>
            <w:vAlign w:val="center"/>
            <w:hideMark/>
          </w:tcPr>
          <w:p w14:paraId="2B389256" w14:textId="77777777" w:rsidR="003A7510" w:rsidRPr="002D3103" w:rsidRDefault="003A7510"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Interjera dizaina speciālists</w:t>
            </w:r>
          </w:p>
        </w:tc>
        <w:tc>
          <w:tcPr>
            <w:tcW w:w="851" w:type="dxa"/>
            <w:tcBorders>
              <w:top w:val="nil"/>
              <w:left w:val="nil"/>
              <w:bottom w:val="single" w:sz="4" w:space="0" w:color="auto"/>
              <w:right w:val="single" w:sz="4" w:space="0" w:color="auto"/>
            </w:tcBorders>
            <w:shd w:val="clear" w:color="auto" w:fill="auto"/>
            <w:noWrap/>
            <w:vAlign w:val="center"/>
            <w:hideMark/>
          </w:tcPr>
          <w:p w14:paraId="3452AB22" w14:textId="77777777" w:rsidR="003A7510" w:rsidRPr="002D3103" w:rsidRDefault="003A7510" w:rsidP="00AF60AA">
            <w:pPr>
              <w:spacing w:after="0" w:line="240" w:lineRule="auto"/>
              <w:jc w:val="right"/>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14:paraId="627C128A" w14:textId="77777777" w:rsidR="003A7510" w:rsidRPr="002D3103" w:rsidRDefault="003A7510" w:rsidP="00AF60AA">
            <w:pPr>
              <w:spacing w:after="0" w:line="240" w:lineRule="auto"/>
              <w:jc w:val="right"/>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17</w:t>
            </w:r>
          </w:p>
        </w:tc>
      </w:tr>
      <w:tr w:rsidR="002D3103" w:rsidRPr="002D3103" w14:paraId="7F37323B" w14:textId="77777777" w:rsidTr="00B71CDE">
        <w:trPr>
          <w:trHeight w:val="340"/>
        </w:trPr>
        <w:tc>
          <w:tcPr>
            <w:tcW w:w="3114" w:type="dxa"/>
            <w:vMerge/>
            <w:tcBorders>
              <w:top w:val="nil"/>
              <w:left w:val="single" w:sz="4" w:space="0" w:color="auto"/>
              <w:bottom w:val="single" w:sz="4" w:space="0" w:color="auto"/>
              <w:right w:val="single" w:sz="4" w:space="0" w:color="auto"/>
            </w:tcBorders>
            <w:vAlign w:val="center"/>
            <w:hideMark/>
          </w:tcPr>
          <w:p w14:paraId="4B71AB61" w14:textId="77777777" w:rsidR="003A7510" w:rsidRPr="002D3103" w:rsidRDefault="003A7510" w:rsidP="00AF60AA">
            <w:pPr>
              <w:spacing w:after="0" w:line="240" w:lineRule="auto"/>
              <w:rPr>
                <w:rFonts w:ascii="Times New Roman" w:eastAsia="Times New Roman" w:hAnsi="Times New Roman" w:cs="Times New Roman"/>
                <w:sz w:val="20"/>
                <w:szCs w:val="20"/>
              </w:rPr>
            </w:pPr>
          </w:p>
        </w:tc>
        <w:tc>
          <w:tcPr>
            <w:tcW w:w="2551" w:type="dxa"/>
            <w:tcBorders>
              <w:top w:val="nil"/>
              <w:left w:val="nil"/>
              <w:bottom w:val="single" w:sz="4" w:space="0" w:color="auto"/>
              <w:right w:val="single" w:sz="4" w:space="0" w:color="auto"/>
            </w:tcBorders>
            <w:shd w:val="clear" w:color="auto" w:fill="auto"/>
            <w:noWrap/>
            <w:vAlign w:val="center"/>
            <w:hideMark/>
          </w:tcPr>
          <w:p w14:paraId="62C87D35" w14:textId="77777777" w:rsidR="003A7510" w:rsidRPr="002D3103" w:rsidRDefault="003A7510"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 Profesionālā vidējā izglītība</w:t>
            </w:r>
          </w:p>
        </w:tc>
        <w:tc>
          <w:tcPr>
            <w:tcW w:w="1276" w:type="dxa"/>
            <w:tcBorders>
              <w:top w:val="nil"/>
              <w:left w:val="nil"/>
              <w:bottom w:val="single" w:sz="4" w:space="0" w:color="auto"/>
              <w:right w:val="single" w:sz="4" w:space="0" w:color="auto"/>
            </w:tcBorders>
            <w:shd w:val="clear" w:color="auto" w:fill="auto"/>
            <w:noWrap/>
            <w:vAlign w:val="center"/>
            <w:hideMark/>
          </w:tcPr>
          <w:p w14:paraId="40783358" w14:textId="77777777" w:rsidR="003A7510" w:rsidRPr="002D3103" w:rsidRDefault="003A7510" w:rsidP="00AF60AA">
            <w:pPr>
              <w:spacing w:after="0" w:line="240" w:lineRule="auto"/>
              <w:jc w:val="right"/>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33</w:t>
            </w:r>
          </w:p>
        </w:tc>
        <w:tc>
          <w:tcPr>
            <w:tcW w:w="2977" w:type="dxa"/>
            <w:tcBorders>
              <w:top w:val="nil"/>
              <w:left w:val="nil"/>
              <w:bottom w:val="single" w:sz="4" w:space="0" w:color="auto"/>
              <w:right w:val="single" w:sz="4" w:space="0" w:color="auto"/>
            </w:tcBorders>
            <w:shd w:val="clear" w:color="auto" w:fill="92D050"/>
            <w:noWrap/>
            <w:vAlign w:val="center"/>
            <w:hideMark/>
          </w:tcPr>
          <w:p w14:paraId="5E568FAF" w14:textId="77777777" w:rsidR="003A7510" w:rsidRPr="002D3103" w:rsidRDefault="003A7510"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Multimediju dizains</w:t>
            </w:r>
          </w:p>
        </w:tc>
        <w:tc>
          <w:tcPr>
            <w:tcW w:w="2693" w:type="dxa"/>
            <w:tcBorders>
              <w:top w:val="nil"/>
              <w:left w:val="nil"/>
              <w:bottom w:val="single" w:sz="4" w:space="0" w:color="auto"/>
              <w:right w:val="single" w:sz="4" w:space="0" w:color="auto"/>
            </w:tcBorders>
            <w:shd w:val="clear" w:color="auto" w:fill="auto"/>
            <w:noWrap/>
            <w:vAlign w:val="center"/>
            <w:hideMark/>
          </w:tcPr>
          <w:p w14:paraId="39D308D0" w14:textId="77777777" w:rsidR="003A7510" w:rsidRPr="002D3103" w:rsidRDefault="003A7510"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Multimediju dizaina speciālists</w:t>
            </w:r>
          </w:p>
        </w:tc>
        <w:tc>
          <w:tcPr>
            <w:tcW w:w="851" w:type="dxa"/>
            <w:tcBorders>
              <w:top w:val="nil"/>
              <w:left w:val="nil"/>
              <w:bottom w:val="single" w:sz="4" w:space="0" w:color="auto"/>
              <w:right w:val="single" w:sz="4" w:space="0" w:color="auto"/>
            </w:tcBorders>
            <w:shd w:val="clear" w:color="auto" w:fill="auto"/>
            <w:noWrap/>
            <w:vAlign w:val="center"/>
            <w:hideMark/>
          </w:tcPr>
          <w:p w14:paraId="7005DE0A" w14:textId="77777777" w:rsidR="003A7510" w:rsidRPr="002D3103" w:rsidRDefault="003A7510" w:rsidP="00AF60AA">
            <w:pPr>
              <w:spacing w:after="0" w:line="240" w:lineRule="auto"/>
              <w:jc w:val="right"/>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14:paraId="2C24149A" w14:textId="59BC593E" w:rsidR="003A7510" w:rsidRPr="002D3103" w:rsidRDefault="00483287" w:rsidP="00AF60A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r>
      <w:tr w:rsidR="002D3103" w:rsidRPr="002D3103" w14:paraId="3D1D5ED3" w14:textId="77777777" w:rsidTr="00B71CDE">
        <w:trPr>
          <w:trHeight w:val="340"/>
        </w:trPr>
        <w:tc>
          <w:tcPr>
            <w:tcW w:w="3114" w:type="dxa"/>
            <w:vMerge/>
            <w:tcBorders>
              <w:top w:val="nil"/>
              <w:left w:val="single" w:sz="4" w:space="0" w:color="auto"/>
              <w:bottom w:val="single" w:sz="4" w:space="0" w:color="auto"/>
              <w:right w:val="single" w:sz="4" w:space="0" w:color="auto"/>
            </w:tcBorders>
            <w:vAlign w:val="center"/>
            <w:hideMark/>
          </w:tcPr>
          <w:p w14:paraId="038EFCEB" w14:textId="77777777" w:rsidR="003A7510" w:rsidRPr="002D3103" w:rsidRDefault="003A7510" w:rsidP="00AF60AA">
            <w:pPr>
              <w:spacing w:after="0" w:line="240" w:lineRule="auto"/>
              <w:rPr>
                <w:rFonts w:ascii="Times New Roman" w:eastAsia="Times New Roman" w:hAnsi="Times New Roman" w:cs="Times New Roman"/>
                <w:sz w:val="20"/>
                <w:szCs w:val="20"/>
              </w:rPr>
            </w:pPr>
          </w:p>
        </w:tc>
        <w:tc>
          <w:tcPr>
            <w:tcW w:w="2551" w:type="dxa"/>
            <w:tcBorders>
              <w:top w:val="nil"/>
              <w:left w:val="nil"/>
              <w:bottom w:val="single" w:sz="4" w:space="0" w:color="auto"/>
              <w:right w:val="single" w:sz="4" w:space="0" w:color="auto"/>
            </w:tcBorders>
            <w:shd w:val="clear" w:color="auto" w:fill="auto"/>
            <w:noWrap/>
            <w:vAlign w:val="center"/>
            <w:hideMark/>
          </w:tcPr>
          <w:p w14:paraId="1F898409" w14:textId="77777777" w:rsidR="003A7510" w:rsidRPr="002D3103" w:rsidRDefault="003A7510"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 Profesionālā vidējā izglītība</w:t>
            </w:r>
          </w:p>
        </w:tc>
        <w:tc>
          <w:tcPr>
            <w:tcW w:w="1276" w:type="dxa"/>
            <w:tcBorders>
              <w:top w:val="nil"/>
              <w:left w:val="nil"/>
              <w:bottom w:val="single" w:sz="4" w:space="0" w:color="auto"/>
              <w:right w:val="single" w:sz="4" w:space="0" w:color="auto"/>
            </w:tcBorders>
            <w:shd w:val="clear" w:color="auto" w:fill="auto"/>
            <w:noWrap/>
            <w:vAlign w:val="center"/>
            <w:hideMark/>
          </w:tcPr>
          <w:p w14:paraId="799B1DBD" w14:textId="77777777" w:rsidR="003A7510" w:rsidRPr="002D3103" w:rsidRDefault="003A7510" w:rsidP="00AF60AA">
            <w:pPr>
              <w:spacing w:after="0" w:line="240" w:lineRule="auto"/>
              <w:jc w:val="right"/>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33</w:t>
            </w:r>
          </w:p>
        </w:tc>
        <w:tc>
          <w:tcPr>
            <w:tcW w:w="2977" w:type="dxa"/>
            <w:tcBorders>
              <w:top w:val="nil"/>
              <w:left w:val="nil"/>
              <w:bottom w:val="single" w:sz="4" w:space="0" w:color="auto"/>
              <w:right w:val="single" w:sz="4" w:space="0" w:color="auto"/>
            </w:tcBorders>
            <w:shd w:val="clear" w:color="auto" w:fill="92D050"/>
            <w:noWrap/>
            <w:vAlign w:val="center"/>
            <w:hideMark/>
          </w:tcPr>
          <w:p w14:paraId="4ED0DF02" w14:textId="77777777" w:rsidR="003A7510" w:rsidRPr="002D3103" w:rsidRDefault="003A7510"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Telemehānika un loģistika</w:t>
            </w:r>
          </w:p>
        </w:tc>
        <w:tc>
          <w:tcPr>
            <w:tcW w:w="2693" w:type="dxa"/>
            <w:tcBorders>
              <w:top w:val="nil"/>
              <w:left w:val="nil"/>
              <w:bottom w:val="single" w:sz="4" w:space="0" w:color="auto"/>
              <w:right w:val="single" w:sz="4" w:space="0" w:color="auto"/>
            </w:tcBorders>
            <w:shd w:val="clear" w:color="auto" w:fill="auto"/>
            <w:noWrap/>
            <w:vAlign w:val="center"/>
            <w:hideMark/>
          </w:tcPr>
          <w:p w14:paraId="3E08399A" w14:textId="77777777" w:rsidR="003A7510" w:rsidRPr="002D3103" w:rsidRDefault="003A7510"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Loģistikas darbinieks</w:t>
            </w:r>
          </w:p>
        </w:tc>
        <w:tc>
          <w:tcPr>
            <w:tcW w:w="851" w:type="dxa"/>
            <w:tcBorders>
              <w:top w:val="nil"/>
              <w:left w:val="nil"/>
              <w:bottom w:val="single" w:sz="4" w:space="0" w:color="auto"/>
              <w:right w:val="single" w:sz="4" w:space="0" w:color="auto"/>
            </w:tcBorders>
            <w:shd w:val="clear" w:color="auto" w:fill="auto"/>
            <w:noWrap/>
            <w:vAlign w:val="center"/>
            <w:hideMark/>
          </w:tcPr>
          <w:p w14:paraId="5C9695AC" w14:textId="77777777" w:rsidR="003A7510" w:rsidRPr="002D3103" w:rsidRDefault="003A7510" w:rsidP="00AF60AA">
            <w:pPr>
              <w:spacing w:after="0" w:line="240" w:lineRule="auto"/>
              <w:jc w:val="right"/>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14:paraId="17F8C153" w14:textId="28873A38" w:rsidR="003A7510" w:rsidRPr="002D3103" w:rsidRDefault="00483287" w:rsidP="00AF60A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r>
      <w:tr w:rsidR="002D3103" w:rsidRPr="002D3103" w14:paraId="5D2F0234" w14:textId="77777777" w:rsidTr="002D3103">
        <w:trPr>
          <w:trHeight w:val="340"/>
        </w:trPr>
        <w:tc>
          <w:tcPr>
            <w:tcW w:w="3114" w:type="dxa"/>
            <w:vMerge/>
            <w:tcBorders>
              <w:top w:val="nil"/>
              <w:left w:val="single" w:sz="4" w:space="0" w:color="auto"/>
              <w:bottom w:val="single" w:sz="4" w:space="0" w:color="auto"/>
              <w:right w:val="single" w:sz="4" w:space="0" w:color="auto"/>
            </w:tcBorders>
            <w:vAlign w:val="center"/>
            <w:hideMark/>
          </w:tcPr>
          <w:p w14:paraId="2ACB9E0B" w14:textId="77777777" w:rsidR="003A7510" w:rsidRPr="002D3103" w:rsidRDefault="003A7510" w:rsidP="00AF60AA">
            <w:pPr>
              <w:spacing w:after="0" w:line="240" w:lineRule="auto"/>
              <w:rPr>
                <w:rFonts w:ascii="Times New Roman" w:eastAsia="Times New Roman" w:hAnsi="Times New Roman" w:cs="Times New Roman"/>
                <w:sz w:val="20"/>
                <w:szCs w:val="20"/>
              </w:rPr>
            </w:pPr>
          </w:p>
        </w:tc>
        <w:tc>
          <w:tcPr>
            <w:tcW w:w="2551" w:type="dxa"/>
            <w:tcBorders>
              <w:top w:val="nil"/>
              <w:left w:val="nil"/>
              <w:bottom w:val="single" w:sz="4" w:space="0" w:color="auto"/>
              <w:right w:val="single" w:sz="4" w:space="0" w:color="auto"/>
            </w:tcBorders>
            <w:shd w:val="clear" w:color="auto" w:fill="auto"/>
            <w:noWrap/>
            <w:vAlign w:val="center"/>
            <w:hideMark/>
          </w:tcPr>
          <w:p w14:paraId="607ADA38" w14:textId="77777777" w:rsidR="003A7510" w:rsidRPr="002D3103" w:rsidRDefault="003A7510"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 Profesionālā vidējā izglītība</w:t>
            </w:r>
          </w:p>
        </w:tc>
        <w:tc>
          <w:tcPr>
            <w:tcW w:w="1276" w:type="dxa"/>
            <w:tcBorders>
              <w:top w:val="nil"/>
              <w:left w:val="nil"/>
              <w:bottom w:val="single" w:sz="4" w:space="0" w:color="auto"/>
              <w:right w:val="single" w:sz="4" w:space="0" w:color="auto"/>
            </w:tcBorders>
            <w:shd w:val="clear" w:color="auto" w:fill="auto"/>
            <w:noWrap/>
            <w:vAlign w:val="center"/>
            <w:hideMark/>
          </w:tcPr>
          <w:p w14:paraId="64128875" w14:textId="77777777" w:rsidR="003A7510" w:rsidRPr="002D3103" w:rsidRDefault="003A7510" w:rsidP="00AF60AA">
            <w:pPr>
              <w:spacing w:after="0" w:line="240" w:lineRule="auto"/>
              <w:jc w:val="right"/>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33</w:t>
            </w:r>
          </w:p>
        </w:tc>
        <w:tc>
          <w:tcPr>
            <w:tcW w:w="2977" w:type="dxa"/>
            <w:tcBorders>
              <w:top w:val="nil"/>
              <w:left w:val="nil"/>
              <w:bottom w:val="single" w:sz="4" w:space="0" w:color="auto"/>
              <w:right w:val="single" w:sz="4" w:space="0" w:color="auto"/>
            </w:tcBorders>
            <w:shd w:val="clear" w:color="auto" w:fill="auto"/>
            <w:noWrap/>
            <w:vAlign w:val="center"/>
            <w:hideMark/>
          </w:tcPr>
          <w:p w14:paraId="3609E2D8" w14:textId="77777777" w:rsidR="003A7510" w:rsidRPr="002D3103" w:rsidRDefault="003A7510"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Viesnīcu pakalpojumi</w:t>
            </w:r>
          </w:p>
        </w:tc>
        <w:tc>
          <w:tcPr>
            <w:tcW w:w="2693" w:type="dxa"/>
            <w:tcBorders>
              <w:top w:val="nil"/>
              <w:left w:val="nil"/>
              <w:bottom w:val="single" w:sz="4" w:space="0" w:color="auto"/>
              <w:right w:val="single" w:sz="4" w:space="0" w:color="auto"/>
            </w:tcBorders>
            <w:shd w:val="clear" w:color="auto" w:fill="auto"/>
            <w:noWrap/>
            <w:vAlign w:val="center"/>
            <w:hideMark/>
          </w:tcPr>
          <w:p w14:paraId="3450595A" w14:textId="77777777" w:rsidR="003A7510" w:rsidRPr="002D3103" w:rsidRDefault="003A7510"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Viesmīlības pakalpojumu speciālists</w:t>
            </w:r>
          </w:p>
        </w:tc>
        <w:tc>
          <w:tcPr>
            <w:tcW w:w="851" w:type="dxa"/>
            <w:tcBorders>
              <w:top w:val="nil"/>
              <w:left w:val="nil"/>
              <w:bottom w:val="single" w:sz="4" w:space="0" w:color="auto"/>
              <w:right w:val="single" w:sz="4" w:space="0" w:color="auto"/>
            </w:tcBorders>
            <w:shd w:val="clear" w:color="auto" w:fill="auto"/>
            <w:noWrap/>
            <w:vAlign w:val="center"/>
            <w:hideMark/>
          </w:tcPr>
          <w:p w14:paraId="0980A638" w14:textId="77777777" w:rsidR="003A7510" w:rsidRPr="002D3103" w:rsidRDefault="003A7510" w:rsidP="00AF60AA">
            <w:pPr>
              <w:spacing w:after="0" w:line="240" w:lineRule="auto"/>
              <w:jc w:val="right"/>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14:paraId="277561A0" w14:textId="29C3DE6F" w:rsidR="003A7510" w:rsidRPr="002D3103" w:rsidRDefault="00483287" w:rsidP="00AF60A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r>
      <w:tr w:rsidR="002D3103" w:rsidRPr="002D3103" w14:paraId="54EFA212" w14:textId="77777777" w:rsidTr="00B71CDE">
        <w:trPr>
          <w:trHeight w:val="340"/>
        </w:trPr>
        <w:tc>
          <w:tcPr>
            <w:tcW w:w="3114" w:type="dxa"/>
            <w:vMerge/>
            <w:tcBorders>
              <w:top w:val="nil"/>
              <w:left w:val="single" w:sz="4" w:space="0" w:color="auto"/>
              <w:bottom w:val="single" w:sz="4" w:space="0" w:color="auto"/>
              <w:right w:val="single" w:sz="4" w:space="0" w:color="auto"/>
            </w:tcBorders>
            <w:vAlign w:val="center"/>
            <w:hideMark/>
          </w:tcPr>
          <w:p w14:paraId="6F745EE0" w14:textId="77777777" w:rsidR="003A7510" w:rsidRPr="002D3103" w:rsidRDefault="003A7510" w:rsidP="00AF60AA">
            <w:pPr>
              <w:spacing w:after="0" w:line="240" w:lineRule="auto"/>
              <w:rPr>
                <w:rFonts w:ascii="Times New Roman" w:eastAsia="Times New Roman" w:hAnsi="Times New Roman" w:cs="Times New Roman"/>
                <w:sz w:val="20"/>
                <w:szCs w:val="20"/>
              </w:rPr>
            </w:pPr>
          </w:p>
        </w:tc>
        <w:tc>
          <w:tcPr>
            <w:tcW w:w="2551" w:type="dxa"/>
            <w:tcBorders>
              <w:top w:val="nil"/>
              <w:left w:val="nil"/>
              <w:bottom w:val="single" w:sz="4" w:space="0" w:color="auto"/>
              <w:right w:val="single" w:sz="4" w:space="0" w:color="auto"/>
            </w:tcBorders>
            <w:shd w:val="clear" w:color="auto" w:fill="auto"/>
            <w:noWrap/>
            <w:vAlign w:val="center"/>
            <w:hideMark/>
          </w:tcPr>
          <w:p w14:paraId="5E68BD58" w14:textId="77777777" w:rsidR="003A7510" w:rsidRPr="002D3103" w:rsidRDefault="003A7510"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 Profesionālā vidējā izglītība</w:t>
            </w:r>
          </w:p>
        </w:tc>
        <w:tc>
          <w:tcPr>
            <w:tcW w:w="1276" w:type="dxa"/>
            <w:tcBorders>
              <w:top w:val="nil"/>
              <w:left w:val="nil"/>
              <w:bottom w:val="single" w:sz="4" w:space="0" w:color="auto"/>
              <w:right w:val="single" w:sz="4" w:space="0" w:color="auto"/>
            </w:tcBorders>
            <w:shd w:val="clear" w:color="auto" w:fill="auto"/>
            <w:noWrap/>
            <w:vAlign w:val="center"/>
            <w:hideMark/>
          </w:tcPr>
          <w:p w14:paraId="7334D07A" w14:textId="77777777" w:rsidR="003A7510" w:rsidRPr="002D3103" w:rsidRDefault="003A7510" w:rsidP="00AF60AA">
            <w:pPr>
              <w:spacing w:after="0" w:line="240" w:lineRule="auto"/>
              <w:jc w:val="right"/>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33</w:t>
            </w:r>
          </w:p>
        </w:tc>
        <w:tc>
          <w:tcPr>
            <w:tcW w:w="2977" w:type="dxa"/>
            <w:tcBorders>
              <w:top w:val="nil"/>
              <w:left w:val="nil"/>
              <w:bottom w:val="single" w:sz="4" w:space="0" w:color="auto"/>
              <w:right w:val="single" w:sz="4" w:space="0" w:color="auto"/>
            </w:tcBorders>
            <w:shd w:val="clear" w:color="auto" w:fill="92D050"/>
            <w:noWrap/>
            <w:vAlign w:val="center"/>
            <w:hideMark/>
          </w:tcPr>
          <w:p w14:paraId="4C2ECDA8" w14:textId="77777777" w:rsidR="003A7510" w:rsidRPr="002D3103" w:rsidRDefault="003A7510"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Vizuālās saziņas līdzekļu māksla</w:t>
            </w:r>
          </w:p>
        </w:tc>
        <w:tc>
          <w:tcPr>
            <w:tcW w:w="2693" w:type="dxa"/>
            <w:tcBorders>
              <w:top w:val="nil"/>
              <w:left w:val="nil"/>
              <w:bottom w:val="single" w:sz="4" w:space="0" w:color="auto"/>
              <w:right w:val="single" w:sz="4" w:space="0" w:color="auto"/>
            </w:tcBorders>
            <w:shd w:val="clear" w:color="auto" w:fill="auto"/>
            <w:noWrap/>
            <w:vAlign w:val="center"/>
            <w:hideMark/>
          </w:tcPr>
          <w:p w14:paraId="3A949141" w14:textId="77777777" w:rsidR="003A7510" w:rsidRPr="002D3103" w:rsidRDefault="003A7510" w:rsidP="00AF60AA">
            <w:pPr>
              <w:spacing w:after="0" w:line="240" w:lineRule="auto"/>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Video operators</w:t>
            </w:r>
          </w:p>
        </w:tc>
        <w:tc>
          <w:tcPr>
            <w:tcW w:w="851" w:type="dxa"/>
            <w:tcBorders>
              <w:top w:val="nil"/>
              <w:left w:val="nil"/>
              <w:bottom w:val="single" w:sz="4" w:space="0" w:color="auto"/>
              <w:right w:val="single" w:sz="4" w:space="0" w:color="auto"/>
            </w:tcBorders>
            <w:shd w:val="clear" w:color="auto" w:fill="auto"/>
            <w:noWrap/>
            <w:vAlign w:val="center"/>
            <w:hideMark/>
          </w:tcPr>
          <w:p w14:paraId="709541AD" w14:textId="77777777" w:rsidR="003A7510" w:rsidRPr="002D3103" w:rsidRDefault="003A7510" w:rsidP="00AF60AA">
            <w:pPr>
              <w:spacing w:after="0" w:line="240" w:lineRule="auto"/>
              <w:jc w:val="right"/>
              <w:rPr>
                <w:rFonts w:ascii="Times New Roman" w:eastAsia="Times New Roman" w:hAnsi="Times New Roman" w:cs="Times New Roman"/>
                <w:sz w:val="20"/>
                <w:szCs w:val="20"/>
              </w:rPr>
            </w:pPr>
            <w:r w:rsidRPr="002D3103">
              <w:rPr>
                <w:rFonts w:ascii="Times New Roman" w:eastAsia="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14:paraId="29058C99" w14:textId="05D8B9F1" w:rsidR="003A7510" w:rsidRPr="002D3103" w:rsidRDefault="00483287" w:rsidP="00AF60A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r>
      <w:tr w:rsidR="003A7510" w:rsidRPr="002D3103" w14:paraId="3D2E290F" w14:textId="77777777" w:rsidTr="002D3103">
        <w:trPr>
          <w:trHeight w:val="340"/>
        </w:trPr>
        <w:tc>
          <w:tcPr>
            <w:tcW w:w="13462" w:type="dxa"/>
            <w:gridSpan w:val="6"/>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14:paraId="08297A3D" w14:textId="77777777" w:rsidR="003A7510" w:rsidRPr="002D3103" w:rsidRDefault="003A7510" w:rsidP="00AF60AA">
            <w:pPr>
              <w:spacing w:after="0" w:line="240" w:lineRule="auto"/>
              <w:jc w:val="right"/>
              <w:rPr>
                <w:rFonts w:ascii="Times New Roman" w:eastAsia="Times New Roman" w:hAnsi="Times New Roman" w:cs="Times New Roman"/>
                <w:b/>
                <w:bCs/>
                <w:sz w:val="20"/>
                <w:szCs w:val="20"/>
              </w:rPr>
            </w:pPr>
            <w:r w:rsidRPr="002D3103">
              <w:rPr>
                <w:rFonts w:ascii="Times New Roman" w:eastAsia="Times New Roman" w:hAnsi="Times New Roman" w:cs="Times New Roman"/>
                <w:b/>
                <w:bCs/>
                <w:sz w:val="20"/>
                <w:szCs w:val="20"/>
              </w:rPr>
              <w:t>Izglītojamo skaits kopā:</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3A4326A4" w14:textId="0FA94A9C" w:rsidR="003A7510" w:rsidRPr="002D3103" w:rsidRDefault="00483287" w:rsidP="00AF60A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493</w:t>
            </w:r>
          </w:p>
        </w:tc>
      </w:tr>
    </w:tbl>
    <w:p w14:paraId="2847C6B4" w14:textId="3D5D8C77" w:rsidR="003A7510" w:rsidRPr="003037F2" w:rsidRDefault="003A7510" w:rsidP="003037F2">
      <w:pPr>
        <w:rPr>
          <w:rFonts w:ascii="Times New Roman" w:hAnsi="Times New Roman" w:cs="Times New Roman"/>
        </w:rPr>
      </w:pPr>
      <w:r w:rsidRPr="003037F2">
        <w:rPr>
          <w:rFonts w:ascii="Times New Roman" w:hAnsi="Times New Roman" w:cs="Times New Roman"/>
        </w:rPr>
        <w:t>Datu a</w:t>
      </w:r>
      <w:r w:rsidR="00483287">
        <w:rPr>
          <w:rFonts w:ascii="Times New Roman" w:hAnsi="Times New Roman" w:cs="Times New Roman"/>
        </w:rPr>
        <w:t xml:space="preserve">vots: </w:t>
      </w:r>
      <w:r w:rsidR="00A757CC">
        <w:rPr>
          <w:rFonts w:ascii="Times New Roman" w:hAnsi="Times New Roman" w:cs="Times New Roman"/>
        </w:rPr>
        <w:t>VIIS operatīvie dati uz 01.10.2019</w:t>
      </w:r>
      <w:r w:rsidR="00A757CC" w:rsidRPr="003037F2">
        <w:rPr>
          <w:rFonts w:ascii="Times New Roman" w:hAnsi="Times New Roman" w:cs="Times New Roman"/>
        </w:rPr>
        <w:t>.</w:t>
      </w:r>
    </w:p>
    <w:p w14:paraId="5F28AF79" w14:textId="2983D00A" w:rsidR="004316CD" w:rsidRDefault="003037F2" w:rsidP="002D3103">
      <w:pPr>
        <w:pStyle w:val="ListParagraph"/>
        <w:ind w:left="1080"/>
        <w:rPr>
          <w:rFonts w:ascii="Times New Roman" w:hAnsi="Times New Roman" w:cs="Times New Roman"/>
          <w:sz w:val="20"/>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8FA6401" wp14:editId="6F67A885">
                <wp:simplePos x="0" y="0"/>
                <wp:positionH relativeFrom="column">
                  <wp:posOffset>0</wp:posOffset>
                </wp:positionH>
                <wp:positionV relativeFrom="paragraph">
                  <wp:posOffset>-635</wp:posOffset>
                </wp:positionV>
                <wp:extent cx="3924300" cy="257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924300" cy="257175"/>
                        </a:xfrm>
                        <a:prstGeom prst="rect">
                          <a:avLst/>
                        </a:prstGeom>
                        <a:solidFill>
                          <a:srgbClr val="92D050"/>
                        </a:solidFill>
                      </wps:spPr>
                      <wps:style>
                        <a:lnRef idx="2">
                          <a:schemeClr val="accent6">
                            <a:shade val="50000"/>
                          </a:schemeClr>
                        </a:lnRef>
                        <a:fillRef idx="1">
                          <a:schemeClr val="accent6"/>
                        </a:fillRef>
                        <a:effectRef idx="0">
                          <a:schemeClr val="accent6"/>
                        </a:effectRef>
                        <a:fontRef idx="minor">
                          <a:schemeClr val="lt1"/>
                        </a:fontRef>
                      </wps:style>
                      <wps:txbx>
                        <w:txbxContent>
                          <w:p w14:paraId="36E09A09" w14:textId="77777777" w:rsidR="00AA4E73" w:rsidRPr="003037F2" w:rsidRDefault="00AA4E73" w:rsidP="003037F2">
                            <w:pPr>
                              <w:shd w:val="clear" w:color="auto" w:fill="92D050"/>
                              <w:rPr>
                                <w:rFonts w:ascii="Times New Roman" w:hAnsi="Times New Roman" w:cs="Times New Roman"/>
                                <w:color w:val="000000" w:themeColor="text1"/>
                              </w:rPr>
                            </w:pPr>
                            <w:r w:rsidRPr="003037F2">
                              <w:rPr>
                                <w:rFonts w:ascii="Times New Roman" w:hAnsi="Times New Roman" w:cs="Times New Roman"/>
                                <w:color w:val="000000" w:themeColor="text1"/>
                              </w:rPr>
                              <w:t>Profesionālās IP, kas indikatīvi atbilst noteiktajiem kritērijiem.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A6401" id="Rectangle 2" o:spid="_x0000_s1027" style="position:absolute;left:0;text-align:left;margin-left:0;margin-top:-.05pt;width:309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" fillcolor="#92d050" strokecolor="#375623 [1609]" strokeweight="1pt">
                <v:textbox>
                  <w:txbxContent>
                    <w:p w14:paraId="36E09A09" w14:textId="77777777" w:rsidR="00AA4E73" w:rsidRPr="003037F2" w:rsidRDefault="00AA4E73" w:rsidP="003037F2">
                      <w:pPr>
                        <w:shd w:val="clear" w:color="auto" w:fill="92D050"/>
                        <w:rPr>
                          <w:rFonts w:ascii="Times New Roman" w:hAnsi="Times New Roman" w:cs="Times New Roman"/>
                          <w:color w:val="000000" w:themeColor="text1"/>
                        </w:rPr>
                      </w:pPr>
                      <w:r w:rsidRPr="003037F2">
                        <w:rPr>
                          <w:rFonts w:ascii="Times New Roman" w:hAnsi="Times New Roman" w:cs="Times New Roman"/>
                          <w:color w:val="000000" w:themeColor="text1"/>
                        </w:rPr>
                        <w:t>Profesionālās IP, kas indikatīvi atbilst noteiktajiem kritērijiem.</w:t>
                      </w:r>
                    </w:p>
                  </w:txbxContent>
                </v:textbox>
              </v:rect>
            </w:pict>
          </mc:Fallback>
        </mc:AlternateContent>
      </w:r>
    </w:p>
    <w:p w14:paraId="2A99EF64" w14:textId="6E81A09F" w:rsidR="004316CD" w:rsidRDefault="004316CD" w:rsidP="004316CD">
      <w:r>
        <w:br w:type="page"/>
      </w:r>
    </w:p>
    <w:p w14:paraId="32D7A0F3" w14:textId="5F29683A" w:rsidR="004316CD" w:rsidRPr="00D841DF" w:rsidRDefault="00D841DF" w:rsidP="00D841DF">
      <w:pPr>
        <w:pStyle w:val="Caption"/>
        <w:ind w:right="111"/>
        <w:jc w:val="right"/>
        <w:rPr>
          <w:rFonts w:ascii="Times New Roman" w:eastAsia="Times New Roman" w:hAnsi="Times New Roman" w:cs="Times New Roman"/>
          <w:b/>
          <w:bCs/>
          <w:i w:val="0"/>
          <w:color w:val="000000" w:themeColor="text1"/>
          <w:sz w:val="24"/>
          <w:szCs w:val="24"/>
        </w:rPr>
      </w:pPr>
      <w:bookmarkStart w:id="26" w:name="_Ref52271723"/>
      <w:r w:rsidRPr="00D841DF">
        <w:rPr>
          <w:rFonts w:ascii="Times New Roman" w:eastAsia="Times New Roman" w:hAnsi="Times New Roman" w:cs="Times New Roman"/>
          <w:b/>
          <w:bCs/>
          <w:i w:val="0"/>
          <w:color w:val="000000" w:themeColor="text1"/>
          <w:sz w:val="24"/>
          <w:szCs w:val="24"/>
        </w:rPr>
        <w:lastRenderedPageBreak/>
        <w:t xml:space="preserve">Pielikums Nr. </w:t>
      </w:r>
      <w:r w:rsidRPr="00D841DF">
        <w:rPr>
          <w:rFonts w:ascii="Times New Roman" w:eastAsia="Times New Roman" w:hAnsi="Times New Roman" w:cs="Times New Roman"/>
          <w:b/>
          <w:bCs/>
          <w:i w:val="0"/>
          <w:color w:val="000000" w:themeColor="text1"/>
          <w:sz w:val="24"/>
          <w:szCs w:val="24"/>
        </w:rPr>
        <w:fldChar w:fldCharType="begin"/>
      </w:r>
      <w:r w:rsidRPr="00D841DF">
        <w:rPr>
          <w:rFonts w:ascii="Times New Roman" w:eastAsia="Times New Roman" w:hAnsi="Times New Roman" w:cs="Times New Roman"/>
          <w:b/>
          <w:bCs/>
          <w:i w:val="0"/>
          <w:color w:val="000000" w:themeColor="text1"/>
          <w:sz w:val="24"/>
          <w:szCs w:val="24"/>
        </w:rPr>
        <w:instrText xml:space="preserve"> SEQ Pielikums \* ARABIC </w:instrText>
      </w:r>
      <w:r w:rsidRPr="00D841DF">
        <w:rPr>
          <w:rFonts w:ascii="Times New Roman" w:eastAsia="Times New Roman" w:hAnsi="Times New Roman" w:cs="Times New Roman"/>
          <w:b/>
          <w:bCs/>
          <w:i w:val="0"/>
          <w:color w:val="000000" w:themeColor="text1"/>
          <w:sz w:val="24"/>
          <w:szCs w:val="24"/>
        </w:rPr>
        <w:fldChar w:fldCharType="separate"/>
      </w:r>
      <w:r w:rsidRPr="00D841DF">
        <w:rPr>
          <w:rFonts w:ascii="Times New Roman" w:eastAsia="Times New Roman" w:hAnsi="Times New Roman" w:cs="Times New Roman"/>
          <w:b/>
          <w:bCs/>
          <w:i w:val="0"/>
          <w:color w:val="000000" w:themeColor="text1"/>
          <w:sz w:val="24"/>
          <w:szCs w:val="24"/>
        </w:rPr>
        <w:t>4</w:t>
      </w:r>
      <w:r w:rsidRPr="00D841DF">
        <w:rPr>
          <w:rFonts w:ascii="Times New Roman" w:eastAsia="Times New Roman" w:hAnsi="Times New Roman" w:cs="Times New Roman"/>
          <w:b/>
          <w:bCs/>
          <w:i w:val="0"/>
          <w:color w:val="000000" w:themeColor="text1"/>
          <w:sz w:val="24"/>
          <w:szCs w:val="24"/>
        </w:rPr>
        <w:fldChar w:fldCharType="end"/>
      </w:r>
      <w:bookmarkEnd w:id="26"/>
      <w:r w:rsidRPr="00D841DF">
        <w:rPr>
          <w:rFonts w:ascii="Times New Roman" w:eastAsia="Times New Roman" w:hAnsi="Times New Roman" w:cs="Times New Roman"/>
          <w:b/>
          <w:bCs/>
          <w:i w:val="0"/>
          <w:color w:val="000000" w:themeColor="text1"/>
          <w:sz w:val="24"/>
          <w:szCs w:val="24"/>
        </w:rPr>
        <w:t xml:space="preserve">. </w:t>
      </w:r>
      <w:r w:rsidR="004316CD" w:rsidRPr="00D841DF">
        <w:rPr>
          <w:rFonts w:ascii="Times New Roman" w:eastAsia="Times New Roman" w:hAnsi="Times New Roman" w:cs="Times New Roman"/>
          <w:b/>
          <w:bCs/>
          <w:i w:val="0"/>
          <w:color w:val="000000" w:themeColor="text1"/>
          <w:sz w:val="24"/>
          <w:szCs w:val="24"/>
        </w:rPr>
        <w:t xml:space="preserve">Profesionālās izglītības programmu finansēšanas </w:t>
      </w:r>
      <w:r w:rsidR="005F59D0" w:rsidRPr="00D841DF">
        <w:rPr>
          <w:rFonts w:ascii="Times New Roman" w:eastAsia="Times New Roman" w:hAnsi="Times New Roman" w:cs="Times New Roman"/>
          <w:b/>
          <w:bCs/>
          <w:i w:val="0"/>
          <w:color w:val="000000" w:themeColor="text1"/>
          <w:sz w:val="24"/>
          <w:szCs w:val="24"/>
        </w:rPr>
        <w:t xml:space="preserve">pilnveides </w:t>
      </w:r>
      <w:r w:rsidR="004316CD" w:rsidRPr="00D841DF">
        <w:rPr>
          <w:rFonts w:ascii="Times New Roman" w:eastAsia="Times New Roman" w:hAnsi="Times New Roman" w:cs="Times New Roman"/>
          <w:b/>
          <w:bCs/>
          <w:i w:val="0"/>
          <w:color w:val="000000" w:themeColor="text1"/>
          <w:sz w:val="24"/>
          <w:szCs w:val="24"/>
        </w:rPr>
        <w:t>laika grafiks</w:t>
      </w:r>
    </w:p>
    <w:tbl>
      <w:tblPr>
        <w:tblStyle w:val="TableGrid"/>
        <w:tblW w:w="14444" w:type="dxa"/>
        <w:jc w:val="center"/>
        <w:tblLayout w:type="fixed"/>
        <w:tblLook w:val="04A0" w:firstRow="1" w:lastRow="0" w:firstColumn="1" w:lastColumn="0" w:noHBand="0" w:noVBand="1"/>
      </w:tblPr>
      <w:tblGrid>
        <w:gridCol w:w="562"/>
        <w:gridCol w:w="3818"/>
        <w:gridCol w:w="1559"/>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tblGrid>
      <w:tr w:rsidR="00DA4DCF" w:rsidRPr="004316CD" w14:paraId="12FF2BEC" w14:textId="77777777" w:rsidTr="00723EED">
        <w:trPr>
          <w:trHeight w:val="392"/>
          <w:jc w:val="center"/>
        </w:trPr>
        <w:tc>
          <w:tcPr>
            <w:tcW w:w="562" w:type="dxa"/>
            <w:vMerge w:val="restart"/>
            <w:tcBorders>
              <w:top w:val="single" w:sz="12" w:space="0" w:color="auto"/>
              <w:left w:val="single" w:sz="12" w:space="0" w:color="auto"/>
            </w:tcBorders>
            <w:shd w:val="clear" w:color="auto" w:fill="ACB9CA" w:themeFill="text2" w:themeFillTint="66"/>
            <w:vAlign w:val="center"/>
          </w:tcPr>
          <w:p w14:paraId="1ACC17E5" w14:textId="77777777" w:rsidR="004316CD" w:rsidRPr="004316CD" w:rsidRDefault="004316CD" w:rsidP="00A23924">
            <w:pPr>
              <w:jc w:val="center"/>
              <w:rPr>
                <w:rFonts w:ascii="Times New Roman" w:hAnsi="Times New Roman" w:cs="Times New Roman"/>
                <w:color w:val="000000" w:themeColor="text1"/>
                <w:sz w:val="20"/>
                <w:szCs w:val="20"/>
              </w:rPr>
            </w:pPr>
            <w:r w:rsidRPr="004316CD">
              <w:rPr>
                <w:rFonts w:ascii="Times New Roman" w:hAnsi="Times New Roman" w:cs="Times New Roman"/>
                <w:color w:val="000000" w:themeColor="text1"/>
                <w:sz w:val="20"/>
                <w:szCs w:val="20"/>
              </w:rPr>
              <w:t>Nr. p.k.</w:t>
            </w:r>
          </w:p>
        </w:tc>
        <w:tc>
          <w:tcPr>
            <w:tcW w:w="3818" w:type="dxa"/>
            <w:vMerge w:val="restart"/>
            <w:tcBorders>
              <w:top w:val="single" w:sz="12" w:space="0" w:color="auto"/>
            </w:tcBorders>
            <w:shd w:val="clear" w:color="auto" w:fill="DEEAF6" w:themeFill="accent5" w:themeFillTint="33"/>
            <w:vAlign w:val="center"/>
          </w:tcPr>
          <w:p w14:paraId="22BD63F1" w14:textId="77777777" w:rsidR="004316CD" w:rsidRPr="004316CD" w:rsidRDefault="004316CD" w:rsidP="00A23924">
            <w:pPr>
              <w:jc w:val="center"/>
              <w:rPr>
                <w:rFonts w:ascii="Times New Roman" w:hAnsi="Times New Roman" w:cs="Times New Roman"/>
                <w:color w:val="000000" w:themeColor="text1"/>
                <w:sz w:val="20"/>
                <w:szCs w:val="20"/>
              </w:rPr>
            </w:pPr>
            <w:r w:rsidRPr="004316CD">
              <w:rPr>
                <w:rFonts w:ascii="Times New Roman" w:hAnsi="Times New Roman" w:cs="Times New Roman"/>
                <w:color w:val="000000" w:themeColor="text1"/>
                <w:sz w:val="20"/>
                <w:szCs w:val="20"/>
              </w:rPr>
              <w:t>Uzdevums/Pasākums</w:t>
            </w:r>
          </w:p>
        </w:tc>
        <w:tc>
          <w:tcPr>
            <w:tcW w:w="1559" w:type="dxa"/>
            <w:vMerge w:val="restart"/>
            <w:tcBorders>
              <w:top w:val="single" w:sz="12" w:space="0" w:color="auto"/>
              <w:right w:val="single" w:sz="12" w:space="0" w:color="auto"/>
            </w:tcBorders>
            <w:shd w:val="clear" w:color="auto" w:fill="ACB9CA" w:themeFill="text2" w:themeFillTint="66"/>
            <w:vAlign w:val="center"/>
          </w:tcPr>
          <w:p w14:paraId="56AFCD6C" w14:textId="77777777" w:rsidR="004316CD" w:rsidRPr="004316CD" w:rsidRDefault="004316CD" w:rsidP="00A23924">
            <w:pPr>
              <w:tabs>
                <w:tab w:val="left" w:pos="927"/>
              </w:tabs>
              <w:jc w:val="center"/>
              <w:rPr>
                <w:rFonts w:ascii="Times New Roman" w:hAnsi="Times New Roman" w:cs="Times New Roman"/>
                <w:sz w:val="20"/>
                <w:szCs w:val="20"/>
              </w:rPr>
            </w:pPr>
            <w:r w:rsidRPr="004316CD">
              <w:rPr>
                <w:rFonts w:ascii="Times New Roman" w:hAnsi="Times New Roman" w:cs="Times New Roman"/>
                <w:sz w:val="20"/>
                <w:szCs w:val="20"/>
              </w:rPr>
              <w:t>Iesaistītās institūcijas</w:t>
            </w:r>
          </w:p>
        </w:tc>
        <w:tc>
          <w:tcPr>
            <w:tcW w:w="1701" w:type="dxa"/>
            <w:gridSpan w:val="4"/>
            <w:tcBorders>
              <w:top w:val="single" w:sz="12" w:space="0" w:color="auto"/>
              <w:left w:val="single" w:sz="12" w:space="0" w:color="auto"/>
              <w:bottom w:val="single" w:sz="4" w:space="0" w:color="000000" w:themeColor="text1"/>
              <w:right w:val="single" w:sz="12" w:space="0" w:color="auto"/>
            </w:tcBorders>
            <w:shd w:val="clear" w:color="auto" w:fill="D9E2F3" w:themeFill="accent1" w:themeFillTint="33"/>
            <w:vAlign w:val="center"/>
          </w:tcPr>
          <w:p w14:paraId="31687CE8" w14:textId="77777777" w:rsidR="004316CD" w:rsidRPr="004316CD" w:rsidRDefault="004316CD"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2020</w:t>
            </w:r>
          </w:p>
        </w:tc>
        <w:tc>
          <w:tcPr>
            <w:tcW w:w="1701" w:type="dxa"/>
            <w:gridSpan w:val="4"/>
            <w:tcBorders>
              <w:top w:val="single" w:sz="12" w:space="0" w:color="auto"/>
              <w:left w:val="single" w:sz="12" w:space="0" w:color="auto"/>
              <w:bottom w:val="single" w:sz="4" w:space="0" w:color="000000" w:themeColor="text1"/>
              <w:right w:val="single" w:sz="12" w:space="0" w:color="auto"/>
            </w:tcBorders>
            <w:shd w:val="clear" w:color="auto" w:fill="ACB9CA" w:themeFill="text2" w:themeFillTint="66"/>
            <w:vAlign w:val="center"/>
          </w:tcPr>
          <w:p w14:paraId="108C8D80" w14:textId="77777777" w:rsidR="004316CD" w:rsidRPr="004316CD" w:rsidRDefault="004316CD"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2021</w:t>
            </w:r>
          </w:p>
        </w:tc>
        <w:tc>
          <w:tcPr>
            <w:tcW w:w="1701" w:type="dxa"/>
            <w:gridSpan w:val="4"/>
            <w:tcBorders>
              <w:top w:val="single" w:sz="12" w:space="0" w:color="auto"/>
              <w:left w:val="single" w:sz="12" w:space="0" w:color="auto"/>
              <w:bottom w:val="single" w:sz="4" w:space="0" w:color="000000" w:themeColor="text1"/>
              <w:right w:val="single" w:sz="12" w:space="0" w:color="auto"/>
            </w:tcBorders>
            <w:shd w:val="clear" w:color="auto" w:fill="D9E2F3" w:themeFill="accent1" w:themeFillTint="33"/>
            <w:vAlign w:val="center"/>
          </w:tcPr>
          <w:p w14:paraId="7B1D2A55" w14:textId="77777777" w:rsidR="004316CD" w:rsidRPr="004316CD" w:rsidRDefault="004316CD"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2022</w:t>
            </w:r>
          </w:p>
        </w:tc>
        <w:tc>
          <w:tcPr>
            <w:tcW w:w="1701" w:type="dxa"/>
            <w:gridSpan w:val="4"/>
            <w:tcBorders>
              <w:top w:val="single" w:sz="12" w:space="0" w:color="auto"/>
              <w:left w:val="single" w:sz="12" w:space="0" w:color="auto"/>
              <w:bottom w:val="single" w:sz="4" w:space="0" w:color="000000" w:themeColor="text1"/>
              <w:right w:val="single" w:sz="12" w:space="0" w:color="auto"/>
            </w:tcBorders>
            <w:shd w:val="clear" w:color="auto" w:fill="ACB9CA" w:themeFill="text2" w:themeFillTint="66"/>
            <w:vAlign w:val="center"/>
          </w:tcPr>
          <w:p w14:paraId="28EDFFFB" w14:textId="77777777" w:rsidR="004316CD" w:rsidRPr="004316CD" w:rsidRDefault="004316CD"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2023</w:t>
            </w:r>
          </w:p>
        </w:tc>
        <w:tc>
          <w:tcPr>
            <w:tcW w:w="1701" w:type="dxa"/>
            <w:gridSpan w:val="4"/>
            <w:tcBorders>
              <w:top w:val="single" w:sz="12" w:space="0" w:color="auto"/>
              <w:left w:val="single" w:sz="12" w:space="0" w:color="auto"/>
              <w:bottom w:val="single" w:sz="4" w:space="0" w:color="000000" w:themeColor="text1"/>
              <w:right w:val="single" w:sz="12" w:space="0" w:color="auto"/>
            </w:tcBorders>
            <w:shd w:val="clear" w:color="auto" w:fill="D9E2F3" w:themeFill="accent1" w:themeFillTint="33"/>
            <w:vAlign w:val="center"/>
          </w:tcPr>
          <w:p w14:paraId="4D8218D3" w14:textId="77777777" w:rsidR="004316CD" w:rsidRPr="004316CD" w:rsidRDefault="004316CD"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2024</w:t>
            </w:r>
          </w:p>
        </w:tc>
      </w:tr>
      <w:tr w:rsidR="00723EED" w:rsidRPr="004316CD" w14:paraId="3630B308" w14:textId="77777777" w:rsidTr="00723EED">
        <w:trPr>
          <w:trHeight w:val="397"/>
          <w:jc w:val="center"/>
        </w:trPr>
        <w:tc>
          <w:tcPr>
            <w:tcW w:w="562" w:type="dxa"/>
            <w:vMerge/>
            <w:tcBorders>
              <w:left w:val="single" w:sz="12" w:space="0" w:color="auto"/>
              <w:bottom w:val="single" w:sz="12" w:space="0" w:color="auto"/>
            </w:tcBorders>
            <w:shd w:val="clear" w:color="auto" w:fill="ACB9CA" w:themeFill="text2" w:themeFillTint="66"/>
          </w:tcPr>
          <w:p w14:paraId="6244CB55" w14:textId="77777777" w:rsidR="004316CD" w:rsidRPr="004316CD" w:rsidRDefault="004316CD" w:rsidP="00A23924">
            <w:pPr>
              <w:jc w:val="center"/>
              <w:rPr>
                <w:rFonts w:ascii="Times New Roman" w:hAnsi="Times New Roman" w:cs="Times New Roman"/>
                <w:color w:val="000000" w:themeColor="text1"/>
                <w:sz w:val="20"/>
                <w:szCs w:val="20"/>
              </w:rPr>
            </w:pPr>
          </w:p>
        </w:tc>
        <w:tc>
          <w:tcPr>
            <w:tcW w:w="3818" w:type="dxa"/>
            <w:vMerge/>
            <w:tcBorders>
              <w:bottom w:val="single" w:sz="12" w:space="0" w:color="auto"/>
            </w:tcBorders>
            <w:shd w:val="clear" w:color="auto" w:fill="DEEAF6" w:themeFill="accent5" w:themeFillTint="33"/>
          </w:tcPr>
          <w:p w14:paraId="04396A7A" w14:textId="77777777" w:rsidR="004316CD" w:rsidRPr="004316CD" w:rsidRDefault="004316CD" w:rsidP="00A23924">
            <w:pPr>
              <w:jc w:val="center"/>
              <w:rPr>
                <w:rFonts w:ascii="Times New Roman" w:hAnsi="Times New Roman" w:cs="Times New Roman"/>
                <w:color w:val="000000" w:themeColor="text1"/>
                <w:sz w:val="20"/>
                <w:szCs w:val="20"/>
              </w:rPr>
            </w:pPr>
          </w:p>
        </w:tc>
        <w:tc>
          <w:tcPr>
            <w:tcW w:w="1559" w:type="dxa"/>
            <w:vMerge/>
            <w:tcBorders>
              <w:bottom w:val="single" w:sz="12" w:space="0" w:color="auto"/>
              <w:right w:val="single" w:sz="12" w:space="0" w:color="auto"/>
            </w:tcBorders>
            <w:shd w:val="clear" w:color="auto" w:fill="ACB9CA" w:themeFill="text2" w:themeFillTint="66"/>
          </w:tcPr>
          <w:p w14:paraId="29B681B2" w14:textId="77777777" w:rsidR="004316CD" w:rsidRPr="004316CD" w:rsidRDefault="004316CD" w:rsidP="00A23924">
            <w:pPr>
              <w:jc w:val="center"/>
              <w:rPr>
                <w:rFonts w:ascii="Times New Roman" w:hAnsi="Times New Roman" w:cs="Times New Roman"/>
                <w:color w:val="000000" w:themeColor="text1"/>
                <w:sz w:val="20"/>
                <w:szCs w:val="20"/>
              </w:rPr>
            </w:pPr>
          </w:p>
        </w:tc>
        <w:tc>
          <w:tcPr>
            <w:tcW w:w="425" w:type="dxa"/>
            <w:tcBorders>
              <w:top w:val="single" w:sz="4" w:space="0" w:color="000000" w:themeColor="text1"/>
              <w:left w:val="single" w:sz="12" w:space="0" w:color="auto"/>
              <w:bottom w:val="single" w:sz="12" w:space="0" w:color="auto"/>
              <w:right w:val="single" w:sz="4" w:space="0" w:color="000000" w:themeColor="text1"/>
            </w:tcBorders>
            <w:shd w:val="clear" w:color="auto" w:fill="DEEAF6" w:themeFill="accent5" w:themeFillTint="33"/>
            <w:vAlign w:val="center"/>
          </w:tcPr>
          <w:p w14:paraId="599A460E" w14:textId="77777777" w:rsidR="004316CD" w:rsidRPr="004316CD" w:rsidRDefault="004316CD"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Q1</w:t>
            </w:r>
          </w:p>
        </w:tc>
        <w:tc>
          <w:tcPr>
            <w:tcW w:w="425"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EEAF6" w:themeFill="accent5" w:themeFillTint="33"/>
            <w:vAlign w:val="center"/>
          </w:tcPr>
          <w:p w14:paraId="0E7E705D" w14:textId="77777777" w:rsidR="004316CD" w:rsidRPr="004316CD" w:rsidRDefault="004316CD"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Q2</w:t>
            </w:r>
          </w:p>
        </w:tc>
        <w:tc>
          <w:tcPr>
            <w:tcW w:w="426"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EEAF6" w:themeFill="accent5" w:themeFillTint="33"/>
            <w:vAlign w:val="center"/>
          </w:tcPr>
          <w:p w14:paraId="23A95B21" w14:textId="77777777" w:rsidR="004316CD" w:rsidRPr="004316CD" w:rsidRDefault="004316CD"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Q3</w:t>
            </w:r>
          </w:p>
        </w:tc>
        <w:tc>
          <w:tcPr>
            <w:tcW w:w="425" w:type="dxa"/>
            <w:tcBorders>
              <w:top w:val="single" w:sz="4" w:space="0" w:color="000000" w:themeColor="text1"/>
              <w:left w:val="single" w:sz="4" w:space="0" w:color="000000" w:themeColor="text1"/>
              <w:bottom w:val="single" w:sz="12" w:space="0" w:color="auto"/>
              <w:right w:val="single" w:sz="12" w:space="0" w:color="auto"/>
            </w:tcBorders>
            <w:shd w:val="clear" w:color="auto" w:fill="DEEAF6" w:themeFill="accent5" w:themeFillTint="33"/>
            <w:vAlign w:val="center"/>
          </w:tcPr>
          <w:p w14:paraId="3319D56F" w14:textId="77777777" w:rsidR="004316CD" w:rsidRPr="004316CD" w:rsidRDefault="004316CD"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Q4</w:t>
            </w:r>
          </w:p>
        </w:tc>
        <w:tc>
          <w:tcPr>
            <w:tcW w:w="425" w:type="dxa"/>
            <w:tcBorders>
              <w:top w:val="single" w:sz="4" w:space="0" w:color="000000" w:themeColor="text1"/>
              <w:left w:val="single" w:sz="12" w:space="0" w:color="auto"/>
              <w:bottom w:val="single" w:sz="12" w:space="0" w:color="auto"/>
              <w:right w:val="single" w:sz="4" w:space="0" w:color="000000" w:themeColor="text1"/>
            </w:tcBorders>
            <w:shd w:val="clear" w:color="auto" w:fill="ACB9CA" w:themeFill="text2" w:themeFillTint="66"/>
            <w:vAlign w:val="center"/>
          </w:tcPr>
          <w:p w14:paraId="011DD201" w14:textId="77777777" w:rsidR="004316CD" w:rsidRPr="004316CD" w:rsidRDefault="004316CD"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Q1</w:t>
            </w:r>
          </w:p>
        </w:tc>
        <w:tc>
          <w:tcPr>
            <w:tcW w:w="425"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ACB9CA" w:themeFill="text2" w:themeFillTint="66"/>
            <w:vAlign w:val="center"/>
          </w:tcPr>
          <w:p w14:paraId="700E1932" w14:textId="77777777" w:rsidR="004316CD" w:rsidRPr="004316CD" w:rsidRDefault="004316CD"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Q2</w:t>
            </w:r>
          </w:p>
        </w:tc>
        <w:tc>
          <w:tcPr>
            <w:tcW w:w="426"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ACB9CA" w:themeFill="text2" w:themeFillTint="66"/>
            <w:vAlign w:val="center"/>
          </w:tcPr>
          <w:p w14:paraId="67E99324" w14:textId="77777777" w:rsidR="004316CD" w:rsidRPr="004316CD" w:rsidRDefault="004316CD"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Q3</w:t>
            </w:r>
          </w:p>
        </w:tc>
        <w:tc>
          <w:tcPr>
            <w:tcW w:w="425" w:type="dxa"/>
            <w:tcBorders>
              <w:top w:val="single" w:sz="4" w:space="0" w:color="000000" w:themeColor="text1"/>
              <w:left w:val="single" w:sz="4" w:space="0" w:color="000000" w:themeColor="text1"/>
              <w:bottom w:val="single" w:sz="12" w:space="0" w:color="auto"/>
              <w:right w:val="single" w:sz="12" w:space="0" w:color="auto"/>
            </w:tcBorders>
            <w:shd w:val="clear" w:color="auto" w:fill="ACB9CA" w:themeFill="text2" w:themeFillTint="66"/>
            <w:vAlign w:val="center"/>
          </w:tcPr>
          <w:p w14:paraId="06BEBAC0" w14:textId="77777777" w:rsidR="004316CD" w:rsidRPr="004316CD" w:rsidRDefault="004316CD"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Q4</w:t>
            </w:r>
          </w:p>
        </w:tc>
        <w:tc>
          <w:tcPr>
            <w:tcW w:w="425" w:type="dxa"/>
            <w:tcBorders>
              <w:top w:val="single" w:sz="4" w:space="0" w:color="000000" w:themeColor="text1"/>
              <w:left w:val="single" w:sz="12" w:space="0" w:color="auto"/>
              <w:bottom w:val="single" w:sz="12" w:space="0" w:color="auto"/>
              <w:right w:val="single" w:sz="4" w:space="0" w:color="000000" w:themeColor="text1"/>
            </w:tcBorders>
            <w:shd w:val="clear" w:color="auto" w:fill="DEEAF6" w:themeFill="accent5" w:themeFillTint="33"/>
            <w:vAlign w:val="center"/>
          </w:tcPr>
          <w:p w14:paraId="5E0F1617" w14:textId="77777777" w:rsidR="004316CD" w:rsidRPr="004316CD" w:rsidRDefault="004316CD"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Q1</w:t>
            </w:r>
          </w:p>
        </w:tc>
        <w:tc>
          <w:tcPr>
            <w:tcW w:w="425"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EEAF6" w:themeFill="accent5" w:themeFillTint="33"/>
            <w:vAlign w:val="center"/>
          </w:tcPr>
          <w:p w14:paraId="03CF4EFE" w14:textId="77777777" w:rsidR="004316CD" w:rsidRPr="004316CD" w:rsidRDefault="004316CD"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Q2</w:t>
            </w:r>
          </w:p>
        </w:tc>
        <w:tc>
          <w:tcPr>
            <w:tcW w:w="426"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EEAF6" w:themeFill="accent5" w:themeFillTint="33"/>
            <w:vAlign w:val="center"/>
          </w:tcPr>
          <w:p w14:paraId="4316298F" w14:textId="77777777" w:rsidR="004316CD" w:rsidRPr="004316CD" w:rsidRDefault="004316CD"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Q3</w:t>
            </w:r>
          </w:p>
        </w:tc>
        <w:tc>
          <w:tcPr>
            <w:tcW w:w="425" w:type="dxa"/>
            <w:tcBorders>
              <w:top w:val="single" w:sz="4" w:space="0" w:color="000000" w:themeColor="text1"/>
              <w:left w:val="single" w:sz="4" w:space="0" w:color="000000" w:themeColor="text1"/>
              <w:bottom w:val="single" w:sz="12" w:space="0" w:color="auto"/>
              <w:right w:val="single" w:sz="12" w:space="0" w:color="auto"/>
            </w:tcBorders>
            <w:shd w:val="clear" w:color="auto" w:fill="DEEAF6" w:themeFill="accent5" w:themeFillTint="33"/>
            <w:vAlign w:val="center"/>
          </w:tcPr>
          <w:p w14:paraId="44453122" w14:textId="77777777" w:rsidR="004316CD" w:rsidRPr="004316CD" w:rsidRDefault="004316CD"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Q4</w:t>
            </w:r>
          </w:p>
        </w:tc>
        <w:tc>
          <w:tcPr>
            <w:tcW w:w="425" w:type="dxa"/>
            <w:tcBorders>
              <w:top w:val="single" w:sz="4" w:space="0" w:color="000000" w:themeColor="text1"/>
              <w:left w:val="single" w:sz="12" w:space="0" w:color="auto"/>
              <w:bottom w:val="single" w:sz="12" w:space="0" w:color="auto"/>
              <w:right w:val="single" w:sz="4" w:space="0" w:color="000000" w:themeColor="text1"/>
            </w:tcBorders>
            <w:shd w:val="clear" w:color="auto" w:fill="ACB9CA" w:themeFill="text2" w:themeFillTint="66"/>
            <w:vAlign w:val="center"/>
          </w:tcPr>
          <w:p w14:paraId="2D7ACB8E" w14:textId="77777777" w:rsidR="004316CD" w:rsidRPr="004316CD" w:rsidRDefault="004316CD"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Q1</w:t>
            </w:r>
          </w:p>
        </w:tc>
        <w:tc>
          <w:tcPr>
            <w:tcW w:w="425"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ACB9CA" w:themeFill="text2" w:themeFillTint="66"/>
            <w:vAlign w:val="center"/>
          </w:tcPr>
          <w:p w14:paraId="5ADFD722" w14:textId="77777777" w:rsidR="004316CD" w:rsidRPr="004316CD" w:rsidRDefault="004316CD"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Q2</w:t>
            </w:r>
          </w:p>
        </w:tc>
        <w:tc>
          <w:tcPr>
            <w:tcW w:w="426"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ACB9CA" w:themeFill="text2" w:themeFillTint="66"/>
            <w:vAlign w:val="center"/>
          </w:tcPr>
          <w:p w14:paraId="584D174E" w14:textId="77777777" w:rsidR="004316CD" w:rsidRPr="004316CD" w:rsidRDefault="004316CD"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Q3</w:t>
            </w:r>
          </w:p>
        </w:tc>
        <w:tc>
          <w:tcPr>
            <w:tcW w:w="425" w:type="dxa"/>
            <w:tcBorders>
              <w:top w:val="single" w:sz="4" w:space="0" w:color="000000" w:themeColor="text1"/>
              <w:left w:val="single" w:sz="4" w:space="0" w:color="000000" w:themeColor="text1"/>
              <w:bottom w:val="single" w:sz="12" w:space="0" w:color="auto"/>
              <w:right w:val="single" w:sz="12" w:space="0" w:color="auto"/>
            </w:tcBorders>
            <w:shd w:val="clear" w:color="auto" w:fill="ACB9CA" w:themeFill="text2" w:themeFillTint="66"/>
            <w:vAlign w:val="center"/>
          </w:tcPr>
          <w:p w14:paraId="2083F104" w14:textId="77777777" w:rsidR="004316CD" w:rsidRPr="004316CD" w:rsidRDefault="004316CD"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Q4</w:t>
            </w:r>
          </w:p>
        </w:tc>
        <w:tc>
          <w:tcPr>
            <w:tcW w:w="425" w:type="dxa"/>
            <w:tcBorders>
              <w:top w:val="single" w:sz="4" w:space="0" w:color="000000" w:themeColor="text1"/>
              <w:left w:val="single" w:sz="12" w:space="0" w:color="auto"/>
              <w:bottom w:val="single" w:sz="12" w:space="0" w:color="auto"/>
              <w:right w:val="single" w:sz="4" w:space="0" w:color="000000" w:themeColor="text1"/>
            </w:tcBorders>
            <w:shd w:val="clear" w:color="auto" w:fill="DEEAF6" w:themeFill="accent5" w:themeFillTint="33"/>
            <w:vAlign w:val="center"/>
          </w:tcPr>
          <w:p w14:paraId="00C1EC97" w14:textId="77777777" w:rsidR="004316CD" w:rsidRPr="004316CD" w:rsidRDefault="004316CD"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Q1</w:t>
            </w:r>
          </w:p>
        </w:tc>
        <w:tc>
          <w:tcPr>
            <w:tcW w:w="425"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EEAF6" w:themeFill="accent5" w:themeFillTint="33"/>
            <w:vAlign w:val="center"/>
          </w:tcPr>
          <w:p w14:paraId="2A9E10EF" w14:textId="77777777" w:rsidR="004316CD" w:rsidRPr="004316CD" w:rsidRDefault="004316CD"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Q2</w:t>
            </w:r>
          </w:p>
        </w:tc>
        <w:tc>
          <w:tcPr>
            <w:tcW w:w="426"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EEAF6" w:themeFill="accent5" w:themeFillTint="33"/>
            <w:vAlign w:val="center"/>
          </w:tcPr>
          <w:p w14:paraId="0CFC5D85" w14:textId="77777777" w:rsidR="004316CD" w:rsidRPr="004316CD" w:rsidRDefault="004316CD"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Q3</w:t>
            </w:r>
          </w:p>
        </w:tc>
        <w:tc>
          <w:tcPr>
            <w:tcW w:w="425" w:type="dxa"/>
            <w:tcBorders>
              <w:top w:val="single" w:sz="4" w:space="0" w:color="000000" w:themeColor="text1"/>
              <w:left w:val="single" w:sz="4" w:space="0" w:color="000000" w:themeColor="text1"/>
              <w:bottom w:val="single" w:sz="12" w:space="0" w:color="auto"/>
              <w:right w:val="single" w:sz="12" w:space="0" w:color="auto"/>
            </w:tcBorders>
            <w:shd w:val="clear" w:color="auto" w:fill="DEEAF6" w:themeFill="accent5" w:themeFillTint="33"/>
            <w:vAlign w:val="center"/>
          </w:tcPr>
          <w:p w14:paraId="489C7B3D" w14:textId="77777777" w:rsidR="004316CD" w:rsidRPr="004316CD" w:rsidRDefault="004316CD"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Q4</w:t>
            </w:r>
          </w:p>
        </w:tc>
      </w:tr>
      <w:tr w:rsidR="00723EED" w:rsidRPr="004316CD" w14:paraId="35D3A445" w14:textId="77777777" w:rsidTr="00723EED">
        <w:trPr>
          <w:trHeight w:val="454"/>
          <w:jc w:val="center"/>
        </w:trPr>
        <w:tc>
          <w:tcPr>
            <w:tcW w:w="562" w:type="dxa"/>
            <w:tcBorders>
              <w:top w:val="single" w:sz="12" w:space="0" w:color="auto"/>
              <w:left w:val="single" w:sz="12" w:space="0" w:color="auto"/>
            </w:tcBorders>
            <w:shd w:val="clear" w:color="auto" w:fill="ACB9CA" w:themeFill="text2" w:themeFillTint="66"/>
            <w:vAlign w:val="center"/>
          </w:tcPr>
          <w:p w14:paraId="0551103A" w14:textId="77777777" w:rsidR="004316CD" w:rsidRPr="004316CD" w:rsidRDefault="004316CD" w:rsidP="00A510E4">
            <w:pPr>
              <w:pStyle w:val="ListParagraph"/>
              <w:numPr>
                <w:ilvl w:val="0"/>
                <w:numId w:val="9"/>
              </w:numPr>
              <w:tabs>
                <w:tab w:val="left" w:pos="360"/>
              </w:tabs>
              <w:ind w:hanging="549"/>
              <w:rPr>
                <w:rFonts w:ascii="Times New Roman" w:hAnsi="Times New Roman" w:cs="Times New Roman"/>
                <w:sz w:val="20"/>
                <w:szCs w:val="20"/>
              </w:rPr>
            </w:pPr>
          </w:p>
        </w:tc>
        <w:tc>
          <w:tcPr>
            <w:tcW w:w="3818" w:type="dxa"/>
            <w:tcBorders>
              <w:top w:val="single" w:sz="12" w:space="0" w:color="auto"/>
            </w:tcBorders>
          </w:tcPr>
          <w:p w14:paraId="11E83E24" w14:textId="6C975824" w:rsidR="004316CD" w:rsidRPr="004316CD" w:rsidRDefault="000C5184" w:rsidP="008E4ECE">
            <w:pPr>
              <w:rPr>
                <w:rFonts w:ascii="Times New Roman" w:hAnsi="Times New Roman" w:cs="Times New Roman"/>
                <w:sz w:val="20"/>
                <w:szCs w:val="20"/>
              </w:rPr>
            </w:pPr>
            <w:r>
              <w:rPr>
                <w:rFonts w:ascii="Times New Roman" w:hAnsi="Times New Roman" w:cs="Times New Roman"/>
                <w:sz w:val="20"/>
                <w:szCs w:val="20"/>
              </w:rPr>
              <w:t>K</w:t>
            </w:r>
            <w:r w:rsidR="008E4ECE">
              <w:rPr>
                <w:rFonts w:ascii="Times New Roman" w:hAnsi="Times New Roman" w:cs="Times New Roman"/>
                <w:sz w:val="20"/>
                <w:szCs w:val="20"/>
              </w:rPr>
              <w:t xml:space="preserve">onceptuālā ziņojuma </w:t>
            </w:r>
            <w:r>
              <w:rPr>
                <w:rFonts w:ascii="Times New Roman" w:hAnsi="Times New Roman" w:cs="Times New Roman"/>
                <w:sz w:val="20"/>
                <w:szCs w:val="20"/>
              </w:rPr>
              <w:t>izsludināšana</w:t>
            </w:r>
            <w:r w:rsidR="004316CD" w:rsidRPr="004316CD">
              <w:rPr>
                <w:rFonts w:ascii="Times New Roman" w:hAnsi="Times New Roman" w:cs="Times New Roman"/>
                <w:sz w:val="20"/>
                <w:szCs w:val="20"/>
              </w:rPr>
              <w:t xml:space="preserve"> </w:t>
            </w:r>
            <w:r>
              <w:rPr>
                <w:rFonts w:ascii="Times New Roman" w:hAnsi="Times New Roman" w:cs="Times New Roman"/>
                <w:sz w:val="20"/>
                <w:szCs w:val="20"/>
              </w:rPr>
              <w:t>VSS un izskatīšana</w:t>
            </w:r>
            <w:r w:rsidR="008E4ECE">
              <w:rPr>
                <w:rFonts w:ascii="Times New Roman" w:hAnsi="Times New Roman" w:cs="Times New Roman"/>
                <w:sz w:val="20"/>
                <w:szCs w:val="20"/>
              </w:rPr>
              <w:t xml:space="preserve"> MK</w:t>
            </w:r>
          </w:p>
        </w:tc>
        <w:tc>
          <w:tcPr>
            <w:tcW w:w="1559" w:type="dxa"/>
            <w:tcBorders>
              <w:top w:val="single" w:sz="12" w:space="0" w:color="auto"/>
              <w:right w:val="single" w:sz="12" w:space="0" w:color="auto"/>
            </w:tcBorders>
            <w:shd w:val="clear" w:color="auto" w:fill="auto"/>
          </w:tcPr>
          <w:p w14:paraId="15A49FFB" w14:textId="77777777" w:rsidR="004316CD" w:rsidRPr="004316CD" w:rsidRDefault="004316CD" w:rsidP="00395220">
            <w:pPr>
              <w:rPr>
                <w:rFonts w:ascii="Times New Roman" w:hAnsi="Times New Roman" w:cs="Times New Roman"/>
                <w:sz w:val="20"/>
                <w:szCs w:val="20"/>
              </w:rPr>
            </w:pPr>
            <w:r w:rsidRPr="004316CD">
              <w:rPr>
                <w:rFonts w:ascii="Times New Roman" w:hAnsi="Times New Roman" w:cs="Times New Roman"/>
                <w:sz w:val="20"/>
                <w:szCs w:val="20"/>
              </w:rPr>
              <w:t>IZM</w:t>
            </w:r>
          </w:p>
        </w:tc>
        <w:tc>
          <w:tcPr>
            <w:tcW w:w="425" w:type="dxa"/>
            <w:tcBorders>
              <w:top w:val="single" w:sz="12" w:space="0" w:color="auto"/>
              <w:left w:val="single" w:sz="12" w:space="0" w:color="auto"/>
            </w:tcBorders>
            <w:shd w:val="clear" w:color="auto" w:fill="EDEDED" w:themeFill="accent3" w:themeFillTint="33"/>
            <w:vAlign w:val="center"/>
          </w:tcPr>
          <w:p w14:paraId="679A1CCC" w14:textId="77777777" w:rsidR="004316CD" w:rsidRPr="004316CD" w:rsidRDefault="004316CD" w:rsidP="00A23924">
            <w:pPr>
              <w:jc w:val="center"/>
              <w:rPr>
                <w:rFonts w:ascii="Times New Roman" w:hAnsi="Times New Roman" w:cs="Times New Roman"/>
                <w:sz w:val="20"/>
                <w:szCs w:val="20"/>
              </w:rPr>
            </w:pPr>
          </w:p>
        </w:tc>
        <w:tc>
          <w:tcPr>
            <w:tcW w:w="425" w:type="dxa"/>
            <w:tcBorders>
              <w:top w:val="single" w:sz="12" w:space="0" w:color="auto"/>
            </w:tcBorders>
            <w:shd w:val="clear" w:color="auto" w:fill="EDEDED" w:themeFill="accent3" w:themeFillTint="33"/>
            <w:vAlign w:val="center"/>
          </w:tcPr>
          <w:p w14:paraId="1E4FBC4A" w14:textId="77777777" w:rsidR="004316CD" w:rsidRPr="004316CD" w:rsidRDefault="004316CD" w:rsidP="00A23924">
            <w:pPr>
              <w:jc w:val="center"/>
              <w:rPr>
                <w:rFonts w:ascii="Times New Roman" w:hAnsi="Times New Roman" w:cs="Times New Roman"/>
                <w:sz w:val="20"/>
                <w:szCs w:val="20"/>
              </w:rPr>
            </w:pPr>
          </w:p>
        </w:tc>
        <w:tc>
          <w:tcPr>
            <w:tcW w:w="426" w:type="dxa"/>
            <w:tcBorders>
              <w:top w:val="single" w:sz="12" w:space="0" w:color="auto"/>
            </w:tcBorders>
            <w:shd w:val="clear" w:color="auto" w:fill="EDEDED" w:themeFill="accent3" w:themeFillTint="33"/>
            <w:vAlign w:val="center"/>
          </w:tcPr>
          <w:p w14:paraId="73F73839" w14:textId="77777777" w:rsidR="004316CD" w:rsidRPr="004316CD" w:rsidRDefault="004316CD" w:rsidP="00A23924">
            <w:pPr>
              <w:jc w:val="center"/>
              <w:rPr>
                <w:rFonts w:ascii="Times New Roman" w:hAnsi="Times New Roman" w:cs="Times New Roman"/>
                <w:sz w:val="20"/>
                <w:szCs w:val="20"/>
              </w:rPr>
            </w:pPr>
          </w:p>
        </w:tc>
        <w:tc>
          <w:tcPr>
            <w:tcW w:w="425" w:type="dxa"/>
            <w:tcBorders>
              <w:top w:val="single" w:sz="12" w:space="0" w:color="auto"/>
              <w:right w:val="single" w:sz="12" w:space="0" w:color="auto"/>
            </w:tcBorders>
            <w:shd w:val="clear" w:color="auto" w:fill="FFC000"/>
            <w:vAlign w:val="center"/>
          </w:tcPr>
          <w:p w14:paraId="6E34DEA3" w14:textId="77777777" w:rsidR="004316CD" w:rsidRPr="004316CD" w:rsidRDefault="004316CD" w:rsidP="00A23924">
            <w:pPr>
              <w:jc w:val="center"/>
              <w:rPr>
                <w:rFonts w:ascii="Times New Roman" w:hAnsi="Times New Roman" w:cs="Times New Roman"/>
                <w:sz w:val="20"/>
                <w:szCs w:val="20"/>
              </w:rPr>
            </w:pPr>
          </w:p>
        </w:tc>
        <w:tc>
          <w:tcPr>
            <w:tcW w:w="425" w:type="dxa"/>
            <w:tcBorders>
              <w:top w:val="single" w:sz="12" w:space="0" w:color="auto"/>
              <w:left w:val="single" w:sz="12" w:space="0" w:color="auto"/>
            </w:tcBorders>
            <w:vAlign w:val="center"/>
          </w:tcPr>
          <w:p w14:paraId="7D4DFDD6" w14:textId="77777777" w:rsidR="004316CD" w:rsidRPr="004316CD" w:rsidRDefault="004316CD" w:rsidP="00A23924">
            <w:pPr>
              <w:jc w:val="center"/>
              <w:rPr>
                <w:rFonts w:ascii="Times New Roman" w:hAnsi="Times New Roman" w:cs="Times New Roman"/>
                <w:sz w:val="20"/>
                <w:szCs w:val="20"/>
              </w:rPr>
            </w:pPr>
          </w:p>
        </w:tc>
        <w:tc>
          <w:tcPr>
            <w:tcW w:w="425" w:type="dxa"/>
            <w:tcBorders>
              <w:top w:val="single" w:sz="12" w:space="0" w:color="auto"/>
            </w:tcBorders>
            <w:vAlign w:val="center"/>
          </w:tcPr>
          <w:p w14:paraId="340FE6DD" w14:textId="77777777" w:rsidR="004316CD" w:rsidRPr="004316CD" w:rsidRDefault="004316CD" w:rsidP="00A23924">
            <w:pPr>
              <w:jc w:val="center"/>
              <w:rPr>
                <w:rFonts w:ascii="Times New Roman" w:hAnsi="Times New Roman" w:cs="Times New Roman"/>
                <w:sz w:val="20"/>
                <w:szCs w:val="20"/>
              </w:rPr>
            </w:pPr>
          </w:p>
        </w:tc>
        <w:tc>
          <w:tcPr>
            <w:tcW w:w="426" w:type="dxa"/>
            <w:tcBorders>
              <w:top w:val="single" w:sz="12" w:space="0" w:color="auto"/>
            </w:tcBorders>
            <w:vAlign w:val="center"/>
          </w:tcPr>
          <w:p w14:paraId="61188A52" w14:textId="77777777" w:rsidR="004316CD" w:rsidRPr="004316CD" w:rsidRDefault="004316CD" w:rsidP="00A23924">
            <w:pPr>
              <w:jc w:val="center"/>
              <w:rPr>
                <w:rFonts w:ascii="Times New Roman" w:hAnsi="Times New Roman" w:cs="Times New Roman"/>
                <w:sz w:val="20"/>
                <w:szCs w:val="20"/>
              </w:rPr>
            </w:pPr>
          </w:p>
        </w:tc>
        <w:tc>
          <w:tcPr>
            <w:tcW w:w="425" w:type="dxa"/>
            <w:tcBorders>
              <w:top w:val="single" w:sz="12" w:space="0" w:color="auto"/>
              <w:right w:val="single" w:sz="12" w:space="0" w:color="auto"/>
            </w:tcBorders>
            <w:vAlign w:val="center"/>
          </w:tcPr>
          <w:p w14:paraId="057F440F" w14:textId="77777777" w:rsidR="004316CD" w:rsidRPr="004316CD" w:rsidRDefault="004316CD" w:rsidP="00A23924">
            <w:pPr>
              <w:jc w:val="center"/>
              <w:rPr>
                <w:rFonts w:ascii="Times New Roman" w:hAnsi="Times New Roman" w:cs="Times New Roman"/>
                <w:sz w:val="20"/>
                <w:szCs w:val="20"/>
              </w:rPr>
            </w:pPr>
          </w:p>
        </w:tc>
        <w:tc>
          <w:tcPr>
            <w:tcW w:w="425" w:type="dxa"/>
            <w:tcBorders>
              <w:top w:val="single" w:sz="12" w:space="0" w:color="auto"/>
              <w:left w:val="single" w:sz="12" w:space="0" w:color="auto"/>
            </w:tcBorders>
            <w:vAlign w:val="center"/>
          </w:tcPr>
          <w:p w14:paraId="7E62A5DF" w14:textId="77777777" w:rsidR="004316CD" w:rsidRPr="004316CD" w:rsidRDefault="004316CD" w:rsidP="00A23924">
            <w:pPr>
              <w:jc w:val="center"/>
              <w:rPr>
                <w:rFonts w:ascii="Times New Roman" w:hAnsi="Times New Roman" w:cs="Times New Roman"/>
                <w:sz w:val="20"/>
                <w:szCs w:val="20"/>
              </w:rPr>
            </w:pPr>
          </w:p>
        </w:tc>
        <w:tc>
          <w:tcPr>
            <w:tcW w:w="425" w:type="dxa"/>
            <w:tcBorders>
              <w:top w:val="single" w:sz="12" w:space="0" w:color="auto"/>
            </w:tcBorders>
            <w:vAlign w:val="center"/>
          </w:tcPr>
          <w:p w14:paraId="29826595" w14:textId="77777777" w:rsidR="004316CD" w:rsidRPr="004316CD" w:rsidRDefault="004316CD" w:rsidP="00A23924">
            <w:pPr>
              <w:jc w:val="center"/>
              <w:rPr>
                <w:rFonts w:ascii="Times New Roman" w:hAnsi="Times New Roman" w:cs="Times New Roman"/>
                <w:sz w:val="20"/>
                <w:szCs w:val="20"/>
              </w:rPr>
            </w:pPr>
          </w:p>
        </w:tc>
        <w:tc>
          <w:tcPr>
            <w:tcW w:w="426" w:type="dxa"/>
            <w:tcBorders>
              <w:top w:val="single" w:sz="12" w:space="0" w:color="auto"/>
            </w:tcBorders>
            <w:vAlign w:val="center"/>
          </w:tcPr>
          <w:p w14:paraId="0A7FCB7D" w14:textId="77777777" w:rsidR="004316CD" w:rsidRPr="004316CD" w:rsidRDefault="004316CD" w:rsidP="00A23924">
            <w:pPr>
              <w:jc w:val="center"/>
              <w:rPr>
                <w:rFonts w:ascii="Times New Roman" w:hAnsi="Times New Roman" w:cs="Times New Roman"/>
                <w:sz w:val="20"/>
                <w:szCs w:val="20"/>
              </w:rPr>
            </w:pPr>
          </w:p>
        </w:tc>
        <w:tc>
          <w:tcPr>
            <w:tcW w:w="425" w:type="dxa"/>
            <w:tcBorders>
              <w:top w:val="single" w:sz="12" w:space="0" w:color="auto"/>
              <w:right w:val="single" w:sz="12" w:space="0" w:color="auto"/>
            </w:tcBorders>
            <w:vAlign w:val="center"/>
          </w:tcPr>
          <w:p w14:paraId="63AE4363" w14:textId="77777777" w:rsidR="004316CD" w:rsidRPr="004316CD" w:rsidRDefault="004316CD" w:rsidP="00A23924">
            <w:pPr>
              <w:jc w:val="center"/>
              <w:rPr>
                <w:rFonts w:ascii="Times New Roman" w:hAnsi="Times New Roman" w:cs="Times New Roman"/>
                <w:sz w:val="20"/>
                <w:szCs w:val="20"/>
              </w:rPr>
            </w:pPr>
          </w:p>
        </w:tc>
        <w:tc>
          <w:tcPr>
            <w:tcW w:w="425" w:type="dxa"/>
            <w:tcBorders>
              <w:top w:val="single" w:sz="12" w:space="0" w:color="auto"/>
              <w:left w:val="single" w:sz="12" w:space="0" w:color="auto"/>
            </w:tcBorders>
            <w:vAlign w:val="center"/>
          </w:tcPr>
          <w:p w14:paraId="2F5C2A06" w14:textId="77777777" w:rsidR="004316CD" w:rsidRPr="004316CD" w:rsidRDefault="004316CD" w:rsidP="00A23924">
            <w:pPr>
              <w:jc w:val="center"/>
              <w:rPr>
                <w:rFonts w:ascii="Times New Roman" w:hAnsi="Times New Roman" w:cs="Times New Roman"/>
                <w:sz w:val="20"/>
                <w:szCs w:val="20"/>
              </w:rPr>
            </w:pPr>
          </w:p>
        </w:tc>
        <w:tc>
          <w:tcPr>
            <w:tcW w:w="425" w:type="dxa"/>
            <w:tcBorders>
              <w:top w:val="single" w:sz="12" w:space="0" w:color="auto"/>
            </w:tcBorders>
            <w:vAlign w:val="center"/>
          </w:tcPr>
          <w:p w14:paraId="7DC4E1B9" w14:textId="77777777" w:rsidR="004316CD" w:rsidRPr="004316CD" w:rsidRDefault="004316CD" w:rsidP="00A23924">
            <w:pPr>
              <w:jc w:val="center"/>
              <w:rPr>
                <w:rFonts w:ascii="Times New Roman" w:hAnsi="Times New Roman" w:cs="Times New Roman"/>
                <w:sz w:val="20"/>
                <w:szCs w:val="20"/>
              </w:rPr>
            </w:pPr>
          </w:p>
        </w:tc>
        <w:tc>
          <w:tcPr>
            <w:tcW w:w="426" w:type="dxa"/>
            <w:tcBorders>
              <w:top w:val="single" w:sz="12" w:space="0" w:color="auto"/>
            </w:tcBorders>
            <w:vAlign w:val="center"/>
          </w:tcPr>
          <w:p w14:paraId="0514633B" w14:textId="77777777" w:rsidR="004316CD" w:rsidRPr="004316CD" w:rsidRDefault="004316CD" w:rsidP="00A23924">
            <w:pPr>
              <w:jc w:val="center"/>
              <w:rPr>
                <w:rFonts w:ascii="Times New Roman" w:hAnsi="Times New Roman" w:cs="Times New Roman"/>
                <w:sz w:val="20"/>
                <w:szCs w:val="20"/>
              </w:rPr>
            </w:pPr>
          </w:p>
        </w:tc>
        <w:tc>
          <w:tcPr>
            <w:tcW w:w="425" w:type="dxa"/>
            <w:tcBorders>
              <w:top w:val="single" w:sz="12" w:space="0" w:color="auto"/>
              <w:right w:val="single" w:sz="12" w:space="0" w:color="auto"/>
            </w:tcBorders>
            <w:vAlign w:val="center"/>
          </w:tcPr>
          <w:p w14:paraId="7A2F8CFF" w14:textId="77777777" w:rsidR="004316CD" w:rsidRPr="004316CD" w:rsidRDefault="004316CD" w:rsidP="00A23924">
            <w:pPr>
              <w:jc w:val="center"/>
              <w:rPr>
                <w:rFonts w:ascii="Times New Roman" w:hAnsi="Times New Roman" w:cs="Times New Roman"/>
                <w:sz w:val="20"/>
                <w:szCs w:val="20"/>
              </w:rPr>
            </w:pPr>
          </w:p>
        </w:tc>
        <w:tc>
          <w:tcPr>
            <w:tcW w:w="425" w:type="dxa"/>
            <w:tcBorders>
              <w:top w:val="single" w:sz="12" w:space="0" w:color="auto"/>
              <w:left w:val="single" w:sz="12" w:space="0" w:color="auto"/>
            </w:tcBorders>
            <w:vAlign w:val="center"/>
          </w:tcPr>
          <w:p w14:paraId="0D41062E" w14:textId="77777777" w:rsidR="004316CD" w:rsidRPr="004316CD" w:rsidRDefault="004316CD" w:rsidP="00A23924">
            <w:pPr>
              <w:jc w:val="center"/>
              <w:rPr>
                <w:rFonts w:ascii="Times New Roman" w:hAnsi="Times New Roman" w:cs="Times New Roman"/>
                <w:sz w:val="20"/>
                <w:szCs w:val="20"/>
              </w:rPr>
            </w:pPr>
          </w:p>
        </w:tc>
        <w:tc>
          <w:tcPr>
            <w:tcW w:w="425" w:type="dxa"/>
            <w:tcBorders>
              <w:top w:val="single" w:sz="12" w:space="0" w:color="auto"/>
            </w:tcBorders>
            <w:vAlign w:val="center"/>
          </w:tcPr>
          <w:p w14:paraId="1296C9C9" w14:textId="77777777" w:rsidR="004316CD" w:rsidRPr="004316CD" w:rsidRDefault="004316CD" w:rsidP="00A23924">
            <w:pPr>
              <w:jc w:val="center"/>
              <w:rPr>
                <w:rFonts w:ascii="Times New Roman" w:hAnsi="Times New Roman" w:cs="Times New Roman"/>
                <w:sz w:val="20"/>
                <w:szCs w:val="20"/>
              </w:rPr>
            </w:pPr>
          </w:p>
        </w:tc>
        <w:tc>
          <w:tcPr>
            <w:tcW w:w="426" w:type="dxa"/>
            <w:tcBorders>
              <w:top w:val="single" w:sz="12" w:space="0" w:color="auto"/>
            </w:tcBorders>
            <w:vAlign w:val="center"/>
          </w:tcPr>
          <w:p w14:paraId="3DC7EAE7" w14:textId="77777777" w:rsidR="004316CD" w:rsidRPr="004316CD" w:rsidRDefault="004316CD" w:rsidP="00A23924">
            <w:pPr>
              <w:jc w:val="center"/>
              <w:rPr>
                <w:rFonts w:ascii="Times New Roman" w:hAnsi="Times New Roman" w:cs="Times New Roman"/>
                <w:sz w:val="20"/>
                <w:szCs w:val="20"/>
              </w:rPr>
            </w:pPr>
          </w:p>
        </w:tc>
        <w:tc>
          <w:tcPr>
            <w:tcW w:w="425" w:type="dxa"/>
            <w:tcBorders>
              <w:top w:val="single" w:sz="12" w:space="0" w:color="auto"/>
              <w:right w:val="single" w:sz="12" w:space="0" w:color="auto"/>
            </w:tcBorders>
            <w:vAlign w:val="center"/>
          </w:tcPr>
          <w:p w14:paraId="398B7350" w14:textId="77777777" w:rsidR="004316CD" w:rsidRPr="004316CD" w:rsidRDefault="004316CD" w:rsidP="00A23924">
            <w:pPr>
              <w:jc w:val="center"/>
              <w:rPr>
                <w:rFonts w:ascii="Times New Roman" w:hAnsi="Times New Roman" w:cs="Times New Roman"/>
                <w:sz w:val="20"/>
                <w:szCs w:val="20"/>
              </w:rPr>
            </w:pPr>
          </w:p>
        </w:tc>
      </w:tr>
      <w:tr w:rsidR="000C36C1" w:rsidRPr="004316CD" w14:paraId="7B6AF52B" w14:textId="77777777" w:rsidTr="00F61AA1">
        <w:trPr>
          <w:trHeight w:val="454"/>
          <w:jc w:val="center"/>
        </w:trPr>
        <w:tc>
          <w:tcPr>
            <w:tcW w:w="562" w:type="dxa"/>
            <w:tcBorders>
              <w:top w:val="single" w:sz="12" w:space="0" w:color="auto"/>
              <w:left w:val="single" w:sz="12" w:space="0" w:color="auto"/>
            </w:tcBorders>
            <w:shd w:val="clear" w:color="auto" w:fill="ACB9CA" w:themeFill="text2" w:themeFillTint="66"/>
            <w:vAlign w:val="center"/>
          </w:tcPr>
          <w:p w14:paraId="6AFA8B63" w14:textId="77777777" w:rsidR="000C36C1" w:rsidRPr="004316CD" w:rsidRDefault="000C36C1" w:rsidP="00A510E4">
            <w:pPr>
              <w:pStyle w:val="ListParagraph"/>
              <w:numPr>
                <w:ilvl w:val="0"/>
                <w:numId w:val="9"/>
              </w:numPr>
              <w:tabs>
                <w:tab w:val="left" w:pos="360"/>
              </w:tabs>
              <w:ind w:hanging="549"/>
              <w:rPr>
                <w:rFonts w:ascii="Times New Roman" w:hAnsi="Times New Roman" w:cs="Times New Roman"/>
                <w:sz w:val="20"/>
                <w:szCs w:val="20"/>
              </w:rPr>
            </w:pPr>
          </w:p>
        </w:tc>
        <w:tc>
          <w:tcPr>
            <w:tcW w:w="3818" w:type="dxa"/>
            <w:tcBorders>
              <w:top w:val="single" w:sz="12" w:space="0" w:color="auto"/>
            </w:tcBorders>
          </w:tcPr>
          <w:p w14:paraId="0F692FFF" w14:textId="77777777" w:rsidR="000C5184" w:rsidRDefault="000C5184" w:rsidP="000C5184">
            <w:pPr>
              <w:rPr>
                <w:rFonts w:ascii="Times New Roman" w:hAnsi="Times New Roman" w:cs="Times New Roman"/>
                <w:sz w:val="20"/>
                <w:szCs w:val="20"/>
              </w:rPr>
            </w:pPr>
            <w:r>
              <w:rPr>
                <w:rFonts w:ascii="Times New Roman" w:hAnsi="Times New Roman" w:cs="Times New Roman"/>
                <w:sz w:val="20"/>
                <w:szCs w:val="20"/>
              </w:rPr>
              <w:t>G</w:t>
            </w:r>
            <w:r w:rsidR="000C36C1">
              <w:rPr>
                <w:rFonts w:ascii="Times New Roman" w:hAnsi="Times New Roman" w:cs="Times New Roman"/>
                <w:sz w:val="20"/>
                <w:szCs w:val="20"/>
              </w:rPr>
              <w:t>rozījumu izstr</w:t>
            </w:r>
            <w:r>
              <w:rPr>
                <w:rFonts w:ascii="Times New Roman" w:hAnsi="Times New Roman" w:cs="Times New Roman"/>
                <w:sz w:val="20"/>
                <w:szCs w:val="20"/>
              </w:rPr>
              <w:t>āde</w:t>
            </w:r>
            <w:r w:rsidR="000C36C1">
              <w:rPr>
                <w:rFonts w:ascii="Times New Roman" w:hAnsi="Times New Roman" w:cs="Times New Roman"/>
                <w:sz w:val="20"/>
                <w:szCs w:val="20"/>
              </w:rPr>
              <w:t xml:space="preserve"> MK 02.10.2007. noteikumos </w:t>
            </w:r>
            <w:r w:rsidR="000C36C1" w:rsidRPr="004316CD">
              <w:rPr>
                <w:rFonts w:ascii="Times New Roman" w:hAnsi="Times New Roman" w:cs="Times New Roman"/>
                <w:sz w:val="20"/>
                <w:szCs w:val="20"/>
              </w:rPr>
              <w:t>Nr. 655</w:t>
            </w:r>
            <w:r>
              <w:rPr>
                <w:rFonts w:ascii="Times New Roman" w:hAnsi="Times New Roman" w:cs="Times New Roman"/>
                <w:sz w:val="20"/>
                <w:szCs w:val="20"/>
              </w:rPr>
              <w:t>:</w:t>
            </w:r>
          </w:p>
          <w:p w14:paraId="6B8092A7" w14:textId="77777777" w:rsidR="000C5184" w:rsidRDefault="000C5184" w:rsidP="000C5184">
            <w:pPr>
              <w:rPr>
                <w:rFonts w:ascii="Times New Roman" w:hAnsi="Times New Roman" w:cs="Times New Roman"/>
                <w:sz w:val="20"/>
                <w:szCs w:val="20"/>
              </w:rPr>
            </w:pPr>
            <w:r>
              <w:rPr>
                <w:rFonts w:ascii="Times New Roman" w:hAnsi="Times New Roman" w:cs="Times New Roman"/>
                <w:sz w:val="20"/>
                <w:szCs w:val="20"/>
              </w:rPr>
              <w:t>1) b</w:t>
            </w:r>
            <w:r w:rsidRPr="00146EA2">
              <w:rPr>
                <w:rFonts w:ascii="Times New Roman" w:hAnsi="Times New Roman" w:cs="Times New Roman"/>
                <w:sz w:val="20"/>
                <w:szCs w:val="20"/>
              </w:rPr>
              <w:t xml:space="preserve">āzes finansējuma nodrošināšana profesionālās </w:t>
            </w:r>
            <w:r>
              <w:rPr>
                <w:rFonts w:ascii="Times New Roman" w:hAnsi="Times New Roman" w:cs="Times New Roman"/>
                <w:sz w:val="20"/>
                <w:szCs w:val="20"/>
              </w:rPr>
              <w:t xml:space="preserve">IP īstenošanai; </w:t>
            </w:r>
          </w:p>
          <w:p w14:paraId="28C23A58" w14:textId="21CA9693" w:rsidR="000C36C1" w:rsidRPr="000C5184" w:rsidRDefault="000C5184" w:rsidP="000C5184">
            <w:pPr>
              <w:rPr>
                <w:rFonts w:ascii="Times New Roman" w:eastAsia="Times New Roman" w:hAnsi="Times New Roman" w:cs="Times New Roman"/>
                <w:sz w:val="20"/>
                <w:szCs w:val="20"/>
              </w:rPr>
            </w:pPr>
            <w:r>
              <w:rPr>
                <w:rFonts w:ascii="Times New Roman" w:hAnsi="Times New Roman" w:cs="Times New Roman"/>
                <w:sz w:val="20"/>
                <w:szCs w:val="20"/>
              </w:rPr>
              <w:t xml:space="preserve">2) </w:t>
            </w:r>
            <w:r w:rsidRPr="004316CD">
              <w:rPr>
                <w:rFonts w:ascii="Times New Roman" w:hAnsi="Times New Roman" w:cs="Times New Roman"/>
                <w:sz w:val="20"/>
                <w:szCs w:val="20"/>
              </w:rPr>
              <w:t>pašvaldību un cit</w:t>
            </w:r>
            <w:r>
              <w:rPr>
                <w:rFonts w:ascii="Times New Roman" w:hAnsi="Times New Roman" w:cs="Times New Roman"/>
                <w:sz w:val="20"/>
                <w:szCs w:val="20"/>
              </w:rPr>
              <w:t>u dibinātāju izglītības iestāžu īstenoto IP finansēšana</w:t>
            </w:r>
            <w:r w:rsidRPr="004316CD">
              <w:rPr>
                <w:rFonts w:ascii="Times New Roman" w:hAnsi="Times New Roman" w:cs="Times New Roman"/>
                <w:sz w:val="20"/>
                <w:szCs w:val="20"/>
              </w:rPr>
              <w:t xml:space="preserve"> </w:t>
            </w:r>
            <w:r>
              <w:rPr>
                <w:rFonts w:ascii="Times New Roman" w:hAnsi="Times New Roman" w:cs="Times New Roman"/>
                <w:sz w:val="20"/>
                <w:szCs w:val="20"/>
              </w:rPr>
              <w:t xml:space="preserve">no </w:t>
            </w:r>
            <w:r>
              <w:rPr>
                <w:rFonts w:ascii="Times New Roman" w:eastAsia="Times New Roman" w:hAnsi="Times New Roman" w:cs="Times New Roman"/>
                <w:sz w:val="20"/>
                <w:szCs w:val="20"/>
              </w:rPr>
              <w:t>valsts budžeta</w:t>
            </w:r>
            <w:r w:rsidRPr="004316CD">
              <w:rPr>
                <w:rFonts w:ascii="Times New Roman" w:hAnsi="Times New Roman" w:cs="Times New Roman"/>
                <w:sz w:val="20"/>
                <w:szCs w:val="20"/>
              </w:rPr>
              <w:t>, t.sk.</w:t>
            </w:r>
            <w:r w:rsidRPr="004316CD">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kritēriju izstrāde </w:t>
            </w:r>
            <w:r w:rsidRPr="004316CD">
              <w:rPr>
                <w:rFonts w:ascii="Times New Roman" w:hAnsi="Times New Roman" w:cs="Times New Roman"/>
                <w:sz w:val="20"/>
                <w:szCs w:val="20"/>
              </w:rPr>
              <w:t xml:space="preserve">profesionālās </w:t>
            </w:r>
            <w:r>
              <w:rPr>
                <w:rFonts w:ascii="Times New Roman" w:hAnsi="Times New Roman" w:cs="Times New Roman"/>
                <w:sz w:val="20"/>
                <w:szCs w:val="20"/>
              </w:rPr>
              <w:t>IP finansēšanai</w:t>
            </w:r>
            <w:r w:rsidR="00DB5815">
              <w:rPr>
                <w:rFonts w:ascii="Times New Roman" w:eastAsia="Times New Roman" w:hAnsi="Times New Roman" w:cs="Times New Roman"/>
                <w:sz w:val="20"/>
                <w:szCs w:val="20"/>
              </w:rPr>
              <w:t>.</w:t>
            </w:r>
          </w:p>
        </w:tc>
        <w:tc>
          <w:tcPr>
            <w:tcW w:w="1559" w:type="dxa"/>
            <w:tcBorders>
              <w:top w:val="single" w:sz="12" w:space="0" w:color="auto"/>
              <w:right w:val="single" w:sz="12" w:space="0" w:color="auto"/>
            </w:tcBorders>
            <w:shd w:val="clear" w:color="auto" w:fill="auto"/>
          </w:tcPr>
          <w:p w14:paraId="3E4512AB" w14:textId="28DB8B84" w:rsidR="000C36C1" w:rsidRPr="004316CD" w:rsidRDefault="000C36C1" w:rsidP="00395220">
            <w:pPr>
              <w:rPr>
                <w:rFonts w:ascii="Times New Roman" w:hAnsi="Times New Roman" w:cs="Times New Roman"/>
                <w:sz w:val="20"/>
                <w:szCs w:val="20"/>
              </w:rPr>
            </w:pPr>
            <w:r>
              <w:rPr>
                <w:rFonts w:ascii="Times New Roman" w:hAnsi="Times New Roman" w:cs="Times New Roman"/>
                <w:sz w:val="20"/>
                <w:szCs w:val="20"/>
              </w:rPr>
              <w:t>IZM</w:t>
            </w:r>
          </w:p>
        </w:tc>
        <w:tc>
          <w:tcPr>
            <w:tcW w:w="425" w:type="dxa"/>
            <w:tcBorders>
              <w:top w:val="single" w:sz="12" w:space="0" w:color="auto"/>
              <w:left w:val="single" w:sz="12" w:space="0" w:color="auto"/>
            </w:tcBorders>
            <w:shd w:val="clear" w:color="auto" w:fill="EDEDED" w:themeFill="accent3" w:themeFillTint="33"/>
            <w:vAlign w:val="center"/>
          </w:tcPr>
          <w:p w14:paraId="7AE9F5A5" w14:textId="77777777" w:rsidR="000C36C1" w:rsidRPr="004316CD" w:rsidRDefault="000C36C1" w:rsidP="00A23924">
            <w:pPr>
              <w:jc w:val="center"/>
              <w:rPr>
                <w:rFonts w:ascii="Times New Roman" w:hAnsi="Times New Roman" w:cs="Times New Roman"/>
                <w:sz w:val="20"/>
                <w:szCs w:val="20"/>
              </w:rPr>
            </w:pPr>
          </w:p>
        </w:tc>
        <w:tc>
          <w:tcPr>
            <w:tcW w:w="425" w:type="dxa"/>
            <w:tcBorders>
              <w:top w:val="single" w:sz="12" w:space="0" w:color="auto"/>
            </w:tcBorders>
            <w:shd w:val="clear" w:color="auto" w:fill="EDEDED" w:themeFill="accent3" w:themeFillTint="33"/>
            <w:vAlign w:val="center"/>
          </w:tcPr>
          <w:p w14:paraId="7C81BEBD" w14:textId="77777777" w:rsidR="000C36C1" w:rsidRPr="004316CD" w:rsidRDefault="000C36C1" w:rsidP="00A23924">
            <w:pPr>
              <w:jc w:val="center"/>
              <w:rPr>
                <w:rFonts w:ascii="Times New Roman" w:hAnsi="Times New Roman" w:cs="Times New Roman"/>
                <w:sz w:val="20"/>
                <w:szCs w:val="20"/>
              </w:rPr>
            </w:pPr>
          </w:p>
        </w:tc>
        <w:tc>
          <w:tcPr>
            <w:tcW w:w="426" w:type="dxa"/>
            <w:tcBorders>
              <w:top w:val="single" w:sz="12" w:space="0" w:color="auto"/>
            </w:tcBorders>
            <w:shd w:val="clear" w:color="auto" w:fill="EDEDED" w:themeFill="accent3" w:themeFillTint="33"/>
            <w:vAlign w:val="center"/>
          </w:tcPr>
          <w:p w14:paraId="187F45FC" w14:textId="77777777" w:rsidR="000C36C1" w:rsidRPr="004316CD" w:rsidRDefault="000C36C1" w:rsidP="00A23924">
            <w:pPr>
              <w:jc w:val="center"/>
              <w:rPr>
                <w:rFonts w:ascii="Times New Roman" w:hAnsi="Times New Roman" w:cs="Times New Roman"/>
                <w:sz w:val="20"/>
                <w:szCs w:val="20"/>
              </w:rPr>
            </w:pPr>
          </w:p>
        </w:tc>
        <w:tc>
          <w:tcPr>
            <w:tcW w:w="425" w:type="dxa"/>
            <w:tcBorders>
              <w:top w:val="single" w:sz="12" w:space="0" w:color="auto"/>
              <w:right w:val="single" w:sz="12" w:space="0" w:color="auto"/>
            </w:tcBorders>
            <w:shd w:val="clear" w:color="auto" w:fill="auto"/>
            <w:vAlign w:val="center"/>
          </w:tcPr>
          <w:p w14:paraId="65AC889F" w14:textId="77777777" w:rsidR="000C36C1" w:rsidRPr="004316CD" w:rsidRDefault="000C36C1" w:rsidP="00A23924">
            <w:pPr>
              <w:jc w:val="center"/>
              <w:rPr>
                <w:rFonts w:ascii="Times New Roman" w:hAnsi="Times New Roman" w:cs="Times New Roman"/>
                <w:sz w:val="20"/>
                <w:szCs w:val="20"/>
              </w:rPr>
            </w:pPr>
          </w:p>
        </w:tc>
        <w:tc>
          <w:tcPr>
            <w:tcW w:w="425" w:type="dxa"/>
            <w:tcBorders>
              <w:top w:val="single" w:sz="12" w:space="0" w:color="auto"/>
              <w:left w:val="single" w:sz="12" w:space="0" w:color="auto"/>
            </w:tcBorders>
            <w:shd w:val="clear" w:color="auto" w:fill="FFC000"/>
            <w:vAlign w:val="center"/>
          </w:tcPr>
          <w:p w14:paraId="27021ED2" w14:textId="77777777" w:rsidR="000C36C1" w:rsidRPr="004316CD" w:rsidRDefault="000C36C1" w:rsidP="00A23924">
            <w:pPr>
              <w:jc w:val="center"/>
              <w:rPr>
                <w:rFonts w:ascii="Times New Roman" w:hAnsi="Times New Roman" w:cs="Times New Roman"/>
                <w:sz w:val="20"/>
                <w:szCs w:val="20"/>
              </w:rPr>
            </w:pPr>
          </w:p>
        </w:tc>
        <w:tc>
          <w:tcPr>
            <w:tcW w:w="425" w:type="dxa"/>
            <w:tcBorders>
              <w:top w:val="single" w:sz="12" w:space="0" w:color="auto"/>
            </w:tcBorders>
            <w:shd w:val="clear" w:color="auto" w:fill="FFC000"/>
            <w:vAlign w:val="center"/>
          </w:tcPr>
          <w:p w14:paraId="176516B6" w14:textId="77777777" w:rsidR="000C36C1" w:rsidRPr="004316CD" w:rsidRDefault="000C36C1" w:rsidP="00A23924">
            <w:pPr>
              <w:jc w:val="center"/>
              <w:rPr>
                <w:rFonts w:ascii="Times New Roman" w:hAnsi="Times New Roman" w:cs="Times New Roman"/>
                <w:sz w:val="20"/>
                <w:szCs w:val="20"/>
              </w:rPr>
            </w:pPr>
          </w:p>
        </w:tc>
        <w:tc>
          <w:tcPr>
            <w:tcW w:w="426" w:type="dxa"/>
            <w:tcBorders>
              <w:top w:val="single" w:sz="12" w:space="0" w:color="auto"/>
            </w:tcBorders>
            <w:shd w:val="clear" w:color="auto" w:fill="FFC000"/>
            <w:vAlign w:val="center"/>
          </w:tcPr>
          <w:p w14:paraId="1C251558" w14:textId="77777777" w:rsidR="000C36C1" w:rsidRPr="004316CD" w:rsidRDefault="000C36C1" w:rsidP="00A23924">
            <w:pPr>
              <w:jc w:val="center"/>
              <w:rPr>
                <w:rFonts w:ascii="Times New Roman" w:hAnsi="Times New Roman" w:cs="Times New Roman"/>
                <w:sz w:val="20"/>
                <w:szCs w:val="20"/>
              </w:rPr>
            </w:pPr>
          </w:p>
        </w:tc>
        <w:tc>
          <w:tcPr>
            <w:tcW w:w="425" w:type="dxa"/>
            <w:tcBorders>
              <w:top w:val="single" w:sz="12" w:space="0" w:color="auto"/>
              <w:right w:val="single" w:sz="12" w:space="0" w:color="auto"/>
            </w:tcBorders>
            <w:shd w:val="clear" w:color="auto" w:fill="auto"/>
            <w:vAlign w:val="center"/>
          </w:tcPr>
          <w:p w14:paraId="55B0808C" w14:textId="77777777" w:rsidR="000C36C1" w:rsidRPr="004316CD" w:rsidRDefault="000C36C1" w:rsidP="00A23924">
            <w:pPr>
              <w:jc w:val="center"/>
              <w:rPr>
                <w:rFonts w:ascii="Times New Roman" w:hAnsi="Times New Roman" w:cs="Times New Roman"/>
                <w:sz w:val="20"/>
                <w:szCs w:val="20"/>
              </w:rPr>
            </w:pPr>
          </w:p>
        </w:tc>
        <w:tc>
          <w:tcPr>
            <w:tcW w:w="425" w:type="dxa"/>
            <w:tcBorders>
              <w:top w:val="single" w:sz="12" w:space="0" w:color="auto"/>
              <w:left w:val="single" w:sz="12" w:space="0" w:color="auto"/>
            </w:tcBorders>
            <w:vAlign w:val="center"/>
          </w:tcPr>
          <w:p w14:paraId="6F4061CF" w14:textId="77777777" w:rsidR="000C36C1" w:rsidRPr="004316CD" w:rsidRDefault="000C36C1" w:rsidP="00A23924">
            <w:pPr>
              <w:jc w:val="center"/>
              <w:rPr>
                <w:rFonts w:ascii="Times New Roman" w:hAnsi="Times New Roman" w:cs="Times New Roman"/>
                <w:sz w:val="20"/>
                <w:szCs w:val="20"/>
              </w:rPr>
            </w:pPr>
          </w:p>
        </w:tc>
        <w:tc>
          <w:tcPr>
            <w:tcW w:w="425" w:type="dxa"/>
            <w:tcBorders>
              <w:top w:val="single" w:sz="12" w:space="0" w:color="auto"/>
            </w:tcBorders>
            <w:vAlign w:val="center"/>
          </w:tcPr>
          <w:p w14:paraId="13F53212" w14:textId="77777777" w:rsidR="000C36C1" w:rsidRPr="004316CD" w:rsidRDefault="000C36C1" w:rsidP="00A23924">
            <w:pPr>
              <w:jc w:val="center"/>
              <w:rPr>
                <w:rFonts w:ascii="Times New Roman" w:hAnsi="Times New Roman" w:cs="Times New Roman"/>
                <w:sz w:val="20"/>
                <w:szCs w:val="20"/>
              </w:rPr>
            </w:pPr>
          </w:p>
        </w:tc>
        <w:tc>
          <w:tcPr>
            <w:tcW w:w="426" w:type="dxa"/>
            <w:tcBorders>
              <w:top w:val="single" w:sz="12" w:space="0" w:color="auto"/>
            </w:tcBorders>
            <w:vAlign w:val="center"/>
          </w:tcPr>
          <w:p w14:paraId="408E975C" w14:textId="77777777" w:rsidR="000C36C1" w:rsidRPr="004316CD" w:rsidRDefault="000C36C1" w:rsidP="00A23924">
            <w:pPr>
              <w:jc w:val="center"/>
              <w:rPr>
                <w:rFonts w:ascii="Times New Roman" w:hAnsi="Times New Roman" w:cs="Times New Roman"/>
                <w:sz w:val="20"/>
                <w:szCs w:val="20"/>
              </w:rPr>
            </w:pPr>
          </w:p>
        </w:tc>
        <w:tc>
          <w:tcPr>
            <w:tcW w:w="425" w:type="dxa"/>
            <w:tcBorders>
              <w:top w:val="single" w:sz="12" w:space="0" w:color="auto"/>
              <w:right w:val="single" w:sz="12" w:space="0" w:color="auto"/>
            </w:tcBorders>
            <w:vAlign w:val="center"/>
          </w:tcPr>
          <w:p w14:paraId="39516E74" w14:textId="77777777" w:rsidR="000C36C1" w:rsidRPr="004316CD" w:rsidRDefault="000C36C1" w:rsidP="00A23924">
            <w:pPr>
              <w:jc w:val="center"/>
              <w:rPr>
                <w:rFonts w:ascii="Times New Roman" w:hAnsi="Times New Roman" w:cs="Times New Roman"/>
                <w:sz w:val="20"/>
                <w:szCs w:val="20"/>
              </w:rPr>
            </w:pPr>
          </w:p>
        </w:tc>
        <w:tc>
          <w:tcPr>
            <w:tcW w:w="425" w:type="dxa"/>
            <w:tcBorders>
              <w:top w:val="single" w:sz="12" w:space="0" w:color="auto"/>
              <w:left w:val="single" w:sz="12" w:space="0" w:color="auto"/>
            </w:tcBorders>
            <w:vAlign w:val="center"/>
          </w:tcPr>
          <w:p w14:paraId="04071D4E" w14:textId="77777777" w:rsidR="000C36C1" w:rsidRPr="004316CD" w:rsidRDefault="000C36C1" w:rsidP="00A23924">
            <w:pPr>
              <w:jc w:val="center"/>
              <w:rPr>
                <w:rFonts w:ascii="Times New Roman" w:hAnsi="Times New Roman" w:cs="Times New Roman"/>
                <w:sz w:val="20"/>
                <w:szCs w:val="20"/>
              </w:rPr>
            </w:pPr>
          </w:p>
        </w:tc>
        <w:tc>
          <w:tcPr>
            <w:tcW w:w="425" w:type="dxa"/>
            <w:tcBorders>
              <w:top w:val="single" w:sz="12" w:space="0" w:color="auto"/>
            </w:tcBorders>
            <w:vAlign w:val="center"/>
          </w:tcPr>
          <w:p w14:paraId="1FFBDF8D" w14:textId="77777777" w:rsidR="000C36C1" w:rsidRPr="004316CD" w:rsidRDefault="000C36C1" w:rsidP="00A23924">
            <w:pPr>
              <w:jc w:val="center"/>
              <w:rPr>
                <w:rFonts w:ascii="Times New Roman" w:hAnsi="Times New Roman" w:cs="Times New Roman"/>
                <w:sz w:val="20"/>
                <w:szCs w:val="20"/>
              </w:rPr>
            </w:pPr>
          </w:p>
        </w:tc>
        <w:tc>
          <w:tcPr>
            <w:tcW w:w="426" w:type="dxa"/>
            <w:tcBorders>
              <w:top w:val="single" w:sz="12" w:space="0" w:color="auto"/>
            </w:tcBorders>
            <w:vAlign w:val="center"/>
          </w:tcPr>
          <w:p w14:paraId="1CBBF021" w14:textId="77777777" w:rsidR="000C36C1" w:rsidRPr="004316CD" w:rsidRDefault="000C36C1" w:rsidP="00A23924">
            <w:pPr>
              <w:jc w:val="center"/>
              <w:rPr>
                <w:rFonts w:ascii="Times New Roman" w:hAnsi="Times New Roman" w:cs="Times New Roman"/>
                <w:sz w:val="20"/>
                <w:szCs w:val="20"/>
              </w:rPr>
            </w:pPr>
          </w:p>
        </w:tc>
        <w:tc>
          <w:tcPr>
            <w:tcW w:w="425" w:type="dxa"/>
            <w:tcBorders>
              <w:top w:val="single" w:sz="12" w:space="0" w:color="auto"/>
              <w:right w:val="single" w:sz="12" w:space="0" w:color="auto"/>
            </w:tcBorders>
            <w:vAlign w:val="center"/>
          </w:tcPr>
          <w:p w14:paraId="70F7D589" w14:textId="77777777" w:rsidR="000C36C1" w:rsidRPr="004316CD" w:rsidRDefault="000C36C1" w:rsidP="00A23924">
            <w:pPr>
              <w:jc w:val="center"/>
              <w:rPr>
                <w:rFonts w:ascii="Times New Roman" w:hAnsi="Times New Roman" w:cs="Times New Roman"/>
                <w:sz w:val="20"/>
                <w:szCs w:val="20"/>
              </w:rPr>
            </w:pPr>
          </w:p>
        </w:tc>
        <w:tc>
          <w:tcPr>
            <w:tcW w:w="425" w:type="dxa"/>
            <w:tcBorders>
              <w:top w:val="single" w:sz="12" w:space="0" w:color="auto"/>
              <w:left w:val="single" w:sz="12" w:space="0" w:color="auto"/>
            </w:tcBorders>
            <w:vAlign w:val="center"/>
          </w:tcPr>
          <w:p w14:paraId="6EC7E7C5" w14:textId="77777777" w:rsidR="000C36C1" w:rsidRPr="004316CD" w:rsidRDefault="000C36C1" w:rsidP="00A23924">
            <w:pPr>
              <w:jc w:val="center"/>
              <w:rPr>
                <w:rFonts w:ascii="Times New Roman" w:hAnsi="Times New Roman" w:cs="Times New Roman"/>
                <w:sz w:val="20"/>
                <w:szCs w:val="20"/>
              </w:rPr>
            </w:pPr>
          </w:p>
        </w:tc>
        <w:tc>
          <w:tcPr>
            <w:tcW w:w="425" w:type="dxa"/>
            <w:tcBorders>
              <w:top w:val="single" w:sz="12" w:space="0" w:color="auto"/>
            </w:tcBorders>
            <w:vAlign w:val="center"/>
          </w:tcPr>
          <w:p w14:paraId="06136C47" w14:textId="77777777" w:rsidR="000C36C1" w:rsidRPr="004316CD" w:rsidRDefault="000C36C1" w:rsidP="00A23924">
            <w:pPr>
              <w:jc w:val="center"/>
              <w:rPr>
                <w:rFonts w:ascii="Times New Roman" w:hAnsi="Times New Roman" w:cs="Times New Roman"/>
                <w:sz w:val="20"/>
                <w:szCs w:val="20"/>
              </w:rPr>
            </w:pPr>
          </w:p>
        </w:tc>
        <w:tc>
          <w:tcPr>
            <w:tcW w:w="426" w:type="dxa"/>
            <w:tcBorders>
              <w:top w:val="single" w:sz="12" w:space="0" w:color="auto"/>
            </w:tcBorders>
            <w:vAlign w:val="center"/>
          </w:tcPr>
          <w:p w14:paraId="322D8F13" w14:textId="77777777" w:rsidR="000C36C1" w:rsidRPr="004316CD" w:rsidRDefault="000C36C1" w:rsidP="00A23924">
            <w:pPr>
              <w:jc w:val="center"/>
              <w:rPr>
                <w:rFonts w:ascii="Times New Roman" w:hAnsi="Times New Roman" w:cs="Times New Roman"/>
                <w:sz w:val="20"/>
                <w:szCs w:val="20"/>
              </w:rPr>
            </w:pPr>
          </w:p>
        </w:tc>
        <w:tc>
          <w:tcPr>
            <w:tcW w:w="425" w:type="dxa"/>
            <w:tcBorders>
              <w:top w:val="single" w:sz="12" w:space="0" w:color="auto"/>
              <w:right w:val="single" w:sz="12" w:space="0" w:color="auto"/>
            </w:tcBorders>
            <w:vAlign w:val="center"/>
          </w:tcPr>
          <w:p w14:paraId="18D696FC" w14:textId="77777777" w:rsidR="000C36C1" w:rsidRPr="004316CD" w:rsidRDefault="000C36C1" w:rsidP="00A23924">
            <w:pPr>
              <w:jc w:val="center"/>
              <w:rPr>
                <w:rFonts w:ascii="Times New Roman" w:hAnsi="Times New Roman" w:cs="Times New Roman"/>
                <w:sz w:val="20"/>
                <w:szCs w:val="20"/>
              </w:rPr>
            </w:pPr>
          </w:p>
        </w:tc>
      </w:tr>
      <w:tr w:rsidR="00146EA2" w:rsidRPr="004316CD" w14:paraId="1073B189" w14:textId="77777777" w:rsidTr="00F61AA1">
        <w:trPr>
          <w:trHeight w:val="454"/>
          <w:jc w:val="center"/>
        </w:trPr>
        <w:tc>
          <w:tcPr>
            <w:tcW w:w="562" w:type="dxa"/>
            <w:tcBorders>
              <w:top w:val="single" w:sz="12" w:space="0" w:color="auto"/>
              <w:left w:val="single" w:sz="12" w:space="0" w:color="auto"/>
            </w:tcBorders>
            <w:shd w:val="clear" w:color="auto" w:fill="ACB9CA" w:themeFill="text2" w:themeFillTint="66"/>
            <w:vAlign w:val="center"/>
          </w:tcPr>
          <w:p w14:paraId="5D87FE9A" w14:textId="7EDCAD2F" w:rsidR="00146EA2" w:rsidRPr="004316CD" w:rsidRDefault="00146EA2" w:rsidP="00A510E4">
            <w:pPr>
              <w:pStyle w:val="ListParagraph"/>
              <w:numPr>
                <w:ilvl w:val="0"/>
                <w:numId w:val="9"/>
              </w:numPr>
              <w:tabs>
                <w:tab w:val="left" w:pos="360"/>
              </w:tabs>
              <w:ind w:hanging="549"/>
              <w:rPr>
                <w:rFonts w:ascii="Times New Roman" w:hAnsi="Times New Roman" w:cs="Times New Roman"/>
                <w:sz w:val="20"/>
                <w:szCs w:val="20"/>
              </w:rPr>
            </w:pPr>
          </w:p>
        </w:tc>
        <w:tc>
          <w:tcPr>
            <w:tcW w:w="3818" w:type="dxa"/>
            <w:tcBorders>
              <w:top w:val="single" w:sz="12" w:space="0" w:color="auto"/>
            </w:tcBorders>
          </w:tcPr>
          <w:p w14:paraId="244B8CA3" w14:textId="77777777" w:rsidR="00146EA2" w:rsidRDefault="00146EA2" w:rsidP="00146EA2">
            <w:pPr>
              <w:rPr>
                <w:rFonts w:ascii="Times New Roman" w:hAnsi="Times New Roman" w:cs="Times New Roman"/>
                <w:sz w:val="20"/>
                <w:szCs w:val="20"/>
              </w:rPr>
            </w:pPr>
            <w:r>
              <w:rPr>
                <w:rFonts w:ascii="Times New Roman" w:hAnsi="Times New Roman" w:cs="Times New Roman"/>
                <w:sz w:val="20"/>
                <w:szCs w:val="20"/>
              </w:rPr>
              <w:t xml:space="preserve">Iesniegt Finanšu ministrijai </w:t>
            </w:r>
            <w:r w:rsidRPr="00146EA2">
              <w:rPr>
                <w:rFonts w:ascii="Times New Roman" w:hAnsi="Times New Roman" w:cs="Times New Roman"/>
                <w:sz w:val="20"/>
                <w:szCs w:val="20"/>
              </w:rPr>
              <w:t>pieteikum</w:t>
            </w:r>
            <w:r>
              <w:rPr>
                <w:rFonts w:ascii="Times New Roman" w:hAnsi="Times New Roman" w:cs="Times New Roman"/>
                <w:sz w:val="20"/>
                <w:szCs w:val="20"/>
              </w:rPr>
              <w:t xml:space="preserve">u prioritārajiem pasākumiem 2022.gadam: </w:t>
            </w:r>
          </w:p>
          <w:p w14:paraId="354A35E1" w14:textId="77777777" w:rsidR="00146EA2" w:rsidRDefault="00146EA2" w:rsidP="00146EA2">
            <w:pPr>
              <w:rPr>
                <w:rFonts w:ascii="Times New Roman" w:eastAsia="Times New Roman" w:hAnsi="Times New Roman" w:cs="Times New Roman"/>
                <w:sz w:val="20"/>
                <w:szCs w:val="20"/>
              </w:rPr>
            </w:pPr>
            <w:r>
              <w:rPr>
                <w:rFonts w:ascii="Times New Roman" w:hAnsi="Times New Roman" w:cs="Times New Roman"/>
                <w:sz w:val="20"/>
                <w:szCs w:val="20"/>
              </w:rPr>
              <w:t>1) b</w:t>
            </w:r>
            <w:r w:rsidRPr="00146EA2">
              <w:rPr>
                <w:rFonts w:ascii="Times New Roman" w:hAnsi="Times New Roman" w:cs="Times New Roman"/>
                <w:sz w:val="20"/>
                <w:szCs w:val="20"/>
              </w:rPr>
              <w:t>āzes finansējuma nodrošināšana</w:t>
            </w:r>
            <w:r>
              <w:rPr>
                <w:rFonts w:ascii="Times New Roman" w:hAnsi="Times New Roman" w:cs="Times New Roman"/>
                <w:sz w:val="20"/>
                <w:szCs w:val="20"/>
              </w:rPr>
              <w:t>i</w:t>
            </w:r>
            <w:r w:rsidRPr="00146EA2">
              <w:rPr>
                <w:rFonts w:ascii="Times New Roman" w:hAnsi="Times New Roman" w:cs="Times New Roman"/>
                <w:sz w:val="20"/>
                <w:szCs w:val="20"/>
              </w:rPr>
              <w:t xml:space="preserve"> profesionālās </w:t>
            </w:r>
            <w:r>
              <w:rPr>
                <w:rFonts w:ascii="Times New Roman" w:hAnsi="Times New Roman" w:cs="Times New Roman"/>
                <w:sz w:val="20"/>
                <w:szCs w:val="20"/>
              </w:rPr>
              <w:t xml:space="preserve">IP īstenošanai (t.sk. </w:t>
            </w:r>
            <w:r w:rsidRPr="004316CD">
              <w:rPr>
                <w:rFonts w:ascii="Times New Roman" w:hAnsi="Times New Roman" w:cs="Times New Roman"/>
                <w:sz w:val="20"/>
                <w:szCs w:val="20"/>
              </w:rPr>
              <w:t>pašvaldību un cit</w:t>
            </w:r>
            <w:r>
              <w:rPr>
                <w:rFonts w:ascii="Times New Roman" w:hAnsi="Times New Roman" w:cs="Times New Roman"/>
                <w:sz w:val="20"/>
                <w:szCs w:val="20"/>
              </w:rPr>
              <w:t>u dibinātāju izglītības iestāžu īstenoto IP finansēšana</w:t>
            </w:r>
            <w:r w:rsidRPr="004316CD">
              <w:rPr>
                <w:rFonts w:ascii="Times New Roman" w:hAnsi="Times New Roman" w:cs="Times New Roman"/>
                <w:sz w:val="20"/>
                <w:szCs w:val="20"/>
              </w:rPr>
              <w:t xml:space="preserve"> </w:t>
            </w:r>
            <w:r>
              <w:rPr>
                <w:rFonts w:ascii="Times New Roman" w:hAnsi="Times New Roman" w:cs="Times New Roman"/>
                <w:sz w:val="20"/>
                <w:szCs w:val="20"/>
              </w:rPr>
              <w:t xml:space="preserve">no </w:t>
            </w:r>
            <w:r>
              <w:rPr>
                <w:rFonts w:ascii="Times New Roman" w:eastAsia="Times New Roman" w:hAnsi="Times New Roman" w:cs="Times New Roman"/>
                <w:sz w:val="20"/>
                <w:szCs w:val="20"/>
              </w:rPr>
              <w:t xml:space="preserve">valsts budžeta); </w:t>
            </w:r>
          </w:p>
          <w:p w14:paraId="453F4F5C" w14:textId="7B01B6ED" w:rsidR="00146EA2" w:rsidRDefault="00146EA2" w:rsidP="00146EA2">
            <w:pPr>
              <w:rPr>
                <w:rFonts w:ascii="Times New Roman" w:hAnsi="Times New Roman" w:cs="Times New Roman"/>
                <w:sz w:val="20"/>
                <w:szCs w:val="20"/>
              </w:rPr>
            </w:pPr>
            <w:r>
              <w:rPr>
                <w:rFonts w:ascii="Times New Roman" w:eastAsia="Times New Roman" w:hAnsi="Times New Roman" w:cs="Times New Roman"/>
                <w:sz w:val="20"/>
                <w:szCs w:val="20"/>
              </w:rPr>
              <w:t xml:space="preserve">2) </w:t>
            </w:r>
            <w:r w:rsidRPr="00146EA2">
              <w:rPr>
                <w:rFonts w:ascii="Times New Roman" w:eastAsia="Times New Roman" w:hAnsi="Times New Roman" w:cs="Times New Roman"/>
                <w:sz w:val="20"/>
                <w:szCs w:val="20"/>
              </w:rPr>
              <w:t>prakšu orga</w:t>
            </w:r>
            <w:r>
              <w:rPr>
                <w:rFonts w:ascii="Times New Roman" w:eastAsia="Times New Roman" w:hAnsi="Times New Roman" w:cs="Times New Roman"/>
                <w:sz w:val="20"/>
                <w:szCs w:val="20"/>
              </w:rPr>
              <w:t>nizēšanas izmaksu nodrošināšana.</w:t>
            </w:r>
          </w:p>
        </w:tc>
        <w:tc>
          <w:tcPr>
            <w:tcW w:w="1559" w:type="dxa"/>
            <w:tcBorders>
              <w:top w:val="single" w:sz="12" w:space="0" w:color="auto"/>
              <w:right w:val="single" w:sz="12" w:space="0" w:color="auto"/>
            </w:tcBorders>
            <w:shd w:val="clear" w:color="auto" w:fill="auto"/>
          </w:tcPr>
          <w:p w14:paraId="28D4481A" w14:textId="77777777" w:rsidR="00146EA2" w:rsidRDefault="00146EA2" w:rsidP="00395220">
            <w:pPr>
              <w:rPr>
                <w:rFonts w:ascii="Times New Roman" w:hAnsi="Times New Roman" w:cs="Times New Roman"/>
                <w:sz w:val="20"/>
                <w:szCs w:val="20"/>
              </w:rPr>
            </w:pPr>
          </w:p>
        </w:tc>
        <w:tc>
          <w:tcPr>
            <w:tcW w:w="425" w:type="dxa"/>
            <w:tcBorders>
              <w:top w:val="single" w:sz="12" w:space="0" w:color="auto"/>
              <w:left w:val="single" w:sz="12" w:space="0" w:color="auto"/>
            </w:tcBorders>
            <w:shd w:val="clear" w:color="auto" w:fill="EDEDED" w:themeFill="accent3" w:themeFillTint="33"/>
            <w:vAlign w:val="center"/>
          </w:tcPr>
          <w:p w14:paraId="72DED274" w14:textId="77777777" w:rsidR="00146EA2" w:rsidRPr="004316CD" w:rsidRDefault="00146EA2" w:rsidP="00A23924">
            <w:pPr>
              <w:jc w:val="center"/>
              <w:rPr>
                <w:rFonts w:ascii="Times New Roman" w:hAnsi="Times New Roman" w:cs="Times New Roman"/>
                <w:sz w:val="20"/>
                <w:szCs w:val="20"/>
              </w:rPr>
            </w:pPr>
          </w:p>
        </w:tc>
        <w:tc>
          <w:tcPr>
            <w:tcW w:w="425" w:type="dxa"/>
            <w:tcBorders>
              <w:top w:val="single" w:sz="12" w:space="0" w:color="auto"/>
            </w:tcBorders>
            <w:shd w:val="clear" w:color="auto" w:fill="EDEDED" w:themeFill="accent3" w:themeFillTint="33"/>
            <w:vAlign w:val="center"/>
          </w:tcPr>
          <w:p w14:paraId="693C9124" w14:textId="77777777" w:rsidR="00146EA2" w:rsidRPr="004316CD" w:rsidRDefault="00146EA2" w:rsidP="00A23924">
            <w:pPr>
              <w:jc w:val="center"/>
              <w:rPr>
                <w:rFonts w:ascii="Times New Roman" w:hAnsi="Times New Roman" w:cs="Times New Roman"/>
                <w:sz w:val="20"/>
                <w:szCs w:val="20"/>
              </w:rPr>
            </w:pPr>
          </w:p>
        </w:tc>
        <w:tc>
          <w:tcPr>
            <w:tcW w:w="426" w:type="dxa"/>
            <w:tcBorders>
              <w:top w:val="single" w:sz="12" w:space="0" w:color="auto"/>
            </w:tcBorders>
            <w:shd w:val="clear" w:color="auto" w:fill="EDEDED" w:themeFill="accent3" w:themeFillTint="33"/>
            <w:vAlign w:val="center"/>
          </w:tcPr>
          <w:p w14:paraId="53990C96" w14:textId="77777777" w:rsidR="00146EA2" w:rsidRPr="004316CD" w:rsidRDefault="00146EA2" w:rsidP="00A23924">
            <w:pPr>
              <w:jc w:val="center"/>
              <w:rPr>
                <w:rFonts w:ascii="Times New Roman" w:hAnsi="Times New Roman" w:cs="Times New Roman"/>
                <w:sz w:val="20"/>
                <w:szCs w:val="20"/>
              </w:rPr>
            </w:pPr>
          </w:p>
        </w:tc>
        <w:tc>
          <w:tcPr>
            <w:tcW w:w="425" w:type="dxa"/>
            <w:tcBorders>
              <w:top w:val="single" w:sz="12" w:space="0" w:color="auto"/>
              <w:right w:val="single" w:sz="12" w:space="0" w:color="auto"/>
            </w:tcBorders>
            <w:shd w:val="clear" w:color="auto" w:fill="auto"/>
            <w:vAlign w:val="center"/>
          </w:tcPr>
          <w:p w14:paraId="3184AFA8" w14:textId="77777777" w:rsidR="00146EA2" w:rsidRPr="004316CD" w:rsidRDefault="00146EA2" w:rsidP="00A23924">
            <w:pPr>
              <w:jc w:val="center"/>
              <w:rPr>
                <w:rFonts w:ascii="Times New Roman" w:hAnsi="Times New Roman" w:cs="Times New Roman"/>
                <w:sz w:val="20"/>
                <w:szCs w:val="20"/>
              </w:rPr>
            </w:pPr>
          </w:p>
        </w:tc>
        <w:tc>
          <w:tcPr>
            <w:tcW w:w="425" w:type="dxa"/>
            <w:tcBorders>
              <w:top w:val="single" w:sz="12" w:space="0" w:color="auto"/>
              <w:left w:val="single" w:sz="12" w:space="0" w:color="auto"/>
            </w:tcBorders>
            <w:shd w:val="clear" w:color="auto" w:fill="auto"/>
            <w:vAlign w:val="center"/>
          </w:tcPr>
          <w:p w14:paraId="4A539FB7" w14:textId="77777777" w:rsidR="00146EA2" w:rsidRPr="004316CD" w:rsidRDefault="00146EA2" w:rsidP="00A23924">
            <w:pPr>
              <w:jc w:val="center"/>
              <w:rPr>
                <w:rFonts w:ascii="Times New Roman" w:hAnsi="Times New Roman" w:cs="Times New Roman"/>
                <w:sz w:val="20"/>
                <w:szCs w:val="20"/>
              </w:rPr>
            </w:pPr>
          </w:p>
        </w:tc>
        <w:tc>
          <w:tcPr>
            <w:tcW w:w="425" w:type="dxa"/>
            <w:tcBorders>
              <w:top w:val="single" w:sz="12" w:space="0" w:color="auto"/>
            </w:tcBorders>
            <w:shd w:val="clear" w:color="auto" w:fill="FFC000"/>
            <w:vAlign w:val="center"/>
          </w:tcPr>
          <w:p w14:paraId="0523079A" w14:textId="77777777" w:rsidR="00146EA2" w:rsidRPr="004316CD" w:rsidRDefault="00146EA2" w:rsidP="00A23924">
            <w:pPr>
              <w:jc w:val="center"/>
              <w:rPr>
                <w:rFonts w:ascii="Times New Roman" w:hAnsi="Times New Roman" w:cs="Times New Roman"/>
                <w:sz w:val="20"/>
                <w:szCs w:val="20"/>
              </w:rPr>
            </w:pPr>
          </w:p>
        </w:tc>
        <w:tc>
          <w:tcPr>
            <w:tcW w:w="426" w:type="dxa"/>
            <w:tcBorders>
              <w:top w:val="single" w:sz="12" w:space="0" w:color="auto"/>
            </w:tcBorders>
            <w:shd w:val="clear" w:color="auto" w:fill="FFC000"/>
            <w:vAlign w:val="center"/>
          </w:tcPr>
          <w:p w14:paraId="2BE74370" w14:textId="77777777" w:rsidR="00146EA2" w:rsidRPr="004316CD" w:rsidRDefault="00146EA2" w:rsidP="00A23924">
            <w:pPr>
              <w:jc w:val="center"/>
              <w:rPr>
                <w:rFonts w:ascii="Times New Roman" w:hAnsi="Times New Roman" w:cs="Times New Roman"/>
                <w:sz w:val="20"/>
                <w:szCs w:val="20"/>
              </w:rPr>
            </w:pPr>
          </w:p>
        </w:tc>
        <w:tc>
          <w:tcPr>
            <w:tcW w:w="425" w:type="dxa"/>
            <w:tcBorders>
              <w:top w:val="single" w:sz="12" w:space="0" w:color="auto"/>
              <w:right w:val="single" w:sz="12" w:space="0" w:color="auto"/>
            </w:tcBorders>
            <w:shd w:val="clear" w:color="auto" w:fill="auto"/>
            <w:vAlign w:val="center"/>
          </w:tcPr>
          <w:p w14:paraId="6212E4C5" w14:textId="77777777" w:rsidR="00146EA2" w:rsidRPr="004316CD" w:rsidRDefault="00146EA2" w:rsidP="00A23924">
            <w:pPr>
              <w:jc w:val="center"/>
              <w:rPr>
                <w:rFonts w:ascii="Times New Roman" w:hAnsi="Times New Roman" w:cs="Times New Roman"/>
                <w:sz w:val="20"/>
                <w:szCs w:val="20"/>
              </w:rPr>
            </w:pPr>
          </w:p>
        </w:tc>
        <w:tc>
          <w:tcPr>
            <w:tcW w:w="425" w:type="dxa"/>
            <w:tcBorders>
              <w:top w:val="single" w:sz="12" w:space="0" w:color="auto"/>
              <w:left w:val="single" w:sz="12" w:space="0" w:color="auto"/>
            </w:tcBorders>
            <w:vAlign w:val="center"/>
          </w:tcPr>
          <w:p w14:paraId="09DF458B" w14:textId="77777777" w:rsidR="00146EA2" w:rsidRPr="004316CD" w:rsidRDefault="00146EA2" w:rsidP="00A23924">
            <w:pPr>
              <w:jc w:val="center"/>
              <w:rPr>
                <w:rFonts w:ascii="Times New Roman" w:hAnsi="Times New Roman" w:cs="Times New Roman"/>
                <w:sz w:val="20"/>
                <w:szCs w:val="20"/>
              </w:rPr>
            </w:pPr>
          </w:p>
        </w:tc>
        <w:tc>
          <w:tcPr>
            <w:tcW w:w="425" w:type="dxa"/>
            <w:tcBorders>
              <w:top w:val="single" w:sz="12" w:space="0" w:color="auto"/>
            </w:tcBorders>
            <w:vAlign w:val="center"/>
          </w:tcPr>
          <w:p w14:paraId="557B8F28" w14:textId="77777777" w:rsidR="00146EA2" w:rsidRPr="004316CD" w:rsidRDefault="00146EA2" w:rsidP="00A23924">
            <w:pPr>
              <w:jc w:val="center"/>
              <w:rPr>
                <w:rFonts w:ascii="Times New Roman" w:hAnsi="Times New Roman" w:cs="Times New Roman"/>
                <w:sz w:val="20"/>
                <w:szCs w:val="20"/>
              </w:rPr>
            </w:pPr>
          </w:p>
        </w:tc>
        <w:tc>
          <w:tcPr>
            <w:tcW w:w="426" w:type="dxa"/>
            <w:tcBorders>
              <w:top w:val="single" w:sz="12" w:space="0" w:color="auto"/>
            </w:tcBorders>
            <w:vAlign w:val="center"/>
          </w:tcPr>
          <w:p w14:paraId="002FCB13" w14:textId="77777777" w:rsidR="00146EA2" w:rsidRPr="004316CD" w:rsidRDefault="00146EA2" w:rsidP="00A23924">
            <w:pPr>
              <w:jc w:val="center"/>
              <w:rPr>
                <w:rFonts w:ascii="Times New Roman" w:hAnsi="Times New Roman" w:cs="Times New Roman"/>
                <w:sz w:val="20"/>
                <w:szCs w:val="20"/>
              </w:rPr>
            </w:pPr>
          </w:p>
        </w:tc>
        <w:tc>
          <w:tcPr>
            <w:tcW w:w="425" w:type="dxa"/>
            <w:tcBorders>
              <w:top w:val="single" w:sz="12" w:space="0" w:color="auto"/>
              <w:right w:val="single" w:sz="12" w:space="0" w:color="auto"/>
            </w:tcBorders>
            <w:vAlign w:val="center"/>
          </w:tcPr>
          <w:p w14:paraId="448E4DB3" w14:textId="77777777" w:rsidR="00146EA2" w:rsidRPr="004316CD" w:rsidRDefault="00146EA2" w:rsidP="00A23924">
            <w:pPr>
              <w:jc w:val="center"/>
              <w:rPr>
                <w:rFonts w:ascii="Times New Roman" w:hAnsi="Times New Roman" w:cs="Times New Roman"/>
                <w:sz w:val="20"/>
                <w:szCs w:val="20"/>
              </w:rPr>
            </w:pPr>
          </w:p>
        </w:tc>
        <w:tc>
          <w:tcPr>
            <w:tcW w:w="425" w:type="dxa"/>
            <w:tcBorders>
              <w:top w:val="single" w:sz="12" w:space="0" w:color="auto"/>
              <w:left w:val="single" w:sz="12" w:space="0" w:color="auto"/>
            </w:tcBorders>
            <w:vAlign w:val="center"/>
          </w:tcPr>
          <w:p w14:paraId="2247B5E8" w14:textId="77777777" w:rsidR="00146EA2" w:rsidRPr="004316CD" w:rsidRDefault="00146EA2" w:rsidP="00A23924">
            <w:pPr>
              <w:jc w:val="center"/>
              <w:rPr>
                <w:rFonts w:ascii="Times New Roman" w:hAnsi="Times New Roman" w:cs="Times New Roman"/>
                <w:sz w:val="20"/>
                <w:szCs w:val="20"/>
              </w:rPr>
            </w:pPr>
          </w:p>
        </w:tc>
        <w:tc>
          <w:tcPr>
            <w:tcW w:w="425" w:type="dxa"/>
            <w:tcBorders>
              <w:top w:val="single" w:sz="12" w:space="0" w:color="auto"/>
            </w:tcBorders>
            <w:vAlign w:val="center"/>
          </w:tcPr>
          <w:p w14:paraId="341A3A08" w14:textId="77777777" w:rsidR="00146EA2" w:rsidRPr="004316CD" w:rsidRDefault="00146EA2" w:rsidP="00A23924">
            <w:pPr>
              <w:jc w:val="center"/>
              <w:rPr>
                <w:rFonts w:ascii="Times New Roman" w:hAnsi="Times New Roman" w:cs="Times New Roman"/>
                <w:sz w:val="20"/>
                <w:szCs w:val="20"/>
              </w:rPr>
            </w:pPr>
          </w:p>
        </w:tc>
        <w:tc>
          <w:tcPr>
            <w:tcW w:w="426" w:type="dxa"/>
            <w:tcBorders>
              <w:top w:val="single" w:sz="12" w:space="0" w:color="auto"/>
            </w:tcBorders>
            <w:vAlign w:val="center"/>
          </w:tcPr>
          <w:p w14:paraId="6D3119F3" w14:textId="77777777" w:rsidR="00146EA2" w:rsidRPr="004316CD" w:rsidRDefault="00146EA2" w:rsidP="00A23924">
            <w:pPr>
              <w:jc w:val="center"/>
              <w:rPr>
                <w:rFonts w:ascii="Times New Roman" w:hAnsi="Times New Roman" w:cs="Times New Roman"/>
                <w:sz w:val="20"/>
                <w:szCs w:val="20"/>
              </w:rPr>
            </w:pPr>
          </w:p>
        </w:tc>
        <w:tc>
          <w:tcPr>
            <w:tcW w:w="425" w:type="dxa"/>
            <w:tcBorders>
              <w:top w:val="single" w:sz="12" w:space="0" w:color="auto"/>
              <w:right w:val="single" w:sz="12" w:space="0" w:color="auto"/>
            </w:tcBorders>
            <w:vAlign w:val="center"/>
          </w:tcPr>
          <w:p w14:paraId="0FBD5F57" w14:textId="77777777" w:rsidR="00146EA2" w:rsidRPr="004316CD" w:rsidRDefault="00146EA2" w:rsidP="00A23924">
            <w:pPr>
              <w:jc w:val="center"/>
              <w:rPr>
                <w:rFonts w:ascii="Times New Roman" w:hAnsi="Times New Roman" w:cs="Times New Roman"/>
                <w:sz w:val="20"/>
                <w:szCs w:val="20"/>
              </w:rPr>
            </w:pPr>
          </w:p>
        </w:tc>
        <w:tc>
          <w:tcPr>
            <w:tcW w:w="425" w:type="dxa"/>
            <w:tcBorders>
              <w:top w:val="single" w:sz="12" w:space="0" w:color="auto"/>
              <w:left w:val="single" w:sz="12" w:space="0" w:color="auto"/>
            </w:tcBorders>
            <w:vAlign w:val="center"/>
          </w:tcPr>
          <w:p w14:paraId="6EFF3AFC" w14:textId="77777777" w:rsidR="00146EA2" w:rsidRPr="004316CD" w:rsidRDefault="00146EA2" w:rsidP="00A23924">
            <w:pPr>
              <w:jc w:val="center"/>
              <w:rPr>
                <w:rFonts w:ascii="Times New Roman" w:hAnsi="Times New Roman" w:cs="Times New Roman"/>
                <w:sz w:val="20"/>
                <w:szCs w:val="20"/>
              </w:rPr>
            </w:pPr>
          </w:p>
        </w:tc>
        <w:tc>
          <w:tcPr>
            <w:tcW w:w="425" w:type="dxa"/>
            <w:tcBorders>
              <w:top w:val="single" w:sz="12" w:space="0" w:color="auto"/>
            </w:tcBorders>
            <w:vAlign w:val="center"/>
          </w:tcPr>
          <w:p w14:paraId="5086C018" w14:textId="77777777" w:rsidR="00146EA2" w:rsidRPr="004316CD" w:rsidRDefault="00146EA2" w:rsidP="00A23924">
            <w:pPr>
              <w:jc w:val="center"/>
              <w:rPr>
                <w:rFonts w:ascii="Times New Roman" w:hAnsi="Times New Roman" w:cs="Times New Roman"/>
                <w:sz w:val="20"/>
                <w:szCs w:val="20"/>
              </w:rPr>
            </w:pPr>
          </w:p>
        </w:tc>
        <w:tc>
          <w:tcPr>
            <w:tcW w:w="426" w:type="dxa"/>
            <w:tcBorders>
              <w:top w:val="single" w:sz="12" w:space="0" w:color="auto"/>
            </w:tcBorders>
            <w:vAlign w:val="center"/>
          </w:tcPr>
          <w:p w14:paraId="5C843DF2" w14:textId="77777777" w:rsidR="00146EA2" w:rsidRPr="004316CD" w:rsidRDefault="00146EA2" w:rsidP="00A23924">
            <w:pPr>
              <w:jc w:val="center"/>
              <w:rPr>
                <w:rFonts w:ascii="Times New Roman" w:hAnsi="Times New Roman" w:cs="Times New Roman"/>
                <w:sz w:val="20"/>
                <w:szCs w:val="20"/>
              </w:rPr>
            </w:pPr>
          </w:p>
        </w:tc>
        <w:tc>
          <w:tcPr>
            <w:tcW w:w="425" w:type="dxa"/>
            <w:tcBorders>
              <w:top w:val="single" w:sz="12" w:space="0" w:color="auto"/>
              <w:right w:val="single" w:sz="12" w:space="0" w:color="auto"/>
            </w:tcBorders>
            <w:vAlign w:val="center"/>
          </w:tcPr>
          <w:p w14:paraId="584955F6" w14:textId="77777777" w:rsidR="00146EA2" w:rsidRPr="004316CD" w:rsidRDefault="00146EA2" w:rsidP="00A23924">
            <w:pPr>
              <w:jc w:val="center"/>
              <w:rPr>
                <w:rFonts w:ascii="Times New Roman" w:hAnsi="Times New Roman" w:cs="Times New Roman"/>
                <w:sz w:val="20"/>
                <w:szCs w:val="20"/>
              </w:rPr>
            </w:pPr>
          </w:p>
        </w:tc>
      </w:tr>
      <w:tr w:rsidR="00723EED" w:rsidRPr="004316CD" w14:paraId="579A8B62" w14:textId="77777777" w:rsidTr="00146EA2">
        <w:trPr>
          <w:trHeight w:val="454"/>
          <w:jc w:val="center"/>
        </w:trPr>
        <w:tc>
          <w:tcPr>
            <w:tcW w:w="562" w:type="dxa"/>
            <w:tcBorders>
              <w:left w:val="single" w:sz="12" w:space="0" w:color="auto"/>
            </w:tcBorders>
            <w:shd w:val="clear" w:color="auto" w:fill="ACB9CA" w:themeFill="text2" w:themeFillTint="66"/>
            <w:vAlign w:val="center"/>
          </w:tcPr>
          <w:p w14:paraId="1351CD9A" w14:textId="77777777" w:rsidR="004316CD" w:rsidRPr="004316CD" w:rsidRDefault="004316CD" w:rsidP="00A510E4">
            <w:pPr>
              <w:pStyle w:val="ListParagraph"/>
              <w:numPr>
                <w:ilvl w:val="0"/>
                <w:numId w:val="9"/>
              </w:numPr>
              <w:tabs>
                <w:tab w:val="left" w:pos="360"/>
              </w:tabs>
              <w:ind w:hanging="549"/>
              <w:rPr>
                <w:rFonts w:ascii="Times New Roman" w:hAnsi="Times New Roman" w:cs="Times New Roman"/>
                <w:sz w:val="20"/>
                <w:szCs w:val="20"/>
              </w:rPr>
            </w:pPr>
          </w:p>
        </w:tc>
        <w:tc>
          <w:tcPr>
            <w:tcW w:w="3818" w:type="dxa"/>
          </w:tcPr>
          <w:p w14:paraId="44493AF4" w14:textId="7365226E" w:rsidR="004316CD" w:rsidRPr="004316CD" w:rsidRDefault="000C5184" w:rsidP="000C5184">
            <w:pPr>
              <w:rPr>
                <w:rFonts w:ascii="Times New Roman" w:hAnsi="Times New Roman" w:cs="Times New Roman"/>
                <w:sz w:val="20"/>
                <w:szCs w:val="20"/>
              </w:rPr>
            </w:pPr>
            <w:r>
              <w:rPr>
                <w:rFonts w:ascii="Times New Roman" w:hAnsi="Times New Roman" w:cs="Times New Roman"/>
                <w:sz w:val="20"/>
                <w:szCs w:val="20"/>
              </w:rPr>
              <w:t>MK i</w:t>
            </w:r>
            <w:r w:rsidR="00146EA2">
              <w:rPr>
                <w:rFonts w:ascii="Times New Roman" w:hAnsi="Times New Roman" w:cs="Times New Roman"/>
                <w:sz w:val="20"/>
                <w:szCs w:val="20"/>
              </w:rPr>
              <w:t xml:space="preserve">esniegt </w:t>
            </w:r>
            <w:r w:rsidR="004316CD" w:rsidRPr="004316CD">
              <w:rPr>
                <w:rFonts w:ascii="Times New Roman" w:hAnsi="Times New Roman" w:cs="Times New Roman"/>
                <w:sz w:val="20"/>
                <w:szCs w:val="20"/>
              </w:rPr>
              <w:t xml:space="preserve">grozījumus </w:t>
            </w:r>
            <w:r w:rsidR="008E4ECE">
              <w:rPr>
                <w:rFonts w:ascii="Times New Roman" w:hAnsi="Times New Roman" w:cs="Times New Roman"/>
                <w:sz w:val="20"/>
                <w:szCs w:val="20"/>
              </w:rPr>
              <w:t xml:space="preserve">MK 02.10.2007. noteikumos </w:t>
            </w:r>
            <w:r w:rsidR="004316CD" w:rsidRPr="004316CD">
              <w:rPr>
                <w:rFonts w:ascii="Times New Roman" w:hAnsi="Times New Roman" w:cs="Times New Roman"/>
                <w:sz w:val="20"/>
                <w:szCs w:val="20"/>
              </w:rPr>
              <w:t>Nr. 655</w:t>
            </w:r>
            <w:r w:rsidR="003C7D10">
              <w:rPr>
                <w:rFonts w:ascii="Times New Roman" w:hAnsi="Times New Roman" w:cs="Times New Roman"/>
                <w:sz w:val="20"/>
                <w:szCs w:val="20"/>
              </w:rPr>
              <w:t xml:space="preserve"> (2.punkts)</w:t>
            </w:r>
          </w:p>
        </w:tc>
        <w:tc>
          <w:tcPr>
            <w:tcW w:w="1559" w:type="dxa"/>
            <w:tcBorders>
              <w:right w:val="single" w:sz="12" w:space="0" w:color="auto"/>
            </w:tcBorders>
          </w:tcPr>
          <w:p w14:paraId="48676A59" w14:textId="4E6CCA55" w:rsidR="004316CD" w:rsidRPr="004316CD" w:rsidRDefault="008E4ECE" w:rsidP="00E2525F">
            <w:pPr>
              <w:rPr>
                <w:rFonts w:ascii="Times New Roman" w:hAnsi="Times New Roman" w:cs="Times New Roman"/>
                <w:sz w:val="20"/>
                <w:szCs w:val="20"/>
              </w:rPr>
            </w:pPr>
            <w:r>
              <w:rPr>
                <w:rFonts w:ascii="Times New Roman" w:hAnsi="Times New Roman" w:cs="Times New Roman"/>
                <w:sz w:val="20"/>
                <w:szCs w:val="20"/>
              </w:rPr>
              <w:t>IZM</w:t>
            </w:r>
          </w:p>
        </w:tc>
        <w:tc>
          <w:tcPr>
            <w:tcW w:w="425" w:type="dxa"/>
            <w:tcBorders>
              <w:left w:val="single" w:sz="12" w:space="0" w:color="auto"/>
            </w:tcBorders>
            <w:shd w:val="clear" w:color="auto" w:fill="EDEDED" w:themeFill="accent3" w:themeFillTint="33"/>
            <w:vAlign w:val="center"/>
          </w:tcPr>
          <w:p w14:paraId="4267ABA7" w14:textId="77777777" w:rsidR="004316CD" w:rsidRPr="004316CD" w:rsidRDefault="004316CD" w:rsidP="00A23924">
            <w:pPr>
              <w:jc w:val="center"/>
              <w:rPr>
                <w:rFonts w:ascii="Times New Roman" w:hAnsi="Times New Roman" w:cs="Times New Roman"/>
                <w:sz w:val="20"/>
                <w:szCs w:val="20"/>
              </w:rPr>
            </w:pPr>
          </w:p>
        </w:tc>
        <w:tc>
          <w:tcPr>
            <w:tcW w:w="425" w:type="dxa"/>
            <w:shd w:val="clear" w:color="auto" w:fill="EDEDED" w:themeFill="accent3" w:themeFillTint="33"/>
            <w:vAlign w:val="center"/>
          </w:tcPr>
          <w:p w14:paraId="1E30FEE9" w14:textId="77777777" w:rsidR="004316CD" w:rsidRPr="004316CD" w:rsidRDefault="004316CD" w:rsidP="00A23924">
            <w:pPr>
              <w:jc w:val="center"/>
              <w:rPr>
                <w:rFonts w:ascii="Times New Roman" w:hAnsi="Times New Roman" w:cs="Times New Roman"/>
                <w:sz w:val="20"/>
                <w:szCs w:val="20"/>
              </w:rPr>
            </w:pPr>
          </w:p>
        </w:tc>
        <w:tc>
          <w:tcPr>
            <w:tcW w:w="426" w:type="dxa"/>
            <w:shd w:val="clear" w:color="auto" w:fill="EDEDED" w:themeFill="accent3" w:themeFillTint="33"/>
            <w:vAlign w:val="center"/>
          </w:tcPr>
          <w:p w14:paraId="58AFF0EF" w14:textId="77777777" w:rsidR="004316CD" w:rsidRPr="004316CD" w:rsidRDefault="004316CD" w:rsidP="00A23924">
            <w:pPr>
              <w:jc w:val="center"/>
              <w:rPr>
                <w:rFonts w:ascii="Times New Roman" w:hAnsi="Times New Roman" w:cs="Times New Roman"/>
                <w:sz w:val="20"/>
                <w:szCs w:val="20"/>
              </w:rPr>
            </w:pPr>
          </w:p>
        </w:tc>
        <w:tc>
          <w:tcPr>
            <w:tcW w:w="425" w:type="dxa"/>
            <w:tcBorders>
              <w:right w:val="single" w:sz="12" w:space="0" w:color="auto"/>
            </w:tcBorders>
            <w:shd w:val="clear" w:color="auto" w:fill="auto"/>
            <w:vAlign w:val="center"/>
          </w:tcPr>
          <w:p w14:paraId="70BAD4D1" w14:textId="77777777" w:rsidR="004316CD" w:rsidRPr="004316CD" w:rsidRDefault="004316CD" w:rsidP="00A23924">
            <w:pPr>
              <w:jc w:val="center"/>
              <w:rPr>
                <w:rFonts w:ascii="Times New Roman" w:hAnsi="Times New Roman" w:cs="Times New Roman"/>
                <w:sz w:val="20"/>
                <w:szCs w:val="20"/>
              </w:rPr>
            </w:pPr>
          </w:p>
        </w:tc>
        <w:tc>
          <w:tcPr>
            <w:tcW w:w="425" w:type="dxa"/>
            <w:tcBorders>
              <w:left w:val="single" w:sz="12" w:space="0" w:color="auto"/>
            </w:tcBorders>
            <w:shd w:val="clear" w:color="auto" w:fill="auto"/>
            <w:vAlign w:val="center"/>
          </w:tcPr>
          <w:p w14:paraId="4A834784" w14:textId="77777777" w:rsidR="004316CD" w:rsidRPr="004316CD" w:rsidRDefault="004316CD" w:rsidP="00A23924">
            <w:pPr>
              <w:jc w:val="center"/>
              <w:rPr>
                <w:rFonts w:ascii="Times New Roman" w:hAnsi="Times New Roman" w:cs="Times New Roman"/>
                <w:sz w:val="20"/>
                <w:szCs w:val="20"/>
              </w:rPr>
            </w:pPr>
          </w:p>
        </w:tc>
        <w:tc>
          <w:tcPr>
            <w:tcW w:w="425" w:type="dxa"/>
            <w:shd w:val="clear" w:color="auto" w:fill="auto"/>
            <w:vAlign w:val="center"/>
          </w:tcPr>
          <w:p w14:paraId="295B7AE1" w14:textId="77777777" w:rsidR="004316CD" w:rsidRPr="004316CD" w:rsidRDefault="004316CD" w:rsidP="00A23924">
            <w:pPr>
              <w:jc w:val="center"/>
              <w:rPr>
                <w:rFonts w:ascii="Times New Roman" w:hAnsi="Times New Roman" w:cs="Times New Roman"/>
                <w:sz w:val="20"/>
                <w:szCs w:val="20"/>
              </w:rPr>
            </w:pPr>
          </w:p>
        </w:tc>
        <w:tc>
          <w:tcPr>
            <w:tcW w:w="426" w:type="dxa"/>
            <w:shd w:val="clear" w:color="auto" w:fill="auto"/>
            <w:vAlign w:val="center"/>
          </w:tcPr>
          <w:p w14:paraId="3585E11B" w14:textId="77777777" w:rsidR="004316CD" w:rsidRPr="004316CD" w:rsidRDefault="004316CD" w:rsidP="00A23924">
            <w:pPr>
              <w:jc w:val="center"/>
              <w:rPr>
                <w:rFonts w:ascii="Times New Roman" w:hAnsi="Times New Roman" w:cs="Times New Roman"/>
                <w:sz w:val="20"/>
                <w:szCs w:val="20"/>
              </w:rPr>
            </w:pPr>
          </w:p>
        </w:tc>
        <w:tc>
          <w:tcPr>
            <w:tcW w:w="425" w:type="dxa"/>
            <w:tcBorders>
              <w:right w:val="single" w:sz="12" w:space="0" w:color="auto"/>
            </w:tcBorders>
            <w:shd w:val="clear" w:color="auto" w:fill="FFC000"/>
            <w:vAlign w:val="center"/>
          </w:tcPr>
          <w:p w14:paraId="6C199AB4" w14:textId="77777777" w:rsidR="004316CD" w:rsidRPr="004316CD" w:rsidRDefault="004316CD" w:rsidP="00A23924">
            <w:pPr>
              <w:jc w:val="center"/>
              <w:rPr>
                <w:rFonts w:ascii="Times New Roman" w:hAnsi="Times New Roman" w:cs="Times New Roman"/>
                <w:sz w:val="20"/>
                <w:szCs w:val="20"/>
              </w:rPr>
            </w:pPr>
          </w:p>
        </w:tc>
        <w:tc>
          <w:tcPr>
            <w:tcW w:w="425" w:type="dxa"/>
            <w:tcBorders>
              <w:left w:val="single" w:sz="12" w:space="0" w:color="auto"/>
            </w:tcBorders>
            <w:shd w:val="clear" w:color="auto" w:fill="auto"/>
            <w:vAlign w:val="center"/>
          </w:tcPr>
          <w:p w14:paraId="2D50D9B0" w14:textId="77777777" w:rsidR="004316CD" w:rsidRPr="004316CD" w:rsidRDefault="004316CD" w:rsidP="00A23924">
            <w:pPr>
              <w:jc w:val="center"/>
              <w:rPr>
                <w:rFonts w:ascii="Times New Roman" w:hAnsi="Times New Roman" w:cs="Times New Roman"/>
                <w:sz w:val="20"/>
                <w:szCs w:val="20"/>
              </w:rPr>
            </w:pPr>
          </w:p>
        </w:tc>
        <w:tc>
          <w:tcPr>
            <w:tcW w:w="425" w:type="dxa"/>
            <w:shd w:val="clear" w:color="auto" w:fill="auto"/>
            <w:vAlign w:val="center"/>
          </w:tcPr>
          <w:p w14:paraId="11BBF6CD" w14:textId="77777777" w:rsidR="004316CD" w:rsidRPr="004316CD" w:rsidRDefault="004316CD" w:rsidP="00A23924">
            <w:pPr>
              <w:jc w:val="center"/>
              <w:rPr>
                <w:rFonts w:ascii="Times New Roman" w:hAnsi="Times New Roman" w:cs="Times New Roman"/>
                <w:sz w:val="20"/>
                <w:szCs w:val="20"/>
              </w:rPr>
            </w:pPr>
          </w:p>
        </w:tc>
        <w:tc>
          <w:tcPr>
            <w:tcW w:w="426" w:type="dxa"/>
            <w:shd w:val="clear" w:color="auto" w:fill="auto"/>
            <w:vAlign w:val="center"/>
          </w:tcPr>
          <w:p w14:paraId="72F7E359" w14:textId="77777777" w:rsidR="004316CD" w:rsidRPr="004316CD" w:rsidRDefault="004316CD" w:rsidP="00A23924">
            <w:pPr>
              <w:jc w:val="center"/>
              <w:rPr>
                <w:rFonts w:ascii="Times New Roman" w:hAnsi="Times New Roman" w:cs="Times New Roman"/>
                <w:sz w:val="20"/>
                <w:szCs w:val="20"/>
              </w:rPr>
            </w:pPr>
          </w:p>
        </w:tc>
        <w:tc>
          <w:tcPr>
            <w:tcW w:w="425" w:type="dxa"/>
            <w:tcBorders>
              <w:right w:val="single" w:sz="12" w:space="0" w:color="auto"/>
            </w:tcBorders>
            <w:shd w:val="clear" w:color="auto" w:fill="auto"/>
            <w:vAlign w:val="center"/>
          </w:tcPr>
          <w:p w14:paraId="2AD9B51C" w14:textId="77777777" w:rsidR="004316CD" w:rsidRPr="004316CD" w:rsidRDefault="004316CD" w:rsidP="00A23924">
            <w:pPr>
              <w:jc w:val="center"/>
              <w:rPr>
                <w:rFonts w:ascii="Times New Roman" w:hAnsi="Times New Roman" w:cs="Times New Roman"/>
                <w:sz w:val="20"/>
                <w:szCs w:val="20"/>
              </w:rPr>
            </w:pPr>
          </w:p>
        </w:tc>
        <w:tc>
          <w:tcPr>
            <w:tcW w:w="425" w:type="dxa"/>
            <w:tcBorders>
              <w:left w:val="single" w:sz="12" w:space="0" w:color="auto"/>
            </w:tcBorders>
            <w:vAlign w:val="center"/>
          </w:tcPr>
          <w:p w14:paraId="7D05BCAC" w14:textId="77777777" w:rsidR="004316CD" w:rsidRPr="004316CD" w:rsidRDefault="004316CD" w:rsidP="00A23924">
            <w:pPr>
              <w:jc w:val="center"/>
              <w:rPr>
                <w:rFonts w:ascii="Times New Roman" w:hAnsi="Times New Roman" w:cs="Times New Roman"/>
                <w:sz w:val="20"/>
                <w:szCs w:val="20"/>
              </w:rPr>
            </w:pPr>
          </w:p>
        </w:tc>
        <w:tc>
          <w:tcPr>
            <w:tcW w:w="425" w:type="dxa"/>
            <w:vAlign w:val="center"/>
          </w:tcPr>
          <w:p w14:paraId="602419F4" w14:textId="77777777" w:rsidR="004316CD" w:rsidRPr="004316CD" w:rsidRDefault="004316CD" w:rsidP="00A23924">
            <w:pPr>
              <w:jc w:val="center"/>
              <w:rPr>
                <w:rFonts w:ascii="Times New Roman" w:hAnsi="Times New Roman" w:cs="Times New Roman"/>
                <w:sz w:val="20"/>
                <w:szCs w:val="20"/>
              </w:rPr>
            </w:pPr>
          </w:p>
        </w:tc>
        <w:tc>
          <w:tcPr>
            <w:tcW w:w="426" w:type="dxa"/>
            <w:vAlign w:val="center"/>
          </w:tcPr>
          <w:p w14:paraId="64048F10" w14:textId="77777777" w:rsidR="004316CD" w:rsidRPr="004316CD" w:rsidRDefault="004316CD" w:rsidP="00A23924">
            <w:pPr>
              <w:jc w:val="center"/>
              <w:rPr>
                <w:rFonts w:ascii="Times New Roman" w:hAnsi="Times New Roman" w:cs="Times New Roman"/>
                <w:sz w:val="20"/>
                <w:szCs w:val="20"/>
              </w:rPr>
            </w:pPr>
          </w:p>
        </w:tc>
        <w:tc>
          <w:tcPr>
            <w:tcW w:w="425" w:type="dxa"/>
            <w:tcBorders>
              <w:right w:val="single" w:sz="12" w:space="0" w:color="auto"/>
            </w:tcBorders>
            <w:vAlign w:val="center"/>
          </w:tcPr>
          <w:p w14:paraId="1DF14875" w14:textId="77777777" w:rsidR="004316CD" w:rsidRPr="004316CD" w:rsidRDefault="004316CD" w:rsidP="00A23924">
            <w:pPr>
              <w:jc w:val="center"/>
              <w:rPr>
                <w:rFonts w:ascii="Times New Roman" w:hAnsi="Times New Roman" w:cs="Times New Roman"/>
                <w:sz w:val="20"/>
                <w:szCs w:val="20"/>
              </w:rPr>
            </w:pPr>
          </w:p>
        </w:tc>
        <w:tc>
          <w:tcPr>
            <w:tcW w:w="425" w:type="dxa"/>
            <w:tcBorders>
              <w:left w:val="single" w:sz="12" w:space="0" w:color="auto"/>
            </w:tcBorders>
            <w:vAlign w:val="center"/>
          </w:tcPr>
          <w:p w14:paraId="4C757CB5" w14:textId="77777777" w:rsidR="004316CD" w:rsidRPr="004316CD" w:rsidRDefault="004316CD" w:rsidP="00A23924">
            <w:pPr>
              <w:jc w:val="center"/>
              <w:rPr>
                <w:rFonts w:ascii="Times New Roman" w:hAnsi="Times New Roman" w:cs="Times New Roman"/>
                <w:sz w:val="20"/>
                <w:szCs w:val="20"/>
              </w:rPr>
            </w:pPr>
          </w:p>
        </w:tc>
        <w:tc>
          <w:tcPr>
            <w:tcW w:w="425" w:type="dxa"/>
            <w:vAlign w:val="center"/>
          </w:tcPr>
          <w:p w14:paraId="523DFB2D" w14:textId="77777777" w:rsidR="004316CD" w:rsidRPr="004316CD" w:rsidRDefault="004316CD" w:rsidP="00A23924">
            <w:pPr>
              <w:jc w:val="center"/>
              <w:rPr>
                <w:rFonts w:ascii="Times New Roman" w:hAnsi="Times New Roman" w:cs="Times New Roman"/>
                <w:sz w:val="20"/>
                <w:szCs w:val="20"/>
              </w:rPr>
            </w:pPr>
          </w:p>
        </w:tc>
        <w:tc>
          <w:tcPr>
            <w:tcW w:w="426" w:type="dxa"/>
            <w:vAlign w:val="center"/>
          </w:tcPr>
          <w:p w14:paraId="2ED9DBDE" w14:textId="77777777" w:rsidR="004316CD" w:rsidRPr="004316CD" w:rsidRDefault="004316CD" w:rsidP="00A23924">
            <w:pPr>
              <w:jc w:val="center"/>
              <w:rPr>
                <w:rFonts w:ascii="Times New Roman" w:hAnsi="Times New Roman" w:cs="Times New Roman"/>
                <w:sz w:val="20"/>
                <w:szCs w:val="20"/>
              </w:rPr>
            </w:pPr>
          </w:p>
        </w:tc>
        <w:tc>
          <w:tcPr>
            <w:tcW w:w="425" w:type="dxa"/>
            <w:tcBorders>
              <w:right w:val="single" w:sz="12" w:space="0" w:color="auto"/>
            </w:tcBorders>
            <w:vAlign w:val="center"/>
          </w:tcPr>
          <w:p w14:paraId="76D4AA6A" w14:textId="77777777" w:rsidR="004316CD" w:rsidRPr="004316CD" w:rsidRDefault="004316CD" w:rsidP="00A23924">
            <w:pPr>
              <w:jc w:val="center"/>
              <w:rPr>
                <w:rFonts w:ascii="Times New Roman" w:hAnsi="Times New Roman" w:cs="Times New Roman"/>
                <w:sz w:val="20"/>
                <w:szCs w:val="20"/>
              </w:rPr>
            </w:pPr>
          </w:p>
        </w:tc>
      </w:tr>
      <w:tr w:rsidR="00723EED" w:rsidRPr="004316CD" w14:paraId="30041B3C" w14:textId="77777777" w:rsidTr="00E8172F">
        <w:trPr>
          <w:trHeight w:val="454"/>
          <w:jc w:val="center"/>
        </w:trPr>
        <w:tc>
          <w:tcPr>
            <w:tcW w:w="562" w:type="dxa"/>
            <w:tcBorders>
              <w:left w:val="single" w:sz="12" w:space="0" w:color="auto"/>
            </w:tcBorders>
            <w:shd w:val="clear" w:color="auto" w:fill="ACB9CA" w:themeFill="text2" w:themeFillTint="66"/>
            <w:vAlign w:val="center"/>
          </w:tcPr>
          <w:p w14:paraId="5EE21793" w14:textId="77777777" w:rsidR="004316CD" w:rsidRPr="004316CD" w:rsidRDefault="004316CD" w:rsidP="00A510E4">
            <w:pPr>
              <w:pStyle w:val="ListParagraph"/>
              <w:numPr>
                <w:ilvl w:val="0"/>
                <w:numId w:val="9"/>
              </w:numPr>
              <w:tabs>
                <w:tab w:val="left" w:pos="360"/>
              </w:tabs>
              <w:ind w:hanging="549"/>
              <w:rPr>
                <w:rFonts w:ascii="Times New Roman" w:hAnsi="Times New Roman" w:cs="Times New Roman"/>
                <w:sz w:val="20"/>
                <w:szCs w:val="20"/>
              </w:rPr>
            </w:pPr>
          </w:p>
        </w:tc>
        <w:tc>
          <w:tcPr>
            <w:tcW w:w="3818" w:type="dxa"/>
          </w:tcPr>
          <w:p w14:paraId="22AF4E9A" w14:textId="2F6ED095" w:rsidR="004316CD" w:rsidRPr="004316CD" w:rsidRDefault="006B3F44" w:rsidP="000C5184">
            <w:pPr>
              <w:rPr>
                <w:rFonts w:ascii="Times New Roman" w:hAnsi="Times New Roman" w:cs="Times New Roman"/>
                <w:sz w:val="20"/>
                <w:szCs w:val="20"/>
              </w:rPr>
            </w:pPr>
            <w:r>
              <w:rPr>
                <w:rFonts w:ascii="Times New Roman" w:hAnsi="Times New Roman" w:cs="Times New Roman"/>
                <w:sz w:val="20"/>
                <w:szCs w:val="20"/>
              </w:rPr>
              <w:t xml:space="preserve">Nodrošināt profesionālās </w:t>
            </w:r>
            <w:r w:rsidR="008E4ECE">
              <w:rPr>
                <w:rFonts w:ascii="Times New Roman" w:hAnsi="Times New Roman" w:cs="Times New Roman"/>
                <w:sz w:val="20"/>
                <w:szCs w:val="20"/>
              </w:rPr>
              <w:t xml:space="preserve">IP </w:t>
            </w:r>
            <w:r>
              <w:rPr>
                <w:rFonts w:ascii="Times New Roman" w:hAnsi="Times New Roman" w:cs="Times New Roman"/>
                <w:sz w:val="20"/>
                <w:szCs w:val="20"/>
              </w:rPr>
              <w:t>bāzes finansējuma palielināšanu</w:t>
            </w:r>
          </w:p>
        </w:tc>
        <w:tc>
          <w:tcPr>
            <w:tcW w:w="1559" w:type="dxa"/>
            <w:tcBorders>
              <w:right w:val="single" w:sz="12" w:space="0" w:color="auto"/>
            </w:tcBorders>
          </w:tcPr>
          <w:p w14:paraId="3A672883" w14:textId="77777777" w:rsidR="004316CD" w:rsidRPr="004316CD" w:rsidRDefault="004316CD" w:rsidP="00395220">
            <w:pPr>
              <w:rPr>
                <w:rFonts w:ascii="Times New Roman" w:hAnsi="Times New Roman" w:cs="Times New Roman"/>
                <w:sz w:val="20"/>
                <w:szCs w:val="20"/>
              </w:rPr>
            </w:pPr>
            <w:r w:rsidRPr="004316CD">
              <w:rPr>
                <w:rFonts w:ascii="Times New Roman" w:hAnsi="Times New Roman" w:cs="Times New Roman"/>
                <w:sz w:val="20"/>
                <w:szCs w:val="20"/>
              </w:rPr>
              <w:t>IZM</w:t>
            </w:r>
          </w:p>
        </w:tc>
        <w:tc>
          <w:tcPr>
            <w:tcW w:w="425" w:type="dxa"/>
            <w:tcBorders>
              <w:left w:val="single" w:sz="12" w:space="0" w:color="auto"/>
            </w:tcBorders>
            <w:shd w:val="clear" w:color="auto" w:fill="EDEDED" w:themeFill="accent3" w:themeFillTint="33"/>
            <w:vAlign w:val="center"/>
          </w:tcPr>
          <w:p w14:paraId="2289F6C5" w14:textId="77777777" w:rsidR="004316CD" w:rsidRPr="004316CD" w:rsidRDefault="004316CD" w:rsidP="00A23924">
            <w:pPr>
              <w:jc w:val="center"/>
              <w:rPr>
                <w:rFonts w:ascii="Times New Roman" w:hAnsi="Times New Roman" w:cs="Times New Roman"/>
                <w:sz w:val="20"/>
                <w:szCs w:val="20"/>
              </w:rPr>
            </w:pPr>
          </w:p>
        </w:tc>
        <w:tc>
          <w:tcPr>
            <w:tcW w:w="425" w:type="dxa"/>
            <w:shd w:val="clear" w:color="auto" w:fill="EDEDED" w:themeFill="accent3" w:themeFillTint="33"/>
            <w:vAlign w:val="center"/>
          </w:tcPr>
          <w:p w14:paraId="21CC9A7E" w14:textId="77777777" w:rsidR="004316CD" w:rsidRPr="004316CD" w:rsidRDefault="004316CD" w:rsidP="00A23924">
            <w:pPr>
              <w:jc w:val="center"/>
              <w:rPr>
                <w:rFonts w:ascii="Times New Roman" w:hAnsi="Times New Roman" w:cs="Times New Roman"/>
                <w:sz w:val="20"/>
                <w:szCs w:val="20"/>
              </w:rPr>
            </w:pPr>
          </w:p>
        </w:tc>
        <w:tc>
          <w:tcPr>
            <w:tcW w:w="426" w:type="dxa"/>
            <w:shd w:val="clear" w:color="auto" w:fill="EDEDED" w:themeFill="accent3" w:themeFillTint="33"/>
            <w:vAlign w:val="center"/>
          </w:tcPr>
          <w:p w14:paraId="414F8CB8" w14:textId="77777777" w:rsidR="004316CD" w:rsidRPr="004316CD" w:rsidRDefault="004316CD" w:rsidP="00A23924">
            <w:pPr>
              <w:jc w:val="center"/>
              <w:rPr>
                <w:rFonts w:ascii="Times New Roman" w:hAnsi="Times New Roman" w:cs="Times New Roman"/>
                <w:sz w:val="20"/>
                <w:szCs w:val="20"/>
              </w:rPr>
            </w:pPr>
          </w:p>
        </w:tc>
        <w:tc>
          <w:tcPr>
            <w:tcW w:w="425" w:type="dxa"/>
            <w:tcBorders>
              <w:right w:val="single" w:sz="12" w:space="0" w:color="auto"/>
            </w:tcBorders>
            <w:vAlign w:val="center"/>
          </w:tcPr>
          <w:p w14:paraId="23D64A7C" w14:textId="77777777" w:rsidR="004316CD" w:rsidRPr="004316CD" w:rsidRDefault="004316CD" w:rsidP="00A23924">
            <w:pPr>
              <w:jc w:val="center"/>
              <w:rPr>
                <w:rFonts w:ascii="Times New Roman" w:hAnsi="Times New Roman" w:cs="Times New Roman"/>
                <w:sz w:val="20"/>
                <w:szCs w:val="20"/>
              </w:rPr>
            </w:pPr>
          </w:p>
        </w:tc>
        <w:tc>
          <w:tcPr>
            <w:tcW w:w="425" w:type="dxa"/>
            <w:tcBorders>
              <w:left w:val="single" w:sz="12" w:space="0" w:color="auto"/>
            </w:tcBorders>
            <w:shd w:val="clear" w:color="auto" w:fill="auto"/>
            <w:vAlign w:val="center"/>
          </w:tcPr>
          <w:p w14:paraId="6EF43024" w14:textId="77777777" w:rsidR="004316CD" w:rsidRPr="004316CD" w:rsidRDefault="004316CD" w:rsidP="00A23924">
            <w:pPr>
              <w:jc w:val="center"/>
              <w:rPr>
                <w:rFonts w:ascii="Times New Roman" w:hAnsi="Times New Roman" w:cs="Times New Roman"/>
                <w:sz w:val="20"/>
                <w:szCs w:val="20"/>
              </w:rPr>
            </w:pPr>
          </w:p>
        </w:tc>
        <w:tc>
          <w:tcPr>
            <w:tcW w:w="425" w:type="dxa"/>
            <w:shd w:val="clear" w:color="auto" w:fill="auto"/>
            <w:vAlign w:val="center"/>
          </w:tcPr>
          <w:p w14:paraId="28E7BEA7" w14:textId="77777777" w:rsidR="004316CD" w:rsidRPr="004316CD" w:rsidRDefault="004316CD" w:rsidP="00A23924">
            <w:pPr>
              <w:jc w:val="center"/>
              <w:rPr>
                <w:rFonts w:ascii="Times New Roman" w:hAnsi="Times New Roman" w:cs="Times New Roman"/>
                <w:sz w:val="20"/>
                <w:szCs w:val="20"/>
              </w:rPr>
            </w:pPr>
          </w:p>
        </w:tc>
        <w:tc>
          <w:tcPr>
            <w:tcW w:w="426" w:type="dxa"/>
            <w:shd w:val="clear" w:color="auto" w:fill="auto"/>
            <w:vAlign w:val="center"/>
          </w:tcPr>
          <w:p w14:paraId="5D89E3F5" w14:textId="77777777" w:rsidR="004316CD" w:rsidRPr="004316CD" w:rsidRDefault="004316CD" w:rsidP="00A23924">
            <w:pPr>
              <w:jc w:val="center"/>
              <w:rPr>
                <w:rFonts w:ascii="Times New Roman" w:hAnsi="Times New Roman" w:cs="Times New Roman"/>
                <w:sz w:val="20"/>
                <w:szCs w:val="20"/>
              </w:rPr>
            </w:pPr>
          </w:p>
        </w:tc>
        <w:tc>
          <w:tcPr>
            <w:tcW w:w="425" w:type="dxa"/>
            <w:tcBorders>
              <w:right w:val="single" w:sz="12" w:space="0" w:color="auto"/>
            </w:tcBorders>
            <w:shd w:val="clear" w:color="auto" w:fill="auto"/>
            <w:vAlign w:val="center"/>
          </w:tcPr>
          <w:p w14:paraId="0DFB1F4D" w14:textId="77777777" w:rsidR="004316CD" w:rsidRPr="004316CD" w:rsidRDefault="004316CD" w:rsidP="00A23924">
            <w:pPr>
              <w:jc w:val="center"/>
              <w:rPr>
                <w:rFonts w:ascii="Times New Roman" w:hAnsi="Times New Roman" w:cs="Times New Roman"/>
                <w:sz w:val="20"/>
                <w:szCs w:val="20"/>
              </w:rPr>
            </w:pPr>
          </w:p>
        </w:tc>
        <w:tc>
          <w:tcPr>
            <w:tcW w:w="425" w:type="dxa"/>
            <w:tcBorders>
              <w:left w:val="single" w:sz="12" w:space="0" w:color="auto"/>
            </w:tcBorders>
            <w:shd w:val="clear" w:color="auto" w:fill="FFC000"/>
            <w:vAlign w:val="center"/>
          </w:tcPr>
          <w:p w14:paraId="75EC72A9" w14:textId="77777777" w:rsidR="004316CD" w:rsidRPr="004316CD" w:rsidRDefault="004316CD" w:rsidP="00A23924">
            <w:pPr>
              <w:jc w:val="center"/>
              <w:rPr>
                <w:rFonts w:ascii="Times New Roman" w:hAnsi="Times New Roman" w:cs="Times New Roman"/>
                <w:sz w:val="20"/>
                <w:szCs w:val="20"/>
              </w:rPr>
            </w:pPr>
          </w:p>
        </w:tc>
        <w:tc>
          <w:tcPr>
            <w:tcW w:w="425" w:type="dxa"/>
            <w:shd w:val="clear" w:color="auto" w:fill="FFC000"/>
            <w:vAlign w:val="center"/>
          </w:tcPr>
          <w:p w14:paraId="0AF7A540" w14:textId="77777777" w:rsidR="004316CD" w:rsidRPr="004316CD" w:rsidRDefault="004316CD" w:rsidP="00A23924">
            <w:pPr>
              <w:jc w:val="center"/>
              <w:rPr>
                <w:rFonts w:ascii="Times New Roman" w:hAnsi="Times New Roman" w:cs="Times New Roman"/>
                <w:sz w:val="20"/>
                <w:szCs w:val="20"/>
              </w:rPr>
            </w:pPr>
          </w:p>
        </w:tc>
        <w:tc>
          <w:tcPr>
            <w:tcW w:w="426" w:type="dxa"/>
            <w:shd w:val="clear" w:color="auto" w:fill="FFC000"/>
            <w:vAlign w:val="center"/>
          </w:tcPr>
          <w:p w14:paraId="598B326F" w14:textId="77777777" w:rsidR="004316CD" w:rsidRPr="004316CD" w:rsidRDefault="004316CD" w:rsidP="00A23924">
            <w:pPr>
              <w:jc w:val="center"/>
              <w:rPr>
                <w:rFonts w:ascii="Times New Roman" w:hAnsi="Times New Roman" w:cs="Times New Roman"/>
                <w:sz w:val="20"/>
                <w:szCs w:val="20"/>
              </w:rPr>
            </w:pPr>
          </w:p>
        </w:tc>
        <w:tc>
          <w:tcPr>
            <w:tcW w:w="425" w:type="dxa"/>
            <w:tcBorders>
              <w:right w:val="single" w:sz="12" w:space="0" w:color="auto"/>
            </w:tcBorders>
            <w:shd w:val="clear" w:color="auto" w:fill="FFC000"/>
            <w:vAlign w:val="center"/>
          </w:tcPr>
          <w:p w14:paraId="4C1AB047" w14:textId="77777777" w:rsidR="004316CD" w:rsidRPr="004316CD" w:rsidRDefault="004316CD" w:rsidP="00A23924">
            <w:pPr>
              <w:jc w:val="center"/>
              <w:rPr>
                <w:rFonts w:ascii="Times New Roman" w:hAnsi="Times New Roman" w:cs="Times New Roman"/>
                <w:sz w:val="20"/>
                <w:szCs w:val="20"/>
              </w:rPr>
            </w:pPr>
          </w:p>
        </w:tc>
        <w:tc>
          <w:tcPr>
            <w:tcW w:w="425" w:type="dxa"/>
            <w:tcBorders>
              <w:left w:val="single" w:sz="12" w:space="0" w:color="auto"/>
            </w:tcBorders>
            <w:shd w:val="clear" w:color="auto" w:fill="FFC000"/>
            <w:vAlign w:val="center"/>
          </w:tcPr>
          <w:p w14:paraId="36E97979" w14:textId="77777777" w:rsidR="004316CD" w:rsidRPr="004316CD" w:rsidRDefault="004316CD" w:rsidP="00A23924">
            <w:pPr>
              <w:jc w:val="center"/>
              <w:rPr>
                <w:rFonts w:ascii="Times New Roman" w:hAnsi="Times New Roman" w:cs="Times New Roman"/>
                <w:sz w:val="20"/>
                <w:szCs w:val="20"/>
              </w:rPr>
            </w:pPr>
          </w:p>
        </w:tc>
        <w:tc>
          <w:tcPr>
            <w:tcW w:w="425" w:type="dxa"/>
            <w:shd w:val="clear" w:color="auto" w:fill="FFC000"/>
            <w:vAlign w:val="center"/>
          </w:tcPr>
          <w:p w14:paraId="35E5DD17" w14:textId="77777777" w:rsidR="004316CD" w:rsidRPr="004316CD" w:rsidRDefault="004316CD" w:rsidP="00A23924">
            <w:pPr>
              <w:jc w:val="center"/>
              <w:rPr>
                <w:rFonts w:ascii="Times New Roman" w:hAnsi="Times New Roman" w:cs="Times New Roman"/>
                <w:sz w:val="20"/>
                <w:szCs w:val="20"/>
              </w:rPr>
            </w:pPr>
          </w:p>
        </w:tc>
        <w:tc>
          <w:tcPr>
            <w:tcW w:w="426" w:type="dxa"/>
            <w:shd w:val="clear" w:color="auto" w:fill="FFC000"/>
            <w:vAlign w:val="center"/>
          </w:tcPr>
          <w:p w14:paraId="4E5F95CB" w14:textId="77777777" w:rsidR="004316CD" w:rsidRPr="004316CD" w:rsidRDefault="004316CD" w:rsidP="00A23924">
            <w:pPr>
              <w:jc w:val="center"/>
              <w:rPr>
                <w:rFonts w:ascii="Times New Roman" w:hAnsi="Times New Roman" w:cs="Times New Roman"/>
                <w:sz w:val="20"/>
                <w:szCs w:val="20"/>
              </w:rPr>
            </w:pPr>
          </w:p>
        </w:tc>
        <w:tc>
          <w:tcPr>
            <w:tcW w:w="425" w:type="dxa"/>
            <w:tcBorders>
              <w:right w:val="single" w:sz="12" w:space="0" w:color="auto"/>
            </w:tcBorders>
            <w:shd w:val="clear" w:color="auto" w:fill="FFC000"/>
            <w:vAlign w:val="center"/>
          </w:tcPr>
          <w:p w14:paraId="44026FCD" w14:textId="77777777" w:rsidR="004316CD" w:rsidRPr="004316CD" w:rsidRDefault="004316CD" w:rsidP="00A23924">
            <w:pPr>
              <w:jc w:val="center"/>
              <w:rPr>
                <w:rFonts w:ascii="Times New Roman" w:hAnsi="Times New Roman" w:cs="Times New Roman"/>
                <w:sz w:val="20"/>
                <w:szCs w:val="20"/>
              </w:rPr>
            </w:pPr>
          </w:p>
        </w:tc>
        <w:tc>
          <w:tcPr>
            <w:tcW w:w="425" w:type="dxa"/>
            <w:tcBorders>
              <w:left w:val="single" w:sz="12" w:space="0" w:color="auto"/>
            </w:tcBorders>
            <w:shd w:val="clear" w:color="auto" w:fill="FFC000"/>
            <w:vAlign w:val="center"/>
          </w:tcPr>
          <w:p w14:paraId="2C87EA42" w14:textId="77777777" w:rsidR="004316CD" w:rsidRPr="004316CD" w:rsidRDefault="004316CD" w:rsidP="00A23924">
            <w:pPr>
              <w:jc w:val="center"/>
              <w:rPr>
                <w:rFonts w:ascii="Times New Roman" w:hAnsi="Times New Roman" w:cs="Times New Roman"/>
                <w:sz w:val="20"/>
                <w:szCs w:val="20"/>
              </w:rPr>
            </w:pPr>
          </w:p>
        </w:tc>
        <w:tc>
          <w:tcPr>
            <w:tcW w:w="425" w:type="dxa"/>
            <w:shd w:val="clear" w:color="auto" w:fill="FFC000"/>
            <w:vAlign w:val="center"/>
          </w:tcPr>
          <w:p w14:paraId="7532B732" w14:textId="77777777" w:rsidR="004316CD" w:rsidRPr="004316CD" w:rsidRDefault="004316CD" w:rsidP="00A23924">
            <w:pPr>
              <w:jc w:val="center"/>
              <w:rPr>
                <w:rFonts w:ascii="Times New Roman" w:hAnsi="Times New Roman" w:cs="Times New Roman"/>
                <w:sz w:val="20"/>
                <w:szCs w:val="20"/>
              </w:rPr>
            </w:pPr>
          </w:p>
        </w:tc>
        <w:tc>
          <w:tcPr>
            <w:tcW w:w="426" w:type="dxa"/>
            <w:shd w:val="clear" w:color="auto" w:fill="FFC000"/>
            <w:vAlign w:val="center"/>
          </w:tcPr>
          <w:p w14:paraId="35AAF579" w14:textId="77777777" w:rsidR="004316CD" w:rsidRPr="004316CD" w:rsidRDefault="004316CD" w:rsidP="00A23924">
            <w:pPr>
              <w:jc w:val="center"/>
              <w:rPr>
                <w:rFonts w:ascii="Times New Roman" w:hAnsi="Times New Roman" w:cs="Times New Roman"/>
                <w:sz w:val="20"/>
                <w:szCs w:val="20"/>
              </w:rPr>
            </w:pPr>
          </w:p>
        </w:tc>
        <w:tc>
          <w:tcPr>
            <w:tcW w:w="425" w:type="dxa"/>
            <w:tcBorders>
              <w:right w:val="single" w:sz="12" w:space="0" w:color="auto"/>
            </w:tcBorders>
            <w:shd w:val="clear" w:color="auto" w:fill="FFC000"/>
            <w:vAlign w:val="center"/>
          </w:tcPr>
          <w:p w14:paraId="7A97E39E" w14:textId="77777777" w:rsidR="004316CD" w:rsidRPr="004316CD" w:rsidRDefault="004316CD" w:rsidP="00A23924">
            <w:pPr>
              <w:jc w:val="center"/>
              <w:rPr>
                <w:rFonts w:ascii="Times New Roman" w:hAnsi="Times New Roman" w:cs="Times New Roman"/>
                <w:sz w:val="20"/>
                <w:szCs w:val="20"/>
              </w:rPr>
            </w:pPr>
          </w:p>
        </w:tc>
      </w:tr>
      <w:tr w:rsidR="00723EED" w:rsidRPr="004316CD" w14:paraId="3E036BB1" w14:textId="77777777" w:rsidTr="00E8172F">
        <w:trPr>
          <w:trHeight w:val="454"/>
          <w:jc w:val="center"/>
        </w:trPr>
        <w:tc>
          <w:tcPr>
            <w:tcW w:w="562" w:type="dxa"/>
            <w:tcBorders>
              <w:left w:val="single" w:sz="12" w:space="0" w:color="auto"/>
            </w:tcBorders>
            <w:shd w:val="clear" w:color="auto" w:fill="ACB9CA" w:themeFill="text2" w:themeFillTint="66"/>
            <w:vAlign w:val="center"/>
          </w:tcPr>
          <w:p w14:paraId="2895A9EF" w14:textId="77777777" w:rsidR="004316CD" w:rsidRPr="004316CD" w:rsidRDefault="004316CD" w:rsidP="00A510E4">
            <w:pPr>
              <w:pStyle w:val="ListParagraph"/>
              <w:numPr>
                <w:ilvl w:val="0"/>
                <w:numId w:val="9"/>
              </w:numPr>
              <w:tabs>
                <w:tab w:val="left" w:pos="360"/>
              </w:tabs>
              <w:ind w:hanging="549"/>
              <w:rPr>
                <w:rFonts w:ascii="Times New Roman" w:hAnsi="Times New Roman" w:cs="Times New Roman"/>
                <w:sz w:val="20"/>
                <w:szCs w:val="20"/>
              </w:rPr>
            </w:pPr>
          </w:p>
        </w:tc>
        <w:tc>
          <w:tcPr>
            <w:tcW w:w="3818" w:type="dxa"/>
          </w:tcPr>
          <w:p w14:paraId="10A50733" w14:textId="2E19EE26" w:rsidR="004316CD" w:rsidRPr="004316CD" w:rsidRDefault="004316CD" w:rsidP="000C5184">
            <w:pPr>
              <w:rPr>
                <w:rFonts w:ascii="Times New Roman" w:eastAsia="Times New Roman" w:hAnsi="Times New Roman" w:cs="Times New Roman"/>
                <w:sz w:val="20"/>
                <w:szCs w:val="20"/>
              </w:rPr>
            </w:pPr>
            <w:r w:rsidRPr="004316CD">
              <w:rPr>
                <w:rFonts w:ascii="Times New Roman" w:eastAsia="Times New Roman" w:hAnsi="Times New Roman" w:cs="Times New Roman"/>
                <w:sz w:val="20"/>
                <w:szCs w:val="20"/>
              </w:rPr>
              <w:t xml:space="preserve">Nodrošināt iespēju </w:t>
            </w:r>
            <w:r w:rsidRPr="004316CD">
              <w:rPr>
                <w:rFonts w:ascii="Times New Roman" w:hAnsi="Times New Roman" w:cs="Times New Roman"/>
                <w:sz w:val="20"/>
                <w:szCs w:val="20"/>
              </w:rPr>
              <w:t xml:space="preserve">pašvaldību un citu dibinātāju izglītības iestādēm </w:t>
            </w:r>
            <w:r w:rsidRPr="00395220">
              <w:rPr>
                <w:rFonts w:ascii="Times New Roman" w:hAnsi="Times New Roman" w:cs="Times New Roman"/>
                <w:sz w:val="20"/>
                <w:szCs w:val="20"/>
              </w:rPr>
              <w:t>pretendēt uz</w:t>
            </w:r>
            <w:r w:rsidRPr="004316CD">
              <w:rPr>
                <w:rFonts w:ascii="Times New Roman" w:hAnsi="Times New Roman" w:cs="Times New Roman"/>
                <w:sz w:val="20"/>
                <w:szCs w:val="20"/>
              </w:rPr>
              <w:t xml:space="preserve"> </w:t>
            </w:r>
            <w:r w:rsidRPr="004316CD">
              <w:rPr>
                <w:rFonts w:ascii="Times New Roman" w:eastAsia="Times New Roman" w:hAnsi="Times New Roman" w:cs="Times New Roman"/>
                <w:sz w:val="20"/>
                <w:szCs w:val="20"/>
              </w:rPr>
              <w:t xml:space="preserve">valsts budžeta </w:t>
            </w:r>
            <w:r w:rsidRPr="004316CD">
              <w:rPr>
                <w:rFonts w:ascii="Times New Roman" w:hAnsi="Times New Roman" w:cs="Times New Roman"/>
                <w:sz w:val="20"/>
                <w:szCs w:val="20"/>
              </w:rPr>
              <w:t xml:space="preserve">finansējumu profesionālās </w:t>
            </w:r>
            <w:r w:rsidR="008E4ECE">
              <w:rPr>
                <w:rFonts w:ascii="Times New Roman" w:hAnsi="Times New Roman" w:cs="Times New Roman"/>
                <w:sz w:val="20"/>
                <w:szCs w:val="20"/>
              </w:rPr>
              <w:t>IP</w:t>
            </w:r>
            <w:r w:rsidRPr="004316CD">
              <w:rPr>
                <w:rFonts w:ascii="Times New Roman" w:hAnsi="Times New Roman" w:cs="Times New Roman"/>
                <w:sz w:val="20"/>
                <w:szCs w:val="20"/>
              </w:rPr>
              <w:t xml:space="preserve"> īstenošanai (t.sk. stipendijām</w:t>
            </w:r>
            <w:r w:rsidR="000C5184">
              <w:rPr>
                <w:rFonts w:ascii="Times New Roman" w:hAnsi="Times New Roman" w:cs="Times New Roman"/>
                <w:sz w:val="20"/>
                <w:szCs w:val="20"/>
              </w:rPr>
              <w:t>)</w:t>
            </w:r>
          </w:p>
        </w:tc>
        <w:tc>
          <w:tcPr>
            <w:tcW w:w="1559" w:type="dxa"/>
            <w:tcBorders>
              <w:right w:val="single" w:sz="12" w:space="0" w:color="auto"/>
            </w:tcBorders>
          </w:tcPr>
          <w:p w14:paraId="2611ED0C" w14:textId="2EC53C51" w:rsidR="004316CD" w:rsidRPr="004316CD" w:rsidRDefault="006D7DD3" w:rsidP="00395220">
            <w:pPr>
              <w:rPr>
                <w:rFonts w:ascii="Times New Roman" w:hAnsi="Times New Roman" w:cs="Times New Roman"/>
                <w:sz w:val="20"/>
                <w:szCs w:val="20"/>
              </w:rPr>
            </w:pPr>
            <w:r w:rsidRPr="008E4ECE">
              <w:rPr>
                <w:rFonts w:ascii="Times New Roman" w:hAnsi="Times New Roman" w:cs="Times New Roman"/>
                <w:sz w:val="20"/>
                <w:szCs w:val="20"/>
              </w:rPr>
              <w:t xml:space="preserve">IZM, KM, LM, ZM, </w:t>
            </w:r>
            <w:r w:rsidR="00C0041D" w:rsidRPr="008E4ECE">
              <w:rPr>
                <w:rFonts w:ascii="Times New Roman" w:hAnsi="Times New Roman" w:cs="Times New Roman"/>
                <w:sz w:val="20"/>
                <w:szCs w:val="20"/>
              </w:rPr>
              <w:t xml:space="preserve">EM, </w:t>
            </w:r>
            <w:r w:rsidRPr="008E4ECE">
              <w:rPr>
                <w:rFonts w:ascii="Times New Roman" w:hAnsi="Times New Roman" w:cs="Times New Roman"/>
                <w:sz w:val="20"/>
                <w:szCs w:val="20"/>
              </w:rPr>
              <w:t xml:space="preserve">IKVD, LDDK, </w:t>
            </w:r>
            <w:r w:rsidR="008E4ECE">
              <w:rPr>
                <w:rFonts w:ascii="Times New Roman" w:hAnsi="Times New Roman" w:cs="Times New Roman"/>
                <w:sz w:val="20"/>
                <w:szCs w:val="20"/>
              </w:rPr>
              <w:t>LPS</w:t>
            </w:r>
          </w:p>
        </w:tc>
        <w:tc>
          <w:tcPr>
            <w:tcW w:w="425" w:type="dxa"/>
            <w:tcBorders>
              <w:left w:val="single" w:sz="12" w:space="0" w:color="auto"/>
            </w:tcBorders>
            <w:shd w:val="clear" w:color="auto" w:fill="EDEDED" w:themeFill="accent3" w:themeFillTint="33"/>
            <w:vAlign w:val="center"/>
          </w:tcPr>
          <w:p w14:paraId="18BF9DB5" w14:textId="77777777" w:rsidR="004316CD" w:rsidRPr="004316CD" w:rsidRDefault="004316CD" w:rsidP="00A23924">
            <w:pPr>
              <w:jc w:val="center"/>
              <w:rPr>
                <w:rFonts w:ascii="Times New Roman" w:hAnsi="Times New Roman" w:cs="Times New Roman"/>
                <w:sz w:val="20"/>
                <w:szCs w:val="20"/>
              </w:rPr>
            </w:pPr>
          </w:p>
        </w:tc>
        <w:tc>
          <w:tcPr>
            <w:tcW w:w="425" w:type="dxa"/>
            <w:shd w:val="clear" w:color="auto" w:fill="EDEDED" w:themeFill="accent3" w:themeFillTint="33"/>
            <w:vAlign w:val="center"/>
          </w:tcPr>
          <w:p w14:paraId="0A11F303" w14:textId="77777777" w:rsidR="004316CD" w:rsidRPr="004316CD" w:rsidRDefault="004316CD" w:rsidP="00A23924">
            <w:pPr>
              <w:jc w:val="center"/>
              <w:rPr>
                <w:rFonts w:ascii="Times New Roman" w:hAnsi="Times New Roman" w:cs="Times New Roman"/>
                <w:sz w:val="20"/>
                <w:szCs w:val="20"/>
              </w:rPr>
            </w:pPr>
          </w:p>
        </w:tc>
        <w:tc>
          <w:tcPr>
            <w:tcW w:w="426" w:type="dxa"/>
            <w:shd w:val="clear" w:color="auto" w:fill="EDEDED" w:themeFill="accent3" w:themeFillTint="33"/>
            <w:vAlign w:val="center"/>
          </w:tcPr>
          <w:p w14:paraId="6DA46DCA" w14:textId="77777777" w:rsidR="004316CD" w:rsidRPr="004316CD" w:rsidRDefault="004316CD" w:rsidP="00A23924">
            <w:pPr>
              <w:jc w:val="center"/>
              <w:rPr>
                <w:rFonts w:ascii="Times New Roman" w:hAnsi="Times New Roman" w:cs="Times New Roman"/>
                <w:sz w:val="20"/>
                <w:szCs w:val="20"/>
              </w:rPr>
            </w:pPr>
          </w:p>
        </w:tc>
        <w:tc>
          <w:tcPr>
            <w:tcW w:w="425" w:type="dxa"/>
            <w:tcBorders>
              <w:right w:val="single" w:sz="12" w:space="0" w:color="auto"/>
            </w:tcBorders>
            <w:vAlign w:val="center"/>
          </w:tcPr>
          <w:p w14:paraId="5814C4F5" w14:textId="77777777" w:rsidR="004316CD" w:rsidRPr="004316CD" w:rsidRDefault="004316CD" w:rsidP="00A23924">
            <w:pPr>
              <w:jc w:val="center"/>
              <w:rPr>
                <w:rFonts w:ascii="Times New Roman" w:hAnsi="Times New Roman" w:cs="Times New Roman"/>
                <w:sz w:val="20"/>
                <w:szCs w:val="20"/>
              </w:rPr>
            </w:pPr>
          </w:p>
        </w:tc>
        <w:tc>
          <w:tcPr>
            <w:tcW w:w="425" w:type="dxa"/>
            <w:tcBorders>
              <w:left w:val="single" w:sz="12" w:space="0" w:color="auto"/>
            </w:tcBorders>
            <w:shd w:val="clear" w:color="auto" w:fill="auto"/>
            <w:vAlign w:val="center"/>
          </w:tcPr>
          <w:p w14:paraId="2FD4DE78" w14:textId="77777777" w:rsidR="004316CD" w:rsidRPr="004316CD" w:rsidRDefault="004316CD" w:rsidP="00A23924">
            <w:pPr>
              <w:jc w:val="center"/>
              <w:rPr>
                <w:rFonts w:ascii="Times New Roman" w:hAnsi="Times New Roman" w:cs="Times New Roman"/>
                <w:sz w:val="20"/>
                <w:szCs w:val="20"/>
              </w:rPr>
            </w:pPr>
          </w:p>
        </w:tc>
        <w:tc>
          <w:tcPr>
            <w:tcW w:w="425" w:type="dxa"/>
            <w:shd w:val="clear" w:color="auto" w:fill="auto"/>
            <w:vAlign w:val="center"/>
          </w:tcPr>
          <w:p w14:paraId="146777EA" w14:textId="77777777" w:rsidR="004316CD" w:rsidRPr="004316CD" w:rsidRDefault="004316CD" w:rsidP="00A23924">
            <w:pPr>
              <w:jc w:val="center"/>
              <w:rPr>
                <w:rFonts w:ascii="Times New Roman" w:hAnsi="Times New Roman" w:cs="Times New Roman"/>
                <w:sz w:val="20"/>
                <w:szCs w:val="20"/>
              </w:rPr>
            </w:pPr>
          </w:p>
        </w:tc>
        <w:tc>
          <w:tcPr>
            <w:tcW w:w="426" w:type="dxa"/>
            <w:shd w:val="clear" w:color="auto" w:fill="auto"/>
            <w:vAlign w:val="center"/>
          </w:tcPr>
          <w:p w14:paraId="60700913" w14:textId="77777777" w:rsidR="004316CD" w:rsidRPr="004316CD" w:rsidRDefault="004316CD" w:rsidP="00A23924">
            <w:pPr>
              <w:jc w:val="center"/>
              <w:rPr>
                <w:rFonts w:ascii="Times New Roman" w:hAnsi="Times New Roman" w:cs="Times New Roman"/>
                <w:sz w:val="20"/>
                <w:szCs w:val="20"/>
              </w:rPr>
            </w:pPr>
          </w:p>
        </w:tc>
        <w:tc>
          <w:tcPr>
            <w:tcW w:w="425" w:type="dxa"/>
            <w:tcBorders>
              <w:right w:val="single" w:sz="12" w:space="0" w:color="auto"/>
            </w:tcBorders>
            <w:shd w:val="clear" w:color="auto" w:fill="auto"/>
            <w:vAlign w:val="center"/>
          </w:tcPr>
          <w:p w14:paraId="4518F92A" w14:textId="77777777" w:rsidR="004316CD" w:rsidRPr="004316CD" w:rsidRDefault="004316CD" w:rsidP="00A23924">
            <w:pPr>
              <w:jc w:val="center"/>
              <w:rPr>
                <w:rFonts w:ascii="Times New Roman" w:hAnsi="Times New Roman" w:cs="Times New Roman"/>
                <w:sz w:val="20"/>
                <w:szCs w:val="20"/>
              </w:rPr>
            </w:pPr>
          </w:p>
        </w:tc>
        <w:tc>
          <w:tcPr>
            <w:tcW w:w="425" w:type="dxa"/>
            <w:tcBorders>
              <w:left w:val="single" w:sz="12" w:space="0" w:color="auto"/>
            </w:tcBorders>
            <w:shd w:val="clear" w:color="auto" w:fill="FFC000"/>
            <w:vAlign w:val="center"/>
          </w:tcPr>
          <w:p w14:paraId="6A1BA33C" w14:textId="77777777" w:rsidR="004316CD" w:rsidRPr="004316CD" w:rsidRDefault="004316CD" w:rsidP="00A23924">
            <w:pPr>
              <w:jc w:val="center"/>
              <w:rPr>
                <w:rFonts w:ascii="Times New Roman" w:hAnsi="Times New Roman" w:cs="Times New Roman"/>
                <w:sz w:val="20"/>
                <w:szCs w:val="20"/>
              </w:rPr>
            </w:pPr>
          </w:p>
        </w:tc>
        <w:tc>
          <w:tcPr>
            <w:tcW w:w="425" w:type="dxa"/>
            <w:shd w:val="clear" w:color="auto" w:fill="FFC000"/>
            <w:vAlign w:val="center"/>
          </w:tcPr>
          <w:p w14:paraId="415232FA" w14:textId="77777777" w:rsidR="004316CD" w:rsidRPr="004316CD" w:rsidRDefault="004316CD" w:rsidP="00A23924">
            <w:pPr>
              <w:jc w:val="center"/>
              <w:rPr>
                <w:rFonts w:ascii="Times New Roman" w:hAnsi="Times New Roman" w:cs="Times New Roman"/>
                <w:sz w:val="20"/>
                <w:szCs w:val="20"/>
              </w:rPr>
            </w:pPr>
          </w:p>
        </w:tc>
        <w:tc>
          <w:tcPr>
            <w:tcW w:w="426" w:type="dxa"/>
            <w:shd w:val="clear" w:color="auto" w:fill="FFC000"/>
            <w:vAlign w:val="center"/>
          </w:tcPr>
          <w:p w14:paraId="097A762B" w14:textId="77777777" w:rsidR="004316CD" w:rsidRPr="004316CD" w:rsidRDefault="004316CD" w:rsidP="00A23924">
            <w:pPr>
              <w:jc w:val="center"/>
              <w:rPr>
                <w:rFonts w:ascii="Times New Roman" w:hAnsi="Times New Roman" w:cs="Times New Roman"/>
                <w:sz w:val="20"/>
                <w:szCs w:val="20"/>
              </w:rPr>
            </w:pPr>
          </w:p>
        </w:tc>
        <w:tc>
          <w:tcPr>
            <w:tcW w:w="425" w:type="dxa"/>
            <w:tcBorders>
              <w:right w:val="single" w:sz="12" w:space="0" w:color="auto"/>
            </w:tcBorders>
            <w:shd w:val="clear" w:color="auto" w:fill="FFC000"/>
            <w:vAlign w:val="center"/>
          </w:tcPr>
          <w:p w14:paraId="3A13FED4" w14:textId="77777777" w:rsidR="004316CD" w:rsidRPr="004316CD" w:rsidRDefault="004316CD" w:rsidP="00A23924">
            <w:pPr>
              <w:jc w:val="center"/>
              <w:rPr>
                <w:rFonts w:ascii="Times New Roman" w:hAnsi="Times New Roman" w:cs="Times New Roman"/>
                <w:sz w:val="20"/>
                <w:szCs w:val="20"/>
              </w:rPr>
            </w:pPr>
          </w:p>
        </w:tc>
        <w:tc>
          <w:tcPr>
            <w:tcW w:w="425" w:type="dxa"/>
            <w:tcBorders>
              <w:left w:val="single" w:sz="12" w:space="0" w:color="auto"/>
            </w:tcBorders>
            <w:shd w:val="clear" w:color="auto" w:fill="FFC000"/>
            <w:vAlign w:val="center"/>
          </w:tcPr>
          <w:p w14:paraId="2C23CF21" w14:textId="77777777" w:rsidR="004316CD" w:rsidRPr="004316CD" w:rsidRDefault="004316CD" w:rsidP="00A23924">
            <w:pPr>
              <w:jc w:val="center"/>
              <w:rPr>
                <w:rFonts w:ascii="Times New Roman" w:hAnsi="Times New Roman" w:cs="Times New Roman"/>
                <w:sz w:val="20"/>
                <w:szCs w:val="20"/>
              </w:rPr>
            </w:pPr>
          </w:p>
        </w:tc>
        <w:tc>
          <w:tcPr>
            <w:tcW w:w="425" w:type="dxa"/>
            <w:shd w:val="clear" w:color="auto" w:fill="FFC000"/>
            <w:vAlign w:val="center"/>
          </w:tcPr>
          <w:p w14:paraId="74CDDCBB" w14:textId="77777777" w:rsidR="004316CD" w:rsidRPr="004316CD" w:rsidRDefault="004316CD" w:rsidP="00A23924">
            <w:pPr>
              <w:jc w:val="center"/>
              <w:rPr>
                <w:rFonts w:ascii="Times New Roman" w:hAnsi="Times New Roman" w:cs="Times New Roman"/>
                <w:sz w:val="20"/>
                <w:szCs w:val="20"/>
              </w:rPr>
            </w:pPr>
          </w:p>
        </w:tc>
        <w:tc>
          <w:tcPr>
            <w:tcW w:w="426" w:type="dxa"/>
            <w:shd w:val="clear" w:color="auto" w:fill="FFC000"/>
            <w:vAlign w:val="center"/>
          </w:tcPr>
          <w:p w14:paraId="1899F789" w14:textId="77777777" w:rsidR="004316CD" w:rsidRPr="004316CD" w:rsidRDefault="004316CD" w:rsidP="00A23924">
            <w:pPr>
              <w:jc w:val="center"/>
              <w:rPr>
                <w:rFonts w:ascii="Times New Roman" w:hAnsi="Times New Roman" w:cs="Times New Roman"/>
                <w:sz w:val="20"/>
                <w:szCs w:val="20"/>
              </w:rPr>
            </w:pPr>
          </w:p>
        </w:tc>
        <w:tc>
          <w:tcPr>
            <w:tcW w:w="425" w:type="dxa"/>
            <w:tcBorders>
              <w:right w:val="single" w:sz="12" w:space="0" w:color="auto"/>
            </w:tcBorders>
            <w:shd w:val="clear" w:color="auto" w:fill="FFC000"/>
            <w:vAlign w:val="center"/>
          </w:tcPr>
          <w:p w14:paraId="65B9F126" w14:textId="77777777" w:rsidR="004316CD" w:rsidRPr="004316CD" w:rsidRDefault="004316CD" w:rsidP="00A23924">
            <w:pPr>
              <w:jc w:val="center"/>
              <w:rPr>
                <w:rFonts w:ascii="Times New Roman" w:hAnsi="Times New Roman" w:cs="Times New Roman"/>
                <w:sz w:val="20"/>
                <w:szCs w:val="20"/>
              </w:rPr>
            </w:pPr>
          </w:p>
        </w:tc>
        <w:tc>
          <w:tcPr>
            <w:tcW w:w="425" w:type="dxa"/>
            <w:tcBorders>
              <w:left w:val="single" w:sz="12" w:space="0" w:color="auto"/>
            </w:tcBorders>
            <w:shd w:val="clear" w:color="auto" w:fill="FFC000"/>
            <w:vAlign w:val="center"/>
          </w:tcPr>
          <w:p w14:paraId="2965295B" w14:textId="77777777" w:rsidR="004316CD" w:rsidRPr="004316CD" w:rsidRDefault="004316CD" w:rsidP="00A23924">
            <w:pPr>
              <w:jc w:val="center"/>
              <w:rPr>
                <w:rFonts w:ascii="Times New Roman" w:hAnsi="Times New Roman" w:cs="Times New Roman"/>
                <w:sz w:val="20"/>
                <w:szCs w:val="20"/>
              </w:rPr>
            </w:pPr>
          </w:p>
        </w:tc>
        <w:tc>
          <w:tcPr>
            <w:tcW w:w="425" w:type="dxa"/>
            <w:shd w:val="clear" w:color="auto" w:fill="FFC000"/>
            <w:vAlign w:val="center"/>
          </w:tcPr>
          <w:p w14:paraId="28F046C6" w14:textId="77777777" w:rsidR="004316CD" w:rsidRPr="004316CD" w:rsidRDefault="004316CD" w:rsidP="00A23924">
            <w:pPr>
              <w:jc w:val="center"/>
              <w:rPr>
                <w:rFonts w:ascii="Times New Roman" w:hAnsi="Times New Roman" w:cs="Times New Roman"/>
                <w:sz w:val="20"/>
                <w:szCs w:val="20"/>
              </w:rPr>
            </w:pPr>
          </w:p>
        </w:tc>
        <w:tc>
          <w:tcPr>
            <w:tcW w:w="426" w:type="dxa"/>
            <w:shd w:val="clear" w:color="auto" w:fill="FFC000"/>
            <w:vAlign w:val="center"/>
          </w:tcPr>
          <w:p w14:paraId="24D7F50B" w14:textId="77777777" w:rsidR="004316CD" w:rsidRPr="004316CD" w:rsidRDefault="004316CD" w:rsidP="00A23924">
            <w:pPr>
              <w:jc w:val="center"/>
              <w:rPr>
                <w:rFonts w:ascii="Times New Roman" w:hAnsi="Times New Roman" w:cs="Times New Roman"/>
                <w:sz w:val="20"/>
                <w:szCs w:val="20"/>
              </w:rPr>
            </w:pPr>
          </w:p>
        </w:tc>
        <w:tc>
          <w:tcPr>
            <w:tcW w:w="425" w:type="dxa"/>
            <w:tcBorders>
              <w:right w:val="single" w:sz="12" w:space="0" w:color="auto"/>
            </w:tcBorders>
            <w:shd w:val="clear" w:color="auto" w:fill="FFC000"/>
            <w:vAlign w:val="center"/>
          </w:tcPr>
          <w:p w14:paraId="0BE07C0B" w14:textId="77777777" w:rsidR="004316CD" w:rsidRPr="004316CD" w:rsidRDefault="004316CD" w:rsidP="00A23924">
            <w:pPr>
              <w:jc w:val="center"/>
              <w:rPr>
                <w:rFonts w:ascii="Times New Roman" w:hAnsi="Times New Roman" w:cs="Times New Roman"/>
                <w:sz w:val="20"/>
                <w:szCs w:val="20"/>
              </w:rPr>
            </w:pPr>
          </w:p>
        </w:tc>
      </w:tr>
      <w:tr w:rsidR="00146EA2" w:rsidRPr="004316CD" w14:paraId="262FD51C" w14:textId="77777777" w:rsidTr="00E8172F">
        <w:trPr>
          <w:trHeight w:val="454"/>
          <w:jc w:val="center"/>
        </w:trPr>
        <w:tc>
          <w:tcPr>
            <w:tcW w:w="562" w:type="dxa"/>
            <w:tcBorders>
              <w:left w:val="single" w:sz="12" w:space="0" w:color="auto"/>
            </w:tcBorders>
            <w:shd w:val="clear" w:color="auto" w:fill="ACB9CA" w:themeFill="text2" w:themeFillTint="66"/>
            <w:vAlign w:val="center"/>
          </w:tcPr>
          <w:p w14:paraId="0321FDF5" w14:textId="77777777" w:rsidR="00146EA2" w:rsidRPr="004316CD" w:rsidRDefault="00146EA2" w:rsidP="00A510E4">
            <w:pPr>
              <w:pStyle w:val="ListParagraph"/>
              <w:numPr>
                <w:ilvl w:val="0"/>
                <w:numId w:val="9"/>
              </w:numPr>
              <w:tabs>
                <w:tab w:val="left" w:pos="360"/>
              </w:tabs>
              <w:ind w:hanging="549"/>
              <w:rPr>
                <w:rFonts w:ascii="Times New Roman" w:hAnsi="Times New Roman" w:cs="Times New Roman"/>
                <w:sz w:val="20"/>
                <w:szCs w:val="20"/>
              </w:rPr>
            </w:pPr>
          </w:p>
        </w:tc>
        <w:tc>
          <w:tcPr>
            <w:tcW w:w="3818" w:type="dxa"/>
          </w:tcPr>
          <w:p w14:paraId="4A18482A" w14:textId="607C86C8" w:rsidR="00146EA2" w:rsidRPr="004316CD" w:rsidRDefault="00146EA2" w:rsidP="0014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Nodrošināt prakšu organizēšanas izmaksas profesionālajā izglītībā</w:t>
            </w:r>
          </w:p>
        </w:tc>
        <w:tc>
          <w:tcPr>
            <w:tcW w:w="1559" w:type="dxa"/>
            <w:tcBorders>
              <w:right w:val="single" w:sz="12" w:space="0" w:color="auto"/>
            </w:tcBorders>
          </w:tcPr>
          <w:p w14:paraId="20955AE3" w14:textId="77777777" w:rsidR="00146EA2" w:rsidRPr="008E4ECE" w:rsidRDefault="00146EA2" w:rsidP="00395220">
            <w:pPr>
              <w:rPr>
                <w:rFonts w:ascii="Times New Roman" w:hAnsi="Times New Roman" w:cs="Times New Roman"/>
                <w:sz w:val="20"/>
                <w:szCs w:val="20"/>
              </w:rPr>
            </w:pPr>
          </w:p>
        </w:tc>
        <w:tc>
          <w:tcPr>
            <w:tcW w:w="425" w:type="dxa"/>
            <w:tcBorders>
              <w:left w:val="single" w:sz="12" w:space="0" w:color="auto"/>
            </w:tcBorders>
            <w:shd w:val="clear" w:color="auto" w:fill="EDEDED" w:themeFill="accent3" w:themeFillTint="33"/>
            <w:vAlign w:val="center"/>
          </w:tcPr>
          <w:p w14:paraId="1CCC88F7" w14:textId="77777777" w:rsidR="00146EA2" w:rsidRPr="004316CD" w:rsidRDefault="00146EA2" w:rsidP="00A23924">
            <w:pPr>
              <w:jc w:val="center"/>
              <w:rPr>
                <w:rFonts w:ascii="Times New Roman" w:hAnsi="Times New Roman" w:cs="Times New Roman"/>
                <w:sz w:val="20"/>
                <w:szCs w:val="20"/>
              </w:rPr>
            </w:pPr>
          </w:p>
        </w:tc>
        <w:tc>
          <w:tcPr>
            <w:tcW w:w="425" w:type="dxa"/>
            <w:shd w:val="clear" w:color="auto" w:fill="EDEDED" w:themeFill="accent3" w:themeFillTint="33"/>
            <w:vAlign w:val="center"/>
          </w:tcPr>
          <w:p w14:paraId="6DAF1EAE" w14:textId="77777777" w:rsidR="00146EA2" w:rsidRPr="004316CD" w:rsidRDefault="00146EA2" w:rsidP="00A23924">
            <w:pPr>
              <w:jc w:val="center"/>
              <w:rPr>
                <w:rFonts w:ascii="Times New Roman" w:hAnsi="Times New Roman" w:cs="Times New Roman"/>
                <w:sz w:val="20"/>
                <w:szCs w:val="20"/>
              </w:rPr>
            </w:pPr>
          </w:p>
        </w:tc>
        <w:tc>
          <w:tcPr>
            <w:tcW w:w="426" w:type="dxa"/>
            <w:shd w:val="clear" w:color="auto" w:fill="EDEDED" w:themeFill="accent3" w:themeFillTint="33"/>
            <w:vAlign w:val="center"/>
          </w:tcPr>
          <w:p w14:paraId="7238E6D4" w14:textId="77777777" w:rsidR="00146EA2" w:rsidRPr="004316CD" w:rsidRDefault="00146EA2" w:rsidP="00A23924">
            <w:pPr>
              <w:jc w:val="center"/>
              <w:rPr>
                <w:rFonts w:ascii="Times New Roman" w:hAnsi="Times New Roman" w:cs="Times New Roman"/>
                <w:sz w:val="20"/>
                <w:szCs w:val="20"/>
              </w:rPr>
            </w:pPr>
          </w:p>
        </w:tc>
        <w:tc>
          <w:tcPr>
            <w:tcW w:w="425" w:type="dxa"/>
            <w:tcBorders>
              <w:right w:val="single" w:sz="12" w:space="0" w:color="auto"/>
            </w:tcBorders>
            <w:vAlign w:val="center"/>
          </w:tcPr>
          <w:p w14:paraId="0BFC4955" w14:textId="77777777" w:rsidR="00146EA2" w:rsidRPr="004316CD" w:rsidRDefault="00146EA2" w:rsidP="00A23924">
            <w:pPr>
              <w:jc w:val="center"/>
              <w:rPr>
                <w:rFonts w:ascii="Times New Roman" w:hAnsi="Times New Roman" w:cs="Times New Roman"/>
                <w:sz w:val="20"/>
                <w:szCs w:val="20"/>
              </w:rPr>
            </w:pPr>
          </w:p>
        </w:tc>
        <w:tc>
          <w:tcPr>
            <w:tcW w:w="425" w:type="dxa"/>
            <w:tcBorders>
              <w:left w:val="single" w:sz="12" w:space="0" w:color="auto"/>
            </w:tcBorders>
            <w:shd w:val="clear" w:color="auto" w:fill="auto"/>
            <w:vAlign w:val="center"/>
          </w:tcPr>
          <w:p w14:paraId="6895EE29" w14:textId="77777777" w:rsidR="00146EA2" w:rsidRPr="004316CD" w:rsidRDefault="00146EA2" w:rsidP="00A23924">
            <w:pPr>
              <w:jc w:val="center"/>
              <w:rPr>
                <w:rFonts w:ascii="Times New Roman" w:hAnsi="Times New Roman" w:cs="Times New Roman"/>
                <w:sz w:val="20"/>
                <w:szCs w:val="20"/>
              </w:rPr>
            </w:pPr>
          </w:p>
        </w:tc>
        <w:tc>
          <w:tcPr>
            <w:tcW w:w="425" w:type="dxa"/>
            <w:shd w:val="clear" w:color="auto" w:fill="auto"/>
            <w:vAlign w:val="center"/>
          </w:tcPr>
          <w:p w14:paraId="5ADE8225" w14:textId="77777777" w:rsidR="00146EA2" w:rsidRPr="004316CD" w:rsidRDefault="00146EA2" w:rsidP="00A23924">
            <w:pPr>
              <w:jc w:val="center"/>
              <w:rPr>
                <w:rFonts w:ascii="Times New Roman" w:hAnsi="Times New Roman" w:cs="Times New Roman"/>
                <w:sz w:val="20"/>
                <w:szCs w:val="20"/>
              </w:rPr>
            </w:pPr>
          </w:p>
        </w:tc>
        <w:tc>
          <w:tcPr>
            <w:tcW w:w="426" w:type="dxa"/>
            <w:shd w:val="clear" w:color="auto" w:fill="auto"/>
            <w:vAlign w:val="center"/>
          </w:tcPr>
          <w:p w14:paraId="2533AAD2" w14:textId="77777777" w:rsidR="00146EA2" w:rsidRPr="004316CD" w:rsidRDefault="00146EA2" w:rsidP="00A23924">
            <w:pPr>
              <w:jc w:val="center"/>
              <w:rPr>
                <w:rFonts w:ascii="Times New Roman" w:hAnsi="Times New Roman" w:cs="Times New Roman"/>
                <w:sz w:val="20"/>
                <w:szCs w:val="20"/>
              </w:rPr>
            </w:pPr>
          </w:p>
        </w:tc>
        <w:tc>
          <w:tcPr>
            <w:tcW w:w="425" w:type="dxa"/>
            <w:tcBorders>
              <w:right w:val="single" w:sz="12" w:space="0" w:color="auto"/>
            </w:tcBorders>
            <w:shd w:val="clear" w:color="auto" w:fill="auto"/>
            <w:vAlign w:val="center"/>
          </w:tcPr>
          <w:p w14:paraId="4A2D0AE9" w14:textId="77777777" w:rsidR="00146EA2" w:rsidRPr="004316CD" w:rsidRDefault="00146EA2" w:rsidP="00A23924">
            <w:pPr>
              <w:jc w:val="center"/>
              <w:rPr>
                <w:rFonts w:ascii="Times New Roman" w:hAnsi="Times New Roman" w:cs="Times New Roman"/>
                <w:sz w:val="20"/>
                <w:szCs w:val="20"/>
              </w:rPr>
            </w:pPr>
          </w:p>
        </w:tc>
        <w:tc>
          <w:tcPr>
            <w:tcW w:w="425" w:type="dxa"/>
            <w:tcBorders>
              <w:left w:val="single" w:sz="12" w:space="0" w:color="auto"/>
            </w:tcBorders>
            <w:shd w:val="clear" w:color="auto" w:fill="FFC000"/>
            <w:vAlign w:val="center"/>
          </w:tcPr>
          <w:p w14:paraId="3D087791" w14:textId="77777777" w:rsidR="00146EA2" w:rsidRPr="004316CD" w:rsidRDefault="00146EA2" w:rsidP="00A23924">
            <w:pPr>
              <w:jc w:val="center"/>
              <w:rPr>
                <w:rFonts w:ascii="Times New Roman" w:hAnsi="Times New Roman" w:cs="Times New Roman"/>
                <w:sz w:val="20"/>
                <w:szCs w:val="20"/>
              </w:rPr>
            </w:pPr>
          </w:p>
        </w:tc>
        <w:tc>
          <w:tcPr>
            <w:tcW w:w="425" w:type="dxa"/>
            <w:shd w:val="clear" w:color="auto" w:fill="FFC000"/>
            <w:vAlign w:val="center"/>
          </w:tcPr>
          <w:p w14:paraId="08DFD73C" w14:textId="77777777" w:rsidR="00146EA2" w:rsidRPr="004316CD" w:rsidRDefault="00146EA2" w:rsidP="00A23924">
            <w:pPr>
              <w:jc w:val="center"/>
              <w:rPr>
                <w:rFonts w:ascii="Times New Roman" w:hAnsi="Times New Roman" w:cs="Times New Roman"/>
                <w:sz w:val="20"/>
                <w:szCs w:val="20"/>
              </w:rPr>
            </w:pPr>
          </w:p>
        </w:tc>
        <w:tc>
          <w:tcPr>
            <w:tcW w:w="426" w:type="dxa"/>
            <w:shd w:val="clear" w:color="auto" w:fill="FFC000"/>
            <w:vAlign w:val="center"/>
          </w:tcPr>
          <w:p w14:paraId="0E50DF4F" w14:textId="77777777" w:rsidR="00146EA2" w:rsidRPr="004316CD" w:rsidRDefault="00146EA2" w:rsidP="00A23924">
            <w:pPr>
              <w:jc w:val="center"/>
              <w:rPr>
                <w:rFonts w:ascii="Times New Roman" w:hAnsi="Times New Roman" w:cs="Times New Roman"/>
                <w:sz w:val="20"/>
                <w:szCs w:val="20"/>
              </w:rPr>
            </w:pPr>
          </w:p>
        </w:tc>
        <w:tc>
          <w:tcPr>
            <w:tcW w:w="425" w:type="dxa"/>
            <w:tcBorders>
              <w:right w:val="single" w:sz="12" w:space="0" w:color="auto"/>
            </w:tcBorders>
            <w:shd w:val="clear" w:color="auto" w:fill="FFC000"/>
            <w:vAlign w:val="center"/>
          </w:tcPr>
          <w:p w14:paraId="4F938A41" w14:textId="77777777" w:rsidR="00146EA2" w:rsidRPr="004316CD" w:rsidRDefault="00146EA2" w:rsidP="00A23924">
            <w:pPr>
              <w:jc w:val="center"/>
              <w:rPr>
                <w:rFonts w:ascii="Times New Roman" w:hAnsi="Times New Roman" w:cs="Times New Roman"/>
                <w:sz w:val="20"/>
                <w:szCs w:val="20"/>
              </w:rPr>
            </w:pPr>
          </w:p>
        </w:tc>
        <w:tc>
          <w:tcPr>
            <w:tcW w:w="425" w:type="dxa"/>
            <w:tcBorders>
              <w:left w:val="single" w:sz="12" w:space="0" w:color="auto"/>
            </w:tcBorders>
            <w:shd w:val="clear" w:color="auto" w:fill="FFC000"/>
            <w:vAlign w:val="center"/>
          </w:tcPr>
          <w:p w14:paraId="6A2BAE10" w14:textId="77777777" w:rsidR="00146EA2" w:rsidRPr="004316CD" w:rsidRDefault="00146EA2" w:rsidP="00A23924">
            <w:pPr>
              <w:jc w:val="center"/>
              <w:rPr>
                <w:rFonts w:ascii="Times New Roman" w:hAnsi="Times New Roman" w:cs="Times New Roman"/>
                <w:sz w:val="20"/>
                <w:szCs w:val="20"/>
              </w:rPr>
            </w:pPr>
          </w:p>
        </w:tc>
        <w:tc>
          <w:tcPr>
            <w:tcW w:w="425" w:type="dxa"/>
            <w:shd w:val="clear" w:color="auto" w:fill="FFC000"/>
            <w:vAlign w:val="center"/>
          </w:tcPr>
          <w:p w14:paraId="28C17C79" w14:textId="77777777" w:rsidR="00146EA2" w:rsidRPr="004316CD" w:rsidRDefault="00146EA2" w:rsidP="00A23924">
            <w:pPr>
              <w:jc w:val="center"/>
              <w:rPr>
                <w:rFonts w:ascii="Times New Roman" w:hAnsi="Times New Roman" w:cs="Times New Roman"/>
                <w:sz w:val="20"/>
                <w:szCs w:val="20"/>
              </w:rPr>
            </w:pPr>
          </w:p>
        </w:tc>
        <w:tc>
          <w:tcPr>
            <w:tcW w:w="426" w:type="dxa"/>
            <w:shd w:val="clear" w:color="auto" w:fill="FFC000"/>
            <w:vAlign w:val="center"/>
          </w:tcPr>
          <w:p w14:paraId="21D0ED93" w14:textId="77777777" w:rsidR="00146EA2" w:rsidRPr="004316CD" w:rsidRDefault="00146EA2" w:rsidP="00A23924">
            <w:pPr>
              <w:jc w:val="center"/>
              <w:rPr>
                <w:rFonts w:ascii="Times New Roman" w:hAnsi="Times New Roman" w:cs="Times New Roman"/>
                <w:sz w:val="20"/>
                <w:szCs w:val="20"/>
              </w:rPr>
            </w:pPr>
          </w:p>
        </w:tc>
        <w:tc>
          <w:tcPr>
            <w:tcW w:w="425" w:type="dxa"/>
            <w:tcBorders>
              <w:right w:val="single" w:sz="12" w:space="0" w:color="auto"/>
            </w:tcBorders>
            <w:shd w:val="clear" w:color="auto" w:fill="FFC000"/>
            <w:vAlign w:val="center"/>
          </w:tcPr>
          <w:p w14:paraId="6736DC0B" w14:textId="77777777" w:rsidR="00146EA2" w:rsidRPr="004316CD" w:rsidRDefault="00146EA2" w:rsidP="00A23924">
            <w:pPr>
              <w:jc w:val="center"/>
              <w:rPr>
                <w:rFonts w:ascii="Times New Roman" w:hAnsi="Times New Roman" w:cs="Times New Roman"/>
                <w:sz w:val="20"/>
                <w:szCs w:val="20"/>
              </w:rPr>
            </w:pPr>
          </w:p>
        </w:tc>
        <w:tc>
          <w:tcPr>
            <w:tcW w:w="425" w:type="dxa"/>
            <w:tcBorders>
              <w:left w:val="single" w:sz="12" w:space="0" w:color="auto"/>
            </w:tcBorders>
            <w:shd w:val="clear" w:color="auto" w:fill="FFC000"/>
            <w:vAlign w:val="center"/>
          </w:tcPr>
          <w:p w14:paraId="3EA48250" w14:textId="77777777" w:rsidR="00146EA2" w:rsidRPr="004316CD" w:rsidRDefault="00146EA2" w:rsidP="00A23924">
            <w:pPr>
              <w:jc w:val="center"/>
              <w:rPr>
                <w:rFonts w:ascii="Times New Roman" w:hAnsi="Times New Roman" w:cs="Times New Roman"/>
                <w:sz w:val="20"/>
                <w:szCs w:val="20"/>
              </w:rPr>
            </w:pPr>
          </w:p>
        </w:tc>
        <w:tc>
          <w:tcPr>
            <w:tcW w:w="425" w:type="dxa"/>
            <w:shd w:val="clear" w:color="auto" w:fill="FFC000"/>
            <w:vAlign w:val="center"/>
          </w:tcPr>
          <w:p w14:paraId="48281B9E" w14:textId="77777777" w:rsidR="00146EA2" w:rsidRPr="004316CD" w:rsidRDefault="00146EA2" w:rsidP="00A23924">
            <w:pPr>
              <w:jc w:val="center"/>
              <w:rPr>
                <w:rFonts w:ascii="Times New Roman" w:hAnsi="Times New Roman" w:cs="Times New Roman"/>
                <w:sz w:val="20"/>
                <w:szCs w:val="20"/>
              </w:rPr>
            </w:pPr>
          </w:p>
        </w:tc>
        <w:tc>
          <w:tcPr>
            <w:tcW w:w="426" w:type="dxa"/>
            <w:shd w:val="clear" w:color="auto" w:fill="FFC000"/>
            <w:vAlign w:val="center"/>
          </w:tcPr>
          <w:p w14:paraId="45B84D19" w14:textId="77777777" w:rsidR="00146EA2" w:rsidRPr="004316CD" w:rsidRDefault="00146EA2" w:rsidP="00A23924">
            <w:pPr>
              <w:jc w:val="center"/>
              <w:rPr>
                <w:rFonts w:ascii="Times New Roman" w:hAnsi="Times New Roman" w:cs="Times New Roman"/>
                <w:sz w:val="20"/>
                <w:szCs w:val="20"/>
              </w:rPr>
            </w:pPr>
          </w:p>
        </w:tc>
        <w:tc>
          <w:tcPr>
            <w:tcW w:w="425" w:type="dxa"/>
            <w:tcBorders>
              <w:right w:val="single" w:sz="12" w:space="0" w:color="auto"/>
            </w:tcBorders>
            <w:shd w:val="clear" w:color="auto" w:fill="FFC000"/>
            <w:vAlign w:val="center"/>
          </w:tcPr>
          <w:p w14:paraId="4A72839C" w14:textId="77777777" w:rsidR="00146EA2" w:rsidRPr="004316CD" w:rsidRDefault="00146EA2" w:rsidP="00A23924">
            <w:pPr>
              <w:jc w:val="center"/>
              <w:rPr>
                <w:rFonts w:ascii="Times New Roman" w:hAnsi="Times New Roman" w:cs="Times New Roman"/>
                <w:sz w:val="20"/>
                <w:szCs w:val="20"/>
              </w:rPr>
            </w:pPr>
          </w:p>
        </w:tc>
      </w:tr>
      <w:tr w:rsidR="000C5184" w:rsidRPr="004316CD" w14:paraId="4CCC842E" w14:textId="77777777" w:rsidTr="00632AEF">
        <w:trPr>
          <w:trHeight w:val="454"/>
          <w:jc w:val="center"/>
        </w:trPr>
        <w:tc>
          <w:tcPr>
            <w:tcW w:w="562" w:type="dxa"/>
            <w:tcBorders>
              <w:left w:val="single" w:sz="12" w:space="0" w:color="auto"/>
            </w:tcBorders>
            <w:shd w:val="clear" w:color="auto" w:fill="ACB9CA" w:themeFill="text2" w:themeFillTint="66"/>
            <w:vAlign w:val="center"/>
          </w:tcPr>
          <w:p w14:paraId="5B081EC9" w14:textId="77777777" w:rsidR="000C5184" w:rsidRPr="004316CD" w:rsidRDefault="000C5184" w:rsidP="00A510E4">
            <w:pPr>
              <w:pStyle w:val="ListParagraph"/>
              <w:numPr>
                <w:ilvl w:val="0"/>
                <w:numId w:val="9"/>
              </w:numPr>
              <w:tabs>
                <w:tab w:val="left" w:pos="360"/>
              </w:tabs>
              <w:ind w:hanging="549"/>
              <w:rPr>
                <w:rFonts w:ascii="Times New Roman" w:hAnsi="Times New Roman" w:cs="Times New Roman"/>
                <w:sz w:val="20"/>
                <w:szCs w:val="20"/>
              </w:rPr>
            </w:pPr>
          </w:p>
        </w:tc>
        <w:tc>
          <w:tcPr>
            <w:tcW w:w="3818" w:type="dxa"/>
          </w:tcPr>
          <w:p w14:paraId="5BE0FD24" w14:textId="77777777" w:rsidR="000C5184" w:rsidRDefault="000C5184" w:rsidP="00146EA2">
            <w:pPr>
              <w:rPr>
                <w:rFonts w:ascii="Times New Roman" w:hAnsi="Times New Roman" w:cs="Times New Roman"/>
                <w:sz w:val="20"/>
                <w:szCs w:val="20"/>
              </w:rPr>
            </w:pPr>
            <w:r>
              <w:rPr>
                <w:rFonts w:ascii="Times New Roman" w:hAnsi="Times New Roman" w:cs="Times New Roman"/>
                <w:sz w:val="20"/>
                <w:szCs w:val="20"/>
              </w:rPr>
              <w:t xml:space="preserve">Grozījumu izstrāde MK 02.10.2007. noteikumos </w:t>
            </w:r>
            <w:r w:rsidRPr="004316CD">
              <w:rPr>
                <w:rFonts w:ascii="Times New Roman" w:hAnsi="Times New Roman" w:cs="Times New Roman"/>
                <w:sz w:val="20"/>
                <w:szCs w:val="20"/>
              </w:rPr>
              <w:t>Nr. 655</w:t>
            </w:r>
            <w:r>
              <w:rPr>
                <w:rFonts w:ascii="Times New Roman" w:hAnsi="Times New Roman" w:cs="Times New Roman"/>
                <w:sz w:val="20"/>
                <w:szCs w:val="20"/>
              </w:rPr>
              <w:t>:</w:t>
            </w:r>
          </w:p>
          <w:p w14:paraId="5FE0D928" w14:textId="77777777" w:rsidR="000C5184" w:rsidRDefault="000C5184" w:rsidP="00146EA2">
            <w:pPr>
              <w:rPr>
                <w:rFonts w:ascii="Times New Roman" w:hAnsi="Times New Roman" w:cs="Times New Roman"/>
                <w:sz w:val="20"/>
                <w:szCs w:val="20"/>
              </w:rPr>
            </w:pPr>
            <w:r>
              <w:rPr>
                <w:rFonts w:ascii="Times New Roman" w:hAnsi="Times New Roman" w:cs="Times New Roman"/>
                <w:sz w:val="20"/>
                <w:szCs w:val="20"/>
              </w:rPr>
              <w:t xml:space="preserve">1) </w:t>
            </w:r>
            <w:r w:rsidRPr="004316CD">
              <w:rPr>
                <w:rFonts w:ascii="Times New Roman" w:hAnsi="Times New Roman" w:cs="Times New Roman"/>
                <w:sz w:val="20"/>
                <w:szCs w:val="20"/>
              </w:rPr>
              <w:t>Pārskatīt normējamo un nenormējamo izmaksu struktūru</w:t>
            </w:r>
            <w:r>
              <w:rPr>
                <w:rFonts w:ascii="Times New Roman" w:hAnsi="Times New Roman" w:cs="Times New Roman"/>
                <w:sz w:val="20"/>
                <w:szCs w:val="20"/>
              </w:rPr>
              <w:t>;</w:t>
            </w:r>
          </w:p>
          <w:p w14:paraId="6FD3D223" w14:textId="77777777" w:rsidR="000C5184" w:rsidRDefault="000C5184" w:rsidP="00146EA2">
            <w:pPr>
              <w:rPr>
                <w:rFonts w:ascii="Times New Roman" w:hAnsi="Times New Roman" w:cs="Times New Roman"/>
                <w:sz w:val="20"/>
                <w:szCs w:val="20"/>
              </w:rPr>
            </w:pPr>
            <w:r>
              <w:rPr>
                <w:rFonts w:ascii="Times New Roman" w:hAnsi="Times New Roman" w:cs="Times New Roman"/>
                <w:sz w:val="20"/>
                <w:szCs w:val="20"/>
              </w:rPr>
              <w:t>2) P</w:t>
            </w:r>
            <w:r w:rsidRPr="004316CD">
              <w:rPr>
                <w:rFonts w:ascii="Times New Roman" w:hAnsi="Times New Roman" w:cs="Times New Roman"/>
                <w:sz w:val="20"/>
                <w:szCs w:val="20"/>
              </w:rPr>
              <w:t>ārskatīt izmaksu minimālo koe</w:t>
            </w:r>
            <w:r>
              <w:rPr>
                <w:rFonts w:ascii="Times New Roman" w:hAnsi="Times New Roman" w:cs="Times New Roman"/>
                <w:sz w:val="20"/>
                <w:szCs w:val="20"/>
              </w:rPr>
              <w:t>ficientu piemērošanas metodiku;</w:t>
            </w:r>
          </w:p>
          <w:p w14:paraId="6191DC16" w14:textId="273D3152" w:rsidR="000C5184" w:rsidRPr="000C5184" w:rsidRDefault="000C5184" w:rsidP="00146EA2">
            <w:pPr>
              <w:rPr>
                <w:rFonts w:ascii="Times New Roman" w:hAnsi="Times New Roman" w:cs="Times New Roman"/>
                <w:sz w:val="20"/>
                <w:szCs w:val="20"/>
              </w:rPr>
            </w:pPr>
            <w:r>
              <w:rPr>
                <w:rFonts w:ascii="Times New Roman" w:hAnsi="Times New Roman" w:cs="Times New Roman"/>
                <w:sz w:val="20"/>
                <w:szCs w:val="20"/>
              </w:rPr>
              <w:lastRenderedPageBreak/>
              <w:t>3)</w:t>
            </w:r>
            <w:r w:rsidRPr="004316CD">
              <w:rPr>
                <w:rFonts w:ascii="Times New Roman" w:hAnsi="Times New Roman" w:cs="Times New Roman"/>
                <w:sz w:val="20"/>
                <w:szCs w:val="20"/>
              </w:rPr>
              <w:t xml:space="preserve"> Aktualizēt </w:t>
            </w:r>
            <w:r>
              <w:rPr>
                <w:rFonts w:ascii="Times New Roman" w:hAnsi="Times New Roman" w:cs="Times New Roman"/>
                <w:sz w:val="20"/>
                <w:szCs w:val="20"/>
              </w:rPr>
              <w:t>IP</w:t>
            </w:r>
            <w:r w:rsidRPr="004316CD">
              <w:rPr>
                <w:rFonts w:ascii="Times New Roman" w:hAnsi="Times New Roman" w:cs="Times New Roman"/>
                <w:sz w:val="20"/>
                <w:szCs w:val="20"/>
              </w:rPr>
              <w:t xml:space="preserve"> izmaksu minimālos koeficientus</w:t>
            </w:r>
            <w:r w:rsidR="00CD7A3F">
              <w:rPr>
                <w:rFonts w:ascii="Times New Roman" w:hAnsi="Times New Roman" w:cs="Times New Roman"/>
                <w:sz w:val="20"/>
                <w:szCs w:val="20"/>
              </w:rPr>
              <w:t>.</w:t>
            </w:r>
          </w:p>
        </w:tc>
        <w:tc>
          <w:tcPr>
            <w:tcW w:w="1559" w:type="dxa"/>
            <w:tcBorders>
              <w:right w:val="single" w:sz="12" w:space="0" w:color="auto"/>
            </w:tcBorders>
          </w:tcPr>
          <w:p w14:paraId="33B51461" w14:textId="466CEC14" w:rsidR="000C5184" w:rsidRPr="008E4ECE" w:rsidRDefault="000C5184" w:rsidP="00395220">
            <w:pPr>
              <w:rPr>
                <w:rFonts w:ascii="Times New Roman" w:hAnsi="Times New Roman" w:cs="Times New Roman"/>
                <w:sz w:val="20"/>
                <w:szCs w:val="20"/>
              </w:rPr>
            </w:pPr>
            <w:r w:rsidRPr="004316CD">
              <w:rPr>
                <w:rFonts w:ascii="Times New Roman" w:hAnsi="Times New Roman" w:cs="Times New Roman"/>
                <w:sz w:val="20"/>
                <w:szCs w:val="20"/>
              </w:rPr>
              <w:lastRenderedPageBreak/>
              <w:t>IZM, KM, LM, ZM, PIB</w:t>
            </w:r>
            <w:r>
              <w:rPr>
                <w:rFonts w:ascii="Times New Roman" w:hAnsi="Times New Roman" w:cs="Times New Roman"/>
                <w:sz w:val="20"/>
                <w:szCs w:val="20"/>
              </w:rPr>
              <w:t>, VISC, LDDK,</w:t>
            </w:r>
          </w:p>
        </w:tc>
        <w:tc>
          <w:tcPr>
            <w:tcW w:w="425" w:type="dxa"/>
            <w:tcBorders>
              <w:left w:val="single" w:sz="12" w:space="0" w:color="auto"/>
            </w:tcBorders>
            <w:shd w:val="clear" w:color="auto" w:fill="EDEDED" w:themeFill="accent3" w:themeFillTint="33"/>
            <w:vAlign w:val="center"/>
          </w:tcPr>
          <w:p w14:paraId="44DBA5A7" w14:textId="77777777" w:rsidR="000C5184" w:rsidRPr="004316CD" w:rsidRDefault="000C5184" w:rsidP="00A23924">
            <w:pPr>
              <w:jc w:val="center"/>
              <w:rPr>
                <w:rFonts w:ascii="Times New Roman" w:hAnsi="Times New Roman" w:cs="Times New Roman"/>
                <w:sz w:val="20"/>
                <w:szCs w:val="20"/>
              </w:rPr>
            </w:pPr>
          </w:p>
        </w:tc>
        <w:tc>
          <w:tcPr>
            <w:tcW w:w="425" w:type="dxa"/>
            <w:shd w:val="clear" w:color="auto" w:fill="EDEDED" w:themeFill="accent3" w:themeFillTint="33"/>
            <w:vAlign w:val="center"/>
          </w:tcPr>
          <w:p w14:paraId="396EDE65" w14:textId="77777777" w:rsidR="000C5184" w:rsidRPr="004316CD" w:rsidRDefault="000C5184" w:rsidP="00A23924">
            <w:pPr>
              <w:jc w:val="center"/>
              <w:rPr>
                <w:rFonts w:ascii="Times New Roman" w:hAnsi="Times New Roman" w:cs="Times New Roman"/>
                <w:sz w:val="20"/>
                <w:szCs w:val="20"/>
              </w:rPr>
            </w:pPr>
          </w:p>
        </w:tc>
        <w:tc>
          <w:tcPr>
            <w:tcW w:w="426" w:type="dxa"/>
            <w:shd w:val="clear" w:color="auto" w:fill="EDEDED" w:themeFill="accent3" w:themeFillTint="33"/>
            <w:vAlign w:val="center"/>
          </w:tcPr>
          <w:p w14:paraId="6D56A3A7" w14:textId="77777777" w:rsidR="000C5184" w:rsidRPr="004316CD" w:rsidRDefault="000C5184" w:rsidP="00A23924">
            <w:pPr>
              <w:jc w:val="center"/>
              <w:rPr>
                <w:rFonts w:ascii="Times New Roman" w:hAnsi="Times New Roman" w:cs="Times New Roman"/>
                <w:sz w:val="20"/>
                <w:szCs w:val="20"/>
              </w:rPr>
            </w:pPr>
          </w:p>
        </w:tc>
        <w:tc>
          <w:tcPr>
            <w:tcW w:w="425" w:type="dxa"/>
            <w:tcBorders>
              <w:right w:val="single" w:sz="12" w:space="0" w:color="auto"/>
            </w:tcBorders>
            <w:vAlign w:val="center"/>
          </w:tcPr>
          <w:p w14:paraId="2FD12B24" w14:textId="77777777" w:rsidR="000C5184" w:rsidRPr="004316CD" w:rsidRDefault="000C5184" w:rsidP="00A23924">
            <w:pPr>
              <w:jc w:val="center"/>
              <w:rPr>
                <w:rFonts w:ascii="Times New Roman" w:hAnsi="Times New Roman" w:cs="Times New Roman"/>
                <w:sz w:val="20"/>
                <w:szCs w:val="20"/>
              </w:rPr>
            </w:pPr>
          </w:p>
        </w:tc>
        <w:tc>
          <w:tcPr>
            <w:tcW w:w="425" w:type="dxa"/>
            <w:tcBorders>
              <w:left w:val="single" w:sz="12" w:space="0" w:color="auto"/>
            </w:tcBorders>
            <w:shd w:val="clear" w:color="auto" w:fill="auto"/>
            <w:vAlign w:val="center"/>
          </w:tcPr>
          <w:p w14:paraId="0670C618" w14:textId="77777777" w:rsidR="000C5184" w:rsidRPr="004316CD" w:rsidRDefault="000C5184" w:rsidP="00A23924">
            <w:pPr>
              <w:jc w:val="center"/>
              <w:rPr>
                <w:rFonts w:ascii="Times New Roman" w:hAnsi="Times New Roman" w:cs="Times New Roman"/>
                <w:sz w:val="20"/>
                <w:szCs w:val="20"/>
              </w:rPr>
            </w:pPr>
          </w:p>
        </w:tc>
        <w:tc>
          <w:tcPr>
            <w:tcW w:w="425" w:type="dxa"/>
            <w:shd w:val="clear" w:color="auto" w:fill="auto"/>
            <w:vAlign w:val="center"/>
          </w:tcPr>
          <w:p w14:paraId="2F6C3B2B" w14:textId="77777777" w:rsidR="000C5184" w:rsidRPr="004316CD" w:rsidRDefault="000C5184" w:rsidP="00A23924">
            <w:pPr>
              <w:jc w:val="center"/>
              <w:rPr>
                <w:rFonts w:ascii="Times New Roman" w:hAnsi="Times New Roman" w:cs="Times New Roman"/>
                <w:sz w:val="20"/>
                <w:szCs w:val="20"/>
              </w:rPr>
            </w:pPr>
          </w:p>
        </w:tc>
        <w:tc>
          <w:tcPr>
            <w:tcW w:w="426" w:type="dxa"/>
            <w:shd w:val="clear" w:color="auto" w:fill="FFC000"/>
            <w:vAlign w:val="center"/>
          </w:tcPr>
          <w:p w14:paraId="6626C027" w14:textId="77777777" w:rsidR="000C5184" w:rsidRPr="004316CD" w:rsidRDefault="000C5184" w:rsidP="00A23924">
            <w:pPr>
              <w:jc w:val="center"/>
              <w:rPr>
                <w:rFonts w:ascii="Times New Roman" w:hAnsi="Times New Roman" w:cs="Times New Roman"/>
                <w:sz w:val="20"/>
                <w:szCs w:val="20"/>
              </w:rPr>
            </w:pPr>
          </w:p>
        </w:tc>
        <w:tc>
          <w:tcPr>
            <w:tcW w:w="425" w:type="dxa"/>
            <w:tcBorders>
              <w:right w:val="single" w:sz="12" w:space="0" w:color="auto"/>
            </w:tcBorders>
            <w:shd w:val="clear" w:color="auto" w:fill="FFC000"/>
            <w:vAlign w:val="center"/>
          </w:tcPr>
          <w:p w14:paraId="77A688B5" w14:textId="77777777" w:rsidR="000C5184" w:rsidRPr="004316CD" w:rsidRDefault="000C5184" w:rsidP="00A23924">
            <w:pPr>
              <w:jc w:val="center"/>
              <w:rPr>
                <w:rFonts w:ascii="Times New Roman" w:hAnsi="Times New Roman" w:cs="Times New Roman"/>
                <w:sz w:val="20"/>
                <w:szCs w:val="20"/>
              </w:rPr>
            </w:pPr>
          </w:p>
        </w:tc>
        <w:tc>
          <w:tcPr>
            <w:tcW w:w="425" w:type="dxa"/>
            <w:tcBorders>
              <w:left w:val="single" w:sz="12" w:space="0" w:color="auto"/>
            </w:tcBorders>
            <w:shd w:val="clear" w:color="auto" w:fill="FFC000"/>
            <w:vAlign w:val="center"/>
          </w:tcPr>
          <w:p w14:paraId="4AD78136" w14:textId="77777777" w:rsidR="000C5184" w:rsidRPr="004316CD" w:rsidRDefault="000C5184" w:rsidP="00A23924">
            <w:pPr>
              <w:jc w:val="center"/>
              <w:rPr>
                <w:rFonts w:ascii="Times New Roman" w:hAnsi="Times New Roman" w:cs="Times New Roman"/>
                <w:sz w:val="20"/>
                <w:szCs w:val="20"/>
              </w:rPr>
            </w:pPr>
          </w:p>
        </w:tc>
        <w:tc>
          <w:tcPr>
            <w:tcW w:w="425" w:type="dxa"/>
            <w:shd w:val="clear" w:color="auto" w:fill="FFC000"/>
            <w:vAlign w:val="center"/>
          </w:tcPr>
          <w:p w14:paraId="4884DF64" w14:textId="77777777" w:rsidR="000C5184" w:rsidRPr="004316CD" w:rsidRDefault="000C5184" w:rsidP="00A23924">
            <w:pPr>
              <w:jc w:val="center"/>
              <w:rPr>
                <w:rFonts w:ascii="Times New Roman" w:hAnsi="Times New Roman" w:cs="Times New Roman"/>
                <w:sz w:val="20"/>
                <w:szCs w:val="20"/>
              </w:rPr>
            </w:pPr>
          </w:p>
        </w:tc>
        <w:tc>
          <w:tcPr>
            <w:tcW w:w="426" w:type="dxa"/>
            <w:shd w:val="clear" w:color="auto" w:fill="FFC000"/>
            <w:vAlign w:val="center"/>
          </w:tcPr>
          <w:p w14:paraId="2C7AD2F3" w14:textId="77777777" w:rsidR="000C5184" w:rsidRPr="004316CD" w:rsidRDefault="000C5184" w:rsidP="00A23924">
            <w:pPr>
              <w:jc w:val="center"/>
              <w:rPr>
                <w:rFonts w:ascii="Times New Roman" w:hAnsi="Times New Roman" w:cs="Times New Roman"/>
                <w:sz w:val="20"/>
                <w:szCs w:val="20"/>
              </w:rPr>
            </w:pPr>
          </w:p>
        </w:tc>
        <w:tc>
          <w:tcPr>
            <w:tcW w:w="425" w:type="dxa"/>
            <w:tcBorders>
              <w:right w:val="single" w:sz="12" w:space="0" w:color="auto"/>
            </w:tcBorders>
            <w:shd w:val="clear" w:color="auto" w:fill="auto"/>
            <w:vAlign w:val="center"/>
          </w:tcPr>
          <w:p w14:paraId="7EFB8306" w14:textId="77777777" w:rsidR="000C5184" w:rsidRPr="004316CD" w:rsidRDefault="000C5184" w:rsidP="00A23924">
            <w:pPr>
              <w:jc w:val="center"/>
              <w:rPr>
                <w:rFonts w:ascii="Times New Roman" w:hAnsi="Times New Roman" w:cs="Times New Roman"/>
                <w:sz w:val="20"/>
                <w:szCs w:val="20"/>
              </w:rPr>
            </w:pPr>
          </w:p>
        </w:tc>
        <w:tc>
          <w:tcPr>
            <w:tcW w:w="425" w:type="dxa"/>
            <w:tcBorders>
              <w:left w:val="single" w:sz="12" w:space="0" w:color="auto"/>
            </w:tcBorders>
            <w:shd w:val="clear" w:color="auto" w:fill="auto"/>
            <w:vAlign w:val="center"/>
          </w:tcPr>
          <w:p w14:paraId="11DE79B7" w14:textId="77777777" w:rsidR="000C5184" w:rsidRPr="004316CD" w:rsidRDefault="000C5184" w:rsidP="00A23924">
            <w:pPr>
              <w:jc w:val="center"/>
              <w:rPr>
                <w:rFonts w:ascii="Times New Roman" w:hAnsi="Times New Roman" w:cs="Times New Roman"/>
                <w:sz w:val="20"/>
                <w:szCs w:val="20"/>
              </w:rPr>
            </w:pPr>
          </w:p>
        </w:tc>
        <w:tc>
          <w:tcPr>
            <w:tcW w:w="425" w:type="dxa"/>
            <w:shd w:val="clear" w:color="auto" w:fill="auto"/>
            <w:vAlign w:val="center"/>
          </w:tcPr>
          <w:p w14:paraId="1EF010C3" w14:textId="77777777" w:rsidR="000C5184" w:rsidRPr="004316CD" w:rsidRDefault="000C5184" w:rsidP="00A23924">
            <w:pPr>
              <w:jc w:val="center"/>
              <w:rPr>
                <w:rFonts w:ascii="Times New Roman" w:hAnsi="Times New Roman" w:cs="Times New Roman"/>
                <w:sz w:val="20"/>
                <w:szCs w:val="20"/>
              </w:rPr>
            </w:pPr>
          </w:p>
        </w:tc>
        <w:tc>
          <w:tcPr>
            <w:tcW w:w="426" w:type="dxa"/>
            <w:shd w:val="clear" w:color="auto" w:fill="auto"/>
            <w:vAlign w:val="center"/>
          </w:tcPr>
          <w:p w14:paraId="7ABFD3EA" w14:textId="77777777" w:rsidR="000C5184" w:rsidRPr="004316CD" w:rsidRDefault="000C5184" w:rsidP="00A23924">
            <w:pPr>
              <w:jc w:val="center"/>
              <w:rPr>
                <w:rFonts w:ascii="Times New Roman" w:hAnsi="Times New Roman" w:cs="Times New Roman"/>
                <w:sz w:val="20"/>
                <w:szCs w:val="20"/>
              </w:rPr>
            </w:pPr>
          </w:p>
        </w:tc>
        <w:tc>
          <w:tcPr>
            <w:tcW w:w="425" w:type="dxa"/>
            <w:tcBorders>
              <w:right w:val="single" w:sz="12" w:space="0" w:color="auto"/>
            </w:tcBorders>
            <w:shd w:val="clear" w:color="auto" w:fill="auto"/>
            <w:vAlign w:val="center"/>
          </w:tcPr>
          <w:p w14:paraId="2C31B85D" w14:textId="77777777" w:rsidR="000C5184" w:rsidRPr="004316CD" w:rsidRDefault="000C5184" w:rsidP="00A23924">
            <w:pPr>
              <w:jc w:val="center"/>
              <w:rPr>
                <w:rFonts w:ascii="Times New Roman" w:hAnsi="Times New Roman" w:cs="Times New Roman"/>
                <w:sz w:val="20"/>
                <w:szCs w:val="20"/>
              </w:rPr>
            </w:pPr>
          </w:p>
        </w:tc>
        <w:tc>
          <w:tcPr>
            <w:tcW w:w="425" w:type="dxa"/>
            <w:tcBorders>
              <w:left w:val="single" w:sz="12" w:space="0" w:color="auto"/>
            </w:tcBorders>
            <w:shd w:val="clear" w:color="auto" w:fill="auto"/>
            <w:vAlign w:val="center"/>
          </w:tcPr>
          <w:p w14:paraId="0A7A811C" w14:textId="77777777" w:rsidR="000C5184" w:rsidRPr="004316CD" w:rsidRDefault="000C5184" w:rsidP="00A23924">
            <w:pPr>
              <w:jc w:val="center"/>
              <w:rPr>
                <w:rFonts w:ascii="Times New Roman" w:hAnsi="Times New Roman" w:cs="Times New Roman"/>
                <w:sz w:val="20"/>
                <w:szCs w:val="20"/>
              </w:rPr>
            </w:pPr>
          </w:p>
        </w:tc>
        <w:tc>
          <w:tcPr>
            <w:tcW w:w="425" w:type="dxa"/>
            <w:shd w:val="clear" w:color="auto" w:fill="auto"/>
            <w:vAlign w:val="center"/>
          </w:tcPr>
          <w:p w14:paraId="18B7C0ED" w14:textId="77777777" w:rsidR="000C5184" w:rsidRPr="004316CD" w:rsidRDefault="000C5184" w:rsidP="00A23924">
            <w:pPr>
              <w:jc w:val="center"/>
              <w:rPr>
                <w:rFonts w:ascii="Times New Roman" w:hAnsi="Times New Roman" w:cs="Times New Roman"/>
                <w:sz w:val="20"/>
                <w:szCs w:val="20"/>
              </w:rPr>
            </w:pPr>
          </w:p>
        </w:tc>
        <w:tc>
          <w:tcPr>
            <w:tcW w:w="426" w:type="dxa"/>
            <w:shd w:val="clear" w:color="auto" w:fill="auto"/>
            <w:vAlign w:val="center"/>
          </w:tcPr>
          <w:p w14:paraId="5C710EF3" w14:textId="77777777" w:rsidR="000C5184" w:rsidRPr="004316CD" w:rsidRDefault="000C5184" w:rsidP="00A23924">
            <w:pPr>
              <w:jc w:val="center"/>
              <w:rPr>
                <w:rFonts w:ascii="Times New Roman" w:hAnsi="Times New Roman" w:cs="Times New Roman"/>
                <w:sz w:val="20"/>
                <w:szCs w:val="20"/>
              </w:rPr>
            </w:pPr>
          </w:p>
        </w:tc>
        <w:tc>
          <w:tcPr>
            <w:tcW w:w="425" w:type="dxa"/>
            <w:tcBorders>
              <w:right w:val="single" w:sz="12" w:space="0" w:color="auto"/>
            </w:tcBorders>
            <w:shd w:val="clear" w:color="auto" w:fill="auto"/>
            <w:vAlign w:val="center"/>
          </w:tcPr>
          <w:p w14:paraId="78576BB9" w14:textId="77777777" w:rsidR="000C5184" w:rsidRPr="004316CD" w:rsidRDefault="000C5184" w:rsidP="00A23924">
            <w:pPr>
              <w:jc w:val="center"/>
              <w:rPr>
                <w:rFonts w:ascii="Times New Roman" w:hAnsi="Times New Roman" w:cs="Times New Roman"/>
                <w:sz w:val="20"/>
                <w:szCs w:val="20"/>
              </w:rPr>
            </w:pPr>
          </w:p>
        </w:tc>
      </w:tr>
      <w:tr w:rsidR="006B3F44" w:rsidRPr="004316CD" w14:paraId="1E6B8C23" w14:textId="77777777" w:rsidTr="00CD7A3F">
        <w:trPr>
          <w:trHeight w:val="454"/>
          <w:jc w:val="center"/>
        </w:trPr>
        <w:tc>
          <w:tcPr>
            <w:tcW w:w="562" w:type="dxa"/>
            <w:tcBorders>
              <w:left w:val="single" w:sz="12" w:space="0" w:color="auto"/>
            </w:tcBorders>
            <w:shd w:val="clear" w:color="auto" w:fill="ACB9CA" w:themeFill="text2" w:themeFillTint="66"/>
            <w:vAlign w:val="center"/>
          </w:tcPr>
          <w:p w14:paraId="0C5C5279" w14:textId="77777777" w:rsidR="006B3F44" w:rsidRPr="004316CD" w:rsidRDefault="006B3F44" w:rsidP="00A510E4">
            <w:pPr>
              <w:pStyle w:val="ListParagraph"/>
              <w:numPr>
                <w:ilvl w:val="0"/>
                <w:numId w:val="9"/>
              </w:numPr>
              <w:tabs>
                <w:tab w:val="left" w:pos="360"/>
              </w:tabs>
              <w:ind w:hanging="549"/>
              <w:rPr>
                <w:rFonts w:ascii="Times New Roman" w:hAnsi="Times New Roman" w:cs="Times New Roman"/>
                <w:sz w:val="20"/>
                <w:szCs w:val="20"/>
              </w:rPr>
            </w:pPr>
          </w:p>
        </w:tc>
        <w:tc>
          <w:tcPr>
            <w:tcW w:w="3818" w:type="dxa"/>
          </w:tcPr>
          <w:p w14:paraId="4CD49970" w14:textId="6695C8B1" w:rsidR="006B3F44" w:rsidRPr="004316CD" w:rsidRDefault="003C7D10" w:rsidP="008E4ECE">
            <w:pPr>
              <w:rPr>
                <w:rFonts w:ascii="Times New Roman" w:hAnsi="Times New Roman" w:cs="Times New Roman"/>
                <w:sz w:val="20"/>
                <w:szCs w:val="20"/>
              </w:rPr>
            </w:pPr>
            <w:r>
              <w:rPr>
                <w:rFonts w:ascii="Times New Roman" w:hAnsi="Times New Roman" w:cs="Times New Roman"/>
                <w:sz w:val="20"/>
                <w:szCs w:val="20"/>
              </w:rPr>
              <w:t xml:space="preserve">MK iesniegt </w:t>
            </w:r>
            <w:r w:rsidRPr="004316CD">
              <w:rPr>
                <w:rFonts w:ascii="Times New Roman" w:hAnsi="Times New Roman" w:cs="Times New Roman"/>
                <w:sz w:val="20"/>
                <w:szCs w:val="20"/>
              </w:rPr>
              <w:t xml:space="preserve">grozījumus </w:t>
            </w:r>
            <w:r>
              <w:rPr>
                <w:rFonts w:ascii="Times New Roman" w:hAnsi="Times New Roman" w:cs="Times New Roman"/>
                <w:sz w:val="20"/>
                <w:szCs w:val="20"/>
              </w:rPr>
              <w:t xml:space="preserve">MK 02.10.2007. noteikumos </w:t>
            </w:r>
            <w:r w:rsidRPr="004316CD">
              <w:rPr>
                <w:rFonts w:ascii="Times New Roman" w:hAnsi="Times New Roman" w:cs="Times New Roman"/>
                <w:sz w:val="20"/>
                <w:szCs w:val="20"/>
              </w:rPr>
              <w:t>Nr. 655</w:t>
            </w:r>
            <w:r>
              <w:rPr>
                <w:rFonts w:ascii="Times New Roman" w:hAnsi="Times New Roman" w:cs="Times New Roman"/>
                <w:sz w:val="20"/>
                <w:szCs w:val="20"/>
              </w:rPr>
              <w:t xml:space="preserve"> (8</w:t>
            </w:r>
            <w:r w:rsidR="008E4ECE">
              <w:rPr>
                <w:rFonts w:ascii="Times New Roman" w:hAnsi="Times New Roman" w:cs="Times New Roman"/>
                <w:sz w:val="20"/>
                <w:szCs w:val="20"/>
              </w:rPr>
              <w:t>.punkts)</w:t>
            </w:r>
          </w:p>
        </w:tc>
        <w:tc>
          <w:tcPr>
            <w:tcW w:w="1559" w:type="dxa"/>
            <w:tcBorders>
              <w:right w:val="single" w:sz="12" w:space="0" w:color="auto"/>
            </w:tcBorders>
          </w:tcPr>
          <w:p w14:paraId="130F4158" w14:textId="77777777" w:rsidR="006B3F44" w:rsidRPr="004316CD" w:rsidRDefault="006B3F44" w:rsidP="006D7DD3">
            <w:pPr>
              <w:rPr>
                <w:rFonts w:ascii="Times New Roman" w:hAnsi="Times New Roman" w:cs="Times New Roman"/>
                <w:sz w:val="20"/>
                <w:szCs w:val="20"/>
              </w:rPr>
            </w:pPr>
          </w:p>
        </w:tc>
        <w:tc>
          <w:tcPr>
            <w:tcW w:w="425" w:type="dxa"/>
            <w:tcBorders>
              <w:left w:val="single" w:sz="12" w:space="0" w:color="auto"/>
            </w:tcBorders>
            <w:shd w:val="clear" w:color="auto" w:fill="EDEDED" w:themeFill="accent3" w:themeFillTint="33"/>
            <w:vAlign w:val="center"/>
          </w:tcPr>
          <w:p w14:paraId="4B4A96C6" w14:textId="77777777" w:rsidR="006B3F44" w:rsidRPr="004316CD" w:rsidRDefault="006B3F44" w:rsidP="00A23924">
            <w:pPr>
              <w:jc w:val="center"/>
              <w:rPr>
                <w:rFonts w:ascii="Times New Roman" w:hAnsi="Times New Roman" w:cs="Times New Roman"/>
                <w:sz w:val="20"/>
                <w:szCs w:val="20"/>
              </w:rPr>
            </w:pPr>
          </w:p>
        </w:tc>
        <w:tc>
          <w:tcPr>
            <w:tcW w:w="425" w:type="dxa"/>
            <w:shd w:val="clear" w:color="auto" w:fill="EDEDED" w:themeFill="accent3" w:themeFillTint="33"/>
            <w:vAlign w:val="center"/>
          </w:tcPr>
          <w:p w14:paraId="0787008D" w14:textId="77777777" w:rsidR="006B3F44" w:rsidRPr="004316CD" w:rsidRDefault="006B3F44" w:rsidP="00A23924">
            <w:pPr>
              <w:jc w:val="center"/>
              <w:rPr>
                <w:rFonts w:ascii="Times New Roman" w:hAnsi="Times New Roman" w:cs="Times New Roman"/>
                <w:sz w:val="20"/>
                <w:szCs w:val="20"/>
              </w:rPr>
            </w:pPr>
          </w:p>
        </w:tc>
        <w:tc>
          <w:tcPr>
            <w:tcW w:w="426" w:type="dxa"/>
            <w:shd w:val="clear" w:color="auto" w:fill="EDEDED" w:themeFill="accent3" w:themeFillTint="33"/>
            <w:vAlign w:val="center"/>
          </w:tcPr>
          <w:p w14:paraId="612CD3CC" w14:textId="77777777" w:rsidR="006B3F44" w:rsidRPr="004316CD" w:rsidRDefault="006B3F44" w:rsidP="00A23924">
            <w:pPr>
              <w:jc w:val="center"/>
              <w:rPr>
                <w:rFonts w:ascii="Times New Roman" w:hAnsi="Times New Roman" w:cs="Times New Roman"/>
                <w:sz w:val="20"/>
                <w:szCs w:val="20"/>
              </w:rPr>
            </w:pPr>
          </w:p>
        </w:tc>
        <w:tc>
          <w:tcPr>
            <w:tcW w:w="425" w:type="dxa"/>
            <w:tcBorders>
              <w:right w:val="single" w:sz="12" w:space="0" w:color="auto"/>
            </w:tcBorders>
            <w:vAlign w:val="center"/>
          </w:tcPr>
          <w:p w14:paraId="0FC62A41" w14:textId="77777777" w:rsidR="006B3F44" w:rsidRPr="004316CD" w:rsidRDefault="006B3F44" w:rsidP="00A23924">
            <w:pPr>
              <w:jc w:val="center"/>
              <w:rPr>
                <w:rFonts w:ascii="Times New Roman" w:hAnsi="Times New Roman" w:cs="Times New Roman"/>
                <w:sz w:val="20"/>
                <w:szCs w:val="20"/>
              </w:rPr>
            </w:pPr>
          </w:p>
        </w:tc>
        <w:tc>
          <w:tcPr>
            <w:tcW w:w="425" w:type="dxa"/>
            <w:tcBorders>
              <w:left w:val="single" w:sz="12" w:space="0" w:color="auto"/>
            </w:tcBorders>
            <w:vAlign w:val="center"/>
          </w:tcPr>
          <w:p w14:paraId="404FBDBB" w14:textId="77777777" w:rsidR="006B3F44" w:rsidRPr="004316CD" w:rsidRDefault="006B3F44" w:rsidP="00A23924">
            <w:pPr>
              <w:jc w:val="center"/>
              <w:rPr>
                <w:rFonts w:ascii="Times New Roman" w:hAnsi="Times New Roman" w:cs="Times New Roman"/>
                <w:sz w:val="20"/>
                <w:szCs w:val="20"/>
              </w:rPr>
            </w:pPr>
          </w:p>
        </w:tc>
        <w:tc>
          <w:tcPr>
            <w:tcW w:w="425" w:type="dxa"/>
            <w:shd w:val="clear" w:color="auto" w:fill="auto"/>
            <w:vAlign w:val="center"/>
          </w:tcPr>
          <w:p w14:paraId="4E2E78AA" w14:textId="77777777" w:rsidR="006B3F44" w:rsidRPr="004316CD" w:rsidRDefault="006B3F44" w:rsidP="00A23924">
            <w:pPr>
              <w:jc w:val="center"/>
              <w:rPr>
                <w:rFonts w:ascii="Times New Roman" w:hAnsi="Times New Roman" w:cs="Times New Roman"/>
                <w:sz w:val="20"/>
                <w:szCs w:val="20"/>
              </w:rPr>
            </w:pPr>
          </w:p>
        </w:tc>
        <w:tc>
          <w:tcPr>
            <w:tcW w:w="426" w:type="dxa"/>
            <w:shd w:val="clear" w:color="auto" w:fill="auto"/>
            <w:vAlign w:val="center"/>
          </w:tcPr>
          <w:p w14:paraId="67D7E168" w14:textId="77777777" w:rsidR="006B3F44" w:rsidRPr="008E4ECE" w:rsidRDefault="006B3F44" w:rsidP="00A23924">
            <w:pPr>
              <w:jc w:val="center"/>
              <w:rPr>
                <w:rFonts w:ascii="Times New Roman" w:hAnsi="Times New Roman" w:cs="Times New Roman"/>
                <w:sz w:val="20"/>
                <w:szCs w:val="20"/>
              </w:rPr>
            </w:pPr>
          </w:p>
        </w:tc>
        <w:tc>
          <w:tcPr>
            <w:tcW w:w="425" w:type="dxa"/>
            <w:tcBorders>
              <w:right w:val="single" w:sz="12" w:space="0" w:color="auto"/>
            </w:tcBorders>
            <w:shd w:val="clear" w:color="auto" w:fill="auto"/>
            <w:vAlign w:val="center"/>
          </w:tcPr>
          <w:p w14:paraId="5FEF2FD7" w14:textId="77777777" w:rsidR="006B3F44" w:rsidRPr="008E4ECE" w:rsidRDefault="006B3F44" w:rsidP="00A23924">
            <w:pPr>
              <w:jc w:val="center"/>
              <w:rPr>
                <w:rFonts w:ascii="Times New Roman" w:hAnsi="Times New Roman" w:cs="Times New Roman"/>
                <w:sz w:val="20"/>
                <w:szCs w:val="20"/>
              </w:rPr>
            </w:pPr>
          </w:p>
        </w:tc>
        <w:tc>
          <w:tcPr>
            <w:tcW w:w="425" w:type="dxa"/>
            <w:tcBorders>
              <w:left w:val="single" w:sz="12" w:space="0" w:color="auto"/>
            </w:tcBorders>
            <w:shd w:val="clear" w:color="auto" w:fill="auto"/>
            <w:vAlign w:val="center"/>
          </w:tcPr>
          <w:p w14:paraId="760B3BDF" w14:textId="77777777" w:rsidR="006B3F44" w:rsidRPr="004316CD" w:rsidRDefault="006B3F44" w:rsidP="00A23924">
            <w:pPr>
              <w:jc w:val="center"/>
              <w:rPr>
                <w:rFonts w:ascii="Times New Roman" w:hAnsi="Times New Roman" w:cs="Times New Roman"/>
                <w:sz w:val="20"/>
                <w:szCs w:val="20"/>
              </w:rPr>
            </w:pPr>
          </w:p>
        </w:tc>
        <w:tc>
          <w:tcPr>
            <w:tcW w:w="425" w:type="dxa"/>
            <w:shd w:val="clear" w:color="auto" w:fill="auto"/>
            <w:vAlign w:val="center"/>
          </w:tcPr>
          <w:p w14:paraId="2804C204" w14:textId="77777777" w:rsidR="006B3F44" w:rsidRPr="004316CD" w:rsidRDefault="006B3F44" w:rsidP="00A23924">
            <w:pPr>
              <w:jc w:val="center"/>
              <w:rPr>
                <w:rFonts w:ascii="Times New Roman" w:hAnsi="Times New Roman" w:cs="Times New Roman"/>
                <w:sz w:val="20"/>
                <w:szCs w:val="20"/>
              </w:rPr>
            </w:pPr>
          </w:p>
        </w:tc>
        <w:tc>
          <w:tcPr>
            <w:tcW w:w="426" w:type="dxa"/>
            <w:shd w:val="clear" w:color="auto" w:fill="auto"/>
            <w:vAlign w:val="center"/>
          </w:tcPr>
          <w:p w14:paraId="5993CB6C" w14:textId="77777777" w:rsidR="006B3F44" w:rsidRPr="004316CD" w:rsidRDefault="006B3F44" w:rsidP="00A23924">
            <w:pPr>
              <w:jc w:val="center"/>
              <w:rPr>
                <w:rFonts w:ascii="Times New Roman" w:hAnsi="Times New Roman" w:cs="Times New Roman"/>
                <w:sz w:val="20"/>
                <w:szCs w:val="20"/>
              </w:rPr>
            </w:pPr>
          </w:p>
        </w:tc>
        <w:tc>
          <w:tcPr>
            <w:tcW w:w="425" w:type="dxa"/>
            <w:tcBorders>
              <w:right w:val="single" w:sz="12" w:space="0" w:color="auto"/>
            </w:tcBorders>
            <w:shd w:val="clear" w:color="auto" w:fill="FFC000"/>
            <w:vAlign w:val="center"/>
          </w:tcPr>
          <w:p w14:paraId="15EFE260" w14:textId="77777777" w:rsidR="006B3F44" w:rsidRPr="004316CD" w:rsidRDefault="006B3F44" w:rsidP="00A23924">
            <w:pPr>
              <w:jc w:val="center"/>
              <w:rPr>
                <w:rFonts w:ascii="Times New Roman" w:hAnsi="Times New Roman" w:cs="Times New Roman"/>
                <w:sz w:val="20"/>
                <w:szCs w:val="20"/>
              </w:rPr>
            </w:pPr>
          </w:p>
        </w:tc>
        <w:tc>
          <w:tcPr>
            <w:tcW w:w="425" w:type="dxa"/>
            <w:tcBorders>
              <w:left w:val="single" w:sz="12" w:space="0" w:color="auto"/>
            </w:tcBorders>
            <w:shd w:val="clear" w:color="auto" w:fill="auto"/>
            <w:vAlign w:val="center"/>
          </w:tcPr>
          <w:p w14:paraId="2ECC452F" w14:textId="77777777" w:rsidR="006B3F44" w:rsidRPr="004316CD" w:rsidRDefault="006B3F44" w:rsidP="00A23924">
            <w:pPr>
              <w:jc w:val="center"/>
              <w:rPr>
                <w:rFonts w:ascii="Times New Roman" w:hAnsi="Times New Roman" w:cs="Times New Roman"/>
                <w:sz w:val="20"/>
                <w:szCs w:val="20"/>
              </w:rPr>
            </w:pPr>
          </w:p>
        </w:tc>
        <w:tc>
          <w:tcPr>
            <w:tcW w:w="425" w:type="dxa"/>
            <w:vAlign w:val="center"/>
          </w:tcPr>
          <w:p w14:paraId="6D86DA69" w14:textId="77777777" w:rsidR="006B3F44" w:rsidRPr="004316CD" w:rsidRDefault="006B3F44" w:rsidP="00A23924">
            <w:pPr>
              <w:jc w:val="center"/>
              <w:rPr>
                <w:rFonts w:ascii="Times New Roman" w:hAnsi="Times New Roman" w:cs="Times New Roman"/>
                <w:sz w:val="20"/>
                <w:szCs w:val="20"/>
              </w:rPr>
            </w:pPr>
          </w:p>
        </w:tc>
        <w:tc>
          <w:tcPr>
            <w:tcW w:w="426" w:type="dxa"/>
            <w:vAlign w:val="center"/>
          </w:tcPr>
          <w:p w14:paraId="6975F324" w14:textId="77777777" w:rsidR="006B3F44" w:rsidRPr="004316CD" w:rsidRDefault="006B3F44" w:rsidP="00A23924">
            <w:pPr>
              <w:jc w:val="center"/>
              <w:rPr>
                <w:rFonts w:ascii="Times New Roman" w:hAnsi="Times New Roman" w:cs="Times New Roman"/>
                <w:sz w:val="20"/>
                <w:szCs w:val="20"/>
              </w:rPr>
            </w:pPr>
          </w:p>
        </w:tc>
        <w:tc>
          <w:tcPr>
            <w:tcW w:w="425" w:type="dxa"/>
            <w:tcBorders>
              <w:right w:val="single" w:sz="12" w:space="0" w:color="auto"/>
            </w:tcBorders>
            <w:vAlign w:val="center"/>
          </w:tcPr>
          <w:p w14:paraId="6CFD95CD" w14:textId="77777777" w:rsidR="006B3F44" w:rsidRPr="004316CD" w:rsidRDefault="006B3F44" w:rsidP="00A23924">
            <w:pPr>
              <w:jc w:val="center"/>
              <w:rPr>
                <w:rFonts w:ascii="Times New Roman" w:hAnsi="Times New Roman" w:cs="Times New Roman"/>
                <w:sz w:val="20"/>
                <w:szCs w:val="20"/>
              </w:rPr>
            </w:pPr>
          </w:p>
        </w:tc>
        <w:tc>
          <w:tcPr>
            <w:tcW w:w="425" w:type="dxa"/>
            <w:tcBorders>
              <w:left w:val="single" w:sz="12" w:space="0" w:color="auto"/>
            </w:tcBorders>
            <w:vAlign w:val="center"/>
          </w:tcPr>
          <w:p w14:paraId="5768BEA0" w14:textId="77777777" w:rsidR="006B3F44" w:rsidRPr="004316CD" w:rsidRDefault="006B3F44" w:rsidP="00A23924">
            <w:pPr>
              <w:jc w:val="center"/>
              <w:rPr>
                <w:rFonts w:ascii="Times New Roman" w:hAnsi="Times New Roman" w:cs="Times New Roman"/>
                <w:sz w:val="20"/>
                <w:szCs w:val="20"/>
              </w:rPr>
            </w:pPr>
          </w:p>
        </w:tc>
        <w:tc>
          <w:tcPr>
            <w:tcW w:w="425" w:type="dxa"/>
            <w:vAlign w:val="center"/>
          </w:tcPr>
          <w:p w14:paraId="6865E25B" w14:textId="77777777" w:rsidR="006B3F44" w:rsidRPr="004316CD" w:rsidRDefault="006B3F44" w:rsidP="00A23924">
            <w:pPr>
              <w:jc w:val="center"/>
              <w:rPr>
                <w:rFonts w:ascii="Times New Roman" w:hAnsi="Times New Roman" w:cs="Times New Roman"/>
                <w:sz w:val="20"/>
                <w:szCs w:val="20"/>
              </w:rPr>
            </w:pPr>
          </w:p>
        </w:tc>
        <w:tc>
          <w:tcPr>
            <w:tcW w:w="426" w:type="dxa"/>
            <w:vAlign w:val="center"/>
          </w:tcPr>
          <w:p w14:paraId="27A99BEB" w14:textId="77777777" w:rsidR="006B3F44" w:rsidRPr="004316CD" w:rsidRDefault="006B3F44" w:rsidP="00A23924">
            <w:pPr>
              <w:jc w:val="center"/>
              <w:rPr>
                <w:rFonts w:ascii="Times New Roman" w:hAnsi="Times New Roman" w:cs="Times New Roman"/>
                <w:sz w:val="20"/>
                <w:szCs w:val="20"/>
              </w:rPr>
            </w:pPr>
          </w:p>
        </w:tc>
        <w:tc>
          <w:tcPr>
            <w:tcW w:w="425" w:type="dxa"/>
            <w:tcBorders>
              <w:right w:val="single" w:sz="12" w:space="0" w:color="auto"/>
            </w:tcBorders>
            <w:vAlign w:val="center"/>
          </w:tcPr>
          <w:p w14:paraId="30CF5E90" w14:textId="77777777" w:rsidR="006B3F44" w:rsidRPr="004316CD" w:rsidRDefault="006B3F44" w:rsidP="00A23924">
            <w:pPr>
              <w:jc w:val="center"/>
              <w:rPr>
                <w:rFonts w:ascii="Times New Roman" w:hAnsi="Times New Roman" w:cs="Times New Roman"/>
                <w:sz w:val="20"/>
                <w:szCs w:val="20"/>
              </w:rPr>
            </w:pPr>
          </w:p>
        </w:tc>
      </w:tr>
      <w:tr w:rsidR="00723EED" w:rsidRPr="004316CD" w14:paraId="21C34813" w14:textId="77777777" w:rsidTr="00632AEF">
        <w:trPr>
          <w:trHeight w:val="454"/>
          <w:jc w:val="center"/>
        </w:trPr>
        <w:tc>
          <w:tcPr>
            <w:tcW w:w="562" w:type="dxa"/>
            <w:tcBorders>
              <w:left w:val="single" w:sz="12" w:space="0" w:color="auto"/>
            </w:tcBorders>
            <w:shd w:val="clear" w:color="auto" w:fill="ACB9CA" w:themeFill="text2" w:themeFillTint="66"/>
            <w:vAlign w:val="center"/>
          </w:tcPr>
          <w:p w14:paraId="7A5B59F5" w14:textId="77777777" w:rsidR="00723EED" w:rsidRPr="004316CD" w:rsidRDefault="00723EED" w:rsidP="00A510E4">
            <w:pPr>
              <w:pStyle w:val="ListParagraph"/>
              <w:numPr>
                <w:ilvl w:val="0"/>
                <w:numId w:val="9"/>
              </w:numPr>
              <w:tabs>
                <w:tab w:val="left" w:pos="360"/>
              </w:tabs>
              <w:ind w:hanging="549"/>
              <w:rPr>
                <w:rFonts w:ascii="Times New Roman" w:hAnsi="Times New Roman" w:cs="Times New Roman"/>
                <w:sz w:val="20"/>
                <w:szCs w:val="20"/>
              </w:rPr>
            </w:pPr>
          </w:p>
        </w:tc>
        <w:tc>
          <w:tcPr>
            <w:tcW w:w="3818" w:type="dxa"/>
          </w:tcPr>
          <w:p w14:paraId="1D96F5A8" w14:textId="7CC22862" w:rsidR="00723EED" w:rsidRPr="004316CD" w:rsidRDefault="00AC5649" w:rsidP="00395220">
            <w:pPr>
              <w:rPr>
                <w:rFonts w:ascii="Times New Roman" w:hAnsi="Times New Roman" w:cs="Times New Roman"/>
                <w:sz w:val="20"/>
                <w:szCs w:val="20"/>
              </w:rPr>
            </w:pPr>
            <w:r w:rsidRPr="00144FDB">
              <w:rPr>
                <w:rFonts w:ascii="Times New Roman" w:hAnsi="Times New Roman" w:cs="Times New Roman"/>
                <w:color w:val="000000" w:themeColor="text1"/>
                <w:sz w:val="20"/>
                <w:szCs w:val="20"/>
              </w:rPr>
              <w:t>Nodrošināt īsā</w:t>
            </w:r>
            <w:r w:rsidR="00723EED" w:rsidRPr="00144FDB">
              <w:rPr>
                <w:rFonts w:ascii="Times New Roman" w:hAnsi="Times New Roman" w:cs="Times New Roman"/>
                <w:color w:val="000000" w:themeColor="text1"/>
                <w:sz w:val="20"/>
                <w:szCs w:val="20"/>
              </w:rPr>
              <w:t xml:space="preserve"> cikla profesionālās izglītības programmu īsteno</w:t>
            </w:r>
            <w:r w:rsidRPr="00144FDB">
              <w:rPr>
                <w:rFonts w:ascii="Times New Roman" w:hAnsi="Times New Roman" w:cs="Times New Roman"/>
                <w:color w:val="000000" w:themeColor="text1"/>
                <w:sz w:val="20"/>
                <w:szCs w:val="20"/>
              </w:rPr>
              <w:t>šanu</w:t>
            </w:r>
          </w:p>
        </w:tc>
        <w:tc>
          <w:tcPr>
            <w:tcW w:w="1559" w:type="dxa"/>
            <w:tcBorders>
              <w:right w:val="single" w:sz="12" w:space="0" w:color="auto"/>
            </w:tcBorders>
          </w:tcPr>
          <w:p w14:paraId="435AE601" w14:textId="32CC75C7" w:rsidR="00723EED" w:rsidRPr="004316CD" w:rsidRDefault="00723EED" w:rsidP="006D7DD3">
            <w:pPr>
              <w:rPr>
                <w:rFonts w:ascii="Times New Roman" w:hAnsi="Times New Roman" w:cs="Times New Roman"/>
                <w:sz w:val="20"/>
                <w:szCs w:val="20"/>
              </w:rPr>
            </w:pPr>
            <w:r>
              <w:rPr>
                <w:rFonts w:ascii="Times New Roman" w:hAnsi="Times New Roman" w:cs="Times New Roman"/>
                <w:sz w:val="20"/>
                <w:szCs w:val="20"/>
              </w:rPr>
              <w:t>IZM</w:t>
            </w:r>
          </w:p>
        </w:tc>
        <w:tc>
          <w:tcPr>
            <w:tcW w:w="425" w:type="dxa"/>
            <w:tcBorders>
              <w:left w:val="single" w:sz="12" w:space="0" w:color="auto"/>
            </w:tcBorders>
            <w:shd w:val="clear" w:color="auto" w:fill="EDEDED" w:themeFill="accent3" w:themeFillTint="33"/>
            <w:vAlign w:val="center"/>
          </w:tcPr>
          <w:p w14:paraId="11368224" w14:textId="77777777" w:rsidR="00723EED" w:rsidRPr="004316CD" w:rsidRDefault="00723EED" w:rsidP="00A23924">
            <w:pPr>
              <w:jc w:val="center"/>
              <w:rPr>
                <w:rFonts w:ascii="Times New Roman" w:hAnsi="Times New Roman" w:cs="Times New Roman"/>
                <w:sz w:val="20"/>
                <w:szCs w:val="20"/>
              </w:rPr>
            </w:pPr>
          </w:p>
        </w:tc>
        <w:tc>
          <w:tcPr>
            <w:tcW w:w="425" w:type="dxa"/>
            <w:shd w:val="clear" w:color="auto" w:fill="EDEDED" w:themeFill="accent3" w:themeFillTint="33"/>
            <w:vAlign w:val="center"/>
          </w:tcPr>
          <w:p w14:paraId="732B6762" w14:textId="77777777" w:rsidR="00723EED" w:rsidRPr="004316CD" w:rsidRDefault="00723EED" w:rsidP="00A23924">
            <w:pPr>
              <w:jc w:val="center"/>
              <w:rPr>
                <w:rFonts w:ascii="Times New Roman" w:hAnsi="Times New Roman" w:cs="Times New Roman"/>
                <w:sz w:val="20"/>
                <w:szCs w:val="20"/>
              </w:rPr>
            </w:pPr>
          </w:p>
        </w:tc>
        <w:tc>
          <w:tcPr>
            <w:tcW w:w="426" w:type="dxa"/>
            <w:shd w:val="clear" w:color="auto" w:fill="EDEDED" w:themeFill="accent3" w:themeFillTint="33"/>
            <w:vAlign w:val="center"/>
          </w:tcPr>
          <w:p w14:paraId="6329FF4E" w14:textId="77777777" w:rsidR="00723EED" w:rsidRPr="004316CD" w:rsidRDefault="00723EED" w:rsidP="00A23924">
            <w:pPr>
              <w:jc w:val="center"/>
              <w:rPr>
                <w:rFonts w:ascii="Times New Roman" w:hAnsi="Times New Roman" w:cs="Times New Roman"/>
                <w:sz w:val="20"/>
                <w:szCs w:val="20"/>
              </w:rPr>
            </w:pPr>
          </w:p>
        </w:tc>
        <w:tc>
          <w:tcPr>
            <w:tcW w:w="425" w:type="dxa"/>
            <w:tcBorders>
              <w:right w:val="single" w:sz="12" w:space="0" w:color="auto"/>
            </w:tcBorders>
            <w:shd w:val="clear" w:color="auto" w:fill="auto"/>
            <w:vAlign w:val="center"/>
          </w:tcPr>
          <w:p w14:paraId="5D3431F8" w14:textId="77777777" w:rsidR="00723EED" w:rsidRPr="004316CD" w:rsidRDefault="00723EED" w:rsidP="00A23924">
            <w:pPr>
              <w:jc w:val="center"/>
              <w:rPr>
                <w:rFonts w:ascii="Times New Roman" w:hAnsi="Times New Roman" w:cs="Times New Roman"/>
                <w:sz w:val="20"/>
                <w:szCs w:val="20"/>
              </w:rPr>
            </w:pPr>
          </w:p>
        </w:tc>
        <w:tc>
          <w:tcPr>
            <w:tcW w:w="425" w:type="dxa"/>
            <w:tcBorders>
              <w:left w:val="single" w:sz="12" w:space="0" w:color="auto"/>
            </w:tcBorders>
            <w:shd w:val="clear" w:color="auto" w:fill="auto"/>
            <w:vAlign w:val="center"/>
          </w:tcPr>
          <w:p w14:paraId="366DE0BE" w14:textId="77777777" w:rsidR="00723EED" w:rsidRPr="004316CD" w:rsidRDefault="00723EED" w:rsidP="00A23924">
            <w:pPr>
              <w:jc w:val="center"/>
              <w:rPr>
                <w:rFonts w:ascii="Times New Roman" w:hAnsi="Times New Roman" w:cs="Times New Roman"/>
                <w:sz w:val="20"/>
                <w:szCs w:val="20"/>
              </w:rPr>
            </w:pPr>
          </w:p>
        </w:tc>
        <w:tc>
          <w:tcPr>
            <w:tcW w:w="425" w:type="dxa"/>
            <w:shd w:val="clear" w:color="auto" w:fill="auto"/>
            <w:vAlign w:val="center"/>
          </w:tcPr>
          <w:p w14:paraId="3053B736" w14:textId="77777777" w:rsidR="00723EED" w:rsidRPr="004316CD" w:rsidRDefault="00723EED" w:rsidP="00A23924">
            <w:pPr>
              <w:jc w:val="center"/>
              <w:rPr>
                <w:rFonts w:ascii="Times New Roman" w:hAnsi="Times New Roman" w:cs="Times New Roman"/>
                <w:sz w:val="20"/>
                <w:szCs w:val="20"/>
              </w:rPr>
            </w:pPr>
          </w:p>
        </w:tc>
        <w:tc>
          <w:tcPr>
            <w:tcW w:w="426" w:type="dxa"/>
            <w:shd w:val="clear" w:color="auto" w:fill="auto"/>
            <w:vAlign w:val="center"/>
          </w:tcPr>
          <w:p w14:paraId="16A85275" w14:textId="77777777" w:rsidR="00723EED" w:rsidRPr="004316CD" w:rsidRDefault="00723EED" w:rsidP="00A23924">
            <w:pPr>
              <w:jc w:val="center"/>
              <w:rPr>
                <w:rFonts w:ascii="Times New Roman" w:hAnsi="Times New Roman" w:cs="Times New Roman"/>
                <w:sz w:val="20"/>
                <w:szCs w:val="20"/>
              </w:rPr>
            </w:pPr>
          </w:p>
        </w:tc>
        <w:tc>
          <w:tcPr>
            <w:tcW w:w="425" w:type="dxa"/>
            <w:tcBorders>
              <w:right w:val="single" w:sz="12" w:space="0" w:color="auto"/>
            </w:tcBorders>
            <w:shd w:val="clear" w:color="auto" w:fill="auto"/>
            <w:vAlign w:val="center"/>
          </w:tcPr>
          <w:p w14:paraId="5270230D" w14:textId="77777777" w:rsidR="00723EED" w:rsidRPr="004316CD" w:rsidRDefault="00723EED" w:rsidP="00A23924">
            <w:pPr>
              <w:jc w:val="center"/>
              <w:rPr>
                <w:rFonts w:ascii="Times New Roman" w:hAnsi="Times New Roman" w:cs="Times New Roman"/>
                <w:sz w:val="20"/>
                <w:szCs w:val="20"/>
              </w:rPr>
            </w:pPr>
          </w:p>
        </w:tc>
        <w:tc>
          <w:tcPr>
            <w:tcW w:w="425" w:type="dxa"/>
            <w:tcBorders>
              <w:left w:val="single" w:sz="12" w:space="0" w:color="auto"/>
            </w:tcBorders>
            <w:shd w:val="clear" w:color="auto" w:fill="FFC000"/>
            <w:vAlign w:val="center"/>
          </w:tcPr>
          <w:p w14:paraId="32FD8DAE" w14:textId="77777777" w:rsidR="00723EED" w:rsidRPr="004316CD" w:rsidRDefault="00723EED" w:rsidP="00A23924">
            <w:pPr>
              <w:jc w:val="center"/>
              <w:rPr>
                <w:rFonts w:ascii="Times New Roman" w:hAnsi="Times New Roman" w:cs="Times New Roman"/>
                <w:sz w:val="20"/>
                <w:szCs w:val="20"/>
              </w:rPr>
            </w:pPr>
          </w:p>
        </w:tc>
        <w:tc>
          <w:tcPr>
            <w:tcW w:w="425" w:type="dxa"/>
            <w:shd w:val="clear" w:color="auto" w:fill="FFC000"/>
            <w:vAlign w:val="center"/>
          </w:tcPr>
          <w:p w14:paraId="44310B87" w14:textId="77777777" w:rsidR="00723EED" w:rsidRPr="004316CD" w:rsidRDefault="00723EED" w:rsidP="00A23924">
            <w:pPr>
              <w:jc w:val="center"/>
              <w:rPr>
                <w:rFonts w:ascii="Times New Roman" w:hAnsi="Times New Roman" w:cs="Times New Roman"/>
                <w:sz w:val="20"/>
                <w:szCs w:val="20"/>
              </w:rPr>
            </w:pPr>
          </w:p>
        </w:tc>
        <w:tc>
          <w:tcPr>
            <w:tcW w:w="426" w:type="dxa"/>
            <w:shd w:val="clear" w:color="auto" w:fill="FFC000"/>
            <w:vAlign w:val="center"/>
          </w:tcPr>
          <w:p w14:paraId="2894002D" w14:textId="77777777" w:rsidR="00723EED" w:rsidRPr="004316CD" w:rsidRDefault="00723EED" w:rsidP="00A23924">
            <w:pPr>
              <w:jc w:val="center"/>
              <w:rPr>
                <w:rFonts w:ascii="Times New Roman" w:hAnsi="Times New Roman" w:cs="Times New Roman"/>
                <w:sz w:val="20"/>
                <w:szCs w:val="20"/>
              </w:rPr>
            </w:pPr>
          </w:p>
        </w:tc>
        <w:tc>
          <w:tcPr>
            <w:tcW w:w="425" w:type="dxa"/>
            <w:tcBorders>
              <w:right w:val="single" w:sz="12" w:space="0" w:color="auto"/>
            </w:tcBorders>
            <w:shd w:val="clear" w:color="auto" w:fill="FFC000"/>
            <w:vAlign w:val="center"/>
          </w:tcPr>
          <w:p w14:paraId="50D798C9" w14:textId="77777777" w:rsidR="00723EED" w:rsidRPr="004316CD" w:rsidRDefault="00723EED" w:rsidP="00A23924">
            <w:pPr>
              <w:jc w:val="center"/>
              <w:rPr>
                <w:rFonts w:ascii="Times New Roman" w:hAnsi="Times New Roman" w:cs="Times New Roman"/>
                <w:sz w:val="20"/>
                <w:szCs w:val="20"/>
              </w:rPr>
            </w:pPr>
          </w:p>
        </w:tc>
        <w:tc>
          <w:tcPr>
            <w:tcW w:w="425" w:type="dxa"/>
            <w:tcBorders>
              <w:left w:val="single" w:sz="12" w:space="0" w:color="auto"/>
            </w:tcBorders>
            <w:shd w:val="clear" w:color="auto" w:fill="FFC000"/>
            <w:vAlign w:val="center"/>
          </w:tcPr>
          <w:p w14:paraId="7A0D3A12" w14:textId="77777777" w:rsidR="00723EED" w:rsidRPr="004316CD" w:rsidRDefault="00723EED" w:rsidP="00A23924">
            <w:pPr>
              <w:jc w:val="center"/>
              <w:rPr>
                <w:rFonts w:ascii="Times New Roman" w:hAnsi="Times New Roman" w:cs="Times New Roman"/>
                <w:sz w:val="20"/>
                <w:szCs w:val="20"/>
              </w:rPr>
            </w:pPr>
          </w:p>
        </w:tc>
        <w:tc>
          <w:tcPr>
            <w:tcW w:w="425" w:type="dxa"/>
            <w:shd w:val="clear" w:color="auto" w:fill="FFC000"/>
            <w:vAlign w:val="center"/>
          </w:tcPr>
          <w:p w14:paraId="6879C9AF" w14:textId="77777777" w:rsidR="00723EED" w:rsidRPr="004316CD" w:rsidRDefault="00723EED" w:rsidP="00A23924">
            <w:pPr>
              <w:jc w:val="center"/>
              <w:rPr>
                <w:rFonts w:ascii="Times New Roman" w:hAnsi="Times New Roman" w:cs="Times New Roman"/>
                <w:sz w:val="20"/>
                <w:szCs w:val="20"/>
              </w:rPr>
            </w:pPr>
          </w:p>
        </w:tc>
        <w:tc>
          <w:tcPr>
            <w:tcW w:w="426" w:type="dxa"/>
            <w:shd w:val="clear" w:color="auto" w:fill="FFC000"/>
            <w:vAlign w:val="center"/>
          </w:tcPr>
          <w:p w14:paraId="233B363D" w14:textId="77777777" w:rsidR="00723EED" w:rsidRPr="004316CD" w:rsidRDefault="00723EED" w:rsidP="00A23924">
            <w:pPr>
              <w:jc w:val="center"/>
              <w:rPr>
                <w:rFonts w:ascii="Times New Roman" w:hAnsi="Times New Roman" w:cs="Times New Roman"/>
                <w:sz w:val="20"/>
                <w:szCs w:val="20"/>
              </w:rPr>
            </w:pPr>
          </w:p>
        </w:tc>
        <w:tc>
          <w:tcPr>
            <w:tcW w:w="425" w:type="dxa"/>
            <w:tcBorders>
              <w:right w:val="single" w:sz="12" w:space="0" w:color="auto"/>
            </w:tcBorders>
            <w:shd w:val="clear" w:color="auto" w:fill="FFC000"/>
            <w:vAlign w:val="center"/>
          </w:tcPr>
          <w:p w14:paraId="319C78B6" w14:textId="77777777" w:rsidR="00723EED" w:rsidRPr="004316CD" w:rsidRDefault="00723EED" w:rsidP="00A23924">
            <w:pPr>
              <w:jc w:val="center"/>
              <w:rPr>
                <w:rFonts w:ascii="Times New Roman" w:hAnsi="Times New Roman" w:cs="Times New Roman"/>
                <w:sz w:val="20"/>
                <w:szCs w:val="20"/>
              </w:rPr>
            </w:pPr>
          </w:p>
        </w:tc>
        <w:tc>
          <w:tcPr>
            <w:tcW w:w="425" w:type="dxa"/>
            <w:tcBorders>
              <w:left w:val="single" w:sz="12" w:space="0" w:color="auto"/>
            </w:tcBorders>
            <w:shd w:val="clear" w:color="auto" w:fill="FFC000"/>
            <w:vAlign w:val="center"/>
          </w:tcPr>
          <w:p w14:paraId="5ACF9A95" w14:textId="77777777" w:rsidR="00723EED" w:rsidRPr="004316CD" w:rsidRDefault="00723EED" w:rsidP="00A23924">
            <w:pPr>
              <w:jc w:val="center"/>
              <w:rPr>
                <w:rFonts w:ascii="Times New Roman" w:hAnsi="Times New Roman" w:cs="Times New Roman"/>
                <w:sz w:val="20"/>
                <w:szCs w:val="20"/>
              </w:rPr>
            </w:pPr>
          </w:p>
        </w:tc>
        <w:tc>
          <w:tcPr>
            <w:tcW w:w="425" w:type="dxa"/>
            <w:shd w:val="clear" w:color="auto" w:fill="FFC000"/>
            <w:vAlign w:val="center"/>
          </w:tcPr>
          <w:p w14:paraId="696A365F" w14:textId="77777777" w:rsidR="00723EED" w:rsidRPr="004316CD" w:rsidRDefault="00723EED" w:rsidP="00A23924">
            <w:pPr>
              <w:jc w:val="center"/>
              <w:rPr>
                <w:rFonts w:ascii="Times New Roman" w:hAnsi="Times New Roman" w:cs="Times New Roman"/>
                <w:sz w:val="20"/>
                <w:szCs w:val="20"/>
              </w:rPr>
            </w:pPr>
          </w:p>
        </w:tc>
        <w:tc>
          <w:tcPr>
            <w:tcW w:w="426" w:type="dxa"/>
            <w:shd w:val="clear" w:color="auto" w:fill="FFC000"/>
            <w:vAlign w:val="center"/>
          </w:tcPr>
          <w:p w14:paraId="2AB4B819" w14:textId="77777777" w:rsidR="00723EED" w:rsidRPr="004316CD" w:rsidRDefault="00723EED" w:rsidP="00A23924">
            <w:pPr>
              <w:jc w:val="center"/>
              <w:rPr>
                <w:rFonts w:ascii="Times New Roman" w:hAnsi="Times New Roman" w:cs="Times New Roman"/>
                <w:sz w:val="20"/>
                <w:szCs w:val="20"/>
              </w:rPr>
            </w:pPr>
          </w:p>
        </w:tc>
        <w:tc>
          <w:tcPr>
            <w:tcW w:w="425" w:type="dxa"/>
            <w:tcBorders>
              <w:right w:val="single" w:sz="12" w:space="0" w:color="auto"/>
            </w:tcBorders>
            <w:shd w:val="clear" w:color="auto" w:fill="FFC000"/>
            <w:vAlign w:val="center"/>
          </w:tcPr>
          <w:p w14:paraId="72076BE6" w14:textId="77777777" w:rsidR="00723EED" w:rsidRPr="004316CD" w:rsidRDefault="00723EED" w:rsidP="00A23924">
            <w:pPr>
              <w:jc w:val="center"/>
              <w:rPr>
                <w:rFonts w:ascii="Times New Roman" w:hAnsi="Times New Roman" w:cs="Times New Roman"/>
                <w:sz w:val="20"/>
                <w:szCs w:val="20"/>
              </w:rPr>
            </w:pPr>
          </w:p>
        </w:tc>
      </w:tr>
      <w:tr w:rsidR="00723EED" w:rsidRPr="004316CD" w14:paraId="5165C867" w14:textId="77777777" w:rsidTr="00CD7A3F">
        <w:trPr>
          <w:trHeight w:val="454"/>
          <w:jc w:val="center"/>
        </w:trPr>
        <w:tc>
          <w:tcPr>
            <w:tcW w:w="562" w:type="dxa"/>
            <w:tcBorders>
              <w:left w:val="single" w:sz="12" w:space="0" w:color="auto"/>
            </w:tcBorders>
            <w:shd w:val="clear" w:color="auto" w:fill="ACB9CA" w:themeFill="text2" w:themeFillTint="66"/>
            <w:vAlign w:val="center"/>
          </w:tcPr>
          <w:p w14:paraId="6900AD60" w14:textId="77777777" w:rsidR="004316CD" w:rsidRPr="004316CD" w:rsidRDefault="004316CD" w:rsidP="00A510E4">
            <w:pPr>
              <w:pStyle w:val="ListParagraph"/>
              <w:numPr>
                <w:ilvl w:val="0"/>
                <w:numId w:val="9"/>
              </w:numPr>
              <w:tabs>
                <w:tab w:val="left" w:pos="360"/>
              </w:tabs>
              <w:ind w:hanging="549"/>
              <w:rPr>
                <w:rFonts w:ascii="Times New Roman" w:hAnsi="Times New Roman" w:cs="Times New Roman"/>
                <w:sz w:val="20"/>
                <w:szCs w:val="20"/>
              </w:rPr>
            </w:pPr>
          </w:p>
        </w:tc>
        <w:tc>
          <w:tcPr>
            <w:tcW w:w="3818" w:type="dxa"/>
          </w:tcPr>
          <w:p w14:paraId="5A0829CB" w14:textId="44C1EBA8" w:rsidR="004316CD" w:rsidRPr="004316CD" w:rsidRDefault="004316CD" w:rsidP="00395220">
            <w:pPr>
              <w:rPr>
                <w:rFonts w:ascii="Times New Roman" w:eastAsia="Times New Roman" w:hAnsi="Times New Roman" w:cs="Times New Roman"/>
                <w:sz w:val="20"/>
                <w:szCs w:val="20"/>
              </w:rPr>
            </w:pPr>
            <w:r w:rsidRPr="004316CD">
              <w:rPr>
                <w:rFonts w:ascii="Times New Roman" w:hAnsi="Times New Roman" w:cs="Times New Roman"/>
                <w:sz w:val="20"/>
                <w:szCs w:val="20"/>
              </w:rPr>
              <w:t xml:space="preserve">Izstrādāt snieguma finansējuma mehānismu - </w:t>
            </w:r>
            <w:r w:rsidRPr="004316CD">
              <w:rPr>
                <w:rFonts w:ascii="Times New Roman" w:eastAsia="Times New Roman" w:hAnsi="Times New Roman" w:cs="Times New Roman"/>
                <w:sz w:val="20"/>
                <w:szCs w:val="20"/>
              </w:rPr>
              <w:t xml:space="preserve">atrunāt snieguma finansējuma piešķiršanas nosacījumus, kritērijus un kārtību, </w:t>
            </w:r>
            <w:r w:rsidR="00395220">
              <w:rPr>
                <w:rFonts w:ascii="Times New Roman" w:eastAsia="Times New Roman" w:hAnsi="Times New Roman" w:cs="Times New Roman"/>
                <w:sz w:val="20"/>
                <w:szCs w:val="20"/>
              </w:rPr>
              <w:t>kādā finansējums tiek piešķirts</w:t>
            </w:r>
          </w:p>
        </w:tc>
        <w:tc>
          <w:tcPr>
            <w:tcW w:w="1559" w:type="dxa"/>
            <w:tcBorders>
              <w:right w:val="single" w:sz="12" w:space="0" w:color="auto"/>
            </w:tcBorders>
          </w:tcPr>
          <w:p w14:paraId="06383C7F" w14:textId="3E0FAE13" w:rsidR="004316CD" w:rsidRPr="004316CD" w:rsidRDefault="004316CD" w:rsidP="00395220">
            <w:pPr>
              <w:rPr>
                <w:rFonts w:ascii="Times New Roman" w:hAnsi="Times New Roman" w:cs="Times New Roman"/>
                <w:sz w:val="20"/>
                <w:szCs w:val="20"/>
              </w:rPr>
            </w:pPr>
            <w:r w:rsidRPr="004316CD">
              <w:rPr>
                <w:rFonts w:ascii="Times New Roman" w:hAnsi="Times New Roman" w:cs="Times New Roman"/>
                <w:sz w:val="20"/>
                <w:szCs w:val="20"/>
              </w:rPr>
              <w:t xml:space="preserve">IZM, </w:t>
            </w:r>
            <w:r w:rsidR="00747103">
              <w:rPr>
                <w:rFonts w:ascii="Times New Roman" w:hAnsi="Times New Roman" w:cs="Times New Roman"/>
                <w:sz w:val="20"/>
                <w:szCs w:val="20"/>
              </w:rPr>
              <w:t xml:space="preserve">VISC, </w:t>
            </w:r>
            <w:r w:rsidRPr="004316CD">
              <w:rPr>
                <w:rFonts w:ascii="Times New Roman" w:hAnsi="Times New Roman" w:cs="Times New Roman"/>
                <w:sz w:val="20"/>
                <w:szCs w:val="20"/>
              </w:rPr>
              <w:t>LDDK</w:t>
            </w:r>
          </w:p>
        </w:tc>
        <w:tc>
          <w:tcPr>
            <w:tcW w:w="425" w:type="dxa"/>
            <w:tcBorders>
              <w:left w:val="single" w:sz="12" w:space="0" w:color="auto"/>
            </w:tcBorders>
            <w:shd w:val="clear" w:color="auto" w:fill="EDEDED" w:themeFill="accent3" w:themeFillTint="33"/>
            <w:vAlign w:val="center"/>
          </w:tcPr>
          <w:p w14:paraId="36758F42" w14:textId="77777777" w:rsidR="004316CD" w:rsidRPr="004316CD" w:rsidRDefault="004316CD" w:rsidP="00A23924">
            <w:pPr>
              <w:jc w:val="center"/>
              <w:rPr>
                <w:rFonts w:ascii="Times New Roman" w:hAnsi="Times New Roman" w:cs="Times New Roman"/>
                <w:sz w:val="20"/>
                <w:szCs w:val="20"/>
              </w:rPr>
            </w:pPr>
          </w:p>
        </w:tc>
        <w:tc>
          <w:tcPr>
            <w:tcW w:w="425" w:type="dxa"/>
            <w:shd w:val="clear" w:color="auto" w:fill="EDEDED" w:themeFill="accent3" w:themeFillTint="33"/>
            <w:vAlign w:val="center"/>
          </w:tcPr>
          <w:p w14:paraId="57059684" w14:textId="77777777" w:rsidR="004316CD" w:rsidRPr="004316CD" w:rsidRDefault="004316CD" w:rsidP="00A23924">
            <w:pPr>
              <w:jc w:val="center"/>
              <w:rPr>
                <w:rFonts w:ascii="Times New Roman" w:hAnsi="Times New Roman" w:cs="Times New Roman"/>
                <w:sz w:val="20"/>
                <w:szCs w:val="20"/>
              </w:rPr>
            </w:pPr>
          </w:p>
        </w:tc>
        <w:tc>
          <w:tcPr>
            <w:tcW w:w="426" w:type="dxa"/>
            <w:shd w:val="clear" w:color="auto" w:fill="EDEDED" w:themeFill="accent3" w:themeFillTint="33"/>
            <w:vAlign w:val="center"/>
          </w:tcPr>
          <w:p w14:paraId="0C6C20FF" w14:textId="77777777" w:rsidR="004316CD" w:rsidRPr="004316CD" w:rsidRDefault="004316CD" w:rsidP="00A23924">
            <w:pPr>
              <w:jc w:val="center"/>
              <w:rPr>
                <w:rFonts w:ascii="Times New Roman" w:hAnsi="Times New Roman" w:cs="Times New Roman"/>
                <w:sz w:val="20"/>
                <w:szCs w:val="20"/>
              </w:rPr>
            </w:pPr>
          </w:p>
        </w:tc>
        <w:tc>
          <w:tcPr>
            <w:tcW w:w="425" w:type="dxa"/>
            <w:tcBorders>
              <w:right w:val="single" w:sz="12" w:space="0" w:color="auto"/>
            </w:tcBorders>
            <w:vAlign w:val="center"/>
          </w:tcPr>
          <w:p w14:paraId="2B3A7E5A" w14:textId="77777777" w:rsidR="004316CD" w:rsidRPr="004316CD" w:rsidRDefault="004316CD" w:rsidP="00A23924">
            <w:pPr>
              <w:jc w:val="center"/>
              <w:rPr>
                <w:rFonts w:ascii="Times New Roman" w:hAnsi="Times New Roman" w:cs="Times New Roman"/>
                <w:sz w:val="20"/>
                <w:szCs w:val="20"/>
              </w:rPr>
            </w:pPr>
          </w:p>
        </w:tc>
        <w:tc>
          <w:tcPr>
            <w:tcW w:w="425" w:type="dxa"/>
            <w:tcBorders>
              <w:left w:val="single" w:sz="12" w:space="0" w:color="auto"/>
            </w:tcBorders>
            <w:vAlign w:val="center"/>
          </w:tcPr>
          <w:p w14:paraId="7E0E0082" w14:textId="77777777" w:rsidR="004316CD" w:rsidRPr="004316CD" w:rsidRDefault="004316CD" w:rsidP="00A23924">
            <w:pPr>
              <w:jc w:val="center"/>
              <w:rPr>
                <w:rFonts w:ascii="Times New Roman" w:hAnsi="Times New Roman" w:cs="Times New Roman"/>
                <w:sz w:val="20"/>
                <w:szCs w:val="20"/>
              </w:rPr>
            </w:pPr>
          </w:p>
        </w:tc>
        <w:tc>
          <w:tcPr>
            <w:tcW w:w="425" w:type="dxa"/>
            <w:vAlign w:val="center"/>
          </w:tcPr>
          <w:p w14:paraId="7A3675CE" w14:textId="77777777" w:rsidR="004316CD" w:rsidRPr="004316CD" w:rsidRDefault="004316CD" w:rsidP="00A23924">
            <w:pPr>
              <w:jc w:val="center"/>
              <w:rPr>
                <w:rFonts w:ascii="Times New Roman" w:hAnsi="Times New Roman" w:cs="Times New Roman"/>
                <w:sz w:val="20"/>
                <w:szCs w:val="20"/>
              </w:rPr>
            </w:pPr>
          </w:p>
        </w:tc>
        <w:tc>
          <w:tcPr>
            <w:tcW w:w="426" w:type="dxa"/>
            <w:vAlign w:val="center"/>
          </w:tcPr>
          <w:p w14:paraId="16526656" w14:textId="77777777" w:rsidR="004316CD" w:rsidRPr="004316CD" w:rsidRDefault="004316CD" w:rsidP="00A23924">
            <w:pPr>
              <w:jc w:val="center"/>
              <w:rPr>
                <w:rFonts w:ascii="Times New Roman" w:hAnsi="Times New Roman" w:cs="Times New Roman"/>
                <w:sz w:val="20"/>
                <w:szCs w:val="20"/>
              </w:rPr>
            </w:pPr>
          </w:p>
        </w:tc>
        <w:tc>
          <w:tcPr>
            <w:tcW w:w="425" w:type="dxa"/>
            <w:tcBorders>
              <w:right w:val="single" w:sz="12" w:space="0" w:color="auto"/>
            </w:tcBorders>
            <w:vAlign w:val="center"/>
          </w:tcPr>
          <w:p w14:paraId="722CA683" w14:textId="77777777" w:rsidR="004316CD" w:rsidRPr="004316CD" w:rsidRDefault="004316CD" w:rsidP="00A23924">
            <w:pPr>
              <w:jc w:val="center"/>
              <w:rPr>
                <w:rFonts w:ascii="Times New Roman" w:hAnsi="Times New Roman" w:cs="Times New Roman"/>
                <w:sz w:val="20"/>
                <w:szCs w:val="20"/>
              </w:rPr>
            </w:pPr>
          </w:p>
        </w:tc>
        <w:tc>
          <w:tcPr>
            <w:tcW w:w="425" w:type="dxa"/>
            <w:tcBorders>
              <w:left w:val="single" w:sz="12" w:space="0" w:color="auto"/>
            </w:tcBorders>
            <w:vAlign w:val="center"/>
          </w:tcPr>
          <w:p w14:paraId="35FCF56A" w14:textId="77777777" w:rsidR="004316CD" w:rsidRPr="004316CD" w:rsidRDefault="004316CD" w:rsidP="00A23924">
            <w:pPr>
              <w:jc w:val="center"/>
              <w:rPr>
                <w:rFonts w:ascii="Times New Roman" w:hAnsi="Times New Roman" w:cs="Times New Roman"/>
                <w:sz w:val="20"/>
                <w:szCs w:val="20"/>
              </w:rPr>
            </w:pPr>
          </w:p>
        </w:tc>
        <w:tc>
          <w:tcPr>
            <w:tcW w:w="425" w:type="dxa"/>
            <w:shd w:val="clear" w:color="auto" w:fill="auto"/>
            <w:vAlign w:val="center"/>
          </w:tcPr>
          <w:p w14:paraId="445FA6DE" w14:textId="77777777" w:rsidR="004316CD" w:rsidRPr="004316CD" w:rsidRDefault="004316CD" w:rsidP="00A23924">
            <w:pPr>
              <w:jc w:val="center"/>
              <w:rPr>
                <w:rFonts w:ascii="Times New Roman" w:hAnsi="Times New Roman" w:cs="Times New Roman"/>
                <w:sz w:val="20"/>
                <w:szCs w:val="20"/>
              </w:rPr>
            </w:pPr>
          </w:p>
        </w:tc>
        <w:tc>
          <w:tcPr>
            <w:tcW w:w="426" w:type="dxa"/>
            <w:shd w:val="clear" w:color="auto" w:fill="auto"/>
            <w:vAlign w:val="center"/>
          </w:tcPr>
          <w:p w14:paraId="249177CE" w14:textId="77777777" w:rsidR="004316CD" w:rsidRPr="004316CD" w:rsidRDefault="004316CD" w:rsidP="00A23924">
            <w:pPr>
              <w:jc w:val="center"/>
              <w:rPr>
                <w:rFonts w:ascii="Times New Roman" w:hAnsi="Times New Roman" w:cs="Times New Roman"/>
                <w:sz w:val="20"/>
                <w:szCs w:val="20"/>
              </w:rPr>
            </w:pPr>
          </w:p>
        </w:tc>
        <w:tc>
          <w:tcPr>
            <w:tcW w:w="425" w:type="dxa"/>
            <w:tcBorders>
              <w:right w:val="single" w:sz="12" w:space="0" w:color="auto"/>
            </w:tcBorders>
            <w:shd w:val="clear" w:color="auto" w:fill="auto"/>
            <w:vAlign w:val="center"/>
          </w:tcPr>
          <w:p w14:paraId="7BADD58D" w14:textId="77777777" w:rsidR="004316CD" w:rsidRPr="004316CD" w:rsidRDefault="004316CD" w:rsidP="00A23924">
            <w:pPr>
              <w:jc w:val="center"/>
              <w:rPr>
                <w:rFonts w:ascii="Times New Roman" w:hAnsi="Times New Roman" w:cs="Times New Roman"/>
                <w:sz w:val="20"/>
                <w:szCs w:val="20"/>
              </w:rPr>
            </w:pPr>
          </w:p>
        </w:tc>
        <w:tc>
          <w:tcPr>
            <w:tcW w:w="425" w:type="dxa"/>
            <w:tcBorders>
              <w:left w:val="single" w:sz="12" w:space="0" w:color="auto"/>
            </w:tcBorders>
            <w:shd w:val="clear" w:color="auto" w:fill="FFC000"/>
            <w:vAlign w:val="center"/>
          </w:tcPr>
          <w:p w14:paraId="56E67982" w14:textId="77777777" w:rsidR="004316CD" w:rsidRPr="004316CD" w:rsidRDefault="004316CD" w:rsidP="00A23924">
            <w:pPr>
              <w:jc w:val="center"/>
              <w:rPr>
                <w:rFonts w:ascii="Times New Roman" w:hAnsi="Times New Roman" w:cs="Times New Roman"/>
                <w:sz w:val="20"/>
                <w:szCs w:val="20"/>
              </w:rPr>
            </w:pPr>
          </w:p>
        </w:tc>
        <w:tc>
          <w:tcPr>
            <w:tcW w:w="425" w:type="dxa"/>
            <w:shd w:val="clear" w:color="auto" w:fill="FFC000"/>
            <w:vAlign w:val="center"/>
          </w:tcPr>
          <w:p w14:paraId="62D050A8" w14:textId="77777777" w:rsidR="004316CD" w:rsidRPr="004316CD" w:rsidRDefault="004316CD" w:rsidP="00A23924">
            <w:pPr>
              <w:jc w:val="center"/>
              <w:rPr>
                <w:rFonts w:ascii="Times New Roman" w:hAnsi="Times New Roman" w:cs="Times New Roman"/>
                <w:sz w:val="20"/>
                <w:szCs w:val="20"/>
              </w:rPr>
            </w:pPr>
          </w:p>
        </w:tc>
        <w:tc>
          <w:tcPr>
            <w:tcW w:w="426" w:type="dxa"/>
            <w:shd w:val="clear" w:color="auto" w:fill="FFC000"/>
            <w:vAlign w:val="center"/>
          </w:tcPr>
          <w:p w14:paraId="6CB33477" w14:textId="77777777" w:rsidR="004316CD" w:rsidRPr="004316CD" w:rsidRDefault="004316CD" w:rsidP="00A23924">
            <w:pPr>
              <w:jc w:val="center"/>
              <w:rPr>
                <w:rFonts w:ascii="Times New Roman" w:hAnsi="Times New Roman" w:cs="Times New Roman"/>
                <w:sz w:val="20"/>
                <w:szCs w:val="20"/>
              </w:rPr>
            </w:pPr>
          </w:p>
        </w:tc>
        <w:tc>
          <w:tcPr>
            <w:tcW w:w="425" w:type="dxa"/>
            <w:tcBorders>
              <w:right w:val="single" w:sz="12" w:space="0" w:color="auto"/>
            </w:tcBorders>
            <w:shd w:val="clear" w:color="auto" w:fill="FFC000"/>
            <w:vAlign w:val="center"/>
          </w:tcPr>
          <w:p w14:paraId="31F0A79A" w14:textId="77777777" w:rsidR="004316CD" w:rsidRPr="004316CD" w:rsidRDefault="004316CD" w:rsidP="00A23924">
            <w:pPr>
              <w:jc w:val="center"/>
              <w:rPr>
                <w:rFonts w:ascii="Times New Roman" w:hAnsi="Times New Roman" w:cs="Times New Roman"/>
                <w:sz w:val="20"/>
                <w:szCs w:val="20"/>
              </w:rPr>
            </w:pPr>
          </w:p>
        </w:tc>
        <w:tc>
          <w:tcPr>
            <w:tcW w:w="425" w:type="dxa"/>
            <w:tcBorders>
              <w:left w:val="single" w:sz="12" w:space="0" w:color="auto"/>
            </w:tcBorders>
            <w:shd w:val="clear" w:color="auto" w:fill="FFC000"/>
            <w:vAlign w:val="center"/>
          </w:tcPr>
          <w:p w14:paraId="785A87D9" w14:textId="77777777" w:rsidR="004316CD" w:rsidRPr="004316CD" w:rsidRDefault="004316CD" w:rsidP="00A23924">
            <w:pPr>
              <w:jc w:val="center"/>
              <w:rPr>
                <w:rFonts w:ascii="Times New Roman" w:hAnsi="Times New Roman" w:cs="Times New Roman"/>
                <w:sz w:val="20"/>
                <w:szCs w:val="20"/>
              </w:rPr>
            </w:pPr>
          </w:p>
        </w:tc>
        <w:tc>
          <w:tcPr>
            <w:tcW w:w="425" w:type="dxa"/>
            <w:shd w:val="clear" w:color="auto" w:fill="FFC000"/>
            <w:vAlign w:val="center"/>
          </w:tcPr>
          <w:p w14:paraId="441A85EB" w14:textId="77777777" w:rsidR="004316CD" w:rsidRPr="004316CD" w:rsidRDefault="004316CD" w:rsidP="00A23924">
            <w:pPr>
              <w:jc w:val="center"/>
              <w:rPr>
                <w:rFonts w:ascii="Times New Roman" w:hAnsi="Times New Roman" w:cs="Times New Roman"/>
                <w:sz w:val="20"/>
                <w:szCs w:val="20"/>
              </w:rPr>
            </w:pPr>
          </w:p>
        </w:tc>
        <w:tc>
          <w:tcPr>
            <w:tcW w:w="426" w:type="dxa"/>
            <w:shd w:val="clear" w:color="auto" w:fill="FFC000"/>
            <w:vAlign w:val="center"/>
          </w:tcPr>
          <w:p w14:paraId="48906C66" w14:textId="77777777" w:rsidR="004316CD" w:rsidRPr="004316CD" w:rsidRDefault="004316CD" w:rsidP="00A23924">
            <w:pPr>
              <w:jc w:val="center"/>
              <w:rPr>
                <w:rFonts w:ascii="Times New Roman" w:hAnsi="Times New Roman" w:cs="Times New Roman"/>
                <w:sz w:val="20"/>
                <w:szCs w:val="20"/>
              </w:rPr>
            </w:pPr>
          </w:p>
        </w:tc>
        <w:tc>
          <w:tcPr>
            <w:tcW w:w="425" w:type="dxa"/>
            <w:tcBorders>
              <w:right w:val="single" w:sz="12" w:space="0" w:color="auto"/>
            </w:tcBorders>
            <w:shd w:val="clear" w:color="auto" w:fill="FFC000"/>
            <w:vAlign w:val="center"/>
          </w:tcPr>
          <w:p w14:paraId="679B71B3" w14:textId="77777777" w:rsidR="004316CD" w:rsidRPr="004316CD" w:rsidRDefault="004316CD" w:rsidP="00A23924">
            <w:pPr>
              <w:jc w:val="center"/>
              <w:rPr>
                <w:rFonts w:ascii="Times New Roman" w:hAnsi="Times New Roman" w:cs="Times New Roman"/>
                <w:sz w:val="20"/>
                <w:szCs w:val="20"/>
              </w:rPr>
            </w:pPr>
          </w:p>
        </w:tc>
      </w:tr>
      <w:tr w:rsidR="00723EED" w:rsidRPr="004316CD" w14:paraId="5850BCAB" w14:textId="77777777" w:rsidTr="00723EED">
        <w:trPr>
          <w:trHeight w:val="454"/>
          <w:jc w:val="center"/>
        </w:trPr>
        <w:tc>
          <w:tcPr>
            <w:tcW w:w="562" w:type="dxa"/>
            <w:tcBorders>
              <w:left w:val="single" w:sz="12" w:space="0" w:color="auto"/>
              <w:bottom w:val="single" w:sz="12" w:space="0" w:color="auto"/>
            </w:tcBorders>
            <w:shd w:val="clear" w:color="auto" w:fill="ACB9CA" w:themeFill="text2" w:themeFillTint="66"/>
            <w:vAlign w:val="center"/>
          </w:tcPr>
          <w:p w14:paraId="48C5F23B" w14:textId="77777777" w:rsidR="004316CD" w:rsidRPr="004316CD" w:rsidRDefault="004316CD" w:rsidP="00A510E4">
            <w:pPr>
              <w:pStyle w:val="ListParagraph"/>
              <w:numPr>
                <w:ilvl w:val="0"/>
                <w:numId w:val="9"/>
              </w:numPr>
              <w:tabs>
                <w:tab w:val="left" w:pos="360"/>
              </w:tabs>
              <w:ind w:hanging="549"/>
              <w:rPr>
                <w:rFonts w:ascii="Times New Roman" w:hAnsi="Times New Roman" w:cs="Times New Roman"/>
                <w:sz w:val="20"/>
                <w:szCs w:val="20"/>
              </w:rPr>
            </w:pPr>
          </w:p>
        </w:tc>
        <w:tc>
          <w:tcPr>
            <w:tcW w:w="3818" w:type="dxa"/>
            <w:tcBorders>
              <w:bottom w:val="single" w:sz="12" w:space="0" w:color="auto"/>
            </w:tcBorders>
          </w:tcPr>
          <w:p w14:paraId="6CEAA0F7" w14:textId="77777777" w:rsidR="004316CD" w:rsidRPr="004316CD" w:rsidRDefault="004316CD" w:rsidP="00395220">
            <w:pPr>
              <w:rPr>
                <w:rFonts w:ascii="Times New Roman" w:hAnsi="Times New Roman" w:cs="Times New Roman"/>
                <w:sz w:val="20"/>
                <w:szCs w:val="20"/>
              </w:rPr>
            </w:pPr>
            <w:r w:rsidRPr="004316CD">
              <w:rPr>
                <w:rFonts w:ascii="Times New Roman" w:eastAsia="Times New Roman" w:hAnsi="Times New Roman" w:cs="Times New Roman"/>
                <w:sz w:val="20"/>
                <w:szCs w:val="20"/>
              </w:rPr>
              <w:t>Profesionālās izglītības absolventu nodarbinātības monitoringa sistēmas izveide</w:t>
            </w:r>
          </w:p>
        </w:tc>
        <w:tc>
          <w:tcPr>
            <w:tcW w:w="1559" w:type="dxa"/>
            <w:tcBorders>
              <w:bottom w:val="single" w:sz="12" w:space="0" w:color="auto"/>
              <w:right w:val="single" w:sz="12" w:space="0" w:color="auto"/>
            </w:tcBorders>
          </w:tcPr>
          <w:p w14:paraId="002E1447" w14:textId="5CDD6BB2" w:rsidR="004316CD" w:rsidRPr="004316CD" w:rsidRDefault="004316CD" w:rsidP="00395220">
            <w:pPr>
              <w:rPr>
                <w:rFonts w:ascii="Times New Roman" w:hAnsi="Times New Roman" w:cs="Times New Roman"/>
                <w:sz w:val="20"/>
                <w:szCs w:val="20"/>
              </w:rPr>
            </w:pPr>
            <w:r w:rsidRPr="004316CD">
              <w:rPr>
                <w:rFonts w:ascii="Times New Roman" w:hAnsi="Times New Roman" w:cs="Times New Roman"/>
                <w:sz w:val="20"/>
                <w:szCs w:val="20"/>
              </w:rPr>
              <w:t>IZM, IKVD, VISC</w:t>
            </w:r>
            <w:r w:rsidR="00747103">
              <w:rPr>
                <w:rFonts w:ascii="Times New Roman" w:hAnsi="Times New Roman" w:cs="Times New Roman"/>
                <w:sz w:val="20"/>
                <w:szCs w:val="20"/>
              </w:rPr>
              <w:t>, EM (CSP)</w:t>
            </w:r>
          </w:p>
        </w:tc>
        <w:tc>
          <w:tcPr>
            <w:tcW w:w="425" w:type="dxa"/>
            <w:tcBorders>
              <w:left w:val="single" w:sz="12" w:space="0" w:color="auto"/>
              <w:bottom w:val="single" w:sz="12" w:space="0" w:color="auto"/>
            </w:tcBorders>
            <w:shd w:val="clear" w:color="auto" w:fill="EDEDED" w:themeFill="accent3" w:themeFillTint="33"/>
            <w:vAlign w:val="center"/>
          </w:tcPr>
          <w:p w14:paraId="02CC94AE" w14:textId="77777777" w:rsidR="004316CD" w:rsidRPr="004316CD" w:rsidRDefault="004316CD" w:rsidP="00A23924">
            <w:pPr>
              <w:jc w:val="center"/>
              <w:rPr>
                <w:rFonts w:ascii="Times New Roman" w:hAnsi="Times New Roman" w:cs="Times New Roman"/>
                <w:sz w:val="20"/>
                <w:szCs w:val="20"/>
              </w:rPr>
            </w:pPr>
          </w:p>
        </w:tc>
        <w:tc>
          <w:tcPr>
            <w:tcW w:w="425" w:type="dxa"/>
            <w:tcBorders>
              <w:bottom w:val="single" w:sz="12" w:space="0" w:color="auto"/>
            </w:tcBorders>
            <w:shd w:val="clear" w:color="auto" w:fill="EDEDED" w:themeFill="accent3" w:themeFillTint="33"/>
            <w:vAlign w:val="center"/>
          </w:tcPr>
          <w:p w14:paraId="7D70831E" w14:textId="77777777" w:rsidR="004316CD" w:rsidRPr="004316CD" w:rsidRDefault="004316CD" w:rsidP="00A23924">
            <w:pPr>
              <w:jc w:val="center"/>
              <w:rPr>
                <w:rFonts w:ascii="Times New Roman" w:hAnsi="Times New Roman" w:cs="Times New Roman"/>
                <w:sz w:val="20"/>
                <w:szCs w:val="20"/>
              </w:rPr>
            </w:pPr>
          </w:p>
        </w:tc>
        <w:tc>
          <w:tcPr>
            <w:tcW w:w="426" w:type="dxa"/>
            <w:tcBorders>
              <w:bottom w:val="single" w:sz="12" w:space="0" w:color="auto"/>
            </w:tcBorders>
            <w:shd w:val="clear" w:color="auto" w:fill="EDEDED" w:themeFill="accent3" w:themeFillTint="33"/>
            <w:vAlign w:val="center"/>
          </w:tcPr>
          <w:p w14:paraId="60630F0B" w14:textId="77777777" w:rsidR="004316CD" w:rsidRPr="004316CD" w:rsidRDefault="004316CD" w:rsidP="00A23924">
            <w:pPr>
              <w:jc w:val="center"/>
              <w:rPr>
                <w:rFonts w:ascii="Times New Roman" w:hAnsi="Times New Roman" w:cs="Times New Roman"/>
                <w:sz w:val="20"/>
                <w:szCs w:val="20"/>
              </w:rPr>
            </w:pPr>
          </w:p>
        </w:tc>
        <w:tc>
          <w:tcPr>
            <w:tcW w:w="425" w:type="dxa"/>
            <w:tcBorders>
              <w:bottom w:val="single" w:sz="12" w:space="0" w:color="auto"/>
              <w:right w:val="single" w:sz="12" w:space="0" w:color="auto"/>
            </w:tcBorders>
            <w:shd w:val="clear" w:color="auto" w:fill="FFC000" w:themeFill="accent4"/>
            <w:vAlign w:val="center"/>
          </w:tcPr>
          <w:p w14:paraId="53450E68" w14:textId="77777777" w:rsidR="004316CD" w:rsidRPr="004316CD" w:rsidRDefault="004316CD" w:rsidP="00A23924">
            <w:pPr>
              <w:jc w:val="center"/>
              <w:rPr>
                <w:rFonts w:ascii="Times New Roman" w:hAnsi="Times New Roman" w:cs="Times New Roman"/>
                <w:sz w:val="20"/>
                <w:szCs w:val="20"/>
              </w:rPr>
            </w:pPr>
          </w:p>
        </w:tc>
        <w:tc>
          <w:tcPr>
            <w:tcW w:w="425" w:type="dxa"/>
            <w:tcBorders>
              <w:left w:val="single" w:sz="12" w:space="0" w:color="auto"/>
              <w:bottom w:val="single" w:sz="12" w:space="0" w:color="auto"/>
            </w:tcBorders>
            <w:shd w:val="clear" w:color="auto" w:fill="FFC000"/>
            <w:vAlign w:val="center"/>
          </w:tcPr>
          <w:p w14:paraId="1B469DD3" w14:textId="77777777" w:rsidR="004316CD" w:rsidRPr="004316CD" w:rsidRDefault="004316CD" w:rsidP="00A23924">
            <w:pPr>
              <w:jc w:val="center"/>
              <w:rPr>
                <w:rFonts w:ascii="Times New Roman" w:hAnsi="Times New Roman" w:cs="Times New Roman"/>
                <w:sz w:val="20"/>
                <w:szCs w:val="20"/>
              </w:rPr>
            </w:pPr>
          </w:p>
        </w:tc>
        <w:tc>
          <w:tcPr>
            <w:tcW w:w="425" w:type="dxa"/>
            <w:tcBorders>
              <w:bottom w:val="single" w:sz="12" w:space="0" w:color="auto"/>
            </w:tcBorders>
            <w:shd w:val="clear" w:color="auto" w:fill="FFC000"/>
            <w:vAlign w:val="center"/>
          </w:tcPr>
          <w:p w14:paraId="7F216CA8" w14:textId="77777777" w:rsidR="004316CD" w:rsidRPr="004316CD" w:rsidRDefault="004316CD" w:rsidP="00A23924">
            <w:pPr>
              <w:jc w:val="center"/>
              <w:rPr>
                <w:rFonts w:ascii="Times New Roman" w:hAnsi="Times New Roman" w:cs="Times New Roman"/>
                <w:sz w:val="20"/>
                <w:szCs w:val="20"/>
              </w:rPr>
            </w:pPr>
          </w:p>
        </w:tc>
        <w:tc>
          <w:tcPr>
            <w:tcW w:w="426" w:type="dxa"/>
            <w:tcBorders>
              <w:bottom w:val="single" w:sz="12" w:space="0" w:color="auto"/>
            </w:tcBorders>
            <w:shd w:val="clear" w:color="auto" w:fill="FFC000"/>
            <w:vAlign w:val="center"/>
          </w:tcPr>
          <w:p w14:paraId="40527466" w14:textId="77777777" w:rsidR="004316CD" w:rsidRPr="004316CD" w:rsidRDefault="004316CD" w:rsidP="00A23924">
            <w:pPr>
              <w:jc w:val="center"/>
              <w:rPr>
                <w:rFonts w:ascii="Times New Roman" w:hAnsi="Times New Roman" w:cs="Times New Roman"/>
                <w:sz w:val="20"/>
                <w:szCs w:val="20"/>
              </w:rPr>
            </w:pPr>
          </w:p>
        </w:tc>
        <w:tc>
          <w:tcPr>
            <w:tcW w:w="425" w:type="dxa"/>
            <w:tcBorders>
              <w:bottom w:val="single" w:sz="12" w:space="0" w:color="auto"/>
              <w:right w:val="single" w:sz="12" w:space="0" w:color="auto"/>
            </w:tcBorders>
            <w:shd w:val="clear" w:color="auto" w:fill="FFC000"/>
            <w:vAlign w:val="center"/>
          </w:tcPr>
          <w:p w14:paraId="36484133" w14:textId="77777777" w:rsidR="004316CD" w:rsidRPr="004316CD" w:rsidRDefault="004316CD" w:rsidP="00A23924">
            <w:pPr>
              <w:jc w:val="center"/>
              <w:rPr>
                <w:rFonts w:ascii="Times New Roman" w:hAnsi="Times New Roman" w:cs="Times New Roman"/>
                <w:sz w:val="20"/>
                <w:szCs w:val="20"/>
              </w:rPr>
            </w:pPr>
          </w:p>
        </w:tc>
        <w:tc>
          <w:tcPr>
            <w:tcW w:w="425" w:type="dxa"/>
            <w:tcBorders>
              <w:left w:val="single" w:sz="12" w:space="0" w:color="auto"/>
              <w:bottom w:val="single" w:sz="12" w:space="0" w:color="auto"/>
            </w:tcBorders>
            <w:shd w:val="clear" w:color="auto" w:fill="FFC000"/>
            <w:vAlign w:val="center"/>
          </w:tcPr>
          <w:p w14:paraId="0CFA1AB2" w14:textId="77777777" w:rsidR="004316CD" w:rsidRPr="004316CD" w:rsidRDefault="004316CD" w:rsidP="00A23924">
            <w:pPr>
              <w:jc w:val="center"/>
              <w:rPr>
                <w:rFonts w:ascii="Times New Roman" w:hAnsi="Times New Roman" w:cs="Times New Roman"/>
                <w:sz w:val="20"/>
                <w:szCs w:val="20"/>
              </w:rPr>
            </w:pPr>
          </w:p>
        </w:tc>
        <w:tc>
          <w:tcPr>
            <w:tcW w:w="425" w:type="dxa"/>
            <w:tcBorders>
              <w:bottom w:val="single" w:sz="12" w:space="0" w:color="auto"/>
            </w:tcBorders>
            <w:shd w:val="clear" w:color="auto" w:fill="FFC000"/>
            <w:vAlign w:val="center"/>
          </w:tcPr>
          <w:p w14:paraId="71DED7FB" w14:textId="77777777" w:rsidR="004316CD" w:rsidRPr="004316CD" w:rsidRDefault="004316CD" w:rsidP="00A23924">
            <w:pPr>
              <w:jc w:val="center"/>
              <w:rPr>
                <w:rFonts w:ascii="Times New Roman" w:hAnsi="Times New Roman" w:cs="Times New Roman"/>
                <w:sz w:val="20"/>
                <w:szCs w:val="20"/>
              </w:rPr>
            </w:pPr>
          </w:p>
        </w:tc>
        <w:tc>
          <w:tcPr>
            <w:tcW w:w="426" w:type="dxa"/>
            <w:tcBorders>
              <w:bottom w:val="single" w:sz="12" w:space="0" w:color="auto"/>
            </w:tcBorders>
            <w:shd w:val="clear" w:color="auto" w:fill="FFC000"/>
            <w:vAlign w:val="center"/>
          </w:tcPr>
          <w:p w14:paraId="0D10B6AA" w14:textId="77777777" w:rsidR="004316CD" w:rsidRPr="004316CD" w:rsidRDefault="004316CD" w:rsidP="00A23924">
            <w:pPr>
              <w:jc w:val="center"/>
              <w:rPr>
                <w:rFonts w:ascii="Times New Roman" w:hAnsi="Times New Roman" w:cs="Times New Roman"/>
                <w:sz w:val="20"/>
                <w:szCs w:val="20"/>
              </w:rPr>
            </w:pPr>
          </w:p>
        </w:tc>
        <w:tc>
          <w:tcPr>
            <w:tcW w:w="425" w:type="dxa"/>
            <w:tcBorders>
              <w:bottom w:val="single" w:sz="12" w:space="0" w:color="auto"/>
              <w:right w:val="single" w:sz="12" w:space="0" w:color="auto"/>
            </w:tcBorders>
            <w:shd w:val="clear" w:color="auto" w:fill="FFC000"/>
            <w:vAlign w:val="center"/>
          </w:tcPr>
          <w:p w14:paraId="553C629C" w14:textId="77777777" w:rsidR="004316CD" w:rsidRPr="004316CD" w:rsidRDefault="004316CD" w:rsidP="00A23924">
            <w:pPr>
              <w:jc w:val="center"/>
              <w:rPr>
                <w:rFonts w:ascii="Times New Roman" w:hAnsi="Times New Roman" w:cs="Times New Roman"/>
                <w:sz w:val="20"/>
                <w:szCs w:val="20"/>
              </w:rPr>
            </w:pPr>
          </w:p>
        </w:tc>
        <w:tc>
          <w:tcPr>
            <w:tcW w:w="425" w:type="dxa"/>
            <w:tcBorders>
              <w:left w:val="single" w:sz="12" w:space="0" w:color="auto"/>
              <w:bottom w:val="single" w:sz="12" w:space="0" w:color="auto"/>
            </w:tcBorders>
            <w:shd w:val="clear" w:color="auto" w:fill="FFC000"/>
            <w:vAlign w:val="center"/>
          </w:tcPr>
          <w:p w14:paraId="089FE61F" w14:textId="77777777" w:rsidR="004316CD" w:rsidRPr="004316CD" w:rsidRDefault="004316CD" w:rsidP="00A23924">
            <w:pPr>
              <w:jc w:val="center"/>
              <w:rPr>
                <w:rFonts w:ascii="Times New Roman" w:hAnsi="Times New Roman" w:cs="Times New Roman"/>
                <w:sz w:val="20"/>
                <w:szCs w:val="20"/>
              </w:rPr>
            </w:pPr>
          </w:p>
        </w:tc>
        <w:tc>
          <w:tcPr>
            <w:tcW w:w="425" w:type="dxa"/>
            <w:tcBorders>
              <w:bottom w:val="single" w:sz="12" w:space="0" w:color="auto"/>
            </w:tcBorders>
            <w:shd w:val="clear" w:color="auto" w:fill="FFC000"/>
            <w:vAlign w:val="center"/>
          </w:tcPr>
          <w:p w14:paraId="794BF8DE" w14:textId="77777777" w:rsidR="004316CD" w:rsidRPr="004316CD" w:rsidRDefault="004316CD" w:rsidP="00A23924">
            <w:pPr>
              <w:jc w:val="center"/>
              <w:rPr>
                <w:rFonts w:ascii="Times New Roman" w:hAnsi="Times New Roman" w:cs="Times New Roman"/>
                <w:sz w:val="20"/>
                <w:szCs w:val="20"/>
              </w:rPr>
            </w:pPr>
          </w:p>
        </w:tc>
        <w:tc>
          <w:tcPr>
            <w:tcW w:w="426" w:type="dxa"/>
            <w:tcBorders>
              <w:bottom w:val="single" w:sz="12" w:space="0" w:color="auto"/>
            </w:tcBorders>
            <w:shd w:val="clear" w:color="auto" w:fill="FFC000"/>
            <w:vAlign w:val="center"/>
          </w:tcPr>
          <w:p w14:paraId="72975308" w14:textId="77777777" w:rsidR="004316CD" w:rsidRPr="004316CD" w:rsidRDefault="004316CD" w:rsidP="00A23924">
            <w:pPr>
              <w:jc w:val="center"/>
              <w:rPr>
                <w:rFonts w:ascii="Times New Roman" w:hAnsi="Times New Roman" w:cs="Times New Roman"/>
                <w:sz w:val="20"/>
                <w:szCs w:val="20"/>
              </w:rPr>
            </w:pPr>
          </w:p>
        </w:tc>
        <w:tc>
          <w:tcPr>
            <w:tcW w:w="425" w:type="dxa"/>
            <w:tcBorders>
              <w:bottom w:val="single" w:sz="12" w:space="0" w:color="auto"/>
              <w:right w:val="single" w:sz="12" w:space="0" w:color="auto"/>
            </w:tcBorders>
            <w:vAlign w:val="center"/>
          </w:tcPr>
          <w:p w14:paraId="325959CF" w14:textId="77777777" w:rsidR="004316CD" w:rsidRPr="004316CD" w:rsidRDefault="004316CD" w:rsidP="00A23924">
            <w:pPr>
              <w:jc w:val="center"/>
              <w:rPr>
                <w:rFonts w:ascii="Times New Roman" w:hAnsi="Times New Roman" w:cs="Times New Roman"/>
                <w:sz w:val="20"/>
                <w:szCs w:val="20"/>
              </w:rPr>
            </w:pPr>
          </w:p>
        </w:tc>
        <w:tc>
          <w:tcPr>
            <w:tcW w:w="425" w:type="dxa"/>
            <w:tcBorders>
              <w:left w:val="single" w:sz="12" w:space="0" w:color="auto"/>
              <w:bottom w:val="single" w:sz="12" w:space="0" w:color="auto"/>
            </w:tcBorders>
            <w:vAlign w:val="center"/>
          </w:tcPr>
          <w:p w14:paraId="28D73670" w14:textId="77777777" w:rsidR="004316CD" w:rsidRPr="004316CD" w:rsidRDefault="004316CD" w:rsidP="00A23924">
            <w:pPr>
              <w:jc w:val="center"/>
              <w:rPr>
                <w:rFonts w:ascii="Times New Roman" w:hAnsi="Times New Roman" w:cs="Times New Roman"/>
                <w:sz w:val="20"/>
                <w:szCs w:val="20"/>
              </w:rPr>
            </w:pPr>
          </w:p>
        </w:tc>
        <w:tc>
          <w:tcPr>
            <w:tcW w:w="425" w:type="dxa"/>
            <w:tcBorders>
              <w:bottom w:val="single" w:sz="12" w:space="0" w:color="auto"/>
            </w:tcBorders>
            <w:vAlign w:val="center"/>
          </w:tcPr>
          <w:p w14:paraId="6350312A" w14:textId="77777777" w:rsidR="004316CD" w:rsidRPr="004316CD" w:rsidRDefault="004316CD" w:rsidP="00A23924">
            <w:pPr>
              <w:jc w:val="center"/>
              <w:rPr>
                <w:rFonts w:ascii="Times New Roman" w:hAnsi="Times New Roman" w:cs="Times New Roman"/>
                <w:sz w:val="20"/>
                <w:szCs w:val="20"/>
              </w:rPr>
            </w:pPr>
          </w:p>
        </w:tc>
        <w:tc>
          <w:tcPr>
            <w:tcW w:w="426" w:type="dxa"/>
            <w:tcBorders>
              <w:bottom w:val="single" w:sz="12" w:space="0" w:color="auto"/>
            </w:tcBorders>
            <w:vAlign w:val="center"/>
          </w:tcPr>
          <w:p w14:paraId="167B073B" w14:textId="77777777" w:rsidR="004316CD" w:rsidRPr="004316CD" w:rsidRDefault="004316CD" w:rsidP="00A23924">
            <w:pPr>
              <w:jc w:val="center"/>
              <w:rPr>
                <w:rFonts w:ascii="Times New Roman" w:hAnsi="Times New Roman" w:cs="Times New Roman"/>
                <w:sz w:val="20"/>
                <w:szCs w:val="20"/>
              </w:rPr>
            </w:pPr>
          </w:p>
        </w:tc>
        <w:tc>
          <w:tcPr>
            <w:tcW w:w="425" w:type="dxa"/>
            <w:tcBorders>
              <w:bottom w:val="single" w:sz="12" w:space="0" w:color="auto"/>
              <w:right w:val="single" w:sz="12" w:space="0" w:color="auto"/>
            </w:tcBorders>
            <w:vAlign w:val="center"/>
          </w:tcPr>
          <w:p w14:paraId="08D1164A" w14:textId="77777777" w:rsidR="004316CD" w:rsidRPr="004316CD" w:rsidRDefault="004316CD" w:rsidP="00A23924">
            <w:pPr>
              <w:jc w:val="center"/>
              <w:rPr>
                <w:rFonts w:ascii="Times New Roman" w:hAnsi="Times New Roman" w:cs="Times New Roman"/>
                <w:sz w:val="20"/>
                <w:szCs w:val="20"/>
              </w:rPr>
            </w:pPr>
          </w:p>
        </w:tc>
      </w:tr>
    </w:tbl>
    <w:p w14:paraId="6836D667" w14:textId="1E0E7FAF" w:rsidR="003037F2" w:rsidRPr="00723EED" w:rsidRDefault="00233A70" w:rsidP="004316CD">
      <w:pPr>
        <w:rPr>
          <w:rFonts w:ascii="Times New Roman" w:hAnsi="Times New Roman" w:cs="Times New Roman"/>
          <w:sz w:val="20"/>
          <w:szCs w:val="20"/>
        </w:rPr>
      </w:pPr>
      <w:r w:rsidRPr="00233A70">
        <w:rPr>
          <w:rFonts w:ascii="Times New Roman" w:hAnsi="Times New Roman" w:cs="Times New Roman"/>
          <w:sz w:val="20"/>
          <w:szCs w:val="20"/>
        </w:rPr>
        <w:t>Saīsinājumi – Izglītības un zinātnes ministrija (IZM), Kultūras ministrija (KM), Labklājības ministrija (LM), Zemkopības ministrija (ZM), Latvijas Pašvaldību savienība (LPS), Profesionālās izglītības biedrība (PIB)</w:t>
      </w:r>
      <w:r w:rsidR="00857CEA">
        <w:rPr>
          <w:rFonts w:ascii="Times New Roman" w:hAnsi="Times New Roman" w:cs="Times New Roman"/>
          <w:sz w:val="20"/>
          <w:szCs w:val="20"/>
        </w:rPr>
        <w:t>, Valsts izglītības satura centrs (VISC), Latvijas Darba devēju konfederācija (LDDK), Ekonomikas ministrija (EM), Centrālās statistikas pārvalde (CSP)</w:t>
      </w:r>
      <w:r w:rsidR="00B42D76">
        <w:rPr>
          <w:rFonts w:ascii="Times New Roman" w:hAnsi="Times New Roman" w:cs="Times New Roman"/>
          <w:sz w:val="20"/>
          <w:szCs w:val="20"/>
        </w:rPr>
        <w:t>, Izglītības kv</w:t>
      </w:r>
      <w:r w:rsidR="00B06B97">
        <w:rPr>
          <w:rFonts w:ascii="Times New Roman" w:hAnsi="Times New Roman" w:cs="Times New Roman"/>
          <w:sz w:val="20"/>
          <w:szCs w:val="20"/>
        </w:rPr>
        <w:t>alitātes valsts dienests (IKVD), profesionālās izglītības programmas (profesionālās IP).</w:t>
      </w:r>
    </w:p>
    <w:sectPr w:rsidR="003037F2" w:rsidRPr="00723EED" w:rsidSect="002D310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BE704" w14:textId="77777777" w:rsidR="00756E17" w:rsidRDefault="00756E17" w:rsidP="00584A27">
      <w:pPr>
        <w:spacing w:after="0" w:line="240" w:lineRule="auto"/>
      </w:pPr>
      <w:r>
        <w:separator/>
      </w:r>
    </w:p>
  </w:endnote>
  <w:endnote w:type="continuationSeparator" w:id="0">
    <w:p w14:paraId="331F0C66" w14:textId="77777777" w:rsidR="00756E17" w:rsidRDefault="00756E17" w:rsidP="0058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528E1" w14:textId="021AC1BF" w:rsidR="00AA4E73" w:rsidRPr="00741D0A" w:rsidRDefault="00AA4E73" w:rsidP="00741D0A">
    <w:pPr>
      <w:pStyle w:val="Footer"/>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FILENAME   \* MERGEFORMAT </w:instrText>
    </w:r>
    <w:r>
      <w:rPr>
        <w:rFonts w:ascii="Times New Roman" w:hAnsi="Times New Roman" w:cs="Times New Roman"/>
      </w:rPr>
      <w:fldChar w:fldCharType="separate"/>
    </w:r>
    <w:r>
      <w:rPr>
        <w:rFonts w:ascii="Times New Roman" w:hAnsi="Times New Roman" w:cs="Times New Roman"/>
        <w:noProof/>
      </w:rPr>
      <w:t>IZMZin_061020_prof_fin</w:t>
    </w:r>
    <w:r>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02AD4" w14:textId="33CBB9DD" w:rsidR="00AA4E73" w:rsidRPr="00731ABA" w:rsidRDefault="00AA4E73" w:rsidP="00722A66">
    <w:pPr>
      <w:pStyle w:val="Footer"/>
      <w:rPr>
        <w:rFonts w:ascii="Times New Roman" w:hAnsi="Times New Roman" w:cs="Times New Roman"/>
      </w:rPr>
    </w:pPr>
    <w:r w:rsidRPr="00731ABA">
      <w:rPr>
        <w:rFonts w:ascii="Times New Roman" w:hAnsi="Times New Roman" w:cs="Times New Roman"/>
      </w:rPr>
      <w:fldChar w:fldCharType="begin"/>
    </w:r>
    <w:r w:rsidRPr="00731ABA">
      <w:rPr>
        <w:rFonts w:ascii="Times New Roman" w:hAnsi="Times New Roman" w:cs="Times New Roman"/>
      </w:rPr>
      <w:instrText xml:space="preserve"> FILENAME   \* MERGEFORMAT </w:instrText>
    </w:r>
    <w:r w:rsidRPr="00731ABA">
      <w:rPr>
        <w:rFonts w:ascii="Times New Roman" w:hAnsi="Times New Roman" w:cs="Times New Roman"/>
      </w:rPr>
      <w:fldChar w:fldCharType="separate"/>
    </w:r>
    <w:r>
      <w:rPr>
        <w:rFonts w:ascii="Times New Roman" w:hAnsi="Times New Roman" w:cs="Times New Roman"/>
        <w:noProof/>
      </w:rPr>
      <w:t>IZMZin_061020_prof_fin</w:t>
    </w:r>
    <w:r w:rsidRPr="00731ABA">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1B6A1" w14:textId="77777777" w:rsidR="00756E17" w:rsidRDefault="00756E17" w:rsidP="00584A27">
      <w:pPr>
        <w:spacing w:after="0" w:line="240" w:lineRule="auto"/>
      </w:pPr>
      <w:r>
        <w:separator/>
      </w:r>
    </w:p>
  </w:footnote>
  <w:footnote w:type="continuationSeparator" w:id="0">
    <w:p w14:paraId="02FABDAE" w14:textId="77777777" w:rsidR="00756E17" w:rsidRDefault="00756E17" w:rsidP="00584A27">
      <w:pPr>
        <w:spacing w:after="0" w:line="240" w:lineRule="auto"/>
      </w:pPr>
      <w:r>
        <w:continuationSeparator/>
      </w:r>
    </w:p>
  </w:footnote>
  <w:footnote w:id="1">
    <w:p w14:paraId="449E390A" w14:textId="0941AFBA" w:rsidR="00AA4E73" w:rsidRPr="00E53E68" w:rsidRDefault="00AA4E73">
      <w:pPr>
        <w:pStyle w:val="FootnoteText"/>
        <w:rPr>
          <w:rFonts w:ascii="Times New Roman" w:hAnsi="Times New Roman" w:cs="Times New Roman"/>
        </w:rPr>
      </w:pPr>
      <w:r w:rsidRPr="00E53E68">
        <w:rPr>
          <w:rStyle w:val="FootnoteReference"/>
          <w:rFonts w:ascii="Times New Roman" w:hAnsi="Times New Roman" w:cs="Times New Roman"/>
        </w:rPr>
        <w:footnoteRef/>
      </w:r>
      <w:r w:rsidRPr="00E53E68">
        <w:rPr>
          <w:rFonts w:ascii="Times New Roman" w:hAnsi="Times New Roman" w:cs="Times New Roman"/>
        </w:rPr>
        <w:t xml:space="preserve"> Uzdevuma izpildes termiņš </w:t>
      </w:r>
      <w:r w:rsidRPr="00E53E68">
        <w:rPr>
          <w:rFonts w:ascii="Times New Roman" w:eastAsia="Times New Roman" w:hAnsi="Times New Roman" w:cs="Times New Roman"/>
        </w:rPr>
        <w:t>2016.gada 1.septembris.</w:t>
      </w:r>
    </w:p>
  </w:footnote>
  <w:footnote w:id="2">
    <w:p w14:paraId="2AED9422" w14:textId="363C5783" w:rsidR="00AA4E73" w:rsidRPr="00E53E68" w:rsidRDefault="00AA4E73">
      <w:pPr>
        <w:pStyle w:val="FootnoteText"/>
        <w:rPr>
          <w:rFonts w:ascii="Times New Roman" w:hAnsi="Times New Roman" w:cs="Times New Roman"/>
        </w:rPr>
      </w:pPr>
      <w:r w:rsidRPr="00E53E68">
        <w:rPr>
          <w:rStyle w:val="FootnoteReference"/>
          <w:rFonts w:ascii="Times New Roman" w:hAnsi="Times New Roman" w:cs="Times New Roman"/>
        </w:rPr>
        <w:footnoteRef/>
      </w:r>
      <w:r w:rsidRPr="00E53E68">
        <w:rPr>
          <w:rFonts w:ascii="Times New Roman" w:hAnsi="Times New Roman" w:cs="Times New Roman"/>
        </w:rPr>
        <w:t xml:space="preserve"> Uzdevuma izpildes termiņš 2018.gada 31.augusts.</w:t>
      </w:r>
    </w:p>
  </w:footnote>
  <w:footnote w:id="3">
    <w:p w14:paraId="61620E7F" w14:textId="3195BB85" w:rsidR="00AA4E73" w:rsidRPr="00455567" w:rsidRDefault="00AA4E73">
      <w:pPr>
        <w:pStyle w:val="FootnoteText"/>
        <w:rPr>
          <w:rFonts w:ascii="Times New Roman" w:hAnsi="Times New Roman" w:cs="Times New Roman"/>
        </w:rPr>
      </w:pPr>
      <w:r w:rsidRPr="00455567">
        <w:rPr>
          <w:rStyle w:val="FootnoteReference"/>
          <w:rFonts w:ascii="Times New Roman" w:hAnsi="Times New Roman" w:cs="Times New Roman"/>
        </w:rPr>
        <w:footnoteRef/>
      </w:r>
      <w:r w:rsidRPr="00455567">
        <w:rPr>
          <w:rFonts w:ascii="Times New Roman" w:hAnsi="Times New Roman" w:cs="Times New Roman"/>
        </w:rPr>
        <w:t xml:space="preserve"> Pētījums pieejams: </w:t>
      </w:r>
      <w:hyperlink r:id="rId1" w:history="1">
        <w:r w:rsidRPr="00455567">
          <w:rPr>
            <w:rStyle w:val="Hyperlink"/>
            <w:rFonts w:ascii="Times New Roman" w:hAnsi="Times New Roman" w:cs="Times New Roman"/>
          </w:rPr>
          <w:t>http://petijumi.mk.gov.lv/node/3104</w:t>
        </w:r>
      </w:hyperlink>
    </w:p>
  </w:footnote>
  <w:footnote w:id="4">
    <w:p w14:paraId="3C536B67" w14:textId="69698E3C" w:rsidR="00AA4E73" w:rsidRPr="009456C3" w:rsidRDefault="00AA4E73" w:rsidP="0006405F">
      <w:pPr>
        <w:pStyle w:val="FootnoteText"/>
        <w:jc w:val="both"/>
        <w:rPr>
          <w:rFonts w:ascii="Times New Roman" w:eastAsia="Times New Roman" w:hAnsi="Times New Roman" w:cs="Times New Roman"/>
        </w:rPr>
      </w:pPr>
      <w:r>
        <w:rPr>
          <w:rStyle w:val="FootnoteReference"/>
        </w:rPr>
        <w:footnoteRef/>
      </w:r>
      <w:r>
        <w:t xml:space="preserve"> </w:t>
      </w:r>
      <w:r w:rsidRPr="008675FF">
        <w:rPr>
          <w:rFonts w:ascii="Times New Roman" w:eastAsia="Times New Roman" w:hAnsi="Times New Roman" w:cs="Times New Roman"/>
        </w:rPr>
        <w:t>Ministru kabineta 2016. gada 20. dec</w:t>
      </w:r>
      <w:r>
        <w:rPr>
          <w:rFonts w:ascii="Times New Roman" w:eastAsia="Times New Roman" w:hAnsi="Times New Roman" w:cs="Times New Roman"/>
        </w:rPr>
        <w:t>embra noteikumi</w:t>
      </w:r>
      <w:r w:rsidRPr="008675FF">
        <w:rPr>
          <w:rFonts w:ascii="Times New Roman" w:eastAsia="Times New Roman" w:hAnsi="Times New Roman" w:cs="Times New Roman"/>
        </w:rPr>
        <w:t xml:space="preserve"> Nr. 831 “Kārtība,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w:t>
      </w:r>
      <w:r>
        <w:rPr>
          <w:rFonts w:ascii="Times New Roman" w:eastAsia="Times New Roman" w:hAnsi="Times New Roman" w:cs="Times New Roman"/>
        </w:rPr>
        <w:t xml:space="preserve">, pieejams: </w:t>
      </w:r>
      <w:hyperlink r:id="rId2" w:history="1">
        <w:r>
          <w:rPr>
            <w:rStyle w:val="Hyperlink"/>
            <w:rFonts w:ascii="Times New Roman" w:eastAsia="Times New Roman" w:hAnsi="Times New Roman" w:cs="Times New Roman"/>
          </w:rPr>
          <w:t>https://likumi.lv/ta/id/287602</w:t>
        </w:r>
      </w:hyperlink>
    </w:p>
  </w:footnote>
  <w:footnote w:id="5">
    <w:p w14:paraId="0C4DDA13" w14:textId="21B3B371" w:rsidR="00AA4E73" w:rsidRPr="005507E4" w:rsidRDefault="00AA4E73" w:rsidP="005507E4">
      <w:pPr>
        <w:pStyle w:val="FootnoteText"/>
        <w:jc w:val="both"/>
        <w:rPr>
          <w:rFonts w:ascii="Times New Roman" w:hAnsi="Times New Roman" w:cs="Times New Roman"/>
        </w:rPr>
      </w:pPr>
      <w:r w:rsidRPr="005507E4">
        <w:rPr>
          <w:rStyle w:val="FootnoteReference"/>
          <w:rFonts w:ascii="Times New Roman" w:hAnsi="Times New Roman" w:cs="Times New Roman"/>
        </w:rPr>
        <w:footnoteRef/>
      </w:r>
      <w:r w:rsidRPr="005507E4">
        <w:rPr>
          <w:rFonts w:ascii="Times New Roman" w:hAnsi="Times New Roman" w:cs="Times New Roman"/>
        </w:rPr>
        <w:t xml:space="preserve"> Ekonomikas ministrijas informatīvais ziņojums “Par darba tirgus vidēja un ilgtermiņa prognozēm”, pieejams: </w:t>
      </w:r>
      <w:hyperlink r:id="rId3" w:history="1">
        <w:r w:rsidRPr="005507E4">
          <w:rPr>
            <w:rStyle w:val="Hyperlink"/>
            <w:rFonts w:ascii="Times New Roman" w:hAnsi="Times New Roman" w:cs="Times New Roman"/>
          </w:rPr>
          <w:t>https://www.em.gov.lv/files/tautsaimniecibas_attistiba/dsp/EMzino_03062020-ar-pielikumiem.pdf</w:t>
        </w:r>
      </w:hyperlink>
    </w:p>
  </w:footnote>
  <w:footnote w:id="6">
    <w:p w14:paraId="0CF85935" w14:textId="5B25EFA5" w:rsidR="00AA4E73" w:rsidRPr="009456C3" w:rsidRDefault="00AA4E73">
      <w:pPr>
        <w:pStyle w:val="FootnoteText"/>
        <w:rPr>
          <w:rFonts w:ascii="Times New Roman" w:hAnsi="Times New Roman" w:cs="Times New Roman"/>
        </w:rPr>
      </w:pPr>
      <w:r w:rsidRPr="009456C3">
        <w:rPr>
          <w:rStyle w:val="FootnoteReference"/>
          <w:rFonts w:ascii="Times New Roman" w:hAnsi="Times New Roman" w:cs="Times New Roman"/>
        </w:rPr>
        <w:footnoteRef/>
      </w:r>
      <w:r w:rsidRPr="009456C3">
        <w:rPr>
          <w:rFonts w:ascii="Times New Roman" w:hAnsi="Times New Roman" w:cs="Times New Roman"/>
        </w:rPr>
        <w:t xml:space="preserve"> Izglītības attīstības pamatnostādnes 2021.-2027.gadam “Nākotnes prasmes nākotnes sabiedrībai” </w:t>
      </w:r>
      <w:r>
        <w:rPr>
          <w:rFonts w:ascii="Times New Roman" w:hAnsi="Times New Roman" w:cs="Times New Roman"/>
        </w:rPr>
        <w:t>(</w:t>
      </w:r>
      <w:r w:rsidRPr="009456C3">
        <w:rPr>
          <w:rFonts w:ascii="Times New Roman" w:hAnsi="Times New Roman" w:cs="Times New Roman"/>
        </w:rPr>
        <w:t>projekts</w:t>
      </w:r>
      <w:r>
        <w:rPr>
          <w:rFonts w:ascii="Times New Roman" w:hAnsi="Times New Roman" w:cs="Times New Roman"/>
        </w:rPr>
        <w:t>)</w:t>
      </w:r>
      <w:r w:rsidRPr="009456C3">
        <w:rPr>
          <w:rFonts w:ascii="Times New Roman" w:hAnsi="Times New Roman" w:cs="Times New Roman"/>
        </w:rPr>
        <w:t xml:space="preserve">, pieejams: </w:t>
      </w:r>
      <w:hyperlink r:id="rId4" w:history="1">
        <w:r w:rsidRPr="009456C3">
          <w:rPr>
            <w:rStyle w:val="Hyperlink"/>
            <w:rFonts w:ascii="Times New Roman" w:hAnsi="Times New Roman" w:cs="Times New Roman"/>
          </w:rPr>
          <w:t>https://www.izm.gov.lv/images/IAP2027_projekta_versija_apspriesana_16072020.pdf</w:t>
        </w:r>
      </w:hyperlink>
    </w:p>
  </w:footnote>
  <w:footnote w:id="7">
    <w:p w14:paraId="7CDE5777" w14:textId="56133322" w:rsidR="00AA4E73" w:rsidRPr="006D38F8" w:rsidRDefault="00AA4E73" w:rsidP="006D38F8">
      <w:pPr>
        <w:pStyle w:val="FootnoteText"/>
        <w:rPr>
          <w:rFonts w:ascii="Times New Roman" w:hAnsi="Times New Roman" w:cs="Times New Roman"/>
        </w:rPr>
      </w:pPr>
      <w:r w:rsidRPr="006D38F8">
        <w:rPr>
          <w:rStyle w:val="FootnoteReference"/>
          <w:rFonts w:ascii="Times New Roman" w:hAnsi="Times New Roman" w:cs="Times New Roman"/>
        </w:rPr>
        <w:footnoteRef/>
      </w:r>
      <w:r w:rsidRPr="006D38F8">
        <w:rPr>
          <w:rFonts w:ascii="Times New Roman" w:hAnsi="Times New Roman" w:cs="Times New Roman"/>
        </w:rPr>
        <w:t xml:space="preserve"> Latvijas Nacionāl</w:t>
      </w:r>
      <w:r>
        <w:rPr>
          <w:rFonts w:ascii="Times New Roman" w:hAnsi="Times New Roman" w:cs="Times New Roman"/>
        </w:rPr>
        <w:t>ais</w:t>
      </w:r>
      <w:r w:rsidRPr="006D38F8">
        <w:rPr>
          <w:rFonts w:ascii="Times New Roman" w:hAnsi="Times New Roman" w:cs="Times New Roman"/>
        </w:rPr>
        <w:t xml:space="preserve"> attīstības plān</w:t>
      </w:r>
      <w:r>
        <w:rPr>
          <w:rFonts w:ascii="Times New Roman" w:hAnsi="Times New Roman" w:cs="Times New Roman"/>
        </w:rPr>
        <w:t>s</w:t>
      </w:r>
      <w:r w:rsidRPr="006D38F8">
        <w:rPr>
          <w:rFonts w:ascii="Times New Roman" w:hAnsi="Times New Roman" w:cs="Times New Roman"/>
        </w:rPr>
        <w:t xml:space="preserve"> 2021.–2027. gadam, pieejams: </w:t>
      </w:r>
      <w:hyperlink r:id="rId5" w:history="1">
        <w:r>
          <w:rPr>
            <w:rStyle w:val="Hyperlink"/>
            <w:rFonts w:ascii="Times New Roman" w:hAnsi="Times New Roman" w:cs="Times New Roman"/>
          </w:rPr>
          <w:t>https://www.pkc.gov.lv/</w:t>
        </w:r>
      </w:hyperlink>
    </w:p>
    <w:p w14:paraId="2F92B87F" w14:textId="77777777" w:rsidR="00AA4E73" w:rsidRDefault="00AA4E73">
      <w:pPr>
        <w:pStyle w:val="FootnoteText"/>
      </w:pPr>
    </w:p>
    <w:p w14:paraId="68F83B12" w14:textId="77777777" w:rsidR="00AA4E73" w:rsidRDefault="00AA4E73">
      <w:pPr>
        <w:pStyle w:val="FootnoteText"/>
      </w:pPr>
    </w:p>
  </w:footnote>
  <w:footnote w:id="8">
    <w:p w14:paraId="3AECC54B" w14:textId="77777777" w:rsidR="00AA4E73" w:rsidRPr="00B76262" w:rsidRDefault="00AA4E73" w:rsidP="007C5135">
      <w:pPr>
        <w:pStyle w:val="FootnoteText"/>
        <w:jc w:val="both"/>
        <w:rPr>
          <w:rFonts w:ascii="Times New Roman" w:hAnsi="Times New Roman" w:cs="Times New Roman"/>
        </w:rPr>
      </w:pPr>
      <w:r w:rsidRPr="00B76262">
        <w:rPr>
          <w:rStyle w:val="FootnoteReference"/>
          <w:rFonts w:ascii="Times New Roman" w:hAnsi="Times New Roman" w:cs="Times New Roman"/>
        </w:rPr>
        <w:footnoteRef/>
      </w:r>
      <w:r w:rsidRPr="00B76262">
        <w:rPr>
          <w:rFonts w:ascii="Times New Roman" w:hAnsi="Times New Roman" w:cs="Times New Roman"/>
        </w:rPr>
        <w:t xml:space="preserve"> Darbības programmas "Izaugsme un nodarbinātība" 7.2.1.specifiskā atbalsta mērķa "Palielināt nodarbinātībā, izglītībā vai apmācībās neiesaistītu jauniešu nodarbinātību un izglītības ieguvi Jauniešu garantijas ietvaros" pasākums "Sākotnējās profesionālās izglītības programmu īstenošana Jauniešu garantijas ietvaros"</w:t>
      </w:r>
    </w:p>
  </w:footnote>
  <w:footnote w:id="9">
    <w:p w14:paraId="28598F36" w14:textId="77777777" w:rsidR="00AA4E73" w:rsidRPr="009D1ED1" w:rsidRDefault="00AA4E73" w:rsidP="008B73B2">
      <w:pPr>
        <w:pStyle w:val="FootnoteText"/>
        <w:jc w:val="both"/>
        <w:rPr>
          <w:rFonts w:ascii="Times New Roman" w:hAnsi="Times New Roman" w:cs="Times New Roman"/>
        </w:rPr>
      </w:pPr>
      <w:r w:rsidRPr="009D1ED1">
        <w:rPr>
          <w:rFonts w:ascii="Times New Roman" w:hAnsi="Times New Roman" w:cs="Times New Roman"/>
          <w:vertAlign w:val="superscript"/>
        </w:rPr>
        <w:footnoteRef/>
      </w:r>
      <w:r w:rsidRPr="009D1ED1">
        <w:rPr>
          <w:rFonts w:ascii="Times New Roman" w:hAnsi="Times New Roman" w:cs="Times New Roman"/>
          <w:vertAlign w:val="superscript"/>
        </w:rPr>
        <w:t xml:space="preserve"> </w:t>
      </w:r>
      <w:r w:rsidRPr="009D1ED1">
        <w:rPr>
          <w:rFonts w:ascii="Times New Roman" w:hAnsi="Times New Roman" w:cs="Times New Roman"/>
        </w:rPr>
        <w:t>Valsts izglītības attīstības aģentūra. Projekts “Sākotnējās profesionālās izglītības programmu īstenošana Jauniešu garantijas ietvaros</w:t>
      </w:r>
      <w:r>
        <w:rPr>
          <w:rFonts w:ascii="Times New Roman" w:hAnsi="Times New Roman" w:cs="Times New Roman"/>
        </w:rPr>
        <w:t xml:space="preserve">”: </w:t>
      </w:r>
      <w:hyperlink r:id="rId6" w:history="1">
        <w:r w:rsidRPr="009D1ED1">
          <w:rPr>
            <w:rStyle w:val="Hyperlink"/>
            <w:rFonts w:ascii="Times New Roman" w:hAnsi="Times New Roman" w:cs="Times New Roman"/>
          </w:rPr>
          <w:t>http://viaa.gov.lv/lat/es_fondu_projekti/jauniesugarantija/par_jauniesu_garantiju/</w:t>
        </w:r>
      </w:hyperlink>
    </w:p>
  </w:footnote>
  <w:footnote w:id="10">
    <w:p w14:paraId="0ED7D09B" w14:textId="09D5B458" w:rsidR="00AA4E73" w:rsidRPr="0016644B" w:rsidRDefault="00AA4E73" w:rsidP="008B73B2">
      <w:pPr>
        <w:pStyle w:val="FootnoteText"/>
        <w:jc w:val="both"/>
        <w:rPr>
          <w:rFonts w:ascii="Times New Roman" w:hAnsi="Times New Roman" w:cs="Times New Roman"/>
        </w:rPr>
      </w:pPr>
      <w:r w:rsidRPr="0016644B">
        <w:rPr>
          <w:rStyle w:val="FootnoteReference"/>
          <w:rFonts w:ascii="Times New Roman" w:hAnsi="Times New Roman" w:cs="Times New Roman"/>
        </w:rPr>
        <w:footnoteRef/>
      </w:r>
      <w:r w:rsidRPr="0016644B">
        <w:rPr>
          <w:rFonts w:ascii="Times New Roman" w:hAnsi="Times New Roman" w:cs="Times New Roman"/>
        </w:rPr>
        <w:t xml:space="preserve"> </w:t>
      </w:r>
      <w:r>
        <w:rPr>
          <w:rFonts w:ascii="Times New Roman" w:hAnsi="Times New Roman" w:cs="Times New Roman"/>
        </w:rPr>
        <w:t>Profesionālās izglītības iestāžu pārskatu (PROF 2) dati uz 01.10.2019</w:t>
      </w:r>
      <w:r w:rsidRPr="003037F2">
        <w:rPr>
          <w:rFonts w:ascii="Times New Roman" w:hAnsi="Times New Roman" w:cs="Times New Roman"/>
        </w:rPr>
        <w:t>.</w:t>
      </w:r>
    </w:p>
  </w:footnote>
  <w:footnote w:id="11">
    <w:p w14:paraId="79A177B0" w14:textId="77777777" w:rsidR="00AA4E73" w:rsidRPr="007D1FD2" w:rsidRDefault="00AA4E73" w:rsidP="00552C27">
      <w:pPr>
        <w:pStyle w:val="FootnoteText"/>
        <w:rPr>
          <w:rFonts w:ascii="Times New Roman" w:hAnsi="Times New Roman" w:cs="Times New Roman"/>
        </w:rPr>
      </w:pPr>
      <w:r w:rsidRPr="007D1FD2">
        <w:rPr>
          <w:rStyle w:val="FootnoteReference"/>
          <w:rFonts w:ascii="Times New Roman" w:hAnsi="Times New Roman" w:cs="Times New Roman"/>
        </w:rPr>
        <w:footnoteRef/>
      </w:r>
      <w:r w:rsidRPr="007D1FD2">
        <w:rPr>
          <w:rFonts w:ascii="Times New Roman" w:hAnsi="Times New Roman" w:cs="Times New Roman"/>
        </w:rPr>
        <w:t xml:space="preserve"> Valsts kontroles revīzijas ziņojums “Profesionālā vidējā izglītība – vai kļuvusi pievilcīgāka un sagatavo valstī pieprasītus speciālistus?”. Pieejams: </w:t>
      </w:r>
      <w:hyperlink r:id="rId7" w:history="1">
        <w:r w:rsidRPr="007D1FD2">
          <w:rPr>
            <w:rStyle w:val="Hyperlink"/>
            <w:rFonts w:ascii="Times New Roman" w:hAnsi="Times New Roman" w:cs="Times New Roman"/>
          </w:rPr>
          <w:t>https://www.lrvk.gov.lv/lv/revizijas/</w:t>
        </w:r>
      </w:hyperlink>
    </w:p>
  </w:footnote>
  <w:footnote w:id="12">
    <w:p w14:paraId="42798543" w14:textId="77777777" w:rsidR="00AA4E73" w:rsidRPr="00700C5B" w:rsidRDefault="00AA4E73" w:rsidP="00552C27">
      <w:pPr>
        <w:pStyle w:val="FootnoteText"/>
        <w:rPr>
          <w:rFonts w:ascii="Times New Roman" w:hAnsi="Times New Roman" w:cs="Times New Roman"/>
        </w:rPr>
      </w:pPr>
      <w:r w:rsidRPr="00700C5B">
        <w:rPr>
          <w:rStyle w:val="FootnoteReference"/>
          <w:rFonts w:ascii="Times New Roman" w:hAnsi="Times New Roman" w:cs="Times New Roman"/>
        </w:rPr>
        <w:footnoteRef/>
      </w:r>
      <w:r w:rsidRPr="00700C5B">
        <w:rPr>
          <w:rFonts w:ascii="Times New Roman" w:hAnsi="Times New Roman" w:cs="Times New Roman"/>
        </w:rPr>
        <w:t xml:space="preserve"> Turpat.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082052"/>
      <w:docPartObj>
        <w:docPartGallery w:val="Page Numbers (Top of Page)"/>
        <w:docPartUnique/>
      </w:docPartObj>
    </w:sdtPr>
    <w:sdtEndPr>
      <w:rPr>
        <w:rFonts w:ascii="Times New Roman" w:hAnsi="Times New Roman" w:cs="Times New Roman"/>
        <w:noProof/>
      </w:rPr>
    </w:sdtEndPr>
    <w:sdtContent>
      <w:p w14:paraId="02090B14" w14:textId="77777777" w:rsidR="00AA4E73" w:rsidRPr="00584A27" w:rsidRDefault="00AA4E73">
        <w:pPr>
          <w:pStyle w:val="Header"/>
          <w:jc w:val="center"/>
          <w:rPr>
            <w:rFonts w:ascii="Times New Roman" w:hAnsi="Times New Roman" w:cs="Times New Roman"/>
          </w:rPr>
        </w:pPr>
        <w:r w:rsidRPr="00584A27">
          <w:rPr>
            <w:rFonts w:ascii="Times New Roman" w:hAnsi="Times New Roman" w:cs="Times New Roman"/>
          </w:rPr>
          <w:fldChar w:fldCharType="begin"/>
        </w:r>
        <w:r w:rsidRPr="00584A27">
          <w:rPr>
            <w:rFonts w:ascii="Times New Roman" w:hAnsi="Times New Roman" w:cs="Times New Roman"/>
          </w:rPr>
          <w:instrText xml:space="preserve"> PAGE   \* MERGEFORMAT </w:instrText>
        </w:r>
        <w:r w:rsidRPr="00584A27">
          <w:rPr>
            <w:rFonts w:ascii="Times New Roman" w:hAnsi="Times New Roman" w:cs="Times New Roman"/>
          </w:rPr>
          <w:fldChar w:fldCharType="separate"/>
        </w:r>
        <w:r w:rsidR="00C11374">
          <w:rPr>
            <w:rFonts w:ascii="Times New Roman" w:hAnsi="Times New Roman" w:cs="Times New Roman"/>
            <w:noProof/>
          </w:rPr>
          <w:t>21</w:t>
        </w:r>
        <w:r w:rsidRPr="00584A27">
          <w:rPr>
            <w:rFonts w:ascii="Times New Roman" w:hAnsi="Times New Roman" w:cs="Times New Roman"/>
            <w:noProof/>
          </w:rPr>
          <w:fldChar w:fldCharType="end"/>
        </w:r>
      </w:p>
    </w:sdtContent>
  </w:sdt>
  <w:p w14:paraId="2FFAC1A1" w14:textId="77777777" w:rsidR="00AA4E73" w:rsidRDefault="00AA4E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6337A" w14:textId="07602066" w:rsidR="00AA4E73" w:rsidRPr="00741D0A" w:rsidRDefault="00AA4E73" w:rsidP="00741D0A">
    <w:pPr>
      <w:pStyle w:val="Header"/>
      <w:jc w:val="right"/>
      <w:rPr>
        <w:rFonts w:ascii="Times New Roman" w:hAnsi="Times New Roman" w:cs="Times New Roman"/>
        <w:i/>
        <w:sz w:val="24"/>
      </w:rPr>
    </w:pPr>
    <w:r>
      <w:rPr>
        <w:rFonts w:ascii="Times New Roman" w:hAnsi="Times New Roman" w:cs="Times New Roman"/>
        <w:i/>
        <w:sz w:val="24"/>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25pt;height:39.75pt" o:bullet="t">
        <v:imagedata r:id="rId1" o:title="Krit_dalizp"/>
      </v:shape>
    </w:pict>
  </w:numPicBullet>
  <w:abstractNum w:abstractNumId="0" w15:restartNumberingAfterBreak="0">
    <w:nsid w:val="097739BB"/>
    <w:multiLevelType w:val="hybridMultilevel"/>
    <w:tmpl w:val="DAB6103C"/>
    <w:lvl w:ilvl="0" w:tplc="0426000D">
      <w:start w:val="1"/>
      <w:numFmt w:val="bullet"/>
      <w:lvlText w:val=""/>
      <w:lvlJc w:val="left"/>
      <w:pPr>
        <w:ind w:left="720" w:hanging="360"/>
      </w:pPr>
      <w:rPr>
        <w:rFonts w:ascii="Wingdings" w:hAnsi="Wingdings"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423D92"/>
    <w:multiLevelType w:val="hybridMultilevel"/>
    <w:tmpl w:val="8962F7B2"/>
    <w:lvl w:ilvl="0" w:tplc="0426000F">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3A17E0"/>
    <w:multiLevelType w:val="hybridMultilevel"/>
    <w:tmpl w:val="0C6CE0CE"/>
    <w:lvl w:ilvl="0" w:tplc="74F68D4A">
      <w:start w:val="1"/>
      <w:numFmt w:val="bullet"/>
      <w:lvlText w:val=""/>
      <w:lvlPicBulletId w:val="0"/>
      <w:lvlJc w:val="left"/>
      <w:pPr>
        <w:ind w:left="360" w:hanging="360"/>
      </w:pPr>
      <w:rPr>
        <w:rFonts w:ascii="Symbol" w:hAnsi="Symbol"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D7302FE"/>
    <w:multiLevelType w:val="hybridMultilevel"/>
    <w:tmpl w:val="F3C8C1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D7284D"/>
    <w:multiLevelType w:val="hybridMultilevel"/>
    <w:tmpl w:val="782EE77C"/>
    <w:lvl w:ilvl="0" w:tplc="287C68A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1672273"/>
    <w:multiLevelType w:val="hybridMultilevel"/>
    <w:tmpl w:val="BD6EB8E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0E7A2D"/>
    <w:multiLevelType w:val="hybridMultilevel"/>
    <w:tmpl w:val="9AAE97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A838DB"/>
    <w:multiLevelType w:val="hybridMultilevel"/>
    <w:tmpl w:val="BECC534C"/>
    <w:lvl w:ilvl="0" w:tplc="0426000D">
      <w:start w:val="1"/>
      <w:numFmt w:val="bullet"/>
      <w:lvlText w:val=""/>
      <w:lvlJc w:val="left"/>
      <w:pPr>
        <w:ind w:left="720" w:hanging="360"/>
      </w:pPr>
      <w:rPr>
        <w:rFonts w:ascii="Wingdings" w:hAnsi="Wingdings" w:hint="default"/>
        <w:b w:val="0"/>
        <w:i w:val="0"/>
        <w:color w:val="548DD4"/>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DC63E9D"/>
    <w:multiLevelType w:val="hybridMultilevel"/>
    <w:tmpl w:val="3A7C0EEA"/>
    <w:lvl w:ilvl="0" w:tplc="DA9E931C">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1FF2CAF"/>
    <w:multiLevelType w:val="multilevel"/>
    <w:tmpl w:val="163ED1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2157D2A"/>
    <w:multiLevelType w:val="hybridMultilevel"/>
    <w:tmpl w:val="239430BE"/>
    <w:lvl w:ilvl="0" w:tplc="CBEE1018">
      <w:start w:val="1"/>
      <w:numFmt w:val="bullet"/>
      <w:lvlText w:val=""/>
      <w:lvlJc w:val="left"/>
      <w:pPr>
        <w:ind w:left="720" w:hanging="360"/>
      </w:pPr>
      <w:rPr>
        <w:rFonts w:ascii="Wingdings" w:hAnsi="Wingdings" w:hint="default"/>
        <w:color w:val="548DD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7613ABE"/>
    <w:multiLevelType w:val="hybridMultilevel"/>
    <w:tmpl w:val="D856FB5C"/>
    <w:lvl w:ilvl="0" w:tplc="C4A68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0D97D03"/>
    <w:multiLevelType w:val="hybridMultilevel"/>
    <w:tmpl w:val="8318A662"/>
    <w:lvl w:ilvl="0" w:tplc="675E0E2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8"/>
  </w:num>
  <w:num w:numId="5">
    <w:abstractNumId w:val="11"/>
  </w:num>
  <w:num w:numId="6">
    <w:abstractNumId w:val="3"/>
  </w:num>
  <w:num w:numId="7">
    <w:abstractNumId w:val="5"/>
  </w:num>
  <w:num w:numId="8">
    <w:abstractNumId w:val="4"/>
  </w:num>
  <w:num w:numId="9">
    <w:abstractNumId w:val="6"/>
  </w:num>
  <w:num w:numId="10">
    <w:abstractNumId w:val="2"/>
  </w:num>
  <w:num w:numId="11">
    <w:abstractNumId w:val="0"/>
  </w:num>
  <w:num w:numId="12">
    <w:abstractNumId w:val="7"/>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C7"/>
    <w:rsid w:val="000001D6"/>
    <w:rsid w:val="0000082B"/>
    <w:rsid w:val="00005619"/>
    <w:rsid w:val="00007EC2"/>
    <w:rsid w:val="00011526"/>
    <w:rsid w:val="0001204D"/>
    <w:rsid w:val="00012519"/>
    <w:rsid w:val="000125A5"/>
    <w:rsid w:val="00013298"/>
    <w:rsid w:val="00013A08"/>
    <w:rsid w:val="00013E00"/>
    <w:rsid w:val="000156B3"/>
    <w:rsid w:val="00025354"/>
    <w:rsid w:val="00031EB2"/>
    <w:rsid w:val="00034B09"/>
    <w:rsid w:val="00035332"/>
    <w:rsid w:val="00036867"/>
    <w:rsid w:val="0003739C"/>
    <w:rsid w:val="00040C27"/>
    <w:rsid w:val="00041378"/>
    <w:rsid w:val="00042922"/>
    <w:rsid w:val="00044F1C"/>
    <w:rsid w:val="00047956"/>
    <w:rsid w:val="00047B36"/>
    <w:rsid w:val="000505D5"/>
    <w:rsid w:val="00051A50"/>
    <w:rsid w:val="00051D51"/>
    <w:rsid w:val="00053248"/>
    <w:rsid w:val="00055A4F"/>
    <w:rsid w:val="00055B58"/>
    <w:rsid w:val="000570E9"/>
    <w:rsid w:val="0006042D"/>
    <w:rsid w:val="00060D6D"/>
    <w:rsid w:val="0006132F"/>
    <w:rsid w:val="00062AA7"/>
    <w:rsid w:val="0006405F"/>
    <w:rsid w:val="0006730E"/>
    <w:rsid w:val="000679A8"/>
    <w:rsid w:val="00071250"/>
    <w:rsid w:val="00072141"/>
    <w:rsid w:val="0007248B"/>
    <w:rsid w:val="000754AA"/>
    <w:rsid w:val="000770FC"/>
    <w:rsid w:val="0008170B"/>
    <w:rsid w:val="00084E9A"/>
    <w:rsid w:val="0009333A"/>
    <w:rsid w:val="00097355"/>
    <w:rsid w:val="000A085B"/>
    <w:rsid w:val="000A1343"/>
    <w:rsid w:val="000A3C8D"/>
    <w:rsid w:val="000B14B6"/>
    <w:rsid w:val="000B246D"/>
    <w:rsid w:val="000B262B"/>
    <w:rsid w:val="000B31F2"/>
    <w:rsid w:val="000C0133"/>
    <w:rsid w:val="000C36C1"/>
    <w:rsid w:val="000C501D"/>
    <w:rsid w:val="000C5184"/>
    <w:rsid w:val="000C5E61"/>
    <w:rsid w:val="000C6B43"/>
    <w:rsid w:val="000C723A"/>
    <w:rsid w:val="000C7A4C"/>
    <w:rsid w:val="000D09BE"/>
    <w:rsid w:val="000D23E4"/>
    <w:rsid w:val="000D241C"/>
    <w:rsid w:val="000D372C"/>
    <w:rsid w:val="000D3CB2"/>
    <w:rsid w:val="000D4022"/>
    <w:rsid w:val="000D4320"/>
    <w:rsid w:val="000D44E0"/>
    <w:rsid w:val="000F09AA"/>
    <w:rsid w:val="000F4BC1"/>
    <w:rsid w:val="000F7572"/>
    <w:rsid w:val="00101664"/>
    <w:rsid w:val="0010273C"/>
    <w:rsid w:val="001068AE"/>
    <w:rsid w:val="001100BD"/>
    <w:rsid w:val="00110435"/>
    <w:rsid w:val="00111B4C"/>
    <w:rsid w:val="00111C7E"/>
    <w:rsid w:val="00111CC9"/>
    <w:rsid w:val="00112045"/>
    <w:rsid w:val="00115886"/>
    <w:rsid w:val="00123524"/>
    <w:rsid w:val="00123854"/>
    <w:rsid w:val="00123C97"/>
    <w:rsid w:val="00127D6D"/>
    <w:rsid w:val="0013061C"/>
    <w:rsid w:val="00131329"/>
    <w:rsid w:val="001322A4"/>
    <w:rsid w:val="00134343"/>
    <w:rsid w:val="001368C2"/>
    <w:rsid w:val="00142E1F"/>
    <w:rsid w:val="00143C45"/>
    <w:rsid w:val="00144FDB"/>
    <w:rsid w:val="001461C5"/>
    <w:rsid w:val="00146B68"/>
    <w:rsid w:val="00146EA2"/>
    <w:rsid w:val="00151B92"/>
    <w:rsid w:val="00151E81"/>
    <w:rsid w:val="001553A8"/>
    <w:rsid w:val="00163BC7"/>
    <w:rsid w:val="00164581"/>
    <w:rsid w:val="00166284"/>
    <w:rsid w:val="0016644B"/>
    <w:rsid w:val="001707DC"/>
    <w:rsid w:val="001775E7"/>
    <w:rsid w:val="00180474"/>
    <w:rsid w:val="00187113"/>
    <w:rsid w:val="001871C6"/>
    <w:rsid w:val="0019710D"/>
    <w:rsid w:val="001A0E60"/>
    <w:rsid w:val="001A4F8F"/>
    <w:rsid w:val="001A5141"/>
    <w:rsid w:val="001A540C"/>
    <w:rsid w:val="001A6B38"/>
    <w:rsid w:val="001A77B3"/>
    <w:rsid w:val="001B13E1"/>
    <w:rsid w:val="001B44D4"/>
    <w:rsid w:val="001B5264"/>
    <w:rsid w:val="001B5DBF"/>
    <w:rsid w:val="001B7B74"/>
    <w:rsid w:val="001C0515"/>
    <w:rsid w:val="001C39CC"/>
    <w:rsid w:val="001C3CB6"/>
    <w:rsid w:val="001C3CC2"/>
    <w:rsid w:val="001C4454"/>
    <w:rsid w:val="001C5BFD"/>
    <w:rsid w:val="001D35EE"/>
    <w:rsid w:val="001D40C5"/>
    <w:rsid w:val="001D48C8"/>
    <w:rsid w:val="001D5557"/>
    <w:rsid w:val="001D75D7"/>
    <w:rsid w:val="001D7BB6"/>
    <w:rsid w:val="001E1D0A"/>
    <w:rsid w:val="001E1D8E"/>
    <w:rsid w:val="001E30FC"/>
    <w:rsid w:val="001F1B65"/>
    <w:rsid w:val="001F31B1"/>
    <w:rsid w:val="001F3273"/>
    <w:rsid w:val="001F579E"/>
    <w:rsid w:val="001F5E68"/>
    <w:rsid w:val="001F6961"/>
    <w:rsid w:val="00201FFC"/>
    <w:rsid w:val="00203149"/>
    <w:rsid w:val="0020495A"/>
    <w:rsid w:val="002064DE"/>
    <w:rsid w:val="0021035C"/>
    <w:rsid w:val="0021285C"/>
    <w:rsid w:val="00213E46"/>
    <w:rsid w:val="00215D78"/>
    <w:rsid w:val="00220565"/>
    <w:rsid w:val="002241F9"/>
    <w:rsid w:val="00232C9B"/>
    <w:rsid w:val="00232D56"/>
    <w:rsid w:val="00233A70"/>
    <w:rsid w:val="0023423F"/>
    <w:rsid w:val="00234C43"/>
    <w:rsid w:val="00236D64"/>
    <w:rsid w:val="002374A5"/>
    <w:rsid w:val="00240F35"/>
    <w:rsid w:val="0024127D"/>
    <w:rsid w:val="00242DAB"/>
    <w:rsid w:val="00246614"/>
    <w:rsid w:val="002517E8"/>
    <w:rsid w:val="002534BA"/>
    <w:rsid w:val="00253676"/>
    <w:rsid w:val="002547FE"/>
    <w:rsid w:val="00255A7F"/>
    <w:rsid w:val="00256ED3"/>
    <w:rsid w:val="00257F05"/>
    <w:rsid w:val="0026103E"/>
    <w:rsid w:val="00263148"/>
    <w:rsid w:val="00265897"/>
    <w:rsid w:val="002745CD"/>
    <w:rsid w:val="00274AD4"/>
    <w:rsid w:val="002758BA"/>
    <w:rsid w:val="00275FF2"/>
    <w:rsid w:val="00277910"/>
    <w:rsid w:val="00277F50"/>
    <w:rsid w:val="00282BDE"/>
    <w:rsid w:val="002831E9"/>
    <w:rsid w:val="002848D9"/>
    <w:rsid w:val="00285116"/>
    <w:rsid w:val="00286826"/>
    <w:rsid w:val="00291D44"/>
    <w:rsid w:val="002938C7"/>
    <w:rsid w:val="0029653F"/>
    <w:rsid w:val="00297C04"/>
    <w:rsid w:val="002A09B3"/>
    <w:rsid w:val="002A12F6"/>
    <w:rsid w:val="002A46A0"/>
    <w:rsid w:val="002A54C3"/>
    <w:rsid w:val="002A60AF"/>
    <w:rsid w:val="002A7EC5"/>
    <w:rsid w:val="002B108C"/>
    <w:rsid w:val="002B1553"/>
    <w:rsid w:val="002B3176"/>
    <w:rsid w:val="002B713E"/>
    <w:rsid w:val="002B753D"/>
    <w:rsid w:val="002B7D3B"/>
    <w:rsid w:val="002C15B8"/>
    <w:rsid w:val="002C34EB"/>
    <w:rsid w:val="002C472A"/>
    <w:rsid w:val="002C5B01"/>
    <w:rsid w:val="002C7BBC"/>
    <w:rsid w:val="002D3103"/>
    <w:rsid w:val="002D56C1"/>
    <w:rsid w:val="002E07BC"/>
    <w:rsid w:val="002E19DC"/>
    <w:rsid w:val="002E3B38"/>
    <w:rsid w:val="002E41E8"/>
    <w:rsid w:val="002E6233"/>
    <w:rsid w:val="002E632E"/>
    <w:rsid w:val="002F28B6"/>
    <w:rsid w:val="002F3FA1"/>
    <w:rsid w:val="002F4939"/>
    <w:rsid w:val="002F548C"/>
    <w:rsid w:val="002F5586"/>
    <w:rsid w:val="002F7905"/>
    <w:rsid w:val="00300B09"/>
    <w:rsid w:val="00301167"/>
    <w:rsid w:val="00301406"/>
    <w:rsid w:val="00302848"/>
    <w:rsid w:val="003037F2"/>
    <w:rsid w:val="00303C50"/>
    <w:rsid w:val="00304D6C"/>
    <w:rsid w:val="00306647"/>
    <w:rsid w:val="003072A8"/>
    <w:rsid w:val="00310309"/>
    <w:rsid w:val="00310679"/>
    <w:rsid w:val="00311898"/>
    <w:rsid w:val="00312369"/>
    <w:rsid w:val="0031314B"/>
    <w:rsid w:val="00313B2A"/>
    <w:rsid w:val="00315160"/>
    <w:rsid w:val="00317ED4"/>
    <w:rsid w:val="0032035E"/>
    <w:rsid w:val="003232FA"/>
    <w:rsid w:val="0032573A"/>
    <w:rsid w:val="00326369"/>
    <w:rsid w:val="00326E2A"/>
    <w:rsid w:val="003319A7"/>
    <w:rsid w:val="00331E79"/>
    <w:rsid w:val="00331F79"/>
    <w:rsid w:val="0033608B"/>
    <w:rsid w:val="003367F4"/>
    <w:rsid w:val="00340935"/>
    <w:rsid w:val="00341A21"/>
    <w:rsid w:val="00341CF6"/>
    <w:rsid w:val="00346B04"/>
    <w:rsid w:val="0035232D"/>
    <w:rsid w:val="00352592"/>
    <w:rsid w:val="00352B1B"/>
    <w:rsid w:val="003531E8"/>
    <w:rsid w:val="00353B8B"/>
    <w:rsid w:val="00354D28"/>
    <w:rsid w:val="003552CF"/>
    <w:rsid w:val="003575D6"/>
    <w:rsid w:val="00360986"/>
    <w:rsid w:val="0036131B"/>
    <w:rsid w:val="0036132B"/>
    <w:rsid w:val="00361B85"/>
    <w:rsid w:val="00364A54"/>
    <w:rsid w:val="00365E6A"/>
    <w:rsid w:val="00370813"/>
    <w:rsid w:val="0037265C"/>
    <w:rsid w:val="003751E3"/>
    <w:rsid w:val="003753E3"/>
    <w:rsid w:val="00375618"/>
    <w:rsid w:val="00375808"/>
    <w:rsid w:val="00375F56"/>
    <w:rsid w:val="003775C2"/>
    <w:rsid w:val="00377E4C"/>
    <w:rsid w:val="00382DA0"/>
    <w:rsid w:val="003844D1"/>
    <w:rsid w:val="0038759F"/>
    <w:rsid w:val="00390A5D"/>
    <w:rsid w:val="00394E15"/>
    <w:rsid w:val="00395220"/>
    <w:rsid w:val="00395CFD"/>
    <w:rsid w:val="00397F8D"/>
    <w:rsid w:val="003A1518"/>
    <w:rsid w:val="003A7510"/>
    <w:rsid w:val="003A79C3"/>
    <w:rsid w:val="003A7F14"/>
    <w:rsid w:val="003B1F32"/>
    <w:rsid w:val="003B1FF2"/>
    <w:rsid w:val="003B2C5D"/>
    <w:rsid w:val="003B5088"/>
    <w:rsid w:val="003B5F62"/>
    <w:rsid w:val="003B67E9"/>
    <w:rsid w:val="003B7A72"/>
    <w:rsid w:val="003C0791"/>
    <w:rsid w:val="003C2FE7"/>
    <w:rsid w:val="003C3EFE"/>
    <w:rsid w:val="003C7246"/>
    <w:rsid w:val="003C7D10"/>
    <w:rsid w:val="003D0FBD"/>
    <w:rsid w:val="003D3787"/>
    <w:rsid w:val="003D3ABD"/>
    <w:rsid w:val="003D5999"/>
    <w:rsid w:val="003E07C4"/>
    <w:rsid w:val="003E094E"/>
    <w:rsid w:val="003E1B01"/>
    <w:rsid w:val="003E5743"/>
    <w:rsid w:val="003E6E65"/>
    <w:rsid w:val="003E71AF"/>
    <w:rsid w:val="003F28DC"/>
    <w:rsid w:val="003F4F11"/>
    <w:rsid w:val="003F5015"/>
    <w:rsid w:val="003F5A7D"/>
    <w:rsid w:val="00400B24"/>
    <w:rsid w:val="00401F29"/>
    <w:rsid w:val="00402C37"/>
    <w:rsid w:val="0040322B"/>
    <w:rsid w:val="0040425F"/>
    <w:rsid w:val="00406454"/>
    <w:rsid w:val="004072A5"/>
    <w:rsid w:val="00407E7F"/>
    <w:rsid w:val="00412463"/>
    <w:rsid w:val="00414B18"/>
    <w:rsid w:val="0041630A"/>
    <w:rsid w:val="00420430"/>
    <w:rsid w:val="00422D2A"/>
    <w:rsid w:val="00422FF3"/>
    <w:rsid w:val="00423292"/>
    <w:rsid w:val="004236AF"/>
    <w:rsid w:val="00424323"/>
    <w:rsid w:val="0042474A"/>
    <w:rsid w:val="00424FAC"/>
    <w:rsid w:val="00426DFA"/>
    <w:rsid w:val="004316CD"/>
    <w:rsid w:val="004330BB"/>
    <w:rsid w:val="00443718"/>
    <w:rsid w:val="004449D7"/>
    <w:rsid w:val="0044789E"/>
    <w:rsid w:val="004479E9"/>
    <w:rsid w:val="00453015"/>
    <w:rsid w:val="00455567"/>
    <w:rsid w:val="00455E00"/>
    <w:rsid w:val="004569CE"/>
    <w:rsid w:val="004614BB"/>
    <w:rsid w:val="004654B2"/>
    <w:rsid w:val="004679DB"/>
    <w:rsid w:val="004708FC"/>
    <w:rsid w:val="00471728"/>
    <w:rsid w:val="004725A5"/>
    <w:rsid w:val="00472B05"/>
    <w:rsid w:val="004735AD"/>
    <w:rsid w:val="00475111"/>
    <w:rsid w:val="00475D26"/>
    <w:rsid w:val="004772E7"/>
    <w:rsid w:val="004811F3"/>
    <w:rsid w:val="00482D3D"/>
    <w:rsid w:val="004830A6"/>
    <w:rsid w:val="00483287"/>
    <w:rsid w:val="004840AF"/>
    <w:rsid w:val="0048689B"/>
    <w:rsid w:val="004926A2"/>
    <w:rsid w:val="0049383B"/>
    <w:rsid w:val="00495FA8"/>
    <w:rsid w:val="004971A1"/>
    <w:rsid w:val="0049770C"/>
    <w:rsid w:val="00497BA0"/>
    <w:rsid w:val="004A0874"/>
    <w:rsid w:val="004A2286"/>
    <w:rsid w:val="004A2B35"/>
    <w:rsid w:val="004A31B5"/>
    <w:rsid w:val="004A3D58"/>
    <w:rsid w:val="004A4A9E"/>
    <w:rsid w:val="004A63F0"/>
    <w:rsid w:val="004B0C16"/>
    <w:rsid w:val="004B0D77"/>
    <w:rsid w:val="004B2527"/>
    <w:rsid w:val="004B4CB3"/>
    <w:rsid w:val="004B629E"/>
    <w:rsid w:val="004C2B6D"/>
    <w:rsid w:val="004C58F8"/>
    <w:rsid w:val="004C6DCF"/>
    <w:rsid w:val="004D0FC8"/>
    <w:rsid w:val="004D3B03"/>
    <w:rsid w:val="004D3B9A"/>
    <w:rsid w:val="004D4723"/>
    <w:rsid w:val="004D6BC7"/>
    <w:rsid w:val="004E0521"/>
    <w:rsid w:val="004E229C"/>
    <w:rsid w:val="004E234F"/>
    <w:rsid w:val="004E2D75"/>
    <w:rsid w:val="004E336A"/>
    <w:rsid w:val="004E4320"/>
    <w:rsid w:val="004E7E0C"/>
    <w:rsid w:val="004F0A6F"/>
    <w:rsid w:val="004F1377"/>
    <w:rsid w:val="004F193D"/>
    <w:rsid w:val="004F3408"/>
    <w:rsid w:val="004F6E62"/>
    <w:rsid w:val="004F786A"/>
    <w:rsid w:val="004F7EFA"/>
    <w:rsid w:val="00500740"/>
    <w:rsid w:val="00500881"/>
    <w:rsid w:val="00501288"/>
    <w:rsid w:val="005052E4"/>
    <w:rsid w:val="005054CB"/>
    <w:rsid w:val="0050571F"/>
    <w:rsid w:val="00506C1C"/>
    <w:rsid w:val="00510168"/>
    <w:rsid w:val="00513BDB"/>
    <w:rsid w:val="00514DF5"/>
    <w:rsid w:val="00517503"/>
    <w:rsid w:val="00520295"/>
    <w:rsid w:val="00523791"/>
    <w:rsid w:val="00524861"/>
    <w:rsid w:val="00525019"/>
    <w:rsid w:val="00526806"/>
    <w:rsid w:val="00531C3D"/>
    <w:rsid w:val="0053225D"/>
    <w:rsid w:val="005342F8"/>
    <w:rsid w:val="00537D66"/>
    <w:rsid w:val="0054114C"/>
    <w:rsid w:val="005423DC"/>
    <w:rsid w:val="005467F8"/>
    <w:rsid w:val="005477BB"/>
    <w:rsid w:val="00550527"/>
    <w:rsid w:val="005507E4"/>
    <w:rsid w:val="00552AF0"/>
    <w:rsid w:val="00552C27"/>
    <w:rsid w:val="0055327F"/>
    <w:rsid w:val="005578EF"/>
    <w:rsid w:val="00562315"/>
    <w:rsid w:val="00562806"/>
    <w:rsid w:val="00562937"/>
    <w:rsid w:val="0056322A"/>
    <w:rsid w:val="00563F65"/>
    <w:rsid w:val="00565F95"/>
    <w:rsid w:val="00567913"/>
    <w:rsid w:val="00572BB5"/>
    <w:rsid w:val="00573845"/>
    <w:rsid w:val="0057399B"/>
    <w:rsid w:val="00573D1A"/>
    <w:rsid w:val="00574AA6"/>
    <w:rsid w:val="00574CBB"/>
    <w:rsid w:val="0057714C"/>
    <w:rsid w:val="00581830"/>
    <w:rsid w:val="00583A07"/>
    <w:rsid w:val="00584A27"/>
    <w:rsid w:val="00586185"/>
    <w:rsid w:val="00591D64"/>
    <w:rsid w:val="00592282"/>
    <w:rsid w:val="00593719"/>
    <w:rsid w:val="0059428D"/>
    <w:rsid w:val="005A033E"/>
    <w:rsid w:val="005A5492"/>
    <w:rsid w:val="005A68C4"/>
    <w:rsid w:val="005B1A03"/>
    <w:rsid w:val="005B2DE8"/>
    <w:rsid w:val="005B30E8"/>
    <w:rsid w:val="005B3717"/>
    <w:rsid w:val="005B3EC0"/>
    <w:rsid w:val="005B4702"/>
    <w:rsid w:val="005B6E28"/>
    <w:rsid w:val="005B70B4"/>
    <w:rsid w:val="005C120D"/>
    <w:rsid w:val="005C1A3E"/>
    <w:rsid w:val="005C58E3"/>
    <w:rsid w:val="005C738B"/>
    <w:rsid w:val="005C7C90"/>
    <w:rsid w:val="005D5826"/>
    <w:rsid w:val="005D6200"/>
    <w:rsid w:val="005D6E61"/>
    <w:rsid w:val="005D7437"/>
    <w:rsid w:val="005E05BD"/>
    <w:rsid w:val="005E17B0"/>
    <w:rsid w:val="005E2C59"/>
    <w:rsid w:val="005E2E95"/>
    <w:rsid w:val="005F0E76"/>
    <w:rsid w:val="005F16AD"/>
    <w:rsid w:val="005F26D8"/>
    <w:rsid w:val="005F3E57"/>
    <w:rsid w:val="005F59D0"/>
    <w:rsid w:val="005F66A8"/>
    <w:rsid w:val="005F7471"/>
    <w:rsid w:val="0060060D"/>
    <w:rsid w:val="0060374F"/>
    <w:rsid w:val="00603D59"/>
    <w:rsid w:val="006105B1"/>
    <w:rsid w:val="00610FDF"/>
    <w:rsid w:val="006117EB"/>
    <w:rsid w:val="006161D9"/>
    <w:rsid w:val="00616694"/>
    <w:rsid w:val="0061740B"/>
    <w:rsid w:val="00620109"/>
    <w:rsid w:val="00623314"/>
    <w:rsid w:val="00623C11"/>
    <w:rsid w:val="0062499E"/>
    <w:rsid w:val="006255B9"/>
    <w:rsid w:val="00625FF5"/>
    <w:rsid w:val="00626793"/>
    <w:rsid w:val="006329CF"/>
    <w:rsid w:val="00632AEF"/>
    <w:rsid w:val="00636361"/>
    <w:rsid w:val="0064111B"/>
    <w:rsid w:val="00641F9C"/>
    <w:rsid w:val="006449C8"/>
    <w:rsid w:val="00646363"/>
    <w:rsid w:val="00646CFB"/>
    <w:rsid w:val="00647AA5"/>
    <w:rsid w:val="0065038F"/>
    <w:rsid w:val="00655615"/>
    <w:rsid w:val="00656327"/>
    <w:rsid w:val="00656FDA"/>
    <w:rsid w:val="00661EA2"/>
    <w:rsid w:val="006626A1"/>
    <w:rsid w:val="006726F4"/>
    <w:rsid w:val="00673D9F"/>
    <w:rsid w:val="00673DC8"/>
    <w:rsid w:val="006747AD"/>
    <w:rsid w:val="00677879"/>
    <w:rsid w:val="00677B62"/>
    <w:rsid w:val="0068371E"/>
    <w:rsid w:val="00684A31"/>
    <w:rsid w:val="006903C6"/>
    <w:rsid w:val="006913B1"/>
    <w:rsid w:val="006936CD"/>
    <w:rsid w:val="0069389F"/>
    <w:rsid w:val="0069480F"/>
    <w:rsid w:val="00696543"/>
    <w:rsid w:val="006A72EC"/>
    <w:rsid w:val="006B1E1F"/>
    <w:rsid w:val="006B24BC"/>
    <w:rsid w:val="006B3F44"/>
    <w:rsid w:val="006B4DF8"/>
    <w:rsid w:val="006B6730"/>
    <w:rsid w:val="006C020E"/>
    <w:rsid w:val="006C07DD"/>
    <w:rsid w:val="006C1075"/>
    <w:rsid w:val="006C513A"/>
    <w:rsid w:val="006C56F0"/>
    <w:rsid w:val="006C5E35"/>
    <w:rsid w:val="006D38F8"/>
    <w:rsid w:val="006D4572"/>
    <w:rsid w:val="006D4F7B"/>
    <w:rsid w:val="006D7DD3"/>
    <w:rsid w:val="006E0F08"/>
    <w:rsid w:val="006E347F"/>
    <w:rsid w:val="006E3E73"/>
    <w:rsid w:val="006F05A5"/>
    <w:rsid w:val="006F0F25"/>
    <w:rsid w:val="006F172E"/>
    <w:rsid w:val="006F1DA3"/>
    <w:rsid w:val="006F6AC8"/>
    <w:rsid w:val="006F7DE7"/>
    <w:rsid w:val="00700C5B"/>
    <w:rsid w:val="00700C65"/>
    <w:rsid w:val="007012B9"/>
    <w:rsid w:val="007030B2"/>
    <w:rsid w:val="00703FDC"/>
    <w:rsid w:val="00704BAF"/>
    <w:rsid w:val="0070622C"/>
    <w:rsid w:val="0070749B"/>
    <w:rsid w:val="007105A6"/>
    <w:rsid w:val="007107C5"/>
    <w:rsid w:val="00712C49"/>
    <w:rsid w:val="00716834"/>
    <w:rsid w:val="00721556"/>
    <w:rsid w:val="0072164D"/>
    <w:rsid w:val="00721743"/>
    <w:rsid w:val="00722A66"/>
    <w:rsid w:val="00723EED"/>
    <w:rsid w:val="00731730"/>
    <w:rsid w:val="00731ABA"/>
    <w:rsid w:val="007320EE"/>
    <w:rsid w:val="00733D96"/>
    <w:rsid w:val="00734B80"/>
    <w:rsid w:val="00736E05"/>
    <w:rsid w:val="00741D0A"/>
    <w:rsid w:val="00747103"/>
    <w:rsid w:val="00756E17"/>
    <w:rsid w:val="00762463"/>
    <w:rsid w:val="00762C71"/>
    <w:rsid w:val="00763182"/>
    <w:rsid w:val="0076524F"/>
    <w:rsid w:val="00766DC1"/>
    <w:rsid w:val="007673D2"/>
    <w:rsid w:val="00767FFB"/>
    <w:rsid w:val="00770468"/>
    <w:rsid w:val="007727CA"/>
    <w:rsid w:val="00777136"/>
    <w:rsid w:val="00784D54"/>
    <w:rsid w:val="007854BD"/>
    <w:rsid w:val="00785EEA"/>
    <w:rsid w:val="00786E15"/>
    <w:rsid w:val="00790F87"/>
    <w:rsid w:val="0079313E"/>
    <w:rsid w:val="00793664"/>
    <w:rsid w:val="00796F29"/>
    <w:rsid w:val="007A1AA1"/>
    <w:rsid w:val="007A1BA9"/>
    <w:rsid w:val="007A2EC4"/>
    <w:rsid w:val="007A35D0"/>
    <w:rsid w:val="007A4C1A"/>
    <w:rsid w:val="007A7BC4"/>
    <w:rsid w:val="007B0924"/>
    <w:rsid w:val="007C0932"/>
    <w:rsid w:val="007C28CB"/>
    <w:rsid w:val="007C3C87"/>
    <w:rsid w:val="007C5135"/>
    <w:rsid w:val="007C7378"/>
    <w:rsid w:val="007C76B7"/>
    <w:rsid w:val="007C7C69"/>
    <w:rsid w:val="007D0097"/>
    <w:rsid w:val="007D0455"/>
    <w:rsid w:val="007D10E6"/>
    <w:rsid w:val="007D1FD2"/>
    <w:rsid w:val="007D28F2"/>
    <w:rsid w:val="007D67A3"/>
    <w:rsid w:val="007E2CB0"/>
    <w:rsid w:val="007E51E9"/>
    <w:rsid w:val="007E66B1"/>
    <w:rsid w:val="007E6B11"/>
    <w:rsid w:val="007E75E4"/>
    <w:rsid w:val="007F0C3E"/>
    <w:rsid w:val="007F17DA"/>
    <w:rsid w:val="007F3040"/>
    <w:rsid w:val="007F565B"/>
    <w:rsid w:val="007F686C"/>
    <w:rsid w:val="00801DC8"/>
    <w:rsid w:val="00803527"/>
    <w:rsid w:val="00803B8A"/>
    <w:rsid w:val="00805729"/>
    <w:rsid w:val="00807240"/>
    <w:rsid w:val="008126CF"/>
    <w:rsid w:val="008127FF"/>
    <w:rsid w:val="008134F9"/>
    <w:rsid w:val="00814CAE"/>
    <w:rsid w:val="00815C77"/>
    <w:rsid w:val="0081632D"/>
    <w:rsid w:val="0081693C"/>
    <w:rsid w:val="00817460"/>
    <w:rsid w:val="008177A0"/>
    <w:rsid w:val="00817C54"/>
    <w:rsid w:val="0082045D"/>
    <w:rsid w:val="00821A2B"/>
    <w:rsid w:val="00821E86"/>
    <w:rsid w:val="00823391"/>
    <w:rsid w:val="00830656"/>
    <w:rsid w:val="00832A14"/>
    <w:rsid w:val="008332CF"/>
    <w:rsid w:val="0084332C"/>
    <w:rsid w:val="00843A6A"/>
    <w:rsid w:val="0085398B"/>
    <w:rsid w:val="00854111"/>
    <w:rsid w:val="00854214"/>
    <w:rsid w:val="00855514"/>
    <w:rsid w:val="00857262"/>
    <w:rsid w:val="00857CEA"/>
    <w:rsid w:val="0086178B"/>
    <w:rsid w:val="0086212A"/>
    <w:rsid w:val="00863CDE"/>
    <w:rsid w:val="008675FF"/>
    <w:rsid w:val="0087153F"/>
    <w:rsid w:val="008716F8"/>
    <w:rsid w:val="0087462A"/>
    <w:rsid w:val="00881E96"/>
    <w:rsid w:val="00884343"/>
    <w:rsid w:val="00887B88"/>
    <w:rsid w:val="008946D7"/>
    <w:rsid w:val="00895752"/>
    <w:rsid w:val="00896E12"/>
    <w:rsid w:val="00896E3F"/>
    <w:rsid w:val="008A239A"/>
    <w:rsid w:val="008A2BDC"/>
    <w:rsid w:val="008A565D"/>
    <w:rsid w:val="008A68B8"/>
    <w:rsid w:val="008B73B2"/>
    <w:rsid w:val="008C1F3B"/>
    <w:rsid w:val="008C2760"/>
    <w:rsid w:val="008C35DB"/>
    <w:rsid w:val="008C54BF"/>
    <w:rsid w:val="008C6157"/>
    <w:rsid w:val="008C6711"/>
    <w:rsid w:val="008D0EA6"/>
    <w:rsid w:val="008D10D4"/>
    <w:rsid w:val="008D1512"/>
    <w:rsid w:val="008D4C96"/>
    <w:rsid w:val="008D6348"/>
    <w:rsid w:val="008D644A"/>
    <w:rsid w:val="008D73CC"/>
    <w:rsid w:val="008E0176"/>
    <w:rsid w:val="008E15B2"/>
    <w:rsid w:val="008E1610"/>
    <w:rsid w:val="008E3E59"/>
    <w:rsid w:val="008E47E3"/>
    <w:rsid w:val="008E4ECE"/>
    <w:rsid w:val="008E5A4E"/>
    <w:rsid w:val="008E73BA"/>
    <w:rsid w:val="008E78B7"/>
    <w:rsid w:val="008F0052"/>
    <w:rsid w:val="008F37A6"/>
    <w:rsid w:val="008F4E87"/>
    <w:rsid w:val="008F6E2F"/>
    <w:rsid w:val="00901D58"/>
    <w:rsid w:val="009042C0"/>
    <w:rsid w:val="009050FC"/>
    <w:rsid w:val="00907A6D"/>
    <w:rsid w:val="00911723"/>
    <w:rsid w:val="009124CD"/>
    <w:rsid w:val="0091377C"/>
    <w:rsid w:val="009144C6"/>
    <w:rsid w:val="00914D53"/>
    <w:rsid w:val="00914E16"/>
    <w:rsid w:val="009155A0"/>
    <w:rsid w:val="00915614"/>
    <w:rsid w:val="00915D4C"/>
    <w:rsid w:val="00916702"/>
    <w:rsid w:val="00916987"/>
    <w:rsid w:val="00917136"/>
    <w:rsid w:val="0092058D"/>
    <w:rsid w:val="00920C08"/>
    <w:rsid w:val="009221CD"/>
    <w:rsid w:val="00922594"/>
    <w:rsid w:val="009228A3"/>
    <w:rsid w:val="009236F2"/>
    <w:rsid w:val="009256BD"/>
    <w:rsid w:val="0092773B"/>
    <w:rsid w:val="0093065C"/>
    <w:rsid w:val="00931697"/>
    <w:rsid w:val="009343E2"/>
    <w:rsid w:val="009365FB"/>
    <w:rsid w:val="00943FA3"/>
    <w:rsid w:val="0094551E"/>
    <w:rsid w:val="009456C3"/>
    <w:rsid w:val="0095063B"/>
    <w:rsid w:val="009511CE"/>
    <w:rsid w:val="009527C5"/>
    <w:rsid w:val="00952DD4"/>
    <w:rsid w:val="009530EE"/>
    <w:rsid w:val="0096141A"/>
    <w:rsid w:val="0096300F"/>
    <w:rsid w:val="0096409C"/>
    <w:rsid w:val="00965179"/>
    <w:rsid w:val="00965DF6"/>
    <w:rsid w:val="00966A6E"/>
    <w:rsid w:val="009670E1"/>
    <w:rsid w:val="00971F02"/>
    <w:rsid w:val="00975C7B"/>
    <w:rsid w:val="00975FED"/>
    <w:rsid w:val="009837E7"/>
    <w:rsid w:val="00993289"/>
    <w:rsid w:val="00994737"/>
    <w:rsid w:val="00996885"/>
    <w:rsid w:val="009A12B8"/>
    <w:rsid w:val="009A34CA"/>
    <w:rsid w:val="009A5FF7"/>
    <w:rsid w:val="009A6016"/>
    <w:rsid w:val="009A6F4C"/>
    <w:rsid w:val="009B14D1"/>
    <w:rsid w:val="009B18CC"/>
    <w:rsid w:val="009B1E95"/>
    <w:rsid w:val="009B2FA7"/>
    <w:rsid w:val="009B2FEB"/>
    <w:rsid w:val="009B3228"/>
    <w:rsid w:val="009B6DC5"/>
    <w:rsid w:val="009C11FD"/>
    <w:rsid w:val="009C2269"/>
    <w:rsid w:val="009C286F"/>
    <w:rsid w:val="009C2AFA"/>
    <w:rsid w:val="009C2F55"/>
    <w:rsid w:val="009C5C32"/>
    <w:rsid w:val="009C6BB4"/>
    <w:rsid w:val="009C7F0B"/>
    <w:rsid w:val="009D1A19"/>
    <w:rsid w:val="009D1ED1"/>
    <w:rsid w:val="009D1F86"/>
    <w:rsid w:val="009D23AC"/>
    <w:rsid w:val="009D6FB4"/>
    <w:rsid w:val="009D7328"/>
    <w:rsid w:val="009D7956"/>
    <w:rsid w:val="009E1928"/>
    <w:rsid w:val="009E23AF"/>
    <w:rsid w:val="009E2C41"/>
    <w:rsid w:val="009F069B"/>
    <w:rsid w:val="009F10BB"/>
    <w:rsid w:val="009F153A"/>
    <w:rsid w:val="009F25A4"/>
    <w:rsid w:val="009F520A"/>
    <w:rsid w:val="009F7BF1"/>
    <w:rsid w:val="00A04C01"/>
    <w:rsid w:val="00A07979"/>
    <w:rsid w:val="00A07FCA"/>
    <w:rsid w:val="00A104FC"/>
    <w:rsid w:val="00A1139E"/>
    <w:rsid w:val="00A17C87"/>
    <w:rsid w:val="00A17CD3"/>
    <w:rsid w:val="00A223B3"/>
    <w:rsid w:val="00A2242B"/>
    <w:rsid w:val="00A23924"/>
    <w:rsid w:val="00A255A8"/>
    <w:rsid w:val="00A25DF6"/>
    <w:rsid w:val="00A25EFA"/>
    <w:rsid w:val="00A25F66"/>
    <w:rsid w:val="00A278B1"/>
    <w:rsid w:val="00A327DB"/>
    <w:rsid w:val="00A35DD8"/>
    <w:rsid w:val="00A37B6C"/>
    <w:rsid w:val="00A404D8"/>
    <w:rsid w:val="00A405DA"/>
    <w:rsid w:val="00A40AC7"/>
    <w:rsid w:val="00A41D45"/>
    <w:rsid w:val="00A42CA4"/>
    <w:rsid w:val="00A46341"/>
    <w:rsid w:val="00A46953"/>
    <w:rsid w:val="00A510E4"/>
    <w:rsid w:val="00A56200"/>
    <w:rsid w:val="00A5680C"/>
    <w:rsid w:val="00A62837"/>
    <w:rsid w:val="00A65C7A"/>
    <w:rsid w:val="00A66560"/>
    <w:rsid w:val="00A66993"/>
    <w:rsid w:val="00A66FF1"/>
    <w:rsid w:val="00A757CC"/>
    <w:rsid w:val="00A77715"/>
    <w:rsid w:val="00A777FB"/>
    <w:rsid w:val="00A77A59"/>
    <w:rsid w:val="00A81DB5"/>
    <w:rsid w:val="00A82316"/>
    <w:rsid w:val="00A86DAF"/>
    <w:rsid w:val="00A906AA"/>
    <w:rsid w:val="00A93CF1"/>
    <w:rsid w:val="00A95281"/>
    <w:rsid w:val="00A96202"/>
    <w:rsid w:val="00AA0441"/>
    <w:rsid w:val="00AA4461"/>
    <w:rsid w:val="00AA4E73"/>
    <w:rsid w:val="00AA56C5"/>
    <w:rsid w:val="00AA64D0"/>
    <w:rsid w:val="00AB3A77"/>
    <w:rsid w:val="00AB4A28"/>
    <w:rsid w:val="00AB578F"/>
    <w:rsid w:val="00AC35E3"/>
    <w:rsid w:val="00AC3C4F"/>
    <w:rsid w:val="00AC4E73"/>
    <w:rsid w:val="00AC4EF9"/>
    <w:rsid w:val="00AC5649"/>
    <w:rsid w:val="00AC6A47"/>
    <w:rsid w:val="00AD1C6E"/>
    <w:rsid w:val="00AD46F0"/>
    <w:rsid w:val="00AD4DB5"/>
    <w:rsid w:val="00AD4F49"/>
    <w:rsid w:val="00AD5DFC"/>
    <w:rsid w:val="00AD6C58"/>
    <w:rsid w:val="00AD7C8E"/>
    <w:rsid w:val="00AE0C72"/>
    <w:rsid w:val="00AE2DB7"/>
    <w:rsid w:val="00AE59AE"/>
    <w:rsid w:val="00AE5B8E"/>
    <w:rsid w:val="00AE64E9"/>
    <w:rsid w:val="00AE70D4"/>
    <w:rsid w:val="00AE7137"/>
    <w:rsid w:val="00AF60AA"/>
    <w:rsid w:val="00B022EA"/>
    <w:rsid w:val="00B04C2F"/>
    <w:rsid w:val="00B066D6"/>
    <w:rsid w:val="00B06B97"/>
    <w:rsid w:val="00B10210"/>
    <w:rsid w:val="00B12606"/>
    <w:rsid w:val="00B14A5F"/>
    <w:rsid w:val="00B21DBA"/>
    <w:rsid w:val="00B2251E"/>
    <w:rsid w:val="00B232EE"/>
    <w:rsid w:val="00B234C0"/>
    <w:rsid w:val="00B242A8"/>
    <w:rsid w:val="00B250DD"/>
    <w:rsid w:val="00B27307"/>
    <w:rsid w:val="00B311E3"/>
    <w:rsid w:val="00B31ECA"/>
    <w:rsid w:val="00B35D3D"/>
    <w:rsid w:val="00B409F8"/>
    <w:rsid w:val="00B42D76"/>
    <w:rsid w:val="00B43208"/>
    <w:rsid w:val="00B44396"/>
    <w:rsid w:val="00B457AD"/>
    <w:rsid w:val="00B4760C"/>
    <w:rsid w:val="00B52ACC"/>
    <w:rsid w:val="00B53570"/>
    <w:rsid w:val="00B55E7E"/>
    <w:rsid w:val="00B57CEC"/>
    <w:rsid w:val="00B57FFB"/>
    <w:rsid w:val="00B6196A"/>
    <w:rsid w:val="00B6235E"/>
    <w:rsid w:val="00B6751A"/>
    <w:rsid w:val="00B71CDE"/>
    <w:rsid w:val="00B71E77"/>
    <w:rsid w:val="00B72F86"/>
    <w:rsid w:val="00B76262"/>
    <w:rsid w:val="00B809BF"/>
    <w:rsid w:val="00B80B28"/>
    <w:rsid w:val="00B811F1"/>
    <w:rsid w:val="00B81261"/>
    <w:rsid w:val="00B824EF"/>
    <w:rsid w:val="00B82977"/>
    <w:rsid w:val="00B849B6"/>
    <w:rsid w:val="00B8790A"/>
    <w:rsid w:val="00B910E0"/>
    <w:rsid w:val="00B926FF"/>
    <w:rsid w:val="00B94D93"/>
    <w:rsid w:val="00B9527F"/>
    <w:rsid w:val="00B97EFC"/>
    <w:rsid w:val="00BA018C"/>
    <w:rsid w:val="00BA25A9"/>
    <w:rsid w:val="00BA653E"/>
    <w:rsid w:val="00BB047F"/>
    <w:rsid w:val="00BB417C"/>
    <w:rsid w:val="00BB5F48"/>
    <w:rsid w:val="00BC5709"/>
    <w:rsid w:val="00BC6419"/>
    <w:rsid w:val="00BD1787"/>
    <w:rsid w:val="00BD26A8"/>
    <w:rsid w:val="00BD2AD6"/>
    <w:rsid w:val="00BD30E8"/>
    <w:rsid w:val="00BD3370"/>
    <w:rsid w:val="00BD5337"/>
    <w:rsid w:val="00BD560A"/>
    <w:rsid w:val="00BE0756"/>
    <w:rsid w:val="00BE0961"/>
    <w:rsid w:val="00BE292C"/>
    <w:rsid w:val="00BE31A4"/>
    <w:rsid w:val="00BE3C07"/>
    <w:rsid w:val="00BE3E8C"/>
    <w:rsid w:val="00BE41BC"/>
    <w:rsid w:val="00BE4FF7"/>
    <w:rsid w:val="00BE57E7"/>
    <w:rsid w:val="00BF40CC"/>
    <w:rsid w:val="00BF4626"/>
    <w:rsid w:val="00BF5F22"/>
    <w:rsid w:val="00C0041D"/>
    <w:rsid w:val="00C0430B"/>
    <w:rsid w:val="00C04378"/>
    <w:rsid w:val="00C079AA"/>
    <w:rsid w:val="00C10177"/>
    <w:rsid w:val="00C11127"/>
    <w:rsid w:val="00C11374"/>
    <w:rsid w:val="00C11407"/>
    <w:rsid w:val="00C1346B"/>
    <w:rsid w:val="00C14D91"/>
    <w:rsid w:val="00C16115"/>
    <w:rsid w:val="00C205E7"/>
    <w:rsid w:val="00C244E7"/>
    <w:rsid w:val="00C310DF"/>
    <w:rsid w:val="00C31FAB"/>
    <w:rsid w:val="00C3544F"/>
    <w:rsid w:val="00C354CD"/>
    <w:rsid w:val="00C37140"/>
    <w:rsid w:val="00C3763E"/>
    <w:rsid w:val="00C40BA6"/>
    <w:rsid w:val="00C4103D"/>
    <w:rsid w:val="00C413EB"/>
    <w:rsid w:val="00C42226"/>
    <w:rsid w:val="00C43886"/>
    <w:rsid w:val="00C473AA"/>
    <w:rsid w:val="00C4753C"/>
    <w:rsid w:val="00C51A52"/>
    <w:rsid w:val="00C52737"/>
    <w:rsid w:val="00C533F4"/>
    <w:rsid w:val="00C541E1"/>
    <w:rsid w:val="00C5492F"/>
    <w:rsid w:val="00C568EC"/>
    <w:rsid w:val="00C56B3F"/>
    <w:rsid w:val="00C6090E"/>
    <w:rsid w:val="00C617F9"/>
    <w:rsid w:val="00C63CA5"/>
    <w:rsid w:val="00C642B0"/>
    <w:rsid w:val="00C67240"/>
    <w:rsid w:val="00C715A0"/>
    <w:rsid w:val="00C718B4"/>
    <w:rsid w:val="00C7420B"/>
    <w:rsid w:val="00C74333"/>
    <w:rsid w:val="00C75C58"/>
    <w:rsid w:val="00C7610D"/>
    <w:rsid w:val="00C7760F"/>
    <w:rsid w:val="00C86B58"/>
    <w:rsid w:val="00C92875"/>
    <w:rsid w:val="00C93FAC"/>
    <w:rsid w:val="00C949B4"/>
    <w:rsid w:val="00C97D6B"/>
    <w:rsid w:val="00CA3EBE"/>
    <w:rsid w:val="00CA41D8"/>
    <w:rsid w:val="00CA62C3"/>
    <w:rsid w:val="00CA7162"/>
    <w:rsid w:val="00CA74D4"/>
    <w:rsid w:val="00CA75D3"/>
    <w:rsid w:val="00CB0E3F"/>
    <w:rsid w:val="00CB3AFC"/>
    <w:rsid w:val="00CC0132"/>
    <w:rsid w:val="00CC35E4"/>
    <w:rsid w:val="00CC5724"/>
    <w:rsid w:val="00CC7A24"/>
    <w:rsid w:val="00CD3082"/>
    <w:rsid w:val="00CD3EEC"/>
    <w:rsid w:val="00CD70DD"/>
    <w:rsid w:val="00CD7A3F"/>
    <w:rsid w:val="00CE4197"/>
    <w:rsid w:val="00CF01AA"/>
    <w:rsid w:val="00CF1685"/>
    <w:rsid w:val="00CF28C4"/>
    <w:rsid w:val="00CF326F"/>
    <w:rsid w:val="00CF6331"/>
    <w:rsid w:val="00CF7E96"/>
    <w:rsid w:val="00D0098B"/>
    <w:rsid w:val="00D01160"/>
    <w:rsid w:val="00D018FB"/>
    <w:rsid w:val="00D02133"/>
    <w:rsid w:val="00D021C4"/>
    <w:rsid w:val="00D036E5"/>
    <w:rsid w:val="00D10195"/>
    <w:rsid w:val="00D12CE4"/>
    <w:rsid w:val="00D13085"/>
    <w:rsid w:val="00D16BD7"/>
    <w:rsid w:val="00D1767F"/>
    <w:rsid w:val="00D21F64"/>
    <w:rsid w:val="00D255FB"/>
    <w:rsid w:val="00D265DA"/>
    <w:rsid w:val="00D27EF9"/>
    <w:rsid w:val="00D31CD6"/>
    <w:rsid w:val="00D33088"/>
    <w:rsid w:val="00D377FE"/>
    <w:rsid w:val="00D42C17"/>
    <w:rsid w:val="00D44221"/>
    <w:rsid w:val="00D464D9"/>
    <w:rsid w:val="00D469E6"/>
    <w:rsid w:val="00D46AA0"/>
    <w:rsid w:val="00D50CAB"/>
    <w:rsid w:val="00D5158C"/>
    <w:rsid w:val="00D52173"/>
    <w:rsid w:val="00D52566"/>
    <w:rsid w:val="00D54B42"/>
    <w:rsid w:val="00D55F78"/>
    <w:rsid w:val="00D6016A"/>
    <w:rsid w:val="00D6206D"/>
    <w:rsid w:val="00D63180"/>
    <w:rsid w:val="00D6666E"/>
    <w:rsid w:val="00D7519B"/>
    <w:rsid w:val="00D841DF"/>
    <w:rsid w:val="00D848F4"/>
    <w:rsid w:val="00D93ABD"/>
    <w:rsid w:val="00D94B87"/>
    <w:rsid w:val="00D960BD"/>
    <w:rsid w:val="00D96B23"/>
    <w:rsid w:val="00D96F86"/>
    <w:rsid w:val="00D97C76"/>
    <w:rsid w:val="00DA0BB1"/>
    <w:rsid w:val="00DA1F01"/>
    <w:rsid w:val="00DA3D7F"/>
    <w:rsid w:val="00DA4DCF"/>
    <w:rsid w:val="00DA69E6"/>
    <w:rsid w:val="00DB042F"/>
    <w:rsid w:val="00DB20EF"/>
    <w:rsid w:val="00DB44A5"/>
    <w:rsid w:val="00DB5462"/>
    <w:rsid w:val="00DB5815"/>
    <w:rsid w:val="00DB660D"/>
    <w:rsid w:val="00DB6DEC"/>
    <w:rsid w:val="00DB7926"/>
    <w:rsid w:val="00DC06D2"/>
    <w:rsid w:val="00DC27AA"/>
    <w:rsid w:val="00DC2AC1"/>
    <w:rsid w:val="00DC2B96"/>
    <w:rsid w:val="00DC48FE"/>
    <w:rsid w:val="00DC5C0F"/>
    <w:rsid w:val="00DC5C41"/>
    <w:rsid w:val="00DC5D76"/>
    <w:rsid w:val="00DD05E7"/>
    <w:rsid w:val="00DD083C"/>
    <w:rsid w:val="00DD0880"/>
    <w:rsid w:val="00DD18AC"/>
    <w:rsid w:val="00DD2918"/>
    <w:rsid w:val="00DD346E"/>
    <w:rsid w:val="00DD5B21"/>
    <w:rsid w:val="00DD6003"/>
    <w:rsid w:val="00DE14E3"/>
    <w:rsid w:val="00DE1AEF"/>
    <w:rsid w:val="00DE2B8A"/>
    <w:rsid w:val="00DE40DD"/>
    <w:rsid w:val="00DE49B4"/>
    <w:rsid w:val="00DF08B9"/>
    <w:rsid w:val="00DF17B3"/>
    <w:rsid w:val="00DF183E"/>
    <w:rsid w:val="00DF1E0F"/>
    <w:rsid w:val="00DF398D"/>
    <w:rsid w:val="00DF4F0A"/>
    <w:rsid w:val="00DF6B01"/>
    <w:rsid w:val="00DF6F76"/>
    <w:rsid w:val="00E000A7"/>
    <w:rsid w:val="00E00EE9"/>
    <w:rsid w:val="00E02240"/>
    <w:rsid w:val="00E03CE5"/>
    <w:rsid w:val="00E121A7"/>
    <w:rsid w:val="00E12A57"/>
    <w:rsid w:val="00E14FD1"/>
    <w:rsid w:val="00E17C70"/>
    <w:rsid w:val="00E205E1"/>
    <w:rsid w:val="00E215F3"/>
    <w:rsid w:val="00E21AB8"/>
    <w:rsid w:val="00E223C7"/>
    <w:rsid w:val="00E236D5"/>
    <w:rsid w:val="00E2525F"/>
    <w:rsid w:val="00E260B7"/>
    <w:rsid w:val="00E260D0"/>
    <w:rsid w:val="00E268A0"/>
    <w:rsid w:val="00E27A4E"/>
    <w:rsid w:val="00E27DF8"/>
    <w:rsid w:val="00E32DAD"/>
    <w:rsid w:val="00E37CA3"/>
    <w:rsid w:val="00E41728"/>
    <w:rsid w:val="00E428B8"/>
    <w:rsid w:val="00E43938"/>
    <w:rsid w:val="00E43CB0"/>
    <w:rsid w:val="00E45529"/>
    <w:rsid w:val="00E50406"/>
    <w:rsid w:val="00E5213E"/>
    <w:rsid w:val="00E538C0"/>
    <w:rsid w:val="00E53DD6"/>
    <w:rsid w:val="00E53E68"/>
    <w:rsid w:val="00E546FA"/>
    <w:rsid w:val="00E5593B"/>
    <w:rsid w:val="00E60A4A"/>
    <w:rsid w:val="00E61A2A"/>
    <w:rsid w:val="00E61DC7"/>
    <w:rsid w:val="00E62AB6"/>
    <w:rsid w:val="00E6578D"/>
    <w:rsid w:val="00E65900"/>
    <w:rsid w:val="00E66A3A"/>
    <w:rsid w:val="00E6731B"/>
    <w:rsid w:val="00E67F48"/>
    <w:rsid w:val="00E73418"/>
    <w:rsid w:val="00E758C5"/>
    <w:rsid w:val="00E76B73"/>
    <w:rsid w:val="00E77FEC"/>
    <w:rsid w:val="00E814BD"/>
    <w:rsid w:val="00E8172F"/>
    <w:rsid w:val="00E81CD3"/>
    <w:rsid w:val="00E84038"/>
    <w:rsid w:val="00E84B69"/>
    <w:rsid w:val="00E87800"/>
    <w:rsid w:val="00E90596"/>
    <w:rsid w:val="00E90788"/>
    <w:rsid w:val="00E9103F"/>
    <w:rsid w:val="00E91290"/>
    <w:rsid w:val="00E97549"/>
    <w:rsid w:val="00EA0B7F"/>
    <w:rsid w:val="00EA2948"/>
    <w:rsid w:val="00EA3CE9"/>
    <w:rsid w:val="00EA71E1"/>
    <w:rsid w:val="00EA7F2F"/>
    <w:rsid w:val="00EB0E90"/>
    <w:rsid w:val="00EB13A5"/>
    <w:rsid w:val="00EB6271"/>
    <w:rsid w:val="00EB6EA1"/>
    <w:rsid w:val="00EC4A25"/>
    <w:rsid w:val="00ED2A23"/>
    <w:rsid w:val="00ED595B"/>
    <w:rsid w:val="00ED7999"/>
    <w:rsid w:val="00EE008D"/>
    <w:rsid w:val="00EE1341"/>
    <w:rsid w:val="00EE32CC"/>
    <w:rsid w:val="00EF21D7"/>
    <w:rsid w:val="00EF2939"/>
    <w:rsid w:val="00EF477D"/>
    <w:rsid w:val="00F000E7"/>
    <w:rsid w:val="00F015B4"/>
    <w:rsid w:val="00F030F4"/>
    <w:rsid w:val="00F03DCE"/>
    <w:rsid w:val="00F07948"/>
    <w:rsid w:val="00F07BFF"/>
    <w:rsid w:val="00F10572"/>
    <w:rsid w:val="00F106A5"/>
    <w:rsid w:val="00F11307"/>
    <w:rsid w:val="00F11B8C"/>
    <w:rsid w:val="00F165DD"/>
    <w:rsid w:val="00F16857"/>
    <w:rsid w:val="00F170FE"/>
    <w:rsid w:val="00F1773A"/>
    <w:rsid w:val="00F17B58"/>
    <w:rsid w:val="00F22AE2"/>
    <w:rsid w:val="00F23C63"/>
    <w:rsid w:val="00F2418C"/>
    <w:rsid w:val="00F2561F"/>
    <w:rsid w:val="00F30D3A"/>
    <w:rsid w:val="00F30EB8"/>
    <w:rsid w:val="00F35651"/>
    <w:rsid w:val="00F372FA"/>
    <w:rsid w:val="00F505C1"/>
    <w:rsid w:val="00F523C6"/>
    <w:rsid w:val="00F53A46"/>
    <w:rsid w:val="00F55192"/>
    <w:rsid w:val="00F570B9"/>
    <w:rsid w:val="00F6180D"/>
    <w:rsid w:val="00F61AA1"/>
    <w:rsid w:val="00F63089"/>
    <w:rsid w:val="00F70E6F"/>
    <w:rsid w:val="00F72F7B"/>
    <w:rsid w:val="00F74580"/>
    <w:rsid w:val="00F74594"/>
    <w:rsid w:val="00F7760A"/>
    <w:rsid w:val="00F81A1B"/>
    <w:rsid w:val="00F844D8"/>
    <w:rsid w:val="00F87588"/>
    <w:rsid w:val="00F931D7"/>
    <w:rsid w:val="00F93ADD"/>
    <w:rsid w:val="00F94F61"/>
    <w:rsid w:val="00F97658"/>
    <w:rsid w:val="00FA3445"/>
    <w:rsid w:val="00FA3A7A"/>
    <w:rsid w:val="00FA6314"/>
    <w:rsid w:val="00FA7818"/>
    <w:rsid w:val="00FB1F6A"/>
    <w:rsid w:val="00FB386F"/>
    <w:rsid w:val="00FB5174"/>
    <w:rsid w:val="00FC1D8E"/>
    <w:rsid w:val="00FC2640"/>
    <w:rsid w:val="00FC2942"/>
    <w:rsid w:val="00FC6E5C"/>
    <w:rsid w:val="00FD0448"/>
    <w:rsid w:val="00FD16C0"/>
    <w:rsid w:val="00FD264B"/>
    <w:rsid w:val="00FD2D85"/>
    <w:rsid w:val="00FD2F00"/>
    <w:rsid w:val="00FD7BBC"/>
    <w:rsid w:val="00FD7E5E"/>
    <w:rsid w:val="00FE31E5"/>
    <w:rsid w:val="00FE3311"/>
    <w:rsid w:val="00FE4B5D"/>
    <w:rsid w:val="00FE5742"/>
    <w:rsid w:val="00FE5F63"/>
    <w:rsid w:val="00FF0563"/>
    <w:rsid w:val="00FF436E"/>
    <w:rsid w:val="00FF48B4"/>
    <w:rsid w:val="00FF4AD0"/>
    <w:rsid w:val="00FF5E3F"/>
    <w:rsid w:val="00FF73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1ECD"/>
  <w15:docId w15:val="{4C66B0C0-89B1-45CE-BBA8-A7B5FF18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F11"/>
  </w:style>
  <w:style w:type="paragraph" w:styleId="Heading1">
    <w:name w:val="heading 1"/>
    <w:basedOn w:val="Normal"/>
    <w:next w:val="Normal"/>
    <w:link w:val="Heading1Char"/>
    <w:uiPriority w:val="9"/>
    <w:qFormat/>
    <w:rsid w:val="009630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4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43C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43C4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A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4A27"/>
  </w:style>
  <w:style w:type="paragraph" w:styleId="Footer">
    <w:name w:val="footer"/>
    <w:basedOn w:val="Normal"/>
    <w:link w:val="FooterChar"/>
    <w:uiPriority w:val="99"/>
    <w:unhideWhenUsed/>
    <w:rsid w:val="00584A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4A27"/>
  </w:style>
  <w:style w:type="paragraph" w:styleId="ListParagraph">
    <w:name w:val="List Paragraph"/>
    <w:aliases w:val="Akapit z listą BS,References,2,H&amp;P List Paragraph,Strip,Colorful List - Accent 12,Punkti ar numuriem,Numbered Para 1,Dot pt,No Spacing1,List Paragraph Char Char Char,Indicator Text,List Paragraph1,Bullet 1,Bullet Points,MAIN CONTENT"/>
    <w:basedOn w:val="Normal"/>
    <w:link w:val="ListParagraphChar"/>
    <w:uiPriority w:val="34"/>
    <w:qFormat/>
    <w:rsid w:val="00E84038"/>
    <w:pPr>
      <w:ind w:left="720"/>
      <w:contextualSpacing/>
    </w:pPr>
  </w:style>
  <w:style w:type="character" w:customStyle="1" w:styleId="Heading1Char">
    <w:name w:val="Heading 1 Char"/>
    <w:basedOn w:val="DefaultParagraphFont"/>
    <w:link w:val="Heading1"/>
    <w:uiPriority w:val="9"/>
    <w:rsid w:val="0096300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6300F"/>
    <w:pPr>
      <w:outlineLvl w:val="9"/>
    </w:pPr>
    <w:rPr>
      <w:lang w:val="en-US" w:eastAsia="en-US"/>
    </w:rPr>
  </w:style>
  <w:style w:type="paragraph" w:styleId="TOC1">
    <w:name w:val="toc 1"/>
    <w:basedOn w:val="Normal"/>
    <w:next w:val="Normal"/>
    <w:autoRedefine/>
    <w:uiPriority w:val="39"/>
    <w:unhideWhenUsed/>
    <w:rsid w:val="00E6731B"/>
    <w:pPr>
      <w:tabs>
        <w:tab w:val="left" w:pos="284"/>
        <w:tab w:val="right" w:leader="dot" w:pos="9061"/>
      </w:tabs>
      <w:spacing w:after="100"/>
    </w:pPr>
  </w:style>
  <w:style w:type="character" w:styleId="Hyperlink">
    <w:name w:val="Hyperlink"/>
    <w:basedOn w:val="DefaultParagraphFont"/>
    <w:uiPriority w:val="99"/>
    <w:unhideWhenUsed/>
    <w:rsid w:val="0096300F"/>
    <w:rPr>
      <w:color w:val="0563C1" w:themeColor="hyperlink"/>
      <w:u w:val="single"/>
    </w:rPr>
  </w:style>
  <w:style w:type="paragraph" w:styleId="BalloonText">
    <w:name w:val="Balloon Text"/>
    <w:basedOn w:val="Normal"/>
    <w:link w:val="BalloonTextChar"/>
    <w:uiPriority w:val="99"/>
    <w:semiHidden/>
    <w:unhideWhenUsed/>
    <w:rsid w:val="00ED7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999"/>
    <w:rPr>
      <w:rFonts w:ascii="Segoe UI" w:hAnsi="Segoe UI" w:cs="Segoe UI"/>
      <w:sz w:val="18"/>
      <w:szCs w:val="18"/>
    </w:rPr>
  </w:style>
  <w:style w:type="character" w:styleId="CommentReference">
    <w:name w:val="annotation reference"/>
    <w:basedOn w:val="DefaultParagraphFont"/>
    <w:uiPriority w:val="99"/>
    <w:semiHidden/>
    <w:unhideWhenUsed/>
    <w:rsid w:val="004926A2"/>
    <w:rPr>
      <w:sz w:val="16"/>
      <w:szCs w:val="16"/>
    </w:rPr>
  </w:style>
  <w:style w:type="paragraph" w:styleId="CommentText">
    <w:name w:val="annotation text"/>
    <w:basedOn w:val="Normal"/>
    <w:link w:val="CommentTextChar"/>
    <w:uiPriority w:val="99"/>
    <w:unhideWhenUsed/>
    <w:rsid w:val="004926A2"/>
    <w:pPr>
      <w:spacing w:line="240" w:lineRule="auto"/>
    </w:pPr>
    <w:rPr>
      <w:sz w:val="20"/>
      <w:szCs w:val="20"/>
    </w:rPr>
  </w:style>
  <w:style w:type="character" w:customStyle="1" w:styleId="CommentTextChar">
    <w:name w:val="Comment Text Char"/>
    <w:basedOn w:val="DefaultParagraphFont"/>
    <w:link w:val="CommentText"/>
    <w:uiPriority w:val="99"/>
    <w:rsid w:val="004926A2"/>
    <w:rPr>
      <w:sz w:val="20"/>
      <w:szCs w:val="20"/>
    </w:rPr>
  </w:style>
  <w:style w:type="paragraph" w:styleId="CommentSubject">
    <w:name w:val="annotation subject"/>
    <w:basedOn w:val="CommentText"/>
    <w:next w:val="CommentText"/>
    <w:link w:val="CommentSubjectChar"/>
    <w:uiPriority w:val="99"/>
    <w:semiHidden/>
    <w:unhideWhenUsed/>
    <w:rsid w:val="004926A2"/>
    <w:rPr>
      <w:b/>
      <w:bCs/>
    </w:rPr>
  </w:style>
  <w:style w:type="character" w:customStyle="1" w:styleId="CommentSubjectChar">
    <w:name w:val="Comment Subject Char"/>
    <w:basedOn w:val="CommentTextChar"/>
    <w:link w:val="CommentSubject"/>
    <w:uiPriority w:val="99"/>
    <w:semiHidden/>
    <w:rsid w:val="004926A2"/>
    <w:rPr>
      <w:b/>
      <w:bCs/>
      <w:sz w:val="20"/>
      <w:szCs w:val="20"/>
    </w:rPr>
  </w:style>
  <w:style w:type="character" w:customStyle="1" w:styleId="Heading3Char">
    <w:name w:val="Heading 3 Char"/>
    <w:basedOn w:val="DefaultParagraphFont"/>
    <w:link w:val="Heading3"/>
    <w:uiPriority w:val="9"/>
    <w:semiHidden/>
    <w:rsid w:val="00143C4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43C45"/>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E455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5529"/>
    <w:rPr>
      <w:sz w:val="20"/>
      <w:szCs w:val="20"/>
    </w:rPr>
  </w:style>
  <w:style w:type="character" w:styleId="FootnoteReference">
    <w:name w:val="footnote reference"/>
    <w:basedOn w:val="DefaultParagraphFont"/>
    <w:uiPriority w:val="99"/>
    <w:semiHidden/>
    <w:unhideWhenUsed/>
    <w:rsid w:val="00E45529"/>
    <w:rPr>
      <w:vertAlign w:val="superscript"/>
    </w:rPr>
  </w:style>
  <w:style w:type="paragraph" w:customStyle="1" w:styleId="Default">
    <w:name w:val="Default"/>
    <w:rsid w:val="00DA3D7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C11407"/>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C52737"/>
    <w:pPr>
      <w:spacing w:after="100"/>
      <w:ind w:left="220"/>
    </w:pPr>
  </w:style>
  <w:style w:type="character" w:styleId="FollowedHyperlink">
    <w:name w:val="FollowedHyperlink"/>
    <w:basedOn w:val="DefaultParagraphFont"/>
    <w:uiPriority w:val="99"/>
    <w:semiHidden/>
    <w:unhideWhenUsed/>
    <w:rsid w:val="005C120D"/>
    <w:rPr>
      <w:color w:val="954F72" w:themeColor="followedHyperlink"/>
      <w:u w:val="single"/>
    </w:rPr>
  </w:style>
  <w:style w:type="table" w:styleId="TableGrid">
    <w:name w:val="Table Grid"/>
    <w:basedOn w:val="TableNormal"/>
    <w:uiPriority w:val="39"/>
    <w:rsid w:val="001461C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3176"/>
    <w:pPr>
      <w:spacing w:after="0" w:line="240" w:lineRule="auto"/>
    </w:pPr>
  </w:style>
  <w:style w:type="character" w:customStyle="1" w:styleId="ListParagraphChar">
    <w:name w:val="List Paragraph Char"/>
    <w:aliases w:val="Akapit z listą BS Char,References Char,2 Char,H&amp;P List Paragraph Char,Strip Char,Colorful List - Accent 12 Char,Punkti ar numuriem Char,Numbered Para 1 Char,Dot pt Char,No Spacing1 Char,List Paragraph Char Char Char Char"/>
    <w:link w:val="ListParagraph"/>
    <w:uiPriority w:val="34"/>
    <w:qFormat/>
    <w:locked/>
    <w:rsid w:val="00164581"/>
  </w:style>
  <w:style w:type="paragraph" w:customStyle="1" w:styleId="tv213">
    <w:name w:val="tv213"/>
    <w:basedOn w:val="Normal"/>
    <w:rsid w:val="007C28C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01FFC"/>
    <w:pPr>
      <w:spacing w:after="0" w:line="240" w:lineRule="auto"/>
    </w:pPr>
    <w:rPr>
      <w:rFonts w:ascii="Times New Roman" w:eastAsiaTheme="minorHAnsi" w:hAnsi="Times New Roman" w:cs="Times New Roman"/>
      <w:sz w:val="24"/>
      <w:szCs w:val="24"/>
    </w:rPr>
  </w:style>
  <w:style w:type="paragraph" w:styleId="Caption">
    <w:name w:val="caption"/>
    <w:basedOn w:val="Normal"/>
    <w:next w:val="Normal"/>
    <w:uiPriority w:val="35"/>
    <w:unhideWhenUsed/>
    <w:qFormat/>
    <w:rsid w:val="00D841DF"/>
    <w:pPr>
      <w:spacing w:after="200" w:line="240" w:lineRule="auto"/>
    </w:pPr>
    <w:rPr>
      <w:i/>
      <w:iCs/>
      <w:color w:val="44546A" w:themeColor="text2"/>
      <w:sz w:val="18"/>
      <w:szCs w:val="18"/>
    </w:rPr>
  </w:style>
  <w:style w:type="paragraph" w:styleId="EndnoteText">
    <w:name w:val="endnote text"/>
    <w:basedOn w:val="Normal"/>
    <w:link w:val="EndnoteTextChar"/>
    <w:uiPriority w:val="99"/>
    <w:unhideWhenUsed/>
    <w:rsid w:val="007D1FD2"/>
    <w:pPr>
      <w:spacing w:after="0" w:line="240" w:lineRule="auto"/>
    </w:pPr>
    <w:rPr>
      <w:rFonts w:ascii="Times New Roman" w:eastAsia="Times New Roman" w:hAnsi="Times New Roman" w:cs="Times New Roman"/>
      <w:sz w:val="20"/>
      <w:szCs w:val="20"/>
      <w:lang w:val="en-AU"/>
    </w:rPr>
  </w:style>
  <w:style w:type="character" w:customStyle="1" w:styleId="EndnoteTextChar">
    <w:name w:val="Endnote Text Char"/>
    <w:basedOn w:val="DefaultParagraphFont"/>
    <w:link w:val="EndnoteText"/>
    <w:uiPriority w:val="99"/>
    <w:rsid w:val="007D1FD2"/>
    <w:rPr>
      <w:rFonts w:ascii="Times New Roman" w:eastAsia="Times New Roman" w:hAnsi="Times New Roman" w:cs="Times New Roman"/>
      <w:sz w:val="20"/>
      <w:szCs w:val="20"/>
      <w:lang w:val="en-AU"/>
    </w:rPr>
  </w:style>
  <w:style w:type="character" w:styleId="EndnoteReference">
    <w:name w:val="endnote reference"/>
    <w:basedOn w:val="DefaultParagraphFont"/>
    <w:uiPriority w:val="99"/>
    <w:unhideWhenUsed/>
    <w:rsid w:val="007D1F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2501">
      <w:bodyDiv w:val="1"/>
      <w:marLeft w:val="0"/>
      <w:marRight w:val="0"/>
      <w:marTop w:val="0"/>
      <w:marBottom w:val="0"/>
      <w:divBdr>
        <w:top w:val="none" w:sz="0" w:space="0" w:color="auto"/>
        <w:left w:val="none" w:sz="0" w:space="0" w:color="auto"/>
        <w:bottom w:val="none" w:sz="0" w:space="0" w:color="auto"/>
        <w:right w:val="none" w:sz="0" w:space="0" w:color="auto"/>
      </w:divBdr>
      <w:divsChild>
        <w:div w:id="984234957">
          <w:marLeft w:val="-6900"/>
          <w:marRight w:val="150"/>
          <w:marTop w:val="0"/>
          <w:marBottom w:val="0"/>
          <w:divBdr>
            <w:top w:val="none" w:sz="0" w:space="0" w:color="auto"/>
            <w:left w:val="none" w:sz="0" w:space="0" w:color="auto"/>
            <w:bottom w:val="none" w:sz="0" w:space="0" w:color="auto"/>
            <w:right w:val="none" w:sz="0" w:space="0" w:color="auto"/>
          </w:divBdr>
          <w:divsChild>
            <w:div w:id="1584610923">
              <w:marLeft w:val="0"/>
              <w:marRight w:val="0"/>
              <w:marTop w:val="0"/>
              <w:marBottom w:val="0"/>
              <w:divBdr>
                <w:top w:val="none" w:sz="0" w:space="0" w:color="auto"/>
                <w:left w:val="none" w:sz="0" w:space="0" w:color="auto"/>
                <w:bottom w:val="none" w:sz="0" w:space="0" w:color="auto"/>
                <w:right w:val="none" w:sz="0" w:space="0" w:color="auto"/>
              </w:divBdr>
              <w:divsChild>
                <w:div w:id="1637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50965">
          <w:marLeft w:val="0"/>
          <w:marRight w:val="0"/>
          <w:marTop w:val="0"/>
          <w:marBottom w:val="0"/>
          <w:divBdr>
            <w:top w:val="none" w:sz="0" w:space="0" w:color="auto"/>
            <w:left w:val="none" w:sz="0" w:space="0" w:color="auto"/>
            <w:bottom w:val="none" w:sz="0" w:space="0" w:color="auto"/>
            <w:right w:val="none" w:sz="0" w:space="0" w:color="auto"/>
          </w:divBdr>
          <w:divsChild>
            <w:div w:id="677318386">
              <w:marLeft w:val="0"/>
              <w:marRight w:val="0"/>
              <w:marTop w:val="0"/>
              <w:marBottom w:val="567"/>
              <w:divBdr>
                <w:top w:val="none" w:sz="0" w:space="0" w:color="auto"/>
                <w:left w:val="none" w:sz="0" w:space="0" w:color="auto"/>
                <w:bottom w:val="none" w:sz="0" w:space="0" w:color="auto"/>
                <w:right w:val="none" w:sz="0" w:space="0" w:color="auto"/>
              </w:divBdr>
            </w:div>
            <w:div w:id="114985771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 w:id="54278143">
      <w:bodyDiv w:val="1"/>
      <w:marLeft w:val="0"/>
      <w:marRight w:val="0"/>
      <w:marTop w:val="0"/>
      <w:marBottom w:val="0"/>
      <w:divBdr>
        <w:top w:val="none" w:sz="0" w:space="0" w:color="auto"/>
        <w:left w:val="none" w:sz="0" w:space="0" w:color="auto"/>
        <w:bottom w:val="none" w:sz="0" w:space="0" w:color="auto"/>
        <w:right w:val="none" w:sz="0" w:space="0" w:color="auto"/>
      </w:divBdr>
      <w:divsChild>
        <w:div w:id="1482113559">
          <w:marLeft w:val="0"/>
          <w:marRight w:val="0"/>
          <w:marTop w:val="0"/>
          <w:marBottom w:val="567"/>
          <w:divBdr>
            <w:top w:val="none" w:sz="0" w:space="0" w:color="auto"/>
            <w:left w:val="none" w:sz="0" w:space="0" w:color="auto"/>
            <w:bottom w:val="none" w:sz="0" w:space="0" w:color="auto"/>
            <w:right w:val="none" w:sz="0" w:space="0" w:color="auto"/>
          </w:divBdr>
        </w:div>
        <w:div w:id="1932159416">
          <w:marLeft w:val="0"/>
          <w:marRight w:val="0"/>
          <w:marTop w:val="480"/>
          <w:marBottom w:val="240"/>
          <w:divBdr>
            <w:top w:val="none" w:sz="0" w:space="0" w:color="auto"/>
            <w:left w:val="none" w:sz="0" w:space="0" w:color="auto"/>
            <w:bottom w:val="none" w:sz="0" w:space="0" w:color="auto"/>
            <w:right w:val="none" w:sz="0" w:space="0" w:color="auto"/>
          </w:divBdr>
        </w:div>
      </w:divsChild>
    </w:div>
    <w:div w:id="78598492">
      <w:bodyDiv w:val="1"/>
      <w:marLeft w:val="0"/>
      <w:marRight w:val="0"/>
      <w:marTop w:val="0"/>
      <w:marBottom w:val="0"/>
      <w:divBdr>
        <w:top w:val="none" w:sz="0" w:space="0" w:color="auto"/>
        <w:left w:val="none" w:sz="0" w:space="0" w:color="auto"/>
        <w:bottom w:val="none" w:sz="0" w:space="0" w:color="auto"/>
        <w:right w:val="none" w:sz="0" w:space="0" w:color="auto"/>
      </w:divBdr>
    </w:div>
    <w:div w:id="147522878">
      <w:bodyDiv w:val="1"/>
      <w:marLeft w:val="0"/>
      <w:marRight w:val="0"/>
      <w:marTop w:val="0"/>
      <w:marBottom w:val="0"/>
      <w:divBdr>
        <w:top w:val="none" w:sz="0" w:space="0" w:color="auto"/>
        <w:left w:val="none" w:sz="0" w:space="0" w:color="auto"/>
        <w:bottom w:val="none" w:sz="0" w:space="0" w:color="auto"/>
        <w:right w:val="none" w:sz="0" w:space="0" w:color="auto"/>
      </w:divBdr>
      <w:divsChild>
        <w:div w:id="658657508">
          <w:marLeft w:val="0"/>
          <w:marRight w:val="0"/>
          <w:marTop w:val="0"/>
          <w:marBottom w:val="0"/>
          <w:divBdr>
            <w:top w:val="none" w:sz="0" w:space="0" w:color="auto"/>
            <w:left w:val="none" w:sz="0" w:space="0" w:color="auto"/>
            <w:bottom w:val="none" w:sz="0" w:space="0" w:color="auto"/>
            <w:right w:val="none" w:sz="0" w:space="0" w:color="auto"/>
          </w:divBdr>
        </w:div>
        <w:div w:id="1313369139">
          <w:marLeft w:val="0"/>
          <w:marRight w:val="0"/>
          <w:marTop w:val="0"/>
          <w:marBottom w:val="0"/>
          <w:divBdr>
            <w:top w:val="none" w:sz="0" w:space="0" w:color="auto"/>
            <w:left w:val="none" w:sz="0" w:space="0" w:color="auto"/>
            <w:bottom w:val="none" w:sz="0" w:space="0" w:color="auto"/>
            <w:right w:val="none" w:sz="0" w:space="0" w:color="auto"/>
          </w:divBdr>
        </w:div>
      </w:divsChild>
    </w:div>
    <w:div w:id="197359424">
      <w:bodyDiv w:val="1"/>
      <w:marLeft w:val="0"/>
      <w:marRight w:val="0"/>
      <w:marTop w:val="0"/>
      <w:marBottom w:val="0"/>
      <w:divBdr>
        <w:top w:val="none" w:sz="0" w:space="0" w:color="auto"/>
        <w:left w:val="none" w:sz="0" w:space="0" w:color="auto"/>
        <w:bottom w:val="none" w:sz="0" w:space="0" w:color="auto"/>
        <w:right w:val="none" w:sz="0" w:space="0" w:color="auto"/>
      </w:divBdr>
      <w:divsChild>
        <w:div w:id="403988433">
          <w:marLeft w:val="0"/>
          <w:marRight w:val="0"/>
          <w:marTop w:val="0"/>
          <w:marBottom w:val="0"/>
          <w:divBdr>
            <w:top w:val="none" w:sz="0" w:space="0" w:color="auto"/>
            <w:left w:val="none" w:sz="0" w:space="0" w:color="auto"/>
            <w:bottom w:val="none" w:sz="0" w:space="0" w:color="auto"/>
            <w:right w:val="none" w:sz="0" w:space="0" w:color="auto"/>
          </w:divBdr>
          <w:divsChild>
            <w:div w:id="1859540331">
              <w:marLeft w:val="0"/>
              <w:marRight w:val="0"/>
              <w:marTop w:val="0"/>
              <w:marBottom w:val="0"/>
              <w:divBdr>
                <w:top w:val="none" w:sz="0" w:space="0" w:color="auto"/>
                <w:left w:val="none" w:sz="0" w:space="0" w:color="auto"/>
                <w:bottom w:val="none" w:sz="0" w:space="0" w:color="auto"/>
                <w:right w:val="none" w:sz="0" w:space="0" w:color="auto"/>
              </w:divBdr>
              <w:divsChild>
                <w:div w:id="181517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42636">
          <w:marLeft w:val="300"/>
          <w:marRight w:val="0"/>
          <w:marTop w:val="120"/>
          <w:marBottom w:val="300"/>
          <w:divBdr>
            <w:top w:val="none" w:sz="0" w:space="0" w:color="auto"/>
            <w:left w:val="none" w:sz="0" w:space="0" w:color="auto"/>
            <w:bottom w:val="none" w:sz="0" w:space="0" w:color="auto"/>
            <w:right w:val="none" w:sz="0" w:space="0" w:color="auto"/>
          </w:divBdr>
          <w:divsChild>
            <w:div w:id="1224827035">
              <w:marLeft w:val="0"/>
              <w:marRight w:val="0"/>
              <w:marTop w:val="0"/>
              <w:marBottom w:val="0"/>
              <w:divBdr>
                <w:top w:val="none" w:sz="0" w:space="0" w:color="auto"/>
                <w:left w:val="none" w:sz="0" w:space="0" w:color="auto"/>
                <w:bottom w:val="none" w:sz="0" w:space="0" w:color="auto"/>
                <w:right w:val="none" w:sz="0" w:space="0" w:color="auto"/>
              </w:divBdr>
              <w:divsChild>
                <w:div w:id="210699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549">
      <w:bodyDiv w:val="1"/>
      <w:marLeft w:val="0"/>
      <w:marRight w:val="0"/>
      <w:marTop w:val="0"/>
      <w:marBottom w:val="0"/>
      <w:divBdr>
        <w:top w:val="none" w:sz="0" w:space="0" w:color="auto"/>
        <w:left w:val="none" w:sz="0" w:space="0" w:color="auto"/>
        <w:bottom w:val="none" w:sz="0" w:space="0" w:color="auto"/>
        <w:right w:val="none" w:sz="0" w:space="0" w:color="auto"/>
      </w:divBdr>
    </w:div>
    <w:div w:id="234558699">
      <w:bodyDiv w:val="1"/>
      <w:marLeft w:val="0"/>
      <w:marRight w:val="0"/>
      <w:marTop w:val="0"/>
      <w:marBottom w:val="0"/>
      <w:divBdr>
        <w:top w:val="none" w:sz="0" w:space="0" w:color="auto"/>
        <w:left w:val="none" w:sz="0" w:space="0" w:color="auto"/>
        <w:bottom w:val="none" w:sz="0" w:space="0" w:color="auto"/>
        <w:right w:val="none" w:sz="0" w:space="0" w:color="auto"/>
      </w:divBdr>
    </w:div>
    <w:div w:id="478032793">
      <w:bodyDiv w:val="1"/>
      <w:marLeft w:val="0"/>
      <w:marRight w:val="0"/>
      <w:marTop w:val="0"/>
      <w:marBottom w:val="0"/>
      <w:divBdr>
        <w:top w:val="none" w:sz="0" w:space="0" w:color="auto"/>
        <w:left w:val="none" w:sz="0" w:space="0" w:color="auto"/>
        <w:bottom w:val="none" w:sz="0" w:space="0" w:color="auto"/>
        <w:right w:val="none" w:sz="0" w:space="0" w:color="auto"/>
      </w:divBdr>
    </w:div>
    <w:div w:id="542787182">
      <w:bodyDiv w:val="1"/>
      <w:marLeft w:val="0"/>
      <w:marRight w:val="0"/>
      <w:marTop w:val="0"/>
      <w:marBottom w:val="0"/>
      <w:divBdr>
        <w:top w:val="none" w:sz="0" w:space="0" w:color="auto"/>
        <w:left w:val="none" w:sz="0" w:space="0" w:color="auto"/>
        <w:bottom w:val="none" w:sz="0" w:space="0" w:color="auto"/>
        <w:right w:val="none" w:sz="0" w:space="0" w:color="auto"/>
      </w:divBdr>
    </w:div>
    <w:div w:id="551575393">
      <w:bodyDiv w:val="1"/>
      <w:marLeft w:val="0"/>
      <w:marRight w:val="0"/>
      <w:marTop w:val="0"/>
      <w:marBottom w:val="0"/>
      <w:divBdr>
        <w:top w:val="none" w:sz="0" w:space="0" w:color="auto"/>
        <w:left w:val="none" w:sz="0" w:space="0" w:color="auto"/>
        <w:bottom w:val="none" w:sz="0" w:space="0" w:color="auto"/>
        <w:right w:val="none" w:sz="0" w:space="0" w:color="auto"/>
      </w:divBdr>
      <w:divsChild>
        <w:div w:id="447043164">
          <w:marLeft w:val="0"/>
          <w:marRight w:val="0"/>
          <w:marTop w:val="0"/>
          <w:marBottom w:val="567"/>
          <w:divBdr>
            <w:top w:val="none" w:sz="0" w:space="0" w:color="auto"/>
            <w:left w:val="none" w:sz="0" w:space="0" w:color="auto"/>
            <w:bottom w:val="none" w:sz="0" w:space="0" w:color="auto"/>
            <w:right w:val="none" w:sz="0" w:space="0" w:color="auto"/>
          </w:divBdr>
        </w:div>
        <w:div w:id="1542673715">
          <w:marLeft w:val="0"/>
          <w:marRight w:val="0"/>
          <w:marTop w:val="480"/>
          <w:marBottom w:val="240"/>
          <w:divBdr>
            <w:top w:val="none" w:sz="0" w:space="0" w:color="auto"/>
            <w:left w:val="none" w:sz="0" w:space="0" w:color="auto"/>
            <w:bottom w:val="none" w:sz="0" w:space="0" w:color="auto"/>
            <w:right w:val="none" w:sz="0" w:space="0" w:color="auto"/>
          </w:divBdr>
        </w:div>
      </w:divsChild>
    </w:div>
    <w:div w:id="607128716">
      <w:bodyDiv w:val="1"/>
      <w:marLeft w:val="0"/>
      <w:marRight w:val="0"/>
      <w:marTop w:val="0"/>
      <w:marBottom w:val="0"/>
      <w:divBdr>
        <w:top w:val="none" w:sz="0" w:space="0" w:color="auto"/>
        <w:left w:val="none" w:sz="0" w:space="0" w:color="auto"/>
        <w:bottom w:val="none" w:sz="0" w:space="0" w:color="auto"/>
        <w:right w:val="none" w:sz="0" w:space="0" w:color="auto"/>
      </w:divBdr>
    </w:div>
    <w:div w:id="668168650">
      <w:bodyDiv w:val="1"/>
      <w:marLeft w:val="0"/>
      <w:marRight w:val="0"/>
      <w:marTop w:val="0"/>
      <w:marBottom w:val="0"/>
      <w:divBdr>
        <w:top w:val="none" w:sz="0" w:space="0" w:color="auto"/>
        <w:left w:val="none" w:sz="0" w:space="0" w:color="auto"/>
        <w:bottom w:val="none" w:sz="0" w:space="0" w:color="auto"/>
        <w:right w:val="none" w:sz="0" w:space="0" w:color="auto"/>
      </w:divBdr>
    </w:div>
    <w:div w:id="693505832">
      <w:bodyDiv w:val="1"/>
      <w:marLeft w:val="0"/>
      <w:marRight w:val="0"/>
      <w:marTop w:val="0"/>
      <w:marBottom w:val="0"/>
      <w:divBdr>
        <w:top w:val="none" w:sz="0" w:space="0" w:color="auto"/>
        <w:left w:val="none" w:sz="0" w:space="0" w:color="auto"/>
        <w:bottom w:val="none" w:sz="0" w:space="0" w:color="auto"/>
        <w:right w:val="none" w:sz="0" w:space="0" w:color="auto"/>
      </w:divBdr>
    </w:div>
    <w:div w:id="756560588">
      <w:bodyDiv w:val="1"/>
      <w:marLeft w:val="0"/>
      <w:marRight w:val="0"/>
      <w:marTop w:val="0"/>
      <w:marBottom w:val="0"/>
      <w:divBdr>
        <w:top w:val="none" w:sz="0" w:space="0" w:color="auto"/>
        <w:left w:val="none" w:sz="0" w:space="0" w:color="auto"/>
        <w:bottom w:val="none" w:sz="0" w:space="0" w:color="auto"/>
        <w:right w:val="none" w:sz="0" w:space="0" w:color="auto"/>
      </w:divBdr>
      <w:divsChild>
        <w:div w:id="75175789">
          <w:marLeft w:val="0"/>
          <w:marRight w:val="0"/>
          <w:marTop w:val="0"/>
          <w:marBottom w:val="567"/>
          <w:divBdr>
            <w:top w:val="none" w:sz="0" w:space="0" w:color="auto"/>
            <w:left w:val="none" w:sz="0" w:space="0" w:color="auto"/>
            <w:bottom w:val="none" w:sz="0" w:space="0" w:color="auto"/>
            <w:right w:val="none" w:sz="0" w:space="0" w:color="auto"/>
          </w:divBdr>
        </w:div>
        <w:div w:id="641739565">
          <w:marLeft w:val="0"/>
          <w:marRight w:val="0"/>
          <w:marTop w:val="480"/>
          <w:marBottom w:val="240"/>
          <w:divBdr>
            <w:top w:val="none" w:sz="0" w:space="0" w:color="auto"/>
            <w:left w:val="none" w:sz="0" w:space="0" w:color="auto"/>
            <w:bottom w:val="none" w:sz="0" w:space="0" w:color="auto"/>
            <w:right w:val="none" w:sz="0" w:space="0" w:color="auto"/>
          </w:divBdr>
        </w:div>
      </w:divsChild>
    </w:div>
    <w:div w:id="775488818">
      <w:bodyDiv w:val="1"/>
      <w:marLeft w:val="0"/>
      <w:marRight w:val="0"/>
      <w:marTop w:val="0"/>
      <w:marBottom w:val="0"/>
      <w:divBdr>
        <w:top w:val="none" w:sz="0" w:space="0" w:color="auto"/>
        <w:left w:val="none" w:sz="0" w:space="0" w:color="auto"/>
        <w:bottom w:val="none" w:sz="0" w:space="0" w:color="auto"/>
        <w:right w:val="none" w:sz="0" w:space="0" w:color="auto"/>
      </w:divBdr>
    </w:div>
    <w:div w:id="778373016">
      <w:bodyDiv w:val="1"/>
      <w:marLeft w:val="0"/>
      <w:marRight w:val="0"/>
      <w:marTop w:val="0"/>
      <w:marBottom w:val="0"/>
      <w:divBdr>
        <w:top w:val="none" w:sz="0" w:space="0" w:color="auto"/>
        <w:left w:val="none" w:sz="0" w:space="0" w:color="auto"/>
        <w:bottom w:val="none" w:sz="0" w:space="0" w:color="auto"/>
        <w:right w:val="none" w:sz="0" w:space="0" w:color="auto"/>
      </w:divBdr>
    </w:div>
    <w:div w:id="779302363">
      <w:bodyDiv w:val="1"/>
      <w:marLeft w:val="0"/>
      <w:marRight w:val="0"/>
      <w:marTop w:val="0"/>
      <w:marBottom w:val="0"/>
      <w:divBdr>
        <w:top w:val="none" w:sz="0" w:space="0" w:color="auto"/>
        <w:left w:val="none" w:sz="0" w:space="0" w:color="auto"/>
        <w:bottom w:val="none" w:sz="0" w:space="0" w:color="auto"/>
        <w:right w:val="none" w:sz="0" w:space="0" w:color="auto"/>
      </w:divBdr>
    </w:div>
    <w:div w:id="1057053969">
      <w:bodyDiv w:val="1"/>
      <w:marLeft w:val="0"/>
      <w:marRight w:val="0"/>
      <w:marTop w:val="0"/>
      <w:marBottom w:val="0"/>
      <w:divBdr>
        <w:top w:val="none" w:sz="0" w:space="0" w:color="auto"/>
        <w:left w:val="none" w:sz="0" w:space="0" w:color="auto"/>
        <w:bottom w:val="none" w:sz="0" w:space="0" w:color="auto"/>
        <w:right w:val="none" w:sz="0" w:space="0" w:color="auto"/>
      </w:divBdr>
    </w:div>
    <w:div w:id="1195074542">
      <w:bodyDiv w:val="1"/>
      <w:marLeft w:val="0"/>
      <w:marRight w:val="0"/>
      <w:marTop w:val="0"/>
      <w:marBottom w:val="0"/>
      <w:divBdr>
        <w:top w:val="none" w:sz="0" w:space="0" w:color="auto"/>
        <w:left w:val="none" w:sz="0" w:space="0" w:color="auto"/>
        <w:bottom w:val="none" w:sz="0" w:space="0" w:color="auto"/>
        <w:right w:val="none" w:sz="0" w:space="0" w:color="auto"/>
      </w:divBdr>
    </w:div>
    <w:div w:id="1230380701">
      <w:bodyDiv w:val="1"/>
      <w:marLeft w:val="0"/>
      <w:marRight w:val="0"/>
      <w:marTop w:val="0"/>
      <w:marBottom w:val="0"/>
      <w:divBdr>
        <w:top w:val="none" w:sz="0" w:space="0" w:color="auto"/>
        <w:left w:val="none" w:sz="0" w:space="0" w:color="auto"/>
        <w:bottom w:val="none" w:sz="0" w:space="0" w:color="auto"/>
        <w:right w:val="none" w:sz="0" w:space="0" w:color="auto"/>
      </w:divBdr>
    </w:div>
    <w:div w:id="1239828728">
      <w:bodyDiv w:val="1"/>
      <w:marLeft w:val="0"/>
      <w:marRight w:val="0"/>
      <w:marTop w:val="0"/>
      <w:marBottom w:val="0"/>
      <w:divBdr>
        <w:top w:val="none" w:sz="0" w:space="0" w:color="auto"/>
        <w:left w:val="none" w:sz="0" w:space="0" w:color="auto"/>
        <w:bottom w:val="none" w:sz="0" w:space="0" w:color="auto"/>
        <w:right w:val="none" w:sz="0" w:space="0" w:color="auto"/>
      </w:divBdr>
    </w:div>
    <w:div w:id="1270237438">
      <w:bodyDiv w:val="1"/>
      <w:marLeft w:val="0"/>
      <w:marRight w:val="0"/>
      <w:marTop w:val="0"/>
      <w:marBottom w:val="0"/>
      <w:divBdr>
        <w:top w:val="none" w:sz="0" w:space="0" w:color="auto"/>
        <w:left w:val="none" w:sz="0" w:space="0" w:color="auto"/>
        <w:bottom w:val="none" w:sz="0" w:space="0" w:color="auto"/>
        <w:right w:val="none" w:sz="0" w:space="0" w:color="auto"/>
      </w:divBdr>
    </w:div>
    <w:div w:id="1283611375">
      <w:bodyDiv w:val="1"/>
      <w:marLeft w:val="0"/>
      <w:marRight w:val="0"/>
      <w:marTop w:val="0"/>
      <w:marBottom w:val="0"/>
      <w:divBdr>
        <w:top w:val="none" w:sz="0" w:space="0" w:color="auto"/>
        <w:left w:val="none" w:sz="0" w:space="0" w:color="auto"/>
        <w:bottom w:val="none" w:sz="0" w:space="0" w:color="auto"/>
        <w:right w:val="none" w:sz="0" w:space="0" w:color="auto"/>
      </w:divBdr>
      <w:divsChild>
        <w:div w:id="1571382471">
          <w:marLeft w:val="0"/>
          <w:marRight w:val="0"/>
          <w:marTop w:val="0"/>
          <w:marBottom w:val="0"/>
          <w:divBdr>
            <w:top w:val="none" w:sz="0" w:space="0" w:color="auto"/>
            <w:left w:val="none" w:sz="0" w:space="0" w:color="auto"/>
            <w:bottom w:val="none" w:sz="0" w:space="0" w:color="auto"/>
            <w:right w:val="none" w:sz="0" w:space="0" w:color="auto"/>
          </w:divBdr>
        </w:div>
        <w:div w:id="1930772116">
          <w:marLeft w:val="0"/>
          <w:marRight w:val="0"/>
          <w:marTop w:val="0"/>
          <w:marBottom w:val="0"/>
          <w:divBdr>
            <w:top w:val="none" w:sz="0" w:space="0" w:color="auto"/>
            <w:left w:val="none" w:sz="0" w:space="0" w:color="auto"/>
            <w:bottom w:val="none" w:sz="0" w:space="0" w:color="auto"/>
            <w:right w:val="none" w:sz="0" w:space="0" w:color="auto"/>
          </w:divBdr>
        </w:div>
      </w:divsChild>
    </w:div>
    <w:div w:id="1419444914">
      <w:bodyDiv w:val="1"/>
      <w:marLeft w:val="0"/>
      <w:marRight w:val="0"/>
      <w:marTop w:val="0"/>
      <w:marBottom w:val="0"/>
      <w:divBdr>
        <w:top w:val="none" w:sz="0" w:space="0" w:color="auto"/>
        <w:left w:val="none" w:sz="0" w:space="0" w:color="auto"/>
        <w:bottom w:val="none" w:sz="0" w:space="0" w:color="auto"/>
        <w:right w:val="none" w:sz="0" w:space="0" w:color="auto"/>
      </w:divBdr>
    </w:div>
    <w:div w:id="1433359665">
      <w:bodyDiv w:val="1"/>
      <w:marLeft w:val="0"/>
      <w:marRight w:val="0"/>
      <w:marTop w:val="0"/>
      <w:marBottom w:val="0"/>
      <w:divBdr>
        <w:top w:val="none" w:sz="0" w:space="0" w:color="auto"/>
        <w:left w:val="none" w:sz="0" w:space="0" w:color="auto"/>
        <w:bottom w:val="none" w:sz="0" w:space="0" w:color="auto"/>
        <w:right w:val="none" w:sz="0" w:space="0" w:color="auto"/>
      </w:divBdr>
    </w:div>
    <w:div w:id="1453982417">
      <w:bodyDiv w:val="1"/>
      <w:marLeft w:val="0"/>
      <w:marRight w:val="0"/>
      <w:marTop w:val="0"/>
      <w:marBottom w:val="0"/>
      <w:divBdr>
        <w:top w:val="none" w:sz="0" w:space="0" w:color="auto"/>
        <w:left w:val="none" w:sz="0" w:space="0" w:color="auto"/>
        <w:bottom w:val="none" w:sz="0" w:space="0" w:color="auto"/>
        <w:right w:val="none" w:sz="0" w:space="0" w:color="auto"/>
      </w:divBdr>
      <w:divsChild>
        <w:div w:id="644437048">
          <w:marLeft w:val="1411"/>
          <w:marRight w:val="0"/>
          <w:marTop w:val="0"/>
          <w:marBottom w:val="0"/>
          <w:divBdr>
            <w:top w:val="none" w:sz="0" w:space="0" w:color="auto"/>
            <w:left w:val="none" w:sz="0" w:space="0" w:color="auto"/>
            <w:bottom w:val="none" w:sz="0" w:space="0" w:color="auto"/>
            <w:right w:val="none" w:sz="0" w:space="0" w:color="auto"/>
          </w:divBdr>
        </w:div>
        <w:div w:id="832380898">
          <w:marLeft w:val="590"/>
          <w:marRight w:val="0"/>
          <w:marTop w:val="0"/>
          <w:marBottom w:val="0"/>
          <w:divBdr>
            <w:top w:val="none" w:sz="0" w:space="0" w:color="auto"/>
            <w:left w:val="none" w:sz="0" w:space="0" w:color="auto"/>
            <w:bottom w:val="none" w:sz="0" w:space="0" w:color="auto"/>
            <w:right w:val="none" w:sz="0" w:space="0" w:color="auto"/>
          </w:divBdr>
        </w:div>
        <w:div w:id="1154951310">
          <w:marLeft w:val="1411"/>
          <w:marRight w:val="0"/>
          <w:marTop w:val="0"/>
          <w:marBottom w:val="0"/>
          <w:divBdr>
            <w:top w:val="none" w:sz="0" w:space="0" w:color="auto"/>
            <w:left w:val="none" w:sz="0" w:space="0" w:color="auto"/>
            <w:bottom w:val="none" w:sz="0" w:space="0" w:color="auto"/>
            <w:right w:val="none" w:sz="0" w:space="0" w:color="auto"/>
          </w:divBdr>
        </w:div>
        <w:div w:id="2076736190">
          <w:marLeft w:val="1411"/>
          <w:marRight w:val="0"/>
          <w:marTop w:val="0"/>
          <w:marBottom w:val="0"/>
          <w:divBdr>
            <w:top w:val="none" w:sz="0" w:space="0" w:color="auto"/>
            <w:left w:val="none" w:sz="0" w:space="0" w:color="auto"/>
            <w:bottom w:val="none" w:sz="0" w:space="0" w:color="auto"/>
            <w:right w:val="none" w:sz="0" w:space="0" w:color="auto"/>
          </w:divBdr>
        </w:div>
      </w:divsChild>
    </w:div>
    <w:div w:id="1565289606">
      <w:bodyDiv w:val="1"/>
      <w:marLeft w:val="0"/>
      <w:marRight w:val="0"/>
      <w:marTop w:val="0"/>
      <w:marBottom w:val="0"/>
      <w:divBdr>
        <w:top w:val="none" w:sz="0" w:space="0" w:color="auto"/>
        <w:left w:val="none" w:sz="0" w:space="0" w:color="auto"/>
        <w:bottom w:val="none" w:sz="0" w:space="0" w:color="auto"/>
        <w:right w:val="none" w:sz="0" w:space="0" w:color="auto"/>
      </w:divBdr>
    </w:div>
    <w:div w:id="1588729085">
      <w:bodyDiv w:val="1"/>
      <w:marLeft w:val="0"/>
      <w:marRight w:val="0"/>
      <w:marTop w:val="0"/>
      <w:marBottom w:val="0"/>
      <w:divBdr>
        <w:top w:val="none" w:sz="0" w:space="0" w:color="auto"/>
        <w:left w:val="none" w:sz="0" w:space="0" w:color="auto"/>
        <w:bottom w:val="none" w:sz="0" w:space="0" w:color="auto"/>
        <w:right w:val="none" w:sz="0" w:space="0" w:color="auto"/>
      </w:divBdr>
    </w:div>
    <w:div w:id="1733237852">
      <w:bodyDiv w:val="1"/>
      <w:marLeft w:val="0"/>
      <w:marRight w:val="0"/>
      <w:marTop w:val="0"/>
      <w:marBottom w:val="0"/>
      <w:divBdr>
        <w:top w:val="none" w:sz="0" w:space="0" w:color="auto"/>
        <w:left w:val="none" w:sz="0" w:space="0" w:color="auto"/>
        <w:bottom w:val="none" w:sz="0" w:space="0" w:color="auto"/>
        <w:right w:val="none" w:sz="0" w:space="0" w:color="auto"/>
      </w:divBdr>
    </w:div>
    <w:div w:id="1790009115">
      <w:bodyDiv w:val="1"/>
      <w:marLeft w:val="0"/>
      <w:marRight w:val="0"/>
      <w:marTop w:val="0"/>
      <w:marBottom w:val="0"/>
      <w:divBdr>
        <w:top w:val="none" w:sz="0" w:space="0" w:color="auto"/>
        <w:left w:val="none" w:sz="0" w:space="0" w:color="auto"/>
        <w:bottom w:val="none" w:sz="0" w:space="0" w:color="auto"/>
        <w:right w:val="none" w:sz="0" w:space="0" w:color="auto"/>
      </w:divBdr>
    </w:div>
    <w:div w:id="1875922398">
      <w:bodyDiv w:val="1"/>
      <w:marLeft w:val="0"/>
      <w:marRight w:val="0"/>
      <w:marTop w:val="0"/>
      <w:marBottom w:val="0"/>
      <w:divBdr>
        <w:top w:val="none" w:sz="0" w:space="0" w:color="auto"/>
        <w:left w:val="none" w:sz="0" w:space="0" w:color="auto"/>
        <w:bottom w:val="none" w:sz="0" w:space="0" w:color="auto"/>
        <w:right w:val="none" w:sz="0" w:space="0" w:color="auto"/>
      </w:divBdr>
      <w:divsChild>
        <w:div w:id="1684090579">
          <w:marLeft w:val="0"/>
          <w:marRight w:val="0"/>
          <w:marTop w:val="0"/>
          <w:marBottom w:val="0"/>
          <w:divBdr>
            <w:top w:val="none" w:sz="0" w:space="0" w:color="auto"/>
            <w:left w:val="none" w:sz="0" w:space="0" w:color="auto"/>
            <w:bottom w:val="none" w:sz="0" w:space="0" w:color="auto"/>
            <w:right w:val="none" w:sz="0" w:space="0" w:color="auto"/>
          </w:divBdr>
          <w:divsChild>
            <w:div w:id="822165925">
              <w:marLeft w:val="0"/>
              <w:marRight w:val="0"/>
              <w:marTop w:val="0"/>
              <w:marBottom w:val="567"/>
              <w:divBdr>
                <w:top w:val="none" w:sz="0" w:space="0" w:color="auto"/>
                <w:left w:val="none" w:sz="0" w:space="0" w:color="auto"/>
                <w:bottom w:val="none" w:sz="0" w:space="0" w:color="auto"/>
                <w:right w:val="none" w:sz="0" w:space="0" w:color="auto"/>
              </w:divBdr>
            </w:div>
            <w:div w:id="2117938073">
              <w:marLeft w:val="0"/>
              <w:marRight w:val="0"/>
              <w:marTop w:val="480"/>
              <w:marBottom w:val="240"/>
              <w:divBdr>
                <w:top w:val="none" w:sz="0" w:space="0" w:color="auto"/>
                <w:left w:val="none" w:sz="0" w:space="0" w:color="auto"/>
                <w:bottom w:val="none" w:sz="0" w:space="0" w:color="auto"/>
                <w:right w:val="none" w:sz="0" w:space="0" w:color="auto"/>
              </w:divBdr>
            </w:div>
          </w:divsChild>
        </w:div>
        <w:div w:id="2022931831">
          <w:marLeft w:val="-6900"/>
          <w:marRight w:val="150"/>
          <w:marTop w:val="0"/>
          <w:marBottom w:val="0"/>
          <w:divBdr>
            <w:top w:val="none" w:sz="0" w:space="0" w:color="auto"/>
            <w:left w:val="none" w:sz="0" w:space="0" w:color="auto"/>
            <w:bottom w:val="none" w:sz="0" w:space="0" w:color="auto"/>
            <w:right w:val="none" w:sz="0" w:space="0" w:color="auto"/>
          </w:divBdr>
          <w:divsChild>
            <w:div w:id="258029902">
              <w:marLeft w:val="0"/>
              <w:marRight w:val="0"/>
              <w:marTop w:val="0"/>
              <w:marBottom w:val="0"/>
              <w:divBdr>
                <w:top w:val="none" w:sz="0" w:space="0" w:color="auto"/>
                <w:left w:val="none" w:sz="0" w:space="0" w:color="auto"/>
                <w:bottom w:val="none" w:sz="0" w:space="0" w:color="auto"/>
                <w:right w:val="none" w:sz="0" w:space="0" w:color="auto"/>
              </w:divBdr>
              <w:divsChild>
                <w:div w:id="16249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06608">
      <w:bodyDiv w:val="1"/>
      <w:marLeft w:val="0"/>
      <w:marRight w:val="0"/>
      <w:marTop w:val="0"/>
      <w:marBottom w:val="0"/>
      <w:divBdr>
        <w:top w:val="none" w:sz="0" w:space="0" w:color="auto"/>
        <w:left w:val="none" w:sz="0" w:space="0" w:color="auto"/>
        <w:bottom w:val="none" w:sz="0" w:space="0" w:color="auto"/>
        <w:right w:val="none" w:sz="0" w:space="0" w:color="auto"/>
      </w:divBdr>
    </w:div>
    <w:div w:id="1915427112">
      <w:bodyDiv w:val="1"/>
      <w:marLeft w:val="0"/>
      <w:marRight w:val="0"/>
      <w:marTop w:val="0"/>
      <w:marBottom w:val="0"/>
      <w:divBdr>
        <w:top w:val="none" w:sz="0" w:space="0" w:color="auto"/>
        <w:left w:val="none" w:sz="0" w:space="0" w:color="auto"/>
        <w:bottom w:val="none" w:sz="0" w:space="0" w:color="auto"/>
        <w:right w:val="none" w:sz="0" w:space="0" w:color="auto"/>
      </w:divBdr>
    </w:div>
    <w:div w:id="1966812855">
      <w:bodyDiv w:val="1"/>
      <w:marLeft w:val="0"/>
      <w:marRight w:val="0"/>
      <w:marTop w:val="0"/>
      <w:marBottom w:val="0"/>
      <w:divBdr>
        <w:top w:val="none" w:sz="0" w:space="0" w:color="auto"/>
        <w:left w:val="none" w:sz="0" w:space="0" w:color="auto"/>
        <w:bottom w:val="none" w:sz="0" w:space="0" w:color="auto"/>
        <w:right w:val="none" w:sz="0" w:space="0" w:color="auto"/>
      </w:divBdr>
    </w:div>
    <w:div w:id="2015110987">
      <w:bodyDiv w:val="1"/>
      <w:marLeft w:val="0"/>
      <w:marRight w:val="0"/>
      <w:marTop w:val="0"/>
      <w:marBottom w:val="0"/>
      <w:divBdr>
        <w:top w:val="none" w:sz="0" w:space="0" w:color="auto"/>
        <w:left w:val="none" w:sz="0" w:space="0" w:color="auto"/>
        <w:bottom w:val="none" w:sz="0" w:space="0" w:color="auto"/>
        <w:right w:val="none" w:sz="0" w:space="0" w:color="auto"/>
      </w:divBdr>
    </w:div>
    <w:div w:id="2026445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m.gov.lv/files/tautsaimniecibas_attistiba/dsp/EMzino_03062020-ar-pielikumiem.pdf" TargetMode="External"/><Relationship Id="rId7" Type="http://schemas.openxmlformats.org/officeDocument/2006/relationships/hyperlink" Target="https://www.lrvk.gov.lv/lv/revizijas/revizijas/noslegtas-revizijas/profesionala-videja-izglitiba-vai-kluvusi-pievilcigaka-un-sagatavo-valsti-pieprasitus-specialistus" TargetMode="External"/><Relationship Id="rId2" Type="http://schemas.openxmlformats.org/officeDocument/2006/relationships/hyperlink" Target="https://likumi.lv/ta/id/287602-izglitibas-iestazu-eksaminacijas-centru-citu-izglitibas-likuma-noteiktu-instituciju-visparejas-un-profesionalas-izglitibas" TargetMode="External"/><Relationship Id="rId1" Type="http://schemas.openxmlformats.org/officeDocument/2006/relationships/hyperlink" Target="http://petijumi.mk.gov.lv/node/3104" TargetMode="External"/><Relationship Id="rId6" Type="http://schemas.openxmlformats.org/officeDocument/2006/relationships/hyperlink" Target="http://viaa.gov.lv/lat/es_fondu_projekti/jauniesugarantija/par_jauniesu_garantiju/" TargetMode="External"/><Relationship Id="rId5" Type="http://schemas.openxmlformats.org/officeDocument/2006/relationships/hyperlink" Target="https://www.pkc.gov.lv/sites/default/files/inline-files/NAP2027_apstiprin%C4%81ts%20Saeim%C4%81_1.pdf" TargetMode="External"/><Relationship Id="rId4" Type="http://schemas.openxmlformats.org/officeDocument/2006/relationships/hyperlink" Target="https://www.izm.gov.lv/images/IAP2027_projekta_versija_apspriesana_16072020.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08E6B-5C87-4109-98B8-70A8FEDCE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56356</Words>
  <Characters>32123</Characters>
  <Application>Microsoft Office Word</Application>
  <DocSecurity>0</DocSecurity>
  <Lines>267</Lines>
  <Paragraphs>176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Vikšere</dc:creator>
  <cp:keywords/>
  <cp:lastModifiedBy>Sandra Obodova</cp:lastModifiedBy>
  <cp:revision>2</cp:revision>
  <cp:lastPrinted>2020-09-17T06:11:00Z</cp:lastPrinted>
  <dcterms:created xsi:type="dcterms:W3CDTF">2020-11-09T12:15:00Z</dcterms:created>
  <dcterms:modified xsi:type="dcterms:W3CDTF">2020-11-09T12:15:00Z</dcterms:modified>
</cp:coreProperties>
</file>