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90" w:rsidRPr="0032133C" w:rsidRDefault="00186990" w:rsidP="00186990">
      <w:pPr>
        <w:rPr>
          <w:b/>
          <w:i/>
          <w:sz w:val="22"/>
        </w:rPr>
      </w:pPr>
      <w:r w:rsidRPr="0032133C">
        <w:rPr>
          <w:sz w:val="26"/>
          <w:szCs w:val="26"/>
        </w:rPr>
        <w:t xml:space="preserve">Budžeta un finanšu (nodokļu) komisija </w:t>
      </w:r>
    </w:p>
    <w:p w:rsidR="00186990" w:rsidRPr="0032133C" w:rsidRDefault="00186990" w:rsidP="00186990">
      <w:pPr>
        <w:jc w:val="right"/>
        <w:rPr>
          <w:sz w:val="26"/>
          <w:szCs w:val="26"/>
        </w:rPr>
      </w:pPr>
      <w:r w:rsidRPr="0032133C">
        <w:rPr>
          <w:sz w:val="26"/>
          <w:szCs w:val="26"/>
        </w:rPr>
        <w:t xml:space="preserve">Likumprojekts </w:t>
      </w:r>
      <w:proofErr w:type="gramStart"/>
      <w:r w:rsidRPr="0032133C">
        <w:rPr>
          <w:sz w:val="26"/>
          <w:szCs w:val="26"/>
        </w:rPr>
        <w:t>(steidzams) otrajam lasījumam</w:t>
      </w:r>
      <w:proofErr w:type="gramEnd"/>
    </w:p>
    <w:p w:rsidR="00186990" w:rsidRPr="0032133C" w:rsidRDefault="00186990" w:rsidP="00186990">
      <w:pPr>
        <w:jc w:val="center"/>
        <w:rPr>
          <w:rFonts w:eastAsia="Times New Roman"/>
        </w:rPr>
      </w:pPr>
      <w:r w:rsidRPr="0032133C">
        <w:rPr>
          <w:b/>
          <w:bCs/>
          <w:sz w:val="28"/>
          <w:szCs w:val="28"/>
        </w:rPr>
        <w:t>Grozījumi Invaliditātes likumā</w:t>
      </w:r>
    </w:p>
    <w:p w:rsidR="00186990" w:rsidRPr="0032133C" w:rsidRDefault="00186990" w:rsidP="00186990">
      <w:pPr>
        <w:jc w:val="center"/>
        <w:rPr>
          <w:rStyle w:val="Emphasis"/>
          <w:b/>
          <w:sz w:val="28"/>
          <w:szCs w:val="28"/>
        </w:rPr>
      </w:pPr>
      <w:r w:rsidRPr="0032133C">
        <w:rPr>
          <w:rStyle w:val="Emphasis"/>
          <w:b/>
          <w:sz w:val="28"/>
          <w:szCs w:val="28"/>
        </w:rPr>
        <w:t xml:space="preserve">(Nr. 810/Lp13) </w:t>
      </w:r>
    </w:p>
    <w:p w:rsidR="00186990" w:rsidRPr="0032133C" w:rsidRDefault="00186990" w:rsidP="00186990">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32133C" w:rsidRPr="0032133C" w:rsidTr="00F520B9">
        <w:tc>
          <w:tcPr>
            <w:tcW w:w="3964" w:type="dxa"/>
            <w:shd w:val="clear" w:color="auto" w:fill="auto"/>
            <w:vAlign w:val="center"/>
          </w:tcPr>
          <w:p w:rsidR="00186990" w:rsidRPr="0032133C" w:rsidRDefault="00186990" w:rsidP="00186990">
            <w:pPr>
              <w:jc w:val="center"/>
              <w:rPr>
                <w:b/>
                <w:bCs/>
                <w:iCs/>
              </w:rPr>
            </w:pPr>
            <w:r w:rsidRPr="0032133C">
              <w:rPr>
                <w:b/>
              </w:rPr>
              <w:t>Spēkā esošā redakcija</w:t>
            </w:r>
          </w:p>
        </w:tc>
        <w:tc>
          <w:tcPr>
            <w:tcW w:w="3969" w:type="dxa"/>
            <w:shd w:val="clear" w:color="auto" w:fill="auto"/>
            <w:vAlign w:val="center"/>
          </w:tcPr>
          <w:p w:rsidR="00186990" w:rsidRPr="0032133C" w:rsidRDefault="00186990" w:rsidP="00186990">
            <w:pPr>
              <w:jc w:val="center"/>
              <w:rPr>
                <w:b/>
              </w:rPr>
            </w:pPr>
            <w:r w:rsidRPr="0032133C">
              <w:rPr>
                <w:b/>
              </w:rPr>
              <w:t>Pirmā lasījuma redakcija</w:t>
            </w:r>
          </w:p>
        </w:tc>
        <w:tc>
          <w:tcPr>
            <w:tcW w:w="581" w:type="dxa"/>
            <w:vAlign w:val="center"/>
          </w:tcPr>
          <w:p w:rsidR="00186990" w:rsidRPr="0032133C" w:rsidRDefault="00186990" w:rsidP="00186990">
            <w:pPr>
              <w:jc w:val="center"/>
              <w:rPr>
                <w:b/>
              </w:rPr>
            </w:pPr>
            <w:r w:rsidRPr="0032133C">
              <w:rPr>
                <w:b/>
              </w:rPr>
              <w:t>Nr.</w:t>
            </w:r>
          </w:p>
        </w:tc>
        <w:tc>
          <w:tcPr>
            <w:tcW w:w="3969" w:type="dxa"/>
            <w:vAlign w:val="center"/>
          </w:tcPr>
          <w:p w:rsidR="00186990" w:rsidRPr="0032133C" w:rsidRDefault="00186990" w:rsidP="00186990">
            <w:pPr>
              <w:jc w:val="center"/>
              <w:rPr>
                <w:b/>
              </w:rPr>
            </w:pPr>
            <w:r w:rsidRPr="0032133C">
              <w:rPr>
                <w:b/>
              </w:rPr>
              <w:t>Priekšlikumi</w:t>
            </w:r>
          </w:p>
          <w:p w:rsidR="00186990" w:rsidRPr="0032133C" w:rsidRDefault="00186990" w:rsidP="002B7D36">
            <w:pPr>
              <w:jc w:val="center"/>
              <w:rPr>
                <w:b/>
              </w:rPr>
            </w:pPr>
            <w:r w:rsidRPr="0032133C">
              <w:rPr>
                <w:b/>
              </w:rPr>
              <w:t>(</w:t>
            </w:r>
            <w:r w:rsidR="002B7D36" w:rsidRPr="0032133C">
              <w:rPr>
                <w:b/>
              </w:rPr>
              <w:t>7</w:t>
            </w:r>
            <w:r w:rsidRPr="0032133C">
              <w:rPr>
                <w:b/>
              </w:rPr>
              <w:t>)</w:t>
            </w:r>
          </w:p>
        </w:tc>
        <w:tc>
          <w:tcPr>
            <w:tcW w:w="1417" w:type="dxa"/>
            <w:vAlign w:val="center"/>
          </w:tcPr>
          <w:p w:rsidR="00186990" w:rsidRPr="0032133C" w:rsidRDefault="00186990" w:rsidP="00186990">
            <w:pPr>
              <w:jc w:val="center"/>
              <w:rPr>
                <w:b/>
              </w:rPr>
            </w:pPr>
            <w:r w:rsidRPr="0032133C">
              <w:rPr>
                <w:b/>
              </w:rPr>
              <w:t>Ministru kabineta atzinums</w:t>
            </w:r>
          </w:p>
        </w:tc>
        <w:tc>
          <w:tcPr>
            <w:tcW w:w="1418" w:type="dxa"/>
            <w:vAlign w:val="center"/>
          </w:tcPr>
          <w:p w:rsidR="00186990" w:rsidRPr="0032133C" w:rsidRDefault="00186990" w:rsidP="00186990">
            <w:pPr>
              <w:jc w:val="center"/>
              <w:rPr>
                <w:b/>
              </w:rPr>
            </w:pPr>
            <w:r w:rsidRPr="0032133C">
              <w:rPr>
                <w:b/>
              </w:rPr>
              <w:t>Komisijas atzinums</w:t>
            </w:r>
          </w:p>
        </w:tc>
      </w:tr>
      <w:tr w:rsidR="0032133C" w:rsidRPr="0032133C" w:rsidTr="00F520B9">
        <w:tc>
          <w:tcPr>
            <w:tcW w:w="3964" w:type="dxa"/>
            <w:shd w:val="clear" w:color="auto" w:fill="auto"/>
            <w:vAlign w:val="center"/>
          </w:tcPr>
          <w:p w:rsidR="00186990" w:rsidRPr="0032133C" w:rsidRDefault="00186990" w:rsidP="00186990">
            <w:pPr>
              <w:jc w:val="center"/>
              <w:rPr>
                <w:b/>
              </w:rPr>
            </w:pPr>
          </w:p>
        </w:tc>
        <w:tc>
          <w:tcPr>
            <w:tcW w:w="3969" w:type="dxa"/>
            <w:shd w:val="clear" w:color="auto" w:fill="auto"/>
            <w:vAlign w:val="center"/>
          </w:tcPr>
          <w:p w:rsidR="00186990" w:rsidRPr="0032133C" w:rsidRDefault="00186990" w:rsidP="00186990">
            <w:pPr>
              <w:ind w:firstLine="567"/>
              <w:jc w:val="both"/>
              <w:rPr>
                <w:rFonts w:eastAsia="Times New Roman"/>
                <w:sz w:val="22"/>
                <w:lang w:eastAsia="lv-LV"/>
              </w:rPr>
            </w:pPr>
            <w:r w:rsidRPr="0032133C">
              <w:rPr>
                <w:rFonts w:eastAsia="Times New Roman"/>
                <w:sz w:val="22"/>
                <w:lang w:eastAsia="lv-LV"/>
              </w:rPr>
              <w:t xml:space="preserve">Izdarīt Invaliditātes likumā </w:t>
            </w:r>
            <w:proofErr w:type="gramStart"/>
            <w:r w:rsidRPr="0032133C">
              <w:rPr>
                <w:rFonts w:eastAsia="Times New Roman"/>
                <w:sz w:val="22"/>
                <w:lang w:eastAsia="lv-LV"/>
              </w:rPr>
              <w:t>(</w:t>
            </w:r>
            <w:proofErr w:type="gramEnd"/>
            <w:r w:rsidRPr="0032133C">
              <w:rPr>
                <w:rFonts w:eastAsia="Times New Roman"/>
                <w:sz w:val="22"/>
                <w:lang w:eastAsia="lv-LV"/>
              </w:rPr>
              <w:t>Latvijas Vēstnesis, 2010, 91., 205. nr.; 2011, 117. nr.; 2012, 157., 192. nr.; 2016, 108., 200. nr.; 2018, 225. nr.; 2019, 240. nr.; 2020, 57B. nr.) šādus grozījumus:</w:t>
            </w:r>
          </w:p>
        </w:tc>
        <w:tc>
          <w:tcPr>
            <w:tcW w:w="581" w:type="dxa"/>
            <w:vAlign w:val="center"/>
          </w:tcPr>
          <w:p w:rsidR="00186990" w:rsidRPr="0032133C" w:rsidRDefault="00186990" w:rsidP="00186990">
            <w:pPr>
              <w:jc w:val="center"/>
              <w:rPr>
                <w:b/>
              </w:rPr>
            </w:pPr>
          </w:p>
        </w:tc>
        <w:tc>
          <w:tcPr>
            <w:tcW w:w="3969" w:type="dxa"/>
            <w:vAlign w:val="center"/>
          </w:tcPr>
          <w:p w:rsidR="00186990" w:rsidRPr="0032133C" w:rsidRDefault="00186990" w:rsidP="00186990">
            <w:pPr>
              <w:jc w:val="center"/>
              <w:rPr>
                <w:b/>
              </w:rPr>
            </w:pPr>
          </w:p>
        </w:tc>
        <w:tc>
          <w:tcPr>
            <w:tcW w:w="1417" w:type="dxa"/>
            <w:vAlign w:val="center"/>
          </w:tcPr>
          <w:p w:rsidR="00186990" w:rsidRPr="0032133C" w:rsidRDefault="00186990" w:rsidP="00186990">
            <w:pPr>
              <w:jc w:val="center"/>
              <w:rPr>
                <w:b/>
              </w:rPr>
            </w:pPr>
          </w:p>
        </w:tc>
        <w:tc>
          <w:tcPr>
            <w:tcW w:w="1418" w:type="dxa"/>
            <w:vAlign w:val="center"/>
          </w:tcPr>
          <w:p w:rsidR="00186990" w:rsidRPr="0032133C" w:rsidRDefault="00186990" w:rsidP="00186990">
            <w:pPr>
              <w:jc w:val="center"/>
              <w:rPr>
                <w:b/>
              </w:rPr>
            </w:pPr>
          </w:p>
        </w:tc>
      </w:tr>
      <w:tr w:rsidR="0032133C" w:rsidRPr="0032133C" w:rsidTr="00F520B9">
        <w:tc>
          <w:tcPr>
            <w:tcW w:w="3964" w:type="dxa"/>
            <w:shd w:val="clear" w:color="auto" w:fill="auto"/>
          </w:tcPr>
          <w:p w:rsidR="005B2F62" w:rsidRPr="0032133C" w:rsidRDefault="005B2F62" w:rsidP="005B2F62">
            <w:pPr>
              <w:pStyle w:val="tv213"/>
              <w:spacing w:before="0" w:beforeAutospacing="0" w:after="0" w:afterAutospacing="0"/>
              <w:ind w:firstLine="567"/>
              <w:jc w:val="both"/>
              <w:rPr>
                <w:sz w:val="22"/>
                <w:szCs w:val="22"/>
              </w:rPr>
            </w:pPr>
            <w:proofErr w:type="gramStart"/>
            <w:r w:rsidRPr="0032133C">
              <w:rPr>
                <w:b/>
                <w:bCs/>
                <w:sz w:val="22"/>
                <w:szCs w:val="22"/>
              </w:rPr>
              <w:t>1.pants</w:t>
            </w:r>
            <w:proofErr w:type="gramEnd"/>
            <w:r w:rsidRPr="0032133C">
              <w:rPr>
                <w:b/>
                <w:bCs/>
                <w:sz w:val="22"/>
                <w:szCs w:val="22"/>
              </w:rPr>
              <w:t>. Likumā lietotie termini</w:t>
            </w:r>
          </w:p>
          <w:p w:rsidR="005B2F62" w:rsidRPr="0032133C" w:rsidRDefault="005B2F62" w:rsidP="005B2F62">
            <w:pPr>
              <w:pStyle w:val="tv213"/>
              <w:spacing w:before="0" w:beforeAutospacing="0" w:after="0" w:afterAutospacing="0"/>
              <w:ind w:firstLine="567"/>
              <w:jc w:val="both"/>
              <w:rPr>
                <w:sz w:val="22"/>
                <w:szCs w:val="22"/>
              </w:rPr>
            </w:pPr>
            <w:r w:rsidRPr="0032133C">
              <w:rPr>
                <w:sz w:val="22"/>
                <w:szCs w:val="22"/>
              </w:rPr>
              <w:t>Likumā ir lietoti šādi termini:</w:t>
            </w:r>
          </w:p>
          <w:p w:rsidR="005B2F62" w:rsidRPr="0032133C" w:rsidRDefault="005B2F62" w:rsidP="005B2F62">
            <w:pPr>
              <w:pStyle w:val="tv213"/>
              <w:spacing w:before="0" w:beforeAutospacing="0" w:after="0" w:afterAutospacing="0"/>
              <w:ind w:firstLine="567"/>
              <w:jc w:val="both"/>
              <w:rPr>
                <w:sz w:val="22"/>
                <w:szCs w:val="22"/>
              </w:rPr>
            </w:pPr>
          </w:p>
          <w:p w:rsidR="00186990" w:rsidRPr="0032133C" w:rsidRDefault="00186990" w:rsidP="005B2F62">
            <w:pPr>
              <w:ind w:firstLine="567"/>
              <w:jc w:val="both"/>
              <w:rPr>
                <w:b/>
                <w:sz w:val="22"/>
              </w:rPr>
            </w:pPr>
          </w:p>
        </w:tc>
        <w:tc>
          <w:tcPr>
            <w:tcW w:w="3969" w:type="dxa"/>
            <w:shd w:val="clear" w:color="auto" w:fill="auto"/>
            <w:vAlign w:val="center"/>
          </w:tcPr>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1. Papildināt 1. pantu ar 11. un 12. punktu šādā redakcijā: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 "11) </w:t>
            </w:r>
            <w:r w:rsidRPr="0032133C">
              <w:rPr>
                <w:rFonts w:eastAsia="Times New Roman"/>
                <w:b/>
                <w:sz w:val="22"/>
                <w:lang w:eastAsia="lv-LV"/>
              </w:rPr>
              <w:t>pavadonis</w:t>
            </w:r>
            <w:r w:rsidRPr="0032133C">
              <w:rPr>
                <w:rFonts w:eastAsia="Times New Roman"/>
                <w:sz w:val="22"/>
                <w:lang w:eastAsia="lv-LV"/>
              </w:rPr>
              <w:t xml:space="preserve"> – fiziska persona, kas pavada un palīdz nokļūt no mājokļa uz izvēlēto galamērķi un atpakaļ personai ar invaliditāti, </w:t>
            </w:r>
            <w:bookmarkStart w:id="0" w:name="_Hlk50647155"/>
            <w:r w:rsidRPr="0032133C">
              <w:rPr>
                <w:rFonts w:eastAsia="Times New Roman"/>
                <w:sz w:val="22"/>
                <w:lang w:eastAsia="lv-LV"/>
              </w:rPr>
              <w:t>kurai ir būtiski pārvietošanās traucējumi un kura nesaņem asistenta pakalpojumu pašvaldībā</w:t>
            </w:r>
            <w:bookmarkEnd w:id="0"/>
            <w:r w:rsidRPr="0032133C">
              <w:rPr>
                <w:rFonts w:eastAsia="Times New Roman"/>
                <w:sz w:val="22"/>
                <w:lang w:eastAsia="lv-LV"/>
              </w:rPr>
              <w:t>;</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12) </w:t>
            </w:r>
            <w:r w:rsidRPr="0032133C">
              <w:rPr>
                <w:rFonts w:eastAsia="Times New Roman"/>
                <w:b/>
                <w:sz w:val="22"/>
                <w:lang w:eastAsia="lv-LV"/>
              </w:rPr>
              <w:t>aprūpes pakalpojums</w:t>
            </w:r>
            <w:r w:rsidRPr="0032133C">
              <w:rPr>
                <w:rFonts w:eastAsia="Times New Roman"/>
                <w:sz w:val="22"/>
                <w:lang w:eastAsia="lv-LV"/>
              </w:rPr>
              <w:t xml:space="preserve"> – pasākumu kopums personai no 5 līdz 18 gadu vecumam ar invaliditāti un izteiktiem un smagiem funkcionēšanas ierobežojumiem, kas ietver aprūpi, uzraudzību, pašaprūpes spēju attīstību un saturīgu brīvā laika pavadīšanu personas dzīvesvietā."</w:t>
            </w:r>
          </w:p>
          <w:p w:rsidR="00165035" w:rsidRPr="0032133C" w:rsidRDefault="00165035" w:rsidP="00186990">
            <w:pPr>
              <w:ind w:firstLine="567"/>
              <w:contextualSpacing/>
              <w:jc w:val="both"/>
              <w:rPr>
                <w:rFonts w:eastAsia="Times New Roman"/>
                <w:sz w:val="22"/>
                <w:lang w:eastAsia="lv-LV"/>
              </w:rPr>
            </w:pPr>
          </w:p>
          <w:p w:rsidR="00165035" w:rsidRPr="0032133C" w:rsidRDefault="00165035" w:rsidP="00186990">
            <w:pPr>
              <w:ind w:firstLine="567"/>
              <w:contextualSpacing/>
              <w:jc w:val="both"/>
              <w:rPr>
                <w:rFonts w:eastAsia="Times New Roman"/>
                <w:sz w:val="22"/>
                <w:lang w:eastAsia="lv-LV"/>
              </w:rPr>
            </w:pPr>
          </w:p>
        </w:tc>
        <w:tc>
          <w:tcPr>
            <w:tcW w:w="581" w:type="dxa"/>
          </w:tcPr>
          <w:p w:rsidR="00186990" w:rsidRPr="005D3707" w:rsidRDefault="00FC6304" w:rsidP="00FC6304">
            <w:pPr>
              <w:jc w:val="center"/>
              <w:rPr>
                <w:b/>
                <w:sz w:val="22"/>
              </w:rPr>
            </w:pPr>
            <w:r w:rsidRPr="005D3707">
              <w:rPr>
                <w:b/>
                <w:sz w:val="22"/>
              </w:rPr>
              <w:t>1</w:t>
            </w:r>
          </w:p>
        </w:tc>
        <w:tc>
          <w:tcPr>
            <w:tcW w:w="3969" w:type="dxa"/>
          </w:tcPr>
          <w:p w:rsidR="00186990" w:rsidRPr="0032133C" w:rsidRDefault="00165035" w:rsidP="00165035">
            <w:pPr>
              <w:ind w:firstLine="567"/>
              <w:jc w:val="both"/>
              <w:rPr>
                <w:b/>
                <w:sz w:val="22"/>
                <w:u w:val="single"/>
              </w:rPr>
            </w:pPr>
            <w:r w:rsidRPr="0032133C">
              <w:rPr>
                <w:b/>
                <w:sz w:val="22"/>
                <w:u w:val="single"/>
              </w:rPr>
              <w:t>Deputāti D.Reizniece-Ozola, J.Dūklavs, V.Valainis</w:t>
            </w:r>
          </w:p>
          <w:p w:rsidR="00165035" w:rsidRPr="0032133C" w:rsidRDefault="00165035" w:rsidP="00165035">
            <w:pPr>
              <w:ind w:firstLine="567"/>
              <w:jc w:val="both"/>
              <w:rPr>
                <w:sz w:val="22"/>
              </w:rPr>
            </w:pPr>
            <w:r w:rsidRPr="0032133C">
              <w:rPr>
                <w:sz w:val="22"/>
              </w:rPr>
              <w:t xml:space="preserve">Likumprojekta </w:t>
            </w:r>
            <w:proofErr w:type="gramStart"/>
            <w:r w:rsidRPr="0032133C">
              <w:rPr>
                <w:sz w:val="22"/>
              </w:rPr>
              <w:t>1.pantā</w:t>
            </w:r>
            <w:proofErr w:type="gramEnd"/>
            <w:r w:rsidRPr="0032133C">
              <w:rPr>
                <w:sz w:val="22"/>
              </w:rPr>
              <w:t xml:space="preserve"> piedāvāto likuma 1.panta 12.punktu izteikt šādā redakcijā:</w:t>
            </w:r>
          </w:p>
          <w:p w:rsidR="00165035" w:rsidRPr="0032133C" w:rsidRDefault="00165035" w:rsidP="00165035">
            <w:pPr>
              <w:ind w:firstLine="567"/>
              <w:jc w:val="both"/>
              <w:rPr>
                <w:sz w:val="22"/>
              </w:rPr>
            </w:pPr>
            <w:r w:rsidRPr="0032133C">
              <w:rPr>
                <w:sz w:val="22"/>
              </w:rPr>
              <w:t>“12. aprūpes pakalpojums – pasākumu kopums personai ar invaliditāti un izteiktiem un smagiem funkcionēšanas ierobežojumiem, kas ietver aprūpi, uzraudzību, pašaprūpes spēju attīstību un saturīgu brīvā laika pavadīšanu personas dzīvesvietā un ārpus tās"</w:t>
            </w:r>
            <w:r w:rsidRPr="0032133C">
              <w:rPr>
                <w:rStyle w:val="FootnoteReference"/>
                <w:sz w:val="22"/>
              </w:rPr>
              <w:footnoteReference w:id="1"/>
            </w:r>
          </w:p>
          <w:p w:rsidR="00165035" w:rsidRPr="0032133C" w:rsidRDefault="00165035" w:rsidP="00165035">
            <w:pPr>
              <w:ind w:firstLine="567"/>
              <w:jc w:val="both"/>
              <w:rPr>
                <w:b/>
                <w:sz w:val="22"/>
                <w:u w:val="single"/>
              </w:rPr>
            </w:pPr>
          </w:p>
        </w:tc>
        <w:tc>
          <w:tcPr>
            <w:tcW w:w="1417" w:type="dxa"/>
            <w:vAlign w:val="center"/>
          </w:tcPr>
          <w:p w:rsidR="00186990" w:rsidRPr="0032133C" w:rsidRDefault="00186990" w:rsidP="00186990">
            <w:pPr>
              <w:jc w:val="center"/>
              <w:rPr>
                <w:b/>
              </w:rPr>
            </w:pPr>
          </w:p>
        </w:tc>
        <w:tc>
          <w:tcPr>
            <w:tcW w:w="1418" w:type="dxa"/>
            <w:vAlign w:val="center"/>
          </w:tcPr>
          <w:p w:rsidR="00186990" w:rsidRPr="0032133C" w:rsidRDefault="00186990" w:rsidP="00186990">
            <w:pPr>
              <w:jc w:val="center"/>
              <w:rPr>
                <w:b/>
              </w:rPr>
            </w:pPr>
          </w:p>
        </w:tc>
      </w:tr>
      <w:tr w:rsidR="0032133C" w:rsidRPr="0032133C" w:rsidTr="00F520B9">
        <w:tc>
          <w:tcPr>
            <w:tcW w:w="3964" w:type="dxa"/>
            <w:shd w:val="clear" w:color="auto" w:fill="auto"/>
          </w:tcPr>
          <w:p w:rsidR="005B2F62" w:rsidRPr="0032133C" w:rsidRDefault="005B2F62" w:rsidP="005B2F62">
            <w:pPr>
              <w:pStyle w:val="tv213"/>
              <w:spacing w:before="0" w:beforeAutospacing="0" w:after="0" w:afterAutospacing="0"/>
              <w:ind w:firstLine="567"/>
              <w:jc w:val="both"/>
              <w:rPr>
                <w:sz w:val="22"/>
                <w:szCs w:val="22"/>
              </w:rPr>
            </w:pPr>
            <w:proofErr w:type="gramStart"/>
            <w:r w:rsidRPr="0032133C">
              <w:rPr>
                <w:b/>
                <w:bCs/>
                <w:sz w:val="22"/>
                <w:szCs w:val="22"/>
              </w:rPr>
              <w:lastRenderedPageBreak/>
              <w:t>12.pants</w:t>
            </w:r>
            <w:proofErr w:type="gramEnd"/>
            <w:r w:rsidRPr="0032133C">
              <w:rPr>
                <w:b/>
                <w:bCs/>
                <w:sz w:val="22"/>
                <w:szCs w:val="22"/>
              </w:rPr>
              <w:t>. Invaliditātes seku mazināšana</w:t>
            </w:r>
          </w:p>
          <w:p w:rsidR="005B2F62" w:rsidRPr="0032133C" w:rsidRDefault="005B2F62" w:rsidP="005B2F62">
            <w:pPr>
              <w:pStyle w:val="tv213"/>
              <w:spacing w:before="0" w:beforeAutospacing="0" w:after="0" w:afterAutospacing="0"/>
              <w:ind w:firstLine="567"/>
              <w:jc w:val="both"/>
              <w:rPr>
                <w:sz w:val="22"/>
                <w:szCs w:val="22"/>
              </w:rPr>
            </w:pPr>
            <w:r w:rsidRPr="0032133C">
              <w:rPr>
                <w:sz w:val="22"/>
                <w:szCs w:val="22"/>
              </w:rPr>
              <w:t>(1) Invaliditātes sekas personām ar invaliditāti mazina:</w:t>
            </w:r>
          </w:p>
          <w:p w:rsidR="00186990" w:rsidRPr="0032133C" w:rsidRDefault="00186990" w:rsidP="005B2F62">
            <w:pPr>
              <w:pStyle w:val="tv213"/>
              <w:spacing w:before="0" w:beforeAutospacing="0" w:after="0" w:afterAutospacing="0"/>
              <w:ind w:firstLine="567"/>
              <w:jc w:val="both"/>
              <w:rPr>
                <w:b/>
                <w:sz w:val="22"/>
                <w:szCs w:val="22"/>
              </w:rPr>
            </w:pPr>
          </w:p>
        </w:tc>
        <w:tc>
          <w:tcPr>
            <w:tcW w:w="3969" w:type="dxa"/>
            <w:shd w:val="clear" w:color="auto" w:fill="auto"/>
            <w:vAlign w:val="center"/>
          </w:tcPr>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2.  12. pantā: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papildināt pirmo daļu ar 4.</w:t>
            </w:r>
            <w:r w:rsidRPr="0032133C">
              <w:rPr>
                <w:rFonts w:eastAsia="Times New Roman"/>
                <w:sz w:val="22"/>
                <w:vertAlign w:val="superscript"/>
                <w:lang w:eastAsia="lv-LV"/>
              </w:rPr>
              <w:t>1</w:t>
            </w:r>
            <w:r w:rsidRPr="0032133C">
              <w:rPr>
                <w:rFonts w:eastAsia="Times New Roman"/>
                <w:sz w:val="22"/>
                <w:lang w:eastAsia="lv-LV"/>
              </w:rPr>
              <w:t xml:space="preserve"> un 4.</w:t>
            </w:r>
            <w:r w:rsidRPr="0032133C">
              <w:rPr>
                <w:rFonts w:eastAsia="Times New Roman"/>
                <w:sz w:val="22"/>
                <w:vertAlign w:val="superscript"/>
                <w:lang w:eastAsia="lv-LV"/>
              </w:rPr>
              <w:t>2 </w:t>
            </w:r>
            <w:r w:rsidRPr="0032133C">
              <w:rPr>
                <w:rFonts w:eastAsia="Times New Roman"/>
                <w:sz w:val="22"/>
                <w:lang w:eastAsia="lv-LV"/>
              </w:rPr>
              <w:t>punktu šādā redakcijā: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 "4</w:t>
            </w:r>
            <w:r w:rsidRPr="0032133C">
              <w:rPr>
                <w:rFonts w:eastAsia="Times New Roman"/>
                <w:sz w:val="22"/>
                <w:vertAlign w:val="superscript"/>
                <w:lang w:eastAsia="lv-LV"/>
              </w:rPr>
              <w:t>1</w:t>
            </w:r>
            <w:r w:rsidRPr="0032133C">
              <w:rPr>
                <w:rFonts w:eastAsia="Times New Roman"/>
                <w:sz w:val="22"/>
                <w:lang w:eastAsia="lv-LV"/>
              </w:rPr>
              <w:t>) personām no 5 līdz 18 gadu vecumam ar invaliditāti, kurām ir būtiski pārvietošanās traucējumi un kuras nesaņem asistenta pakalpojumu pašvaldībā, izņemot personas, kuras atrodas ilgstošas sociālās aprūpes institūcijā, stacionārā ārstniecības iestādē vai ieslodzījuma vietā, nodrošinot tiesības pašvaldībā pēc to deklarētās dzīvesvietas saņemt no valsts budžeta apmaksātu pavadoņa pakalpojumu;</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4</w:t>
            </w:r>
            <w:r w:rsidRPr="0032133C">
              <w:rPr>
                <w:rFonts w:eastAsia="Times New Roman"/>
                <w:sz w:val="22"/>
                <w:vertAlign w:val="superscript"/>
                <w:lang w:eastAsia="lv-LV"/>
              </w:rPr>
              <w:t>2</w:t>
            </w:r>
            <w:r w:rsidRPr="0032133C">
              <w:rPr>
                <w:rFonts w:eastAsia="Times New Roman"/>
                <w:sz w:val="22"/>
                <w:lang w:eastAsia="lv-LV"/>
              </w:rPr>
              <w:t>) personām ar invaliditāti no 5 līdz 18 gadu vecumam, kurām ir izteikti un smagi funkcionēšanas ierobežojumi, izņemot personas, kuras atrodas ilgstošas sociālās aprūpes institūcijā, stacionārā ārstniecības iestādē vai ieslodzījuma vietā, nodrošinot tiesības pašvaldībā pēc to deklarētās dzīvesvietas saņemt no pašvaldības budžeta apmaksātu aprūpes pakalpojumu;";</w:t>
            </w:r>
          </w:p>
        </w:tc>
        <w:tc>
          <w:tcPr>
            <w:tcW w:w="581" w:type="dxa"/>
          </w:tcPr>
          <w:p w:rsidR="00186990" w:rsidRPr="005D3707" w:rsidRDefault="00FC6304" w:rsidP="00FC6304">
            <w:pPr>
              <w:jc w:val="center"/>
              <w:rPr>
                <w:b/>
                <w:sz w:val="22"/>
              </w:rPr>
            </w:pPr>
            <w:r w:rsidRPr="005D3707">
              <w:rPr>
                <w:b/>
                <w:sz w:val="22"/>
              </w:rPr>
              <w:t>2</w:t>
            </w:r>
          </w:p>
        </w:tc>
        <w:tc>
          <w:tcPr>
            <w:tcW w:w="3969" w:type="dxa"/>
          </w:tcPr>
          <w:p w:rsidR="00165035" w:rsidRPr="0032133C" w:rsidRDefault="00165035" w:rsidP="00165035">
            <w:pPr>
              <w:ind w:firstLine="567"/>
              <w:jc w:val="both"/>
              <w:rPr>
                <w:b/>
                <w:sz w:val="22"/>
                <w:u w:val="single"/>
              </w:rPr>
            </w:pPr>
            <w:r w:rsidRPr="0032133C">
              <w:rPr>
                <w:b/>
                <w:sz w:val="22"/>
                <w:u w:val="single"/>
              </w:rPr>
              <w:t>Deputāti D.Reizniece-Ozola, J.Dūklavs, V.Valainis</w:t>
            </w:r>
          </w:p>
          <w:p w:rsidR="00165035" w:rsidRPr="0032133C" w:rsidRDefault="00165035" w:rsidP="00165035">
            <w:pPr>
              <w:pStyle w:val="ListParagraph"/>
              <w:ind w:left="0" w:firstLine="567"/>
              <w:jc w:val="both"/>
              <w:rPr>
                <w:sz w:val="22"/>
                <w:szCs w:val="22"/>
              </w:rPr>
            </w:pPr>
            <w:r w:rsidRPr="0032133C">
              <w:rPr>
                <w:sz w:val="22"/>
                <w:szCs w:val="22"/>
              </w:rPr>
              <w:t xml:space="preserve">Likumprojekta </w:t>
            </w:r>
            <w:proofErr w:type="gramStart"/>
            <w:r w:rsidRPr="0032133C">
              <w:rPr>
                <w:sz w:val="22"/>
                <w:szCs w:val="22"/>
              </w:rPr>
              <w:t>2.pantā</w:t>
            </w:r>
            <w:proofErr w:type="gramEnd"/>
            <w:r w:rsidRPr="0032133C">
              <w:rPr>
                <w:sz w:val="22"/>
                <w:szCs w:val="22"/>
              </w:rPr>
              <w:t xml:space="preserve"> piedāvāto papildinājumu par likuma 12.panta pirmās daļas 4.</w:t>
            </w:r>
            <w:r w:rsidRPr="0032133C">
              <w:rPr>
                <w:sz w:val="22"/>
                <w:szCs w:val="22"/>
                <w:vertAlign w:val="superscript"/>
              </w:rPr>
              <w:t>1</w:t>
            </w:r>
            <w:r w:rsidRPr="0032133C">
              <w:rPr>
                <w:sz w:val="22"/>
                <w:szCs w:val="22"/>
              </w:rPr>
              <w:t xml:space="preserve"> punktu izteikt šādā redakcijā:</w:t>
            </w:r>
          </w:p>
          <w:p w:rsidR="00165035" w:rsidRPr="0032133C" w:rsidRDefault="00165035" w:rsidP="00165035">
            <w:pPr>
              <w:ind w:firstLine="567"/>
              <w:jc w:val="both"/>
              <w:rPr>
                <w:rFonts w:eastAsia="Times New Roman"/>
                <w:sz w:val="22"/>
                <w:lang w:eastAsia="en-GB"/>
              </w:rPr>
            </w:pPr>
            <w:r w:rsidRPr="0032133C">
              <w:rPr>
                <w:rFonts w:eastAsia="Times New Roman"/>
                <w:sz w:val="22"/>
                <w:lang w:eastAsia="en-GB"/>
              </w:rPr>
              <w:t>“4</w:t>
            </w:r>
            <w:r w:rsidRPr="0032133C">
              <w:rPr>
                <w:rFonts w:eastAsia="Times New Roman"/>
                <w:sz w:val="22"/>
                <w:vertAlign w:val="superscript"/>
                <w:lang w:eastAsia="en-GB"/>
              </w:rPr>
              <w:t>1</w:t>
            </w:r>
            <w:r w:rsidRPr="0032133C">
              <w:rPr>
                <w:rFonts w:eastAsia="Times New Roman"/>
                <w:sz w:val="22"/>
                <w:lang w:eastAsia="en-GB"/>
              </w:rPr>
              <w:t xml:space="preserve">) personām no </w:t>
            </w:r>
            <w:r w:rsidRPr="0032133C">
              <w:rPr>
                <w:rFonts w:eastAsia="Times New Roman"/>
                <w:b/>
                <w:bCs/>
                <w:sz w:val="22"/>
                <w:u w:val="single"/>
                <w:lang w:eastAsia="en-GB"/>
              </w:rPr>
              <w:t>3</w:t>
            </w:r>
            <w:r w:rsidRPr="0032133C">
              <w:rPr>
                <w:rFonts w:eastAsia="Times New Roman"/>
                <w:sz w:val="22"/>
                <w:lang w:eastAsia="en-GB"/>
              </w:rPr>
              <w:t xml:space="preserve"> līdz 18 gadu vecumam ar invaliditāti, kurām ir būtiski pārvietošanās traucējumi un kuras nesaņem asistenta pakalpojumu pašvaldībā, izņemot personas, kuras atrodas ilgstošas sociālās aprūpes institūcijā, stacionārā ārstniecības iestādē vai ieslodzījuma vietā, nodrošinot tiesības pašvaldībā pēc to deklarētās dzīvesvietas saņemt no valsts budžeta apmaksātu pavadoņa pakalpojumu”</w:t>
            </w:r>
          </w:p>
          <w:p w:rsidR="00186990" w:rsidRPr="0032133C" w:rsidRDefault="00186990" w:rsidP="00165035">
            <w:pPr>
              <w:jc w:val="both"/>
              <w:rPr>
                <w:b/>
              </w:rPr>
            </w:pPr>
          </w:p>
        </w:tc>
        <w:tc>
          <w:tcPr>
            <w:tcW w:w="1417" w:type="dxa"/>
            <w:vAlign w:val="center"/>
          </w:tcPr>
          <w:p w:rsidR="00186990" w:rsidRPr="0032133C" w:rsidRDefault="00186990" w:rsidP="00186990">
            <w:pPr>
              <w:jc w:val="center"/>
              <w:rPr>
                <w:b/>
              </w:rPr>
            </w:pPr>
          </w:p>
        </w:tc>
        <w:tc>
          <w:tcPr>
            <w:tcW w:w="1418" w:type="dxa"/>
            <w:vAlign w:val="center"/>
          </w:tcPr>
          <w:p w:rsidR="00186990" w:rsidRPr="0032133C" w:rsidRDefault="00186990" w:rsidP="00186990">
            <w:pPr>
              <w:jc w:val="center"/>
              <w:rPr>
                <w:b/>
              </w:rPr>
            </w:pPr>
          </w:p>
        </w:tc>
      </w:tr>
      <w:tr w:rsidR="0032133C" w:rsidRPr="0032133C" w:rsidTr="00F520B9">
        <w:tc>
          <w:tcPr>
            <w:tcW w:w="3964" w:type="dxa"/>
            <w:shd w:val="clear" w:color="auto" w:fill="auto"/>
          </w:tcPr>
          <w:p w:rsidR="00F520B9" w:rsidRPr="0032133C" w:rsidRDefault="00F520B9" w:rsidP="005B2F62">
            <w:pPr>
              <w:pStyle w:val="tv213"/>
              <w:spacing w:before="0" w:beforeAutospacing="0" w:after="0" w:afterAutospacing="0"/>
              <w:ind w:firstLine="567"/>
              <w:jc w:val="both"/>
              <w:rPr>
                <w:b/>
                <w:bCs/>
                <w:sz w:val="22"/>
                <w:szCs w:val="22"/>
              </w:rPr>
            </w:pPr>
          </w:p>
        </w:tc>
        <w:tc>
          <w:tcPr>
            <w:tcW w:w="3969" w:type="dxa"/>
            <w:shd w:val="clear" w:color="auto" w:fill="auto"/>
            <w:vAlign w:val="center"/>
          </w:tcPr>
          <w:p w:rsidR="00F520B9" w:rsidRPr="0032133C" w:rsidRDefault="00F520B9" w:rsidP="00186990">
            <w:pPr>
              <w:ind w:firstLine="567"/>
              <w:contextualSpacing/>
              <w:jc w:val="both"/>
              <w:rPr>
                <w:rFonts w:eastAsia="Times New Roman"/>
                <w:sz w:val="22"/>
                <w:lang w:eastAsia="lv-LV"/>
              </w:rPr>
            </w:pPr>
          </w:p>
        </w:tc>
        <w:tc>
          <w:tcPr>
            <w:tcW w:w="581" w:type="dxa"/>
          </w:tcPr>
          <w:p w:rsidR="00F520B9" w:rsidRPr="005D3707" w:rsidRDefault="004E4DAE" w:rsidP="00FC6304">
            <w:pPr>
              <w:jc w:val="center"/>
              <w:rPr>
                <w:b/>
                <w:sz w:val="22"/>
              </w:rPr>
            </w:pPr>
            <w:r w:rsidRPr="005D3707">
              <w:rPr>
                <w:b/>
                <w:sz w:val="22"/>
              </w:rPr>
              <w:t>3</w:t>
            </w:r>
          </w:p>
          <w:p w:rsidR="00D77502" w:rsidRPr="005D3707" w:rsidRDefault="00D77502" w:rsidP="00FC6304">
            <w:pPr>
              <w:jc w:val="center"/>
              <w:rPr>
                <w:b/>
                <w:sz w:val="22"/>
              </w:rPr>
            </w:pPr>
          </w:p>
          <w:p w:rsidR="00D77502" w:rsidRPr="005D3707" w:rsidRDefault="00D77502" w:rsidP="00FC6304">
            <w:pPr>
              <w:jc w:val="center"/>
              <w:rPr>
                <w:b/>
                <w:sz w:val="22"/>
              </w:rPr>
            </w:pPr>
          </w:p>
          <w:p w:rsidR="00D77502" w:rsidRDefault="00D77502" w:rsidP="00FC6304">
            <w:pPr>
              <w:jc w:val="center"/>
              <w:rPr>
                <w:b/>
                <w:sz w:val="22"/>
              </w:rPr>
            </w:pPr>
          </w:p>
          <w:p w:rsidR="005D3707" w:rsidRPr="005D3707" w:rsidRDefault="005D3707" w:rsidP="00FC6304">
            <w:pPr>
              <w:jc w:val="center"/>
              <w:rPr>
                <w:b/>
                <w:sz w:val="22"/>
              </w:rPr>
            </w:pPr>
          </w:p>
          <w:p w:rsidR="00D77502" w:rsidRPr="005D3707" w:rsidRDefault="00D77502" w:rsidP="00FC6304">
            <w:pPr>
              <w:jc w:val="center"/>
              <w:rPr>
                <w:b/>
                <w:sz w:val="22"/>
              </w:rPr>
            </w:pPr>
          </w:p>
          <w:p w:rsidR="00D77502" w:rsidRPr="005D3707" w:rsidRDefault="00D77502" w:rsidP="00FC6304">
            <w:pPr>
              <w:jc w:val="center"/>
              <w:rPr>
                <w:b/>
                <w:sz w:val="22"/>
              </w:rPr>
            </w:pPr>
          </w:p>
          <w:p w:rsidR="00D77502" w:rsidRPr="005D3707" w:rsidRDefault="00D77502" w:rsidP="00FC6304">
            <w:pPr>
              <w:jc w:val="center"/>
              <w:rPr>
                <w:b/>
                <w:sz w:val="22"/>
              </w:rPr>
            </w:pPr>
          </w:p>
          <w:p w:rsidR="00D77502" w:rsidRPr="0032133C" w:rsidRDefault="00D77502" w:rsidP="00FC6304">
            <w:pPr>
              <w:jc w:val="center"/>
              <w:rPr>
                <w:b/>
              </w:rPr>
            </w:pPr>
            <w:r w:rsidRPr="005D3707">
              <w:rPr>
                <w:b/>
                <w:sz w:val="22"/>
              </w:rPr>
              <w:t>4</w:t>
            </w:r>
          </w:p>
        </w:tc>
        <w:tc>
          <w:tcPr>
            <w:tcW w:w="3969" w:type="dxa"/>
          </w:tcPr>
          <w:p w:rsidR="00F520B9" w:rsidRPr="0032133C" w:rsidRDefault="00F520B9" w:rsidP="00F520B9">
            <w:pPr>
              <w:ind w:firstLine="567"/>
              <w:jc w:val="both"/>
              <w:rPr>
                <w:rFonts w:eastAsia="Times New Roman"/>
                <w:b/>
                <w:iCs/>
                <w:sz w:val="22"/>
                <w:u w:val="single"/>
                <w:lang w:eastAsia="lv-LV"/>
              </w:rPr>
            </w:pPr>
            <w:r w:rsidRPr="0032133C">
              <w:rPr>
                <w:rFonts w:eastAsia="Times New Roman"/>
                <w:b/>
                <w:iCs/>
                <w:sz w:val="22"/>
                <w:u w:val="single"/>
                <w:lang w:eastAsia="lv-LV"/>
              </w:rPr>
              <w:t>Deputāte J.Stepaņenko</w:t>
            </w:r>
          </w:p>
          <w:p w:rsidR="00F520B9" w:rsidRPr="0032133C" w:rsidRDefault="00F520B9" w:rsidP="00F520B9">
            <w:pPr>
              <w:pStyle w:val="tv213"/>
              <w:spacing w:before="0" w:beforeAutospacing="0" w:after="0" w:afterAutospacing="0"/>
              <w:ind w:firstLine="567"/>
              <w:jc w:val="both"/>
              <w:rPr>
                <w:sz w:val="22"/>
                <w:szCs w:val="22"/>
              </w:rPr>
            </w:pPr>
            <w:r w:rsidRPr="0032133C">
              <w:rPr>
                <w:sz w:val="22"/>
                <w:szCs w:val="22"/>
              </w:rPr>
              <w:t xml:space="preserve">Papildināt likuma </w:t>
            </w:r>
            <w:proofErr w:type="gramStart"/>
            <w:r w:rsidRPr="0032133C">
              <w:rPr>
                <w:sz w:val="22"/>
                <w:szCs w:val="22"/>
              </w:rPr>
              <w:t>12.pantu</w:t>
            </w:r>
            <w:proofErr w:type="gramEnd"/>
            <w:r w:rsidRPr="0032133C">
              <w:rPr>
                <w:sz w:val="22"/>
                <w:szCs w:val="22"/>
              </w:rPr>
              <w:t xml:space="preserve"> ar jaunu punktu sekojošā redakcijā: </w:t>
            </w:r>
          </w:p>
          <w:p w:rsidR="00F520B9" w:rsidRPr="0032133C" w:rsidRDefault="00F520B9" w:rsidP="00F520B9">
            <w:pPr>
              <w:ind w:firstLine="567"/>
              <w:jc w:val="both"/>
              <w:rPr>
                <w:sz w:val="22"/>
              </w:rPr>
            </w:pPr>
            <w:r w:rsidRPr="0032133C">
              <w:rPr>
                <w:sz w:val="22"/>
              </w:rPr>
              <w:t xml:space="preserve">“___.Personai līdz 18 gadiem ar smagiem funkcionāliem traucējumiem nodrošināt iespēju bez atlīdzības izmantot specializēto </w:t>
            </w:r>
            <w:proofErr w:type="spellStart"/>
            <w:r w:rsidRPr="0032133C">
              <w:rPr>
                <w:sz w:val="22"/>
              </w:rPr>
              <w:t>autokrēsliņu</w:t>
            </w:r>
            <w:proofErr w:type="spellEnd"/>
            <w:r w:rsidRPr="0032133C">
              <w:rPr>
                <w:sz w:val="22"/>
              </w:rPr>
              <w:t>.”</w:t>
            </w:r>
          </w:p>
          <w:p w:rsidR="00D77502" w:rsidRPr="0032133C" w:rsidRDefault="00D77502" w:rsidP="00D77502">
            <w:pPr>
              <w:ind w:firstLine="567"/>
              <w:jc w:val="both"/>
              <w:rPr>
                <w:rFonts w:eastAsia="Times New Roman"/>
                <w:b/>
                <w:iCs/>
                <w:sz w:val="22"/>
                <w:u w:val="single"/>
                <w:lang w:eastAsia="lv-LV"/>
              </w:rPr>
            </w:pPr>
          </w:p>
          <w:p w:rsidR="00D77502" w:rsidRPr="0032133C" w:rsidRDefault="00D77502" w:rsidP="00D77502">
            <w:pPr>
              <w:ind w:firstLine="567"/>
              <w:jc w:val="both"/>
              <w:rPr>
                <w:rFonts w:eastAsia="Times New Roman"/>
                <w:b/>
                <w:iCs/>
                <w:sz w:val="22"/>
                <w:u w:val="single"/>
                <w:lang w:eastAsia="lv-LV"/>
              </w:rPr>
            </w:pPr>
            <w:r w:rsidRPr="0032133C">
              <w:rPr>
                <w:rFonts w:eastAsia="Times New Roman"/>
                <w:b/>
                <w:iCs/>
                <w:sz w:val="22"/>
                <w:u w:val="single"/>
                <w:lang w:eastAsia="lv-LV"/>
              </w:rPr>
              <w:t>Deputāte K.Sprūde</w:t>
            </w:r>
          </w:p>
          <w:p w:rsidR="00D77502" w:rsidRPr="0032133C" w:rsidRDefault="00D77502" w:rsidP="00D77502">
            <w:pPr>
              <w:pStyle w:val="tv213"/>
              <w:spacing w:before="0" w:beforeAutospacing="0" w:after="0" w:afterAutospacing="0"/>
              <w:ind w:firstLine="567"/>
              <w:jc w:val="both"/>
              <w:rPr>
                <w:sz w:val="22"/>
                <w:szCs w:val="22"/>
              </w:rPr>
            </w:pPr>
            <w:r w:rsidRPr="0032133C">
              <w:rPr>
                <w:sz w:val="22"/>
                <w:szCs w:val="22"/>
              </w:rPr>
              <w:t>Papildināt</w:t>
            </w:r>
            <w:proofErr w:type="gramStart"/>
            <w:r w:rsidRPr="0032133C">
              <w:rPr>
                <w:sz w:val="22"/>
                <w:szCs w:val="22"/>
              </w:rPr>
              <w:t xml:space="preserve">  </w:t>
            </w:r>
            <w:proofErr w:type="gramEnd"/>
            <w:r w:rsidRPr="0032133C">
              <w:rPr>
                <w:sz w:val="22"/>
                <w:szCs w:val="22"/>
              </w:rPr>
              <w:t xml:space="preserve">likuma 12.pantu ar jaunu punktu sekojošā redakcijā: </w:t>
            </w:r>
          </w:p>
          <w:p w:rsidR="00D77502" w:rsidRPr="0032133C" w:rsidRDefault="00D77502" w:rsidP="00D77502">
            <w:pPr>
              <w:pStyle w:val="tv213"/>
              <w:spacing w:before="0" w:beforeAutospacing="0" w:after="0" w:afterAutospacing="0"/>
              <w:ind w:firstLine="567"/>
              <w:jc w:val="both"/>
              <w:rPr>
                <w:rFonts w:eastAsia="Calibri"/>
                <w:sz w:val="22"/>
                <w:szCs w:val="22"/>
              </w:rPr>
            </w:pPr>
            <w:r w:rsidRPr="0032133C">
              <w:rPr>
                <w:sz w:val="22"/>
                <w:szCs w:val="22"/>
              </w:rPr>
              <w:t xml:space="preserve">“___.Personai līdz 18 gadiem ar smagiem funkcionāliem traucējumiem </w:t>
            </w:r>
            <w:r w:rsidRPr="0032133C">
              <w:rPr>
                <w:sz w:val="22"/>
                <w:szCs w:val="22"/>
              </w:rPr>
              <w:lastRenderedPageBreak/>
              <w:t xml:space="preserve">nodrošināt iespēju bez atlīdzības izmantot </w:t>
            </w:r>
            <w:r w:rsidRPr="0032133C">
              <w:rPr>
                <w:rFonts w:eastAsia="Calibri"/>
                <w:sz w:val="22"/>
                <w:szCs w:val="22"/>
              </w:rPr>
              <w:t xml:space="preserve">specializēto </w:t>
            </w:r>
            <w:proofErr w:type="spellStart"/>
            <w:r w:rsidRPr="0032133C">
              <w:rPr>
                <w:rFonts w:eastAsia="Calibri"/>
                <w:sz w:val="22"/>
                <w:szCs w:val="22"/>
              </w:rPr>
              <w:t>autokrēsliņu</w:t>
            </w:r>
            <w:proofErr w:type="spellEnd"/>
            <w:r w:rsidRPr="0032133C">
              <w:rPr>
                <w:rFonts w:eastAsia="Calibri"/>
                <w:sz w:val="22"/>
                <w:szCs w:val="22"/>
              </w:rPr>
              <w:t xml:space="preserve">.” </w:t>
            </w:r>
          </w:p>
        </w:tc>
        <w:tc>
          <w:tcPr>
            <w:tcW w:w="1417" w:type="dxa"/>
            <w:vAlign w:val="center"/>
          </w:tcPr>
          <w:p w:rsidR="00F520B9" w:rsidRPr="0032133C" w:rsidRDefault="00F520B9" w:rsidP="00186990">
            <w:pPr>
              <w:jc w:val="center"/>
              <w:rPr>
                <w:b/>
              </w:rPr>
            </w:pPr>
          </w:p>
        </w:tc>
        <w:tc>
          <w:tcPr>
            <w:tcW w:w="1418" w:type="dxa"/>
            <w:vAlign w:val="center"/>
          </w:tcPr>
          <w:p w:rsidR="00F520B9" w:rsidRPr="0032133C" w:rsidRDefault="00F520B9" w:rsidP="00186990">
            <w:pPr>
              <w:jc w:val="center"/>
              <w:rPr>
                <w:b/>
              </w:rPr>
            </w:pPr>
          </w:p>
        </w:tc>
      </w:tr>
      <w:tr w:rsidR="0032133C" w:rsidRPr="0032133C" w:rsidTr="00F520B9">
        <w:tc>
          <w:tcPr>
            <w:tcW w:w="3964" w:type="dxa"/>
            <w:shd w:val="clear" w:color="auto" w:fill="auto"/>
          </w:tcPr>
          <w:p w:rsidR="00165035" w:rsidRPr="0032133C" w:rsidRDefault="005B2F62" w:rsidP="0032133C">
            <w:pPr>
              <w:ind w:firstLine="567"/>
              <w:jc w:val="both"/>
              <w:rPr>
                <w:sz w:val="22"/>
              </w:rPr>
            </w:pPr>
            <w:r w:rsidRPr="0032133C">
              <w:rPr>
                <w:sz w:val="22"/>
              </w:rPr>
              <w:t>(2) Šā panta pirmās daļas 3. un 4. punktā minēto asistenta pakalpojumu ir tiesības saņemt personai ar I vai II invaliditātes grupu, pamatojoties uz Valsts komisijas atzinumu par asistenta pakalpojuma nepieciešamību, un personai no 5 līdz 18 gadu vecumam ar invaliditāti, pamatojoties uz Valsts komisijas atzinumu par īpašas kopšanas nepieciešamību sakarā ar smagiem funkcionālajiem traucējumiem.</w:t>
            </w:r>
          </w:p>
        </w:tc>
        <w:tc>
          <w:tcPr>
            <w:tcW w:w="3969" w:type="dxa"/>
            <w:shd w:val="clear" w:color="auto" w:fill="auto"/>
          </w:tcPr>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 xml:space="preserve"> aizstāt otrajā daļā vārdus "Valsts komisijas atzinumu par asistenta pakalpojuma nepieciešamību" ar vārdiem "pašvaldības sociālā dienesta veikto asistenta pakalpojuma nepieciešamības un atbalsta intensitātes novērtējumu"; </w:t>
            </w:r>
            <w:r w:rsidRPr="0032133C">
              <w:rPr>
                <w:rFonts w:eastAsia="Times New Roman"/>
                <w:sz w:val="22"/>
                <w:shd w:val="clear" w:color="auto" w:fill="FFFFFF"/>
                <w:lang w:eastAsia="lv-LV"/>
              </w:rPr>
              <w:t> </w:t>
            </w:r>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186990" w:rsidRPr="0032133C" w:rsidRDefault="005B2F62" w:rsidP="0078482A">
            <w:pPr>
              <w:ind w:firstLine="567"/>
              <w:jc w:val="both"/>
              <w:rPr>
                <w:sz w:val="22"/>
              </w:rPr>
            </w:pPr>
            <w:r w:rsidRPr="0032133C">
              <w:rPr>
                <w:sz w:val="22"/>
              </w:rPr>
              <w:t>(2</w:t>
            </w:r>
            <w:r w:rsidRPr="0032133C">
              <w:rPr>
                <w:sz w:val="22"/>
                <w:vertAlign w:val="superscript"/>
              </w:rPr>
              <w:t>2</w:t>
            </w:r>
            <w:r w:rsidRPr="0032133C">
              <w:rPr>
                <w:sz w:val="22"/>
              </w:rPr>
              <w:t xml:space="preserve">) </w:t>
            </w:r>
            <w:r w:rsidRPr="0032133C">
              <w:rPr>
                <w:noProof/>
                <w:sz w:val="22"/>
                <w:lang w:val="en-GB"/>
              </w:rPr>
              <w:t>Ja persona, kura mācās vispārējās pamatizglītības, profesionālās pamatizglītības, arodizglītības, vispārējās vidējās izglītības vai profesionālās vidējās izglītības iestādē, līdz 18 gadu vecuma sasniegšanai saņem šā panta pirmās daļas 4. punktā minēto asistenta pakalpojumu un izglītības iegūšanas laikā sasniedz 18 gadu vecumu, tai ir tiesības saņemt piešķirto asistenta pakalpojumu</w:t>
            </w:r>
            <w:r w:rsidRPr="0032133C">
              <w:rPr>
                <w:sz w:val="22"/>
              </w:rPr>
              <w:t xml:space="preserve"> līdz mācību gada beigām arī pēc 18 gadu vecuma sasniegšanas.</w:t>
            </w:r>
          </w:p>
        </w:tc>
        <w:tc>
          <w:tcPr>
            <w:tcW w:w="3969" w:type="dxa"/>
            <w:shd w:val="clear" w:color="auto" w:fill="auto"/>
          </w:tcPr>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papildināt pantu ar 2.</w:t>
            </w:r>
            <w:r w:rsidRPr="0032133C">
              <w:rPr>
                <w:rFonts w:eastAsia="Times New Roman"/>
                <w:sz w:val="22"/>
                <w:vertAlign w:val="superscript"/>
                <w:lang w:eastAsia="lv-LV"/>
              </w:rPr>
              <w:t>3</w:t>
            </w:r>
            <w:r w:rsidRPr="0032133C">
              <w:rPr>
                <w:rFonts w:eastAsia="Times New Roman"/>
                <w:sz w:val="22"/>
                <w:lang w:eastAsia="lv-LV"/>
              </w:rPr>
              <w:t xml:space="preserve"> un 2.</w:t>
            </w:r>
            <w:r w:rsidRPr="0032133C">
              <w:rPr>
                <w:rFonts w:eastAsia="Times New Roman"/>
                <w:sz w:val="22"/>
                <w:vertAlign w:val="superscript"/>
                <w:lang w:eastAsia="lv-LV"/>
              </w:rPr>
              <w:t>4 </w:t>
            </w:r>
            <w:r w:rsidRPr="0032133C">
              <w:rPr>
                <w:rFonts w:eastAsia="Times New Roman"/>
                <w:sz w:val="22"/>
                <w:lang w:eastAsia="lv-LV"/>
              </w:rPr>
              <w:t>daļu šādā redakcijā: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"(2</w:t>
            </w:r>
            <w:r w:rsidRPr="0032133C">
              <w:rPr>
                <w:rFonts w:eastAsia="Times New Roman"/>
                <w:sz w:val="22"/>
                <w:vertAlign w:val="superscript"/>
                <w:lang w:eastAsia="lv-LV"/>
              </w:rPr>
              <w:t>3</w:t>
            </w:r>
            <w:r w:rsidRPr="0032133C">
              <w:rPr>
                <w:rFonts w:eastAsia="Times New Roman"/>
                <w:sz w:val="22"/>
                <w:lang w:eastAsia="lv-LV"/>
              </w:rPr>
              <w:t>) Šā panta pirmās daļas 4.</w:t>
            </w:r>
            <w:r w:rsidRPr="0032133C">
              <w:rPr>
                <w:rFonts w:eastAsia="Times New Roman"/>
                <w:sz w:val="22"/>
                <w:vertAlign w:val="superscript"/>
                <w:lang w:eastAsia="lv-LV"/>
              </w:rPr>
              <w:t>1 </w:t>
            </w:r>
            <w:r w:rsidRPr="0032133C">
              <w:rPr>
                <w:rFonts w:eastAsia="Times New Roman"/>
                <w:sz w:val="22"/>
                <w:lang w:eastAsia="lv-LV"/>
              </w:rPr>
              <w:t>punktā minēto pavadoņa pakalpojumu personai no 5 līdz 18 gadu vecumam ar invaliditāti ir tiesības saņemt, pamatojoties uz Valsts komisijas atzinumu par pavadoņa nepieciešamību.</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(2</w:t>
            </w:r>
            <w:r w:rsidRPr="0032133C">
              <w:rPr>
                <w:rFonts w:eastAsia="Times New Roman"/>
                <w:sz w:val="22"/>
                <w:vertAlign w:val="superscript"/>
                <w:lang w:eastAsia="lv-LV"/>
              </w:rPr>
              <w:t>4</w:t>
            </w:r>
            <w:r w:rsidRPr="0032133C">
              <w:rPr>
                <w:rFonts w:eastAsia="Times New Roman"/>
                <w:sz w:val="22"/>
                <w:lang w:eastAsia="lv-LV"/>
              </w:rPr>
              <w:t>) Šā panta pirmās daļas 4.</w:t>
            </w:r>
            <w:r w:rsidRPr="0032133C">
              <w:rPr>
                <w:rFonts w:eastAsia="Times New Roman"/>
                <w:sz w:val="22"/>
                <w:vertAlign w:val="superscript"/>
                <w:lang w:eastAsia="lv-LV"/>
              </w:rPr>
              <w:t>2 </w:t>
            </w:r>
            <w:r w:rsidRPr="0032133C">
              <w:rPr>
                <w:rFonts w:eastAsia="Times New Roman"/>
                <w:sz w:val="22"/>
                <w:lang w:eastAsia="lv-LV"/>
              </w:rPr>
              <w:t>punktā minēto aprūpes pakalpojumu personai no 5 līdz 18 gadu vecumam ar invaliditāti ir tiesības saņemt, pamatojoties uz Valsts komisijas atzinumu par īpašas kopšanas nepieciešamību, ja personas likumiskais pārstāvis vai audžuģimene nodarbinātības vai citu objektīvu iemeslu dēļ nevar nodrošināt šīs personas aprūpi un uzraudzību nepieciešamajā apjomā un pašvaldības sociālais dienests ir konstatējis šādas aprūpes nepieciešamību. Personai nav tiesību vienlaikus ar šo aprūpi saņemt sociālās aprūpes pakalpojumu vai aprūpes mājās pakalpojumu, kas tiek nodrošināts Eiropas Savienības politiku instrumentu projektu ietvaros.";</w:t>
            </w:r>
          </w:p>
        </w:tc>
        <w:tc>
          <w:tcPr>
            <w:tcW w:w="581" w:type="dxa"/>
          </w:tcPr>
          <w:p w:rsidR="00186990" w:rsidRPr="0032133C" w:rsidRDefault="00D77502" w:rsidP="0078482A">
            <w:pPr>
              <w:jc w:val="center"/>
              <w:rPr>
                <w:rFonts w:eastAsia="Times New Roman"/>
                <w:b/>
                <w:iCs/>
                <w:sz w:val="22"/>
                <w:lang w:eastAsia="lv-LV"/>
              </w:rPr>
            </w:pPr>
            <w:r w:rsidRPr="0032133C">
              <w:rPr>
                <w:rFonts w:eastAsia="Times New Roman"/>
                <w:b/>
                <w:iCs/>
                <w:sz w:val="22"/>
                <w:lang w:eastAsia="lv-LV"/>
              </w:rPr>
              <w:t>5</w:t>
            </w:r>
          </w:p>
        </w:tc>
        <w:tc>
          <w:tcPr>
            <w:tcW w:w="3969" w:type="dxa"/>
          </w:tcPr>
          <w:p w:rsidR="00165035" w:rsidRPr="0032133C" w:rsidRDefault="00165035" w:rsidP="00165035">
            <w:pPr>
              <w:ind w:firstLine="567"/>
              <w:jc w:val="both"/>
              <w:rPr>
                <w:b/>
                <w:sz w:val="22"/>
                <w:u w:val="single"/>
              </w:rPr>
            </w:pPr>
            <w:r w:rsidRPr="0032133C">
              <w:rPr>
                <w:b/>
                <w:sz w:val="22"/>
                <w:u w:val="single"/>
              </w:rPr>
              <w:t>Deputāti D.Reizniece-Ozola, J.Dūklavs, V.Valainis</w:t>
            </w:r>
          </w:p>
          <w:p w:rsidR="00165035" w:rsidRPr="0032133C" w:rsidRDefault="00165035" w:rsidP="00165035">
            <w:pPr>
              <w:ind w:firstLine="567"/>
              <w:jc w:val="both"/>
              <w:rPr>
                <w:sz w:val="22"/>
              </w:rPr>
            </w:pPr>
            <w:r w:rsidRPr="0032133C">
              <w:rPr>
                <w:sz w:val="22"/>
              </w:rPr>
              <w:t xml:space="preserve">Likumprojekta </w:t>
            </w:r>
            <w:proofErr w:type="gramStart"/>
            <w:r w:rsidRPr="0032133C">
              <w:rPr>
                <w:sz w:val="22"/>
              </w:rPr>
              <w:t>2.pantā</w:t>
            </w:r>
            <w:proofErr w:type="gramEnd"/>
            <w:r w:rsidRPr="0032133C">
              <w:rPr>
                <w:sz w:val="22"/>
              </w:rPr>
              <w:t xml:space="preserve"> piedāvāto papildinājumu par likuma 12.panta 2.</w:t>
            </w:r>
            <w:r w:rsidRPr="0032133C">
              <w:rPr>
                <w:sz w:val="22"/>
                <w:vertAlign w:val="superscript"/>
              </w:rPr>
              <w:t>3</w:t>
            </w:r>
            <w:r w:rsidRPr="0032133C">
              <w:rPr>
                <w:sz w:val="22"/>
              </w:rPr>
              <w:t xml:space="preserve"> daļu izteikt šādā redakcijā:</w:t>
            </w:r>
          </w:p>
          <w:p w:rsidR="00165035" w:rsidRPr="0032133C" w:rsidRDefault="00165035" w:rsidP="00165035">
            <w:pPr>
              <w:ind w:firstLine="567"/>
              <w:jc w:val="both"/>
              <w:rPr>
                <w:rFonts w:eastAsia="Times New Roman"/>
                <w:sz w:val="22"/>
                <w:lang w:eastAsia="en-GB"/>
              </w:rPr>
            </w:pPr>
            <w:r w:rsidRPr="0032133C">
              <w:rPr>
                <w:rFonts w:eastAsia="Times New Roman"/>
                <w:sz w:val="22"/>
                <w:lang w:eastAsia="en-GB"/>
              </w:rPr>
              <w:t>(2</w:t>
            </w:r>
            <w:r w:rsidRPr="0032133C">
              <w:rPr>
                <w:rFonts w:eastAsia="Times New Roman"/>
                <w:sz w:val="22"/>
                <w:vertAlign w:val="superscript"/>
                <w:lang w:eastAsia="en-GB"/>
              </w:rPr>
              <w:t>3</w:t>
            </w:r>
            <w:r w:rsidRPr="0032133C">
              <w:rPr>
                <w:rFonts w:eastAsia="Times New Roman"/>
                <w:sz w:val="22"/>
                <w:lang w:eastAsia="en-GB"/>
              </w:rPr>
              <w:t>) Šā panta pirmās daļas 4.</w:t>
            </w:r>
            <w:r w:rsidRPr="0032133C">
              <w:rPr>
                <w:rFonts w:eastAsia="Times New Roman"/>
                <w:sz w:val="22"/>
                <w:vertAlign w:val="superscript"/>
                <w:lang w:eastAsia="en-GB"/>
              </w:rPr>
              <w:t>1 </w:t>
            </w:r>
            <w:r w:rsidRPr="0032133C">
              <w:rPr>
                <w:rFonts w:eastAsia="Times New Roman"/>
                <w:sz w:val="22"/>
                <w:lang w:eastAsia="en-GB"/>
              </w:rPr>
              <w:t>punktā minēto pavadoņa pakalpojumu personai no ar invaliditāti ir tiesības saņemt, pamatojoties uz Valsts komisijas atzinumu par pavadoņa nepieciešamību.</w:t>
            </w:r>
          </w:p>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186990" w:rsidRPr="0032133C" w:rsidRDefault="005B2F62" w:rsidP="0078482A">
            <w:pPr>
              <w:ind w:firstLine="567"/>
              <w:jc w:val="both"/>
              <w:rPr>
                <w:bCs/>
                <w:sz w:val="22"/>
              </w:rPr>
            </w:pPr>
            <w:r w:rsidRPr="0032133C">
              <w:rPr>
                <w:sz w:val="22"/>
              </w:rPr>
              <w:lastRenderedPageBreak/>
              <w:t>(5</w:t>
            </w:r>
            <w:r w:rsidRPr="0032133C">
              <w:rPr>
                <w:sz w:val="22"/>
                <w:vertAlign w:val="superscript"/>
              </w:rPr>
              <w:t>1</w:t>
            </w:r>
            <w:r w:rsidRPr="0032133C">
              <w:rPr>
                <w:sz w:val="22"/>
              </w:rPr>
              <w:t>) Ministru kabinets nosaka prasības asistentam, kas sniedz šā panta pirmās daļas 3. un 4. punktā minēto asistenta pakalpojumu, kā arī kritērijus atzinuma sniegšanai par asistenta pakalpojuma nepieciešamību un pakalpojuma apjoma noteikšanai un šā panta pirmās daļas 3.</w:t>
            </w:r>
            <w:r w:rsidRPr="0032133C">
              <w:rPr>
                <w:sz w:val="22"/>
                <w:vertAlign w:val="superscript"/>
              </w:rPr>
              <w:t>1</w:t>
            </w:r>
            <w:r w:rsidRPr="0032133C">
              <w:rPr>
                <w:sz w:val="22"/>
              </w:rPr>
              <w:t xml:space="preserve"> punktā minēto asistenta pakalpojumu, prasības asistentam, šā pakalpojuma piešķiršanas nosacījumus un kārtību, kā arī kritērijus atzinuma sniegšanai par asistenta pakalpojuma nepieciešamību un pakalpojuma apjoma noteikšanai.</w:t>
            </w:r>
          </w:p>
        </w:tc>
        <w:tc>
          <w:tcPr>
            <w:tcW w:w="3969" w:type="dxa"/>
            <w:shd w:val="clear" w:color="auto" w:fill="auto"/>
          </w:tcPr>
          <w:p w:rsidR="00186990" w:rsidRPr="0032133C" w:rsidRDefault="00186990" w:rsidP="00186990">
            <w:pPr>
              <w:ind w:firstLine="567"/>
              <w:contextualSpacing/>
              <w:jc w:val="both"/>
              <w:rPr>
                <w:rFonts w:eastAsia="Times New Roman"/>
                <w:sz w:val="22"/>
                <w:lang w:eastAsia="lv-LV"/>
              </w:rPr>
            </w:pPr>
            <w:bookmarkStart w:id="1" w:name="_Hlk52369378"/>
            <w:r w:rsidRPr="0032133C">
              <w:rPr>
                <w:rFonts w:eastAsia="Times New Roman"/>
                <w:sz w:val="22"/>
                <w:lang w:eastAsia="lv-LV"/>
              </w:rPr>
              <w:t>aizstāt 5.</w:t>
            </w:r>
            <w:r w:rsidRPr="0032133C">
              <w:rPr>
                <w:rFonts w:eastAsia="Times New Roman"/>
                <w:sz w:val="22"/>
                <w:vertAlign w:val="superscript"/>
                <w:lang w:eastAsia="lv-LV"/>
              </w:rPr>
              <w:t>1 </w:t>
            </w:r>
            <w:r w:rsidRPr="0032133C">
              <w:rPr>
                <w:rFonts w:eastAsia="Times New Roman"/>
                <w:sz w:val="22"/>
                <w:lang w:eastAsia="lv-LV"/>
              </w:rPr>
              <w:t>daļā vārdus "kritērijus atzinuma sniegšanai par asistenta pakalpojuma nepieciešamību" ar vārdiem "kritērijus asistenta pakalpojuma nepieciešamības un atbalsta intensitātes novērtēšanai";</w:t>
            </w:r>
            <w:bookmarkEnd w:id="1"/>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186990" w:rsidRPr="0032133C" w:rsidRDefault="005B2F62" w:rsidP="0078482A">
            <w:pPr>
              <w:ind w:firstLine="567"/>
              <w:jc w:val="both"/>
              <w:rPr>
                <w:sz w:val="22"/>
              </w:rPr>
            </w:pPr>
            <w:r w:rsidRPr="0032133C">
              <w:rPr>
                <w:sz w:val="22"/>
              </w:rPr>
              <w:t>(6) Šā panta pirmās daļas 3.punktā un 3.</w:t>
            </w:r>
            <w:r w:rsidRPr="0032133C">
              <w:rPr>
                <w:sz w:val="22"/>
                <w:vertAlign w:val="superscript"/>
              </w:rPr>
              <w:t>1</w:t>
            </w:r>
            <w:r w:rsidRPr="0032133C">
              <w:rPr>
                <w:sz w:val="22"/>
              </w:rPr>
              <w:t xml:space="preserve"> punktā paredzētajam asistenta pakalpojumam nepieciešamā valsts budžeta finansējuma aprēķināšanas un piešķiršanas kārtību nosaka Ministru kabinets.</w:t>
            </w:r>
          </w:p>
        </w:tc>
        <w:tc>
          <w:tcPr>
            <w:tcW w:w="3969" w:type="dxa"/>
            <w:shd w:val="clear" w:color="auto" w:fill="auto"/>
          </w:tcPr>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papildināt pantu ar 6.</w:t>
            </w:r>
            <w:r w:rsidRPr="0032133C">
              <w:rPr>
                <w:rFonts w:eastAsia="Times New Roman"/>
                <w:sz w:val="22"/>
                <w:vertAlign w:val="superscript"/>
                <w:lang w:eastAsia="lv-LV"/>
              </w:rPr>
              <w:t>1</w:t>
            </w:r>
            <w:r w:rsidRPr="0032133C">
              <w:rPr>
                <w:rFonts w:eastAsia="Times New Roman"/>
                <w:sz w:val="22"/>
                <w:lang w:eastAsia="lv-LV"/>
              </w:rPr>
              <w:t xml:space="preserve"> un 6.</w:t>
            </w:r>
            <w:r w:rsidRPr="0032133C">
              <w:rPr>
                <w:rFonts w:eastAsia="Times New Roman"/>
                <w:sz w:val="22"/>
                <w:vertAlign w:val="superscript"/>
                <w:lang w:eastAsia="lv-LV"/>
              </w:rPr>
              <w:t>2 </w:t>
            </w:r>
            <w:r w:rsidRPr="0032133C">
              <w:rPr>
                <w:rFonts w:eastAsia="Times New Roman"/>
                <w:sz w:val="22"/>
                <w:lang w:eastAsia="lv-LV"/>
              </w:rPr>
              <w:t>daļu šādā redakcijā: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 "(6</w:t>
            </w:r>
            <w:r w:rsidRPr="0032133C">
              <w:rPr>
                <w:rFonts w:eastAsia="Times New Roman"/>
                <w:sz w:val="22"/>
                <w:vertAlign w:val="superscript"/>
                <w:lang w:eastAsia="lv-LV"/>
              </w:rPr>
              <w:t>1</w:t>
            </w:r>
            <w:r w:rsidRPr="0032133C">
              <w:rPr>
                <w:rFonts w:eastAsia="Times New Roman"/>
                <w:sz w:val="22"/>
                <w:lang w:eastAsia="lv-LV"/>
              </w:rPr>
              <w:t>) Ministru kabinets nosaka šā panta pirmās daļas</w:t>
            </w:r>
            <w:r w:rsidRPr="0032133C">
              <w:rPr>
                <w:rFonts w:eastAsia="Times New Roman"/>
                <w:sz w:val="22"/>
                <w:shd w:val="clear" w:color="auto" w:fill="FFFFFF"/>
                <w:lang w:eastAsia="lv-LV"/>
              </w:rPr>
              <w:t xml:space="preserve"> 4</w:t>
            </w:r>
            <w:r w:rsidRPr="0032133C">
              <w:rPr>
                <w:rFonts w:eastAsia="Times New Roman"/>
                <w:sz w:val="22"/>
                <w:lang w:eastAsia="lv-LV"/>
              </w:rPr>
              <w:t>.</w:t>
            </w:r>
            <w:r w:rsidRPr="0032133C">
              <w:rPr>
                <w:rFonts w:eastAsia="Times New Roman"/>
                <w:sz w:val="22"/>
                <w:vertAlign w:val="superscript"/>
                <w:lang w:eastAsia="lv-LV"/>
              </w:rPr>
              <w:t>1 </w:t>
            </w:r>
            <w:r w:rsidRPr="0032133C">
              <w:rPr>
                <w:rFonts w:eastAsia="Times New Roman"/>
                <w:sz w:val="22"/>
                <w:lang w:eastAsia="lv-LV"/>
              </w:rPr>
              <w:t>punktā minēto pavadoņa pakalpojumu, kritērijus atzinuma sniegšanai par pavadoņa pakalpojuma nepieciešamību, šā pakalpojuma piešķiršanas, atteikšanas, izbeigšanas un pārtraukšanas nosacījumus un kārtību, maksimālo pakalpojuma apjomu, prasības pavadonim, kā arī vienas stundas izmaksas un finansēšanas noteikumus.</w:t>
            </w:r>
          </w:p>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(6</w:t>
            </w:r>
            <w:r w:rsidRPr="0032133C">
              <w:rPr>
                <w:rFonts w:eastAsia="Times New Roman"/>
                <w:sz w:val="22"/>
                <w:vertAlign w:val="superscript"/>
                <w:lang w:eastAsia="lv-LV"/>
              </w:rPr>
              <w:t>2</w:t>
            </w:r>
            <w:r w:rsidRPr="0032133C">
              <w:rPr>
                <w:rFonts w:eastAsia="Times New Roman"/>
                <w:sz w:val="22"/>
                <w:lang w:eastAsia="lv-LV"/>
              </w:rPr>
              <w:t>) Ministru kabinets nosaka šā panta pirmās daļas</w:t>
            </w:r>
            <w:r w:rsidRPr="0032133C">
              <w:rPr>
                <w:rFonts w:eastAsia="Times New Roman"/>
                <w:sz w:val="22"/>
                <w:shd w:val="clear" w:color="auto" w:fill="FFFFFF"/>
                <w:lang w:eastAsia="lv-LV"/>
              </w:rPr>
              <w:t xml:space="preserve"> 4</w:t>
            </w:r>
            <w:r w:rsidRPr="0032133C">
              <w:rPr>
                <w:rFonts w:eastAsia="Times New Roman"/>
                <w:sz w:val="22"/>
                <w:lang w:eastAsia="lv-LV"/>
              </w:rPr>
              <w:t>.</w:t>
            </w:r>
            <w:r w:rsidRPr="0032133C">
              <w:rPr>
                <w:rFonts w:eastAsia="Times New Roman"/>
                <w:sz w:val="22"/>
                <w:vertAlign w:val="superscript"/>
                <w:lang w:eastAsia="lv-LV"/>
              </w:rPr>
              <w:t>2 </w:t>
            </w:r>
            <w:r w:rsidRPr="0032133C">
              <w:rPr>
                <w:rFonts w:eastAsia="Times New Roman"/>
                <w:sz w:val="22"/>
                <w:lang w:eastAsia="lv-LV"/>
              </w:rPr>
              <w:t>punktā minētā aprūpes pakalpojuma minimālo vienas pakalpojuma stundas cenu un maksimālo aprūpes pakalpojuma apjomu. Pašvaldība saistošajos noteikumos nosaka šā panta pirmās daļas 4.</w:t>
            </w:r>
            <w:r w:rsidRPr="0032133C">
              <w:rPr>
                <w:rFonts w:eastAsia="Times New Roman"/>
                <w:sz w:val="22"/>
                <w:vertAlign w:val="superscript"/>
                <w:lang w:eastAsia="lv-LV"/>
              </w:rPr>
              <w:t>2 </w:t>
            </w:r>
            <w:r w:rsidRPr="0032133C">
              <w:rPr>
                <w:rFonts w:eastAsia="Times New Roman"/>
                <w:sz w:val="22"/>
                <w:lang w:eastAsia="lv-LV"/>
              </w:rPr>
              <w:t xml:space="preserve">punktā minētā aprūpes pakalpojuma piešķiršanas, atteikšanas, izbeigšanas un pārtraukšanas nosacījumus un kārtību, kritērijus aprūpes pakalpojuma </w:t>
            </w:r>
            <w:r w:rsidRPr="0032133C">
              <w:rPr>
                <w:rFonts w:eastAsia="Times New Roman"/>
                <w:sz w:val="22"/>
                <w:lang w:eastAsia="lv-LV"/>
              </w:rPr>
              <w:lastRenderedPageBreak/>
              <w:t>nepieciešamības novērtēšanai un prasības aprūpes pakalpojuma sniedzējam.";</w:t>
            </w:r>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186990" w:rsidRPr="0032133C" w:rsidRDefault="005B2F62" w:rsidP="0078482A">
            <w:pPr>
              <w:ind w:firstLine="567"/>
              <w:jc w:val="both"/>
              <w:rPr>
                <w:sz w:val="22"/>
              </w:rPr>
            </w:pPr>
            <w:r w:rsidRPr="0032133C">
              <w:rPr>
                <w:sz w:val="22"/>
              </w:rPr>
              <w:t>(7) Šā panta pirmās daļas 4.punktā paredzētajam asistenta pakalpojumam nepieciešamā valsts budžeta finansējuma aprēķināšanas un piešķiršanas kārtību nosaka Ministru kabinets. Minēto valsts budžeta finansējumu administrē Ministru kabineta deleģēta institūcija. Veicot šajā pantā deleģētā uzdevuma izpildi, Ministru kabineta deleģētā institūcija nodrošina piešķirto valsts budžeta līdzekļu racionālu izlietojumu un kontroli, administrēšanas izdevumiem izlietojot ne vairāk kā piecus procentus no šo pakalpojumu nodrošināšanai piešķirtajiem valsts budžeta līdzekļiem.</w:t>
            </w:r>
          </w:p>
        </w:tc>
        <w:tc>
          <w:tcPr>
            <w:tcW w:w="3969" w:type="dxa"/>
            <w:shd w:val="clear" w:color="auto" w:fill="auto"/>
          </w:tcPr>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papildināt pantu ar astoto daļu šādā redakcijā:</w:t>
            </w:r>
          </w:p>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 xml:space="preserve"> "(8) Datus par šā panta pirmās daļas 3., </w:t>
            </w:r>
            <w:r w:rsidRPr="0032133C">
              <w:rPr>
                <w:rFonts w:eastAsia="Times New Roman"/>
                <w:sz w:val="22"/>
                <w:shd w:val="clear" w:color="auto" w:fill="FFFFFF"/>
                <w:lang w:eastAsia="lv-LV"/>
              </w:rPr>
              <w:t>3</w:t>
            </w:r>
            <w:r w:rsidRPr="0032133C">
              <w:rPr>
                <w:rFonts w:eastAsia="Times New Roman"/>
                <w:sz w:val="22"/>
                <w:lang w:eastAsia="lv-LV"/>
              </w:rPr>
              <w:t>.</w:t>
            </w:r>
            <w:r w:rsidRPr="0032133C">
              <w:rPr>
                <w:rFonts w:eastAsia="Times New Roman"/>
                <w:sz w:val="22"/>
                <w:vertAlign w:val="superscript"/>
                <w:lang w:eastAsia="lv-LV"/>
              </w:rPr>
              <w:t>1</w:t>
            </w:r>
            <w:r w:rsidRPr="0032133C">
              <w:rPr>
                <w:rFonts w:eastAsia="Times New Roman"/>
                <w:sz w:val="22"/>
                <w:lang w:eastAsia="lv-LV"/>
              </w:rPr>
              <w:t xml:space="preserve">, 4., </w:t>
            </w:r>
            <w:r w:rsidRPr="0032133C">
              <w:rPr>
                <w:rFonts w:eastAsia="Times New Roman"/>
                <w:sz w:val="22"/>
                <w:shd w:val="clear" w:color="auto" w:fill="FFFFFF"/>
                <w:lang w:eastAsia="lv-LV"/>
              </w:rPr>
              <w:t>4</w:t>
            </w:r>
            <w:r w:rsidRPr="0032133C">
              <w:rPr>
                <w:rFonts w:eastAsia="Times New Roman"/>
                <w:sz w:val="22"/>
                <w:lang w:eastAsia="lv-LV"/>
              </w:rPr>
              <w:t>.</w:t>
            </w:r>
            <w:r w:rsidRPr="0032133C">
              <w:rPr>
                <w:rFonts w:eastAsia="Times New Roman"/>
                <w:sz w:val="22"/>
                <w:vertAlign w:val="superscript"/>
                <w:lang w:eastAsia="lv-LV"/>
              </w:rPr>
              <w:t>1</w:t>
            </w:r>
            <w:r w:rsidRPr="0032133C">
              <w:rPr>
                <w:rFonts w:eastAsia="Times New Roman"/>
                <w:sz w:val="22"/>
                <w:lang w:eastAsia="lv-LV"/>
              </w:rPr>
              <w:t xml:space="preserve"> un</w:t>
            </w:r>
            <w:r w:rsidRPr="0032133C">
              <w:rPr>
                <w:rFonts w:eastAsia="Times New Roman"/>
                <w:sz w:val="22"/>
                <w:shd w:val="clear" w:color="auto" w:fill="FFFFFF"/>
                <w:lang w:eastAsia="lv-LV"/>
              </w:rPr>
              <w:t xml:space="preserve"> 4</w:t>
            </w:r>
            <w:r w:rsidRPr="0032133C">
              <w:rPr>
                <w:rFonts w:eastAsia="Times New Roman"/>
                <w:sz w:val="22"/>
                <w:lang w:eastAsia="lv-LV"/>
              </w:rPr>
              <w:t>.</w:t>
            </w:r>
            <w:r w:rsidRPr="0032133C">
              <w:rPr>
                <w:rFonts w:eastAsia="Times New Roman"/>
                <w:sz w:val="22"/>
                <w:vertAlign w:val="superscript"/>
                <w:lang w:eastAsia="lv-LV"/>
              </w:rPr>
              <w:t>2 </w:t>
            </w:r>
            <w:r w:rsidRPr="0032133C">
              <w:rPr>
                <w:rFonts w:eastAsia="Times New Roman"/>
                <w:sz w:val="22"/>
                <w:lang w:eastAsia="lv-LV"/>
              </w:rPr>
              <w:t>punktā minētā asistenta pakalpojuma pašvaldībā, augstskolā un koledžā, pavadoņa pakalpojuma un aprūpes pakalpojuma saņēmēju un sniedzēju, šo pakalpojumu nepieciešamības novērtēšanu un nodrošināšanu iekļauj Valsts sociālās politikas monitoringa informācijas sistēmā Ministru kabineta noteiktajā apjomā un atbilstoši tā noteiktajiem datu apstrādes noteikumiem un kārtībai un institūciju sadarbības noteikumiem. Tiesības apstrādāt informācijas sistēmā iekļauto informāciju saistībā ar asistenta pakalpojuma pašvaldībā, augstskolā un koledžā, pavadoņa pakalpojuma un aprūpes pakalpojuma nodrošināšanu, tostarp personas datus, ir šādām institūcijām to darbību reglamentējošos normatīvajos aktos noteikto funkciju un uzdevumu izpildei:</w:t>
            </w:r>
          </w:p>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1) Valsts komisijai;</w:t>
            </w:r>
          </w:p>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2) Labklājības ministrijai;</w:t>
            </w:r>
          </w:p>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3) pašvaldību sociālajiem dienestiem."</w:t>
            </w:r>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186990" w:rsidRPr="0032133C" w:rsidRDefault="005B2F62" w:rsidP="0078482A">
            <w:pPr>
              <w:ind w:firstLine="567"/>
              <w:jc w:val="both"/>
              <w:rPr>
                <w:b/>
                <w:sz w:val="22"/>
              </w:rPr>
            </w:pPr>
            <w:r w:rsidRPr="0032133C">
              <w:rPr>
                <w:b/>
                <w:sz w:val="22"/>
              </w:rPr>
              <w:t>Pārejas noteikumi</w:t>
            </w:r>
          </w:p>
          <w:p w:rsidR="00F520B9" w:rsidRPr="0032133C" w:rsidRDefault="00F520B9" w:rsidP="00F520B9">
            <w:pPr>
              <w:pStyle w:val="tv213"/>
              <w:spacing w:before="0" w:beforeAutospacing="0" w:after="0" w:afterAutospacing="0"/>
              <w:ind w:firstLine="567"/>
              <w:jc w:val="both"/>
              <w:rPr>
                <w:sz w:val="22"/>
                <w:szCs w:val="22"/>
              </w:rPr>
            </w:pPr>
            <w:proofErr w:type="gramStart"/>
            <w:r w:rsidRPr="0032133C">
              <w:rPr>
                <w:sz w:val="22"/>
                <w:szCs w:val="22"/>
              </w:rPr>
              <w:t>8. Grozījumi</w:t>
            </w:r>
            <w:proofErr w:type="gramEnd"/>
            <w:r w:rsidRPr="0032133C">
              <w:rPr>
                <w:sz w:val="22"/>
                <w:szCs w:val="22"/>
              </w:rPr>
              <w:t xml:space="preserve"> šā likuma 12. panta pirmās daļas 3., 3.</w:t>
            </w:r>
            <w:r w:rsidRPr="0032133C">
              <w:rPr>
                <w:sz w:val="22"/>
                <w:szCs w:val="22"/>
                <w:vertAlign w:val="superscript"/>
              </w:rPr>
              <w:t>1</w:t>
            </w:r>
            <w:r w:rsidRPr="0032133C">
              <w:rPr>
                <w:sz w:val="22"/>
                <w:szCs w:val="22"/>
              </w:rPr>
              <w:t> punktā un sestajā daļā, kā arī šā likuma 12. panta 5.</w:t>
            </w:r>
            <w:r w:rsidRPr="0032133C">
              <w:rPr>
                <w:sz w:val="22"/>
                <w:szCs w:val="22"/>
                <w:vertAlign w:val="superscript"/>
              </w:rPr>
              <w:t>2</w:t>
            </w:r>
            <w:r w:rsidRPr="0032133C">
              <w:rPr>
                <w:sz w:val="22"/>
                <w:szCs w:val="22"/>
              </w:rPr>
              <w:t> daļa stājas spēkā 2021. gada 1. janvārī.</w:t>
            </w:r>
            <w:bookmarkStart w:id="2" w:name="pn9"/>
            <w:bookmarkStart w:id="3" w:name="p-729048"/>
            <w:bookmarkEnd w:id="2"/>
            <w:bookmarkEnd w:id="3"/>
          </w:p>
        </w:tc>
        <w:tc>
          <w:tcPr>
            <w:tcW w:w="3969" w:type="dxa"/>
            <w:shd w:val="clear" w:color="auto" w:fill="auto"/>
          </w:tcPr>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3. Pārejas noteikumos:</w:t>
            </w:r>
          </w:p>
          <w:p w:rsidR="00186990" w:rsidRPr="0032133C" w:rsidRDefault="00186990" w:rsidP="00186990">
            <w:pPr>
              <w:shd w:val="clear" w:color="auto" w:fill="FFFFFF"/>
              <w:ind w:firstLine="567"/>
              <w:contextualSpacing/>
              <w:jc w:val="both"/>
              <w:rPr>
                <w:rFonts w:eastAsia="Times New Roman"/>
                <w:sz w:val="22"/>
                <w:lang w:eastAsia="lv-LV"/>
              </w:rPr>
            </w:pPr>
            <w:r w:rsidRPr="0032133C">
              <w:rPr>
                <w:rFonts w:eastAsia="Times New Roman"/>
                <w:sz w:val="22"/>
                <w:lang w:eastAsia="lv-LV"/>
              </w:rPr>
              <w:t>izteikt 8. punktu šādā redakcijā: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t> "8. Grozījums šā likuma 12. panta sestajā daļā stājas spēkā 2021. gada 1. janvārī.";</w:t>
            </w:r>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186990" w:rsidRPr="0032133C" w:rsidRDefault="00F520B9" w:rsidP="00F520B9">
            <w:pPr>
              <w:pStyle w:val="tv213"/>
              <w:spacing w:before="0" w:beforeAutospacing="0" w:after="0" w:afterAutospacing="0"/>
              <w:ind w:firstLine="567"/>
              <w:jc w:val="both"/>
              <w:rPr>
                <w:sz w:val="22"/>
                <w:szCs w:val="22"/>
              </w:rPr>
            </w:pPr>
            <w:r w:rsidRPr="0032133C">
              <w:rPr>
                <w:sz w:val="22"/>
                <w:szCs w:val="22"/>
              </w:rPr>
              <w:t xml:space="preserve">9. Ja personai laikposmā, kad valstī ir izsludināta ārkārtējā situācija sakarā ar Covid-19 izplatību, vai triju mēnešu laikā </w:t>
            </w:r>
            <w:r w:rsidRPr="0032133C">
              <w:rPr>
                <w:sz w:val="22"/>
                <w:szCs w:val="22"/>
              </w:rPr>
              <w:lastRenderedPageBreak/>
              <w:t>pēc ārkārtējās situācijas atcelšanas vai noteiktā termiņa beigām beidzas Valsts komisijas iepriekš izdotā administratīvā akta darbības termiņš un nav iesniegti nepieciešamie dokumenti invaliditātes ekspertīzes veikšanai, minētā administratīvā akta darbības termiņš tiek pagarināts uz laiku līdz sešiem mēnešiem, bet ne ilgāk kā līdz jauna administratīvā akta izdošanai konkrētās personas lietā.</w:t>
            </w:r>
          </w:p>
        </w:tc>
        <w:tc>
          <w:tcPr>
            <w:tcW w:w="3969" w:type="dxa"/>
            <w:shd w:val="clear" w:color="auto" w:fill="auto"/>
          </w:tcPr>
          <w:p w:rsidR="00186990" w:rsidRPr="0032133C" w:rsidRDefault="00186990" w:rsidP="00186990">
            <w:pPr>
              <w:ind w:firstLine="567"/>
              <w:jc w:val="both"/>
              <w:rPr>
                <w:rFonts w:eastAsia="Times New Roman"/>
                <w:sz w:val="22"/>
                <w:lang w:eastAsia="lv-LV"/>
              </w:rPr>
            </w:pPr>
            <w:r w:rsidRPr="0032133C">
              <w:rPr>
                <w:rFonts w:eastAsia="Times New Roman"/>
                <w:sz w:val="22"/>
                <w:lang w:eastAsia="lv-LV"/>
              </w:rPr>
              <w:lastRenderedPageBreak/>
              <w:t>papildināt pārejas noteikumus ar 10. punktu šādā redakcijā:</w:t>
            </w:r>
          </w:p>
          <w:p w:rsidR="00186990" w:rsidRPr="0032133C" w:rsidRDefault="00186990" w:rsidP="00186990">
            <w:pPr>
              <w:ind w:firstLine="567"/>
              <w:contextualSpacing/>
              <w:jc w:val="both"/>
              <w:rPr>
                <w:rFonts w:eastAsia="Times New Roman"/>
                <w:sz w:val="22"/>
                <w:lang w:eastAsia="lv-LV"/>
              </w:rPr>
            </w:pPr>
            <w:r w:rsidRPr="0032133C">
              <w:rPr>
                <w:rFonts w:eastAsia="Times New Roman"/>
                <w:sz w:val="22"/>
                <w:lang w:eastAsia="lv-LV"/>
              </w:rPr>
              <w:lastRenderedPageBreak/>
              <w:t> "10. Šā likuma 1. panta 11. un 12. punkts, 12. panta pirmās daļas 4.</w:t>
            </w:r>
            <w:r w:rsidRPr="0032133C">
              <w:rPr>
                <w:rFonts w:eastAsia="Times New Roman"/>
                <w:sz w:val="22"/>
                <w:vertAlign w:val="superscript"/>
                <w:lang w:eastAsia="lv-LV"/>
              </w:rPr>
              <w:t>1</w:t>
            </w:r>
            <w:r w:rsidRPr="0032133C">
              <w:rPr>
                <w:rFonts w:eastAsia="Times New Roman"/>
                <w:sz w:val="22"/>
                <w:lang w:eastAsia="lv-LV"/>
              </w:rPr>
              <w:t xml:space="preserve"> un 4.</w:t>
            </w:r>
            <w:r w:rsidRPr="0032133C">
              <w:rPr>
                <w:rFonts w:eastAsia="Times New Roman"/>
                <w:sz w:val="22"/>
                <w:vertAlign w:val="superscript"/>
                <w:lang w:eastAsia="lv-LV"/>
              </w:rPr>
              <w:t>2 </w:t>
            </w:r>
            <w:r w:rsidRPr="0032133C">
              <w:rPr>
                <w:rFonts w:eastAsia="Times New Roman"/>
                <w:sz w:val="22"/>
                <w:lang w:eastAsia="lv-LV"/>
              </w:rPr>
              <w:t>punkts un 2.</w:t>
            </w:r>
            <w:r w:rsidRPr="0032133C">
              <w:rPr>
                <w:rFonts w:eastAsia="Times New Roman"/>
                <w:sz w:val="22"/>
                <w:vertAlign w:val="superscript"/>
                <w:lang w:eastAsia="lv-LV"/>
              </w:rPr>
              <w:t>3</w:t>
            </w:r>
            <w:r w:rsidRPr="0032133C">
              <w:rPr>
                <w:rFonts w:eastAsia="Times New Roman"/>
                <w:sz w:val="22"/>
                <w:lang w:eastAsia="lv-LV"/>
              </w:rPr>
              <w:t>, 2.</w:t>
            </w:r>
            <w:r w:rsidRPr="0032133C">
              <w:rPr>
                <w:rFonts w:eastAsia="Times New Roman"/>
                <w:sz w:val="22"/>
                <w:vertAlign w:val="superscript"/>
                <w:lang w:eastAsia="lv-LV"/>
              </w:rPr>
              <w:t>4</w:t>
            </w:r>
            <w:r w:rsidRPr="0032133C">
              <w:rPr>
                <w:rFonts w:eastAsia="Times New Roman"/>
                <w:sz w:val="22"/>
                <w:lang w:eastAsia="lv-LV"/>
              </w:rPr>
              <w:t>, 5.</w:t>
            </w:r>
            <w:r w:rsidRPr="0032133C">
              <w:rPr>
                <w:rFonts w:eastAsia="Times New Roman"/>
                <w:sz w:val="22"/>
                <w:vertAlign w:val="superscript"/>
                <w:lang w:eastAsia="lv-LV"/>
              </w:rPr>
              <w:t>2</w:t>
            </w:r>
            <w:r w:rsidRPr="0032133C">
              <w:rPr>
                <w:rFonts w:eastAsia="Times New Roman"/>
                <w:sz w:val="22"/>
                <w:lang w:eastAsia="lv-LV"/>
              </w:rPr>
              <w:t>, 6.</w:t>
            </w:r>
            <w:r w:rsidRPr="0032133C">
              <w:rPr>
                <w:rFonts w:eastAsia="Times New Roman"/>
                <w:sz w:val="22"/>
                <w:vertAlign w:val="superscript"/>
                <w:lang w:eastAsia="lv-LV"/>
              </w:rPr>
              <w:t>1</w:t>
            </w:r>
            <w:r w:rsidRPr="0032133C">
              <w:rPr>
                <w:rFonts w:eastAsia="Times New Roman"/>
                <w:sz w:val="22"/>
                <w:lang w:eastAsia="lv-LV"/>
              </w:rPr>
              <w:t>, 6.</w:t>
            </w:r>
            <w:r w:rsidRPr="0032133C">
              <w:rPr>
                <w:rFonts w:eastAsia="Times New Roman"/>
                <w:sz w:val="22"/>
                <w:vertAlign w:val="superscript"/>
                <w:lang w:eastAsia="lv-LV"/>
              </w:rPr>
              <w:t>2</w:t>
            </w:r>
            <w:r w:rsidRPr="0032133C">
              <w:rPr>
                <w:rFonts w:eastAsia="Times New Roman"/>
                <w:sz w:val="22"/>
                <w:lang w:eastAsia="lv-LV"/>
              </w:rPr>
              <w:t xml:space="preserve"> un astotā daļa, kā arī grozījumi 12. panta pirmās daļas 3., 3.</w:t>
            </w:r>
            <w:r w:rsidRPr="0032133C">
              <w:rPr>
                <w:rFonts w:eastAsia="Times New Roman"/>
                <w:sz w:val="22"/>
                <w:vertAlign w:val="superscript"/>
                <w:lang w:eastAsia="lv-LV"/>
              </w:rPr>
              <w:t>1 </w:t>
            </w:r>
            <w:r w:rsidRPr="0032133C">
              <w:rPr>
                <w:rFonts w:eastAsia="Times New Roman"/>
                <w:sz w:val="22"/>
                <w:lang w:eastAsia="lv-LV"/>
              </w:rPr>
              <w:t>punktā, otrajā un 5.</w:t>
            </w:r>
            <w:r w:rsidRPr="0032133C">
              <w:rPr>
                <w:rFonts w:eastAsia="Times New Roman"/>
                <w:sz w:val="22"/>
                <w:vertAlign w:val="superscript"/>
                <w:lang w:eastAsia="lv-LV"/>
              </w:rPr>
              <w:t>1 </w:t>
            </w:r>
            <w:r w:rsidRPr="0032133C">
              <w:rPr>
                <w:rFonts w:eastAsia="Times New Roman"/>
                <w:sz w:val="22"/>
                <w:lang w:eastAsia="lv-LV"/>
              </w:rPr>
              <w:t>daļā stājas spēkā 2021. gada 1. jūlijā."</w:t>
            </w:r>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r w:rsidR="0032133C" w:rsidRPr="0032133C" w:rsidTr="00F520B9">
        <w:tc>
          <w:tcPr>
            <w:tcW w:w="3964" w:type="dxa"/>
            <w:shd w:val="clear" w:color="auto" w:fill="auto"/>
          </w:tcPr>
          <w:p w:rsidR="00F520B9" w:rsidRPr="0032133C" w:rsidRDefault="00F520B9" w:rsidP="0078482A">
            <w:pPr>
              <w:ind w:firstLine="567"/>
              <w:jc w:val="both"/>
              <w:rPr>
                <w:b/>
                <w:bCs/>
                <w:sz w:val="22"/>
              </w:rPr>
            </w:pPr>
          </w:p>
        </w:tc>
        <w:tc>
          <w:tcPr>
            <w:tcW w:w="3969" w:type="dxa"/>
            <w:shd w:val="clear" w:color="auto" w:fill="auto"/>
          </w:tcPr>
          <w:p w:rsidR="00F520B9" w:rsidRPr="0032133C" w:rsidRDefault="00F520B9" w:rsidP="00186990">
            <w:pPr>
              <w:ind w:firstLine="567"/>
              <w:jc w:val="both"/>
              <w:rPr>
                <w:rFonts w:eastAsia="Times New Roman"/>
                <w:sz w:val="22"/>
                <w:lang w:eastAsia="lv-LV"/>
              </w:rPr>
            </w:pPr>
            <w:bookmarkStart w:id="4" w:name="_GoBack"/>
            <w:bookmarkEnd w:id="4"/>
          </w:p>
        </w:tc>
        <w:tc>
          <w:tcPr>
            <w:tcW w:w="581" w:type="dxa"/>
          </w:tcPr>
          <w:p w:rsidR="00F520B9" w:rsidRPr="0032133C" w:rsidRDefault="00D77502" w:rsidP="0078482A">
            <w:pPr>
              <w:jc w:val="center"/>
              <w:rPr>
                <w:rFonts w:eastAsia="Times New Roman"/>
                <w:b/>
                <w:iCs/>
                <w:sz w:val="22"/>
                <w:lang w:eastAsia="lv-LV"/>
              </w:rPr>
            </w:pPr>
            <w:r w:rsidRPr="0032133C">
              <w:rPr>
                <w:rFonts w:eastAsia="Times New Roman"/>
                <w:b/>
                <w:iCs/>
                <w:sz w:val="22"/>
                <w:lang w:eastAsia="lv-LV"/>
              </w:rPr>
              <w:t>6</w:t>
            </w: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p>
          <w:p w:rsidR="00D77502" w:rsidRPr="0032133C" w:rsidRDefault="00D77502" w:rsidP="0078482A">
            <w:pPr>
              <w:jc w:val="center"/>
              <w:rPr>
                <w:rFonts w:eastAsia="Times New Roman"/>
                <w:b/>
                <w:iCs/>
                <w:sz w:val="22"/>
                <w:lang w:eastAsia="lv-LV"/>
              </w:rPr>
            </w:pPr>
            <w:r w:rsidRPr="0032133C">
              <w:rPr>
                <w:rFonts w:eastAsia="Times New Roman"/>
                <w:b/>
                <w:iCs/>
                <w:sz w:val="22"/>
                <w:lang w:eastAsia="lv-LV"/>
              </w:rPr>
              <w:t>7</w:t>
            </w:r>
          </w:p>
        </w:tc>
        <w:tc>
          <w:tcPr>
            <w:tcW w:w="3969" w:type="dxa"/>
          </w:tcPr>
          <w:p w:rsidR="00F520B9" w:rsidRPr="0032133C" w:rsidRDefault="00F520B9" w:rsidP="00F520B9">
            <w:pPr>
              <w:ind w:firstLine="567"/>
              <w:jc w:val="both"/>
              <w:rPr>
                <w:rFonts w:eastAsia="Times New Roman"/>
                <w:b/>
                <w:iCs/>
                <w:sz w:val="22"/>
                <w:u w:val="single"/>
                <w:lang w:eastAsia="lv-LV"/>
              </w:rPr>
            </w:pPr>
            <w:r w:rsidRPr="0032133C">
              <w:rPr>
                <w:rFonts w:eastAsia="Times New Roman"/>
                <w:b/>
                <w:iCs/>
                <w:sz w:val="22"/>
                <w:u w:val="single"/>
                <w:lang w:eastAsia="lv-LV"/>
              </w:rPr>
              <w:t>Deputāte J.Stepaņenko</w:t>
            </w:r>
          </w:p>
          <w:p w:rsidR="00F520B9" w:rsidRPr="0032133C" w:rsidRDefault="00F520B9" w:rsidP="00F520B9">
            <w:pPr>
              <w:pStyle w:val="tv213"/>
              <w:spacing w:before="0" w:beforeAutospacing="0" w:after="0" w:afterAutospacing="0"/>
              <w:ind w:firstLine="567"/>
              <w:jc w:val="both"/>
              <w:rPr>
                <w:rFonts w:eastAsia="Calibri"/>
                <w:sz w:val="22"/>
                <w:szCs w:val="22"/>
              </w:rPr>
            </w:pPr>
            <w:r w:rsidRPr="0032133C">
              <w:rPr>
                <w:rFonts w:eastAsia="Calibri"/>
                <w:sz w:val="22"/>
                <w:szCs w:val="22"/>
              </w:rPr>
              <w:t xml:space="preserve">Papildināt pārejas notiekumus ar jaunu punktu sekojošā redakcijā: </w:t>
            </w:r>
          </w:p>
          <w:p w:rsidR="00F520B9" w:rsidRPr="0032133C" w:rsidRDefault="00F520B9" w:rsidP="00F520B9">
            <w:pPr>
              <w:pStyle w:val="tv213"/>
              <w:spacing w:before="0" w:beforeAutospacing="0" w:after="0" w:afterAutospacing="0"/>
              <w:ind w:firstLine="567"/>
              <w:jc w:val="both"/>
              <w:rPr>
                <w:rFonts w:eastAsia="Calibri"/>
                <w:sz w:val="22"/>
                <w:szCs w:val="22"/>
              </w:rPr>
            </w:pPr>
            <w:r w:rsidRPr="0032133C">
              <w:rPr>
                <w:rFonts w:eastAsia="Calibri"/>
                <w:sz w:val="22"/>
                <w:szCs w:val="22"/>
              </w:rPr>
              <w:t xml:space="preserve">“__. Ministru kabinetam līdz </w:t>
            </w:r>
            <w:proofErr w:type="gramStart"/>
            <w:r w:rsidRPr="0032133C">
              <w:rPr>
                <w:rFonts w:eastAsia="Calibri"/>
                <w:sz w:val="22"/>
                <w:szCs w:val="22"/>
              </w:rPr>
              <w:t>2021.gada</w:t>
            </w:r>
            <w:proofErr w:type="gramEnd"/>
            <w:r w:rsidRPr="0032133C">
              <w:rPr>
                <w:rFonts w:eastAsia="Calibri"/>
                <w:sz w:val="22"/>
                <w:szCs w:val="22"/>
              </w:rPr>
              <w:t xml:space="preserve"> 1.jūlijam veikt nepieciešamos grozījumus Ministru kabineta noteikumos NR.1474, iekļaujot tajos specializēto </w:t>
            </w:r>
            <w:proofErr w:type="spellStart"/>
            <w:r w:rsidRPr="0032133C">
              <w:rPr>
                <w:rFonts w:eastAsia="Calibri"/>
                <w:sz w:val="22"/>
                <w:szCs w:val="22"/>
              </w:rPr>
              <w:t>autokrēsliņu</w:t>
            </w:r>
            <w:proofErr w:type="spellEnd"/>
            <w:r w:rsidRPr="0032133C">
              <w:rPr>
                <w:rFonts w:eastAsia="Calibri"/>
                <w:sz w:val="22"/>
                <w:szCs w:val="22"/>
              </w:rPr>
              <w:t xml:space="preserve"> kā tehnisko palīglīdzekļu apmaksu no valsts budžeta personām, kas aprūpē bērnu ar smagiem funkcionāliem traucējumiem.”</w:t>
            </w:r>
          </w:p>
          <w:p w:rsidR="00D77502" w:rsidRPr="0032133C" w:rsidRDefault="00D77502" w:rsidP="00F520B9">
            <w:pPr>
              <w:pStyle w:val="tv213"/>
              <w:spacing w:before="0" w:beforeAutospacing="0" w:after="0" w:afterAutospacing="0"/>
              <w:ind w:firstLine="567"/>
              <w:jc w:val="both"/>
              <w:rPr>
                <w:rFonts w:eastAsia="Calibri"/>
                <w:sz w:val="22"/>
                <w:szCs w:val="22"/>
              </w:rPr>
            </w:pPr>
          </w:p>
          <w:p w:rsidR="00D77502" w:rsidRPr="0032133C" w:rsidRDefault="00D77502" w:rsidP="00D77502">
            <w:pPr>
              <w:ind w:firstLine="567"/>
              <w:jc w:val="both"/>
              <w:rPr>
                <w:rFonts w:eastAsia="Times New Roman"/>
                <w:b/>
                <w:iCs/>
                <w:sz w:val="22"/>
                <w:u w:val="single"/>
                <w:lang w:eastAsia="lv-LV"/>
              </w:rPr>
            </w:pPr>
            <w:r w:rsidRPr="0032133C">
              <w:rPr>
                <w:rFonts w:eastAsia="Times New Roman"/>
                <w:b/>
                <w:iCs/>
                <w:sz w:val="22"/>
                <w:u w:val="single"/>
                <w:lang w:eastAsia="lv-LV"/>
              </w:rPr>
              <w:t>Deputāte K.Sprūde</w:t>
            </w:r>
          </w:p>
          <w:p w:rsidR="00D77502" w:rsidRPr="0032133C" w:rsidRDefault="00D77502" w:rsidP="00D77502">
            <w:pPr>
              <w:pStyle w:val="tv213"/>
              <w:spacing w:before="0" w:beforeAutospacing="0" w:after="0" w:afterAutospacing="0"/>
              <w:ind w:firstLine="567"/>
              <w:jc w:val="both"/>
              <w:rPr>
                <w:rFonts w:eastAsia="Calibri"/>
                <w:sz w:val="22"/>
                <w:szCs w:val="22"/>
              </w:rPr>
            </w:pPr>
            <w:r w:rsidRPr="0032133C">
              <w:rPr>
                <w:rFonts w:eastAsia="Calibri"/>
                <w:sz w:val="22"/>
                <w:szCs w:val="22"/>
              </w:rPr>
              <w:t xml:space="preserve">Papildināt pārejas notiekumus ar jaunu punktu sekojošā redakcijā: </w:t>
            </w:r>
          </w:p>
          <w:p w:rsidR="00D77502" w:rsidRPr="0032133C" w:rsidRDefault="00D77502" w:rsidP="00D77502">
            <w:pPr>
              <w:pStyle w:val="tv213"/>
              <w:spacing w:before="0" w:beforeAutospacing="0" w:after="0" w:afterAutospacing="0"/>
              <w:ind w:firstLine="567"/>
              <w:jc w:val="both"/>
              <w:rPr>
                <w:rFonts w:eastAsia="Calibri"/>
                <w:sz w:val="22"/>
                <w:szCs w:val="22"/>
              </w:rPr>
            </w:pPr>
            <w:r w:rsidRPr="0032133C">
              <w:rPr>
                <w:rFonts w:eastAsia="Calibri"/>
                <w:sz w:val="22"/>
                <w:szCs w:val="22"/>
              </w:rPr>
              <w:t xml:space="preserve">“__. Ministru kabinetam līdz </w:t>
            </w:r>
            <w:proofErr w:type="gramStart"/>
            <w:r w:rsidRPr="0032133C">
              <w:rPr>
                <w:rFonts w:eastAsia="Calibri"/>
                <w:sz w:val="22"/>
                <w:szCs w:val="22"/>
              </w:rPr>
              <w:t>2021.gada</w:t>
            </w:r>
            <w:proofErr w:type="gramEnd"/>
            <w:r w:rsidRPr="0032133C">
              <w:rPr>
                <w:rFonts w:eastAsia="Calibri"/>
                <w:sz w:val="22"/>
                <w:szCs w:val="22"/>
              </w:rPr>
              <w:t xml:space="preserve"> 1.jūlijam veikt nepieciešamos grozījumus Ministru kabineta noteikumos NR.1474, iekļaujot tajos specializēto </w:t>
            </w:r>
            <w:proofErr w:type="spellStart"/>
            <w:r w:rsidRPr="0032133C">
              <w:rPr>
                <w:rFonts w:eastAsia="Calibri"/>
                <w:sz w:val="22"/>
                <w:szCs w:val="22"/>
              </w:rPr>
              <w:t>autokrēsliņu</w:t>
            </w:r>
            <w:proofErr w:type="spellEnd"/>
            <w:r w:rsidRPr="0032133C">
              <w:rPr>
                <w:rFonts w:eastAsia="Calibri"/>
                <w:sz w:val="22"/>
                <w:szCs w:val="22"/>
              </w:rPr>
              <w:t xml:space="preserve"> kā tehnisko palīglīdzekļu apmaksu no valsts budžeta personām, kas aprūpē bērnu ar smagiem funkcionāliem traucējumiem.”</w:t>
            </w:r>
          </w:p>
        </w:tc>
        <w:tc>
          <w:tcPr>
            <w:tcW w:w="1417" w:type="dxa"/>
          </w:tcPr>
          <w:p w:rsidR="00F520B9" w:rsidRPr="0032133C" w:rsidRDefault="00F520B9" w:rsidP="0078482A">
            <w:pPr>
              <w:ind w:firstLine="567"/>
              <w:jc w:val="both"/>
              <w:rPr>
                <w:rFonts w:eastAsia="Times New Roman"/>
                <w:iCs/>
                <w:sz w:val="22"/>
                <w:lang w:eastAsia="lv-LV"/>
              </w:rPr>
            </w:pPr>
          </w:p>
        </w:tc>
        <w:tc>
          <w:tcPr>
            <w:tcW w:w="1418" w:type="dxa"/>
          </w:tcPr>
          <w:p w:rsidR="00F520B9" w:rsidRPr="0032133C" w:rsidRDefault="00F520B9" w:rsidP="0078482A">
            <w:pPr>
              <w:ind w:firstLine="567"/>
              <w:jc w:val="both"/>
              <w:rPr>
                <w:rFonts w:eastAsia="Times New Roman"/>
                <w:iCs/>
                <w:sz w:val="22"/>
                <w:lang w:eastAsia="lv-LV"/>
              </w:rPr>
            </w:pPr>
          </w:p>
        </w:tc>
      </w:tr>
      <w:tr w:rsidR="00186990" w:rsidRPr="0032133C" w:rsidTr="00F520B9">
        <w:tc>
          <w:tcPr>
            <w:tcW w:w="3964" w:type="dxa"/>
            <w:shd w:val="clear" w:color="auto" w:fill="auto"/>
          </w:tcPr>
          <w:p w:rsidR="00186990" w:rsidRPr="0032133C" w:rsidRDefault="00186990" w:rsidP="0078482A">
            <w:pPr>
              <w:ind w:firstLine="567"/>
              <w:jc w:val="both"/>
              <w:rPr>
                <w:b/>
                <w:sz w:val="22"/>
              </w:rPr>
            </w:pPr>
          </w:p>
        </w:tc>
        <w:tc>
          <w:tcPr>
            <w:tcW w:w="3969" w:type="dxa"/>
            <w:shd w:val="clear" w:color="auto" w:fill="auto"/>
          </w:tcPr>
          <w:p w:rsidR="00186990" w:rsidRPr="0032133C" w:rsidRDefault="00186990" w:rsidP="00186990">
            <w:pPr>
              <w:ind w:firstLine="567"/>
              <w:jc w:val="both"/>
              <w:rPr>
                <w:rFonts w:eastAsia="Times New Roman"/>
                <w:sz w:val="22"/>
                <w:lang w:eastAsia="lv-LV"/>
              </w:rPr>
            </w:pPr>
            <w:r w:rsidRPr="0032133C">
              <w:rPr>
                <w:rFonts w:eastAsia="Times New Roman"/>
                <w:sz w:val="22"/>
                <w:lang w:eastAsia="lv-LV"/>
              </w:rPr>
              <w:t>Likums stājas spēkā 2021. gada 1. janvārī.</w:t>
            </w:r>
          </w:p>
        </w:tc>
        <w:tc>
          <w:tcPr>
            <w:tcW w:w="581" w:type="dxa"/>
          </w:tcPr>
          <w:p w:rsidR="00186990" w:rsidRPr="0032133C" w:rsidRDefault="00186990" w:rsidP="0078482A">
            <w:pPr>
              <w:jc w:val="center"/>
              <w:rPr>
                <w:rFonts w:eastAsia="Times New Roman"/>
                <w:b/>
                <w:iCs/>
                <w:sz w:val="22"/>
                <w:lang w:eastAsia="lv-LV"/>
              </w:rPr>
            </w:pPr>
          </w:p>
        </w:tc>
        <w:tc>
          <w:tcPr>
            <w:tcW w:w="3969" w:type="dxa"/>
          </w:tcPr>
          <w:p w:rsidR="00186990" w:rsidRPr="0032133C" w:rsidRDefault="00186990" w:rsidP="0078482A">
            <w:pPr>
              <w:ind w:firstLine="567"/>
              <w:jc w:val="both"/>
              <w:rPr>
                <w:rFonts w:eastAsia="Times New Roman"/>
                <w:iCs/>
                <w:sz w:val="22"/>
                <w:lang w:eastAsia="lv-LV"/>
              </w:rPr>
            </w:pPr>
          </w:p>
        </w:tc>
        <w:tc>
          <w:tcPr>
            <w:tcW w:w="1417" w:type="dxa"/>
          </w:tcPr>
          <w:p w:rsidR="00186990" w:rsidRPr="0032133C" w:rsidRDefault="00186990" w:rsidP="0078482A">
            <w:pPr>
              <w:ind w:firstLine="567"/>
              <w:jc w:val="both"/>
              <w:rPr>
                <w:rFonts w:eastAsia="Times New Roman"/>
                <w:iCs/>
                <w:sz w:val="22"/>
                <w:lang w:eastAsia="lv-LV"/>
              </w:rPr>
            </w:pPr>
          </w:p>
        </w:tc>
        <w:tc>
          <w:tcPr>
            <w:tcW w:w="1418" w:type="dxa"/>
          </w:tcPr>
          <w:p w:rsidR="00186990" w:rsidRPr="0032133C" w:rsidRDefault="00186990" w:rsidP="0078482A">
            <w:pPr>
              <w:ind w:firstLine="567"/>
              <w:jc w:val="both"/>
              <w:rPr>
                <w:rFonts w:eastAsia="Times New Roman"/>
                <w:iCs/>
                <w:sz w:val="22"/>
                <w:lang w:eastAsia="lv-LV"/>
              </w:rPr>
            </w:pPr>
          </w:p>
        </w:tc>
      </w:tr>
    </w:tbl>
    <w:p w:rsidR="00186990" w:rsidRPr="0032133C" w:rsidRDefault="00186990" w:rsidP="00186990"/>
    <w:p w:rsidR="005D4711" w:rsidRPr="0032133C" w:rsidRDefault="005D4711"/>
    <w:sectPr w:rsidR="005D4711" w:rsidRPr="0032133C"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68" w:rsidRDefault="007E12BF">
      <w:r>
        <w:separator/>
      </w:r>
    </w:p>
  </w:endnote>
  <w:endnote w:type="continuationSeparator" w:id="0">
    <w:p w:rsidR="00926A68" w:rsidRDefault="007E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B2F62"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5D3707"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B2F62"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707">
      <w:rPr>
        <w:rStyle w:val="PageNumber"/>
        <w:noProof/>
      </w:rPr>
      <w:t>6</w:t>
    </w:r>
    <w:r>
      <w:rPr>
        <w:rStyle w:val="PageNumber"/>
      </w:rPr>
      <w:fldChar w:fldCharType="end"/>
    </w:r>
  </w:p>
  <w:p w:rsidR="00511D34" w:rsidRDefault="005D3707"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68" w:rsidRDefault="007E12BF">
      <w:r>
        <w:separator/>
      </w:r>
    </w:p>
  </w:footnote>
  <w:footnote w:type="continuationSeparator" w:id="0">
    <w:p w:rsidR="00926A68" w:rsidRDefault="007E12BF">
      <w:r>
        <w:continuationSeparator/>
      </w:r>
    </w:p>
  </w:footnote>
  <w:footnote w:id="1">
    <w:p w:rsidR="00165035" w:rsidRPr="00165035" w:rsidRDefault="00165035" w:rsidP="00165035">
      <w:pPr>
        <w:jc w:val="both"/>
        <w:rPr>
          <w:i/>
          <w:iCs/>
          <w:sz w:val="20"/>
          <w:szCs w:val="20"/>
        </w:rPr>
      </w:pPr>
      <w:r w:rsidRPr="00165035">
        <w:rPr>
          <w:rStyle w:val="FootnoteReference"/>
          <w:sz w:val="20"/>
          <w:szCs w:val="20"/>
        </w:rPr>
        <w:footnoteRef/>
      </w:r>
      <w:r w:rsidRPr="00165035">
        <w:rPr>
          <w:sz w:val="20"/>
          <w:szCs w:val="20"/>
        </w:rPr>
        <w:t xml:space="preserve"> </w:t>
      </w:r>
      <w:r w:rsidRPr="00165035">
        <w:rPr>
          <w:i/>
          <w:iCs/>
          <w:sz w:val="20"/>
          <w:szCs w:val="20"/>
        </w:rPr>
        <w:t xml:space="preserve">Priekšlikums saistīts ar to, ka nākamajos pantos aprūpes pakalpojuma pieejamība noteiktajai vecuma grupai tiek minēta atkārtoti, līdz ar to pamata definīcijā vecuma grupas pieminēšana nav </w:t>
      </w:r>
      <w:proofErr w:type="spellStart"/>
      <w:r w:rsidRPr="00165035">
        <w:rPr>
          <w:i/>
          <w:iCs/>
          <w:sz w:val="20"/>
          <w:szCs w:val="20"/>
        </w:rPr>
        <w:t>nepieciešama.Vienlaikus</w:t>
      </w:r>
      <w:proofErr w:type="spellEnd"/>
      <w:r w:rsidRPr="00165035">
        <w:rPr>
          <w:i/>
          <w:iCs/>
          <w:sz w:val="20"/>
          <w:szCs w:val="20"/>
        </w:rPr>
        <w:t xml:space="preserve"> nav nepieciešams ierobežot brīva laika pavadīšanu tikai ar personas dzīvesvietu, jāsaglabā iespējas piedāvāt pakalpojumu, kas, piemēram, ietver laika pavadīšanu ārpus dzīvokļa vai mājas, ja tas ir iespējams un var pozitīvi ietekmēt personas stāvokli.</w:t>
      </w:r>
    </w:p>
    <w:p w:rsidR="00165035" w:rsidRPr="00165035" w:rsidRDefault="00165035" w:rsidP="00165035">
      <w:pPr>
        <w:pStyle w:val="FootnoteText"/>
        <w:jc w:val="both"/>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B54"/>
    <w:multiLevelType w:val="hybridMultilevel"/>
    <w:tmpl w:val="0678A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0"/>
    <w:rsid w:val="00015AEA"/>
    <w:rsid w:val="00165035"/>
    <w:rsid w:val="00186990"/>
    <w:rsid w:val="002B7D36"/>
    <w:rsid w:val="0032133C"/>
    <w:rsid w:val="004E4DAE"/>
    <w:rsid w:val="005B2F62"/>
    <w:rsid w:val="005D3707"/>
    <w:rsid w:val="005D4711"/>
    <w:rsid w:val="007E12BF"/>
    <w:rsid w:val="00926A68"/>
    <w:rsid w:val="00D77502"/>
    <w:rsid w:val="00DD1ED5"/>
    <w:rsid w:val="00F520B9"/>
    <w:rsid w:val="00FC6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76D8"/>
  <w15:chartTrackingRefBased/>
  <w15:docId w15:val="{C7F2430E-B865-42F5-A674-54A843B7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9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86990"/>
    <w:rPr>
      <w:i/>
      <w:iCs/>
    </w:rPr>
  </w:style>
  <w:style w:type="paragraph" w:styleId="Footer">
    <w:name w:val="footer"/>
    <w:basedOn w:val="Normal"/>
    <w:link w:val="FooterChar"/>
    <w:rsid w:val="00186990"/>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186990"/>
    <w:rPr>
      <w:rFonts w:eastAsia="Times New Roman" w:cs="Times New Roman"/>
      <w:szCs w:val="24"/>
      <w:lang w:val="en-GB"/>
    </w:rPr>
  </w:style>
  <w:style w:type="character" w:styleId="PageNumber">
    <w:name w:val="page number"/>
    <w:rsid w:val="00186990"/>
  </w:style>
  <w:style w:type="paragraph" w:customStyle="1" w:styleId="tv213">
    <w:name w:val="tv213"/>
    <w:basedOn w:val="Normal"/>
    <w:rsid w:val="005B2F62"/>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165035"/>
    <w:pPr>
      <w:ind w:left="720"/>
      <w:contextualSpacing/>
    </w:pPr>
    <w:rPr>
      <w:rFonts w:eastAsia="Times New Roman"/>
      <w:szCs w:val="24"/>
      <w:lang w:eastAsia="en-GB"/>
    </w:rPr>
  </w:style>
  <w:style w:type="paragraph" w:styleId="FootnoteText">
    <w:name w:val="footnote text"/>
    <w:basedOn w:val="Normal"/>
    <w:link w:val="FootnoteTextChar"/>
    <w:uiPriority w:val="99"/>
    <w:semiHidden/>
    <w:unhideWhenUsed/>
    <w:rsid w:val="00165035"/>
    <w:rPr>
      <w:sz w:val="20"/>
      <w:szCs w:val="20"/>
    </w:rPr>
  </w:style>
  <w:style w:type="character" w:customStyle="1" w:styleId="FootnoteTextChar">
    <w:name w:val="Footnote Text Char"/>
    <w:basedOn w:val="DefaultParagraphFont"/>
    <w:link w:val="FootnoteText"/>
    <w:uiPriority w:val="99"/>
    <w:semiHidden/>
    <w:rsid w:val="00165035"/>
    <w:rPr>
      <w:rFonts w:eastAsia="Calibri" w:cs="Times New Roman"/>
      <w:sz w:val="20"/>
      <w:szCs w:val="20"/>
    </w:rPr>
  </w:style>
  <w:style w:type="character" w:styleId="FootnoteReference">
    <w:name w:val="footnote reference"/>
    <w:basedOn w:val="DefaultParagraphFont"/>
    <w:uiPriority w:val="99"/>
    <w:semiHidden/>
    <w:unhideWhenUsed/>
    <w:rsid w:val="00165035"/>
    <w:rPr>
      <w:vertAlign w:val="superscript"/>
    </w:rPr>
  </w:style>
  <w:style w:type="character" w:styleId="Hyperlink">
    <w:name w:val="Hyperlink"/>
    <w:basedOn w:val="DefaultParagraphFont"/>
    <w:uiPriority w:val="99"/>
    <w:semiHidden/>
    <w:unhideWhenUsed/>
    <w:rsid w:val="00F520B9"/>
    <w:rPr>
      <w:color w:val="0000FF"/>
      <w:u w:val="single"/>
    </w:rPr>
  </w:style>
  <w:style w:type="paragraph" w:customStyle="1" w:styleId="labojumupamats">
    <w:name w:val="labojumu_pamats"/>
    <w:basedOn w:val="Normal"/>
    <w:rsid w:val="00F520B9"/>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4242">
      <w:bodyDiv w:val="1"/>
      <w:marLeft w:val="0"/>
      <w:marRight w:val="0"/>
      <w:marTop w:val="0"/>
      <w:marBottom w:val="0"/>
      <w:divBdr>
        <w:top w:val="none" w:sz="0" w:space="0" w:color="auto"/>
        <w:left w:val="none" w:sz="0" w:space="0" w:color="auto"/>
        <w:bottom w:val="none" w:sz="0" w:space="0" w:color="auto"/>
        <w:right w:val="none" w:sz="0" w:space="0" w:color="auto"/>
      </w:divBdr>
      <w:divsChild>
        <w:div w:id="548421451">
          <w:marLeft w:val="0"/>
          <w:marRight w:val="0"/>
          <w:marTop w:val="0"/>
          <w:marBottom w:val="0"/>
          <w:divBdr>
            <w:top w:val="none" w:sz="0" w:space="0" w:color="auto"/>
            <w:left w:val="none" w:sz="0" w:space="0" w:color="auto"/>
            <w:bottom w:val="none" w:sz="0" w:space="0" w:color="auto"/>
            <w:right w:val="none" w:sz="0" w:space="0" w:color="auto"/>
          </w:divBdr>
        </w:div>
        <w:div w:id="1096903191">
          <w:marLeft w:val="0"/>
          <w:marRight w:val="0"/>
          <w:marTop w:val="0"/>
          <w:marBottom w:val="0"/>
          <w:divBdr>
            <w:top w:val="none" w:sz="0" w:space="0" w:color="auto"/>
            <w:left w:val="none" w:sz="0" w:space="0" w:color="auto"/>
            <w:bottom w:val="none" w:sz="0" w:space="0" w:color="auto"/>
            <w:right w:val="none" w:sz="0" w:space="0" w:color="auto"/>
          </w:divBdr>
        </w:div>
      </w:divsChild>
    </w:div>
    <w:div w:id="952396559">
      <w:bodyDiv w:val="1"/>
      <w:marLeft w:val="0"/>
      <w:marRight w:val="0"/>
      <w:marTop w:val="0"/>
      <w:marBottom w:val="0"/>
      <w:divBdr>
        <w:top w:val="none" w:sz="0" w:space="0" w:color="auto"/>
        <w:left w:val="none" w:sz="0" w:space="0" w:color="auto"/>
        <w:bottom w:val="none" w:sz="0" w:space="0" w:color="auto"/>
        <w:right w:val="none" w:sz="0" w:space="0" w:color="auto"/>
      </w:divBdr>
    </w:div>
    <w:div w:id="1145973759">
      <w:bodyDiv w:val="1"/>
      <w:marLeft w:val="0"/>
      <w:marRight w:val="0"/>
      <w:marTop w:val="0"/>
      <w:marBottom w:val="0"/>
      <w:divBdr>
        <w:top w:val="none" w:sz="0" w:space="0" w:color="auto"/>
        <w:left w:val="none" w:sz="0" w:space="0" w:color="auto"/>
        <w:bottom w:val="none" w:sz="0" w:space="0" w:color="auto"/>
        <w:right w:val="none" w:sz="0" w:space="0" w:color="auto"/>
      </w:divBdr>
    </w:div>
    <w:div w:id="1207254662">
      <w:bodyDiv w:val="1"/>
      <w:marLeft w:val="0"/>
      <w:marRight w:val="0"/>
      <w:marTop w:val="0"/>
      <w:marBottom w:val="0"/>
      <w:divBdr>
        <w:top w:val="none" w:sz="0" w:space="0" w:color="auto"/>
        <w:left w:val="none" w:sz="0" w:space="0" w:color="auto"/>
        <w:bottom w:val="none" w:sz="0" w:space="0" w:color="auto"/>
        <w:right w:val="none" w:sz="0" w:space="0" w:color="auto"/>
      </w:divBdr>
    </w:div>
    <w:div w:id="19155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1677-6C23-4C12-A195-22719C8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6988</Words>
  <Characters>3984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11</cp:revision>
  <dcterms:created xsi:type="dcterms:W3CDTF">2020-10-15T08:58:00Z</dcterms:created>
  <dcterms:modified xsi:type="dcterms:W3CDTF">2020-11-02T07:27:00Z</dcterms:modified>
</cp:coreProperties>
</file>