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AF" w:rsidRPr="0094485C" w:rsidRDefault="00273DAF" w:rsidP="00273DAF">
      <w:pPr>
        <w:rPr>
          <w:b/>
          <w:i/>
          <w:sz w:val="22"/>
        </w:rPr>
      </w:pPr>
      <w:r w:rsidRPr="00C62F8B">
        <w:rPr>
          <w:sz w:val="26"/>
          <w:szCs w:val="26"/>
        </w:rPr>
        <w:t>Budžeta un finanšu (nodokļu) komisija</w:t>
      </w:r>
      <w:r>
        <w:rPr>
          <w:sz w:val="26"/>
          <w:szCs w:val="26"/>
        </w:rPr>
        <w:t xml:space="preserve"> </w:t>
      </w:r>
    </w:p>
    <w:p w:rsidR="00273DAF" w:rsidRDefault="00273DAF" w:rsidP="00273DAF">
      <w:pPr>
        <w:jc w:val="right"/>
        <w:rPr>
          <w:sz w:val="26"/>
          <w:szCs w:val="26"/>
        </w:rPr>
      </w:pPr>
      <w:r w:rsidRPr="00C62F8B">
        <w:rPr>
          <w:sz w:val="26"/>
          <w:szCs w:val="26"/>
        </w:rPr>
        <w:t>L</w:t>
      </w:r>
      <w:r>
        <w:rPr>
          <w:sz w:val="26"/>
          <w:szCs w:val="26"/>
        </w:rPr>
        <w:t xml:space="preserve">ikumprojekts </w:t>
      </w:r>
      <w:proofErr w:type="gramStart"/>
      <w:r>
        <w:rPr>
          <w:sz w:val="26"/>
          <w:szCs w:val="26"/>
        </w:rPr>
        <w:t>(steidzams) otrajam lasījumam</w:t>
      </w:r>
      <w:proofErr w:type="gramEnd"/>
    </w:p>
    <w:p w:rsidR="00273DAF" w:rsidRDefault="00273DAF" w:rsidP="00273DAF">
      <w:pPr>
        <w:jc w:val="right"/>
        <w:rPr>
          <w:sz w:val="26"/>
          <w:szCs w:val="26"/>
        </w:rPr>
      </w:pPr>
    </w:p>
    <w:p w:rsidR="00273DAF" w:rsidRDefault="00273DAF" w:rsidP="00273DAF">
      <w:pPr>
        <w:jc w:val="center"/>
        <w:rPr>
          <w:b/>
          <w:bCs/>
          <w:sz w:val="26"/>
          <w:szCs w:val="26"/>
        </w:rPr>
      </w:pPr>
      <w:r w:rsidRPr="00273DAF">
        <w:rPr>
          <w:b/>
          <w:bCs/>
          <w:sz w:val="26"/>
          <w:szCs w:val="26"/>
        </w:rPr>
        <w:t>Grozījumi Černobiļas atomelektrostacijas avārijas seku likvidēšanas dalībnieku un</w:t>
      </w:r>
    </w:p>
    <w:p w:rsidR="00273DAF" w:rsidRPr="00273DAF" w:rsidRDefault="00273DAF" w:rsidP="00273DAF">
      <w:pPr>
        <w:jc w:val="center"/>
        <w:rPr>
          <w:rStyle w:val="Emphasis"/>
          <w:b/>
          <w:sz w:val="26"/>
          <w:szCs w:val="26"/>
        </w:rPr>
      </w:pPr>
      <w:r w:rsidRPr="00273DAF">
        <w:rPr>
          <w:b/>
          <w:bCs/>
          <w:sz w:val="26"/>
          <w:szCs w:val="26"/>
        </w:rPr>
        <w:t xml:space="preserve"> Černobiļas atomelektrostacijas avārijas rezultātā cietušo personu sociālās aizsardzības likumā</w:t>
      </w:r>
      <w:r w:rsidRPr="00273DAF">
        <w:rPr>
          <w:rStyle w:val="Emphasis"/>
          <w:b/>
          <w:sz w:val="26"/>
          <w:szCs w:val="26"/>
        </w:rPr>
        <w:t xml:space="preserve"> </w:t>
      </w:r>
    </w:p>
    <w:p w:rsidR="00273DAF" w:rsidRDefault="00273DAF" w:rsidP="00273DAF">
      <w:pPr>
        <w:jc w:val="center"/>
        <w:rPr>
          <w:rStyle w:val="Emphasis"/>
          <w:b/>
          <w:sz w:val="26"/>
          <w:szCs w:val="26"/>
        </w:rPr>
      </w:pPr>
      <w:r w:rsidRPr="00FC3F53">
        <w:rPr>
          <w:rStyle w:val="Emphasis"/>
          <w:b/>
          <w:sz w:val="26"/>
          <w:szCs w:val="26"/>
        </w:rPr>
        <w:t xml:space="preserve">(Nr. </w:t>
      </w:r>
      <w:r>
        <w:rPr>
          <w:rStyle w:val="Emphasis"/>
          <w:b/>
          <w:sz w:val="26"/>
          <w:szCs w:val="26"/>
        </w:rPr>
        <w:t>816</w:t>
      </w:r>
      <w:r w:rsidRPr="00FC3F53">
        <w:rPr>
          <w:rStyle w:val="Emphasis"/>
          <w:b/>
          <w:sz w:val="26"/>
          <w:szCs w:val="26"/>
        </w:rPr>
        <w:t xml:space="preserve">/Lp13) </w:t>
      </w:r>
    </w:p>
    <w:p w:rsidR="00273DAF" w:rsidRPr="00495B31" w:rsidRDefault="00273DAF" w:rsidP="00273DAF">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273DAF" w:rsidRPr="001B3F41" w:rsidTr="00273DAF">
        <w:tc>
          <w:tcPr>
            <w:tcW w:w="3964" w:type="dxa"/>
            <w:shd w:val="clear" w:color="auto" w:fill="auto"/>
            <w:vAlign w:val="center"/>
          </w:tcPr>
          <w:p w:rsidR="00273DAF" w:rsidRPr="001634F0" w:rsidRDefault="00273DAF" w:rsidP="00A53559">
            <w:pPr>
              <w:jc w:val="center"/>
              <w:rPr>
                <w:b/>
                <w:bCs/>
                <w:iCs/>
              </w:rPr>
            </w:pPr>
            <w:r>
              <w:rPr>
                <w:b/>
              </w:rPr>
              <w:t>Spēkā esošā redakcija</w:t>
            </w:r>
          </w:p>
        </w:tc>
        <w:tc>
          <w:tcPr>
            <w:tcW w:w="3969" w:type="dxa"/>
            <w:shd w:val="clear" w:color="auto" w:fill="auto"/>
            <w:vAlign w:val="center"/>
          </w:tcPr>
          <w:p w:rsidR="00273DAF" w:rsidRPr="001B3F41" w:rsidRDefault="00273DAF" w:rsidP="00A53559">
            <w:pPr>
              <w:jc w:val="center"/>
              <w:rPr>
                <w:b/>
              </w:rPr>
            </w:pPr>
            <w:r>
              <w:rPr>
                <w:b/>
              </w:rPr>
              <w:t>Pirmā lasījuma redakcija</w:t>
            </w:r>
          </w:p>
        </w:tc>
        <w:tc>
          <w:tcPr>
            <w:tcW w:w="581" w:type="dxa"/>
            <w:vAlign w:val="center"/>
          </w:tcPr>
          <w:p w:rsidR="00273DAF" w:rsidRPr="00A43531" w:rsidRDefault="00273DAF" w:rsidP="00A53559">
            <w:pPr>
              <w:jc w:val="center"/>
              <w:rPr>
                <w:b/>
              </w:rPr>
            </w:pPr>
            <w:r w:rsidRPr="00A43531">
              <w:rPr>
                <w:b/>
              </w:rPr>
              <w:t>Nr.</w:t>
            </w:r>
          </w:p>
        </w:tc>
        <w:tc>
          <w:tcPr>
            <w:tcW w:w="3969" w:type="dxa"/>
            <w:vAlign w:val="center"/>
          </w:tcPr>
          <w:p w:rsidR="00273DAF" w:rsidRDefault="00273DAF" w:rsidP="00A53559">
            <w:pPr>
              <w:jc w:val="center"/>
              <w:rPr>
                <w:b/>
              </w:rPr>
            </w:pPr>
            <w:r>
              <w:rPr>
                <w:b/>
              </w:rPr>
              <w:t>Priekšlikumi</w:t>
            </w:r>
          </w:p>
          <w:p w:rsidR="00273DAF" w:rsidRPr="001B3F41" w:rsidRDefault="00273DAF" w:rsidP="00002B9B">
            <w:pPr>
              <w:jc w:val="center"/>
              <w:rPr>
                <w:b/>
              </w:rPr>
            </w:pPr>
            <w:r>
              <w:rPr>
                <w:b/>
              </w:rPr>
              <w:t>(</w:t>
            </w:r>
            <w:r w:rsidR="00002B9B">
              <w:rPr>
                <w:b/>
              </w:rPr>
              <w:t>1</w:t>
            </w:r>
            <w:bookmarkStart w:id="0" w:name="_GoBack"/>
            <w:bookmarkEnd w:id="0"/>
            <w:r>
              <w:rPr>
                <w:b/>
              </w:rPr>
              <w:t>)</w:t>
            </w:r>
          </w:p>
        </w:tc>
        <w:tc>
          <w:tcPr>
            <w:tcW w:w="1417" w:type="dxa"/>
            <w:vAlign w:val="center"/>
          </w:tcPr>
          <w:p w:rsidR="00273DAF" w:rsidRPr="001B3F41" w:rsidRDefault="00273DAF" w:rsidP="00A53559">
            <w:pPr>
              <w:jc w:val="center"/>
              <w:rPr>
                <w:b/>
              </w:rPr>
            </w:pPr>
            <w:r>
              <w:rPr>
                <w:b/>
              </w:rPr>
              <w:t>Ministru kabineta atzinums</w:t>
            </w:r>
          </w:p>
        </w:tc>
        <w:tc>
          <w:tcPr>
            <w:tcW w:w="1418" w:type="dxa"/>
            <w:vAlign w:val="center"/>
          </w:tcPr>
          <w:p w:rsidR="00273DAF" w:rsidRPr="001B3F41" w:rsidRDefault="00273DAF" w:rsidP="00A53559">
            <w:pPr>
              <w:jc w:val="center"/>
              <w:rPr>
                <w:b/>
              </w:rPr>
            </w:pPr>
            <w:r>
              <w:rPr>
                <w:b/>
              </w:rPr>
              <w:t>Komisijas atzinums</w:t>
            </w:r>
          </w:p>
        </w:tc>
      </w:tr>
      <w:tr w:rsidR="00273DAF" w:rsidRPr="001B3F41" w:rsidTr="00273DAF">
        <w:tc>
          <w:tcPr>
            <w:tcW w:w="3964" w:type="dxa"/>
            <w:shd w:val="clear" w:color="auto" w:fill="auto"/>
            <w:vAlign w:val="center"/>
          </w:tcPr>
          <w:p w:rsidR="00273DAF" w:rsidRDefault="00273DAF" w:rsidP="00A53559">
            <w:pPr>
              <w:jc w:val="center"/>
              <w:rPr>
                <w:b/>
              </w:rPr>
            </w:pPr>
          </w:p>
        </w:tc>
        <w:tc>
          <w:tcPr>
            <w:tcW w:w="3969" w:type="dxa"/>
            <w:shd w:val="clear" w:color="auto" w:fill="auto"/>
            <w:vAlign w:val="center"/>
          </w:tcPr>
          <w:p w:rsidR="00273DAF" w:rsidRPr="00186990" w:rsidRDefault="00273DAF" w:rsidP="00273DAF">
            <w:pPr>
              <w:ind w:firstLine="567"/>
              <w:jc w:val="both"/>
              <w:rPr>
                <w:rFonts w:eastAsia="Times New Roman"/>
                <w:sz w:val="22"/>
                <w:lang w:eastAsia="lv-LV"/>
              </w:rPr>
            </w:pPr>
            <w:r w:rsidRPr="00273DAF">
              <w:rPr>
                <w:rFonts w:eastAsia="Times New Roman"/>
                <w:spacing w:val="-2"/>
                <w:sz w:val="22"/>
                <w:lang w:eastAsia="lv-LV"/>
              </w:rPr>
              <w:t>Izdarīt Černobiļas atomelektrostacijas avārijas seku likvidēšanas dalībnieku</w:t>
            </w:r>
            <w:r w:rsidRPr="00273DAF">
              <w:rPr>
                <w:rFonts w:eastAsia="Times New Roman"/>
                <w:sz w:val="22"/>
                <w:lang w:eastAsia="lv-LV"/>
              </w:rPr>
              <w:t xml:space="preserve"> un Černobiļas atomelektrostacijas avārijas rezultātā cietušo personu sociālās aizsardzības likumā </w:t>
            </w:r>
            <w:proofErr w:type="gramStart"/>
            <w:r w:rsidRPr="00273DAF">
              <w:rPr>
                <w:rFonts w:eastAsia="Times New Roman"/>
                <w:sz w:val="22"/>
                <w:lang w:eastAsia="lv-LV"/>
              </w:rPr>
              <w:t>(</w:t>
            </w:r>
            <w:proofErr w:type="gramEnd"/>
            <w:r w:rsidRPr="00273DAF">
              <w:rPr>
                <w:rFonts w:eastAsiaTheme="minorHAnsi"/>
                <w:sz w:val="22"/>
                <w:shd w:val="clear" w:color="auto" w:fill="FFFFFF"/>
                <w:lang w:eastAsia="lv-LV"/>
              </w:rPr>
              <w:t>Latvijas Republikas Saeimas un Ministru Kabineta Ziņotājs, 1999, 20. nr.; 2004, 14. nr.; 2007, 7. nr.; Latvijas Vēstnesis, 2010, 86. nr.; 2013, 194. nr.;</w:t>
            </w:r>
            <w:r w:rsidRPr="00273DAF">
              <w:rPr>
                <w:rFonts w:eastAsia="Times New Roman"/>
                <w:sz w:val="22"/>
                <w:lang w:eastAsia="lv-LV"/>
              </w:rPr>
              <w:t xml:space="preserve"> 2016, 125. nr.) šādus grozījumus: </w:t>
            </w:r>
          </w:p>
        </w:tc>
        <w:tc>
          <w:tcPr>
            <w:tcW w:w="581" w:type="dxa"/>
            <w:vAlign w:val="center"/>
          </w:tcPr>
          <w:p w:rsidR="00273DAF" w:rsidRPr="00A43531" w:rsidRDefault="00273DAF" w:rsidP="00A53559">
            <w:pPr>
              <w:jc w:val="center"/>
              <w:rPr>
                <w:b/>
              </w:rPr>
            </w:pPr>
          </w:p>
        </w:tc>
        <w:tc>
          <w:tcPr>
            <w:tcW w:w="3969" w:type="dxa"/>
            <w:vAlign w:val="center"/>
          </w:tcPr>
          <w:p w:rsidR="00273DAF" w:rsidRDefault="00273DAF" w:rsidP="00A53559">
            <w:pPr>
              <w:jc w:val="center"/>
              <w:rPr>
                <w:b/>
              </w:rPr>
            </w:pPr>
          </w:p>
        </w:tc>
        <w:tc>
          <w:tcPr>
            <w:tcW w:w="1417" w:type="dxa"/>
            <w:vAlign w:val="center"/>
          </w:tcPr>
          <w:p w:rsidR="00273DAF" w:rsidRDefault="00273DAF" w:rsidP="00A53559">
            <w:pPr>
              <w:jc w:val="center"/>
              <w:rPr>
                <w:b/>
              </w:rPr>
            </w:pPr>
          </w:p>
        </w:tc>
        <w:tc>
          <w:tcPr>
            <w:tcW w:w="1418" w:type="dxa"/>
            <w:vAlign w:val="center"/>
          </w:tcPr>
          <w:p w:rsidR="00273DAF" w:rsidRDefault="00273DAF" w:rsidP="00A53559">
            <w:pPr>
              <w:jc w:val="center"/>
              <w:rPr>
                <w:b/>
              </w:rPr>
            </w:pPr>
          </w:p>
        </w:tc>
      </w:tr>
      <w:tr w:rsidR="00273DAF" w:rsidRPr="001B3F41" w:rsidTr="00273DAF">
        <w:tc>
          <w:tcPr>
            <w:tcW w:w="3964" w:type="dxa"/>
            <w:shd w:val="clear" w:color="auto" w:fill="auto"/>
          </w:tcPr>
          <w:p w:rsidR="00273DAF" w:rsidRPr="00273DAF" w:rsidRDefault="00273DAF" w:rsidP="00273DAF">
            <w:pPr>
              <w:pStyle w:val="tv213"/>
              <w:spacing w:before="0" w:beforeAutospacing="0" w:after="0" w:afterAutospacing="0"/>
              <w:ind w:firstLine="567"/>
              <w:jc w:val="both"/>
              <w:rPr>
                <w:sz w:val="22"/>
                <w:szCs w:val="22"/>
              </w:rPr>
            </w:pPr>
            <w:proofErr w:type="gramStart"/>
            <w:r w:rsidRPr="00273DAF">
              <w:rPr>
                <w:b/>
                <w:bCs/>
                <w:sz w:val="22"/>
                <w:szCs w:val="22"/>
              </w:rPr>
              <w:t>11.pants</w:t>
            </w:r>
            <w:proofErr w:type="gramEnd"/>
            <w:r w:rsidRPr="00273DAF">
              <w:rPr>
                <w:b/>
                <w:bCs/>
                <w:sz w:val="22"/>
                <w:szCs w:val="22"/>
              </w:rPr>
              <w:t>.</w:t>
            </w:r>
            <w:r w:rsidRPr="00273DAF">
              <w:rPr>
                <w:sz w:val="22"/>
                <w:szCs w:val="22"/>
              </w:rPr>
              <w:t xml:space="preserve"> (2) Pabalsta apmēru, tā pārskatīšanas un saņemšanas kārtību nosaka šis likums un Ministru kabinets.</w:t>
            </w:r>
          </w:p>
          <w:p w:rsidR="00273DAF" w:rsidRPr="00273DAF" w:rsidRDefault="00273DAF" w:rsidP="00273DAF">
            <w:pPr>
              <w:pStyle w:val="tv213"/>
              <w:spacing w:before="0" w:beforeAutospacing="0" w:after="0" w:afterAutospacing="0"/>
              <w:ind w:firstLine="567"/>
              <w:jc w:val="both"/>
              <w:rPr>
                <w:b/>
                <w:sz w:val="22"/>
                <w:szCs w:val="22"/>
              </w:rPr>
            </w:pPr>
          </w:p>
        </w:tc>
        <w:tc>
          <w:tcPr>
            <w:tcW w:w="3969" w:type="dxa"/>
            <w:shd w:val="clear" w:color="auto" w:fill="auto"/>
            <w:vAlign w:val="center"/>
          </w:tcPr>
          <w:p w:rsidR="00273DAF" w:rsidRPr="00273DAF" w:rsidRDefault="00273DAF" w:rsidP="00273DAF">
            <w:pPr>
              <w:ind w:firstLine="567"/>
              <w:contextualSpacing/>
              <w:jc w:val="both"/>
              <w:rPr>
                <w:rFonts w:eastAsia="Times New Roman"/>
                <w:sz w:val="22"/>
                <w:lang w:eastAsia="lv-LV"/>
              </w:rPr>
            </w:pPr>
            <w:r w:rsidRPr="00273DAF">
              <w:rPr>
                <w:rFonts w:eastAsia="Times New Roman"/>
                <w:sz w:val="22"/>
                <w:lang w:eastAsia="lv-LV"/>
              </w:rPr>
              <w:t>1.  11. pantā:</w:t>
            </w:r>
          </w:p>
          <w:p w:rsidR="00273DAF" w:rsidRPr="00273DAF" w:rsidRDefault="00273DAF" w:rsidP="00273DAF">
            <w:pPr>
              <w:ind w:firstLine="567"/>
              <w:jc w:val="both"/>
              <w:rPr>
                <w:rFonts w:eastAsia="Times New Roman"/>
                <w:sz w:val="22"/>
                <w:lang w:eastAsia="lv-LV"/>
              </w:rPr>
            </w:pPr>
            <w:r w:rsidRPr="00273DAF">
              <w:rPr>
                <w:rFonts w:eastAsia="Times New Roman"/>
                <w:sz w:val="22"/>
                <w:lang w:eastAsia="lv-LV"/>
              </w:rPr>
              <w:t>izteikt otro daļu šādā redakcijā:</w:t>
            </w:r>
          </w:p>
          <w:p w:rsidR="00273DAF" w:rsidRPr="00186990" w:rsidRDefault="00273DAF" w:rsidP="00273DAF">
            <w:pPr>
              <w:ind w:firstLine="567"/>
              <w:jc w:val="both"/>
              <w:rPr>
                <w:rFonts w:eastAsia="Times New Roman"/>
                <w:sz w:val="22"/>
                <w:lang w:eastAsia="lv-LV"/>
              </w:rPr>
            </w:pPr>
            <w:r w:rsidRPr="00273DAF">
              <w:rPr>
                <w:rFonts w:eastAsia="Times New Roman"/>
                <w:sz w:val="22"/>
                <w:lang w:eastAsia="lv-LV"/>
              </w:rPr>
              <w:t> "(2) Ministru kabinets nosaka pabalsta piešķiršanas un izmaksāšanas kārtību.";</w:t>
            </w:r>
          </w:p>
        </w:tc>
        <w:tc>
          <w:tcPr>
            <w:tcW w:w="581" w:type="dxa"/>
            <w:vAlign w:val="center"/>
          </w:tcPr>
          <w:p w:rsidR="00273DAF" w:rsidRPr="00A43531" w:rsidRDefault="00273DAF" w:rsidP="00A53559">
            <w:pPr>
              <w:jc w:val="center"/>
              <w:rPr>
                <w:b/>
              </w:rPr>
            </w:pPr>
          </w:p>
        </w:tc>
        <w:tc>
          <w:tcPr>
            <w:tcW w:w="3969" w:type="dxa"/>
            <w:vAlign w:val="center"/>
          </w:tcPr>
          <w:p w:rsidR="00273DAF" w:rsidRDefault="00273DAF" w:rsidP="00A53559">
            <w:pPr>
              <w:jc w:val="center"/>
              <w:rPr>
                <w:b/>
              </w:rPr>
            </w:pPr>
          </w:p>
        </w:tc>
        <w:tc>
          <w:tcPr>
            <w:tcW w:w="1417" w:type="dxa"/>
            <w:vAlign w:val="center"/>
          </w:tcPr>
          <w:p w:rsidR="00273DAF" w:rsidRDefault="00273DAF" w:rsidP="00A53559">
            <w:pPr>
              <w:jc w:val="center"/>
              <w:rPr>
                <w:b/>
              </w:rPr>
            </w:pPr>
          </w:p>
        </w:tc>
        <w:tc>
          <w:tcPr>
            <w:tcW w:w="1418" w:type="dxa"/>
            <w:vAlign w:val="center"/>
          </w:tcPr>
          <w:p w:rsidR="00273DAF" w:rsidRDefault="00273DAF" w:rsidP="00A53559">
            <w:pPr>
              <w:jc w:val="center"/>
              <w:rPr>
                <w:b/>
              </w:rPr>
            </w:pPr>
          </w:p>
        </w:tc>
      </w:tr>
      <w:tr w:rsidR="00273DAF" w:rsidRPr="001B3F41" w:rsidTr="00002B9B">
        <w:tc>
          <w:tcPr>
            <w:tcW w:w="3964" w:type="dxa"/>
            <w:shd w:val="clear" w:color="auto" w:fill="auto"/>
          </w:tcPr>
          <w:p w:rsidR="00273DAF" w:rsidRPr="00273DAF" w:rsidRDefault="00273DAF" w:rsidP="00273DAF">
            <w:pPr>
              <w:pStyle w:val="tv213"/>
              <w:spacing w:before="0" w:beforeAutospacing="0" w:after="0" w:afterAutospacing="0"/>
              <w:ind w:firstLine="567"/>
              <w:jc w:val="both"/>
              <w:rPr>
                <w:sz w:val="22"/>
                <w:szCs w:val="22"/>
              </w:rPr>
            </w:pPr>
            <w:r w:rsidRPr="00273DAF">
              <w:rPr>
                <w:sz w:val="22"/>
                <w:szCs w:val="22"/>
              </w:rPr>
              <w:t>(4) Pabalsta apmērs nedrīkst būt mazāks par valsts sociālā nodrošinājuma pabalstu.</w:t>
            </w:r>
          </w:p>
          <w:p w:rsidR="00273DAF" w:rsidRPr="00273DAF" w:rsidRDefault="00273DAF" w:rsidP="00273DAF">
            <w:pPr>
              <w:pStyle w:val="tv213"/>
              <w:spacing w:before="0" w:beforeAutospacing="0" w:after="0" w:afterAutospacing="0"/>
              <w:ind w:firstLine="567"/>
              <w:jc w:val="both"/>
              <w:rPr>
                <w:b/>
                <w:sz w:val="22"/>
                <w:szCs w:val="22"/>
              </w:rPr>
            </w:pPr>
          </w:p>
        </w:tc>
        <w:tc>
          <w:tcPr>
            <w:tcW w:w="3969" w:type="dxa"/>
            <w:shd w:val="clear" w:color="auto" w:fill="auto"/>
          </w:tcPr>
          <w:p w:rsidR="00273DAF" w:rsidRPr="00273DAF" w:rsidRDefault="00273DAF" w:rsidP="009A0737">
            <w:pPr>
              <w:ind w:firstLine="567"/>
              <w:jc w:val="both"/>
              <w:rPr>
                <w:rFonts w:eastAsia="Times New Roman"/>
                <w:sz w:val="22"/>
                <w:lang w:eastAsia="lv-LV"/>
              </w:rPr>
            </w:pPr>
            <w:r w:rsidRPr="00273DAF">
              <w:rPr>
                <w:rFonts w:eastAsia="Times New Roman"/>
                <w:sz w:val="22"/>
                <w:lang w:eastAsia="lv-LV"/>
              </w:rPr>
              <w:t>izteikt ceturto daļu šādā redakcijā:</w:t>
            </w:r>
          </w:p>
          <w:p w:rsidR="00273DAF" w:rsidRPr="00186990" w:rsidRDefault="00273DAF" w:rsidP="009A0737">
            <w:pPr>
              <w:ind w:firstLine="567"/>
              <w:jc w:val="both"/>
              <w:rPr>
                <w:rFonts w:eastAsia="Times New Roman"/>
                <w:sz w:val="22"/>
                <w:lang w:eastAsia="lv-LV"/>
              </w:rPr>
            </w:pPr>
            <w:r w:rsidRPr="00273DAF">
              <w:rPr>
                <w:rFonts w:eastAsia="Times New Roman"/>
                <w:sz w:val="22"/>
                <w:lang w:eastAsia="lv-LV"/>
              </w:rPr>
              <w:t xml:space="preserve">"(4) Pabalsta apmērs ir valsts sociālā nodrošinājuma pabalsta apmērā, kāds </w:t>
            </w:r>
            <w:r w:rsidRPr="00273DAF">
              <w:rPr>
                <w:rFonts w:eastAsia="Times New Roman"/>
                <w:spacing w:val="-2"/>
                <w:sz w:val="22"/>
                <w:lang w:eastAsia="lv-LV"/>
              </w:rPr>
              <w:t>noteikts Valsts sociālo pabalstu likuma 13. panta pirmās daļas 1. punktā minētajām</w:t>
            </w:r>
            <w:r w:rsidRPr="00273DAF">
              <w:rPr>
                <w:rFonts w:eastAsia="Times New Roman"/>
                <w:sz w:val="22"/>
                <w:lang w:eastAsia="lv-LV"/>
              </w:rPr>
              <w:t xml:space="preserve"> personām, un to pārskata</w:t>
            </w:r>
            <w:r w:rsidRPr="00273DAF">
              <w:rPr>
                <w:rFonts w:eastAsiaTheme="minorHAnsi"/>
                <w:sz w:val="22"/>
                <w:lang w:eastAsia="lv-LV"/>
              </w:rPr>
              <w:t xml:space="preserve"> atbilstoši likumā "Par sociālo drošību" noteiktajai minimālo ienākumu sliekšņu pārskatīšanas kārtībai.</w:t>
            </w:r>
            <w:r w:rsidRPr="00273DAF">
              <w:rPr>
                <w:rFonts w:eastAsia="Times New Roman"/>
                <w:sz w:val="22"/>
                <w:lang w:eastAsia="lv-LV"/>
              </w:rPr>
              <w:t>"</w:t>
            </w:r>
          </w:p>
        </w:tc>
        <w:tc>
          <w:tcPr>
            <w:tcW w:w="581" w:type="dxa"/>
          </w:tcPr>
          <w:p w:rsidR="00273DAF" w:rsidRPr="00A43531" w:rsidRDefault="00002B9B" w:rsidP="00002B9B">
            <w:pPr>
              <w:jc w:val="center"/>
              <w:rPr>
                <w:b/>
              </w:rPr>
            </w:pPr>
            <w:r>
              <w:rPr>
                <w:b/>
              </w:rPr>
              <w:t>1</w:t>
            </w:r>
          </w:p>
        </w:tc>
        <w:tc>
          <w:tcPr>
            <w:tcW w:w="3969" w:type="dxa"/>
          </w:tcPr>
          <w:p w:rsidR="00273DAF" w:rsidRDefault="009A0737" w:rsidP="009A0737">
            <w:pPr>
              <w:shd w:val="clear" w:color="auto" w:fill="FFFFFF"/>
              <w:ind w:firstLine="567"/>
              <w:jc w:val="both"/>
              <w:rPr>
                <w:rFonts w:eastAsia="Times New Roman"/>
                <w:b/>
                <w:sz w:val="22"/>
                <w:u w:val="single"/>
                <w:lang w:eastAsia="lv-LV"/>
              </w:rPr>
            </w:pPr>
            <w:r w:rsidRPr="009A0737">
              <w:rPr>
                <w:rFonts w:eastAsia="Times New Roman"/>
                <w:b/>
                <w:sz w:val="22"/>
                <w:u w:val="single"/>
                <w:lang w:eastAsia="lv-LV"/>
              </w:rPr>
              <w:t>“Saskaņa” sociāldemokrātiskās partijas</w:t>
            </w:r>
            <w:r>
              <w:rPr>
                <w:rFonts w:eastAsia="Times New Roman"/>
                <w:b/>
                <w:sz w:val="22"/>
                <w:u w:val="single"/>
                <w:lang w:eastAsia="lv-LV"/>
              </w:rPr>
              <w:t xml:space="preserve"> </w:t>
            </w:r>
            <w:r w:rsidRPr="009A0737">
              <w:rPr>
                <w:rFonts w:eastAsia="Times New Roman"/>
                <w:b/>
                <w:sz w:val="22"/>
                <w:u w:val="single"/>
                <w:lang w:eastAsia="lv-LV"/>
              </w:rPr>
              <w:t>frakcija</w:t>
            </w:r>
          </w:p>
          <w:p w:rsidR="009A0737" w:rsidRPr="009A0737" w:rsidRDefault="009A0737" w:rsidP="009A0737">
            <w:pPr>
              <w:shd w:val="clear" w:color="auto" w:fill="FFFFFF"/>
              <w:ind w:firstLine="567"/>
              <w:jc w:val="both"/>
              <w:rPr>
                <w:rFonts w:eastAsia="Times New Roman"/>
                <w:sz w:val="22"/>
                <w:lang w:eastAsia="lv-LV"/>
              </w:rPr>
            </w:pPr>
            <w:r w:rsidRPr="009A0737">
              <w:rPr>
                <w:rFonts w:eastAsia="Times New Roman"/>
                <w:sz w:val="22"/>
                <w:lang w:eastAsia="lv-LV"/>
              </w:rPr>
              <w:t>Izteikt likumprojekta 1. pantā ietvertā 11. panta ceturto daļu šādā redakcijā:</w:t>
            </w:r>
          </w:p>
          <w:p w:rsidR="009A0737" w:rsidRPr="009A0737" w:rsidRDefault="009A0737" w:rsidP="009A0737">
            <w:pPr>
              <w:shd w:val="clear" w:color="auto" w:fill="FFFFFF"/>
              <w:ind w:firstLine="567"/>
              <w:jc w:val="both"/>
              <w:rPr>
                <w:rFonts w:eastAsia="Times New Roman"/>
                <w:b/>
                <w:sz w:val="22"/>
                <w:u w:val="single"/>
                <w:lang w:eastAsia="lv-LV"/>
              </w:rPr>
            </w:pPr>
            <w:r w:rsidRPr="009A0737">
              <w:rPr>
                <w:rFonts w:eastAsia="Times New Roman"/>
                <w:sz w:val="22"/>
                <w:lang w:eastAsia="lv-LV"/>
              </w:rPr>
              <w:t xml:space="preserve">“(4) Pabalsta apmērs nedrīkst būt mazāks par divkāršu valsts sociālā nodrošinājuma pabalsta apmēru, kāds noteikts Valsts sociālo pabalstu likuma 13. panta pirmās daļas 1. punktā minētajām personām, un to pārskata atbilstoši likumā </w:t>
            </w:r>
            <w:r w:rsidRPr="009A0737">
              <w:rPr>
                <w:rFonts w:eastAsia="Times New Roman"/>
                <w:sz w:val="22"/>
                <w:lang w:eastAsia="lv-LV"/>
              </w:rPr>
              <w:lastRenderedPageBreak/>
              <w:t>"Par sociālo drošību" noteiktajai minimālo ienākumu sliekšņu pārskatīšanas kārtībai.”</w:t>
            </w:r>
          </w:p>
        </w:tc>
        <w:tc>
          <w:tcPr>
            <w:tcW w:w="1417" w:type="dxa"/>
            <w:vAlign w:val="center"/>
          </w:tcPr>
          <w:p w:rsidR="00273DAF" w:rsidRDefault="00273DAF" w:rsidP="00A53559">
            <w:pPr>
              <w:jc w:val="center"/>
              <w:rPr>
                <w:b/>
              </w:rPr>
            </w:pPr>
          </w:p>
        </w:tc>
        <w:tc>
          <w:tcPr>
            <w:tcW w:w="1418" w:type="dxa"/>
            <w:vAlign w:val="center"/>
          </w:tcPr>
          <w:p w:rsidR="00273DAF" w:rsidRDefault="00273DAF" w:rsidP="00A53559">
            <w:pPr>
              <w:jc w:val="center"/>
              <w:rPr>
                <w:b/>
              </w:rPr>
            </w:pPr>
          </w:p>
        </w:tc>
      </w:tr>
      <w:tr w:rsidR="00273DAF" w:rsidRPr="001B3F41" w:rsidTr="00273DAF">
        <w:tc>
          <w:tcPr>
            <w:tcW w:w="3964" w:type="dxa"/>
            <w:shd w:val="clear" w:color="auto" w:fill="auto"/>
          </w:tcPr>
          <w:p w:rsidR="00273DAF" w:rsidRPr="00273DAF" w:rsidRDefault="00273DAF" w:rsidP="00A53559">
            <w:pPr>
              <w:ind w:firstLine="567"/>
              <w:jc w:val="both"/>
              <w:rPr>
                <w:b/>
                <w:sz w:val="22"/>
              </w:rPr>
            </w:pPr>
            <w:r w:rsidRPr="00273DAF">
              <w:rPr>
                <w:b/>
                <w:sz w:val="22"/>
              </w:rPr>
              <w:t>Pārejas noteikumi</w:t>
            </w:r>
          </w:p>
        </w:tc>
        <w:tc>
          <w:tcPr>
            <w:tcW w:w="3969" w:type="dxa"/>
            <w:shd w:val="clear" w:color="auto" w:fill="auto"/>
          </w:tcPr>
          <w:p w:rsidR="00273DAF" w:rsidRPr="00273DAF" w:rsidRDefault="00273DAF" w:rsidP="00273DAF">
            <w:pPr>
              <w:ind w:firstLine="567"/>
              <w:contextualSpacing/>
              <w:jc w:val="both"/>
              <w:rPr>
                <w:rFonts w:eastAsia="Times New Roman"/>
                <w:sz w:val="22"/>
                <w:lang w:eastAsia="lv-LV"/>
              </w:rPr>
            </w:pPr>
            <w:r w:rsidRPr="00273DAF">
              <w:rPr>
                <w:rFonts w:eastAsiaTheme="minorHAnsi"/>
                <w:sz w:val="22"/>
                <w:lang w:eastAsia="lv-LV"/>
              </w:rPr>
              <w:t>2. Papildināt pārejas noteikumus ar 11. punktu šādā redakcijā:</w:t>
            </w:r>
          </w:p>
          <w:p w:rsidR="00273DAF" w:rsidRPr="00273DAF" w:rsidRDefault="00273DAF" w:rsidP="00273DAF">
            <w:pPr>
              <w:ind w:firstLine="567"/>
              <w:jc w:val="both"/>
              <w:rPr>
                <w:rFonts w:eastAsia="Times New Roman"/>
                <w:sz w:val="22"/>
                <w:lang w:eastAsia="lv-LV"/>
              </w:rPr>
            </w:pPr>
            <w:r w:rsidRPr="00273DAF">
              <w:rPr>
                <w:rFonts w:eastAsiaTheme="minorHAnsi"/>
                <w:sz w:val="22"/>
                <w:lang w:eastAsia="lv-LV"/>
              </w:rPr>
              <w:t> "11. Šā likuma 11. panta pirmajā daļā minēto pabalstu Valsts sociālās apdrošināšanas aģentūra:</w:t>
            </w:r>
          </w:p>
          <w:p w:rsidR="00273DAF" w:rsidRPr="00273DAF" w:rsidRDefault="00273DAF" w:rsidP="00273DAF">
            <w:pPr>
              <w:ind w:firstLine="567"/>
              <w:contextualSpacing/>
              <w:jc w:val="both"/>
              <w:rPr>
                <w:rFonts w:eastAsia="Times New Roman"/>
                <w:sz w:val="22"/>
                <w:lang w:eastAsia="lv-LV"/>
              </w:rPr>
            </w:pPr>
            <w:r w:rsidRPr="00273DAF">
              <w:rPr>
                <w:rFonts w:eastAsiaTheme="minorHAnsi"/>
                <w:sz w:val="22"/>
                <w:lang w:eastAsia="lv-LV"/>
              </w:rPr>
              <w:t>1) par periodu no 2021. gada 1. janvāra līdz 2021. gada 30. aprīlim piešķir un izmaksā tādā apmērā, kādu noteica normatīvais regulējums līdz 2020. gada 31. decembrim;</w:t>
            </w:r>
          </w:p>
          <w:p w:rsidR="00273DAF" w:rsidRPr="00186990" w:rsidRDefault="00273DAF" w:rsidP="00273DAF">
            <w:pPr>
              <w:ind w:firstLine="567"/>
              <w:contextualSpacing/>
              <w:jc w:val="both"/>
              <w:rPr>
                <w:rFonts w:eastAsia="Times New Roman"/>
                <w:sz w:val="22"/>
                <w:lang w:eastAsia="lv-LV"/>
              </w:rPr>
            </w:pPr>
            <w:r w:rsidRPr="00273DAF">
              <w:rPr>
                <w:rFonts w:eastAsiaTheme="minorHAnsi"/>
                <w:sz w:val="22"/>
                <w:lang w:eastAsia="lv-LV"/>
              </w:rPr>
              <w:t xml:space="preserve">2) par periodu no 2021. gada 1. janvāra līdz 2021. gada 30. aprīlim veic pabalsta </w:t>
            </w:r>
            <w:r w:rsidRPr="00273DAF">
              <w:rPr>
                <w:rFonts w:eastAsiaTheme="minorHAnsi"/>
                <w:sz w:val="22"/>
                <w:shd w:val="clear" w:color="auto" w:fill="FFFFFF" w:themeFill="background1"/>
                <w:lang w:eastAsia="lv-LV"/>
              </w:rPr>
              <w:t>pārrēķinu</w:t>
            </w:r>
            <w:r w:rsidRPr="00273DAF">
              <w:rPr>
                <w:rFonts w:eastAsiaTheme="minorHAnsi"/>
                <w:sz w:val="22"/>
                <w:lang w:eastAsia="lv-LV"/>
              </w:rPr>
              <w:t xml:space="preserve"> atbilstoši </w:t>
            </w:r>
            <w:r w:rsidRPr="00273DAF">
              <w:rPr>
                <w:rFonts w:eastAsia="Times New Roman"/>
                <w:sz w:val="22"/>
                <w:lang w:eastAsia="lv-LV"/>
              </w:rPr>
              <w:t xml:space="preserve">Valsts sociālo pabalstu likuma </w:t>
            </w:r>
            <w:r w:rsidRPr="00273DAF">
              <w:rPr>
                <w:rFonts w:eastAsiaTheme="minorHAnsi"/>
                <w:sz w:val="22"/>
                <w:lang w:eastAsia="lv-LV"/>
              </w:rPr>
              <w:t>13. panta 1.</w:t>
            </w:r>
            <w:r w:rsidRPr="00273DAF">
              <w:rPr>
                <w:rFonts w:eastAsiaTheme="minorHAnsi"/>
                <w:sz w:val="22"/>
                <w:vertAlign w:val="superscript"/>
                <w:lang w:eastAsia="lv-LV"/>
              </w:rPr>
              <w:t>1 </w:t>
            </w:r>
            <w:r w:rsidRPr="00273DAF">
              <w:rPr>
                <w:rFonts w:eastAsiaTheme="minorHAnsi"/>
                <w:sz w:val="22"/>
                <w:lang w:eastAsia="lv-LV"/>
              </w:rPr>
              <w:t>daļā</w:t>
            </w:r>
            <w:r w:rsidRPr="00273DAF">
              <w:rPr>
                <w:rFonts w:eastAsia="Times New Roman"/>
                <w:sz w:val="22"/>
                <w:lang w:eastAsia="lv-LV"/>
              </w:rPr>
              <w:t xml:space="preserve"> </w:t>
            </w:r>
            <w:r w:rsidRPr="00273DAF">
              <w:rPr>
                <w:rFonts w:eastAsiaTheme="minorHAnsi"/>
                <w:sz w:val="22"/>
                <w:lang w:eastAsia="lv-LV"/>
              </w:rPr>
              <w:t>noteiktajam apmēram un nodrošina pabalsta starpības izmaksu ne vēlāk kā līdz 2021. gada 1. jūnijam."</w:t>
            </w:r>
          </w:p>
        </w:tc>
        <w:tc>
          <w:tcPr>
            <w:tcW w:w="581" w:type="dxa"/>
          </w:tcPr>
          <w:p w:rsidR="00273DAF" w:rsidRPr="00A43531" w:rsidRDefault="00273DAF" w:rsidP="00A53559">
            <w:pPr>
              <w:jc w:val="center"/>
              <w:rPr>
                <w:rFonts w:eastAsia="Times New Roman"/>
                <w:b/>
                <w:iCs/>
                <w:color w:val="000000"/>
                <w:sz w:val="22"/>
                <w:lang w:eastAsia="lv-LV"/>
              </w:rPr>
            </w:pPr>
          </w:p>
        </w:tc>
        <w:tc>
          <w:tcPr>
            <w:tcW w:w="3969" w:type="dxa"/>
          </w:tcPr>
          <w:p w:rsidR="00273DAF" w:rsidRPr="00273DAF" w:rsidRDefault="00273DAF" w:rsidP="00273DAF">
            <w:pPr>
              <w:ind w:firstLine="567"/>
              <w:contextualSpacing/>
              <w:jc w:val="both"/>
              <w:rPr>
                <w:rFonts w:eastAsia="Times New Roman"/>
                <w:iCs/>
                <w:sz w:val="22"/>
                <w:lang w:eastAsia="lv-LV"/>
              </w:rPr>
            </w:pPr>
          </w:p>
        </w:tc>
        <w:tc>
          <w:tcPr>
            <w:tcW w:w="1417" w:type="dxa"/>
          </w:tcPr>
          <w:p w:rsidR="00273DAF" w:rsidRPr="00E86455" w:rsidRDefault="00273DAF" w:rsidP="00A53559">
            <w:pPr>
              <w:ind w:firstLine="567"/>
              <w:jc w:val="both"/>
              <w:rPr>
                <w:rFonts w:eastAsia="Times New Roman"/>
                <w:iCs/>
                <w:color w:val="000000"/>
                <w:sz w:val="22"/>
                <w:lang w:eastAsia="lv-LV"/>
              </w:rPr>
            </w:pPr>
          </w:p>
        </w:tc>
        <w:tc>
          <w:tcPr>
            <w:tcW w:w="1418" w:type="dxa"/>
          </w:tcPr>
          <w:p w:rsidR="00273DAF" w:rsidRPr="00E86455" w:rsidRDefault="00273DAF" w:rsidP="00A53559">
            <w:pPr>
              <w:ind w:firstLine="567"/>
              <w:jc w:val="both"/>
              <w:rPr>
                <w:rFonts w:eastAsia="Times New Roman"/>
                <w:iCs/>
                <w:color w:val="000000"/>
                <w:sz w:val="22"/>
                <w:lang w:eastAsia="lv-LV"/>
              </w:rPr>
            </w:pPr>
          </w:p>
        </w:tc>
      </w:tr>
      <w:tr w:rsidR="00273DAF" w:rsidRPr="001B3F41" w:rsidTr="00273DAF">
        <w:tc>
          <w:tcPr>
            <w:tcW w:w="3964" w:type="dxa"/>
            <w:shd w:val="clear" w:color="auto" w:fill="auto"/>
          </w:tcPr>
          <w:p w:rsidR="00273DAF" w:rsidRPr="005B2F62" w:rsidRDefault="00273DAF" w:rsidP="00A53559">
            <w:pPr>
              <w:ind w:firstLine="567"/>
              <w:jc w:val="both"/>
              <w:rPr>
                <w:sz w:val="22"/>
              </w:rPr>
            </w:pPr>
          </w:p>
        </w:tc>
        <w:tc>
          <w:tcPr>
            <w:tcW w:w="3969" w:type="dxa"/>
            <w:shd w:val="clear" w:color="auto" w:fill="auto"/>
          </w:tcPr>
          <w:p w:rsidR="00273DAF" w:rsidRPr="00186990" w:rsidRDefault="00273DAF" w:rsidP="00273DAF">
            <w:pPr>
              <w:ind w:firstLine="567"/>
              <w:jc w:val="both"/>
              <w:rPr>
                <w:rFonts w:eastAsia="Times New Roman"/>
                <w:sz w:val="22"/>
                <w:lang w:eastAsia="lv-LV"/>
              </w:rPr>
            </w:pPr>
            <w:r w:rsidRPr="00273DAF">
              <w:rPr>
                <w:rFonts w:eastAsia="Times New Roman"/>
                <w:sz w:val="22"/>
                <w:lang w:eastAsia="lv-LV"/>
              </w:rPr>
              <w:t>Likums stājas spēkā 2021. gada 1. janvārī.</w:t>
            </w:r>
          </w:p>
        </w:tc>
        <w:tc>
          <w:tcPr>
            <w:tcW w:w="581" w:type="dxa"/>
          </w:tcPr>
          <w:p w:rsidR="00273DAF" w:rsidRPr="00A43531" w:rsidRDefault="00273DAF" w:rsidP="00A53559">
            <w:pPr>
              <w:jc w:val="center"/>
              <w:rPr>
                <w:rFonts w:eastAsia="Times New Roman"/>
                <w:b/>
                <w:iCs/>
                <w:color w:val="000000"/>
                <w:sz w:val="22"/>
                <w:lang w:eastAsia="lv-LV"/>
              </w:rPr>
            </w:pPr>
          </w:p>
        </w:tc>
        <w:tc>
          <w:tcPr>
            <w:tcW w:w="3969" w:type="dxa"/>
          </w:tcPr>
          <w:p w:rsidR="00273DAF" w:rsidRPr="001268F5" w:rsidRDefault="00273DAF" w:rsidP="00A53559">
            <w:pPr>
              <w:ind w:firstLine="567"/>
              <w:jc w:val="both"/>
              <w:rPr>
                <w:rFonts w:eastAsia="Times New Roman"/>
                <w:iCs/>
                <w:color w:val="000000"/>
                <w:sz w:val="22"/>
                <w:lang w:eastAsia="lv-LV"/>
              </w:rPr>
            </w:pPr>
          </w:p>
        </w:tc>
        <w:tc>
          <w:tcPr>
            <w:tcW w:w="1417" w:type="dxa"/>
          </w:tcPr>
          <w:p w:rsidR="00273DAF" w:rsidRPr="001268F5" w:rsidRDefault="00273DAF" w:rsidP="00A53559">
            <w:pPr>
              <w:ind w:firstLine="567"/>
              <w:jc w:val="both"/>
              <w:rPr>
                <w:rFonts w:eastAsia="Times New Roman"/>
                <w:iCs/>
                <w:color w:val="000000"/>
                <w:sz w:val="22"/>
                <w:lang w:eastAsia="lv-LV"/>
              </w:rPr>
            </w:pPr>
          </w:p>
        </w:tc>
        <w:tc>
          <w:tcPr>
            <w:tcW w:w="1418" w:type="dxa"/>
          </w:tcPr>
          <w:p w:rsidR="00273DAF" w:rsidRPr="001268F5" w:rsidRDefault="00273DAF" w:rsidP="00A53559">
            <w:pPr>
              <w:ind w:firstLine="567"/>
              <w:jc w:val="both"/>
              <w:rPr>
                <w:rFonts w:eastAsia="Times New Roman"/>
                <w:iCs/>
                <w:color w:val="000000"/>
                <w:sz w:val="22"/>
                <w:lang w:eastAsia="lv-LV"/>
              </w:rPr>
            </w:pPr>
          </w:p>
        </w:tc>
      </w:tr>
    </w:tbl>
    <w:p w:rsidR="00273DAF" w:rsidRDefault="00273DAF" w:rsidP="00273DAF"/>
    <w:p w:rsidR="00273DAF" w:rsidRDefault="00273DAF" w:rsidP="00273DAF"/>
    <w:p w:rsidR="005D4711" w:rsidRDefault="005D4711"/>
    <w:sectPr w:rsidR="005D4711" w:rsidSect="00495B31">
      <w:footerReference w:type="even" r:id="rId6"/>
      <w:footerReference w:type="default" r:id="rId7"/>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3F" w:rsidRDefault="009A0737">
      <w:r>
        <w:separator/>
      </w:r>
    </w:p>
  </w:endnote>
  <w:endnote w:type="continuationSeparator" w:id="0">
    <w:p w:rsidR="0076333F" w:rsidRDefault="009A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273DAF"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002B9B"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273DAF"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2B9B">
      <w:rPr>
        <w:rStyle w:val="PageNumber"/>
        <w:noProof/>
      </w:rPr>
      <w:t>2</w:t>
    </w:r>
    <w:r>
      <w:rPr>
        <w:rStyle w:val="PageNumber"/>
      </w:rPr>
      <w:fldChar w:fldCharType="end"/>
    </w:r>
  </w:p>
  <w:p w:rsidR="00511D34" w:rsidRDefault="00002B9B"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3F" w:rsidRDefault="009A0737">
      <w:r>
        <w:separator/>
      </w:r>
    </w:p>
  </w:footnote>
  <w:footnote w:type="continuationSeparator" w:id="0">
    <w:p w:rsidR="0076333F" w:rsidRDefault="009A0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AF"/>
    <w:rsid w:val="00002B9B"/>
    <w:rsid w:val="00273DAF"/>
    <w:rsid w:val="005D4711"/>
    <w:rsid w:val="0076333F"/>
    <w:rsid w:val="009A07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D6BE"/>
  <w15:chartTrackingRefBased/>
  <w15:docId w15:val="{2EC8BC8E-605C-479F-9A71-6B4BFB2E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AF"/>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73DAF"/>
    <w:rPr>
      <w:i/>
      <w:iCs/>
    </w:rPr>
  </w:style>
  <w:style w:type="paragraph" w:styleId="Footer">
    <w:name w:val="footer"/>
    <w:basedOn w:val="Normal"/>
    <w:link w:val="FooterChar"/>
    <w:rsid w:val="00273DAF"/>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273DAF"/>
    <w:rPr>
      <w:rFonts w:eastAsia="Times New Roman" w:cs="Times New Roman"/>
      <w:szCs w:val="24"/>
      <w:lang w:val="en-GB"/>
    </w:rPr>
  </w:style>
  <w:style w:type="character" w:styleId="PageNumber">
    <w:name w:val="page number"/>
    <w:rsid w:val="00273DAF"/>
  </w:style>
  <w:style w:type="paragraph" w:customStyle="1" w:styleId="tv213">
    <w:name w:val="tv213"/>
    <w:basedOn w:val="Normal"/>
    <w:rsid w:val="00273DAF"/>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273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4739">
      <w:bodyDiv w:val="1"/>
      <w:marLeft w:val="0"/>
      <w:marRight w:val="0"/>
      <w:marTop w:val="0"/>
      <w:marBottom w:val="0"/>
      <w:divBdr>
        <w:top w:val="none" w:sz="0" w:space="0" w:color="auto"/>
        <w:left w:val="none" w:sz="0" w:space="0" w:color="auto"/>
        <w:bottom w:val="none" w:sz="0" w:space="0" w:color="auto"/>
        <w:right w:val="none" w:sz="0" w:space="0" w:color="auto"/>
      </w:divBdr>
    </w:div>
    <w:div w:id="18611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1607</Words>
  <Characters>916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3</cp:revision>
  <dcterms:created xsi:type="dcterms:W3CDTF">2020-10-15T09:22:00Z</dcterms:created>
  <dcterms:modified xsi:type="dcterms:W3CDTF">2020-10-30T12:43:00Z</dcterms:modified>
</cp:coreProperties>
</file>