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0A" w:rsidRPr="0094485C" w:rsidRDefault="00362E0A" w:rsidP="00362E0A">
      <w:pPr>
        <w:rPr>
          <w:b/>
          <w:i/>
          <w:sz w:val="22"/>
        </w:rPr>
      </w:pPr>
      <w:r w:rsidRPr="00C62F8B">
        <w:rPr>
          <w:sz w:val="26"/>
          <w:szCs w:val="26"/>
        </w:rPr>
        <w:t>Budžeta un finanšu (nodokļu) komisija</w:t>
      </w:r>
      <w:r>
        <w:rPr>
          <w:sz w:val="26"/>
          <w:szCs w:val="26"/>
        </w:rPr>
        <w:t xml:space="preserve"> </w:t>
      </w:r>
    </w:p>
    <w:p w:rsidR="00362E0A" w:rsidRDefault="00362E0A" w:rsidP="00362E0A">
      <w:pPr>
        <w:jc w:val="right"/>
        <w:rPr>
          <w:sz w:val="26"/>
          <w:szCs w:val="26"/>
        </w:rPr>
      </w:pPr>
      <w:r w:rsidRPr="00C62F8B">
        <w:rPr>
          <w:sz w:val="26"/>
          <w:szCs w:val="26"/>
        </w:rPr>
        <w:t>L</w:t>
      </w:r>
      <w:r>
        <w:rPr>
          <w:sz w:val="26"/>
          <w:szCs w:val="26"/>
        </w:rPr>
        <w:t xml:space="preserve">ikumprojekts </w:t>
      </w:r>
      <w:proofErr w:type="gramStart"/>
      <w:r>
        <w:rPr>
          <w:sz w:val="26"/>
          <w:szCs w:val="26"/>
        </w:rPr>
        <w:t>(steidzams) otrajam lasījumam</w:t>
      </w:r>
      <w:proofErr w:type="gramEnd"/>
    </w:p>
    <w:p w:rsidR="00362E0A" w:rsidRDefault="00362E0A" w:rsidP="00362E0A">
      <w:pPr>
        <w:jc w:val="center"/>
        <w:rPr>
          <w:rStyle w:val="Emphasis"/>
          <w:b/>
          <w:sz w:val="26"/>
          <w:szCs w:val="26"/>
        </w:rPr>
      </w:pPr>
      <w:r>
        <w:rPr>
          <w:b/>
          <w:sz w:val="28"/>
          <w:szCs w:val="28"/>
        </w:rPr>
        <w:t>Grozījums likumā "Par sociālo drošību"</w:t>
      </w:r>
      <w:r w:rsidRPr="00FC3F53">
        <w:rPr>
          <w:rStyle w:val="Emphasis"/>
          <w:b/>
          <w:sz w:val="26"/>
          <w:szCs w:val="26"/>
        </w:rPr>
        <w:t xml:space="preserve"> </w:t>
      </w:r>
    </w:p>
    <w:p w:rsidR="00362E0A" w:rsidRPr="006B1C62" w:rsidRDefault="00362E0A" w:rsidP="00362E0A">
      <w:pPr>
        <w:jc w:val="center"/>
        <w:rPr>
          <w:rStyle w:val="Emphasis"/>
          <w:b/>
          <w:sz w:val="28"/>
          <w:szCs w:val="28"/>
        </w:rPr>
      </w:pPr>
      <w:r w:rsidRPr="006B1C62">
        <w:rPr>
          <w:rStyle w:val="Emphasis"/>
          <w:b/>
          <w:sz w:val="28"/>
          <w:szCs w:val="28"/>
        </w:rPr>
        <w:t xml:space="preserve">(Nr. 817/Lp13) </w:t>
      </w:r>
    </w:p>
    <w:p w:rsidR="00362E0A" w:rsidRPr="00495B31" w:rsidRDefault="00362E0A" w:rsidP="00362E0A">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362E0A" w:rsidRPr="001B3F41" w:rsidTr="00362E0A">
        <w:tc>
          <w:tcPr>
            <w:tcW w:w="3964" w:type="dxa"/>
            <w:shd w:val="clear" w:color="auto" w:fill="auto"/>
            <w:vAlign w:val="center"/>
          </w:tcPr>
          <w:p w:rsidR="00362E0A" w:rsidRPr="001634F0" w:rsidRDefault="00362E0A" w:rsidP="00E24989">
            <w:pPr>
              <w:jc w:val="center"/>
              <w:rPr>
                <w:b/>
                <w:bCs/>
                <w:iCs/>
              </w:rPr>
            </w:pPr>
            <w:r>
              <w:rPr>
                <w:b/>
              </w:rPr>
              <w:t>Spēkā esošā redakcija</w:t>
            </w:r>
          </w:p>
        </w:tc>
        <w:tc>
          <w:tcPr>
            <w:tcW w:w="3969" w:type="dxa"/>
            <w:shd w:val="clear" w:color="auto" w:fill="auto"/>
            <w:vAlign w:val="center"/>
          </w:tcPr>
          <w:p w:rsidR="00362E0A" w:rsidRPr="001B3F41" w:rsidRDefault="00362E0A" w:rsidP="00E24989">
            <w:pPr>
              <w:jc w:val="center"/>
              <w:rPr>
                <w:b/>
              </w:rPr>
            </w:pPr>
            <w:r>
              <w:rPr>
                <w:b/>
              </w:rPr>
              <w:t>Pirmā lasījuma redakcija</w:t>
            </w:r>
          </w:p>
        </w:tc>
        <w:tc>
          <w:tcPr>
            <w:tcW w:w="581" w:type="dxa"/>
            <w:vAlign w:val="center"/>
          </w:tcPr>
          <w:p w:rsidR="00362E0A" w:rsidRPr="00A43531" w:rsidRDefault="00362E0A" w:rsidP="00E24989">
            <w:pPr>
              <w:jc w:val="center"/>
              <w:rPr>
                <w:b/>
              </w:rPr>
            </w:pPr>
            <w:r w:rsidRPr="00A43531">
              <w:rPr>
                <w:b/>
              </w:rPr>
              <w:t>Nr.</w:t>
            </w:r>
          </w:p>
        </w:tc>
        <w:tc>
          <w:tcPr>
            <w:tcW w:w="3969" w:type="dxa"/>
            <w:vAlign w:val="center"/>
          </w:tcPr>
          <w:p w:rsidR="00362E0A" w:rsidRDefault="00362E0A" w:rsidP="00E24989">
            <w:pPr>
              <w:jc w:val="center"/>
              <w:rPr>
                <w:b/>
              </w:rPr>
            </w:pPr>
            <w:r>
              <w:rPr>
                <w:b/>
              </w:rPr>
              <w:t>Priekšlikumi</w:t>
            </w:r>
          </w:p>
          <w:p w:rsidR="00362E0A" w:rsidRPr="001B3F41" w:rsidRDefault="00362E0A" w:rsidP="006B1C62">
            <w:pPr>
              <w:jc w:val="center"/>
              <w:rPr>
                <w:b/>
              </w:rPr>
            </w:pPr>
            <w:r>
              <w:rPr>
                <w:b/>
              </w:rPr>
              <w:t>(</w:t>
            </w:r>
            <w:r w:rsidR="006B1C62">
              <w:rPr>
                <w:b/>
              </w:rPr>
              <w:t>6</w:t>
            </w:r>
            <w:bookmarkStart w:id="0" w:name="_GoBack"/>
            <w:bookmarkEnd w:id="0"/>
            <w:r>
              <w:rPr>
                <w:b/>
              </w:rPr>
              <w:t>)</w:t>
            </w:r>
          </w:p>
        </w:tc>
        <w:tc>
          <w:tcPr>
            <w:tcW w:w="1417" w:type="dxa"/>
            <w:vAlign w:val="center"/>
          </w:tcPr>
          <w:p w:rsidR="00362E0A" w:rsidRPr="001B3F41" w:rsidRDefault="00362E0A" w:rsidP="00E24989">
            <w:pPr>
              <w:jc w:val="center"/>
              <w:rPr>
                <w:b/>
              </w:rPr>
            </w:pPr>
            <w:r>
              <w:rPr>
                <w:b/>
              </w:rPr>
              <w:t>Ministru kabineta atzinums</w:t>
            </w:r>
          </w:p>
        </w:tc>
        <w:tc>
          <w:tcPr>
            <w:tcW w:w="1418" w:type="dxa"/>
            <w:vAlign w:val="center"/>
          </w:tcPr>
          <w:p w:rsidR="00362E0A" w:rsidRPr="001B3F41" w:rsidRDefault="00362E0A" w:rsidP="00E24989">
            <w:pPr>
              <w:jc w:val="center"/>
              <w:rPr>
                <w:b/>
              </w:rPr>
            </w:pPr>
            <w:r>
              <w:rPr>
                <w:b/>
              </w:rPr>
              <w:t>Komisijas atzinums</w:t>
            </w:r>
          </w:p>
        </w:tc>
      </w:tr>
      <w:tr w:rsidR="00362E0A" w:rsidRPr="001B3F41" w:rsidTr="006B1C62">
        <w:tc>
          <w:tcPr>
            <w:tcW w:w="3964" w:type="dxa"/>
            <w:shd w:val="clear" w:color="auto" w:fill="auto"/>
            <w:vAlign w:val="center"/>
          </w:tcPr>
          <w:p w:rsidR="00362E0A" w:rsidRDefault="00362E0A" w:rsidP="00E24989">
            <w:pPr>
              <w:jc w:val="center"/>
              <w:rPr>
                <w:b/>
              </w:rPr>
            </w:pPr>
          </w:p>
        </w:tc>
        <w:tc>
          <w:tcPr>
            <w:tcW w:w="3969" w:type="dxa"/>
            <w:shd w:val="clear" w:color="auto" w:fill="auto"/>
          </w:tcPr>
          <w:p w:rsidR="00362E0A" w:rsidRPr="00186990" w:rsidRDefault="00362E0A" w:rsidP="005E6849">
            <w:pPr>
              <w:ind w:firstLine="567"/>
              <w:jc w:val="both"/>
              <w:rPr>
                <w:rFonts w:eastAsia="Times New Roman"/>
                <w:sz w:val="22"/>
                <w:lang w:eastAsia="lv-LV"/>
              </w:rPr>
            </w:pPr>
            <w:r w:rsidRPr="00362E0A">
              <w:rPr>
                <w:rFonts w:eastAsia="Times New Roman"/>
                <w:sz w:val="22"/>
                <w:lang w:eastAsia="lv-LV"/>
              </w:rPr>
              <w:t xml:space="preserve">Izdarīt likumā "Par sociālo drošību" (Latvijas Republikas Saeimas un </w:t>
            </w:r>
            <w:r w:rsidRPr="00362E0A">
              <w:rPr>
                <w:rFonts w:eastAsia="Times New Roman"/>
                <w:spacing w:val="-2"/>
                <w:sz w:val="22"/>
                <w:lang w:eastAsia="lv-LV"/>
              </w:rPr>
              <w:t>Ministru Kabineta Ziņotājs, 1995, 21. nr.; 2006, 1. nr.; 2008, 8. nr.; 2015, 222. nr.)</w:t>
            </w:r>
            <w:r w:rsidRPr="00362E0A">
              <w:rPr>
                <w:rFonts w:eastAsia="Times New Roman"/>
                <w:sz w:val="22"/>
                <w:lang w:eastAsia="lv-LV"/>
              </w:rPr>
              <w:t xml:space="preserve"> šādu grozījumu:</w:t>
            </w:r>
          </w:p>
        </w:tc>
        <w:tc>
          <w:tcPr>
            <w:tcW w:w="581" w:type="dxa"/>
          </w:tcPr>
          <w:p w:rsidR="00362E0A" w:rsidRPr="00A43531" w:rsidRDefault="006B1C62" w:rsidP="006B1C62">
            <w:pPr>
              <w:jc w:val="center"/>
              <w:rPr>
                <w:b/>
              </w:rPr>
            </w:pPr>
            <w:r>
              <w:rPr>
                <w:b/>
              </w:rPr>
              <w:t>1</w:t>
            </w:r>
          </w:p>
        </w:tc>
        <w:tc>
          <w:tcPr>
            <w:tcW w:w="3969" w:type="dxa"/>
          </w:tcPr>
          <w:p w:rsidR="005E6849" w:rsidRPr="00F91C56" w:rsidRDefault="005E6849" w:rsidP="005E6849">
            <w:pPr>
              <w:ind w:firstLine="567"/>
              <w:jc w:val="both"/>
              <w:rPr>
                <w:b/>
                <w:sz w:val="22"/>
                <w:u w:val="single"/>
              </w:rPr>
            </w:pPr>
            <w:r w:rsidRPr="00F91C56">
              <w:rPr>
                <w:b/>
                <w:sz w:val="22"/>
                <w:u w:val="single"/>
              </w:rPr>
              <w:t>Juridiskais birojs</w:t>
            </w:r>
          </w:p>
          <w:p w:rsidR="005E6849" w:rsidRPr="005E6849" w:rsidRDefault="005E6849" w:rsidP="005E6849">
            <w:pPr>
              <w:ind w:firstLine="567"/>
              <w:jc w:val="both"/>
              <w:rPr>
                <w:i/>
                <w:sz w:val="22"/>
              </w:rPr>
            </w:pPr>
            <w:r w:rsidRPr="005E6849">
              <w:rPr>
                <w:i/>
                <w:sz w:val="22"/>
              </w:rPr>
              <w:t>Juridiskais birojs izskatīja likumprojektu “Grozījums likumā “Par sociālo drošību””</w:t>
            </w:r>
            <w:r w:rsidRPr="005E6849">
              <w:rPr>
                <w:i/>
                <w:iCs/>
                <w:sz w:val="22"/>
              </w:rPr>
              <w:t xml:space="preserve"> (Nr. 817/Lp13) </w:t>
            </w:r>
            <w:r w:rsidRPr="005E6849">
              <w:rPr>
                <w:i/>
                <w:sz w:val="22"/>
              </w:rPr>
              <w:t>un sniedz šādu atzinumu par likumprojektu pirms otrā lasījuma:</w:t>
            </w:r>
          </w:p>
          <w:p w:rsidR="005E6849" w:rsidRPr="005E6849" w:rsidRDefault="005E6849" w:rsidP="005E6849">
            <w:pPr>
              <w:ind w:firstLine="567"/>
              <w:jc w:val="both"/>
              <w:rPr>
                <w:i/>
                <w:sz w:val="22"/>
              </w:rPr>
            </w:pPr>
            <w:r w:rsidRPr="005E6849">
              <w:rPr>
                <w:i/>
                <w:sz w:val="22"/>
              </w:rPr>
              <w:t xml:space="preserve">Likumprojekta mērķis ir definēt minimālo ienākumu sliekšņus, noteikt zemāko iespējamo minimālo ienākumu sliekšņa apmēru, kā arī noteikt minimālo ienākumu sliekšņu pārskatīšanas regularitāti, sekmējot nabadzības un sociālās atstumtības mazināšanos valstī (sk. likumprojekta anotācijas 1. lpp.). Likumprojekts pamatojums </w:t>
            </w:r>
            <w:proofErr w:type="spellStart"/>
            <w:r w:rsidRPr="005E6849">
              <w:rPr>
                <w:i/>
                <w:sz w:val="22"/>
              </w:rPr>
              <w:t>citstarp</w:t>
            </w:r>
            <w:proofErr w:type="spellEnd"/>
            <w:r w:rsidRPr="005E6849">
              <w:rPr>
                <w:i/>
                <w:sz w:val="22"/>
              </w:rPr>
              <w:t xml:space="preserve"> izriet no pienākuma izpildīt Satversmes tiesas spriedumus lietās Nr. 2019-24-03, Nr. 2019-25-03, Nr. 2019-27-03 un ņemt vērā tajos ietvertās atziņas. Likumprojekta anotācijā analizējot Satversmes tiesas spriedumus secināts, ka Satversmes tiesas spriedumus caurvij tādi uzsvari kā: likumdevēja pienākums noteikt vienotu metodi minimālo ienākumu sliekšņu noteikšanā un izstrādāt konkrētu kritēriju kopu sociālās palīdzības minimuma noteikšanā; līdzsvara saglabāšana starp personas vajadzībām un sabiedrības iespējām; sociālās nevienlīdzības </w:t>
            </w:r>
            <w:r w:rsidRPr="005E6849">
              <w:rPr>
                <w:i/>
                <w:sz w:val="22"/>
              </w:rPr>
              <w:lastRenderedPageBreak/>
              <w:t xml:space="preserve">mazināšana kā būtisks aspekts sabiedrības ilgtspējai; minimālo ienākumu sliekšņu piesaiste konkrētam sociālekonomiskajam rādītājam, lai nodrošinātu to adekvātumu attiecībā pret reālo sociālekonomisko situāciju valstī (sk. likumprojekta anotācijas 2.-3. lpp.). </w:t>
            </w:r>
          </w:p>
          <w:p w:rsidR="005E6849" w:rsidRPr="005E6849" w:rsidRDefault="005E6849" w:rsidP="005E6849">
            <w:pPr>
              <w:ind w:firstLine="567"/>
              <w:jc w:val="both"/>
              <w:rPr>
                <w:i/>
                <w:sz w:val="22"/>
              </w:rPr>
            </w:pPr>
            <w:r w:rsidRPr="005E6849">
              <w:rPr>
                <w:i/>
                <w:sz w:val="22"/>
              </w:rPr>
              <w:t>Juridiskais birojs vērš komisijas uzmanību uz to, ka likumprojektā piedāvātais grozījums, kas paredz konkrēta minimālo ienākuma sliekšņa apmēra noteikšanu, pats par sevi nav pietiekams, lai nodrošinātu tiesiskā regulējuma atbilstību Latvijas Republikas Satversmei, tostarp iepriekš minētajiem Satversmes tiesas spriedumiem. Likumprojektā konstatējamas būtiskas nepilnības.</w:t>
            </w:r>
          </w:p>
          <w:p w:rsidR="005E6849" w:rsidRPr="005E6849" w:rsidRDefault="005E6849" w:rsidP="005E6849">
            <w:pPr>
              <w:ind w:firstLine="567"/>
              <w:jc w:val="both"/>
              <w:rPr>
                <w:i/>
                <w:sz w:val="22"/>
              </w:rPr>
            </w:pPr>
            <w:r w:rsidRPr="005E6849">
              <w:rPr>
                <w:i/>
                <w:sz w:val="22"/>
              </w:rPr>
              <w:t>Pirmkārt, likumprojektā piedāvātā 2.</w:t>
            </w:r>
            <w:r w:rsidRPr="005E6849">
              <w:rPr>
                <w:i/>
                <w:sz w:val="22"/>
                <w:vertAlign w:val="superscript"/>
              </w:rPr>
              <w:t>2  </w:t>
            </w:r>
            <w:r w:rsidRPr="005E6849">
              <w:rPr>
                <w:i/>
                <w:sz w:val="22"/>
              </w:rPr>
              <w:t>panta otrā daļa noteic, ka minimālo ienākumu slieksnis nav zemāks par 109 </w:t>
            </w:r>
            <w:proofErr w:type="spellStart"/>
            <w:r w:rsidRPr="005E6849">
              <w:rPr>
                <w:i/>
                <w:sz w:val="22"/>
              </w:rPr>
              <w:t>euro</w:t>
            </w:r>
            <w:proofErr w:type="spellEnd"/>
            <w:r w:rsidRPr="005E6849">
              <w:rPr>
                <w:i/>
                <w:sz w:val="22"/>
              </w:rPr>
              <w:t>. Tomēr likumprojekts nenosaka minimālo ienākumu sliekšņu noteikšanas pamatprincipus. Proti, likumprojekts nosaka konkrētu skaitli, taču nenosaka, kādi pamatprincipi ir jāņem vērā</w:t>
            </w:r>
            <w:proofErr w:type="gramStart"/>
            <w:r w:rsidRPr="005E6849">
              <w:rPr>
                <w:i/>
                <w:sz w:val="22"/>
              </w:rPr>
              <w:t xml:space="preserve"> šādu skaitli nosakot un pārskatot</w:t>
            </w:r>
            <w:proofErr w:type="gramEnd"/>
            <w:r w:rsidRPr="005E6849">
              <w:rPr>
                <w:i/>
                <w:sz w:val="22"/>
              </w:rPr>
              <w:t xml:space="preserve">. Atbilstoši Satversmes tiesas judikatūrai, likumdevējam likumdošanas procesā jāizlemj svarīgākie jautājumi, detalizētāku noteikumu un likuma ieviešanai dzīvē nepieciešamo tehnisko normu izstrādāšanai pilnvarojot Ministru kabinetu vai citu valsts institūciju (sk. Satversmes tiesas 2020. gada 25. jūnija sprieduma lietā Nr. 2019-24-03 19. punktu). Minimālo ienākumu sliekšņa noteikšana ir saistīta ar valsts pienākumu </w:t>
            </w:r>
            <w:r w:rsidRPr="005E6849">
              <w:rPr>
                <w:i/>
                <w:sz w:val="22"/>
              </w:rPr>
              <w:lastRenderedPageBreak/>
              <w:t xml:space="preserve">izveidot tādu sociālās drošības sistēmu, kura nodrošina cilvēka cieņas aizsardzību, sociālekonomisko atšķirību izlīdzināšanu un valsts ilgtspējīgu attīstību. Tādēļ minimālo ienākumu sliekšņa noteikšanas metodes pamatprincipu izstrāde ir tik būtisks jautājums, ka tas jāizlemj pašam likumdevējam (sal. sk. Satversmes tiesas 2020. gada 25. jūnija sprieduma lietā Nr. 2019-24-03 20. punktu). Minimālo ienākumu sliekšņa noteikšanas pamatprincipu neiekļaušana likumā padara neparedzamu un noprognozējamu minimālo ienākumu sliekšņa pārskatīšanu nākotnē, jo nepastāv likumā noteikti pamatprincipi, pēc kuriem būtu jāvadās šādu slieksni pārskatot. Attiecīgi aicinām likumprojektā ietvert minimālo ienākumu sliekšņa noteikšanas pamatprincipus. </w:t>
            </w:r>
          </w:p>
          <w:p w:rsidR="005E6849" w:rsidRPr="005E6849" w:rsidRDefault="005E6849" w:rsidP="005E6849">
            <w:pPr>
              <w:ind w:firstLine="567"/>
              <w:jc w:val="both"/>
              <w:rPr>
                <w:i/>
                <w:sz w:val="22"/>
              </w:rPr>
            </w:pPr>
            <w:r w:rsidRPr="005E6849">
              <w:rPr>
                <w:i/>
                <w:sz w:val="22"/>
              </w:rPr>
              <w:t>Otrkārt, likumprojektā piedāvātā 2.</w:t>
            </w:r>
            <w:r w:rsidRPr="005E6849">
              <w:rPr>
                <w:i/>
                <w:sz w:val="22"/>
                <w:vertAlign w:val="superscript"/>
              </w:rPr>
              <w:t>2  </w:t>
            </w:r>
            <w:r w:rsidRPr="005E6849">
              <w:rPr>
                <w:i/>
                <w:sz w:val="22"/>
              </w:rPr>
              <w:t xml:space="preserve">panta trešā daļa noteic, ka minimālo ienākumu sliekšņus pārskata vienlaikus ne retāk kā reizi trijos gados. Tādējādi likumprojekts pieļauj, ka minimālo ienākumu sliekšņi varētu tikt pārskatīti </w:t>
            </w:r>
            <w:proofErr w:type="gramStart"/>
            <w:r w:rsidRPr="005E6849">
              <w:rPr>
                <w:i/>
                <w:sz w:val="22"/>
              </w:rPr>
              <w:t>arī reizi</w:t>
            </w:r>
            <w:proofErr w:type="gramEnd"/>
            <w:r w:rsidRPr="005E6849">
              <w:rPr>
                <w:i/>
                <w:sz w:val="22"/>
              </w:rPr>
              <w:t xml:space="preserve"> trijos gados. Tā, savukārt, ir atkāpe no līdzšinējās pieejas, kur garantēto minimālo ienākumu līmenis tiek pārskatīts katru gadu (sk. Sociālo pakalpojumu un sociālās palīdzības likuma 36. panta pirmo daļu). Taču likumprojekta anotācijā nav skaidri un nepārprotami skaidrota šādas atkāpes nepieciešamība un pieļaujamība. </w:t>
            </w:r>
          </w:p>
          <w:p w:rsidR="005E6849" w:rsidRPr="005E6849" w:rsidRDefault="005E6849" w:rsidP="005E6849">
            <w:pPr>
              <w:ind w:firstLine="567"/>
              <w:jc w:val="both"/>
              <w:rPr>
                <w:i/>
                <w:sz w:val="22"/>
              </w:rPr>
            </w:pPr>
            <w:r w:rsidRPr="005E6849">
              <w:rPr>
                <w:i/>
                <w:sz w:val="22"/>
              </w:rPr>
              <w:t xml:space="preserve">Turklāt likumprojektā piedāvātais minimālo ienākumu slieksnis ticis noteikts, izmantojot datus par 2018. gada ienākumu mediānu uz vienu ekvivalento patērētāju (sk. likumprojekta anotācijas 6. lpp). </w:t>
            </w:r>
            <w:proofErr w:type="gramStart"/>
            <w:r w:rsidRPr="005E6849">
              <w:rPr>
                <w:i/>
                <w:sz w:val="22"/>
              </w:rPr>
              <w:lastRenderedPageBreak/>
              <w:t>Tādējādi,</w:t>
            </w:r>
            <w:proofErr w:type="gramEnd"/>
            <w:r w:rsidRPr="005E6849">
              <w:rPr>
                <w:i/>
                <w:sz w:val="22"/>
              </w:rPr>
              <w:t xml:space="preserve"> pieļaujot minimālo ienākuma sliekšņa pārskatīšanu reizi trijos gados, var rasties situācija, kurā minimālo ienākumu slieksnis atspoguļo sociālo realitāti, kāda tā bija pirms pieciem gadiem, nevis to, kāda tā ir brīdī, kad personai ir nepieciešamība pēc sociālās drošības sistēmas aizsardzības. </w:t>
            </w:r>
          </w:p>
          <w:p w:rsidR="005E6849" w:rsidRPr="005E6849" w:rsidRDefault="005E6849" w:rsidP="005E6849">
            <w:pPr>
              <w:ind w:firstLine="567"/>
              <w:jc w:val="both"/>
              <w:rPr>
                <w:i/>
                <w:sz w:val="22"/>
              </w:rPr>
            </w:pPr>
            <w:r w:rsidRPr="005E6849">
              <w:rPr>
                <w:i/>
                <w:sz w:val="22"/>
              </w:rPr>
              <w:t xml:space="preserve">Satversmes tiesa ir skaidrojusi, ka attīstoties ekonomiskajai situācijai, valstij rodas iespējas sniegt lielāka apmēra atbalstu atsevišķiem iedzīvotājiem un līdz ar to arī pienākums palielināt finansiālos un cita veida ieguldījumus personas sociālo tiesību īstenošanas sistēmā. Cilvēka cieņai atbilstošas dzīves nodrošināšanai nepieciešamās prasības mainās līdz ar valsts un sabiedrības attīstību. Valstij ir pienākums to ņemt vērā un ievērot patieso situāciju valstī. Noteiktajam minimālo ienākumu slieksnim jābūt aktuālam, zinātniski un statistiski pamatotam un kopumā vērstam uz to, lai ikvienai personai, kura pati saviem spēkiem nespēj sev nodrošināt pietiekamus līdzekļus, radītu iespēju laikā, kad tai nepieciešama palīdzība, dzīvot cilvēka cieņai atbilstošu dzīvi </w:t>
            </w:r>
            <w:proofErr w:type="gramStart"/>
            <w:r w:rsidRPr="005E6849">
              <w:rPr>
                <w:i/>
                <w:sz w:val="22"/>
              </w:rPr>
              <w:t>(</w:t>
            </w:r>
            <w:proofErr w:type="spellStart"/>
            <w:proofErr w:type="gramEnd"/>
            <w:r w:rsidRPr="005E6849">
              <w:rPr>
                <w:i/>
                <w:sz w:val="22"/>
              </w:rPr>
              <w:t>sal.sk</w:t>
            </w:r>
            <w:proofErr w:type="spellEnd"/>
            <w:r w:rsidRPr="005E6849">
              <w:rPr>
                <w:i/>
                <w:sz w:val="22"/>
              </w:rPr>
              <w:t xml:space="preserve">. Satversmes tiesas 2020. gada 16. jūlija sprieduma lietā Nr. 2019-25-03 21. punktu). Tādu minimālo ienākumu sliekšņu pārskatīšanas kārtību, kur izejas dati tiek ņemti ar piecu gadu nobīdi, nevar atzīt par atbilstošu, tālredzīgu un ilgtspējīgu risinājumu (sal. sk. Satversmes tiesas 2020. gada 16. jūlija sprieduma lietā  Nr. 2019-25-03 20. punktu). Valstij ir jāpārskata regulējums, kas paredz personas tiesības uz sociālās </w:t>
            </w:r>
            <w:r w:rsidRPr="005E6849">
              <w:rPr>
                <w:i/>
                <w:sz w:val="22"/>
              </w:rPr>
              <w:lastRenderedPageBreak/>
              <w:t>palīdzības minimumu, tā, lai šis regulējums atbilstu patiesajiem apstākļiem un personas sociālekonomiskajai situācijai brīdī, kad tai nepieciešama palīdzība (sal. sk. Satversmes tiesas 2020. gada 16. jūlija sprieduma lietā Nr. 2019-25-03 21. punktu). Tādēļ tāda minimālo ienākumu sliekšņu pārskatīšanas kārtība, kas nenodrošina šo sliekšņu atbilstību aktuālajai sociālekonomiskajai situācijai valstī, neatbilst likumdevēja pienākumam izveidot tādu sociālās drošības sistēmu, kas vērsta uz cilvēka cieņas aizsardzību, sociālās nevienlīdzības izlīdzināšanu un valsts ilgtspējīgu attīstību. Attiecīgi aicinām likumprojektā ietvert tādu minimālo ienākumu sliekšņu pārskatīšanas kārtību, kas nodrošina šo sliekšņu atbilstību aktuālajai sociālekonomiskajai situācijai valstī.</w:t>
            </w:r>
          </w:p>
          <w:p w:rsidR="005E6849" w:rsidRPr="005E6849" w:rsidRDefault="005E6849" w:rsidP="005E6849">
            <w:pPr>
              <w:ind w:firstLine="567"/>
              <w:jc w:val="both"/>
              <w:rPr>
                <w:i/>
                <w:sz w:val="22"/>
              </w:rPr>
            </w:pPr>
            <w:r w:rsidRPr="005E6849">
              <w:rPr>
                <w:i/>
                <w:sz w:val="22"/>
              </w:rPr>
              <w:t>Treškārt, likumprojekta anotācijā norādīts, ka nosakot minimālo ienākumu slieksni 109 </w:t>
            </w:r>
            <w:proofErr w:type="spellStart"/>
            <w:r w:rsidRPr="005E6849">
              <w:rPr>
                <w:i/>
                <w:sz w:val="22"/>
              </w:rPr>
              <w:t>euro</w:t>
            </w:r>
            <w:proofErr w:type="spellEnd"/>
            <w:r w:rsidRPr="005E6849">
              <w:rPr>
                <w:i/>
                <w:sz w:val="22"/>
              </w:rPr>
              <w:t xml:space="preserve"> apmērā jeb 20% apmērā no ienākumu mediānas, tiek nodrošināta pašu nepieciešamāko ikdienas izdevumu segšana, kā ēdiens, apģērbs, personīgās higiēnas lietas, nelieli mājsaimniecības ikdienas izdevumi (sk. likumprojekta anotācijas 7. lpp). Tomēr no likumprojekta anotācijas nevar secināt to, kādi empīriski un zinātniski atzinumi ir šāda uzskata pamatā, tādēļ nesniedzot likumdevējam iespēju pārliecināties par šāda minimālā ienākuma sliekšņa atbilstību sociālajai realitātei un iedzīvotāju vajadzībām.</w:t>
            </w:r>
          </w:p>
          <w:p w:rsidR="005E6849" w:rsidRPr="005E6849" w:rsidRDefault="005E6849" w:rsidP="005E6849">
            <w:pPr>
              <w:ind w:firstLine="567"/>
              <w:jc w:val="both"/>
              <w:rPr>
                <w:i/>
                <w:sz w:val="22"/>
              </w:rPr>
            </w:pPr>
            <w:r w:rsidRPr="005E6849">
              <w:rPr>
                <w:i/>
                <w:sz w:val="22"/>
              </w:rPr>
              <w:t xml:space="preserve">Turklāt jāņem vērā, ka lai gan valstij ir rīcības brīvība izvēlēties starp dažādām metodēm jeb pamatprincipiem </w:t>
            </w:r>
            <w:r w:rsidRPr="005E6849">
              <w:rPr>
                <w:i/>
                <w:sz w:val="22"/>
              </w:rPr>
              <w:lastRenderedPageBreak/>
              <w:t xml:space="preserve">pēc kādiem šis minimālo ienākumu slieksnis tiek noteikts, izraudzītajai metodei jābūt pierādījumos balstītai, kā arī tādai, kas šo minimālo ienākumu slieksni padarītu atkarīgu no ekonomiskajiem rādītājiem, tādējādi atspoguļojot sociālo realitāti un patieso ekonomisko situāciju valstī </w:t>
            </w:r>
            <w:proofErr w:type="gramStart"/>
            <w:r w:rsidRPr="005E6849">
              <w:rPr>
                <w:i/>
                <w:sz w:val="22"/>
              </w:rPr>
              <w:t>(</w:t>
            </w:r>
            <w:proofErr w:type="gramEnd"/>
            <w:r w:rsidRPr="005E6849">
              <w:rPr>
                <w:i/>
                <w:sz w:val="22"/>
              </w:rPr>
              <w:t xml:space="preserve">sal. </w:t>
            </w:r>
            <w:proofErr w:type="spellStart"/>
            <w:r w:rsidRPr="005E6849">
              <w:rPr>
                <w:i/>
                <w:sz w:val="22"/>
              </w:rPr>
              <w:t>sk</w:t>
            </w:r>
            <w:proofErr w:type="spellEnd"/>
            <w:r w:rsidRPr="005E6849">
              <w:rPr>
                <w:i/>
                <w:iCs/>
                <w:color w:val="000000"/>
                <w:sz w:val="22"/>
                <w:lang w:eastAsia="lv-LV"/>
              </w:rPr>
              <w:t xml:space="preserve"> </w:t>
            </w:r>
            <w:r w:rsidRPr="005E6849">
              <w:rPr>
                <w:i/>
                <w:iCs/>
                <w:sz w:val="22"/>
              </w:rPr>
              <w:t>Satversmes tiesas 2020. gada 25. jūnija sprieduma lietā Nr. 2019-24-03 19.2. punktu</w:t>
            </w:r>
            <w:r w:rsidRPr="005E6849">
              <w:rPr>
                <w:i/>
                <w:sz w:val="22"/>
              </w:rPr>
              <w:t>). Tikai izmantojot pamatotu un argumentētu metodi var pārliecināties par to, ka noteiktie atbalsta pasākumi kalpo cilvēka cieņas aizsardzībai, sociālās nevienlīdzības mazināšanai un valsts ilgtspējīgai attīstībai (sal. sk. Satversmes tiesas 2020. gada 16. jūlija sprieduma lietā Nr. 2019-25-03 20. punktu). Šobrīd likumprojekta anotācija neietver tādu izvērtējumu, kas ļautu likumdevējam pārliecināties par to, ka likumā minēto minimālo ienākumu sliekšņu noteikšanas pamatprincipi kopsakarā ar citiem sociālās drošības sistēmas pasākumiem nodrošina tā saņēmēja pamatvajadzību apmierināšanu un ļauj viņam dzīvot tādu dzīvi, kas atbilst cilvēka cieņai.</w:t>
            </w:r>
          </w:p>
          <w:p w:rsidR="00362E0A" w:rsidRPr="005E6849" w:rsidRDefault="005E6849" w:rsidP="005E6849">
            <w:pPr>
              <w:ind w:firstLine="567"/>
              <w:jc w:val="both"/>
              <w:rPr>
                <w:i/>
                <w:sz w:val="22"/>
              </w:rPr>
            </w:pPr>
            <w:r w:rsidRPr="005E6849">
              <w:rPr>
                <w:i/>
                <w:sz w:val="22"/>
              </w:rPr>
              <w:t xml:space="preserve">Ņemot vērā iepriekš minētos apsvērumus, aicinām papildināt likumprojektu ar normu, kas paredz pienākumu Ministru kabinetam periodiski iesniegt Saeimai izvērtējumu par to, vai likumā minēto minimālo ienākumu sliekšņu noteikšanas pamatprincipi kopsakarā ar citiem sociālās drošības sistēmas pasākumiem nodrošina tā saņēmēja pamatvajadzību apmierināšanu un ļauj viņam dzīvot tādu dzīvi, kas atbilst </w:t>
            </w:r>
            <w:r w:rsidRPr="005E6849">
              <w:rPr>
                <w:i/>
                <w:sz w:val="22"/>
              </w:rPr>
              <w:lastRenderedPageBreak/>
              <w:t xml:space="preserve">cilvēka cieņai. Šāds izvērtējums ļautu likumdevējam pārliecināties par izvēlēto pamatprincipu jeb metodoloģijas minimālo ienākumu sliekšņu noteikšanā un pārskatīšanā pamatotību un efektivitāti, kā arī demonstrētu to, vai likumdevēja noteiktie minimālo ienākumi sliekšņi kopsakarā ar citiem sociālās drošības sistēmas pasākumiem nodrošina pienācīgu personu sociālo tiesību aizsardzību. </w:t>
            </w:r>
          </w:p>
        </w:tc>
        <w:tc>
          <w:tcPr>
            <w:tcW w:w="1417" w:type="dxa"/>
            <w:vAlign w:val="center"/>
          </w:tcPr>
          <w:p w:rsidR="00362E0A" w:rsidRDefault="00362E0A" w:rsidP="00E24989">
            <w:pPr>
              <w:jc w:val="center"/>
              <w:rPr>
                <w:b/>
              </w:rPr>
            </w:pPr>
          </w:p>
        </w:tc>
        <w:tc>
          <w:tcPr>
            <w:tcW w:w="1418" w:type="dxa"/>
            <w:vAlign w:val="center"/>
          </w:tcPr>
          <w:p w:rsidR="00362E0A" w:rsidRDefault="00362E0A" w:rsidP="00E24989">
            <w:pPr>
              <w:jc w:val="center"/>
              <w:rPr>
                <w:b/>
              </w:rPr>
            </w:pPr>
          </w:p>
        </w:tc>
      </w:tr>
      <w:tr w:rsidR="00362E0A" w:rsidRPr="001B3F41" w:rsidTr="006B1C62">
        <w:tc>
          <w:tcPr>
            <w:tcW w:w="3964" w:type="dxa"/>
            <w:shd w:val="clear" w:color="auto" w:fill="auto"/>
          </w:tcPr>
          <w:p w:rsidR="00362E0A" w:rsidRPr="00362E0A" w:rsidRDefault="00362E0A" w:rsidP="00362E0A">
            <w:pPr>
              <w:pStyle w:val="tv213"/>
              <w:spacing w:before="0" w:beforeAutospacing="0" w:after="0" w:afterAutospacing="0"/>
              <w:ind w:firstLine="567"/>
              <w:jc w:val="both"/>
              <w:rPr>
                <w:sz w:val="22"/>
                <w:szCs w:val="22"/>
              </w:rPr>
            </w:pPr>
            <w:r w:rsidRPr="00362E0A">
              <w:rPr>
                <w:b/>
                <w:bCs/>
                <w:sz w:val="22"/>
                <w:szCs w:val="22"/>
              </w:rPr>
              <w:lastRenderedPageBreak/>
              <w:t>2.</w:t>
            </w:r>
            <w:r w:rsidRPr="00362E0A">
              <w:rPr>
                <w:b/>
                <w:bCs/>
                <w:sz w:val="22"/>
                <w:szCs w:val="22"/>
                <w:vertAlign w:val="superscript"/>
              </w:rPr>
              <w:t>1</w:t>
            </w:r>
            <w:r w:rsidRPr="00362E0A">
              <w:rPr>
                <w:b/>
                <w:bCs/>
                <w:sz w:val="22"/>
                <w:szCs w:val="22"/>
              </w:rPr>
              <w:t xml:space="preserve"> pants. Atšķirīgas attieksmes aiz</w:t>
            </w:r>
            <w:r w:rsidRPr="00362E0A">
              <w:rPr>
                <w:b/>
                <w:bCs/>
                <w:sz w:val="22"/>
                <w:szCs w:val="22"/>
              </w:rPr>
              <w:softHyphen/>
              <w:t>liegums</w:t>
            </w:r>
          </w:p>
          <w:p w:rsidR="00362E0A" w:rsidRPr="00362E0A" w:rsidRDefault="00362E0A" w:rsidP="00362E0A">
            <w:pPr>
              <w:pStyle w:val="tv213"/>
              <w:spacing w:before="0" w:beforeAutospacing="0" w:after="0" w:afterAutospacing="0"/>
              <w:ind w:firstLine="567"/>
              <w:jc w:val="both"/>
              <w:rPr>
                <w:sz w:val="22"/>
                <w:szCs w:val="22"/>
              </w:rPr>
            </w:pPr>
            <w:r w:rsidRPr="00362E0A">
              <w:rPr>
                <w:sz w:val="22"/>
                <w:szCs w:val="22"/>
              </w:rPr>
              <w:t>(1) Nodrošinot sociālos pakalpojumus, aizliegta atšķirīga attieksme atkarībā no personas rases, etniskās piederības, ādas krāsas, dzimuma, vecuma, invaliditātes, veselības stāvokļa, reliģiskās, politiskās vai citas pārliecības, nacionālās vai sociālās izcelsmes, mantiskā vai ģimenes stāvokļa vai citiem apstākļiem.</w:t>
            </w:r>
          </w:p>
          <w:p w:rsidR="00362E0A" w:rsidRPr="00362E0A" w:rsidRDefault="00362E0A" w:rsidP="00362E0A">
            <w:pPr>
              <w:pStyle w:val="tv213"/>
              <w:spacing w:before="0" w:beforeAutospacing="0" w:after="0" w:afterAutospacing="0"/>
              <w:ind w:firstLine="567"/>
              <w:jc w:val="both"/>
              <w:rPr>
                <w:sz w:val="22"/>
                <w:szCs w:val="22"/>
              </w:rPr>
            </w:pPr>
            <w:r w:rsidRPr="00362E0A">
              <w:rPr>
                <w:sz w:val="22"/>
                <w:szCs w:val="22"/>
              </w:rPr>
              <w:t>(2) Atšķirīga attieksme ietver personas tiešu vai netiešu diskrimināciju, personas aizskaršanu vai norādījumu to diskriminēt.</w:t>
            </w:r>
          </w:p>
          <w:p w:rsidR="00362E0A" w:rsidRPr="00362E0A" w:rsidRDefault="00362E0A" w:rsidP="00362E0A">
            <w:pPr>
              <w:pStyle w:val="tv213"/>
              <w:spacing w:before="0" w:beforeAutospacing="0" w:after="0" w:afterAutospacing="0"/>
              <w:ind w:firstLine="567"/>
              <w:jc w:val="both"/>
              <w:rPr>
                <w:sz w:val="22"/>
                <w:szCs w:val="22"/>
              </w:rPr>
            </w:pPr>
            <w:r w:rsidRPr="00362E0A">
              <w:rPr>
                <w:sz w:val="22"/>
                <w:szCs w:val="22"/>
              </w:rPr>
              <w:t>(3) Tieša diskriminācija pastāv, ja salīdzināmā situācijā attieksme pret personu saistībā ar kādu no šā panta pirmajā daļā minētajiem apstākļiem ir, bija vai var būt mazāk labvēlīga nekā pret citu personu.</w:t>
            </w:r>
          </w:p>
          <w:p w:rsidR="00362E0A" w:rsidRPr="00362E0A" w:rsidRDefault="00362E0A" w:rsidP="00362E0A">
            <w:pPr>
              <w:pStyle w:val="tv213"/>
              <w:spacing w:before="0" w:beforeAutospacing="0" w:after="0" w:afterAutospacing="0"/>
              <w:ind w:firstLine="567"/>
              <w:jc w:val="both"/>
              <w:rPr>
                <w:sz w:val="22"/>
                <w:szCs w:val="22"/>
              </w:rPr>
            </w:pPr>
            <w:r w:rsidRPr="00362E0A">
              <w:rPr>
                <w:sz w:val="22"/>
                <w:szCs w:val="22"/>
              </w:rPr>
              <w:t>(4) Netieša diskriminācija pastāv, ja salīdzināmā situācijā šķietami neitrāls noteikums, kritērijs vai prakse rada vai var radīt nelabvēlīgas sekas personai saistībā ar kādu no šā panta pirmajā daļā minētajiem apstākļiem.</w:t>
            </w:r>
          </w:p>
          <w:p w:rsidR="00362E0A" w:rsidRPr="00362E0A" w:rsidRDefault="00362E0A" w:rsidP="00362E0A">
            <w:pPr>
              <w:pStyle w:val="tv213"/>
              <w:spacing w:before="0" w:beforeAutospacing="0" w:after="0" w:afterAutospacing="0"/>
              <w:ind w:firstLine="567"/>
              <w:jc w:val="both"/>
              <w:rPr>
                <w:sz w:val="22"/>
                <w:szCs w:val="22"/>
              </w:rPr>
            </w:pPr>
            <w:r w:rsidRPr="00362E0A">
              <w:rPr>
                <w:sz w:val="22"/>
                <w:szCs w:val="22"/>
              </w:rPr>
              <w:lastRenderedPageBreak/>
              <w:t>(5) Personas aizskaršana šā likuma izpratnē ir personas pakļaušana tādai no šīs personas viedokļa nevēlamai rīcībai, kas saistīta ar kādu no šā panta pirmajā daļā minētajiem apstākļiem, ja šādas rīcības mērķis vai rezultāts ir personas cieņas aizskaršana un iebiedējošas, naidīgas, pazemojošas, degradējošas vai aizskarošas vides radīšana.</w:t>
            </w:r>
          </w:p>
          <w:p w:rsidR="00362E0A" w:rsidRPr="00362E0A" w:rsidRDefault="00362E0A" w:rsidP="00362E0A">
            <w:pPr>
              <w:pStyle w:val="tv213"/>
              <w:spacing w:before="0" w:beforeAutospacing="0" w:after="0" w:afterAutospacing="0"/>
              <w:ind w:firstLine="567"/>
              <w:jc w:val="both"/>
              <w:rPr>
                <w:sz w:val="22"/>
                <w:szCs w:val="22"/>
              </w:rPr>
            </w:pPr>
            <w:r w:rsidRPr="00362E0A">
              <w:rPr>
                <w:sz w:val="22"/>
                <w:szCs w:val="22"/>
              </w:rPr>
              <w:t>(5</w:t>
            </w:r>
            <w:r w:rsidRPr="00362E0A">
              <w:rPr>
                <w:sz w:val="22"/>
                <w:szCs w:val="22"/>
                <w:vertAlign w:val="superscript"/>
              </w:rPr>
              <w:t>1</w:t>
            </w:r>
            <w:r w:rsidRPr="00362E0A">
              <w:rPr>
                <w:sz w:val="22"/>
                <w:szCs w:val="22"/>
              </w:rPr>
              <w:t>) Par diskrimināciju dzimuma dēļ uzskatāma arī mazāk labvēlīga attieksme pret sievieti grūtniecības laikā</w:t>
            </w:r>
            <w:proofErr w:type="gramStart"/>
            <w:r w:rsidRPr="00362E0A">
              <w:rPr>
                <w:sz w:val="22"/>
                <w:szCs w:val="22"/>
              </w:rPr>
              <w:t xml:space="preserve"> vai pēcdzemdību periodā līdz vienam gadam</w:t>
            </w:r>
            <w:proofErr w:type="gramEnd"/>
            <w:r w:rsidRPr="00362E0A">
              <w:rPr>
                <w:sz w:val="22"/>
                <w:szCs w:val="22"/>
              </w:rPr>
              <w:t>, bet, ja sieviete baro bērnu ar krūti, — visā barošanas laikā.</w:t>
            </w:r>
          </w:p>
          <w:p w:rsidR="00362E0A" w:rsidRPr="00362E0A" w:rsidRDefault="00362E0A" w:rsidP="00362E0A">
            <w:pPr>
              <w:pStyle w:val="tv213"/>
              <w:spacing w:before="0" w:beforeAutospacing="0" w:after="0" w:afterAutospacing="0"/>
              <w:ind w:firstLine="567"/>
              <w:jc w:val="both"/>
              <w:rPr>
                <w:sz w:val="22"/>
                <w:szCs w:val="22"/>
              </w:rPr>
            </w:pPr>
            <w:r w:rsidRPr="00362E0A">
              <w:rPr>
                <w:sz w:val="22"/>
                <w:szCs w:val="22"/>
              </w:rPr>
              <w:t>(6) Atšķirīga attieksme (izņemot personas aizskaršanu) saistībā</w:t>
            </w:r>
            <w:proofErr w:type="gramStart"/>
            <w:r w:rsidRPr="00362E0A">
              <w:rPr>
                <w:sz w:val="22"/>
                <w:szCs w:val="22"/>
              </w:rPr>
              <w:t xml:space="preserve"> ar kādu no šā panta pirmajā daļā minētajiem apstākļiem pieļaujama tikai gadījumā, ja šāda attieksme ir objektīvi pamatota ar tiesisku mērķi, kura sasniegšanai izraudzītie līdzekļi ir samērīgi</w:t>
            </w:r>
            <w:proofErr w:type="gramEnd"/>
            <w:r w:rsidRPr="00362E0A">
              <w:rPr>
                <w:sz w:val="22"/>
                <w:szCs w:val="22"/>
              </w:rPr>
              <w:t>.</w:t>
            </w:r>
          </w:p>
        </w:tc>
        <w:tc>
          <w:tcPr>
            <w:tcW w:w="3969" w:type="dxa"/>
            <w:shd w:val="clear" w:color="auto" w:fill="auto"/>
          </w:tcPr>
          <w:p w:rsidR="00362E0A" w:rsidRPr="00362E0A" w:rsidRDefault="00362E0A" w:rsidP="00362E0A">
            <w:pPr>
              <w:ind w:firstLine="567"/>
              <w:jc w:val="both"/>
              <w:rPr>
                <w:rFonts w:eastAsia="Times New Roman"/>
                <w:sz w:val="22"/>
                <w:lang w:eastAsia="lv-LV"/>
              </w:rPr>
            </w:pPr>
            <w:r w:rsidRPr="00362E0A">
              <w:rPr>
                <w:rFonts w:eastAsia="Times New Roman"/>
                <w:sz w:val="22"/>
                <w:lang w:eastAsia="lv-LV"/>
              </w:rPr>
              <w:lastRenderedPageBreak/>
              <w:t>Papildināt likumu ar 2.</w:t>
            </w:r>
            <w:r w:rsidRPr="00362E0A">
              <w:rPr>
                <w:rFonts w:eastAsia="Times New Roman"/>
                <w:sz w:val="22"/>
                <w:vertAlign w:val="superscript"/>
                <w:lang w:eastAsia="lv-LV"/>
              </w:rPr>
              <w:t>2 </w:t>
            </w:r>
            <w:r w:rsidRPr="00362E0A">
              <w:rPr>
                <w:rFonts w:eastAsia="Times New Roman"/>
                <w:sz w:val="22"/>
                <w:lang w:eastAsia="lv-LV"/>
              </w:rPr>
              <w:t>pantu šādā redakcijā:</w:t>
            </w:r>
          </w:p>
          <w:p w:rsidR="00362E0A" w:rsidRPr="00362E0A" w:rsidRDefault="00362E0A" w:rsidP="00362E0A">
            <w:pPr>
              <w:ind w:firstLine="567"/>
              <w:jc w:val="both"/>
              <w:rPr>
                <w:rFonts w:eastAsia="Times New Roman"/>
                <w:sz w:val="22"/>
                <w:lang w:eastAsia="lv-LV"/>
              </w:rPr>
            </w:pPr>
            <w:r w:rsidRPr="00362E0A">
              <w:rPr>
                <w:rFonts w:eastAsia="Times New Roman"/>
                <w:sz w:val="22"/>
                <w:lang w:eastAsia="lv-LV"/>
              </w:rPr>
              <w:t>"</w:t>
            </w:r>
            <w:r w:rsidRPr="00362E0A">
              <w:rPr>
                <w:rFonts w:eastAsia="Times New Roman"/>
                <w:b/>
                <w:bCs/>
                <w:sz w:val="22"/>
                <w:lang w:eastAsia="lv-LV"/>
              </w:rPr>
              <w:t>2.</w:t>
            </w:r>
            <w:r w:rsidRPr="00362E0A">
              <w:rPr>
                <w:rFonts w:eastAsia="Times New Roman"/>
                <w:b/>
                <w:bCs/>
                <w:sz w:val="22"/>
                <w:vertAlign w:val="superscript"/>
                <w:lang w:eastAsia="lv-LV"/>
              </w:rPr>
              <w:t>2</w:t>
            </w:r>
            <w:r w:rsidRPr="00362E0A">
              <w:rPr>
                <w:rFonts w:eastAsia="Times New Roman"/>
                <w:b/>
                <w:bCs/>
                <w:sz w:val="22"/>
                <w:lang w:eastAsia="lv-LV"/>
              </w:rPr>
              <w:t> pants. Minimālo ienākumu sliekšņi</w:t>
            </w:r>
            <w:bookmarkStart w:id="1" w:name="_Hlk46492301"/>
          </w:p>
          <w:bookmarkEnd w:id="1"/>
          <w:p w:rsidR="00362E0A" w:rsidRPr="00362E0A" w:rsidRDefault="00362E0A" w:rsidP="00362E0A">
            <w:pPr>
              <w:ind w:firstLine="567"/>
              <w:jc w:val="both"/>
              <w:rPr>
                <w:rFonts w:eastAsia="Times New Roman"/>
                <w:sz w:val="22"/>
                <w:lang w:eastAsia="lv-LV"/>
              </w:rPr>
            </w:pPr>
            <w:r w:rsidRPr="00362E0A">
              <w:rPr>
                <w:rFonts w:eastAsia="Times New Roman"/>
                <w:bCs/>
                <w:sz w:val="22"/>
                <w:lang w:eastAsia="lv-LV"/>
              </w:rPr>
              <w:t xml:space="preserve">(1) Minimālo ienākumu sliekšņi ir atsevišķai personai vai vienas personas mājsaimniecībā </w:t>
            </w:r>
            <w:r w:rsidRPr="00362E0A">
              <w:rPr>
                <w:rFonts w:eastAsia="Times New Roman"/>
                <w:sz w:val="22"/>
                <w:lang w:eastAsia="lv-LV"/>
              </w:rPr>
              <w:t xml:space="preserve">dzīvojošai personai sniegtā atbalsta apmērs sociālās aizsardzības jomā (noapaļots līdz veseliem </w:t>
            </w:r>
            <w:proofErr w:type="spellStart"/>
            <w:r w:rsidRPr="00362E0A">
              <w:rPr>
                <w:rFonts w:eastAsia="Times New Roman"/>
                <w:i/>
                <w:sz w:val="22"/>
                <w:lang w:eastAsia="lv-LV"/>
              </w:rPr>
              <w:t>euro</w:t>
            </w:r>
            <w:proofErr w:type="spellEnd"/>
            <w:r w:rsidRPr="00362E0A">
              <w:rPr>
                <w:rFonts w:eastAsia="Times New Roman"/>
                <w:sz w:val="22"/>
                <w:lang w:eastAsia="lv-LV"/>
              </w:rPr>
              <w:t>). Minimālo ienākumu sliekšņu apmērus nosaka attiecīgos sociālos pakalpojumus reglamentējošajos normatīvajos aktos, nosakot šo sliekšņu piemērošanas kritērijus, pakalpojumu piešķiršanas un izmaksas kārtību.</w:t>
            </w:r>
          </w:p>
          <w:p w:rsidR="00362E0A" w:rsidRPr="00362E0A" w:rsidRDefault="00362E0A" w:rsidP="00362E0A">
            <w:pPr>
              <w:ind w:firstLine="567"/>
              <w:jc w:val="both"/>
              <w:rPr>
                <w:rFonts w:eastAsia="Times New Roman"/>
                <w:sz w:val="22"/>
                <w:lang w:eastAsia="lv-LV"/>
              </w:rPr>
            </w:pPr>
            <w:r w:rsidRPr="00362E0A">
              <w:rPr>
                <w:rFonts w:eastAsia="Times New Roman"/>
                <w:sz w:val="22"/>
                <w:lang w:eastAsia="lv-LV"/>
              </w:rPr>
              <w:t>(2) Minimālo ienākumu slieksnis nav zemāks par 109 </w:t>
            </w:r>
            <w:proofErr w:type="spellStart"/>
            <w:r w:rsidRPr="00362E0A">
              <w:rPr>
                <w:rFonts w:eastAsia="Times New Roman"/>
                <w:i/>
                <w:sz w:val="22"/>
                <w:lang w:eastAsia="lv-LV"/>
              </w:rPr>
              <w:t>euro</w:t>
            </w:r>
            <w:proofErr w:type="spellEnd"/>
            <w:r w:rsidRPr="00362E0A">
              <w:rPr>
                <w:rFonts w:eastAsia="Times New Roman"/>
                <w:sz w:val="22"/>
                <w:lang w:eastAsia="lv-LV"/>
              </w:rPr>
              <w:t>.</w:t>
            </w:r>
          </w:p>
          <w:p w:rsidR="00362E0A" w:rsidRPr="00186990" w:rsidRDefault="00362E0A" w:rsidP="00362E0A">
            <w:pPr>
              <w:ind w:firstLine="567"/>
              <w:jc w:val="both"/>
              <w:rPr>
                <w:rFonts w:eastAsia="Times New Roman"/>
                <w:sz w:val="22"/>
                <w:lang w:eastAsia="lv-LV"/>
              </w:rPr>
            </w:pPr>
            <w:r w:rsidRPr="00362E0A">
              <w:rPr>
                <w:rFonts w:eastAsia="Times New Roman"/>
                <w:sz w:val="22"/>
                <w:lang w:eastAsia="lv-LV"/>
              </w:rPr>
              <w:t>(3) Minimālo ienākumu</w:t>
            </w:r>
            <w:r w:rsidRPr="00362E0A">
              <w:rPr>
                <w:rFonts w:eastAsia="Times New Roman"/>
                <w:bCs/>
                <w:sz w:val="22"/>
                <w:lang w:eastAsia="lv-LV"/>
              </w:rPr>
              <w:t xml:space="preserve"> sliekšņus pārskata vienlaikus ne retāk kā reizi trijos gados.</w:t>
            </w:r>
            <w:r w:rsidRPr="00362E0A">
              <w:rPr>
                <w:rFonts w:eastAsia="Times New Roman"/>
                <w:sz w:val="22"/>
                <w:lang w:eastAsia="lv-LV"/>
              </w:rPr>
              <w:t>"</w:t>
            </w:r>
          </w:p>
        </w:tc>
        <w:tc>
          <w:tcPr>
            <w:tcW w:w="581" w:type="dxa"/>
          </w:tcPr>
          <w:p w:rsidR="00362E0A" w:rsidRDefault="006B1C62" w:rsidP="006B1C62">
            <w:pPr>
              <w:jc w:val="center"/>
              <w:rPr>
                <w:b/>
              </w:rPr>
            </w:pPr>
            <w:r>
              <w:rPr>
                <w:b/>
              </w:rPr>
              <w:t>2</w:t>
            </w: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r>
              <w:rPr>
                <w:b/>
              </w:rPr>
              <w:t>3</w:t>
            </w: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r>
              <w:rPr>
                <w:b/>
              </w:rPr>
              <w:t>4</w:t>
            </w:r>
          </w:p>
          <w:p w:rsidR="006B1C62" w:rsidRPr="00A43531" w:rsidRDefault="006B1C62" w:rsidP="006B1C62">
            <w:pPr>
              <w:jc w:val="center"/>
              <w:rPr>
                <w:b/>
              </w:rPr>
            </w:pPr>
          </w:p>
        </w:tc>
        <w:tc>
          <w:tcPr>
            <w:tcW w:w="3969" w:type="dxa"/>
          </w:tcPr>
          <w:p w:rsidR="00362E0A" w:rsidRPr="001E3645" w:rsidRDefault="001E3645" w:rsidP="001E3645">
            <w:pPr>
              <w:shd w:val="clear" w:color="auto" w:fill="FFFFFF"/>
              <w:ind w:firstLine="567"/>
              <w:jc w:val="both"/>
              <w:rPr>
                <w:rFonts w:eastAsia="Times New Roman"/>
                <w:b/>
                <w:sz w:val="22"/>
                <w:u w:val="single"/>
                <w:lang w:eastAsia="lv-LV"/>
              </w:rPr>
            </w:pPr>
            <w:r w:rsidRPr="001E3645">
              <w:rPr>
                <w:rFonts w:eastAsia="Times New Roman"/>
                <w:b/>
                <w:sz w:val="22"/>
                <w:u w:val="single"/>
                <w:lang w:eastAsia="lv-LV"/>
              </w:rPr>
              <w:lastRenderedPageBreak/>
              <w:t>“Saskaņa” sociāldemokrātiskās partijas frakcija</w:t>
            </w:r>
          </w:p>
          <w:p w:rsidR="001E3645" w:rsidRPr="001E3645" w:rsidRDefault="001E3645" w:rsidP="001E3645">
            <w:pPr>
              <w:ind w:firstLine="567"/>
              <w:jc w:val="both"/>
              <w:rPr>
                <w:sz w:val="22"/>
              </w:rPr>
            </w:pPr>
            <w:r w:rsidRPr="001E3645">
              <w:rPr>
                <w:sz w:val="22"/>
              </w:rPr>
              <w:t>Izteikt likumprojekta tekstu, kas attiecas uz likuma papildināšanu ar 2.</w:t>
            </w:r>
            <w:r w:rsidRPr="001E3645">
              <w:rPr>
                <w:sz w:val="22"/>
                <w:vertAlign w:val="superscript"/>
              </w:rPr>
              <w:t>2</w:t>
            </w:r>
            <w:r w:rsidRPr="001E3645">
              <w:rPr>
                <w:sz w:val="22"/>
              </w:rPr>
              <w:t xml:space="preserve"> pantu šādā redakcijā:</w:t>
            </w:r>
          </w:p>
          <w:p w:rsidR="001E3645" w:rsidRPr="001E3645" w:rsidRDefault="001E3645" w:rsidP="001E3645">
            <w:pPr>
              <w:ind w:firstLine="567"/>
              <w:jc w:val="both"/>
              <w:rPr>
                <w:sz w:val="22"/>
              </w:rPr>
            </w:pPr>
            <w:r w:rsidRPr="001E3645">
              <w:rPr>
                <w:sz w:val="22"/>
              </w:rPr>
              <w:t>““1.Papildināt likumu ar 2.</w:t>
            </w:r>
            <w:r w:rsidRPr="001E3645">
              <w:rPr>
                <w:sz w:val="22"/>
                <w:vertAlign w:val="superscript"/>
              </w:rPr>
              <w:t xml:space="preserve">2 </w:t>
            </w:r>
            <w:r w:rsidRPr="001E3645">
              <w:rPr>
                <w:sz w:val="22"/>
              </w:rPr>
              <w:t>pantu šādā redakcijā:</w:t>
            </w:r>
          </w:p>
          <w:p w:rsidR="001E3645" w:rsidRPr="001E3645" w:rsidRDefault="001E3645" w:rsidP="001E3645">
            <w:pPr>
              <w:shd w:val="clear" w:color="auto" w:fill="FFFFFF"/>
              <w:ind w:firstLine="567"/>
              <w:jc w:val="both"/>
              <w:rPr>
                <w:b/>
                <w:bCs/>
                <w:sz w:val="22"/>
              </w:rPr>
            </w:pPr>
            <w:r w:rsidRPr="001E3645">
              <w:rPr>
                <w:b/>
                <w:bCs/>
                <w:sz w:val="22"/>
              </w:rPr>
              <w:t>„2.</w:t>
            </w:r>
            <w:r w:rsidRPr="001E3645">
              <w:rPr>
                <w:b/>
                <w:bCs/>
                <w:sz w:val="22"/>
                <w:vertAlign w:val="superscript"/>
              </w:rPr>
              <w:t>2</w:t>
            </w:r>
            <w:r w:rsidRPr="001E3645">
              <w:rPr>
                <w:b/>
                <w:bCs/>
                <w:sz w:val="22"/>
              </w:rPr>
              <w:t> pants. Minimālo ienākumu sliekšņi</w:t>
            </w:r>
          </w:p>
          <w:p w:rsidR="001E3645" w:rsidRPr="001E3645" w:rsidRDefault="001E3645" w:rsidP="001E3645">
            <w:pPr>
              <w:shd w:val="clear" w:color="auto" w:fill="FFFFFF"/>
              <w:ind w:firstLine="567"/>
              <w:jc w:val="both"/>
              <w:rPr>
                <w:b/>
                <w:bCs/>
                <w:sz w:val="22"/>
              </w:rPr>
            </w:pPr>
            <w:r w:rsidRPr="001E3645">
              <w:rPr>
                <w:bCs/>
                <w:sz w:val="22"/>
              </w:rPr>
              <w:t>(1)</w:t>
            </w:r>
            <w:r w:rsidRPr="001E3645">
              <w:rPr>
                <w:b/>
                <w:bCs/>
                <w:sz w:val="22"/>
              </w:rPr>
              <w:t xml:space="preserve"> </w:t>
            </w:r>
            <w:r w:rsidRPr="001E3645">
              <w:rPr>
                <w:bCs/>
                <w:sz w:val="22"/>
              </w:rPr>
              <w:t xml:space="preserve">Minimālo ienākumu sliekšņi ir atsevišķai personai vai vienas personas mājsaimniecībā dzīvojošām personām sniegtā atbalsta apmērs sociālās aizsardzības jomā (noapaļotu līdz veseliem </w:t>
            </w:r>
            <w:proofErr w:type="spellStart"/>
            <w:r w:rsidRPr="001E3645">
              <w:rPr>
                <w:bCs/>
                <w:i/>
                <w:iCs/>
                <w:sz w:val="22"/>
              </w:rPr>
              <w:t>euro</w:t>
            </w:r>
            <w:proofErr w:type="spellEnd"/>
            <w:r w:rsidRPr="001E3645">
              <w:rPr>
                <w:bCs/>
                <w:sz w:val="22"/>
              </w:rPr>
              <w:t>), kas izteikts procentuālā apmērā no mājsaimniecību rīcībā esošās ienākumu mediānas uz vienu ekvivalento patērētāju (turpmāk – ienākumu mediāna). Minimālo ienākumu sliekšņu apmērus nosaka attiecīgos sociālos pakalpojumus reglamentējošajos normatīvajos aktos, nosakot šo sliekšņu piemērošanas kritērijus, pakalpojumu piešķiršanas un izmaksas kārtību.</w:t>
            </w:r>
          </w:p>
          <w:p w:rsidR="001E3645" w:rsidRPr="001E3645" w:rsidRDefault="001E3645" w:rsidP="001E3645">
            <w:pPr>
              <w:shd w:val="clear" w:color="auto" w:fill="FFFFFF"/>
              <w:ind w:firstLine="567"/>
              <w:jc w:val="both"/>
              <w:rPr>
                <w:b/>
                <w:bCs/>
                <w:sz w:val="22"/>
              </w:rPr>
            </w:pPr>
            <w:r w:rsidRPr="001E3645">
              <w:rPr>
                <w:bCs/>
                <w:sz w:val="22"/>
              </w:rPr>
              <w:t>(2)</w:t>
            </w:r>
            <w:r w:rsidRPr="001E3645">
              <w:rPr>
                <w:b/>
                <w:bCs/>
                <w:sz w:val="22"/>
              </w:rPr>
              <w:t xml:space="preserve"> </w:t>
            </w:r>
            <w:r w:rsidRPr="001E3645">
              <w:rPr>
                <w:bCs/>
                <w:sz w:val="22"/>
              </w:rPr>
              <w:t xml:space="preserve">Minimālo ienākumu sliekšņi nevar būt </w:t>
            </w:r>
            <w:proofErr w:type="gramStart"/>
            <w:r w:rsidRPr="001E3645">
              <w:rPr>
                <w:bCs/>
                <w:sz w:val="22"/>
              </w:rPr>
              <w:t>zemāki kā</w:t>
            </w:r>
            <w:proofErr w:type="gramEnd"/>
            <w:r w:rsidRPr="001E3645">
              <w:rPr>
                <w:bCs/>
                <w:sz w:val="22"/>
              </w:rPr>
              <w:t xml:space="preserve"> 20 procenti no ienākumu mediānas.</w:t>
            </w:r>
            <w:bookmarkStart w:id="2" w:name="_Hlk47948991"/>
          </w:p>
          <w:p w:rsidR="001E3645" w:rsidRPr="001E3645" w:rsidRDefault="001E3645" w:rsidP="001E3645">
            <w:pPr>
              <w:shd w:val="clear" w:color="auto" w:fill="FFFFFF"/>
              <w:ind w:firstLine="567"/>
              <w:jc w:val="both"/>
              <w:rPr>
                <w:b/>
                <w:bCs/>
                <w:sz w:val="22"/>
              </w:rPr>
            </w:pPr>
            <w:r w:rsidRPr="001E3645">
              <w:rPr>
                <w:bCs/>
                <w:sz w:val="22"/>
              </w:rPr>
              <w:lastRenderedPageBreak/>
              <w:t>(3)</w:t>
            </w:r>
            <w:r w:rsidRPr="001E3645">
              <w:rPr>
                <w:b/>
                <w:bCs/>
                <w:sz w:val="22"/>
              </w:rPr>
              <w:t xml:space="preserve"> </w:t>
            </w:r>
            <w:r w:rsidRPr="001E3645">
              <w:rPr>
                <w:bCs/>
                <w:sz w:val="22"/>
              </w:rPr>
              <w:t xml:space="preserve">Centrālā statistikas pārvalde ienākumu mediānas aprēķinā izmanto ekvivalences skalu, kur </w:t>
            </w:r>
            <w:bookmarkStart w:id="3" w:name="_Hlk47593495"/>
            <w:r w:rsidRPr="001E3645">
              <w:rPr>
                <w:bCs/>
                <w:sz w:val="22"/>
              </w:rPr>
              <w:t>pirmajai vai vienīgajai personai mājsaimniecībā piemēro vērtību "1" un pārējām personām – "0.7"</w:t>
            </w:r>
            <w:bookmarkEnd w:id="3"/>
            <w:r w:rsidRPr="001E3645">
              <w:rPr>
                <w:bCs/>
                <w:sz w:val="22"/>
              </w:rPr>
              <w:t xml:space="preserve">. </w:t>
            </w:r>
            <w:bookmarkEnd w:id="2"/>
          </w:p>
          <w:p w:rsidR="001E3645" w:rsidRDefault="001E3645" w:rsidP="001E3645">
            <w:pPr>
              <w:shd w:val="clear" w:color="auto" w:fill="FFFFFF"/>
              <w:ind w:firstLine="567"/>
              <w:jc w:val="both"/>
              <w:rPr>
                <w:bCs/>
                <w:sz w:val="22"/>
              </w:rPr>
            </w:pPr>
            <w:r w:rsidRPr="001E3645">
              <w:rPr>
                <w:bCs/>
                <w:sz w:val="22"/>
              </w:rPr>
              <w:t>(4)</w:t>
            </w:r>
            <w:r w:rsidRPr="001E3645">
              <w:rPr>
                <w:b/>
                <w:bCs/>
                <w:sz w:val="22"/>
              </w:rPr>
              <w:t xml:space="preserve"> </w:t>
            </w:r>
            <w:r w:rsidRPr="001E3645">
              <w:rPr>
                <w:bCs/>
                <w:sz w:val="22"/>
              </w:rPr>
              <w:t xml:space="preserve">Minimālo ienākumu sliekšņus pārskata ik gadu </w:t>
            </w:r>
            <w:proofErr w:type="gramStart"/>
            <w:r w:rsidRPr="001E3645">
              <w:rPr>
                <w:bCs/>
                <w:sz w:val="22"/>
              </w:rPr>
              <w:t>1.jūlijā</w:t>
            </w:r>
            <w:proofErr w:type="gramEnd"/>
            <w:r w:rsidRPr="001E3645">
              <w:rPr>
                <w:bCs/>
                <w:sz w:val="22"/>
              </w:rPr>
              <w:t>, pamatojoties uz Centrālās statistikas pārvaldes tīmekļa vietnē publicēto aktuālo ienākumu mediānas vērtību. Ja pārskata gadā ienākumu mediānas vērtība nemainās vai samazinās, minimālo ienākumu sliekšņi paliek iepriekš noteiktajā apmērā.””</w:t>
            </w:r>
          </w:p>
          <w:p w:rsidR="00F91C56" w:rsidRDefault="00F91C56" w:rsidP="001E3645">
            <w:pPr>
              <w:shd w:val="clear" w:color="auto" w:fill="FFFFFF"/>
              <w:ind w:firstLine="567"/>
              <w:jc w:val="both"/>
              <w:rPr>
                <w:bCs/>
                <w:sz w:val="22"/>
              </w:rPr>
            </w:pPr>
          </w:p>
          <w:p w:rsidR="00F91C56" w:rsidRPr="00F91C56" w:rsidRDefault="00F91C56" w:rsidP="00F91C56">
            <w:pPr>
              <w:ind w:firstLine="567"/>
              <w:jc w:val="both"/>
              <w:rPr>
                <w:b/>
                <w:sz w:val="22"/>
                <w:u w:val="single"/>
              </w:rPr>
            </w:pPr>
            <w:r w:rsidRPr="00F91C56">
              <w:rPr>
                <w:b/>
                <w:sz w:val="22"/>
                <w:u w:val="single"/>
              </w:rPr>
              <w:t xml:space="preserve">Deputāts </w:t>
            </w:r>
            <w:proofErr w:type="spellStart"/>
            <w:r w:rsidRPr="00F91C56">
              <w:rPr>
                <w:b/>
                <w:sz w:val="22"/>
                <w:u w:val="single"/>
              </w:rPr>
              <w:t>Vj.Dombrovskis</w:t>
            </w:r>
            <w:proofErr w:type="spellEnd"/>
          </w:p>
          <w:p w:rsidR="00F91C56" w:rsidRPr="00F91C56" w:rsidRDefault="00F91C56" w:rsidP="00F91C56">
            <w:pPr>
              <w:ind w:firstLine="567"/>
              <w:jc w:val="both"/>
              <w:rPr>
                <w:sz w:val="22"/>
              </w:rPr>
            </w:pPr>
            <w:r w:rsidRPr="00F91C56">
              <w:rPr>
                <w:sz w:val="22"/>
              </w:rPr>
              <w:t xml:space="preserve">Izteikt likumprojekta 2.prim2 pantu </w:t>
            </w:r>
            <w:proofErr w:type="spellStart"/>
            <w:r w:rsidRPr="00F91C56">
              <w:rPr>
                <w:sz w:val="22"/>
              </w:rPr>
              <w:t>šāda</w:t>
            </w:r>
            <w:proofErr w:type="spellEnd"/>
            <w:r w:rsidRPr="00F91C56">
              <w:rPr>
                <w:sz w:val="22"/>
              </w:rPr>
              <w:t>̄ redakcijā:</w:t>
            </w:r>
          </w:p>
          <w:p w:rsidR="00F91C56" w:rsidRPr="00F91C56" w:rsidRDefault="00F91C56" w:rsidP="00F91C56">
            <w:pPr>
              <w:ind w:firstLine="567"/>
              <w:jc w:val="both"/>
              <w:rPr>
                <w:sz w:val="22"/>
              </w:rPr>
            </w:pPr>
            <w:r w:rsidRPr="00F91C56">
              <w:rPr>
                <w:sz w:val="22"/>
              </w:rPr>
              <w:t xml:space="preserve">"2.2 pants. </w:t>
            </w:r>
            <w:proofErr w:type="spellStart"/>
            <w:r w:rsidRPr="00F91C56">
              <w:rPr>
                <w:sz w:val="22"/>
              </w:rPr>
              <w:t>Minimālo</w:t>
            </w:r>
            <w:proofErr w:type="spellEnd"/>
            <w:r w:rsidRPr="00F91C56">
              <w:rPr>
                <w:sz w:val="22"/>
              </w:rPr>
              <w:t xml:space="preserve"> </w:t>
            </w:r>
            <w:proofErr w:type="spellStart"/>
            <w:r w:rsidRPr="00F91C56">
              <w:rPr>
                <w:sz w:val="22"/>
              </w:rPr>
              <w:t>ienākumu</w:t>
            </w:r>
            <w:proofErr w:type="spellEnd"/>
            <w:r w:rsidRPr="00F91C56">
              <w:rPr>
                <w:sz w:val="22"/>
              </w:rPr>
              <w:t xml:space="preserve"> </w:t>
            </w:r>
            <w:proofErr w:type="spellStart"/>
            <w:r w:rsidRPr="00F91C56">
              <w:rPr>
                <w:sz w:val="22"/>
              </w:rPr>
              <w:t>sliekšņi</w:t>
            </w:r>
            <w:proofErr w:type="spellEnd"/>
          </w:p>
          <w:p w:rsidR="00F91C56" w:rsidRPr="00F91C56" w:rsidRDefault="00F91C56" w:rsidP="00F91C56">
            <w:pPr>
              <w:ind w:firstLine="567"/>
              <w:jc w:val="both"/>
              <w:rPr>
                <w:sz w:val="22"/>
              </w:rPr>
            </w:pPr>
            <w:r w:rsidRPr="00F91C56">
              <w:rPr>
                <w:sz w:val="22"/>
              </w:rPr>
              <w:t xml:space="preserve"> (1) </w:t>
            </w:r>
            <w:proofErr w:type="spellStart"/>
            <w:r w:rsidRPr="00F91C56">
              <w:rPr>
                <w:sz w:val="22"/>
              </w:rPr>
              <w:t>Minimālo</w:t>
            </w:r>
            <w:proofErr w:type="spellEnd"/>
            <w:r w:rsidRPr="00F91C56">
              <w:rPr>
                <w:sz w:val="22"/>
              </w:rPr>
              <w:t xml:space="preserve"> </w:t>
            </w:r>
            <w:proofErr w:type="spellStart"/>
            <w:r w:rsidRPr="00F91C56">
              <w:rPr>
                <w:sz w:val="22"/>
              </w:rPr>
              <w:t>ienākumu</w:t>
            </w:r>
            <w:proofErr w:type="spellEnd"/>
            <w:r w:rsidRPr="00F91C56">
              <w:rPr>
                <w:sz w:val="22"/>
              </w:rPr>
              <w:t xml:space="preserve"> </w:t>
            </w:r>
            <w:proofErr w:type="spellStart"/>
            <w:r w:rsidRPr="00F91C56">
              <w:rPr>
                <w:sz w:val="22"/>
              </w:rPr>
              <w:t>sliekšņi</w:t>
            </w:r>
            <w:proofErr w:type="spellEnd"/>
            <w:r w:rsidRPr="00F91C56">
              <w:rPr>
                <w:sz w:val="22"/>
              </w:rPr>
              <w:t xml:space="preserve"> ir </w:t>
            </w:r>
            <w:proofErr w:type="spellStart"/>
            <w:r w:rsidRPr="00F91C56">
              <w:rPr>
                <w:sz w:val="22"/>
              </w:rPr>
              <w:t>atsevišķai</w:t>
            </w:r>
            <w:proofErr w:type="spellEnd"/>
            <w:r w:rsidRPr="00F91C56">
              <w:rPr>
                <w:sz w:val="22"/>
              </w:rPr>
              <w:t xml:space="preserve"> personai vai vienas personas </w:t>
            </w:r>
            <w:proofErr w:type="spellStart"/>
            <w:r w:rsidRPr="00F91C56">
              <w:rPr>
                <w:sz w:val="22"/>
              </w:rPr>
              <w:t>mājsaimniecība</w:t>
            </w:r>
            <w:proofErr w:type="spellEnd"/>
            <w:r w:rsidRPr="00F91C56">
              <w:rPr>
                <w:sz w:val="22"/>
              </w:rPr>
              <w:t xml:space="preserve">̄ </w:t>
            </w:r>
            <w:proofErr w:type="spellStart"/>
            <w:r w:rsidRPr="00F91C56">
              <w:rPr>
                <w:sz w:val="22"/>
              </w:rPr>
              <w:t>dzīvojošai</w:t>
            </w:r>
            <w:proofErr w:type="spellEnd"/>
            <w:r w:rsidRPr="00F91C56">
              <w:rPr>
                <w:sz w:val="22"/>
              </w:rPr>
              <w:t xml:space="preserve"> personai sniegtā atbalsta </w:t>
            </w:r>
            <w:proofErr w:type="spellStart"/>
            <w:r w:rsidRPr="00F91C56">
              <w:rPr>
                <w:sz w:val="22"/>
              </w:rPr>
              <w:t>apmērs</w:t>
            </w:r>
            <w:proofErr w:type="spellEnd"/>
            <w:r w:rsidRPr="00F91C56">
              <w:rPr>
                <w:sz w:val="22"/>
              </w:rPr>
              <w:t xml:space="preserve"> </w:t>
            </w:r>
            <w:proofErr w:type="spellStart"/>
            <w:r w:rsidRPr="00F91C56">
              <w:rPr>
                <w:sz w:val="22"/>
              </w:rPr>
              <w:t>sociālās</w:t>
            </w:r>
            <w:proofErr w:type="spellEnd"/>
            <w:r w:rsidRPr="00F91C56">
              <w:rPr>
                <w:sz w:val="22"/>
              </w:rPr>
              <w:t xml:space="preserve"> </w:t>
            </w:r>
            <w:proofErr w:type="spellStart"/>
            <w:r w:rsidRPr="00F91C56">
              <w:rPr>
                <w:sz w:val="22"/>
              </w:rPr>
              <w:t>aizsardzības</w:t>
            </w:r>
            <w:proofErr w:type="spellEnd"/>
            <w:r w:rsidRPr="00F91C56">
              <w:rPr>
                <w:sz w:val="22"/>
              </w:rPr>
              <w:t xml:space="preserve"> jomā (</w:t>
            </w:r>
            <w:proofErr w:type="spellStart"/>
            <w:r w:rsidRPr="00F91C56">
              <w:rPr>
                <w:sz w:val="22"/>
              </w:rPr>
              <w:t>noapaļots</w:t>
            </w:r>
            <w:proofErr w:type="spellEnd"/>
            <w:r w:rsidRPr="00F91C56">
              <w:rPr>
                <w:sz w:val="22"/>
              </w:rPr>
              <w:t xml:space="preserve"> </w:t>
            </w:r>
            <w:proofErr w:type="spellStart"/>
            <w:r w:rsidRPr="00F91C56">
              <w:rPr>
                <w:sz w:val="22"/>
              </w:rPr>
              <w:t>līdz</w:t>
            </w:r>
            <w:proofErr w:type="spellEnd"/>
            <w:r w:rsidRPr="00F91C56">
              <w:rPr>
                <w:sz w:val="22"/>
              </w:rPr>
              <w:t xml:space="preserve"> veseliem </w:t>
            </w:r>
            <w:proofErr w:type="spellStart"/>
            <w:r w:rsidRPr="00F91C56">
              <w:rPr>
                <w:sz w:val="22"/>
              </w:rPr>
              <w:t>euro</w:t>
            </w:r>
            <w:proofErr w:type="spellEnd"/>
            <w:r w:rsidRPr="00F91C56">
              <w:rPr>
                <w:sz w:val="22"/>
              </w:rPr>
              <w:t xml:space="preserve">). </w:t>
            </w:r>
            <w:proofErr w:type="spellStart"/>
            <w:r w:rsidRPr="00F91C56">
              <w:rPr>
                <w:sz w:val="22"/>
              </w:rPr>
              <w:t>Minimālo</w:t>
            </w:r>
            <w:proofErr w:type="spellEnd"/>
            <w:r w:rsidRPr="00F91C56">
              <w:rPr>
                <w:sz w:val="22"/>
              </w:rPr>
              <w:t xml:space="preserve"> </w:t>
            </w:r>
            <w:proofErr w:type="spellStart"/>
            <w:r w:rsidRPr="00F91C56">
              <w:rPr>
                <w:sz w:val="22"/>
              </w:rPr>
              <w:t>ienākumu</w:t>
            </w:r>
            <w:proofErr w:type="spellEnd"/>
            <w:r w:rsidRPr="00F91C56">
              <w:rPr>
                <w:sz w:val="22"/>
              </w:rPr>
              <w:t xml:space="preserve"> </w:t>
            </w:r>
            <w:proofErr w:type="spellStart"/>
            <w:r w:rsidRPr="00F91C56">
              <w:rPr>
                <w:sz w:val="22"/>
              </w:rPr>
              <w:t>sliekšņu</w:t>
            </w:r>
            <w:proofErr w:type="spellEnd"/>
            <w:r w:rsidRPr="00F91C56">
              <w:rPr>
                <w:sz w:val="22"/>
              </w:rPr>
              <w:t xml:space="preserve"> </w:t>
            </w:r>
            <w:proofErr w:type="spellStart"/>
            <w:r w:rsidRPr="00F91C56">
              <w:rPr>
                <w:sz w:val="22"/>
              </w:rPr>
              <w:t>apmērus</w:t>
            </w:r>
            <w:proofErr w:type="spellEnd"/>
            <w:r w:rsidRPr="00F91C56">
              <w:rPr>
                <w:sz w:val="22"/>
              </w:rPr>
              <w:t xml:space="preserve"> nosaka </w:t>
            </w:r>
            <w:proofErr w:type="spellStart"/>
            <w:r w:rsidRPr="00F91C56">
              <w:rPr>
                <w:sz w:val="22"/>
              </w:rPr>
              <w:t>attiecīgos</w:t>
            </w:r>
            <w:proofErr w:type="spellEnd"/>
            <w:r w:rsidRPr="00F91C56">
              <w:rPr>
                <w:sz w:val="22"/>
              </w:rPr>
              <w:t xml:space="preserve"> </w:t>
            </w:r>
            <w:proofErr w:type="spellStart"/>
            <w:r w:rsidRPr="00F91C56">
              <w:rPr>
                <w:sz w:val="22"/>
              </w:rPr>
              <w:t>sociālos</w:t>
            </w:r>
            <w:proofErr w:type="spellEnd"/>
            <w:r w:rsidRPr="00F91C56">
              <w:rPr>
                <w:sz w:val="22"/>
              </w:rPr>
              <w:t xml:space="preserve"> pakalpojumus </w:t>
            </w:r>
            <w:proofErr w:type="spellStart"/>
            <w:r w:rsidRPr="00F91C56">
              <w:rPr>
                <w:sz w:val="22"/>
              </w:rPr>
              <w:t>reglamentējošajos</w:t>
            </w:r>
            <w:proofErr w:type="spellEnd"/>
            <w:r w:rsidRPr="00F91C56">
              <w:rPr>
                <w:sz w:val="22"/>
              </w:rPr>
              <w:t xml:space="preserve"> </w:t>
            </w:r>
            <w:proofErr w:type="spellStart"/>
            <w:r w:rsidRPr="00F91C56">
              <w:rPr>
                <w:sz w:val="22"/>
              </w:rPr>
              <w:t>normatīvajos</w:t>
            </w:r>
            <w:proofErr w:type="spellEnd"/>
            <w:r w:rsidRPr="00F91C56">
              <w:rPr>
                <w:sz w:val="22"/>
              </w:rPr>
              <w:t xml:space="preserve"> aktos, nosakot </w:t>
            </w:r>
            <w:proofErr w:type="spellStart"/>
            <w:r w:rsidRPr="00F91C56">
              <w:rPr>
                <w:sz w:val="22"/>
              </w:rPr>
              <w:t>šo</w:t>
            </w:r>
            <w:proofErr w:type="spellEnd"/>
            <w:r w:rsidRPr="00F91C56">
              <w:rPr>
                <w:sz w:val="22"/>
              </w:rPr>
              <w:t xml:space="preserve"> </w:t>
            </w:r>
            <w:proofErr w:type="spellStart"/>
            <w:r w:rsidRPr="00F91C56">
              <w:rPr>
                <w:sz w:val="22"/>
              </w:rPr>
              <w:t>sliekšņu</w:t>
            </w:r>
            <w:proofErr w:type="spellEnd"/>
            <w:r w:rsidRPr="00F91C56">
              <w:rPr>
                <w:sz w:val="22"/>
              </w:rPr>
              <w:t xml:space="preserve"> </w:t>
            </w:r>
            <w:proofErr w:type="spellStart"/>
            <w:r w:rsidRPr="00F91C56">
              <w:rPr>
                <w:sz w:val="22"/>
              </w:rPr>
              <w:t>piemērošanas</w:t>
            </w:r>
            <w:proofErr w:type="spellEnd"/>
            <w:r w:rsidRPr="00F91C56">
              <w:rPr>
                <w:sz w:val="22"/>
              </w:rPr>
              <w:t xml:space="preserve"> </w:t>
            </w:r>
            <w:proofErr w:type="spellStart"/>
            <w:r w:rsidRPr="00F91C56">
              <w:rPr>
                <w:sz w:val="22"/>
              </w:rPr>
              <w:t>kritērijus</w:t>
            </w:r>
            <w:proofErr w:type="spellEnd"/>
            <w:r w:rsidRPr="00F91C56">
              <w:rPr>
                <w:sz w:val="22"/>
              </w:rPr>
              <w:t xml:space="preserve">, pakalpojumu </w:t>
            </w:r>
            <w:proofErr w:type="spellStart"/>
            <w:r w:rsidRPr="00F91C56">
              <w:rPr>
                <w:sz w:val="22"/>
              </w:rPr>
              <w:t>piešķiršanas</w:t>
            </w:r>
            <w:proofErr w:type="spellEnd"/>
            <w:r w:rsidRPr="00F91C56">
              <w:rPr>
                <w:sz w:val="22"/>
              </w:rPr>
              <w:t xml:space="preserve"> un izmaksas </w:t>
            </w:r>
            <w:proofErr w:type="spellStart"/>
            <w:r w:rsidRPr="00F91C56">
              <w:rPr>
                <w:sz w:val="22"/>
              </w:rPr>
              <w:t>kārtību</w:t>
            </w:r>
            <w:proofErr w:type="spellEnd"/>
            <w:r w:rsidRPr="00F91C56">
              <w:rPr>
                <w:sz w:val="22"/>
              </w:rPr>
              <w:t>.</w:t>
            </w:r>
          </w:p>
          <w:p w:rsidR="00F91C56" w:rsidRPr="00F91C56" w:rsidRDefault="00F91C56" w:rsidP="00F91C56">
            <w:pPr>
              <w:ind w:firstLine="567"/>
              <w:jc w:val="both"/>
              <w:rPr>
                <w:sz w:val="22"/>
              </w:rPr>
            </w:pPr>
            <w:r w:rsidRPr="00F91C56">
              <w:rPr>
                <w:sz w:val="22"/>
              </w:rPr>
              <w:t xml:space="preserve">(2) Iztikas minimuma preču un pakalpojumu grozs ir preču un pakalpojumu apjoms, kas nodrošina cilvēkam sabiedrībā pieņemto minimālo iztikas līmeni. Tas ir minimālā patēriņa normatīvs, kura vērtība mainās atbilstīgi patēriņa cenu izmaiņām. Groza vērtību </w:t>
            </w:r>
            <w:r w:rsidRPr="00F91C56">
              <w:rPr>
                <w:sz w:val="22"/>
              </w:rPr>
              <w:lastRenderedPageBreak/>
              <w:t>katru mēnesi aprēķina un publicē Centrāla Statistikas Pārvalde.</w:t>
            </w:r>
          </w:p>
          <w:p w:rsidR="00F91C56" w:rsidRPr="00F91C56" w:rsidRDefault="00F91C56" w:rsidP="00F91C56">
            <w:pPr>
              <w:ind w:firstLine="567"/>
              <w:jc w:val="both"/>
              <w:rPr>
                <w:sz w:val="22"/>
              </w:rPr>
            </w:pPr>
            <w:r w:rsidRPr="00F91C56">
              <w:rPr>
                <w:sz w:val="22"/>
              </w:rPr>
              <w:t xml:space="preserve">(3) </w:t>
            </w:r>
            <w:proofErr w:type="spellStart"/>
            <w:r w:rsidRPr="00F91C56">
              <w:rPr>
                <w:sz w:val="22"/>
              </w:rPr>
              <w:t>Minimālo</w:t>
            </w:r>
            <w:proofErr w:type="spellEnd"/>
            <w:r w:rsidRPr="00F91C56">
              <w:rPr>
                <w:sz w:val="22"/>
              </w:rPr>
              <w:t xml:space="preserve"> </w:t>
            </w:r>
            <w:proofErr w:type="spellStart"/>
            <w:r w:rsidRPr="00F91C56">
              <w:rPr>
                <w:sz w:val="22"/>
              </w:rPr>
              <w:t>ienākumu</w:t>
            </w:r>
            <w:proofErr w:type="spellEnd"/>
            <w:r w:rsidRPr="00F91C56">
              <w:rPr>
                <w:sz w:val="22"/>
              </w:rPr>
              <w:t xml:space="preserve"> slieksnis nav </w:t>
            </w:r>
            <w:proofErr w:type="spellStart"/>
            <w:r w:rsidRPr="00F91C56">
              <w:rPr>
                <w:sz w:val="22"/>
              </w:rPr>
              <w:t>zemāks</w:t>
            </w:r>
            <w:proofErr w:type="spellEnd"/>
            <w:r w:rsidRPr="00F91C56">
              <w:rPr>
                <w:sz w:val="22"/>
              </w:rPr>
              <w:t xml:space="preserve"> par iztikas minimuma preču un pakalpojumu grozu.</w:t>
            </w:r>
          </w:p>
          <w:p w:rsidR="00F91C56" w:rsidRPr="00F91C56" w:rsidRDefault="00F91C56" w:rsidP="00F91C56">
            <w:pPr>
              <w:ind w:firstLine="567"/>
              <w:jc w:val="both"/>
              <w:rPr>
                <w:sz w:val="22"/>
              </w:rPr>
            </w:pPr>
            <w:r w:rsidRPr="00F91C56">
              <w:rPr>
                <w:sz w:val="22"/>
              </w:rPr>
              <w:t xml:space="preserve">(4) </w:t>
            </w:r>
            <w:proofErr w:type="spellStart"/>
            <w:r w:rsidRPr="00F91C56">
              <w:rPr>
                <w:sz w:val="22"/>
              </w:rPr>
              <w:t>Minimālo</w:t>
            </w:r>
            <w:proofErr w:type="spellEnd"/>
            <w:r w:rsidRPr="00F91C56">
              <w:rPr>
                <w:sz w:val="22"/>
              </w:rPr>
              <w:t xml:space="preserve"> </w:t>
            </w:r>
            <w:proofErr w:type="spellStart"/>
            <w:r w:rsidRPr="00F91C56">
              <w:rPr>
                <w:sz w:val="22"/>
              </w:rPr>
              <w:t>ienākumu</w:t>
            </w:r>
            <w:proofErr w:type="spellEnd"/>
            <w:r w:rsidRPr="00F91C56">
              <w:rPr>
                <w:sz w:val="22"/>
              </w:rPr>
              <w:t xml:space="preserve"> </w:t>
            </w:r>
            <w:proofErr w:type="spellStart"/>
            <w:r w:rsidRPr="00F91C56">
              <w:rPr>
                <w:sz w:val="22"/>
              </w:rPr>
              <w:t>sliekšņus</w:t>
            </w:r>
            <w:proofErr w:type="spellEnd"/>
            <w:r w:rsidRPr="00F91C56">
              <w:rPr>
                <w:sz w:val="22"/>
              </w:rPr>
              <w:t xml:space="preserve"> </w:t>
            </w:r>
            <w:proofErr w:type="spellStart"/>
            <w:r w:rsidRPr="00F91C56">
              <w:rPr>
                <w:sz w:val="22"/>
              </w:rPr>
              <w:t>pārskata</w:t>
            </w:r>
            <w:proofErr w:type="spellEnd"/>
            <w:r w:rsidRPr="00F91C56">
              <w:rPr>
                <w:sz w:val="22"/>
              </w:rPr>
              <w:t xml:space="preserve"> vienlaikus ne </w:t>
            </w:r>
            <w:proofErr w:type="spellStart"/>
            <w:r w:rsidRPr="00F91C56">
              <w:rPr>
                <w:sz w:val="22"/>
              </w:rPr>
              <w:t>retāk</w:t>
            </w:r>
            <w:proofErr w:type="spellEnd"/>
            <w:r w:rsidRPr="00F91C56">
              <w:rPr>
                <w:sz w:val="22"/>
              </w:rPr>
              <w:t xml:space="preserve"> kā reizi gadā."</w:t>
            </w:r>
          </w:p>
          <w:p w:rsidR="001E3645" w:rsidRDefault="001E3645" w:rsidP="001E3645">
            <w:pPr>
              <w:shd w:val="clear" w:color="auto" w:fill="FFFFFF"/>
              <w:ind w:firstLine="567"/>
              <w:jc w:val="both"/>
              <w:rPr>
                <w:bCs/>
                <w:sz w:val="22"/>
              </w:rPr>
            </w:pPr>
          </w:p>
          <w:p w:rsidR="006B1C62" w:rsidRDefault="006B1C62" w:rsidP="001E3645">
            <w:pPr>
              <w:shd w:val="clear" w:color="auto" w:fill="FFFFFF"/>
              <w:ind w:firstLine="567"/>
              <w:jc w:val="both"/>
              <w:rPr>
                <w:bCs/>
                <w:sz w:val="22"/>
              </w:rPr>
            </w:pPr>
          </w:p>
          <w:p w:rsidR="001E3645" w:rsidRPr="001E3645" w:rsidRDefault="001E3645" w:rsidP="001E3645">
            <w:pPr>
              <w:shd w:val="clear" w:color="auto" w:fill="FFFFFF"/>
              <w:ind w:firstLine="567"/>
              <w:jc w:val="both"/>
              <w:rPr>
                <w:b/>
                <w:bCs/>
                <w:sz w:val="22"/>
                <w:u w:val="single"/>
              </w:rPr>
            </w:pPr>
            <w:r w:rsidRPr="001E3645">
              <w:rPr>
                <w:b/>
                <w:bCs/>
                <w:sz w:val="22"/>
                <w:u w:val="single"/>
              </w:rPr>
              <w:t>Deputāti D.Reizniece-Ozola, J.Dūklavs, V.Valainis</w:t>
            </w:r>
          </w:p>
          <w:p w:rsidR="001E3645" w:rsidRPr="001E3645" w:rsidRDefault="001E3645" w:rsidP="001E3645">
            <w:pPr>
              <w:suppressAutoHyphens/>
              <w:overflowPunct w:val="0"/>
              <w:ind w:firstLine="567"/>
              <w:jc w:val="both"/>
              <w:textAlignment w:val="baseline"/>
              <w:rPr>
                <w:sz w:val="22"/>
              </w:rPr>
            </w:pPr>
            <w:r w:rsidRPr="001E3645">
              <w:rPr>
                <w:sz w:val="22"/>
              </w:rPr>
              <w:t>Likumprojektā 2.</w:t>
            </w:r>
            <w:r w:rsidRPr="001E3645">
              <w:rPr>
                <w:sz w:val="22"/>
                <w:vertAlign w:val="superscript"/>
              </w:rPr>
              <w:t>2</w:t>
            </w:r>
            <w:r w:rsidRPr="001E3645">
              <w:rPr>
                <w:sz w:val="22"/>
              </w:rPr>
              <w:t xml:space="preserve"> panta 3. daļu izteikt šādā redakcijā:</w:t>
            </w:r>
          </w:p>
          <w:p w:rsidR="001E3645" w:rsidRDefault="001E3645" w:rsidP="001E3645">
            <w:pPr>
              <w:shd w:val="clear" w:color="auto" w:fill="FFFFFF"/>
              <w:ind w:firstLine="567"/>
              <w:jc w:val="both"/>
              <w:rPr>
                <w:sz w:val="22"/>
              </w:rPr>
            </w:pPr>
            <w:r w:rsidRPr="001E3645">
              <w:rPr>
                <w:sz w:val="22"/>
              </w:rPr>
              <w:t xml:space="preserve"> (3) Minimālo ienākumu sliekšņus pārskata vienlaikus ne retāk kā reizi  </w:t>
            </w:r>
            <w:r w:rsidRPr="001E3645">
              <w:rPr>
                <w:sz w:val="22"/>
                <w:u w:val="single"/>
              </w:rPr>
              <w:t>gadā.</w:t>
            </w:r>
            <w:r w:rsidRPr="001E3645">
              <w:rPr>
                <w:sz w:val="22"/>
              </w:rPr>
              <w:t>”</w:t>
            </w:r>
            <w:r>
              <w:rPr>
                <w:rStyle w:val="FootnoteReference"/>
                <w:sz w:val="22"/>
              </w:rPr>
              <w:footnoteReference w:id="1"/>
            </w:r>
          </w:p>
          <w:p w:rsidR="006B1C62" w:rsidRDefault="006B1C62" w:rsidP="001E3645">
            <w:pPr>
              <w:shd w:val="clear" w:color="auto" w:fill="FFFFFF"/>
              <w:ind w:firstLine="567"/>
              <w:jc w:val="both"/>
              <w:rPr>
                <w:sz w:val="22"/>
              </w:rPr>
            </w:pPr>
          </w:p>
          <w:p w:rsidR="006B1C62" w:rsidRPr="001E3645" w:rsidRDefault="006B1C62" w:rsidP="001E3645">
            <w:pPr>
              <w:shd w:val="clear" w:color="auto" w:fill="FFFFFF"/>
              <w:ind w:firstLine="567"/>
              <w:jc w:val="both"/>
              <w:rPr>
                <w:b/>
                <w:bCs/>
                <w:sz w:val="22"/>
              </w:rPr>
            </w:pPr>
          </w:p>
        </w:tc>
        <w:tc>
          <w:tcPr>
            <w:tcW w:w="1417" w:type="dxa"/>
            <w:vAlign w:val="center"/>
          </w:tcPr>
          <w:p w:rsidR="00362E0A" w:rsidRDefault="00362E0A" w:rsidP="00E24989">
            <w:pPr>
              <w:jc w:val="center"/>
              <w:rPr>
                <w:b/>
              </w:rPr>
            </w:pPr>
          </w:p>
        </w:tc>
        <w:tc>
          <w:tcPr>
            <w:tcW w:w="1418" w:type="dxa"/>
            <w:vAlign w:val="center"/>
          </w:tcPr>
          <w:p w:rsidR="00362E0A" w:rsidRDefault="00362E0A" w:rsidP="00E24989">
            <w:pPr>
              <w:jc w:val="center"/>
              <w:rPr>
                <w:b/>
              </w:rPr>
            </w:pPr>
          </w:p>
        </w:tc>
      </w:tr>
      <w:tr w:rsidR="001E3645" w:rsidRPr="001B3F41" w:rsidTr="006B1C62">
        <w:tc>
          <w:tcPr>
            <w:tcW w:w="3964" w:type="dxa"/>
            <w:shd w:val="clear" w:color="auto" w:fill="auto"/>
          </w:tcPr>
          <w:p w:rsidR="001E3645" w:rsidRPr="00362E0A" w:rsidRDefault="001E3645" w:rsidP="00362E0A">
            <w:pPr>
              <w:pStyle w:val="tv213"/>
              <w:spacing w:before="0" w:beforeAutospacing="0" w:after="0" w:afterAutospacing="0"/>
              <w:ind w:firstLine="567"/>
              <w:jc w:val="both"/>
              <w:rPr>
                <w:b/>
                <w:bCs/>
                <w:sz w:val="22"/>
                <w:szCs w:val="22"/>
              </w:rPr>
            </w:pPr>
          </w:p>
        </w:tc>
        <w:tc>
          <w:tcPr>
            <w:tcW w:w="3969" w:type="dxa"/>
            <w:shd w:val="clear" w:color="auto" w:fill="auto"/>
          </w:tcPr>
          <w:p w:rsidR="001E3645" w:rsidRPr="00362E0A" w:rsidRDefault="001E3645" w:rsidP="00362E0A">
            <w:pPr>
              <w:ind w:firstLine="567"/>
              <w:jc w:val="both"/>
              <w:rPr>
                <w:rFonts w:eastAsia="Times New Roman"/>
                <w:sz w:val="22"/>
                <w:lang w:eastAsia="lv-LV"/>
              </w:rPr>
            </w:pPr>
          </w:p>
        </w:tc>
        <w:tc>
          <w:tcPr>
            <w:tcW w:w="581" w:type="dxa"/>
          </w:tcPr>
          <w:p w:rsidR="001E3645" w:rsidRDefault="006B1C62" w:rsidP="006B1C62">
            <w:pPr>
              <w:jc w:val="center"/>
              <w:rPr>
                <w:b/>
              </w:rPr>
            </w:pPr>
            <w:r>
              <w:rPr>
                <w:b/>
              </w:rPr>
              <w:t>5</w:t>
            </w: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Default="006B1C62" w:rsidP="006B1C62">
            <w:pPr>
              <w:jc w:val="center"/>
              <w:rPr>
                <w:b/>
              </w:rPr>
            </w:pPr>
          </w:p>
          <w:p w:rsidR="006B1C62" w:rsidRPr="00A43531" w:rsidRDefault="006B1C62" w:rsidP="006B1C62">
            <w:pPr>
              <w:jc w:val="center"/>
              <w:rPr>
                <w:b/>
              </w:rPr>
            </w:pPr>
            <w:r>
              <w:rPr>
                <w:b/>
              </w:rPr>
              <w:lastRenderedPageBreak/>
              <w:t>6</w:t>
            </w:r>
          </w:p>
        </w:tc>
        <w:tc>
          <w:tcPr>
            <w:tcW w:w="3969" w:type="dxa"/>
          </w:tcPr>
          <w:p w:rsidR="00F91C56" w:rsidRPr="00F91C56" w:rsidRDefault="00F91C56" w:rsidP="00F91C56">
            <w:pPr>
              <w:ind w:firstLine="567"/>
              <w:jc w:val="both"/>
              <w:rPr>
                <w:b/>
                <w:sz w:val="22"/>
                <w:u w:val="single"/>
              </w:rPr>
            </w:pPr>
            <w:r w:rsidRPr="00F91C56">
              <w:rPr>
                <w:b/>
                <w:sz w:val="22"/>
                <w:u w:val="single"/>
              </w:rPr>
              <w:lastRenderedPageBreak/>
              <w:t xml:space="preserve">Deputāts </w:t>
            </w:r>
            <w:proofErr w:type="spellStart"/>
            <w:r w:rsidRPr="00F91C56">
              <w:rPr>
                <w:b/>
                <w:sz w:val="22"/>
                <w:u w:val="single"/>
              </w:rPr>
              <w:t>Vj.Dombrovskis</w:t>
            </w:r>
            <w:proofErr w:type="spellEnd"/>
          </w:p>
          <w:p w:rsidR="00F91C56" w:rsidRPr="00F91C56" w:rsidRDefault="00F91C56" w:rsidP="00F91C56">
            <w:pPr>
              <w:ind w:firstLine="567"/>
              <w:jc w:val="both"/>
              <w:rPr>
                <w:sz w:val="22"/>
              </w:rPr>
            </w:pPr>
            <w:r w:rsidRPr="00F91C56">
              <w:rPr>
                <w:sz w:val="22"/>
              </w:rPr>
              <w:t>Papildināt likumu ar Pārejas noteikumiem šādā redakcijā:</w:t>
            </w:r>
          </w:p>
          <w:p w:rsidR="00F91C56" w:rsidRPr="00F91C56" w:rsidRDefault="00F91C56" w:rsidP="00F91C56">
            <w:pPr>
              <w:ind w:firstLine="567"/>
              <w:jc w:val="both"/>
              <w:rPr>
                <w:sz w:val="22"/>
              </w:rPr>
            </w:pPr>
            <w:r w:rsidRPr="00F91C56">
              <w:rPr>
                <w:sz w:val="22"/>
              </w:rPr>
              <w:t>“Pārejas noteikumi:</w:t>
            </w:r>
          </w:p>
          <w:p w:rsidR="00F91C56" w:rsidRPr="00F91C56" w:rsidRDefault="00F91C56" w:rsidP="00F91C56">
            <w:pPr>
              <w:ind w:firstLine="567"/>
              <w:jc w:val="both"/>
              <w:rPr>
                <w:sz w:val="22"/>
              </w:rPr>
            </w:pPr>
            <w:r w:rsidRPr="00F91C56">
              <w:rPr>
                <w:sz w:val="22"/>
              </w:rPr>
              <w:t>1.</w:t>
            </w:r>
            <w:r w:rsidRPr="00F91C56">
              <w:rPr>
                <w:sz w:val="22"/>
              </w:rPr>
              <w:tab/>
              <w:t>Līdz 2021. gada 31. decembrim Centrāla Statistikas Pārvalde definē un aprēķina šī likuma 2.2 pantā minēto Iztikas minimuma preču un pakalpojumu grozu.</w:t>
            </w:r>
          </w:p>
          <w:p w:rsidR="00F91C56" w:rsidRDefault="00F91C56" w:rsidP="00F91C56">
            <w:pPr>
              <w:ind w:firstLine="567"/>
              <w:jc w:val="both"/>
              <w:rPr>
                <w:sz w:val="22"/>
              </w:rPr>
            </w:pPr>
            <w:r w:rsidRPr="00F91C56">
              <w:rPr>
                <w:sz w:val="22"/>
              </w:rPr>
              <w:t>2.</w:t>
            </w:r>
            <w:r w:rsidRPr="00F91C56">
              <w:rPr>
                <w:sz w:val="22"/>
              </w:rPr>
              <w:tab/>
              <w:t xml:space="preserve">Līdz 2021. gada 31. decembrim </w:t>
            </w:r>
            <w:proofErr w:type="spellStart"/>
            <w:r w:rsidRPr="00F91C56">
              <w:rPr>
                <w:sz w:val="22"/>
              </w:rPr>
              <w:t>minimālo</w:t>
            </w:r>
            <w:proofErr w:type="spellEnd"/>
            <w:r w:rsidRPr="00F91C56">
              <w:rPr>
                <w:sz w:val="22"/>
              </w:rPr>
              <w:t xml:space="preserve"> </w:t>
            </w:r>
            <w:proofErr w:type="spellStart"/>
            <w:r w:rsidRPr="00F91C56">
              <w:rPr>
                <w:sz w:val="22"/>
              </w:rPr>
              <w:t>ienākumu</w:t>
            </w:r>
            <w:proofErr w:type="spellEnd"/>
            <w:r w:rsidRPr="00F91C56">
              <w:rPr>
                <w:sz w:val="22"/>
              </w:rPr>
              <w:t xml:space="preserve"> slieksnis nav </w:t>
            </w:r>
            <w:proofErr w:type="spellStart"/>
            <w:r w:rsidRPr="00F91C56">
              <w:rPr>
                <w:sz w:val="22"/>
              </w:rPr>
              <w:t>zemāks</w:t>
            </w:r>
            <w:proofErr w:type="spellEnd"/>
            <w:r w:rsidRPr="00F91C56">
              <w:rPr>
                <w:sz w:val="22"/>
              </w:rPr>
              <w:t xml:space="preserve"> par 109 </w:t>
            </w:r>
            <w:proofErr w:type="spellStart"/>
            <w:r w:rsidRPr="00F91C56">
              <w:rPr>
                <w:sz w:val="22"/>
              </w:rPr>
              <w:t>euro</w:t>
            </w:r>
            <w:proofErr w:type="spellEnd"/>
            <w:r w:rsidRPr="00F91C56">
              <w:rPr>
                <w:sz w:val="22"/>
              </w:rPr>
              <w:t>.”</w:t>
            </w:r>
          </w:p>
          <w:p w:rsidR="00F91C56" w:rsidRDefault="00F91C56" w:rsidP="00F91C56">
            <w:pPr>
              <w:ind w:firstLine="567"/>
              <w:jc w:val="both"/>
              <w:rPr>
                <w:sz w:val="22"/>
              </w:rPr>
            </w:pPr>
          </w:p>
          <w:p w:rsidR="006B1C62" w:rsidRDefault="006B1C62" w:rsidP="00F91C56">
            <w:pPr>
              <w:ind w:firstLine="567"/>
              <w:jc w:val="both"/>
              <w:rPr>
                <w:sz w:val="22"/>
              </w:rPr>
            </w:pPr>
          </w:p>
          <w:p w:rsidR="006B1C62" w:rsidRPr="00F91C56" w:rsidRDefault="006B1C62" w:rsidP="00F91C56">
            <w:pPr>
              <w:ind w:firstLine="567"/>
              <w:jc w:val="both"/>
              <w:rPr>
                <w:sz w:val="22"/>
              </w:rPr>
            </w:pPr>
          </w:p>
          <w:p w:rsidR="001E3645" w:rsidRDefault="00F91C56" w:rsidP="00F91C56">
            <w:pPr>
              <w:shd w:val="clear" w:color="auto" w:fill="FFFFFF"/>
              <w:ind w:firstLine="567"/>
              <w:jc w:val="both"/>
              <w:rPr>
                <w:rFonts w:eastAsia="Times New Roman"/>
                <w:b/>
                <w:sz w:val="22"/>
                <w:u w:val="single"/>
                <w:lang w:eastAsia="lv-LV"/>
              </w:rPr>
            </w:pPr>
            <w:r w:rsidRPr="001E3645">
              <w:rPr>
                <w:rFonts w:eastAsia="Times New Roman"/>
                <w:b/>
                <w:sz w:val="22"/>
                <w:u w:val="single"/>
                <w:lang w:eastAsia="lv-LV"/>
              </w:rPr>
              <w:lastRenderedPageBreak/>
              <w:t xml:space="preserve"> </w:t>
            </w:r>
            <w:r w:rsidR="001E3645" w:rsidRPr="001E3645">
              <w:rPr>
                <w:rFonts w:eastAsia="Times New Roman"/>
                <w:b/>
                <w:sz w:val="22"/>
                <w:u w:val="single"/>
                <w:lang w:eastAsia="lv-LV"/>
              </w:rPr>
              <w:t>“Saskaņa” sociāldemokrātiskās partijas frakcija</w:t>
            </w:r>
          </w:p>
          <w:p w:rsidR="001E3645" w:rsidRPr="001E3645" w:rsidRDefault="001E3645" w:rsidP="001E3645">
            <w:pPr>
              <w:shd w:val="clear" w:color="auto" w:fill="FFFFFF"/>
              <w:ind w:firstLine="567"/>
              <w:jc w:val="both"/>
              <w:rPr>
                <w:bCs/>
                <w:sz w:val="22"/>
              </w:rPr>
            </w:pPr>
            <w:r w:rsidRPr="001E3645">
              <w:rPr>
                <w:bCs/>
                <w:sz w:val="22"/>
              </w:rPr>
              <w:t xml:space="preserve">Papildināt likumprojektu ar </w:t>
            </w:r>
            <w:proofErr w:type="gramStart"/>
            <w:r w:rsidRPr="001E3645">
              <w:rPr>
                <w:bCs/>
                <w:sz w:val="22"/>
              </w:rPr>
              <w:t>2.pantu</w:t>
            </w:r>
            <w:proofErr w:type="gramEnd"/>
            <w:r w:rsidRPr="001E3645">
              <w:rPr>
                <w:bCs/>
                <w:sz w:val="22"/>
              </w:rPr>
              <w:t xml:space="preserve"> šādā redakcijā:</w:t>
            </w:r>
          </w:p>
          <w:p w:rsidR="001E3645" w:rsidRPr="001E3645" w:rsidRDefault="001E3645" w:rsidP="001E3645">
            <w:pPr>
              <w:ind w:firstLine="567"/>
              <w:jc w:val="both"/>
              <w:rPr>
                <w:sz w:val="22"/>
              </w:rPr>
            </w:pPr>
            <w:r w:rsidRPr="001E3645">
              <w:rPr>
                <w:sz w:val="22"/>
              </w:rPr>
              <w:t>“2. Papildināt likumu ar pārejas noteikumu šādā redakcijā:</w:t>
            </w:r>
          </w:p>
          <w:p w:rsidR="001E3645" w:rsidRPr="001E3645" w:rsidRDefault="001E3645" w:rsidP="001E3645">
            <w:pPr>
              <w:ind w:firstLine="567"/>
              <w:jc w:val="both"/>
              <w:rPr>
                <w:b/>
                <w:sz w:val="22"/>
              </w:rPr>
            </w:pPr>
            <w:r w:rsidRPr="001E3645">
              <w:rPr>
                <w:sz w:val="22"/>
              </w:rPr>
              <w:t>„</w:t>
            </w:r>
            <w:r w:rsidRPr="001E3645">
              <w:rPr>
                <w:b/>
                <w:sz w:val="22"/>
              </w:rPr>
              <w:t>Pārejas noteikums</w:t>
            </w:r>
          </w:p>
          <w:p w:rsidR="00F91C56" w:rsidRPr="00F91C56" w:rsidRDefault="001E3645" w:rsidP="00F91C56">
            <w:pPr>
              <w:pStyle w:val="ListParagraph"/>
              <w:ind w:left="0" w:firstLine="567"/>
              <w:jc w:val="both"/>
              <w:rPr>
                <w:bCs/>
                <w:sz w:val="22"/>
                <w:szCs w:val="22"/>
              </w:rPr>
            </w:pPr>
            <w:r w:rsidRPr="001E3645">
              <w:rPr>
                <w:sz w:val="22"/>
                <w:szCs w:val="22"/>
              </w:rPr>
              <w:t>Šā likuma 2.</w:t>
            </w:r>
            <w:r w:rsidRPr="001E3645">
              <w:rPr>
                <w:sz w:val="22"/>
                <w:szCs w:val="22"/>
                <w:vertAlign w:val="superscript"/>
              </w:rPr>
              <w:t xml:space="preserve">2 </w:t>
            </w:r>
            <w:r w:rsidRPr="001E3645">
              <w:rPr>
                <w:sz w:val="22"/>
                <w:szCs w:val="22"/>
              </w:rPr>
              <w:t xml:space="preserve">panta ceturtā daļa stājas spēkā </w:t>
            </w:r>
            <w:proofErr w:type="gramStart"/>
            <w:r w:rsidRPr="001E3645">
              <w:rPr>
                <w:sz w:val="22"/>
                <w:szCs w:val="22"/>
              </w:rPr>
              <w:t>2022.gada</w:t>
            </w:r>
            <w:proofErr w:type="gramEnd"/>
            <w:r w:rsidRPr="001E3645">
              <w:rPr>
                <w:sz w:val="22"/>
                <w:szCs w:val="22"/>
              </w:rPr>
              <w:t xml:space="preserve"> 1.janvārī</w:t>
            </w:r>
            <w:r w:rsidRPr="001E3645">
              <w:rPr>
                <w:bCs/>
                <w:sz w:val="22"/>
                <w:szCs w:val="22"/>
              </w:rPr>
              <w:t>.””</w:t>
            </w:r>
          </w:p>
        </w:tc>
        <w:tc>
          <w:tcPr>
            <w:tcW w:w="1417" w:type="dxa"/>
            <w:vAlign w:val="center"/>
          </w:tcPr>
          <w:p w:rsidR="001E3645" w:rsidRDefault="001E3645" w:rsidP="00E24989">
            <w:pPr>
              <w:jc w:val="center"/>
              <w:rPr>
                <w:b/>
              </w:rPr>
            </w:pPr>
          </w:p>
        </w:tc>
        <w:tc>
          <w:tcPr>
            <w:tcW w:w="1418" w:type="dxa"/>
            <w:vAlign w:val="center"/>
          </w:tcPr>
          <w:p w:rsidR="001E3645" w:rsidRDefault="001E3645" w:rsidP="00E24989">
            <w:pPr>
              <w:jc w:val="center"/>
              <w:rPr>
                <w:b/>
              </w:rPr>
            </w:pPr>
          </w:p>
        </w:tc>
      </w:tr>
      <w:tr w:rsidR="00362E0A" w:rsidRPr="001B3F41" w:rsidTr="00362E0A">
        <w:tc>
          <w:tcPr>
            <w:tcW w:w="3964" w:type="dxa"/>
            <w:shd w:val="clear" w:color="auto" w:fill="auto"/>
          </w:tcPr>
          <w:p w:rsidR="00362E0A" w:rsidRPr="005B2F62" w:rsidRDefault="00362E0A" w:rsidP="00E24989">
            <w:pPr>
              <w:pStyle w:val="tv213"/>
              <w:spacing w:before="0" w:beforeAutospacing="0" w:after="0" w:afterAutospacing="0"/>
              <w:ind w:firstLine="567"/>
              <w:jc w:val="both"/>
              <w:rPr>
                <w:b/>
                <w:sz w:val="22"/>
                <w:szCs w:val="22"/>
              </w:rPr>
            </w:pPr>
          </w:p>
        </w:tc>
        <w:tc>
          <w:tcPr>
            <w:tcW w:w="3969" w:type="dxa"/>
            <w:shd w:val="clear" w:color="auto" w:fill="auto"/>
            <w:vAlign w:val="center"/>
          </w:tcPr>
          <w:p w:rsidR="00362E0A" w:rsidRPr="00362E0A" w:rsidRDefault="00362E0A" w:rsidP="00362E0A">
            <w:pPr>
              <w:ind w:firstLine="567"/>
              <w:jc w:val="both"/>
              <w:rPr>
                <w:rFonts w:eastAsia="Times New Roman"/>
                <w:sz w:val="22"/>
                <w:lang w:eastAsia="lv-LV"/>
              </w:rPr>
            </w:pPr>
            <w:r w:rsidRPr="00362E0A">
              <w:rPr>
                <w:rFonts w:eastAsia="Times New Roman"/>
                <w:sz w:val="22"/>
                <w:lang w:eastAsia="lv-LV"/>
              </w:rPr>
              <w:t> Likums stājas spēkā 2021. gada 1. janvārī.</w:t>
            </w:r>
          </w:p>
        </w:tc>
        <w:tc>
          <w:tcPr>
            <w:tcW w:w="581" w:type="dxa"/>
            <w:vAlign w:val="center"/>
          </w:tcPr>
          <w:p w:rsidR="00362E0A" w:rsidRPr="00A43531" w:rsidRDefault="00362E0A" w:rsidP="00E24989">
            <w:pPr>
              <w:jc w:val="center"/>
              <w:rPr>
                <w:b/>
              </w:rPr>
            </w:pPr>
          </w:p>
        </w:tc>
        <w:tc>
          <w:tcPr>
            <w:tcW w:w="3969" w:type="dxa"/>
            <w:vAlign w:val="center"/>
          </w:tcPr>
          <w:p w:rsidR="00362E0A" w:rsidRDefault="00362E0A" w:rsidP="00E24989">
            <w:pPr>
              <w:jc w:val="center"/>
              <w:rPr>
                <w:b/>
              </w:rPr>
            </w:pPr>
          </w:p>
        </w:tc>
        <w:tc>
          <w:tcPr>
            <w:tcW w:w="1417" w:type="dxa"/>
            <w:vAlign w:val="center"/>
          </w:tcPr>
          <w:p w:rsidR="00362E0A" w:rsidRDefault="00362E0A" w:rsidP="00E24989">
            <w:pPr>
              <w:jc w:val="center"/>
              <w:rPr>
                <w:b/>
              </w:rPr>
            </w:pPr>
          </w:p>
        </w:tc>
        <w:tc>
          <w:tcPr>
            <w:tcW w:w="1418" w:type="dxa"/>
            <w:vAlign w:val="center"/>
          </w:tcPr>
          <w:p w:rsidR="00362E0A" w:rsidRDefault="00362E0A" w:rsidP="00E24989">
            <w:pPr>
              <w:jc w:val="center"/>
              <w:rPr>
                <w:b/>
              </w:rPr>
            </w:pPr>
          </w:p>
        </w:tc>
      </w:tr>
    </w:tbl>
    <w:p w:rsidR="00362E0A" w:rsidRDefault="00362E0A" w:rsidP="00362E0A"/>
    <w:p w:rsidR="00362E0A" w:rsidRDefault="00362E0A" w:rsidP="00362E0A"/>
    <w:sectPr w:rsidR="00362E0A" w:rsidSect="00495B31">
      <w:footerReference w:type="even" r:id="rId8"/>
      <w:footerReference w:type="defaul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5D" w:rsidRDefault="003E0B20">
      <w:r>
        <w:separator/>
      </w:r>
    </w:p>
  </w:endnote>
  <w:endnote w:type="continuationSeparator" w:id="0">
    <w:p w:rsidR="00D75F5D" w:rsidRDefault="003E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62E0A"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6B1C62"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62E0A"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C62">
      <w:rPr>
        <w:rStyle w:val="PageNumber"/>
        <w:noProof/>
      </w:rPr>
      <w:t>10</w:t>
    </w:r>
    <w:r>
      <w:rPr>
        <w:rStyle w:val="PageNumber"/>
      </w:rPr>
      <w:fldChar w:fldCharType="end"/>
    </w:r>
  </w:p>
  <w:p w:rsidR="00511D34" w:rsidRDefault="006B1C62"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5D" w:rsidRDefault="003E0B20">
      <w:r>
        <w:separator/>
      </w:r>
    </w:p>
  </w:footnote>
  <w:footnote w:type="continuationSeparator" w:id="0">
    <w:p w:rsidR="00D75F5D" w:rsidRDefault="003E0B20">
      <w:r>
        <w:continuationSeparator/>
      </w:r>
    </w:p>
  </w:footnote>
  <w:footnote w:id="1">
    <w:p w:rsidR="001E3645" w:rsidRPr="001E3645" w:rsidRDefault="001E3645" w:rsidP="001E3645">
      <w:pPr>
        <w:suppressAutoHyphens/>
        <w:overflowPunct w:val="0"/>
        <w:jc w:val="both"/>
        <w:textAlignment w:val="baseline"/>
        <w:rPr>
          <w:i/>
          <w:iCs/>
          <w:sz w:val="20"/>
          <w:szCs w:val="20"/>
        </w:rPr>
      </w:pPr>
      <w:r w:rsidRPr="001E3645">
        <w:rPr>
          <w:rStyle w:val="FootnoteReference"/>
          <w:sz w:val="20"/>
          <w:szCs w:val="20"/>
        </w:rPr>
        <w:footnoteRef/>
      </w:r>
      <w:r w:rsidRPr="001E3645">
        <w:rPr>
          <w:sz w:val="20"/>
          <w:szCs w:val="20"/>
        </w:rPr>
        <w:t xml:space="preserve"> </w:t>
      </w:r>
      <w:r w:rsidRPr="001E3645">
        <w:rPr>
          <w:i/>
          <w:iCs/>
          <w:sz w:val="20"/>
          <w:szCs w:val="20"/>
        </w:rPr>
        <w:t>Pamatojums:</w:t>
      </w:r>
    </w:p>
    <w:p w:rsidR="001E3645" w:rsidRPr="001E3645" w:rsidRDefault="001E3645" w:rsidP="001E3645">
      <w:pPr>
        <w:suppressAutoHyphens/>
        <w:overflowPunct w:val="0"/>
        <w:jc w:val="both"/>
        <w:textAlignment w:val="baseline"/>
        <w:rPr>
          <w:i/>
          <w:iCs/>
          <w:color w:val="000000"/>
          <w:sz w:val="20"/>
          <w:szCs w:val="20"/>
          <w:shd w:val="clear" w:color="auto" w:fill="FFFFFF"/>
        </w:rPr>
      </w:pPr>
      <w:r w:rsidRPr="001E3645">
        <w:rPr>
          <w:i/>
          <w:iCs/>
          <w:sz w:val="20"/>
          <w:szCs w:val="20"/>
        </w:rPr>
        <w:t>Situācijā, kad visas valsts pārvaldes atalgojumu pārskata reizi gadā, nav pieļaujami minimālos ienākumu sliekšņus pārskatīt tikai reizi trīs gados.</w:t>
      </w:r>
    </w:p>
    <w:p w:rsidR="001E3645" w:rsidRDefault="001E36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55E"/>
    <w:multiLevelType w:val="hybridMultilevel"/>
    <w:tmpl w:val="91A03FA4"/>
    <w:lvl w:ilvl="0" w:tplc="1F601840">
      <w:start w:val="1"/>
      <w:numFmt w:val="decimal"/>
      <w:lvlText w:val="(%1)"/>
      <w:lvlJc w:val="left"/>
      <w:pPr>
        <w:ind w:left="870" w:hanging="57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0A"/>
    <w:rsid w:val="001E3645"/>
    <w:rsid w:val="00362E0A"/>
    <w:rsid w:val="003E0B20"/>
    <w:rsid w:val="005D4711"/>
    <w:rsid w:val="005E6849"/>
    <w:rsid w:val="006B1C62"/>
    <w:rsid w:val="00D75F5D"/>
    <w:rsid w:val="00F9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9829"/>
  <w15:chartTrackingRefBased/>
  <w15:docId w15:val="{F3D2E4BC-8B03-49EB-A5C5-A6BBD49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0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62E0A"/>
    <w:rPr>
      <w:i/>
      <w:iCs/>
    </w:rPr>
  </w:style>
  <w:style w:type="paragraph" w:styleId="Footer">
    <w:name w:val="footer"/>
    <w:basedOn w:val="Normal"/>
    <w:link w:val="FooterChar"/>
    <w:rsid w:val="00362E0A"/>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62E0A"/>
    <w:rPr>
      <w:rFonts w:eastAsia="Times New Roman" w:cs="Times New Roman"/>
      <w:szCs w:val="24"/>
      <w:lang w:val="en-GB"/>
    </w:rPr>
  </w:style>
  <w:style w:type="character" w:styleId="PageNumber">
    <w:name w:val="page number"/>
    <w:rsid w:val="00362E0A"/>
  </w:style>
  <w:style w:type="paragraph" w:customStyle="1" w:styleId="tv213">
    <w:name w:val="tv213"/>
    <w:basedOn w:val="Normal"/>
    <w:rsid w:val="00362E0A"/>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1E3645"/>
    <w:pPr>
      <w:ind w:left="720"/>
      <w:contextualSpacing/>
    </w:pPr>
    <w:rPr>
      <w:rFonts w:eastAsia="Times New Roman"/>
      <w:szCs w:val="24"/>
      <w:lang w:eastAsia="lv-LV"/>
    </w:rPr>
  </w:style>
  <w:style w:type="paragraph" w:styleId="FootnoteText">
    <w:name w:val="footnote text"/>
    <w:basedOn w:val="Normal"/>
    <w:link w:val="FootnoteTextChar"/>
    <w:uiPriority w:val="99"/>
    <w:semiHidden/>
    <w:unhideWhenUsed/>
    <w:rsid w:val="001E3645"/>
    <w:rPr>
      <w:sz w:val="20"/>
      <w:szCs w:val="20"/>
    </w:rPr>
  </w:style>
  <w:style w:type="character" w:customStyle="1" w:styleId="FootnoteTextChar">
    <w:name w:val="Footnote Text Char"/>
    <w:basedOn w:val="DefaultParagraphFont"/>
    <w:link w:val="FootnoteText"/>
    <w:uiPriority w:val="99"/>
    <w:semiHidden/>
    <w:rsid w:val="001E3645"/>
    <w:rPr>
      <w:rFonts w:eastAsia="Calibri" w:cs="Times New Roman"/>
      <w:sz w:val="20"/>
      <w:szCs w:val="20"/>
    </w:rPr>
  </w:style>
  <w:style w:type="character" w:styleId="FootnoteReference">
    <w:name w:val="footnote reference"/>
    <w:basedOn w:val="DefaultParagraphFont"/>
    <w:uiPriority w:val="99"/>
    <w:semiHidden/>
    <w:unhideWhenUsed/>
    <w:rsid w:val="001E3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1778">
      <w:bodyDiv w:val="1"/>
      <w:marLeft w:val="0"/>
      <w:marRight w:val="0"/>
      <w:marTop w:val="0"/>
      <w:marBottom w:val="0"/>
      <w:divBdr>
        <w:top w:val="none" w:sz="0" w:space="0" w:color="auto"/>
        <w:left w:val="none" w:sz="0" w:space="0" w:color="auto"/>
        <w:bottom w:val="none" w:sz="0" w:space="0" w:color="auto"/>
        <w:right w:val="none" w:sz="0" w:space="0" w:color="auto"/>
      </w:divBdr>
    </w:div>
    <w:div w:id="18145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1894-94AC-4B86-A622-36AD3908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9454</Words>
  <Characters>5390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5</cp:revision>
  <dcterms:created xsi:type="dcterms:W3CDTF">2020-10-15T10:30:00Z</dcterms:created>
  <dcterms:modified xsi:type="dcterms:W3CDTF">2020-10-30T12:46:00Z</dcterms:modified>
</cp:coreProperties>
</file>