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DB3" w:rsidRPr="007E212E" w:rsidRDefault="00F34DB3" w:rsidP="00F34DB3">
      <w:pPr>
        <w:rPr>
          <w:b/>
          <w:i/>
          <w:sz w:val="22"/>
        </w:rPr>
      </w:pPr>
      <w:r w:rsidRPr="007E212E">
        <w:rPr>
          <w:sz w:val="26"/>
          <w:szCs w:val="26"/>
        </w:rPr>
        <w:t xml:space="preserve">Budžeta un finanšu (nodokļu) komisija </w:t>
      </w:r>
    </w:p>
    <w:p w:rsidR="00F34DB3" w:rsidRPr="007E212E" w:rsidRDefault="00F34DB3" w:rsidP="00F34DB3">
      <w:pPr>
        <w:jc w:val="right"/>
        <w:rPr>
          <w:sz w:val="26"/>
          <w:szCs w:val="26"/>
        </w:rPr>
      </w:pPr>
      <w:r w:rsidRPr="007E212E">
        <w:rPr>
          <w:sz w:val="26"/>
          <w:szCs w:val="26"/>
        </w:rPr>
        <w:t xml:space="preserve">Likumprojekts </w:t>
      </w:r>
      <w:proofErr w:type="gramStart"/>
      <w:r w:rsidRPr="007E212E">
        <w:rPr>
          <w:sz w:val="26"/>
          <w:szCs w:val="26"/>
        </w:rPr>
        <w:t>(steidzams) otrajam lasījumam</w:t>
      </w:r>
      <w:proofErr w:type="gramEnd"/>
    </w:p>
    <w:p w:rsidR="00F34DB3" w:rsidRPr="007E212E" w:rsidRDefault="00F34DB3" w:rsidP="00F34DB3">
      <w:pPr>
        <w:jc w:val="right"/>
        <w:rPr>
          <w:sz w:val="26"/>
          <w:szCs w:val="26"/>
        </w:rPr>
      </w:pPr>
    </w:p>
    <w:p w:rsidR="00F34DB3" w:rsidRDefault="00F34DB3" w:rsidP="00F34DB3">
      <w:pPr>
        <w:jc w:val="center"/>
        <w:rPr>
          <w:rStyle w:val="Hyperlink"/>
          <w:b/>
          <w:sz w:val="28"/>
          <w:szCs w:val="28"/>
        </w:rPr>
      </w:pPr>
      <w:r>
        <w:rPr>
          <w:rFonts w:eastAsiaTheme="minorHAnsi"/>
          <w:b/>
          <w:sz w:val="28"/>
          <w:szCs w:val="28"/>
        </w:rPr>
        <w:t>Grozījumi likumā "</w:t>
      </w:r>
      <w:r w:rsidRPr="00F34DB3">
        <w:rPr>
          <w:rFonts w:eastAsiaTheme="minorHAnsi"/>
          <w:b/>
          <w:sz w:val="28"/>
          <w:szCs w:val="28"/>
        </w:rPr>
        <w:t>Par obligāto sociālo apdrošināšanu pret nelaimes gadījumiem darbā un arodslimībām</w:t>
      </w:r>
      <w:r>
        <w:rPr>
          <w:rFonts w:eastAsiaTheme="minorHAnsi"/>
          <w:b/>
          <w:sz w:val="28"/>
          <w:szCs w:val="28"/>
        </w:rPr>
        <w:t>"</w:t>
      </w:r>
      <w:r w:rsidRPr="007E212E">
        <w:rPr>
          <w:rStyle w:val="Hyperlink"/>
          <w:b/>
          <w:sz w:val="28"/>
          <w:szCs w:val="28"/>
        </w:rPr>
        <w:t xml:space="preserve"> </w:t>
      </w:r>
    </w:p>
    <w:p w:rsidR="00F34DB3" w:rsidRPr="007E212E" w:rsidRDefault="00F34DB3" w:rsidP="00F34DB3">
      <w:pPr>
        <w:jc w:val="center"/>
        <w:rPr>
          <w:rStyle w:val="Emphasis"/>
          <w:b/>
          <w:sz w:val="28"/>
          <w:szCs w:val="28"/>
        </w:rPr>
      </w:pPr>
      <w:r w:rsidRPr="007E212E">
        <w:rPr>
          <w:rStyle w:val="Emphasis"/>
          <w:b/>
          <w:sz w:val="28"/>
          <w:szCs w:val="28"/>
        </w:rPr>
        <w:t>(Nr. 82</w:t>
      </w:r>
      <w:r>
        <w:rPr>
          <w:rStyle w:val="Emphasis"/>
          <w:b/>
          <w:sz w:val="28"/>
          <w:szCs w:val="28"/>
        </w:rPr>
        <w:t>2</w:t>
      </w:r>
      <w:r w:rsidRPr="007E212E">
        <w:rPr>
          <w:rStyle w:val="Emphasis"/>
          <w:b/>
          <w:sz w:val="28"/>
          <w:szCs w:val="28"/>
        </w:rPr>
        <w:t xml:space="preserve">/Lp13) </w:t>
      </w:r>
    </w:p>
    <w:p w:rsidR="00F34DB3" w:rsidRPr="007E212E" w:rsidRDefault="00F34DB3" w:rsidP="00F34DB3">
      <w:pPr>
        <w:jc w:val="center"/>
        <w:rPr>
          <w:rStyle w:val="Emphasis"/>
          <w:b/>
          <w:sz w:val="26"/>
          <w:szCs w:val="26"/>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F34DB3" w:rsidRPr="007E212E" w:rsidTr="007643C4">
        <w:tc>
          <w:tcPr>
            <w:tcW w:w="3964" w:type="dxa"/>
            <w:shd w:val="clear" w:color="auto" w:fill="auto"/>
            <w:vAlign w:val="center"/>
          </w:tcPr>
          <w:p w:rsidR="00F34DB3" w:rsidRPr="007E212E" w:rsidRDefault="00F34DB3" w:rsidP="007643C4">
            <w:pPr>
              <w:jc w:val="center"/>
              <w:rPr>
                <w:b/>
                <w:bCs/>
                <w:iCs/>
              </w:rPr>
            </w:pPr>
            <w:r w:rsidRPr="007E212E">
              <w:rPr>
                <w:b/>
              </w:rPr>
              <w:t>Spēkā esošā redakcija</w:t>
            </w:r>
          </w:p>
        </w:tc>
        <w:tc>
          <w:tcPr>
            <w:tcW w:w="3969" w:type="dxa"/>
            <w:shd w:val="clear" w:color="auto" w:fill="auto"/>
            <w:vAlign w:val="center"/>
          </w:tcPr>
          <w:p w:rsidR="00F34DB3" w:rsidRPr="007E212E" w:rsidRDefault="00F34DB3" w:rsidP="007643C4">
            <w:pPr>
              <w:jc w:val="center"/>
              <w:rPr>
                <w:b/>
              </w:rPr>
            </w:pPr>
            <w:r w:rsidRPr="007E212E">
              <w:rPr>
                <w:b/>
              </w:rPr>
              <w:t>Pirmā lasījuma redakcija</w:t>
            </w:r>
          </w:p>
        </w:tc>
        <w:tc>
          <w:tcPr>
            <w:tcW w:w="581" w:type="dxa"/>
            <w:vAlign w:val="center"/>
          </w:tcPr>
          <w:p w:rsidR="00F34DB3" w:rsidRPr="007E212E" w:rsidRDefault="00F34DB3" w:rsidP="007643C4">
            <w:pPr>
              <w:jc w:val="center"/>
              <w:rPr>
                <w:b/>
              </w:rPr>
            </w:pPr>
            <w:r w:rsidRPr="007E212E">
              <w:rPr>
                <w:b/>
              </w:rPr>
              <w:t>Nr.</w:t>
            </w:r>
          </w:p>
        </w:tc>
        <w:tc>
          <w:tcPr>
            <w:tcW w:w="3969" w:type="dxa"/>
            <w:vAlign w:val="center"/>
          </w:tcPr>
          <w:p w:rsidR="00F34DB3" w:rsidRPr="007E212E" w:rsidRDefault="00F34DB3" w:rsidP="007643C4">
            <w:pPr>
              <w:jc w:val="center"/>
              <w:rPr>
                <w:b/>
              </w:rPr>
            </w:pPr>
            <w:r w:rsidRPr="007E212E">
              <w:rPr>
                <w:b/>
              </w:rPr>
              <w:t>Priekšlikumi</w:t>
            </w:r>
          </w:p>
          <w:p w:rsidR="00F34DB3" w:rsidRPr="007E212E" w:rsidRDefault="007F0D54" w:rsidP="007643C4">
            <w:pPr>
              <w:jc w:val="center"/>
              <w:rPr>
                <w:b/>
              </w:rPr>
            </w:pPr>
            <w:r>
              <w:rPr>
                <w:b/>
              </w:rPr>
              <w:t>(3</w:t>
            </w:r>
            <w:bookmarkStart w:id="0" w:name="_GoBack"/>
            <w:bookmarkEnd w:id="0"/>
            <w:r w:rsidR="00F34DB3" w:rsidRPr="007E212E">
              <w:rPr>
                <w:b/>
              </w:rPr>
              <w:t>)</w:t>
            </w:r>
          </w:p>
        </w:tc>
        <w:tc>
          <w:tcPr>
            <w:tcW w:w="1417" w:type="dxa"/>
            <w:vAlign w:val="center"/>
          </w:tcPr>
          <w:p w:rsidR="00F34DB3" w:rsidRPr="007E212E" w:rsidRDefault="00F34DB3" w:rsidP="007643C4">
            <w:pPr>
              <w:jc w:val="center"/>
              <w:rPr>
                <w:b/>
              </w:rPr>
            </w:pPr>
            <w:r w:rsidRPr="007E212E">
              <w:rPr>
                <w:b/>
              </w:rPr>
              <w:t>Ministru kabineta atzinums</w:t>
            </w:r>
          </w:p>
        </w:tc>
        <w:tc>
          <w:tcPr>
            <w:tcW w:w="1418" w:type="dxa"/>
            <w:vAlign w:val="center"/>
          </w:tcPr>
          <w:p w:rsidR="00F34DB3" w:rsidRPr="007E212E" w:rsidRDefault="00F34DB3" w:rsidP="007643C4">
            <w:pPr>
              <w:jc w:val="center"/>
              <w:rPr>
                <w:b/>
              </w:rPr>
            </w:pPr>
            <w:r w:rsidRPr="007E212E">
              <w:rPr>
                <w:b/>
              </w:rPr>
              <w:t>Komisijas atzinums</w:t>
            </w:r>
          </w:p>
        </w:tc>
      </w:tr>
      <w:tr w:rsidR="00F34DB3" w:rsidRPr="007E212E" w:rsidTr="007643C4">
        <w:tc>
          <w:tcPr>
            <w:tcW w:w="3964" w:type="dxa"/>
            <w:shd w:val="clear" w:color="auto" w:fill="auto"/>
            <w:vAlign w:val="center"/>
          </w:tcPr>
          <w:p w:rsidR="00F34DB3" w:rsidRPr="007E212E" w:rsidRDefault="00F34DB3" w:rsidP="007643C4">
            <w:pPr>
              <w:jc w:val="center"/>
              <w:rPr>
                <w:b/>
              </w:rPr>
            </w:pPr>
          </w:p>
        </w:tc>
        <w:tc>
          <w:tcPr>
            <w:tcW w:w="3969" w:type="dxa"/>
            <w:shd w:val="clear" w:color="auto" w:fill="auto"/>
            <w:vAlign w:val="center"/>
          </w:tcPr>
          <w:p w:rsidR="00F34DB3" w:rsidRPr="007E212E" w:rsidRDefault="00F34DB3" w:rsidP="00F34DB3">
            <w:pPr>
              <w:shd w:val="clear" w:color="auto" w:fill="FFFFFF"/>
              <w:ind w:firstLine="567"/>
              <w:jc w:val="both"/>
              <w:rPr>
                <w:rFonts w:eastAsia="Times New Roman"/>
                <w:sz w:val="22"/>
              </w:rPr>
            </w:pPr>
            <w:r w:rsidRPr="00F34DB3">
              <w:rPr>
                <w:sz w:val="22"/>
              </w:rPr>
              <w:t xml:space="preserve">Izdarīt likumā "Par obligāto sociālo apdrošināšanu pret nelaimes gadījumiem darbā un arodslimībām" </w:t>
            </w:r>
            <w:proofErr w:type="gramStart"/>
            <w:r w:rsidRPr="00F34DB3">
              <w:rPr>
                <w:sz w:val="22"/>
              </w:rPr>
              <w:t>(</w:t>
            </w:r>
            <w:proofErr w:type="gramEnd"/>
            <w:r w:rsidRPr="00F34DB3">
              <w:rPr>
                <w:sz w:val="22"/>
              </w:rPr>
              <w:t>Latvijas Republikas Saeimas un Ministru Kabineta Ziņotājs, 1996, 1. nr.; 1997, 3. nr.; 1998, 21. nr.; 2000, 2. nr.; 2001, 1. nr.; 2005, 2. nr.; 2009, 1., 15. nr.; Latvijas Vēstnesis, 2009, 200. nr.; 2010, 205. nr.; 2013, 137. nr.; 2014, 75., 225. nr.; 2016, 241. nr.; 2019, 240., 248A. nr.) šādus grozījumus:</w:t>
            </w:r>
          </w:p>
        </w:tc>
        <w:tc>
          <w:tcPr>
            <w:tcW w:w="581" w:type="dxa"/>
            <w:vAlign w:val="center"/>
          </w:tcPr>
          <w:p w:rsidR="00F34DB3" w:rsidRPr="007E212E" w:rsidRDefault="00F34DB3" w:rsidP="007643C4">
            <w:pPr>
              <w:jc w:val="center"/>
              <w:rPr>
                <w:b/>
              </w:rPr>
            </w:pPr>
          </w:p>
        </w:tc>
        <w:tc>
          <w:tcPr>
            <w:tcW w:w="3969" w:type="dxa"/>
            <w:vAlign w:val="center"/>
          </w:tcPr>
          <w:p w:rsidR="00F34DB3" w:rsidRPr="007E212E" w:rsidRDefault="00F34DB3" w:rsidP="007643C4">
            <w:pPr>
              <w:jc w:val="center"/>
              <w:rPr>
                <w:b/>
              </w:rPr>
            </w:pPr>
          </w:p>
        </w:tc>
        <w:tc>
          <w:tcPr>
            <w:tcW w:w="1417" w:type="dxa"/>
            <w:vAlign w:val="center"/>
          </w:tcPr>
          <w:p w:rsidR="00F34DB3" w:rsidRPr="007E212E" w:rsidRDefault="00F34DB3" w:rsidP="007643C4">
            <w:pPr>
              <w:jc w:val="center"/>
              <w:rPr>
                <w:b/>
              </w:rPr>
            </w:pPr>
          </w:p>
        </w:tc>
        <w:tc>
          <w:tcPr>
            <w:tcW w:w="1418" w:type="dxa"/>
            <w:vAlign w:val="center"/>
          </w:tcPr>
          <w:p w:rsidR="00F34DB3" w:rsidRPr="007E212E" w:rsidRDefault="00F34DB3" w:rsidP="007643C4">
            <w:pPr>
              <w:jc w:val="center"/>
              <w:rPr>
                <w:b/>
              </w:rPr>
            </w:pPr>
          </w:p>
        </w:tc>
      </w:tr>
      <w:tr w:rsidR="00F34DB3" w:rsidRPr="007E212E" w:rsidTr="007643C4">
        <w:tc>
          <w:tcPr>
            <w:tcW w:w="3964" w:type="dxa"/>
            <w:shd w:val="clear" w:color="auto" w:fill="auto"/>
          </w:tcPr>
          <w:p w:rsidR="00F34DB3" w:rsidRPr="00F34DB3" w:rsidRDefault="00F34DB3" w:rsidP="007643C4">
            <w:pPr>
              <w:pStyle w:val="tv213"/>
              <w:spacing w:before="0" w:beforeAutospacing="0" w:after="0" w:afterAutospacing="0"/>
              <w:ind w:firstLine="567"/>
              <w:jc w:val="both"/>
              <w:rPr>
                <w:b/>
                <w:bCs/>
                <w:sz w:val="22"/>
                <w:szCs w:val="22"/>
              </w:rPr>
            </w:pPr>
            <w:r w:rsidRPr="00F34DB3">
              <w:rPr>
                <w:b/>
                <w:bCs/>
                <w:sz w:val="22"/>
                <w:szCs w:val="22"/>
              </w:rPr>
              <w:t>14. pants. Apdrošināšanas atlīdzība</w:t>
            </w:r>
          </w:p>
          <w:p w:rsidR="00F34DB3" w:rsidRPr="007E212E" w:rsidRDefault="00F34DB3" w:rsidP="007643C4">
            <w:pPr>
              <w:pStyle w:val="tv213"/>
              <w:spacing w:before="0" w:beforeAutospacing="0" w:after="0" w:afterAutospacing="0"/>
              <w:ind w:firstLine="567"/>
              <w:jc w:val="both"/>
              <w:rPr>
                <w:sz w:val="22"/>
                <w:szCs w:val="22"/>
              </w:rPr>
            </w:pPr>
            <w:r w:rsidRPr="00F34DB3">
              <w:rPr>
                <w:sz w:val="22"/>
                <w:szCs w:val="22"/>
              </w:rPr>
              <w:t xml:space="preserve">(5) Piešķirot apdrošināšanas atlīdzību (naudas izmaksas par pārejošu darba nespēju, darbspēju zaudējumu, apgādnieka zaudējumu, kā arī izmaksājot vienreizējus pabalstus un atlīdzības), par pamatu tiek ņemta apdrošinātās personas mēneša vidējā apdrošināšanas iemaksu alga. Mēnesī izmaksājamais slimības pabalsts, atlīdzība par darbspēju zaudējumu vai atlīdzība par apgādnieka zaudējumu, kā arī šā panta otrās daļas 4.punktā noteikto izmaksu kopējā summa nedrīkst būt lielāka </w:t>
            </w:r>
            <w:proofErr w:type="gramStart"/>
            <w:r w:rsidRPr="00F34DB3">
              <w:rPr>
                <w:sz w:val="22"/>
                <w:szCs w:val="22"/>
              </w:rPr>
              <w:t>par apdrošināšanas gadījuma iestāšanās</w:t>
            </w:r>
            <w:proofErr w:type="gramEnd"/>
            <w:r w:rsidRPr="00F34DB3">
              <w:rPr>
                <w:sz w:val="22"/>
                <w:szCs w:val="22"/>
              </w:rPr>
              <w:t xml:space="preserve"> dienā spēkā esošā valsts sociālā nodrošinājuma pabalsta, kas noteikts Valsts sociālo pabalstu likuma </w:t>
            </w:r>
            <w:r w:rsidRPr="00F34DB3">
              <w:rPr>
                <w:sz w:val="22"/>
                <w:szCs w:val="22"/>
              </w:rPr>
              <w:lastRenderedPageBreak/>
              <w:t xml:space="preserve">13. panta pirmās daļas 1. punktā minētajām personām, </w:t>
            </w:r>
            <w:proofErr w:type="spellStart"/>
            <w:r w:rsidRPr="00F34DB3">
              <w:rPr>
                <w:sz w:val="22"/>
                <w:szCs w:val="22"/>
              </w:rPr>
              <w:t>divdesmitpieckāršu</w:t>
            </w:r>
            <w:proofErr w:type="spellEnd"/>
            <w:r w:rsidRPr="00F34DB3">
              <w:rPr>
                <w:sz w:val="22"/>
                <w:szCs w:val="22"/>
              </w:rPr>
              <w:t xml:space="preserve"> apmēru.</w:t>
            </w:r>
          </w:p>
        </w:tc>
        <w:tc>
          <w:tcPr>
            <w:tcW w:w="3969" w:type="dxa"/>
            <w:shd w:val="clear" w:color="auto" w:fill="auto"/>
          </w:tcPr>
          <w:p w:rsidR="00F34DB3" w:rsidRPr="00F34DB3" w:rsidRDefault="00F34DB3" w:rsidP="00F34DB3">
            <w:pPr>
              <w:shd w:val="clear" w:color="auto" w:fill="FFFFFF"/>
              <w:ind w:firstLine="567"/>
              <w:jc w:val="both"/>
              <w:rPr>
                <w:sz w:val="22"/>
              </w:rPr>
            </w:pPr>
            <w:r w:rsidRPr="00F34DB3">
              <w:rPr>
                <w:sz w:val="22"/>
              </w:rPr>
              <w:lastRenderedPageBreak/>
              <w:t> </w:t>
            </w:r>
            <w:r w:rsidRPr="00F34DB3">
              <w:rPr>
                <w:rFonts w:cstheme="minorBidi"/>
                <w:sz w:val="22"/>
                <w:lang w:eastAsia="zh-CN"/>
              </w:rPr>
              <w:t>1. Izteikt 14. panta piektās daļas otro teikumu šādā redakcijā:</w:t>
            </w:r>
          </w:p>
          <w:p w:rsidR="00F34DB3" w:rsidRPr="00F34DB3" w:rsidRDefault="00F34DB3" w:rsidP="00F34DB3">
            <w:pPr>
              <w:suppressAutoHyphens/>
              <w:ind w:firstLine="567"/>
              <w:contextualSpacing/>
              <w:jc w:val="both"/>
              <w:rPr>
                <w:sz w:val="22"/>
              </w:rPr>
            </w:pPr>
            <w:r w:rsidRPr="00F34DB3">
              <w:rPr>
                <w:sz w:val="22"/>
                <w:lang w:eastAsia="zh-CN"/>
              </w:rPr>
              <w:t> </w:t>
            </w:r>
            <w:r w:rsidRPr="00F34DB3">
              <w:rPr>
                <w:sz w:val="22"/>
                <w:shd w:val="clear" w:color="auto" w:fill="FFFFFF"/>
              </w:rPr>
              <w:t>"</w:t>
            </w:r>
            <w:bookmarkStart w:id="1" w:name="_Hlk50631440"/>
            <w:r w:rsidRPr="00F34DB3">
              <w:rPr>
                <w:sz w:val="22"/>
                <w:shd w:val="clear" w:color="auto" w:fill="FFFFFF"/>
              </w:rPr>
              <w:t xml:space="preserve">Mēnesī izmaksājamā atlīdzība par darbspēju zaudējumu vai atlīdzība par apgādnieka zaudējumu nedrīkst būt lielāka </w:t>
            </w:r>
            <w:bookmarkEnd w:id="1"/>
            <w:r w:rsidRPr="00F34DB3">
              <w:rPr>
                <w:sz w:val="22"/>
                <w:shd w:val="clear" w:color="auto" w:fill="FFFFFF"/>
              </w:rPr>
              <w:t>par Valsts sociālo pabalstu likuma 13. panta pirmās daļas 1. punktā minētajām personām noteiktā valsts sociālā nodrošinājuma pabalsta</w:t>
            </w:r>
            <w:bookmarkStart w:id="2" w:name="_Hlk50631898"/>
            <w:r w:rsidRPr="00F34DB3">
              <w:rPr>
                <w:sz w:val="22"/>
                <w:shd w:val="clear" w:color="auto" w:fill="FFFFFF"/>
              </w:rPr>
              <w:t xml:space="preserve"> </w:t>
            </w:r>
            <w:bookmarkEnd w:id="2"/>
            <w:r w:rsidRPr="00F34DB3">
              <w:rPr>
                <w:sz w:val="22"/>
                <w:shd w:val="clear" w:color="auto" w:fill="FFFFFF"/>
              </w:rPr>
              <w:t xml:space="preserve">(turpmāk – valsts sociālā nodrošinājuma pabalsts) </w:t>
            </w:r>
            <w:proofErr w:type="spellStart"/>
            <w:r w:rsidRPr="00F34DB3">
              <w:rPr>
                <w:sz w:val="22"/>
                <w:shd w:val="clear" w:color="auto" w:fill="FFFFFF"/>
              </w:rPr>
              <w:t>divdesmitpieckāršu</w:t>
            </w:r>
            <w:proofErr w:type="spellEnd"/>
            <w:r w:rsidRPr="00F34DB3">
              <w:rPr>
                <w:sz w:val="22"/>
                <w:shd w:val="clear" w:color="auto" w:fill="FFFFFF"/>
              </w:rPr>
              <w:t xml:space="preserve"> apmēru, kā arī šā panta otrās daļas 4. punktā noteikto izmaksu kopējā summa nedrīkst būt lielāka par apdrošināšanas gadījuma iestāšanās dienā spēkā esošā valsts sociālā nodrošinājuma pabalsta </w:t>
            </w:r>
            <w:proofErr w:type="spellStart"/>
            <w:r w:rsidRPr="00F34DB3">
              <w:rPr>
                <w:sz w:val="22"/>
                <w:shd w:val="clear" w:color="auto" w:fill="FFFFFF"/>
              </w:rPr>
              <w:t>divdesmitpieckāršu</w:t>
            </w:r>
            <w:proofErr w:type="spellEnd"/>
            <w:r w:rsidRPr="00F34DB3">
              <w:rPr>
                <w:sz w:val="22"/>
                <w:shd w:val="clear" w:color="auto" w:fill="FFFFFF"/>
              </w:rPr>
              <w:t xml:space="preserve"> apmēru."</w:t>
            </w:r>
          </w:p>
        </w:tc>
        <w:tc>
          <w:tcPr>
            <w:tcW w:w="581" w:type="dxa"/>
            <w:vAlign w:val="center"/>
          </w:tcPr>
          <w:p w:rsidR="00F34DB3" w:rsidRPr="007E212E" w:rsidRDefault="00F34DB3" w:rsidP="007643C4">
            <w:pPr>
              <w:jc w:val="center"/>
              <w:rPr>
                <w:b/>
              </w:rPr>
            </w:pPr>
          </w:p>
        </w:tc>
        <w:tc>
          <w:tcPr>
            <w:tcW w:w="3969" w:type="dxa"/>
            <w:vAlign w:val="center"/>
          </w:tcPr>
          <w:p w:rsidR="00F34DB3" w:rsidRPr="007E212E" w:rsidRDefault="00F34DB3" w:rsidP="007643C4">
            <w:pPr>
              <w:jc w:val="center"/>
              <w:rPr>
                <w:b/>
              </w:rPr>
            </w:pPr>
          </w:p>
        </w:tc>
        <w:tc>
          <w:tcPr>
            <w:tcW w:w="1417" w:type="dxa"/>
            <w:vAlign w:val="center"/>
          </w:tcPr>
          <w:p w:rsidR="00F34DB3" w:rsidRPr="007E212E" w:rsidRDefault="00F34DB3" w:rsidP="007643C4">
            <w:pPr>
              <w:jc w:val="center"/>
              <w:rPr>
                <w:b/>
              </w:rPr>
            </w:pPr>
          </w:p>
        </w:tc>
        <w:tc>
          <w:tcPr>
            <w:tcW w:w="1418" w:type="dxa"/>
            <w:vAlign w:val="center"/>
          </w:tcPr>
          <w:p w:rsidR="00F34DB3" w:rsidRPr="007E212E" w:rsidRDefault="00F34DB3" w:rsidP="007643C4">
            <w:pPr>
              <w:jc w:val="center"/>
              <w:rPr>
                <w:b/>
              </w:rPr>
            </w:pPr>
          </w:p>
        </w:tc>
      </w:tr>
      <w:tr w:rsidR="00F34DB3" w:rsidRPr="007E212E" w:rsidTr="007F0D54">
        <w:tc>
          <w:tcPr>
            <w:tcW w:w="3964" w:type="dxa"/>
            <w:shd w:val="clear" w:color="auto" w:fill="auto"/>
          </w:tcPr>
          <w:p w:rsidR="00F34DB3" w:rsidRPr="00F34DB3" w:rsidRDefault="00F34DB3" w:rsidP="007643C4">
            <w:pPr>
              <w:pStyle w:val="tv213"/>
              <w:spacing w:before="0" w:beforeAutospacing="0" w:after="0" w:afterAutospacing="0"/>
              <w:ind w:firstLine="567"/>
              <w:jc w:val="both"/>
              <w:rPr>
                <w:b/>
                <w:bCs/>
                <w:sz w:val="22"/>
                <w:szCs w:val="22"/>
              </w:rPr>
            </w:pPr>
            <w:r w:rsidRPr="00F34DB3">
              <w:rPr>
                <w:b/>
                <w:bCs/>
                <w:sz w:val="22"/>
                <w:szCs w:val="22"/>
              </w:rPr>
              <w:t>23. pants. Atlīdzība par apgādnieka zaudējumu</w:t>
            </w:r>
          </w:p>
          <w:p w:rsidR="00F34DB3" w:rsidRPr="007E212E" w:rsidRDefault="00F34DB3" w:rsidP="007643C4">
            <w:pPr>
              <w:pStyle w:val="tv213"/>
              <w:spacing w:before="0" w:beforeAutospacing="0" w:after="0" w:afterAutospacing="0"/>
              <w:ind w:firstLine="567"/>
              <w:jc w:val="both"/>
              <w:rPr>
                <w:sz w:val="22"/>
                <w:szCs w:val="22"/>
              </w:rPr>
            </w:pPr>
            <w:r w:rsidRPr="00F34DB3">
              <w:rPr>
                <w:sz w:val="22"/>
                <w:szCs w:val="22"/>
              </w:rPr>
              <w:t>(5) Šā panta otrajā daļā minētajām personām aprēķinātā atlīdzība nedrīkst būt lielāka par 80 procentiem no apdrošinātās personas mēneša vidējās apdrošināšanas iemaksu algas un tā nedrīkst būt mazāka par valsts sociālā nodrošinājuma pabalstu, ievērojot to, ka atlīdzības apmērs katram mirušā apgādnieka bērnam nedrīkst būt mazāks par Ministru kabineta noteikto minimālo apmēru.</w:t>
            </w:r>
          </w:p>
        </w:tc>
        <w:tc>
          <w:tcPr>
            <w:tcW w:w="3969" w:type="dxa"/>
            <w:shd w:val="clear" w:color="auto" w:fill="auto"/>
          </w:tcPr>
          <w:p w:rsidR="00F34DB3" w:rsidRPr="00F34DB3" w:rsidRDefault="00F34DB3" w:rsidP="00F34DB3">
            <w:pPr>
              <w:suppressAutoHyphens/>
              <w:ind w:firstLine="567"/>
              <w:jc w:val="both"/>
              <w:rPr>
                <w:sz w:val="22"/>
              </w:rPr>
            </w:pPr>
            <w:r w:rsidRPr="00F34DB3">
              <w:rPr>
                <w:rFonts w:cstheme="minorBidi"/>
                <w:sz w:val="22"/>
                <w:lang w:eastAsia="zh-CN"/>
              </w:rPr>
              <w:t>2. 23. pantā:</w:t>
            </w:r>
          </w:p>
          <w:p w:rsidR="00F34DB3" w:rsidRPr="00F34DB3" w:rsidRDefault="00F34DB3" w:rsidP="00F34DB3">
            <w:pPr>
              <w:suppressAutoHyphens/>
              <w:ind w:firstLine="567"/>
              <w:jc w:val="both"/>
              <w:rPr>
                <w:sz w:val="22"/>
              </w:rPr>
            </w:pPr>
            <w:r w:rsidRPr="00F34DB3">
              <w:rPr>
                <w:sz w:val="22"/>
                <w:lang w:eastAsia="zh-CN"/>
              </w:rPr>
              <w:t>aizstāt piektajā daļā vārdus "</w:t>
            </w:r>
            <w:r w:rsidRPr="00F34DB3">
              <w:rPr>
                <w:rFonts w:eastAsiaTheme="minorHAnsi"/>
                <w:sz w:val="22"/>
                <w:shd w:val="clear" w:color="auto" w:fill="FFFFFF"/>
              </w:rPr>
              <w:t>nedrīkst būt mazāks par Ministru kabineta noteikto minimālo apmēru</w:t>
            </w:r>
            <w:r w:rsidRPr="00F34DB3">
              <w:rPr>
                <w:sz w:val="22"/>
                <w:lang w:eastAsia="zh-CN"/>
              </w:rPr>
              <w:t>" ar vārdiem "</w:t>
            </w:r>
            <w:r w:rsidRPr="00F34DB3">
              <w:rPr>
                <w:rFonts w:eastAsiaTheme="minorHAnsi"/>
                <w:sz w:val="22"/>
                <w:shd w:val="clear" w:color="auto" w:fill="FFFFFF"/>
              </w:rPr>
              <w:t xml:space="preserve">nedrīkst būt mazāks par </w:t>
            </w:r>
            <w:r w:rsidRPr="00F34DB3">
              <w:rPr>
                <w:sz w:val="22"/>
                <w:lang w:eastAsia="zh-CN"/>
              </w:rPr>
              <w:t xml:space="preserve">šā panta desmitajā daļā </w:t>
            </w:r>
            <w:r w:rsidRPr="00F34DB3">
              <w:rPr>
                <w:rFonts w:eastAsiaTheme="minorHAnsi"/>
                <w:sz w:val="22"/>
                <w:shd w:val="clear" w:color="auto" w:fill="FFFFFF"/>
              </w:rPr>
              <w:t>noteikto minimālo apmēru</w:t>
            </w:r>
            <w:r w:rsidRPr="00F34DB3">
              <w:rPr>
                <w:sz w:val="22"/>
                <w:lang w:eastAsia="zh-CN"/>
              </w:rPr>
              <w:t>";</w:t>
            </w:r>
          </w:p>
        </w:tc>
        <w:tc>
          <w:tcPr>
            <w:tcW w:w="581" w:type="dxa"/>
          </w:tcPr>
          <w:p w:rsidR="00F34DB3" w:rsidRPr="007E212E" w:rsidRDefault="007F0D54" w:rsidP="007F0D54">
            <w:pPr>
              <w:jc w:val="center"/>
              <w:rPr>
                <w:b/>
              </w:rPr>
            </w:pPr>
            <w:r>
              <w:rPr>
                <w:b/>
              </w:rPr>
              <w:t>1</w:t>
            </w:r>
          </w:p>
        </w:tc>
        <w:tc>
          <w:tcPr>
            <w:tcW w:w="3969" w:type="dxa"/>
          </w:tcPr>
          <w:p w:rsidR="00F34DB3" w:rsidRPr="00850EED" w:rsidRDefault="00850EED" w:rsidP="00850EED">
            <w:pPr>
              <w:ind w:firstLine="567"/>
              <w:jc w:val="both"/>
              <w:rPr>
                <w:b/>
                <w:sz w:val="22"/>
                <w:u w:val="single"/>
              </w:rPr>
            </w:pPr>
            <w:r w:rsidRPr="00850EED">
              <w:rPr>
                <w:b/>
                <w:sz w:val="22"/>
                <w:u w:val="single"/>
              </w:rPr>
              <w:t>Juridiskais birojs</w:t>
            </w:r>
          </w:p>
          <w:p w:rsidR="00850EED" w:rsidRPr="00850EED" w:rsidRDefault="00850EED" w:rsidP="00850EED">
            <w:pPr>
              <w:ind w:firstLine="567"/>
              <w:jc w:val="both"/>
              <w:rPr>
                <w:i/>
                <w:sz w:val="22"/>
              </w:rPr>
            </w:pPr>
            <w:r w:rsidRPr="00850EED">
              <w:rPr>
                <w:i/>
                <w:sz w:val="22"/>
              </w:rPr>
              <w:t xml:space="preserve">Likumprojekta 2. pants paredz noteikt atlīdzības par apgādnieka zaudējumu minimālo apmēru, kā arī paredz šo apmēru pārskatīt atbilstoši likumā “Par sociālo drošību” noteiktajai minimālo ienākumu sliekšņu pārskatīšanas kārtībai. Juridiskais birojs vērš komisijas uzmanību uz to, ka nedz konkrētais likumprojekts, nedz ar to saistītais likumprojekts “Grozījums likumā “Par sociālo drošību”” (Nr.817/Lp13) šobrīd neietver šādu minimālo ienākumu sliekšņu noteikšanas pamatprincipus, kā arī pietiekami regulāru šo sliekšņu pārskatīšanas kārtību, tādējādi neievērojot Satversmes tiesas spriedumus lietās Nr. 2019-24-03, Nr. 2019-25-03, Nr. 2019-27-03. </w:t>
            </w:r>
          </w:p>
          <w:p w:rsidR="00850EED" w:rsidRPr="00850EED" w:rsidRDefault="00850EED" w:rsidP="00850EED">
            <w:pPr>
              <w:ind w:firstLine="567"/>
              <w:jc w:val="both"/>
              <w:rPr>
                <w:b/>
                <w:i/>
                <w:sz w:val="22"/>
                <w:u w:val="single"/>
              </w:rPr>
            </w:pPr>
            <w:r w:rsidRPr="00850EED">
              <w:rPr>
                <w:i/>
                <w:sz w:val="22"/>
              </w:rPr>
              <w:t xml:space="preserve">Atbilstoši Satversmes tiesas judikatūrai, likumdevējam likumdošanas procesā jāizlemj svarīgākie jautājumi, detalizētāku noteikumu un likuma ieviešanai dzīvē nepieciešamo tehnisko normu izstrādāšanai pilnvarojot Ministru kabinetu vai citu valsts institūciju (sk. Satversmes tiesas 2020. gada 25. jūnija sprieduma lietā Nr. 2019-24-03 19. punktu). Minimālo ienākumu sliekšņa noteikšana ir saistīta ar valsts pienākumu izveidot tādu sociālās drošības sistēmu, kura nodrošina cilvēka cieņas aizsardzību, sociālekonomisko atšķirību izlīdzināšanu un valsts ilgtspējīgu attīstību. Tādēļ minimālo ienākuma sliekšņa noteikšanas </w:t>
            </w:r>
            <w:r w:rsidRPr="00850EED">
              <w:rPr>
                <w:i/>
                <w:sz w:val="22"/>
              </w:rPr>
              <w:lastRenderedPageBreak/>
              <w:t>metodes pamatprincipu izstrāde ir tik būtisks jautājums, ka tas jāizlemj pašam likumdevējam (sal. sk. Satversmes tiesas 2020. gada 25. jūnija sprieduma lietā Nr. 2019-24-03 20. punktu). Šādu minimālo ienākumu sliekšņa noteikšanas pamatprincipu neiekļaušana likumā padara neparedzamu minimālo ienākumu sliekšņa pārskatīšanu nākotnē, jo nepastāv likumā noteikti pamatprincipi pēc kuriem būtu jāvadās šādu slieksni pārskatot. Turklāt pat ja šādi pamatprincipi tiktu noteikti, skaitļu iekļaušana likumā radītu pienākumu likumdevējam grozīt likumu katru reizi, kad šāds minimālo ienākumu slieksnis tiktu paaugstināts. Attiecīgi likumprojektā nepieciešams ietvert atlīdzības par apgādnieka zaudējumu minimālā apmēra noteikšanas pamatprincipus, nevis konkrētus skaitļus.</w:t>
            </w:r>
          </w:p>
        </w:tc>
        <w:tc>
          <w:tcPr>
            <w:tcW w:w="1417" w:type="dxa"/>
            <w:vAlign w:val="center"/>
          </w:tcPr>
          <w:p w:rsidR="00F34DB3" w:rsidRPr="007E212E" w:rsidRDefault="00F34DB3" w:rsidP="007643C4">
            <w:pPr>
              <w:jc w:val="center"/>
              <w:rPr>
                <w:b/>
              </w:rPr>
            </w:pPr>
          </w:p>
        </w:tc>
        <w:tc>
          <w:tcPr>
            <w:tcW w:w="1418" w:type="dxa"/>
            <w:vAlign w:val="center"/>
          </w:tcPr>
          <w:p w:rsidR="00F34DB3" w:rsidRPr="007E212E" w:rsidRDefault="00F34DB3" w:rsidP="007643C4">
            <w:pPr>
              <w:jc w:val="center"/>
              <w:rPr>
                <w:b/>
              </w:rPr>
            </w:pPr>
          </w:p>
        </w:tc>
      </w:tr>
      <w:tr w:rsidR="00F34DB3" w:rsidRPr="007E212E" w:rsidTr="007643C4">
        <w:tc>
          <w:tcPr>
            <w:tcW w:w="3964" w:type="dxa"/>
            <w:shd w:val="clear" w:color="auto" w:fill="auto"/>
          </w:tcPr>
          <w:p w:rsidR="00F34DB3" w:rsidRDefault="00F34DB3" w:rsidP="00F34DB3">
            <w:pPr>
              <w:pStyle w:val="tv213"/>
              <w:spacing w:before="0" w:beforeAutospacing="0" w:after="0" w:afterAutospacing="0"/>
              <w:ind w:firstLine="567"/>
              <w:jc w:val="both"/>
              <w:rPr>
                <w:sz w:val="22"/>
                <w:szCs w:val="22"/>
              </w:rPr>
            </w:pPr>
            <w:r w:rsidRPr="00F34DB3">
              <w:rPr>
                <w:sz w:val="22"/>
                <w:szCs w:val="22"/>
              </w:rPr>
              <w:t xml:space="preserve">(9) Ja atlīdzības par apgādnieka zaudējumu apmērs, kas aprēķināts, ņemot vērā apdrošinātās personas mēneša vidējo apdrošināšanas iemaksu algu, nesasniedz Ministru kabineta noteikto minimālo apmēru katram bērnam, starpība starp šo noteikto minimālo apmēru un katram bērnam aprēķināto atlīdzību par apgādnieka zaudējumu tiek segta no valsts pamatbudžeta, ievērojot šā likuma </w:t>
            </w:r>
            <w:proofErr w:type="gramStart"/>
            <w:r w:rsidRPr="00F34DB3">
              <w:rPr>
                <w:sz w:val="22"/>
                <w:szCs w:val="22"/>
              </w:rPr>
              <w:t>13.panta</w:t>
            </w:r>
            <w:proofErr w:type="gramEnd"/>
            <w:r w:rsidRPr="00F34DB3">
              <w:rPr>
                <w:sz w:val="22"/>
                <w:szCs w:val="22"/>
              </w:rPr>
              <w:t xml:space="preserve"> ceturto daļu, un tās izmaksa nodrošināma no gadskārtējā valsts budžeta likumā paredzētās valsts pamatbudžeta dotācijas, kura tiek ieskaitīta darba negadījumu speciālajā budžetā.</w:t>
            </w:r>
          </w:p>
          <w:p w:rsidR="00850EED" w:rsidRDefault="00850EED" w:rsidP="00F34DB3">
            <w:pPr>
              <w:pStyle w:val="tv213"/>
              <w:spacing w:before="0" w:beforeAutospacing="0" w:after="0" w:afterAutospacing="0"/>
              <w:ind w:firstLine="567"/>
              <w:jc w:val="both"/>
              <w:rPr>
                <w:sz w:val="22"/>
                <w:szCs w:val="22"/>
              </w:rPr>
            </w:pPr>
          </w:p>
          <w:p w:rsidR="00850EED" w:rsidRPr="007E212E" w:rsidRDefault="00850EED" w:rsidP="00F34DB3">
            <w:pPr>
              <w:pStyle w:val="tv213"/>
              <w:spacing w:before="0" w:beforeAutospacing="0" w:after="0" w:afterAutospacing="0"/>
              <w:ind w:firstLine="567"/>
              <w:jc w:val="both"/>
              <w:rPr>
                <w:sz w:val="22"/>
                <w:szCs w:val="22"/>
              </w:rPr>
            </w:pPr>
          </w:p>
        </w:tc>
        <w:tc>
          <w:tcPr>
            <w:tcW w:w="3969" w:type="dxa"/>
            <w:shd w:val="clear" w:color="auto" w:fill="auto"/>
          </w:tcPr>
          <w:p w:rsidR="00F34DB3" w:rsidRPr="00F34DB3" w:rsidRDefault="00F34DB3" w:rsidP="00F34DB3">
            <w:pPr>
              <w:suppressAutoHyphens/>
              <w:ind w:firstLine="567"/>
              <w:jc w:val="both"/>
              <w:rPr>
                <w:sz w:val="22"/>
              </w:rPr>
            </w:pPr>
            <w:r w:rsidRPr="00F34DB3">
              <w:rPr>
                <w:sz w:val="22"/>
                <w:lang w:eastAsia="zh-CN"/>
              </w:rPr>
              <w:t>aizstāt devītajā daļā vārdus "Ministru kabineta" ar vārdiem "šā panta desmitajā daļā";</w:t>
            </w:r>
          </w:p>
        </w:tc>
        <w:tc>
          <w:tcPr>
            <w:tcW w:w="581" w:type="dxa"/>
            <w:vAlign w:val="center"/>
          </w:tcPr>
          <w:p w:rsidR="00F34DB3" w:rsidRPr="007E212E" w:rsidRDefault="00F34DB3" w:rsidP="007643C4">
            <w:pPr>
              <w:jc w:val="center"/>
              <w:rPr>
                <w:b/>
              </w:rPr>
            </w:pPr>
          </w:p>
        </w:tc>
        <w:tc>
          <w:tcPr>
            <w:tcW w:w="3969" w:type="dxa"/>
            <w:vAlign w:val="center"/>
          </w:tcPr>
          <w:p w:rsidR="00F34DB3" w:rsidRPr="007E212E" w:rsidRDefault="00F34DB3" w:rsidP="007643C4">
            <w:pPr>
              <w:jc w:val="center"/>
              <w:rPr>
                <w:b/>
              </w:rPr>
            </w:pPr>
          </w:p>
        </w:tc>
        <w:tc>
          <w:tcPr>
            <w:tcW w:w="1417" w:type="dxa"/>
            <w:vAlign w:val="center"/>
          </w:tcPr>
          <w:p w:rsidR="00F34DB3" w:rsidRPr="007E212E" w:rsidRDefault="00F34DB3" w:rsidP="007643C4">
            <w:pPr>
              <w:jc w:val="center"/>
              <w:rPr>
                <w:b/>
              </w:rPr>
            </w:pPr>
          </w:p>
        </w:tc>
        <w:tc>
          <w:tcPr>
            <w:tcW w:w="1418" w:type="dxa"/>
            <w:vAlign w:val="center"/>
          </w:tcPr>
          <w:p w:rsidR="00F34DB3" w:rsidRPr="007E212E" w:rsidRDefault="00F34DB3" w:rsidP="007643C4">
            <w:pPr>
              <w:jc w:val="center"/>
              <w:rPr>
                <w:b/>
              </w:rPr>
            </w:pPr>
          </w:p>
        </w:tc>
      </w:tr>
      <w:tr w:rsidR="00F34DB3" w:rsidRPr="007E212E" w:rsidTr="007F0D54">
        <w:tc>
          <w:tcPr>
            <w:tcW w:w="3964" w:type="dxa"/>
            <w:shd w:val="clear" w:color="auto" w:fill="auto"/>
          </w:tcPr>
          <w:p w:rsidR="00F34DB3" w:rsidRPr="00F34DB3" w:rsidRDefault="00F34DB3" w:rsidP="00F34DB3">
            <w:pPr>
              <w:pStyle w:val="tv213"/>
              <w:spacing w:before="0" w:beforeAutospacing="0" w:after="0" w:afterAutospacing="0"/>
              <w:ind w:firstLine="567"/>
              <w:jc w:val="both"/>
              <w:rPr>
                <w:sz w:val="22"/>
                <w:szCs w:val="22"/>
              </w:rPr>
            </w:pPr>
            <w:r w:rsidRPr="00F34DB3">
              <w:rPr>
                <w:sz w:val="22"/>
                <w:szCs w:val="22"/>
              </w:rPr>
              <w:lastRenderedPageBreak/>
              <w:t>(10) Ministru kabinets nosaka atlīdzības par apgādnieka zaudējumu minimālo apmēru katram bērnam un tā pārskatīšanas kārtību.</w:t>
            </w:r>
          </w:p>
          <w:p w:rsidR="00F34DB3" w:rsidRPr="00F34DB3" w:rsidRDefault="00F34DB3" w:rsidP="00F34DB3">
            <w:pPr>
              <w:pStyle w:val="tv213"/>
              <w:spacing w:before="0" w:beforeAutospacing="0" w:after="0" w:afterAutospacing="0"/>
              <w:ind w:firstLine="567"/>
              <w:jc w:val="both"/>
              <w:rPr>
                <w:sz w:val="22"/>
                <w:szCs w:val="22"/>
              </w:rPr>
            </w:pPr>
          </w:p>
        </w:tc>
        <w:tc>
          <w:tcPr>
            <w:tcW w:w="3969" w:type="dxa"/>
            <w:shd w:val="clear" w:color="auto" w:fill="auto"/>
          </w:tcPr>
          <w:p w:rsidR="00F34DB3" w:rsidRPr="00F34DB3" w:rsidRDefault="00F34DB3" w:rsidP="00F34DB3">
            <w:pPr>
              <w:suppressAutoHyphens/>
              <w:ind w:firstLine="567"/>
              <w:contextualSpacing/>
              <w:jc w:val="both"/>
              <w:rPr>
                <w:sz w:val="22"/>
              </w:rPr>
            </w:pPr>
            <w:r w:rsidRPr="00F34DB3">
              <w:rPr>
                <w:sz w:val="22"/>
                <w:lang w:eastAsia="zh-CN"/>
              </w:rPr>
              <w:t>izteikt desmito daļu šādā redakcijā:</w:t>
            </w:r>
          </w:p>
          <w:p w:rsidR="00F34DB3" w:rsidRPr="00F34DB3" w:rsidRDefault="00F34DB3" w:rsidP="00F34DB3">
            <w:pPr>
              <w:suppressAutoHyphens/>
              <w:ind w:firstLine="567"/>
              <w:contextualSpacing/>
              <w:jc w:val="both"/>
              <w:rPr>
                <w:sz w:val="22"/>
              </w:rPr>
            </w:pPr>
            <w:r w:rsidRPr="00F34DB3">
              <w:rPr>
                <w:sz w:val="22"/>
                <w:lang w:eastAsia="zh-CN"/>
              </w:rPr>
              <w:t> "(10) Atlīdzības par apgādnieka zaudējumu minimālais apmērs katram bērnam mēnesī ir:</w:t>
            </w:r>
          </w:p>
          <w:p w:rsidR="00F34DB3" w:rsidRPr="00F34DB3" w:rsidRDefault="00F34DB3" w:rsidP="00F34DB3">
            <w:pPr>
              <w:suppressAutoHyphens/>
              <w:ind w:firstLine="567"/>
              <w:contextualSpacing/>
              <w:jc w:val="both"/>
              <w:rPr>
                <w:sz w:val="22"/>
              </w:rPr>
            </w:pPr>
            <w:r w:rsidRPr="00F34DB3">
              <w:rPr>
                <w:sz w:val="22"/>
                <w:lang w:eastAsia="zh-CN"/>
              </w:rPr>
              <w:t xml:space="preserve">1) no dzimšanas līdz septiņu gadu vecuma sasniegšanai – 136 </w:t>
            </w:r>
            <w:proofErr w:type="spellStart"/>
            <w:r w:rsidRPr="00F34DB3">
              <w:rPr>
                <w:i/>
                <w:sz w:val="22"/>
                <w:lang w:eastAsia="zh-CN"/>
              </w:rPr>
              <w:t>euro</w:t>
            </w:r>
            <w:proofErr w:type="spellEnd"/>
            <w:r w:rsidRPr="00F34DB3">
              <w:rPr>
                <w:rFonts w:eastAsiaTheme="minorHAnsi"/>
                <w:sz w:val="22"/>
              </w:rPr>
              <w:t>;</w:t>
            </w:r>
          </w:p>
          <w:p w:rsidR="00F34DB3" w:rsidRPr="00F34DB3" w:rsidRDefault="00F34DB3" w:rsidP="00F34DB3">
            <w:pPr>
              <w:suppressAutoHyphens/>
              <w:ind w:firstLine="567"/>
              <w:contextualSpacing/>
              <w:jc w:val="both"/>
              <w:rPr>
                <w:sz w:val="22"/>
              </w:rPr>
            </w:pPr>
            <w:r w:rsidRPr="00F34DB3">
              <w:rPr>
                <w:sz w:val="22"/>
                <w:lang w:eastAsia="zh-CN"/>
              </w:rPr>
              <w:t xml:space="preserve">2) no septiņu gadu vecuma – 163 </w:t>
            </w:r>
            <w:proofErr w:type="spellStart"/>
            <w:r w:rsidRPr="00F34DB3">
              <w:rPr>
                <w:i/>
                <w:sz w:val="22"/>
                <w:lang w:eastAsia="zh-CN"/>
              </w:rPr>
              <w:t>euro</w:t>
            </w:r>
            <w:proofErr w:type="spellEnd"/>
            <w:r w:rsidRPr="00F34DB3">
              <w:rPr>
                <w:sz w:val="22"/>
                <w:lang w:eastAsia="zh-CN"/>
              </w:rPr>
              <w:t>.";</w:t>
            </w:r>
          </w:p>
        </w:tc>
        <w:tc>
          <w:tcPr>
            <w:tcW w:w="581" w:type="dxa"/>
          </w:tcPr>
          <w:p w:rsidR="00F34DB3" w:rsidRPr="007E212E" w:rsidRDefault="007F0D54" w:rsidP="007F0D54">
            <w:pPr>
              <w:jc w:val="center"/>
              <w:rPr>
                <w:b/>
              </w:rPr>
            </w:pPr>
            <w:r>
              <w:rPr>
                <w:b/>
              </w:rPr>
              <w:t>2</w:t>
            </w:r>
          </w:p>
        </w:tc>
        <w:tc>
          <w:tcPr>
            <w:tcW w:w="3969" w:type="dxa"/>
          </w:tcPr>
          <w:p w:rsidR="00F34DB3" w:rsidRDefault="00B61F96" w:rsidP="00B61F96">
            <w:pPr>
              <w:shd w:val="clear" w:color="auto" w:fill="FFFFFF"/>
              <w:ind w:firstLine="567"/>
              <w:jc w:val="both"/>
              <w:rPr>
                <w:rFonts w:eastAsia="Times New Roman"/>
                <w:b/>
                <w:sz w:val="22"/>
                <w:u w:val="single"/>
                <w:lang w:eastAsia="lv-LV"/>
              </w:rPr>
            </w:pPr>
            <w:r w:rsidRPr="00B61F96">
              <w:rPr>
                <w:rFonts w:eastAsia="Times New Roman"/>
                <w:b/>
                <w:sz w:val="22"/>
                <w:u w:val="single"/>
                <w:lang w:eastAsia="lv-LV"/>
              </w:rPr>
              <w:t>“Saskaņa” sociāldemokrātiskās partijas frakcija</w:t>
            </w:r>
          </w:p>
          <w:p w:rsidR="00B61F96" w:rsidRPr="00B61F96" w:rsidRDefault="00B61F96" w:rsidP="00B61F96">
            <w:pPr>
              <w:suppressAutoHyphens/>
              <w:ind w:firstLine="567"/>
              <w:contextualSpacing/>
              <w:jc w:val="both"/>
              <w:rPr>
                <w:rFonts w:eastAsia="Times New Roman"/>
                <w:sz w:val="22"/>
                <w:lang w:eastAsia="zh-CN"/>
              </w:rPr>
            </w:pPr>
            <w:r w:rsidRPr="00B61F96">
              <w:rPr>
                <w:rFonts w:eastAsia="Times New Roman"/>
                <w:sz w:val="22"/>
                <w:lang w:eastAsia="zh-CN"/>
              </w:rPr>
              <w:t xml:space="preserve">Izteikt likumprojekta </w:t>
            </w:r>
            <w:proofErr w:type="gramStart"/>
            <w:r w:rsidRPr="00B61F96">
              <w:rPr>
                <w:rFonts w:eastAsia="Times New Roman"/>
                <w:sz w:val="22"/>
                <w:lang w:eastAsia="zh-CN"/>
              </w:rPr>
              <w:t>2.panta</w:t>
            </w:r>
            <w:proofErr w:type="gramEnd"/>
            <w:r w:rsidRPr="00B61F96">
              <w:rPr>
                <w:rFonts w:eastAsia="Times New Roman"/>
                <w:sz w:val="22"/>
                <w:lang w:eastAsia="zh-CN"/>
              </w:rPr>
              <w:t xml:space="preserve"> tekstu (kas attiecas uz 23 panta desmito daļu šādā redakcijā:</w:t>
            </w:r>
          </w:p>
          <w:p w:rsidR="00B61F96" w:rsidRPr="00B61F96" w:rsidRDefault="00B61F96" w:rsidP="00B61F96">
            <w:pPr>
              <w:suppressAutoHyphens/>
              <w:ind w:firstLine="567"/>
              <w:contextualSpacing/>
              <w:jc w:val="both"/>
              <w:rPr>
                <w:rFonts w:eastAsia="Times New Roman"/>
                <w:sz w:val="22"/>
                <w:lang w:eastAsia="zh-CN"/>
              </w:rPr>
            </w:pPr>
            <w:r w:rsidRPr="00B61F96">
              <w:rPr>
                <w:rFonts w:eastAsia="Times New Roman"/>
                <w:sz w:val="22"/>
                <w:lang w:eastAsia="zh-CN"/>
              </w:rPr>
              <w:t>“(10) Atlīdzības par apgādnieka zaudējumu minimālais apmērs katram bērnam mēnesī ir:</w:t>
            </w:r>
          </w:p>
          <w:p w:rsidR="00B61F96" w:rsidRPr="00B61F96" w:rsidRDefault="00B61F96" w:rsidP="00B61F96">
            <w:pPr>
              <w:suppressAutoHyphens/>
              <w:ind w:firstLine="567"/>
              <w:contextualSpacing/>
              <w:jc w:val="both"/>
              <w:rPr>
                <w:sz w:val="22"/>
              </w:rPr>
            </w:pPr>
            <w:r w:rsidRPr="00B61F96">
              <w:rPr>
                <w:rFonts w:eastAsia="Times New Roman"/>
                <w:sz w:val="22"/>
                <w:lang w:eastAsia="zh-CN"/>
              </w:rPr>
              <w:t xml:space="preserve">1) no dzimšanas līdz septiņu gadu vecuma sasniegšanai – 25 procenti </w:t>
            </w:r>
            <w:r w:rsidRPr="00B61F96">
              <w:rPr>
                <w:sz w:val="22"/>
              </w:rPr>
              <w:t>no Centrālās statistikas pārvaldes pārskata gadā tīmekļa vietnē publicētās mājsaimniecību rīcībā esošās ienākumu mediānas uz vienu ekvivalento patērētāju (turpmāk – ienākumu mediāna);</w:t>
            </w:r>
          </w:p>
          <w:p w:rsidR="00B61F96" w:rsidRPr="00B61F96" w:rsidRDefault="00B61F96" w:rsidP="00B61F96">
            <w:pPr>
              <w:suppressAutoHyphens/>
              <w:ind w:firstLine="567"/>
              <w:contextualSpacing/>
              <w:jc w:val="both"/>
              <w:rPr>
                <w:rFonts w:eastAsia="Times New Roman"/>
                <w:sz w:val="22"/>
                <w:lang w:eastAsia="zh-CN"/>
              </w:rPr>
            </w:pPr>
            <w:r w:rsidRPr="00B61F96">
              <w:rPr>
                <w:rFonts w:eastAsia="Times New Roman"/>
                <w:sz w:val="22"/>
                <w:lang w:eastAsia="zh-CN"/>
              </w:rPr>
              <w:t>2) no septiņu gadu vecuma – 30 procenti no ienākumu mediānas.”</w:t>
            </w:r>
          </w:p>
        </w:tc>
        <w:tc>
          <w:tcPr>
            <w:tcW w:w="1417" w:type="dxa"/>
            <w:vAlign w:val="center"/>
          </w:tcPr>
          <w:p w:rsidR="00F34DB3" w:rsidRPr="007E212E" w:rsidRDefault="00F34DB3" w:rsidP="007643C4">
            <w:pPr>
              <w:jc w:val="center"/>
              <w:rPr>
                <w:b/>
              </w:rPr>
            </w:pPr>
          </w:p>
        </w:tc>
        <w:tc>
          <w:tcPr>
            <w:tcW w:w="1418" w:type="dxa"/>
            <w:vAlign w:val="center"/>
          </w:tcPr>
          <w:p w:rsidR="00F34DB3" w:rsidRPr="007E212E" w:rsidRDefault="00F34DB3" w:rsidP="007643C4">
            <w:pPr>
              <w:jc w:val="center"/>
              <w:rPr>
                <w:b/>
              </w:rPr>
            </w:pPr>
          </w:p>
        </w:tc>
      </w:tr>
      <w:tr w:rsidR="00F34DB3" w:rsidRPr="007E212E" w:rsidTr="007643C4">
        <w:tc>
          <w:tcPr>
            <w:tcW w:w="3964" w:type="dxa"/>
            <w:shd w:val="clear" w:color="auto" w:fill="auto"/>
          </w:tcPr>
          <w:p w:rsidR="00F34DB3" w:rsidRPr="007E212E" w:rsidRDefault="00F34DB3" w:rsidP="007643C4">
            <w:pPr>
              <w:pStyle w:val="tv213"/>
              <w:spacing w:before="0" w:beforeAutospacing="0" w:after="0" w:afterAutospacing="0"/>
              <w:ind w:firstLine="567"/>
              <w:jc w:val="both"/>
              <w:rPr>
                <w:sz w:val="22"/>
                <w:szCs w:val="22"/>
              </w:rPr>
            </w:pPr>
          </w:p>
        </w:tc>
        <w:tc>
          <w:tcPr>
            <w:tcW w:w="3969" w:type="dxa"/>
            <w:shd w:val="clear" w:color="auto" w:fill="auto"/>
          </w:tcPr>
          <w:p w:rsidR="00F34DB3" w:rsidRPr="00F34DB3" w:rsidRDefault="00F34DB3" w:rsidP="00F34DB3">
            <w:pPr>
              <w:shd w:val="clear" w:color="auto" w:fill="FFFFFF"/>
              <w:ind w:firstLine="567"/>
              <w:jc w:val="both"/>
              <w:rPr>
                <w:sz w:val="22"/>
              </w:rPr>
            </w:pPr>
            <w:r w:rsidRPr="00F34DB3">
              <w:rPr>
                <w:sz w:val="22"/>
                <w:lang w:eastAsia="zh-CN"/>
              </w:rPr>
              <w:t>papildināt pantu ar vienpadsmito daļu šādā redakcijā:</w:t>
            </w:r>
          </w:p>
          <w:p w:rsidR="00F34DB3" w:rsidRPr="00F34DB3" w:rsidRDefault="00F34DB3" w:rsidP="00F34DB3">
            <w:pPr>
              <w:shd w:val="clear" w:color="auto" w:fill="FFFFFF"/>
              <w:ind w:firstLine="567"/>
              <w:jc w:val="both"/>
              <w:rPr>
                <w:sz w:val="22"/>
              </w:rPr>
            </w:pPr>
            <w:r w:rsidRPr="00F34DB3">
              <w:rPr>
                <w:sz w:val="22"/>
                <w:lang w:eastAsia="zh-CN"/>
              </w:rPr>
              <w:t xml:space="preserve"> "(11) Atlīdzības par apgādnieka zaudējumu minimālo apmēru pārskata </w:t>
            </w:r>
            <w:r w:rsidRPr="00F34DB3">
              <w:rPr>
                <w:rFonts w:eastAsiaTheme="minorHAnsi"/>
                <w:sz w:val="22"/>
              </w:rPr>
              <w:t>atbilstoši likumā "Par sociālo drošību" noteiktajai minimālo ienākumu sliekšņu pārskatīšanas kārtībai.</w:t>
            </w:r>
            <w:r w:rsidRPr="00F34DB3">
              <w:rPr>
                <w:sz w:val="22"/>
                <w:lang w:eastAsia="zh-CN"/>
              </w:rPr>
              <w:t>"</w:t>
            </w:r>
          </w:p>
        </w:tc>
        <w:tc>
          <w:tcPr>
            <w:tcW w:w="581" w:type="dxa"/>
            <w:vAlign w:val="center"/>
          </w:tcPr>
          <w:p w:rsidR="00F34DB3" w:rsidRPr="007E212E" w:rsidRDefault="00F34DB3" w:rsidP="007643C4">
            <w:pPr>
              <w:jc w:val="center"/>
              <w:rPr>
                <w:b/>
              </w:rPr>
            </w:pPr>
          </w:p>
        </w:tc>
        <w:tc>
          <w:tcPr>
            <w:tcW w:w="3969" w:type="dxa"/>
            <w:vAlign w:val="center"/>
          </w:tcPr>
          <w:p w:rsidR="00F34DB3" w:rsidRPr="007E212E" w:rsidRDefault="00F34DB3" w:rsidP="007643C4">
            <w:pPr>
              <w:jc w:val="center"/>
              <w:rPr>
                <w:b/>
              </w:rPr>
            </w:pPr>
          </w:p>
        </w:tc>
        <w:tc>
          <w:tcPr>
            <w:tcW w:w="1417" w:type="dxa"/>
            <w:vAlign w:val="center"/>
          </w:tcPr>
          <w:p w:rsidR="00F34DB3" w:rsidRPr="007E212E" w:rsidRDefault="00F34DB3" w:rsidP="007643C4">
            <w:pPr>
              <w:jc w:val="center"/>
              <w:rPr>
                <w:b/>
              </w:rPr>
            </w:pPr>
          </w:p>
        </w:tc>
        <w:tc>
          <w:tcPr>
            <w:tcW w:w="1418" w:type="dxa"/>
            <w:vAlign w:val="center"/>
          </w:tcPr>
          <w:p w:rsidR="00F34DB3" w:rsidRPr="007E212E" w:rsidRDefault="00F34DB3" w:rsidP="007643C4">
            <w:pPr>
              <w:jc w:val="center"/>
              <w:rPr>
                <w:b/>
              </w:rPr>
            </w:pPr>
          </w:p>
        </w:tc>
      </w:tr>
      <w:tr w:rsidR="00F92DE5" w:rsidRPr="007E212E" w:rsidTr="007F0D54">
        <w:tc>
          <w:tcPr>
            <w:tcW w:w="3964" w:type="dxa"/>
            <w:shd w:val="clear" w:color="auto" w:fill="auto"/>
          </w:tcPr>
          <w:p w:rsidR="00F92DE5" w:rsidRDefault="00F92DE5" w:rsidP="007643C4">
            <w:pPr>
              <w:pStyle w:val="tv213"/>
              <w:spacing w:before="0" w:beforeAutospacing="0" w:after="0" w:afterAutospacing="0"/>
              <w:ind w:firstLine="567"/>
              <w:jc w:val="both"/>
              <w:rPr>
                <w:b/>
                <w:sz w:val="22"/>
                <w:szCs w:val="22"/>
              </w:rPr>
            </w:pPr>
            <w:r w:rsidRPr="00F34DB3">
              <w:rPr>
                <w:b/>
                <w:sz w:val="22"/>
                <w:szCs w:val="22"/>
              </w:rPr>
              <w:t>Pārejas noteikumi</w:t>
            </w:r>
          </w:p>
          <w:p w:rsidR="00F92DE5" w:rsidRPr="00F92DE5" w:rsidRDefault="00F92DE5" w:rsidP="007643C4">
            <w:pPr>
              <w:pStyle w:val="tv213"/>
              <w:spacing w:before="0" w:beforeAutospacing="0" w:after="0" w:afterAutospacing="0"/>
              <w:ind w:firstLine="567"/>
              <w:jc w:val="both"/>
              <w:rPr>
                <w:sz w:val="22"/>
                <w:szCs w:val="22"/>
              </w:rPr>
            </w:pPr>
            <w:r w:rsidRPr="00F92DE5">
              <w:rPr>
                <w:sz w:val="22"/>
                <w:szCs w:val="22"/>
              </w:rPr>
              <w:t>4. Personām, kuras cietušas nelaimes gadījumā darbā vai kurām konstatēta arodslimība līdz 1997. gada 1. janvārim</w:t>
            </w:r>
            <w:proofErr w:type="gramStart"/>
            <w:r w:rsidRPr="00F92DE5">
              <w:rPr>
                <w:sz w:val="22"/>
                <w:szCs w:val="22"/>
              </w:rPr>
              <w:t>, un personām</w:t>
            </w:r>
            <w:proofErr w:type="gramEnd"/>
            <w:r w:rsidRPr="00F92DE5">
              <w:rPr>
                <w:sz w:val="22"/>
                <w:szCs w:val="22"/>
              </w:rPr>
              <w:t xml:space="preserve">, kam arodslimība, kuras cēlonis ir līdz 1997. gada 1. janvārim veiktais darbs, konstatēta pēc minētā termiņa, bet tās nav uzskatāmas par apdrošinātajām personām saskaņā ar šo likumu, kā arī personām, kurām līdz minētajam termiņam bija tiesības uz kaitējuma atlīdzību par apgādnieka zaudējumu, ja apgādnieka nāves cēlonis bija nelaimes gadījums darbā vai </w:t>
            </w:r>
            <w:r w:rsidRPr="00F92DE5">
              <w:rPr>
                <w:sz w:val="22"/>
                <w:szCs w:val="22"/>
              </w:rPr>
              <w:lastRenderedPageBreak/>
              <w:t>arodslimība, kaitējuma atlīdzību izmaksā darba devējs vai viņa tiesību un saistību pārņēmējs. Ja konstatēts juridisks fakts, ka darba devējs vai viņa tiesību un saistību pārņēmējs, kurš ir atbildīgs par darbā nodarīto kaitējumu, nav nosakāms, kaitējuma atlīdzības izmaksu nodrošina Valsts sociālās apdrošināšanas aģentūra. Kaitējuma atlīdzības aprēķināšanas, finansēšanas un izmaksas kārtību nosaka Ministru kabinets.</w:t>
            </w:r>
          </w:p>
        </w:tc>
        <w:tc>
          <w:tcPr>
            <w:tcW w:w="3969" w:type="dxa"/>
            <w:shd w:val="clear" w:color="auto" w:fill="auto"/>
          </w:tcPr>
          <w:p w:rsidR="00F92DE5" w:rsidRPr="00F34DB3" w:rsidRDefault="00F92DE5" w:rsidP="00F34DB3">
            <w:pPr>
              <w:shd w:val="clear" w:color="auto" w:fill="FFFFFF"/>
              <w:ind w:firstLine="567"/>
              <w:jc w:val="both"/>
              <w:rPr>
                <w:sz w:val="22"/>
                <w:lang w:eastAsia="zh-CN"/>
              </w:rPr>
            </w:pPr>
          </w:p>
        </w:tc>
        <w:tc>
          <w:tcPr>
            <w:tcW w:w="581" w:type="dxa"/>
          </w:tcPr>
          <w:p w:rsidR="00F92DE5" w:rsidRPr="007E212E" w:rsidRDefault="007F0D54" w:rsidP="007F0D54">
            <w:pPr>
              <w:jc w:val="center"/>
              <w:rPr>
                <w:b/>
              </w:rPr>
            </w:pPr>
            <w:r>
              <w:rPr>
                <w:b/>
              </w:rPr>
              <w:t>3</w:t>
            </w:r>
          </w:p>
        </w:tc>
        <w:tc>
          <w:tcPr>
            <w:tcW w:w="3969" w:type="dxa"/>
          </w:tcPr>
          <w:p w:rsidR="00F92DE5" w:rsidRDefault="00F92DE5" w:rsidP="00F92DE5">
            <w:pPr>
              <w:ind w:firstLine="567"/>
              <w:jc w:val="both"/>
              <w:rPr>
                <w:b/>
                <w:sz w:val="22"/>
                <w:u w:val="single"/>
              </w:rPr>
            </w:pPr>
            <w:r w:rsidRPr="006E5F8F">
              <w:rPr>
                <w:b/>
                <w:sz w:val="22"/>
                <w:u w:val="single"/>
              </w:rPr>
              <w:t>Deputāti D.Reizniece-Ozola, V.Valainis, J.Dūklavs</w:t>
            </w:r>
          </w:p>
          <w:p w:rsidR="00900C4E" w:rsidRPr="00900C4E" w:rsidRDefault="00900C4E" w:rsidP="00900C4E">
            <w:pPr>
              <w:ind w:firstLine="567"/>
              <w:jc w:val="both"/>
              <w:rPr>
                <w:sz w:val="22"/>
              </w:rPr>
            </w:pPr>
            <w:r w:rsidRPr="00900C4E">
              <w:rPr>
                <w:sz w:val="22"/>
              </w:rPr>
              <w:t>Precizēt Pārejas noteikumu 4.punkta pirmo teikumu šādā redakcijā:</w:t>
            </w:r>
          </w:p>
          <w:p w:rsidR="00900C4E" w:rsidRPr="00FF46BA" w:rsidRDefault="00900C4E" w:rsidP="00900C4E">
            <w:pPr>
              <w:ind w:firstLine="567"/>
              <w:jc w:val="both"/>
              <w:rPr>
                <w:rFonts w:eastAsia="Times New Roman"/>
                <w:sz w:val="22"/>
                <w:u w:val="single"/>
                <w:lang w:eastAsia="lv-LV"/>
              </w:rPr>
            </w:pPr>
            <w:r w:rsidRPr="00FF46BA">
              <w:rPr>
                <w:sz w:val="22"/>
              </w:rPr>
              <w:t>“4. Personām, kuras cietušas nelaimes gadījumā darbā vai kurām konstatēta arodslimība līdz 1997. gada 1. janvārim</w:t>
            </w:r>
            <w:proofErr w:type="gramStart"/>
            <w:r w:rsidRPr="00FF46BA">
              <w:rPr>
                <w:sz w:val="22"/>
              </w:rPr>
              <w:t>, un personām</w:t>
            </w:r>
            <w:proofErr w:type="gramEnd"/>
            <w:r w:rsidRPr="00FF46BA">
              <w:rPr>
                <w:sz w:val="22"/>
              </w:rPr>
              <w:t xml:space="preserve">, kam arodslimība, kuras cēlonis ir līdz 1997. gada 1. janvārim veiktais darbs, konstatēta pēc minētā termiņa, bet tās nav uzskatāmas par apdrošinātajām personām saskaņā ar šo likumu, kā arī personām, kurām līdz minētajam termiņam bija tiesības uz </w:t>
            </w:r>
            <w:r w:rsidRPr="00FF46BA">
              <w:rPr>
                <w:sz w:val="22"/>
              </w:rPr>
              <w:lastRenderedPageBreak/>
              <w:t xml:space="preserve">kaitējuma atlīdzību par apgādnieka zaudējumu, ja apgādnieka nāves cēlonis bija nelaimes gadījums darbā vai arodslimība, kaitējuma atlīdzību izmaksā darba devējs vai viņa tiesību un saistību pārņēmējs, </w:t>
            </w:r>
            <w:r w:rsidRPr="00FF46BA">
              <w:rPr>
                <w:sz w:val="22"/>
                <w:u w:val="single"/>
              </w:rPr>
              <w:t xml:space="preserve">ja tas noteikts ar </w:t>
            </w:r>
            <w:r w:rsidRPr="00FF46BA">
              <w:rPr>
                <w:rFonts w:eastAsia="Times New Roman"/>
                <w:sz w:val="22"/>
                <w:u w:val="single"/>
                <w:lang w:eastAsia="lv-LV"/>
              </w:rPr>
              <w:t>tiesas nolēmu, privatizācijas vai atsavināšanas noteikumos.”</w:t>
            </w:r>
            <w:r>
              <w:rPr>
                <w:rStyle w:val="FootnoteReference"/>
                <w:rFonts w:eastAsia="Times New Roman"/>
                <w:sz w:val="22"/>
                <w:u w:val="single"/>
                <w:lang w:eastAsia="lv-LV"/>
              </w:rPr>
              <w:footnoteReference w:id="1"/>
            </w:r>
          </w:p>
          <w:p w:rsidR="00F92DE5" w:rsidRPr="007E212E" w:rsidRDefault="00F92DE5" w:rsidP="00F92DE5">
            <w:pPr>
              <w:ind w:firstLine="567"/>
              <w:jc w:val="both"/>
              <w:rPr>
                <w:b/>
              </w:rPr>
            </w:pPr>
          </w:p>
        </w:tc>
        <w:tc>
          <w:tcPr>
            <w:tcW w:w="1417" w:type="dxa"/>
            <w:vAlign w:val="center"/>
          </w:tcPr>
          <w:p w:rsidR="00F92DE5" w:rsidRPr="007E212E" w:rsidRDefault="00F92DE5" w:rsidP="007643C4">
            <w:pPr>
              <w:jc w:val="center"/>
              <w:rPr>
                <w:b/>
              </w:rPr>
            </w:pPr>
          </w:p>
        </w:tc>
        <w:tc>
          <w:tcPr>
            <w:tcW w:w="1418" w:type="dxa"/>
            <w:vAlign w:val="center"/>
          </w:tcPr>
          <w:p w:rsidR="00F92DE5" w:rsidRPr="007E212E" w:rsidRDefault="00F92DE5" w:rsidP="007643C4">
            <w:pPr>
              <w:jc w:val="center"/>
              <w:rPr>
                <w:b/>
              </w:rPr>
            </w:pPr>
          </w:p>
        </w:tc>
      </w:tr>
      <w:tr w:rsidR="00F34DB3" w:rsidRPr="007E212E" w:rsidTr="007643C4">
        <w:tc>
          <w:tcPr>
            <w:tcW w:w="3964" w:type="dxa"/>
            <w:shd w:val="clear" w:color="auto" w:fill="auto"/>
          </w:tcPr>
          <w:p w:rsidR="00F34DB3" w:rsidRPr="00F34DB3" w:rsidRDefault="00F34DB3" w:rsidP="007643C4">
            <w:pPr>
              <w:pStyle w:val="tv213"/>
              <w:spacing w:before="0" w:beforeAutospacing="0" w:after="0" w:afterAutospacing="0"/>
              <w:ind w:firstLine="567"/>
              <w:jc w:val="both"/>
              <w:rPr>
                <w:b/>
                <w:sz w:val="22"/>
                <w:szCs w:val="22"/>
              </w:rPr>
            </w:pPr>
          </w:p>
        </w:tc>
        <w:tc>
          <w:tcPr>
            <w:tcW w:w="3969" w:type="dxa"/>
            <w:shd w:val="clear" w:color="auto" w:fill="auto"/>
          </w:tcPr>
          <w:p w:rsidR="00F34DB3" w:rsidRPr="00F34DB3" w:rsidRDefault="00F34DB3" w:rsidP="00F34DB3">
            <w:pPr>
              <w:ind w:firstLine="567"/>
              <w:jc w:val="both"/>
              <w:rPr>
                <w:sz w:val="22"/>
              </w:rPr>
            </w:pPr>
            <w:r w:rsidRPr="00F34DB3">
              <w:rPr>
                <w:rFonts w:eastAsiaTheme="minorHAnsi" w:cstheme="minorBidi"/>
                <w:sz w:val="22"/>
              </w:rPr>
              <w:t>3. Papildināt pārejas noteikumus ar 28. punktu šādā redakcijā:</w:t>
            </w:r>
          </w:p>
          <w:p w:rsidR="00F34DB3" w:rsidRPr="00F34DB3" w:rsidRDefault="00F34DB3" w:rsidP="00F34DB3">
            <w:pPr>
              <w:ind w:firstLine="567"/>
              <w:contextualSpacing/>
              <w:jc w:val="both"/>
              <w:rPr>
                <w:sz w:val="22"/>
              </w:rPr>
            </w:pPr>
            <w:r w:rsidRPr="00F34DB3">
              <w:rPr>
                <w:rFonts w:eastAsiaTheme="minorHAnsi"/>
                <w:sz w:val="22"/>
              </w:rPr>
              <w:t> "28. Par laikposmu no 2021. gada 1. janvāra līdz 2021. gada 30. aprīlim atlīdzību par apgādnieka zaudējumu, kas nosakāma minimālās atlīdzības apmērā, izmaksā tādā apmērā, kāds bija noteikts atbilstoši normatīvajiem aktiem līdz 2020. gada 31. decembrim, un līdz 2021. gada maijam veic šo minimālo atlīdzību par apgādnieka zaudējumu pārrēķinu, un starpību izmaksā vienlaikus ar 2021. gada maijā izmaksājamo atlīdzību."</w:t>
            </w:r>
          </w:p>
        </w:tc>
        <w:tc>
          <w:tcPr>
            <w:tcW w:w="581" w:type="dxa"/>
            <w:vAlign w:val="center"/>
          </w:tcPr>
          <w:p w:rsidR="00F34DB3" w:rsidRPr="007E212E" w:rsidRDefault="00F34DB3" w:rsidP="007643C4">
            <w:pPr>
              <w:jc w:val="center"/>
              <w:rPr>
                <w:b/>
              </w:rPr>
            </w:pPr>
          </w:p>
        </w:tc>
        <w:tc>
          <w:tcPr>
            <w:tcW w:w="3969" w:type="dxa"/>
            <w:vAlign w:val="center"/>
          </w:tcPr>
          <w:p w:rsidR="00F34DB3" w:rsidRPr="007E212E" w:rsidRDefault="00F34DB3" w:rsidP="007643C4">
            <w:pPr>
              <w:jc w:val="center"/>
              <w:rPr>
                <w:b/>
              </w:rPr>
            </w:pPr>
          </w:p>
        </w:tc>
        <w:tc>
          <w:tcPr>
            <w:tcW w:w="1417" w:type="dxa"/>
            <w:vAlign w:val="center"/>
          </w:tcPr>
          <w:p w:rsidR="00F34DB3" w:rsidRPr="007E212E" w:rsidRDefault="00F34DB3" w:rsidP="007643C4">
            <w:pPr>
              <w:jc w:val="center"/>
              <w:rPr>
                <w:b/>
              </w:rPr>
            </w:pPr>
          </w:p>
        </w:tc>
        <w:tc>
          <w:tcPr>
            <w:tcW w:w="1418" w:type="dxa"/>
            <w:vAlign w:val="center"/>
          </w:tcPr>
          <w:p w:rsidR="00F34DB3" w:rsidRPr="007E212E" w:rsidRDefault="00F34DB3" w:rsidP="007643C4">
            <w:pPr>
              <w:jc w:val="center"/>
              <w:rPr>
                <w:b/>
              </w:rPr>
            </w:pPr>
          </w:p>
        </w:tc>
      </w:tr>
      <w:tr w:rsidR="00F34DB3" w:rsidRPr="007E212E" w:rsidTr="007643C4">
        <w:tc>
          <w:tcPr>
            <w:tcW w:w="3964" w:type="dxa"/>
            <w:shd w:val="clear" w:color="auto" w:fill="auto"/>
          </w:tcPr>
          <w:p w:rsidR="00F34DB3" w:rsidRPr="007E212E" w:rsidRDefault="00F34DB3" w:rsidP="007643C4">
            <w:pPr>
              <w:pStyle w:val="tv213"/>
              <w:spacing w:before="0" w:beforeAutospacing="0" w:after="0" w:afterAutospacing="0"/>
              <w:ind w:firstLine="567"/>
              <w:jc w:val="both"/>
              <w:rPr>
                <w:b/>
                <w:sz w:val="22"/>
                <w:szCs w:val="22"/>
              </w:rPr>
            </w:pPr>
          </w:p>
        </w:tc>
        <w:tc>
          <w:tcPr>
            <w:tcW w:w="3969" w:type="dxa"/>
            <w:shd w:val="clear" w:color="auto" w:fill="auto"/>
            <w:vAlign w:val="center"/>
          </w:tcPr>
          <w:p w:rsidR="00F34DB3" w:rsidRPr="00F34DB3" w:rsidRDefault="00F34DB3" w:rsidP="00F34DB3">
            <w:pPr>
              <w:suppressAutoHyphens/>
              <w:ind w:firstLine="567"/>
              <w:jc w:val="both"/>
              <w:rPr>
                <w:sz w:val="22"/>
              </w:rPr>
            </w:pPr>
            <w:r w:rsidRPr="00F34DB3">
              <w:rPr>
                <w:sz w:val="22"/>
              </w:rPr>
              <w:t>Likums stājas spēkā 2021. gada 1. janvārī.</w:t>
            </w:r>
          </w:p>
        </w:tc>
        <w:tc>
          <w:tcPr>
            <w:tcW w:w="581" w:type="dxa"/>
            <w:vAlign w:val="center"/>
          </w:tcPr>
          <w:p w:rsidR="00F34DB3" w:rsidRPr="007E212E" w:rsidRDefault="00F34DB3" w:rsidP="007643C4">
            <w:pPr>
              <w:jc w:val="center"/>
              <w:rPr>
                <w:b/>
              </w:rPr>
            </w:pPr>
          </w:p>
        </w:tc>
        <w:tc>
          <w:tcPr>
            <w:tcW w:w="3969" w:type="dxa"/>
            <w:vAlign w:val="center"/>
          </w:tcPr>
          <w:p w:rsidR="00F34DB3" w:rsidRPr="007E212E" w:rsidRDefault="00F34DB3" w:rsidP="007643C4">
            <w:pPr>
              <w:jc w:val="center"/>
              <w:rPr>
                <w:b/>
              </w:rPr>
            </w:pPr>
          </w:p>
        </w:tc>
        <w:tc>
          <w:tcPr>
            <w:tcW w:w="1417" w:type="dxa"/>
            <w:vAlign w:val="center"/>
          </w:tcPr>
          <w:p w:rsidR="00F34DB3" w:rsidRPr="007E212E" w:rsidRDefault="00F34DB3" w:rsidP="007643C4">
            <w:pPr>
              <w:jc w:val="center"/>
              <w:rPr>
                <w:b/>
              </w:rPr>
            </w:pPr>
          </w:p>
        </w:tc>
        <w:tc>
          <w:tcPr>
            <w:tcW w:w="1418" w:type="dxa"/>
            <w:vAlign w:val="center"/>
          </w:tcPr>
          <w:p w:rsidR="00F34DB3" w:rsidRPr="007E212E" w:rsidRDefault="00F34DB3" w:rsidP="007643C4">
            <w:pPr>
              <w:jc w:val="center"/>
              <w:rPr>
                <w:b/>
              </w:rPr>
            </w:pPr>
          </w:p>
        </w:tc>
      </w:tr>
    </w:tbl>
    <w:p w:rsidR="00F34DB3" w:rsidRPr="007E212E" w:rsidRDefault="00F34DB3" w:rsidP="00F34DB3"/>
    <w:p w:rsidR="005D4711" w:rsidRDefault="005D4711"/>
    <w:sectPr w:rsidR="005D4711"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B4" w:rsidRDefault="00B61F96">
      <w:r>
        <w:separator/>
      </w:r>
    </w:p>
  </w:endnote>
  <w:endnote w:type="continuationSeparator" w:id="0">
    <w:p w:rsidR="008D2FB4" w:rsidRDefault="00B6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F34DB3"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7F0D54"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F34DB3"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0D54">
      <w:rPr>
        <w:rStyle w:val="PageNumber"/>
        <w:noProof/>
      </w:rPr>
      <w:t>2</w:t>
    </w:r>
    <w:r>
      <w:rPr>
        <w:rStyle w:val="PageNumber"/>
      </w:rPr>
      <w:fldChar w:fldCharType="end"/>
    </w:r>
  </w:p>
  <w:p w:rsidR="00511D34" w:rsidRDefault="007F0D54"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B4" w:rsidRDefault="00B61F96">
      <w:r>
        <w:separator/>
      </w:r>
    </w:p>
  </w:footnote>
  <w:footnote w:type="continuationSeparator" w:id="0">
    <w:p w:rsidR="008D2FB4" w:rsidRDefault="00B61F96">
      <w:r>
        <w:continuationSeparator/>
      </w:r>
    </w:p>
  </w:footnote>
  <w:footnote w:id="1">
    <w:p w:rsidR="00900C4E" w:rsidRPr="00900C4E" w:rsidRDefault="00900C4E" w:rsidP="00900C4E">
      <w:pPr>
        <w:jc w:val="both"/>
        <w:rPr>
          <w:i/>
          <w:sz w:val="20"/>
          <w:szCs w:val="20"/>
        </w:rPr>
      </w:pPr>
      <w:r w:rsidRPr="00900C4E">
        <w:rPr>
          <w:rStyle w:val="FootnoteReference"/>
          <w:i/>
          <w:sz w:val="20"/>
          <w:szCs w:val="20"/>
        </w:rPr>
        <w:footnoteRef/>
      </w:r>
      <w:r w:rsidRPr="00900C4E">
        <w:rPr>
          <w:i/>
          <w:sz w:val="20"/>
          <w:szCs w:val="20"/>
        </w:rPr>
        <w:t xml:space="preserve"> </w:t>
      </w:r>
      <w:r w:rsidRPr="00900C4E">
        <w:rPr>
          <w:rFonts w:eastAsia="Times New Roman"/>
          <w:i/>
          <w:sz w:val="20"/>
          <w:szCs w:val="20"/>
          <w:u w:val="single"/>
          <w:lang w:eastAsia="lv-LV"/>
        </w:rPr>
        <w:t>Pamatojums:</w:t>
      </w:r>
      <w:r w:rsidRPr="00900C4E">
        <w:rPr>
          <w:rFonts w:eastAsia="Times New Roman"/>
          <w:i/>
          <w:sz w:val="20"/>
          <w:szCs w:val="20"/>
          <w:lang w:eastAsia="lv-LV"/>
        </w:rPr>
        <w:t xml:space="preserve"> precizējot </w:t>
      </w:r>
      <w:proofErr w:type="gramStart"/>
      <w:r w:rsidRPr="00900C4E">
        <w:rPr>
          <w:rFonts w:eastAsia="Times New Roman"/>
          <w:i/>
          <w:sz w:val="20"/>
          <w:szCs w:val="20"/>
          <w:lang w:eastAsia="lv-LV"/>
        </w:rPr>
        <w:t>terminu “saistību pārņēmējs” tiek noteikts</w:t>
      </w:r>
      <w:proofErr w:type="gramEnd"/>
      <w:r w:rsidRPr="00900C4E">
        <w:rPr>
          <w:rFonts w:eastAsia="Times New Roman"/>
          <w:i/>
          <w:sz w:val="20"/>
          <w:szCs w:val="20"/>
          <w:lang w:eastAsia="lv-LV"/>
        </w:rPr>
        <w:t xml:space="preserve"> nepārprotams personu loks uz kurām šī norma attiecas un radīts lielākas sociālais taisnīgums uz personām, </w:t>
      </w:r>
      <w:r w:rsidRPr="00900C4E">
        <w:rPr>
          <w:i/>
          <w:sz w:val="20"/>
          <w:szCs w:val="20"/>
        </w:rPr>
        <w:t xml:space="preserve">kuras cietušas nelaimes gadījumā darbā vai kurām konstatēta arodslimība. </w:t>
      </w:r>
    </w:p>
    <w:p w:rsidR="00900C4E" w:rsidRDefault="00900C4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B3"/>
    <w:rsid w:val="005D4711"/>
    <w:rsid w:val="007F0D54"/>
    <w:rsid w:val="00850EED"/>
    <w:rsid w:val="008D2FB4"/>
    <w:rsid w:val="00900C4E"/>
    <w:rsid w:val="00B61F96"/>
    <w:rsid w:val="00F34DB3"/>
    <w:rsid w:val="00F92D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0DE8"/>
  <w15:chartTrackingRefBased/>
  <w15:docId w15:val="{880C2413-603A-4925-BC0D-4F5BEE50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DB3"/>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34DB3"/>
    <w:rPr>
      <w:i/>
      <w:iCs/>
    </w:rPr>
  </w:style>
  <w:style w:type="paragraph" w:styleId="Footer">
    <w:name w:val="footer"/>
    <w:basedOn w:val="Normal"/>
    <w:link w:val="FooterChar"/>
    <w:rsid w:val="00F34DB3"/>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F34DB3"/>
    <w:rPr>
      <w:rFonts w:eastAsia="Times New Roman" w:cs="Times New Roman"/>
      <w:szCs w:val="24"/>
      <w:lang w:val="en-GB"/>
    </w:rPr>
  </w:style>
  <w:style w:type="character" w:styleId="PageNumber">
    <w:name w:val="page number"/>
    <w:rsid w:val="00F34DB3"/>
  </w:style>
  <w:style w:type="paragraph" w:customStyle="1" w:styleId="tv213">
    <w:name w:val="tv213"/>
    <w:basedOn w:val="Normal"/>
    <w:rsid w:val="00F34DB3"/>
    <w:pPr>
      <w:spacing w:before="100" w:beforeAutospacing="1" w:after="100" w:afterAutospacing="1"/>
    </w:pPr>
    <w:rPr>
      <w:rFonts w:eastAsia="Times New Roman"/>
      <w:szCs w:val="24"/>
      <w:lang w:eastAsia="lv-LV"/>
    </w:rPr>
  </w:style>
  <w:style w:type="character" w:styleId="Hyperlink">
    <w:name w:val="Hyperlink"/>
    <w:basedOn w:val="DefaultParagraphFont"/>
    <w:uiPriority w:val="99"/>
    <w:semiHidden/>
    <w:unhideWhenUsed/>
    <w:rsid w:val="00F34DB3"/>
    <w:rPr>
      <w:color w:val="0000FF"/>
      <w:u w:val="single"/>
    </w:rPr>
  </w:style>
  <w:style w:type="paragraph" w:styleId="FootnoteText">
    <w:name w:val="footnote text"/>
    <w:basedOn w:val="Normal"/>
    <w:link w:val="FootnoteTextChar"/>
    <w:uiPriority w:val="99"/>
    <w:semiHidden/>
    <w:unhideWhenUsed/>
    <w:rsid w:val="00900C4E"/>
    <w:rPr>
      <w:sz w:val="20"/>
      <w:szCs w:val="20"/>
    </w:rPr>
  </w:style>
  <w:style w:type="character" w:customStyle="1" w:styleId="FootnoteTextChar">
    <w:name w:val="Footnote Text Char"/>
    <w:basedOn w:val="DefaultParagraphFont"/>
    <w:link w:val="FootnoteText"/>
    <w:uiPriority w:val="99"/>
    <w:semiHidden/>
    <w:rsid w:val="00900C4E"/>
    <w:rPr>
      <w:rFonts w:eastAsia="Calibri" w:cs="Times New Roman"/>
      <w:sz w:val="20"/>
      <w:szCs w:val="20"/>
    </w:rPr>
  </w:style>
  <w:style w:type="character" w:styleId="FootnoteReference">
    <w:name w:val="footnote reference"/>
    <w:basedOn w:val="DefaultParagraphFont"/>
    <w:uiPriority w:val="99"/>
    <w:semiHidden/>
    <w:unhideWhenUsed/>
    <w:rsid w:val="00900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48496">
      <w:bodyDiv w:val="1"/>
      <w:marLeft w:val="0"/>
      <w:marRight w:val="0"/>
      <w:marTop w:val="0"/>
      <w:marBottom w:val="0"/>
      <w:divBdr>
        <w:top w:val="none" w:sz="0" w:space="0" w:color="auto"/>
        <w:left w:val="none" w:sz="0" w:space="0" w:color="auto"/>
        <w:bottom w:val="none" w:sz="0" w:space="0" w:color="auto"/>
        <w:right w:val="none" w:sz="0" w:space="0" w:color="auto"/>
      </w:divBdr>
    </w:div>
    <w:div w:id="17766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9D279-DDA5-4C12-B2D2-D3FAF4FF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5582</Words>
  <Characters>3183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6</cp:revision>
  <dcterms:created xsi:type="dcterms:W3CDTF">2020-10-15T11:35:00Z</dcterms:created>
  <dcterms:modified xsi:type="dcterms:W3CDTF">2020-10-30T12:59:00Z</dcterms:modified>
</cp:coreProperties>
</file>