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5EEE" w:rsidR="00D02649" w:rsidP="00410998" w:rsidRDefault="000A34E3" w14:paraId="6AF89973" w14:textId="0F974E06">
      <w:pPr>
        <w:jc w:val="center"/>
        <w:rPr>
          <w:b/>
          <w:bCs/>
        </w:rPr>
      </w:pPr>
      <w:r w:rsidRPr="0016067D">
        <w:rPr>
          <w:b/>
          <w:bCs/>
        </w:rPr>
        <w:t xml:space="preserve">Ministru kabineta </w:t>
      </w:r>
      <w:r w:rsidRPr="00410998" w:rsidR="00410998">
        <w:rPr>
          <w:b/>
          <w:bCs/>
        </w:rPr>
        <w:t>noteikumu projekta "Grozījums Ministru kabineta 2018. gada 3.jūlija noteikumos Nr. 395 "Eiropas infrastruktūras savienošanas instrumenta finansēto transporta un telekomunikāciju nozares projektu saskaņošanas un īstenošanas uzraudzības kārtība"" sākotnējās ietekmes novērtējuma ziņojums (anotācija)</w:t>
      </w: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155"/>
        <w:gridCol w:w="5902"/>
      </w:tblGrid>
      <w:tr w:rsidRPr="00265EEE" w:rsidR="00F10CDA" w:rsidTr="006F59AA" w14:paraId="1F799A7B" w14:textId="77777777">
        <w:trPr>
          <w:trHeight w:val="419"/>
        </w:trPr>
        <w:tc>
          <w:tcPr>
            <w:tcW w:w="5000" w:type="pct"/>
            <w:gridSpan w:val="2"/>
            <w:vAlign w:val="center"/>
          </w:tcPr>
          <w:p w:rsidRPr="00265EEE" w:rsidR="00F10CDA" w:rsidP="006F59AA" w:rsidRDefault="00F10CDA" w14:paraId="5E23D39A" w14:textId="77777777">
            <w:pPr>
              <w:pStyle w:val="naisnod"/>
              <w:spacing w:before="0" w:beforeAutospacing="0" w:after="0" w:afterAutospacing="0"/>
              <w:ind w:left="57" w:right="57"/>
              <w:jc w:val="center"/>
              <w:rPr>
                <w:b/>
              </w:rPr>
            </w:pPr>
            <w:r w:rsidRPr="00265EEE">
              <w:rPr>
                <w:b/>
              </w:rPr>
              <w:t xml:space="preserve">Tiesību akta projekta anotācijas </w:t>
            </w:r>
            <w:r w:rsidRPr="00265EEE">
              <w:rPr>
                <w:b/>
                <w:bCs/>
                <w:iCs/>
              </w:rPr>
              <w:t>kopsavilkums</w:t>
            </w:r>
          </w:p>
        </w:tc>
      </w:tr>
      <w:tr w:rsidRPr="00265EEE" w:rsidR="00F10CDA" w:rsidTr="00F10CDA" w14:paraId="781CFAEF" w14:textId="77777777">
        <w:trPr>
          <w:trHeight w:val="415"/>
        </w:trPr>
        <w:tc>
          <w:tcPr>
            <w:tcW w:w="1742" w:type="pct"/>
          </w:tcPr>
          <w:p w:rsidRPr="00265EEE" w:rsidR="00F10CDA" w:rsidP="00F10CDA" w:rsidRDefault="00F10CDA" w14:paraId="17282ADE" w14:textId="77777777">
            <w:pPr>
              <w:pStyle w:val="naiskr"/>
              <w:spacing w:before="0" w:beforeAutospacing="0" w:after="0" w:afterAutospacing="0"/>
              <w:ind w:left="57" w:right="57"/>
            </w:pPr>
            <w:r w:rsidRPr="00265EEE">
              <w:rPr>
                <w:iCs/>
              </w:rPr>
              <w:t>Mērķis, risinājums un projekta spēkā stāšanās laiks (500 zīmes bez atstarpēm)</w:t>
            </w:r>
          </w:p>
        </w:tc>
        <w:tc>
          <w:tcPr>
            <w:tcW w:w="3258" w:type="pct"/>
          </w:tcPr>
          <w:p w:rsidR="00410998" w:rsidP="00410998" w:rsidRDefault="00410998" w14:paraId="56949EE5" w14:textId="3EAB3656">
            <w:pPr>
              <w:jc w:val="both"/>
            </w:pPr>
            <w:r w:rsidRPr="00410998">
              <w:t>Grozījums 2018.gada 3.jūlija Ministru kabineta noteikumos (Nr.395 “Eiropas infrastruktūras savienošanas instrumenta finansēto transporta un telekomunikāciju nozares projektu saskaņošanas un īstenošanas uzraudzības kārtība” (turpmāk – Noteikumi Nr.395) ir izstrādāts</w:t>
            </w:r>
            <w:r w:rsidR="005E0F4D">
              <w:t>,</w:t>
            </w:r>
            <w:r w:rsidRPr="00410998">
              <w:t xml:space="preserve"> pamatojoties uz </w:t>
            </w:r>
            <w:r w:rsidR="00370E71">
              <w:t xml:space="preserve">Ministru kabineta </w:t>
            </w:r>
            <w:r w:rsidRPr="00410998">
              <w:t xml:space="preserve">2020.gada 6.oktobra sēdes </w:t>
            </w:r>
            <w:proofErr w:type="spellStart"/>
            <w:r w:rsidRPr="00410998">
              <w:t>protokollēmuma</w:t>
            </w:r>
            <w:proofErr w:type="spellEnd"/>
            <w:r w:rsidRPr="00410998">
              <w:t xml:space="preserve"> “Par Eiropas infrastruktūras savienošanas instrumenta sestā projektu uzsaukuma finansējumu Rail Baltica projektam” (prot.Nr.59 44.§) 5.punktu, kas paredz </w:t>
            </w:r>
            <w:r w:rsidR="00370E71">
              <w:t xml:space="preserve">uzdevumu </w:t>
            </w:r>
            <w:r w:rsidRPr="00410998">
              <w:t xml:space="preserve">Satiksmes ministrijai (turpmāk – SM) sagatavot un satiksmes ministram līdz 2020.gada 22.oktobrim noteiktā kārtībā iesniegt izskatīšanai </w:t>
            </w:r>
            <w:r w:rsidR="00370E71">
              <w:t>Ministru kabinetā</w:t>
            </w:r>
            <w:r w:rsidR="00AF1646">
              <w:t xml:space="preserve"> </w:t>
            </w:r>
            <w:r w:rsidRPr="00410998">
              <w:t>Noteikumu Nr.395 grozījumu attiecībā uz Rail Baltica projekta izmaksu</w:t>
            </w:r>
            <w:r w:rsidRPr="004376E3" w:rsidR="004376E3">
              <w:t>, kas neatbilst finansēšanas līguma nosacījumiem,</w:t>
            </w:r>
            <w:r w:rsidRPr="00410998" w:rsidR="004376E3">
              <w:t xml:space="preserve"> </w:t>
            </w:r>
            <w:r w:rsidRPr="00410998">
              <w:t>segšanu no valsts budžeta.</w:t>
            </w:r>
          </w:p>
          <w:p w:rsidRPr="00D02649" w:rsidR="00AF1646" w:rsidP="00410998" w:rsidRDefault="00AF1646" w14:paraId="7B013361" w14:textId="79220CE3">
            <w:pPr>
              <w:jc w:val="both"/>
              <w:rPr>
                <w:color w:val="000000"/>
              </w:rPr>
            </w:pPr>
            <w:r>
              <w:rPr>
                <w:iCs/>
              </w:rPr>
              <w:t>Noteikumu projekts</w:t>
            </w:r>
            <w:r w:rsidRPr="00076314">
              <w:rPr>
                <w:iCs/>
              </w:rPr>
              <w:t xml:space="preserve"> stāsies spēkā Oficiālo publikāciju un tiesiskās informācijas likumā noteiktajā vispārējā kārtībā.</w:t>
            </w:r>
          </w:p>
        </w:tc>
      </w:tr>
    </w:tbl>
    <w:p w:rsidRPr="00E40874" w:rsidR="00551A0F" w:rsidP="00696675" w:rsidRDefault="00551A0F" w14:paraId="0AD395D8" w14:textId="77777777">
      <w:pPr>
        <w:tabs>
          <w:tab w:val="left" w:pos="1125"/>
        </w:tabs>
        <w:rPr>
          <w:sz w:val="22"/>
          <w:szCs w:val="22"/>
        </w:rPr>
      </w:pPr>
    </w:p>
    <w:tbl>
      <w:tblPr>
        <w:tblpPr w:leftFromText="180" w:rightFromText="180" w:vertAnchor="text" w:horzAnchor="margin" w:tblpXSpec="center" w:tblpY="149"/>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9"/>
        <w:gridCol w:w="2725"/>
        <w:gridCol w:w="5905"/>
      </w:tblGrid>
      <w:tr w:rsidRPr="00265EEE" w:rsidR="00551A0F" w:rsidTr="000B0091" w14:paraId="0A2ECB7D" w14:textId="77777777">
        <w:trPr>
          <w:trHeight w:val="419"/>
        </w:trPr>
        <w:tc>
          <w:tcPr>
            <w:tcW w:w="5000" w:type="pct"/>
            <w:gridSpan w:val="3"/>
            <w:vAlign w:val="center"/>
          </w:tcPr>
          <w:p w:rsidRPr="00265EEE" w:rsidR="00551A0F" w:rsidP="00017065" w:rsidRDefault="00551A0F" w14:paraId="72282C0C" w14:textId="77777777">
            <w:pPr>
              <w:pStyle w:val="naisnod"/>
              <w:spacing w:before="0" w:beforeAutospacing="0" w:after="0" w:afterAutospacing="0"/>
              <w:ind w:left="57" w:right="57"/>
              <w:jc w:val="center"/>
              <w:rPr>
                <w:b/>
              </w:rPr>
            </w:pPr>
            <w:r w:rsidRPr="00265EEE">
              <w:rPr>
                <w:b/>
              </w:rPr>
              <w:t>I. Tiesību akta projekta izstrādes nepieciešamība</w:t>
            </w:r>
          </w:p>
        </w:tc>
      </w:tr>
      <w:tr w:rsidRPr="00265EEE" w:rsidR="00551A0F" w:rsidTr="000B0091" w14:paraId="26516C0F" w14:textId="77777777">
        <w:trPr>
          <w:trHeight w:val="415"/>
        </w:trPr>
        <w:tc>
          <w:tcPr>
            <w:tcW w:w="237" w:type="pct"/>
          </w:tcPr>
          <w:p w:rsidRPr="00265EEE" w:rsidR="00551A0F" w:rsidP="00017065" w:rsidRDefault="00551A0F" w14:paraId="40412917" w14:textId="77777777">
            <w:pPr>
              <w:pStyle w:val="naiskr"/>
              <w:spacing w:before="0" w:beforeAutospacing="0" w:after="0" w:afterAutospacing="0"/>
              <w:ind w:left="57" w:right="57"/>
              <w:jc w:val="center"/>
            </w:pPr>
            <w:r w:rsidRPr="00265EEE">
              <w:t>1.</w:t>
            </w:r>
          </w:p>
        </w:tc>
        <w:tc>
          <w:tcPr>
            <w:tcW w:w="1504" w:type="pct"/>
          </w:tcPr>
          <w:p w:rsidRPr="00265EEE" w:rsidR="00551A0F" w:rsidP="00017065" w:rsidRDefault="00551A0F" w14:paraId="1ED2376A" w14:textId="77777777">
            <w:pPr>
              <w:pStyle w:val="naiskr"/>
              <w:spacing w:before="0" w:beforeAutospacing="0" w:after="0" w:afterAutospacing="0"/>
              <w:ind w:left="57" w:right="57"/>
            </w:pPr>
            <w:r w:rsidRPr="00265EEE">
              <w:t>Pamatojums</w:t>
            </w:r>
          </w:p>
        </w:tc>
        <w:tc>
          <w:tcPr>
            <w:tcW w:w="3259" w:type="pct"/>
          </w:tcPr>
          <w:p w:rsidRPr="00BB3200" w:rsidR="002015B1" w:rsidP="00410998" w:rsidRDefault="00AF1646" w14:paraId="01A4B21B" w14:textId="40530132">
            <w:pPr>
              <w:jc w:val="both"/>
              <w:rPr>
                <w:szCs w:val="22"/>
              </w:rPr>
            </w:pPr>
            <w:r>
              <w:rPr>
                <w:szCs w:val="22"/>
              </w:rPr>
              <w:t xml:space="preserve">Ministru kabineta 2020.gada 6.oktobra sēdes </w:t>
            </w:r>
            <w:proofErr w:type="spellStart"/>
            <w:r>
              <w:rPr>
                <w:szCs w:val="22"/>
              </w:rPr>
              <w:t>protokollēmuma</w:t>
            </w:r>
            <w:proofErr w:type="spellEnd"/>
            <w:r>
              <w:rPr>
                <w:szCs w:val="22"/>
              </w:rPr>
              <w:t xml:space="preserve"> </w:t>
            </w:r>
            <w:r w:rsidR="001A7367">
              <w:rPr>
                <w:szCs w:val="22"/>
              </w:rPr>
              <w:t xml:space="preserve"> (prot.Nr.59, 44.§) 5.punkts.</w:t>
            </w:r>
          </w:p>
        </w:tc>
      </w:tr>
      <w:tr w:rsidRPr="00265EEE" w:rsidR="00D47D98" w:rsidTr="000B0091" w14:paraId="5589370A" w14:textId="77777777">
        <w:trPr>
          <w:trHeight w:val="472"/>
        </w:trPr>
        <w:tc>
          <w:tcPr>
            <w:tcW w:w="237" w:type="pct"/>
          </w:tcPr>
          <w:p w:rsidRPr="00265EEE" w:rsidR="00D47D98" w:rsidP="00D47D98" w:rsidRDefault="00D47D98" w14:paraId="1CAB4269" w14:textId="77777777">
            <w:pPr>
              <w:pStyle w:val="naiskr"/>
              <w:spacing w:before="0" w:beforeAutospacing="0" w:after="0" w:afterAutospacing="0"/>
              <w:ind w:left="57" w:right="57"/>
              <w:jc w:val="center"/>
            </w:pPr>
            <w:r w:rsidRPr="00265EEE">
              <w:t>2.</w:t>
            </w:r>
          </w:p>
        </w:tc>
        <w:tc>
          <w:tcPr>
            <w:tcW w:w="1504" w:type="pct"/>
          </w:tcPr>
          <w:p w:rsidRPr="00265EEE" w:rsidR="00D47D98" w:rsidP="00D47D98" w:rsidRDefault="00D47D98" w14:paraId="711F75A5" w14:textId="77777777">
            <w:pPr>
              <w:pStyle w:val="naiskr"/>
              <w:tabs>
                <w:tab w:val="left" w:pos="170"/>
              </w:tabs>
              <w:spacing w:before="0" w:beforeAutospacing="0" w:after="0" w:afterAutospacing="0"/>
              <w:ind w:left="57" w:right="57"/>
            </w:pPr>
            <w:r w:rsidRPr="00265EEE">
              <w:t>Pašreizējā situācija un problēmas, kuru risināšanai tiesību akta projekts izstrādāts, tiesiskā regulējuma mērķis un būtība</w:t>
            </w:r>
          </w:p>
        </w:tc>
        <w:tc>
          <w:tcPr>
            <w:tcW w:w="3259" w:type="pct"/>
          </w:tcPr>
          <w:p w:rsidRPr="0000220B" w:rsidR="00410998" w:rsidP="00410998" w:rsidRDefault="00410998" w14:paraId="49AAC312" w14:textId="7263668A">
            <w:pPr>
              <w:jc w:val="both"/>
            </w:pPr>
            <w:r w:rsidRPr="0000220B">
              <w:t xml:space="preserve">Rail Baltica projekta (turpmāk – RB Projekts) finansēšanai, piesaistot Eiropas Infrastruktūras un inovāciju aģentūras pārziņā esošā Eiropas savienošanas instrumenta (turpmāk – EISI) līdzekļus, laika posmā no 2015.gada līdz 2020.gadam ir parakstīti trīs EISI finansēšanas līgumi un </w:t>
            </w:r>
            <w:r w:rsidRPr="0000220B" w:rsidR="00C61754">
              <w:t>div</w:t>
            </w:r>
            <w:r w:rsidRPr="0000220B" w:rsidR="001A7367">
              <w:t>i</w:t>
            </w:r>
            <w:r w:rsidRPr="0000220B">
              <w:t xml:space="preserve"> finansēšanas līguma grozījum</w:t>
            </w:r>
            <w:r w:rsidRPr="0000220B" w:rsidR="00575616">
              <w:t>i</w:t>
            </w:r>
            <w:r w:rsidRPr="0000220B">
              <w:t xml:space="preserve">. Baltijas valstis un </w:t>
            </w:r>
            <w:r w:rsidRPr="0000220B" w:rsidR="00B06477">
              <w:t xml:space="preserve">RB </w:t>
            </w:r>
            <w:r w:rsidRPr="0000220B" w:rsidR="001A7367">
              <w:t>P</w:t>
            </w:r>
            <w:r w:rsidRPr="0000220B">
              <w:t>rojekta koordinators, akciju sabiedrība “RB Rail” (turpmāk – RBR), ir apņēmušās investēt RB Projekta finansējumu 819 855 833 euro apmērā, kas ietver gan EISI finansējumu, gan valsts budžeta līdzfinansējumu. Tādejādi ārvalstu finanšu palīdzības daļa līdz šim noslēgtajiem trīs EISI finansēšanas līgumiem ir 682 895 993 euro, tajā skaitā 292 098 895 euro EISI finansējums ir paredzēts Latvijas aktivitāšu īstenošanai, no tiem ārvalstu finanšu palīdzības daļa ir 240 567 215 euro.</w:t>
            </w:r>
          </w:p>
          <w:p w:rsidRPr="0000220B" w:rsidR="00410998" w:rsidP="00410998" w:rsidRDefault="00410998" w14:paraId="370A712A" w14:textId="391E4820">
            <w:pPr>
              <w:jc w:val="both"/>
            </w:pPr>
            <w:r w:rsidRPr="0000220B">
              <w:t xml:space="preserve">RB Projekta aktivitāšu īstenošanas izmaksās būtisks īpatsvars ir pievienotās vērtības nodokļa (turpmāk – PVN) daļai. 2018.gadā Eiropas Komisija (turpmāk – EK) mainīja nostāju PVN </w:t>
            </w:r>
            <w:proofErr w:type="spellStart"/>
            <w:r w:rsidRPr="0000220B">
              <w:t>attiecināmības</w:t>
            </w:r>
            <w:proofErr w:type="spellEnd"/>
            <w:r w:rsidRPr="0000220B">
              <w:t xml:space="preserve"> jautājumā EISI transporta un enerģētikas projektos. </w:t>
            </w:r>
            <w:r w:rsidRPr="0000220B" w:rsidR="00556D11">
              <w:t xml:space="preserve"> Nostājas maiņa nozīmē, ka RB Projektā</w:t>
            </w:r>
            <w:r w:rsidRPr="0000220B" w:rsidR="001A7367">
              <w:t>,</w:t>
            </w:r>
            <w:r w:rsidRPr="0000220B" w:rsidR="00556D11">
              <w:t xml:space="preserve"> sākot ar 2017.gadu</w:t>
            </w:r>
            <w:r w:rsidRPr="0000220B" w:rsidR="001A7367">
              <w:t>,</w:t>
            </w:r>
            <w:r w:rsidRPr="0000220B" w:rsidR="00556D11">
              <w:t xml:space="preserve"> PVN ir RB Projekta izmaksas</w:t>
            </w:r>
            <w:r w:rsidRPr="0000220B" w:rsidR="00EF62ED">
              <w:t>, kas neatbilst finansēšanas līguma nosacījumie</w:t>
            </w:r>
            <w:r w:rsidR="00750CE2">
              <w:t>m</w:t>
            </w:r>
            <w:r w:rsidRPr="0000220B" w:rsidR="00556D11">
              <w:t xml:space="preserve">. </w:t>
            </w:r>
            <w:r w:rsidRPr="0000220B">
              <w:t>Šī mainītā EK pieeja tiek pamatota ar to, ka PVN attiecināšana tiešā veidā papildina dalībvalstu budžetus no EISI finanšu palīdzības, kas</w:t>
            </w:r>
            <w:r w:rsidRPr="0000220B" w:rsidR="001A7367">
              <w:t>,</w:t>
            </w:r>
            <w:r w:rsidRPr="0000220B">
              <w:t xml:space="preserve"> savukārt</w:t>
            </w:r>
            <w:r w:rsidRPr="0000220B" w:rsidR="001A7367">
              <w:t>,</w:t>
            </w:r>
            <w:r w:rsidRPr="0000220B">
              <w:t xml:space="preserve"> </w:t>
            </w:r>
            <w:r w:rsidRPr="0000220B">
              <w:lastRenderedPageBreak/>
              <w:t xml:space="preserve">neatbilst EISI mērķim veicināt ieguldījumus Eiropas komunikāciju tīklos, piesaistot publiskā un privātā sektora finansējumu. Līdz ar to nosacījums par PVN </w:t>
            </w:r>
            <w:proofErr w:type="spellStart"/>
            <w:r w:rsidRPr="0000220B">
              <w:t>neattiecināmību</w:t>
            </w:r>
            <w:proofErr w:type="spellEnd"/>
            <w:r w:rsidRPr="0000220B">
              <w:t xml:space="preserve"> tiek piemērots visiem EISI finansēšanas līgumiem. Līdz ar to, lai nodrošinātu RB Projekta attiecināmo izmaksu finansējumu EISI finansēšanas līgumos noteiktajā apjomā, Baltijas valstīm ir jānodrošina RB Projekta ietvaros veiktajiem PVN maksājumiem atbilstoša finansējuma atgriešana RB Projekt</w:t>
            </w:r>
            <w:r w:rsidRPr="0000220B" w:rsidR="001A7367">
              <w:t>a</w:t>
            </w:r>
            <w:r w:rsidRPr="0000220B">
              <w:t xml:space="preserve"> budžetā. No Latvijas valsts budžeta kompensējamais PVN apmērs izriet no maksājumiem Latvijas aktivitāšu īstenošanas ietvaros vai RBR veikto RB Projekta horizontālo aktivitāšu ietvaros, t.i. tādu RBR  īstenoto aktivitāšu, kuras līdzfinansē visas Baltijas valstis, ietvaros. </w:t>
            </w:r>
          </w:p>
          <w:p w:rsidRPr="0000220B" w:rsidR="00410998" w:rsidP="00410998" w:rsidRDefault="00410998" w14:paraId="26A43A1E" w14:textId="77777777">
            <w:pPr>
              <w:jc w:val="both"/>
            </w:pPr>
            <w:r w:rsidRPr="0000220B">
              <w:t>Attiecībā uz PVN Latvijas aktivitāšu ietvaros Ministru kabinets (turpmāk – MK) 2019.gada 10.decembrī izskatīja SM informatīvo ziņojumu “Par pievienotās vērtības nodokļa finansējumu Latvijas aktivitāšu īstenošanai Rail Baltica projektā” (TA—2449, prot.Nr.57 95.§), nosakot, ka Latvijas aktivitāšu PVN maksājumu summas nodrošināšanai 2020.gadā un turpmāk Satiksmes ministrija nepieciešamības gadījumā normatīvajos aktos noteiktā kārtībā iesniedz Finanšu ministrijā valsts budžeta līdzekļu pārdales pieprasījumu no 74.resora “Gadskārtējā valsts budžeta izpildes procesā pārdalāmais finansējums” budžeta programmas 80.00.00 “Nesadalītais finansējums ES politiku instrumentu un pārējās ārvalstu finanšu palīdzības līdzfinansēto projektu un pasākumu īstenošanai”.</w:t>
            </w:r>
          </w:p>
          <w:p w:rsidRPr="0000220B" w:rsidR="00410998" w:rsidP="00410998" w:rsidRDefault="00410998" w14:paraId="05564CEB" w14:textId="5E680B8F">
            <w:pPr>
              <w:jc w:val="both"/>
            </w:pPr>
            <w:r w:rsidRPr="0000220B">
              <w:t xml:space="preserve">Attiecībā uz PVN RBR veikto aktivitāšu ietvaros MK 2019.gada 3.decembrī ir izskatījis SM informatīvo ziņojumu “Par pievienotās vērtības nodokļa finansējumu RB Rail AS aktivitāšu īstenošanai Latvijas teritorijā” (TA—2395, prot.Nr.56 37.§), </w:t>
            </w:r>
            <w:proofErr w:type="spellStart"/>
            <w:r w:rsidRPr="0000220B" w:rsidR="001A7367">
              <w:t>protokollēmuma</w:t>
            </w:r>
            <w:proofErr w:type="spellEnd"/>
            <w:r w:rsidRPr="0000220B" w:rsidR="001A7367">
              <w:t xml:space="preserve"> 4.punktā </w:t>
            </w:r>
            <w:r w:rsidRPr="0000220B">
              <w:t>nosakot uzdevumu Satiksmes ministrijai līdz 2020.gada 5.martam iesniegt izskatīšanai MK jautājumu par RBR aktivitāšu RB Projekta ietvaros līdzfinansēšanu no valsts budžeta ar 2020.gadu, tai skaitā nepieciešamo finansējumu pievienotās vērtības nodokļa maksājumu nodrošināšanai.</w:t>
            </w:r>
          </w:p>
          <w:p w:rsidRPr="0000220B" w:rsidR="00353ED8" w:rsidP="00D85BF7" w:rsidRDefault="00410998" w14:paraId="45923C87" w14:textId="07FABC81">
            <w:pPr>
              <w:jc w:val="both"/>
            </w:pPr>
            <w:r w:rsidRPr="0000220B">
              <w:t>2020.gada 6.oktobrī MK izskatīja SM  informatīvo ziņojum</w:t>
            </w:r>
            <w:r w:rsidRPr="0000220B" w:rsidR="001A7367">
              <w:t>u</w:t>
            </w:r>
            <w:r w:rsidRPr="0000220B">
              <w:t xml:space="preserve"> “Par Eiropas infrastruktūras savienošanas instrumenta sestā projektu uzsaukuma finansējumu Rail Baltica projektam” (TA—1820-IP, prot.Nr.59 44.§), uzdodot SM sagatavot un satiksmes ministram līdz 2020.gada 22.oktobrim noteiktā kārtībā iesniegt izskatīšanai MK </w:t>
            </w:r>
            <w:r w:rsidRPr="0000220B" w:rsidR="001A7367">
              <w:t xml:space="preserve">grozījumus </w:t>
            </w:r>
            <w:r w:rsidRPr="0000220B">
              <w:t xml:space="preserve">2018.gada 3.jūlija noteikumos Nr.395 “Eiropas infrastruktūras savienošanas instrumenta finansēto transporta un telekomunikāciju nozares projektu saskaņošanas un īstenošanas uzraudzības kārtība” (turpmāk – Noteikumi Nr.395) attiecībā uz Rail Baltica projekta </w:t>
            </w:r>
            <w:r w:rsidRPr="0000220B" w:rsidR="00EF62ED">
              <w:t xml:space="preserve">izmaksu, kas neatbilst finansēšanas līguma nosacījumiem, </w:t>
            </w:r>
            <w:r w:rsidRPr="0000220B">
              <w:t xml:space="preserve">segšanu no valsts budžeta. Noteikumu Nr.395 7.punktā noteikts, ka valsts budžeta līdzfinansējumu izmanto tikai finansēšanas līgumā </w:t>
            </w:r>
            <w:r w:rsidRPr="0000220B">
              <w:lastRenderedPageBreak/>
              <w:t>paredzēto RB Projekta attiecināmo darbību izmaksu segšanai, un, ja veiktās izmaksas neatbilst finansēšanas līguma nosacījumiem, atbalsta saņēmējs tās sedz no saviem līdzekļiem. Tā kā SM ir jānodrošina PVN kompensēšana</w:t>
            </w:r>
            <w:r w:rsidRPr="0000220B" w:rsidR="00353ED8">
              <w:t xml:space="preserve">  no Latvijas valsts budžeta līdzekļiem RB Projekta budžetam par PVN apliekamiem darījumiem projekta ietvaros, k</w:t>
            </w:r>
            <w:r w:rsidRPr="0000220B" w:rsidR="001A7367">
              <w:t>ā</w:t>
            </w:r>
            <w:r w:rsidRPr="0000220B" w:rsidR="00353ED8">
              <w:t xml:space="preserve"> rezultātā PVN nonāk Latvijas valsts budžetā,</w:t>
            </w:r>
            <w:r w:rsidRPr="0000220B">
              <w:t xml:space="preserve"> ir nepieciešams veikt grozījumu Noteikumos Nr.395. Grozījums paredz, ka papildus Noteikumu Nr.395 7.punktā noteiktajam, ka atbalsta saņēmējs </w:t>
            </w:r>
            <w:r w:rsidRPr="0000220B" w:rsidR="00EF62ED">
              <w:t>izmaksas, kas neatbilst finansēšanas līguma nosacījumiem,</w:t>
            </w:r>
            <w:r w:rsidRPr="0000220B" w:rsidR="00EF62ED">
              <w:rPr>
                <w:sz w:val="28"/>
                <w:szCs w:val="28"/>
              </w:rPr>
              <w:t xml:space="preserve"> </w:t>
            </w:r>
            <w:r w:rsidRPr="0000220B">
              <w:t xml:space="preserve">sedz no saviem līdzekļiem, </w:t>
            </w:r>
            <w:r w:rsidRPr="0000220B" w:rsidR="003E0625">
              <w:t>izmaksu, kas neatbilst finansēšanas līguma nosacījumiem,</w:t>
            </w:r>
            <w:r w:rsidRPr="0000220B" w:rsidR="001A7367">
              <w:t xml:space="preserve"> </w:t>
            </w:r>
            <w:r w:rsidRPr="0000220B">
              <w:t>segšanai var izmantot arī šim mērķim piešķirtus valsts budžeta līdzekļus, ja projekta mērķis ir nacionālo interešu objekta izveide.</w:t>
            </w:r>
            <w:r w:rsidRPr="0000220B" w:rsidR="00353ED8">
              <w:t xml:space="preserve">  Valsts budžeta līdzekļus šādā gadījumā piešķirs saskaņā ar normatīvo aktu par kārtību, kādā pārdala 74. resora "Gadskārtējā valsts budžeta izpildes procesā pārdalāmais finansējums" 80.00.00 programmā "Nesadalītais finansējums Eiropas Savienības politiku instrumentu un pārējās ārvalstu finanšu palīdzības līdzfinansēto projektu un pasākumu īstenošanai" plānotos līdzekļus.  Ministru kabineta </w:t>
            </w:r>
            <w:r w:rsidRPr="0000220B" w:rsidR="00D85BF7">
              <w:t xml:space="preserve">2018. gada 17. jūlija </w:t>
            </w:r>
            <w:r w:rsidRPr="0000220B" w:rsidR="00353ED8">
              <w:t>noteikum</w:t>
            </w:r>
            <w:r w:rsidRPr="0000220B" w:rsidR="00D85BF7">
              <w:t>u</w:t>
            </w:r>
            <w:r w:rsidRPr="0000220B" w:rsidR="00353ED8">
              <w:t xml:space="preserve"> Nr. 421 “Kārtība, kādā veic gadskārtējā valsts budžeta likumā noteiktās apropriācijas izmaiņas”</w:t>
            </w:r>
            <w:r w:rsidRPr="0000220B" w:rsidR="00D85BF7">
              <w:t xml:space="preserve"> 24.3 apakšpunktā noteikts, ka no 80.00.00 programmas piešķir līdzekļus budžeta iestādēm Eiropas Savienības politiku instrumentu un pārējās ārvalstu finanšu palīdzības projektu </w:t>
            </w:r>
            <w:r w:rsidRPr="0000220B" w:rsidR="003E0625">
              <w:t xml:space="preserve"> izmaksu, kas neatbilst finansēšanas līguma nosacījumiem, </w:t>
            </w:r>
            <w:r w:rsidRPr="0000220B" w:rsidR="00D85BF7">
              <w:t xml:space="preserve">segšanai tikai tajos gadījumos un tādā apmērā, kāds noteikts tiesību aktos vai </w:t>
            </w:r>
            <w:proofErr w:type="spellStart"/>
            <w:r w:rsidRPr="0000220B" w:rsidR="00D85BF7">
              <w:t>donorvalsts</w:t>
            </w:r>
            <w:proofErr w:type="spellEnd"/>
            <w:r w:rsidRPr="0000220B" w:rsidR="00D85BF7">
              <w:t xml:space="preserve"> apstiprinātajos projekta nosacījumos.</w:t>
            </w:r>
          </w:p>
          <w:p w:rsidRPr="0000220B" w:rsidR="00410998" w:rsidP="00410998" w:rsidRDefault="00410998" w14:paraId="360643C9" w14:textId="61573223">
            <w:pPr>
              <w:jc w:val="both"/>
            </w:pPr>
            <w:r w:rsidRPr="0000220B">
              <w:t>Ar grozījumu</w:t>
            </w:r>
            <w:r w:rsidRPr="0000220B" w:rsidR="00655AB3">
              <w:t xml:space="preserve"> Noteikumos Nr.395</w:t>
            </w:r>
            <w:r w:rsidRPr="0000220B">
              <w:t xml:space="preserve"> tiks ņemta vērā situācija, ka apjomīgiem infrastruktūras projektiem var tikt izveidots tāds ieviešanas modelis, kur aktivitāšu īstenošanu veic speciāli šim mērķim izveidotas kapitālsabiedrības, kurām pašām nav savu ieņēmumu, bet tās tikai rīkojas ar konkrēt</w:t>
            </w:r>
            <w:r w:rsidRPr="0000220B" w:rsidR="005E782E">
              <w:t>ā</w:t>
            </w:r>
            <w:r w:rsidRPr="0000220B">
              <w:t xml:space="preserve"> projekta finansēšanai piešķirtiem ārvalstu finanšu palīdzības līdzekļiem </w:t>
            </w:r>
            <w:r w:rsidRPr="0000220B" w:rsidR="005E782E">
              <w:t>un</w:t>
            </w:r>
            <w:r w:rsidRPr="0000220B">
              <w:t xml:space="preserve"> </w:t>
            </w:r>
            <w:r w:rsidRPr="0000220B" w:rsidR="00675524">
              <w:t xml:space="preserve">attiecīgiem </w:t>
            </w:r>
            <w:r w:rsidRPr="0000220B">
              <w:t xml:space="preserve">valsts budžeta </w:t>
            </w:r>
            <w:r w:rsidRPr="0000220B" w:rsidR="005E782E">
              <w:t xml:space="preserve">līdzfinansējuma </w:t>
            </w:r>
            <w:r w:rsidRPr="0000220B">
              <w:t xml:space="preserve">līdzekļiem. RB Projekta īstenošanas ietvaros šādā situācijā atrodas sabiedrība ar ierobežotu atbildību “Eiropas dzelzceļa līnijas” un </w:t>
            </w:r>
            <w:r w:rsidRPr="0000220B" w:rsidR="00655AB3">
              <w:t>RBR</w:t>
            </w:r>
            <w:r w:rsidRPr="0000220B">
              <w:t>.</w:t>
            </w:r>
            <w:r w:rsidRPr="0000220B" w:rsidR="00291B85">
              <w:t xml:space="preserve"> Abas minētās kapitālsabiedrības atbilstoši </w:t>
            </w:r>
            <w:r w:rsidRPr="0000220B" w:rsidR="00675524">
              <w:t xml:space="preserve">SM </w:t>
            </w:r>
            <w:r w:rsidRPr="0000220B" w:rsidR="00291B85">
              <w:t xml:space="preserve">deleģētājiem uzdevumiem </w:t>
            </w:r>
            <w:r w:rsidRPr="0000220B" w:rsidR="008F2709">
              <w:t>izlieto</w:t>
            </w:r>
            <w:r w:rsidRPr="0000220B" w:rsidR="00291B85">
              <w:t xml:space="preserve"> RB Projekta finansējumu, vadot iepirkumus, slēdzot līgumus un apstrādājot rēķinus.</w:t>
            </w:r>
          </w:p>
          <w:p w:rsidRPr="0000220B" w:rsidR="00410998" w:rsidP="00410998" w:rsidRDefault="00410998" w14:paraId="60E4A923" w14:textId="3B35067B">
            <w:pPr>
              <w:jc w:val="both"/>
            </w:pPr>
            <w:r w:rsidRPr="0000220B">
              <w:t xml:space="preserve">Papildus PVN kompensēšanai, RB Projekta īstenošanā rodas </w:t>
            </w:r>
            <w:r w:rsidRPr="0000220B" w:rsidR="000A0631">
              <w:t xml:space="preserve">ar pārvaldību saistītas </w:t>
            </w:r>
            <w:r w:rsidRPr="0000220B" w:rsidR="003E0625">
              <w:rPr>
                <w:sz w:val="28"/>
                <w:szCs w:val="28"/>
              </w:rPr>
              <w:t xml:space="preserve"> </w:t>
            </w:r>
            <w:r w:rsidRPr="0000220B" w:rsidR="003E0625">
              <w:t>izmaksas, kas neatbilst finansēšanas līguma nosacījumiem</w:t>
            </w:r>
            <w:r w:rsidRPr="0000220B">
              <w:t xml:space="preserve">, kuras finansē Baltijas valstis vienlīdzīgās daļās (33.33% apmērā katra). Šīs izmaksas ir </w:t>
            </w:r>
            <w:r w:rsidRPr="0000220B" w:rsidR="002E1438">
              <w:t>nepieciešamas</w:t>
            </w:r>
            <w:r w:rsidRPr="0000220B">
              <w:t xml:space="preserve"> RB Projekta </w:t>
            </w:r>
            <w:r w:rsidRPr="0000220B" w:rsidR="002E1438">
              <w:t>īstenošanas nodrošināšanai,</w:t>
            </w:r>
            <w:r w:rsidRPr="0000220B">
              <w:t xml:space="preserve"> taču </w:t>
            </w:r>
            <w:r w:rsidRPr="0000220B" w:rsidR="002E1438">
              <w:t xml:space="preserve">tās </w:t>
            </w:r>
            <w:r w:rsidRPr="0000220B">
              <w:t xml:space="preserve">nav </w:t>
            </w:r>
            <w:r w:rsidRPr="0000220B" w:rsidR="002E1438">
              <w:t xml:space="preserve">neatbilst </w:t>
            </w:r>
            <w:r w:rsidRPr="0000220B">
              <w:t>EISI finansēšanas līgum</w:t>
            </w:r>
            <w:r w:rsidRPr="0000220B" w:rsidR="002E1438">
              <w:t xml:space="preserve">u nosacījumiem, t.i. tās nevar attiecināt kā </w:t>
            </w:r>
            <w:r w:rsidRPr="0000220B">
              <w:t xml:space="preserve"> </w:t>
            </w:r>
            <w:r w:rsidRPr="0000220B" w:rsidR="002E1438">
              <w:t xml:space="preserve">EISI finansēšanas līgumos </w:t>
            </w:r>
            <w:r w:rsidRPr="0000220B">
              <w:t>paredzēto RB Projekta aktivitāšu izmaks</w:t>
            </w:r>
            <w:r w:rsidRPr="0000220B" w:rsidR="002E1438">
              <w:t>as</w:t>
            </w:r>
            <w:r w:rsidRPr="0000220B">
              <w:t xml:space="preserve">. Šādas RB Projekta izmaksas </w:t>
            </w:r>
            <w:r w:rsidRPr="0000220B">
              <w:lastRenderedPageBreak/>
              <w:t xml:space="preserve">ir RBR padomes atalgojums, biroja vadības (korporatīvās) izmaksas, atsevišķi ar RBR pārvaldību saistīti ārpakalpojumi, padomes komandējumu un sanāksmju izmaksas, citas izmaksas, kas saistītas ar padomes darbību, kā arī citas RB Projektam pieskaitāmas netiešās izmaksas. </w:t>
            </w:r>
          </w:p>
          <w:p w:rsidRPr="0000220B" w:rsidR="00410998" w:rsidP="00410998" w:rsidRDefault="00410998" w14:paraId="44B0BC48" w14:textId="0E7CCCA1">
            <w:pPr>
              <w:jc w:val="both"/>
            </w:pPr>
            <w:r w:rsidRPr="0000220B">
              <w:t xml:space="preserve">Lai nodrošinātu efektīvāku RB Projekta īstenošanas administratīvo resursu izlietojumu un sistematizētu valsts budžeta līdzekļu novirzīšanas procesu RB Projekta </w:t>
            </w:r>
            <w:r w:rsidRPr="0000220B" w:rsidR="002E7804">
              <w:rPr>
                <w:sz w:val="28"/>
                <w:szCs w:val="28"/>
              </w:rPr>
              <w:t xml:space="preserve"> </w:t>
            </w:r>
            <w:r w:rsidRPr="0000220B" w:rsidR="002E7804">
              <w:t xml:space="preserve">izmaksu, kas neatbilst finansēšanas līguma nosacījumiem, </w:t>
            </w:r>
            <w:r w:rsidRPr="0000220B">
              <w:t xml:space="preserve">segšanai, </w:t>
            </w:r>
            <w:r w:rsidRPr="0000220B" w:rsidR="00655AB3">
              <w:t>grozījumos paredzēto N</w:t>
            </w:r>
            <w:r w:rsidRPr="0000220B">
              <w:t>oteikumu Nr.395 7.</w:t>
            </w:r>
            <w:r w:rsidRPr="0000220B" w:rsidR="000A0631">
              <w:rPr>
                <w:vertAlign w:val="superscript"/>
              </w:rPr>
              <w:t>1</w:t>
            </w:r>
            <w:r w:rsidRPr="0000220B">
              <w:t xml:space="preserve"> </w:t>
            </w:r>
            <w:r w:rsidRPr="0000220B" w:rsidR="00655AB3">
              <w:t xml:space="preserve">punkta </w:t>
            </w:r>
            <w:r w:rsidRPr="0000220B">
              <w:t xml:space="preserve">kārtību </w:t>
            </w:r>
            <w:r w:rsidRPr="0000220B" w:rsidR="000A0631">
              <w:t xml:space="preserve">var piemērot </w:t>
            </w:r>
            <w:r w:rsidRPr="0000220B">
              <w:t xml:space="preserve">valsts budžeta līdzekļu nodrošināšanai to RB Projekta </w:t>
            </w:r>
            <w:r w:rsidRPr="0000220B" w:rsidR="002E7804">
              <w:rPr>
                <w:sz w:val="28"/>
                <w:szCs w:val="28"/>
              </w:rPr>
              <w:t xml:space="preserve"> </w:t>
            </w:r>
            <w:r w:rsidRPr="0000220B" w:rsidR="002E7804">
              <w:t xml:space="preserve">izmaksu, kas neatbilst finansēšanas līguma nosacījumiem, </w:t>
            </w:r>
            <w:r w:rsidRPr="0000220B">
              <w:t xml:space="preserve">segšanai,  kuras nav tieši saistītas ar RB Projekta rezultātu sasniegšanu, bet nodrošina atbilstošus apstākļus </w:t>
            </w:r>
            <w:r w:rsidRPr="0000220B" w:rsidR="0000584F">
              <w:t>EISI</w:t>
            </w:r>
            <w:r w:rsidRPr="0000220B" w:rsidR="000A0631">
              <w:t xml:space="preserve"> finansēšanas līgum</w:t>
            </w:r>
            <w:r w:rsidRPr="0000220B" w:rsidR="0000584F">
              <w:t>os paredzēto attiecināmo darbību izmaksu segšanai</w:t>
            </w:r>
            <w:r w:rsidRPr="0000220B">
              <w:t xml:space="preserve"> un rezultātu sasniegšanai un kuras nebūtu radušās, ja netiktu īstenots RB Projekts un netiktu veiktas RB  Projekta tiešās attiecināmās izmaksas.</w:t>
            </w:r>
          </w:p>
          <w:p w:rsidR="00675524" w:rsidP="00675524" w:rsidRDefault="00675524" w14:paraId="0C30D598" w14:textId="1F8A48ED">
            <w:pPr>
              <w:jc w:val="both"/>
            </w:pPr>
            <w:r w:rsidRPr="0000220B">
              <w:t xml:space="preserve">Nosakot Noteikumos Nr.395 kārtību, kādos gadījumos </w:t>
            </w:r>
            <w:r w:rsidRPr="0000220B" w:rsidR="003F0256">
              <w:rPr>
                <w:sz w:val="28"/>
                <w:szCs w:val="28"/>
              </w:rPr>
              <w:t xml:space="preserve"> </w:t>
            </w:r>
            <w:r w:rsidRPr="0000220B" w:rsidR="003F0256">
              <w:t xml:space="preserve">izmaksu, kas neatbilst finansēšanas līguma nosacījumiem, </w:t>
            </w:r>
            <w:r w:rsidRPr="0000220B">
              <w:t xml:space="preserve">segšanai var izmantot valsts budžeta līdzekļus, ar grozījumu tiks  nodrošināta sistēmiska pieeja attiecībā uz ar RB Projekta ieviešanu saistīto izmaksu, kuras neatbilst EISI finansēšanas līguma nosacījumiem, finansēšanu. Grozījums neizslēdz nepieciešamību SM saņemt MK lēmumu par konkrētu </w:t>
            </w:r>
            <w:r w:rsidRPr="0000220B" w:rsidR="003F0256">
              <w:rPr>
                <w:sz w:val="28"/>
                <w:szCs w:val="28"/>
              </w:rPr>
              <w:t xml:space="preserve"> </w:t>
            </w:r>
            <w:r w:rsidRPr="0000220B" w:rsidR="003F0256">
              <w:t xml:space="preserve">izmaksu, kas neatbilst finansēšanas līguma nosacījumiem, </w:t>
            </w:r>
            <w:r w:rsidRPr="0000220B">
              <w:t>segšanu no valsts budžeta, ja tāds lēmums nav ticis pieņemts.</w:t>
            </w:r>
          </w:p>
          <w:p w:rsidR="00C41A17" w:rsidP="000B0091" w:rsidRDefault="00C41A17" w14:paraId="171C74A2" w14:textId="73E06CC9">
            <w:pPr>
              <w:ind w:right="130"/>
              <w:jc w:val="both"/>
            </w:pPr>
            <w:r>
              <w:t>Noteikumu Nr.395 5.punkts paredz, ka</w:t>
            </w:r>
            <w:r w:rsidRPr="00C41A17">
              <w:t xml:space="preserve"> Satiksmes ministrija kā valsts budžeta iestāde, kas koordinē transporta un sakaru politikas īstenošanu</w:t>
            </w:r>
            <w:r>
              <w:t>, slēdz līgumu  ar</w:t>
            </w:r>
            <w:r w:rsidRPr="00C41A17">
              <w:t xml:space="preserve"> atbalsta saņēmēj</w:t>
            </w:r>
            <w:r w:rsidR="00394698">
              <w:t>u</w:t>
            </w:r>
            <w:r w:rsidRPr="00C41A17">
              <w:t xml:space="preserve">, kas nav valsts budžeta iestāde, </w:t>
            </w:r>
            <w:r>
              <w:t xml:space="preserve">par </w:t>
            </w:r>
            <w:r w:rsidRPr="00C41A17">
              <w:t>valsts budžeta līdzfinansējum</w:t>
            </w:r>
            <w:r w:rsidR="00394698">
              <w:t>a</w:t>
            </w:r>
            <w:r w:rsidRPr="00C41A17">
              <w:t xml:space="preserve"> piešķiršan</w:t>
            </w:r>
            <w:r>
              <w:t>u</w:t>
            </w:r>
            <w:r w:rsidRPr="00C41A17">
              <w:t>.</w:t>
            </w:r>
            <w:r>
              <w:t xml:space="preserve"> Par RBR pārvaldības finansēšanu, RB </w:t>
            </w:r>
            <w:r w:rsidR="00394698">
              <w:t>P</w:t>
            </w:r>
            <w:r>
              <w:t>rojekta horizontālo aktivitāšu līdzfinansēšanu</w:t>
            </w:r>
            <w:r w:rsidR="007E69C4">
              <w:t>,</w:t>
            </w:r>
            <w:r>
              <w:t xml:space="preserve"> PVN kompensēšanu</w:t>
            </w:r>
            <w:r w:rsidR="00394698">
              <w:t xml:space="preserve"> RBR</w:t>
            </w:r>
            <w:r>
              <w:t xml:space="preserve"> tiek slēgts </w:t>
            </w:r>
            <w:r w:rsidR="007E69C4">
              <w:t xml:space="preserve">daudzpusējs </w:t>
            </w:r>
            <w:r>
              <w:t>finansēšanas līgums starp RBR</w:t>
            </w:r>
            <w:r w:rsidR="007E69C4">
              <w:t>, RBR akcionāriem un</w:t>
            </w:r>
            <w:r>
              <w:t xml:space="preserve"> </w:t>
            </w:r>
            <w:r w:rsidR="007E69C4">
              <w:t xml:space="preserve">par RB Projektu atbildīgajām Baltijas valstu ministrijām, kurā ir atrunāti noteikumi attiecībā uz katras valsts iemaksām RBR budžetā (turpmāk – IFA Līgums). </w:t>
            </w:r>
            <w:r w:rsidR="00394698">
              <w:t>Jāatzīmē, ka</w:t>
            </w:r>
            <w:r w:rsidR="0035664C">
              <w:t xml:space="preserve"> arī citas iespējamas RBR izmaksas, kuras neatbilstu finansēšanas līgumiem, tiktu finansētas</w:t>
            </w:r>
            <w:r w:rsidR="00394698">
              <w:t xml:space="preserve"> pie nosacījuma</w:t>
            </w:r>
            <w:r w:rsidR="0035664C">
              <w:t xml:space="preserve">, ja tās būtu iekļautas IFA Līgumā vai citā līdzvērtīgā starp SM un RBR noslēgtā dokumentā. </w:t>
            </w:r>
            <w:r w:rsidR="007E69C4">
              <w:t xml:space="preserve">Tā kā </w:t>
            </w:r>
            <w:r w:rsidR="00394698">
              <w:t xml:space="preserve">saskaņā ar IFA Līgumu </w:t>
            </w:r>
            <w:r w:rsidR="007E69C4">
              <w:t xml:space="preserve">Latvijas daļa tiek maksāta subsīdiju formā, IFA Līgums paredz, ka RBR sniedz </w:t>
            </w:r>
            <w:r w:rsidR="00394698">
              <w:t xml:space="preserve">SM </w:t>
            </w:r>
            <w:r w:rsidR="007E69C4">
              <w:t>ikmēneša atskaiti (</w:t>
            </w:r>
            <w:r w:rsidR="009F0757">
              <w:t>samazināts informācijas apjoms)</w:t>
            </w:r>
            <w:r w:rsidR="007E69C4">
              <w:t xml:space="preserve">, </w:t>
            </w:r>
            <w:r w:rsidR="009F0757">
              <w:t>kā arī ceturkšņa atskaiti (detalizēts informācijas apjoms). Papildus IFA Līgums paredz, ka RBR izstrādā rīku atskaišu ģenerēšanai un maksājumu informācijas</w:t>
            </w:r>
            <w:r w:rsidR="00394698">
              <w:t xml:space="preserve"> (dokumentu)</w:t>
            </w:r>
            <w:r w:rsidR="009F0757">
              <w:t xml:space="preserve"> saglabāšanai, nodrošinot SM piekļuvi informācijai, kas nepieciešama finansējuma izlietojuma kontrolei.</w:t>
            </w:r>
          </w:p>
          <w:p w:rsidRPr="0000220B" w:rsidR="00C41A17" w:rsidP="00675524" w:rsidRDefault="002A31D2" w14:paraId="4F35AB7F" w14:textId="0F165F6E">
            <w:pPr>
              <w:jc w:val="both"/>
            </w:pPr>
            <w:r>
              <w:lastRenderedPageBreak/>
              <w:t xml:space="preserve">Ņemot vērā Ministru kabineta 2020.gada 8.septembra </w:t>
            </w:r>
            <w:r w:rsidRPr="002A31D2">
              <w:t>prot</w:t>
            </w:r>
            <w:r>
              <w:t>okola</w:t>
            </w:r>
            <w:r w:rsidRPr="002A31D2">
              <w:t xml:space="preserve"> Nr.53.</w:t>
            </w:r>
            <w:r>
              <w:t xml:space="preserve"> </w:t>
            </w:r>
            <w:r w:rsidRPr="002A31D2">
              <w:t>34.§.</w:t>
            </w:r>
            <w:r>
              <w:t xml:space="preserve"> 3.punktu SM ir atbildīga par i</w:t>
            </w:r>
            <w:r w:rsidRPr="002A31D2">
              <w:t>nformatīv</w:t>
            </w:r>
            <w:r>
              <w:t>ajā</w:t>
            </w:r>
            <w:r w:rsidRPr="002A31D2">
              <w:t xml:space="preserve"> ziņojum</w:t>
            </w:r>
            <w:r>
              <w:t>ā</w:t>
            </w:r>
            <w:r w:rsidRPr="002A31D2">
              <w:t xml:space="preserve"> "Par Rail Baltica projekta ieviešanas modeļa Latvijā pilnveidi"</w:t>
            </w:r>
            <w:r>
              <w:t xml:space="preserve"> izklāstītā RB</w:t>
            </w:r>
            <w:r w:rsidRPr="002A31D2">
              <w:t xml:space="preserve"> </w:t>
            </w:r>
            <w:r>
              <w:t>P</w:t>
            </w:r>
            <w:r w:rsidRPr="002A31D2">
              <w:t>rojekta integrētās ieviešanas Latvijā modeļa īstenošan</w:t>
            </w:r>
            <w:r>
              <w:t xml:space="preserve">u. Tā kā minētais  </w:t>
            </w:r>
            <w:r w:rsidRPr="002A31D2">
              <w:t xml:space="preserve">RB Projekta </w:t>
            </w:r>
            <w:r>
              <w:t xml:space="preserve">ieviešanas modelis paredz </w:t>
            </w:r>
            <w:r w:rsidR="00394698">
              <w:t>palielināt</w:t>
            </w:r>
            <w:r>
              <w:t xml:space="preserve"> RBR atbildīb</w:t>
            </w:r>
            <w:r w:rsidR="00394698">
              <w:t>as apjomu</w:t>
            </w:r>
            <w:r>
              <w:t xml:space="preserve"> par </w:t>
            </w:r>
            <w:r w:rsidR="00394698">
              <w:t xml:space="preserve">Latvijas </w:t>
            </w:r>
            <w:r>
              <w:t xml:space="preserve">infrastruktūras izveides (projektēšanu un būvniecību) aktivitātēm, tad SM </w:t>
            </w:r>
            <w:r w:rsidR="0035664C">
              <w:t>attiecīgi precizēs pilnvarojuma dokumentus, paredzot papildus noteikumus par RBR deleģēto Latvijas RB Projekta aktivitāšu finansējuma, tostarp budžeta līdzfinansējuma izlietojum</w:t>
            </w:r>
            <w:r w:rsidR="00394698">
              <w:t>a kontroli</w:t>
            </w:r>
            <w:r w:rsidR="0035664C">
              <w:t>.</w:t>
            </w:r>
          </w:p>
          <w:p w:rsidRPr="0000220B" w:rsidR="00482BB3" w:rsidP="00410998" w:rsidRDefault="00482BB3" w14:paraId="05C4449F" w14:textId="266C562F">
            <w:pPr>
              <w:jc w:val="both"/>
              <w:rPr>
                <w:iCs/>
                <w:color w:val="000000"/>
              </w:rPr>
            </w:pPr>
          </w:p>
        </w:tc>
      </w:tr>
      <w:tr w:rsidRPr="00265EEE" w:rsidR="00551A0F" w:rsidTr="000B0091" w14:paraId="3EFFF5B8" w14:textId="77777777">
        <w:trPr>
          <w:trHeight w:val="476"/>
        </w:trPr>
        <w:tc>
          <w:tcPr>
            <w:tcW w:w="237" w:type="pct"/>
          </w:tcPr>
          <w:p w:rsidRPr="00265EEE" w:rsidR="00551A0F" w:rsidP="00017065" w:rsidRDefault="00551A0F" w14:paraId="0C116C14" w14:textId="77777777">
            <w:pPr>
              <w:pStyle w:val="naiskr"/>
              <w:spacing w:before="0" w:beforeAutospacing="0" w:after="0" w:afterAutospacing="0"/>
              <w:ind w:left="57" w:right="57"/>
              <w:jc w:val="center"/>
            </w:pPr>
            <w:r w:rsidRPr="00265EEE">
              <w:lastRenderedPageBreak/>
              <w:t>3.</w:t>
            </w:r>
          </w:p>
        </w:tc>
        <w:tc>
          <w:tcPr>
            <w:tcW w:w="1504" w:type="pct"/>
          </w:tcPr>
          <w:p w:rsidRPr="00265EEE" w:rsidR="00551A0F" w:rsidP="00017065" w:rsidRDefault="00551A0F" w14:paraId="136BEEE5" w14:textId="4CCDD9C0">
            <w:pPr>
              <w:pStyle w:val="naiskr"/>
              <w:spacing w:before="0" w:beforeAutospacing="0" w:after="0" w:afterAutospacing="0"/>
              <w:ind w:left="57" w:right="57"/>
            </w:pPr>
            <w:r w:rsidRPr="00265EEE">
              <w:t>Projekta izstrādē iesaistītās institūcijas</w:t>
            </w:r>
            <w:r w:rsidRPr="00265EEE" w:rsidR="00BA0D43">
              <w:rPr>
                <w:iCs/>
                <w:color w:val="414142"/>
              </w:rPr>
              <w:t xml:space="preserve"> </w:t>
            </w:r>
            <w:r w:rsidR="008C111F">
              <w:rPr>
                <w:iCs/>
                <w:color w:val="414142"/>
              </w:rPr>
              <w:t>un publiskas personas kapitālsabiedrības</w:t>
            </w:r>
          </w:p>
        </w:tc>
        <w:tc>
          <w:tcPr>
            <w:tcW w:w="3259" w:type="pct"/>
          </w:tcPr>
          <w:p w:rsidRPr="00265EEE" w:rsidR="00EE39A4" w:rsidP="004B4548" w:rsidRDefault="00D47D98" w14:paraId="772419D5" w14:textId="5698B995">
            <w:pPr>
              <w:ind w:left="57" w:right="57"/>
              <w:jc w:val="both"/>
            </w:pPr>
            <w:r w:rsidRPr="00265EEE">
              <w:t>Satiksmes ministrija</w:t>
            </w:r>
            <w:r w:rsidR="004B4548">
              <w:t>.</w:t>
            </w:r>
          </w:p>
        </w:tc>
      </w:tr>
      <w:tr w:rsidRPr="00265EEE" w:rsidR="00551A0F" w:rsidTr="000B0091" w14:paraId="2A351EFD" w14:textId="77777777">
        <w:tc>
          <w:tcPr>
            <w:tcW w:w="237" w:type="pct"/>
          </w:tcPr>
          <w:p w:rsidRPr="00265EEE" w:rsidR="00551A0F" w:rsidP="00017065" w:rsidRDefault="00551A0F" w14:paraId="7C8258B3" w14:textId="77777777">
            <w:pPr>
              <w:pStyle w:val="naiskr"/>
              <w:spacing w:before="0" w:beforeAutospacing="0" w:after="0" w:afterAutospacing="0"/>
              <w:ind w:left="57" w:right="57"/>
              <w:jc w:val="center"/>
            </w:pPr>
            <w:r w:rsidRPr="00265EEE">
              <w:t>4.</w:t>
            </w:r>
          </w:p>
        </w:tc>
        <w:tc>
          <w:tcPr>
            <w:tcW w:w="1504" w:type="pct"/>
          </w:tcPr>
          <w:p w:rsidRPr="00265EEE" w:rsidR="00551A0F" w:rsidP="00017065" w:rsidRDefault="00551A0F" w14:paraId="2F91C875" w14:textId="77777777">
            <w:pPr>
              <w:pStyle w:val="naiskr"/>
              <w:spacing w:before="0" w:beforeAutospacing="0" w:after="0" w:afterAutospacing="0"/>
              <w:ind w:left="57" w:right="57"/>
            </w:pPr>
            <w:r w:rsidRPr="00265EEE">
              <w:t>Cita informācija</w:t>
            </w:r>
          </w:p>
        </w:tc>
        <w:tc>
          <w:tcPr>
            <w:tcW w:w="3259" w:type="pct"/>
          </w:tcPr>
          <w:p w:rsidRPr="00265EEE" w:rsidR="00551A0F" w:rsidP="00EA4942" w:rsidRDefault="00D47D98" w14:paraId="06C40D0B" w14:textId="77777777">
            <w:pPr>
              <w:pStyle w:val="NormalWeb"/>
              <w:spacing w:before="0" w:after="0"/>
              <w:ind w:right="13"/>
              <w:jc w:val="both"/>
            </w:pPr>
            <w:r w:rsidRPr="00265EEE">
              <w:t>Nav.</w:t>
            </w:r>
          </w:p>
        </w:tc>
      </w:tr>
    </w:tbl>
    <w:p w:rsidRPr="00BB3200" w:rsidR="002847B9" w:rsidP="00665649" w:rsidRDefault="002847B9" w14:paraId="52F28808" w14:textId="77777777">
      <w:pPr>
        <w:ind w:firstLine="720"/>
      </w:pPr>
    </w:p>
    <w:tbl>
      <w:tblPr>
        <w:tblpPr w:leftFromText="180" w:rightFromText="180" w:vertAnchor="text" w:horzAnchor="margin" w:tblpXSpec="center" w:tblpY="119"/>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766"/>
        <w:gridCol w:w="5880"/>
      </w:tblGrid>
      <w:tr w:rsidRPr="00265EEE" w:rsidR="00551A0F" w:rsidTr="006243B1" w14:paraId="26A3911B" w14:textId="77777777">
        <w:trPr>
          <w:trHeight w:val="556"/>
        </w:trPr>
        <w:tc>
          <w:tcPr>
            <w:tcW w:w="9077" w:type="dxa"/>
            <w:gridSpan w:val="3"/>
            <w:vAlign w:val="center"/>
          </w:tcPr>
          <w:p w:rsidRPr="00265EEE" w:rsidR="00551A0F" w:rsidP="00017065" w:rsidRDefault="00551A0F" w14:paraId="3D59769E" w14:textId="77777777">
            <w:pPr>
              <w:pStyle w:val="naisnod"/>
              <w:spacing w:before="0" w:beforeAutospacing="0" w:after="0" w:afterAutospacing="0"/>
              <w:ind w:left="57" w:right="57"/>
              <w:jc w:val="center"/>
              <w:rPr>
                <w:b/>
              </w:rPr>
            </w:pPr>
            <w:r w:rsidRPr="00265EEE">
              <w:rPr>
                <w:b/>
              </w:rPr>
              <w:t>II. Tiesību akta projekta ietekme uz sabiedrību, tautsaimniecības attīstību</w:t>
            </w:r>
          </w:p>
          <w:p w:rsidRPr="00265EEE" w:rsidR="00551A0F" w:rsidP="00017065" w:rsidRDefault="00551A0F" w14:paraId="2C2871D4" w14:textId="77777777">
            <w:pPr>
              <w:pStyle w:val="naisnod"/>
              <w:spacing w:before="0" w:beforeAutospacing="0" w:after="0" w:afterAutospacing="0"/>
              <w:ind w:left="57" w:right="57"/>
              <w:jc w:val="center"/>
              <w:rPr>
                <w:b/>
              </w:rPr>
            </w:pPr>
            <w:r w:rsidRPr="00265EEE">
              <w:rPr>
                <w:b/>
              </w:rPr>
              <w:t>un administratīvo slogu</w:t>
            </w:r>
          </w:p>
        </w:tc>
      </w:tr>
      <w:tr w:rsidRPr="00265EEE" w:rsidR="00551A0F" w:rsidTr="006243B1" w14:paraId="38AC62C3" w14:textId="77777777">
        <w:trPr>
          <w:trHeight w:val="467"/>
        </w:trPr>
        <w:tc>
          <w:tcPr>
            <w:tcW w:w="431" w:type="dxa"/>
          </w:tcPr>
          <w:p w:rsidRPr="00265EEE" w:rsidR="00551A0F" w:rsidP="00017065" w:rsidRDefault="00551A0F" w14:paraId="6C029066" w14:textId="77777777">
            <w:pPr>
              <w:pStyle w:val="naiskr"/>
              <w:spacing w:before="0" w:beforeAutospacing="0" w:after="0" w:afterAutospacing="0"/>
              <w:ind w:left="57" w:right="57"/>
              <w:jc w:val="both"/>
            </w:pPr>
            <w:r w:rsidRPr="00265EEE">
              <w:t>1.</w:t>
            </w:r>
          </w:p>
        </w:tc>
        <w:tc>
          <w:tcPr>
            <w:tcW w:w="2766" w:type="dxa"/>
          </w:tcPr>
          <w:p w:rsidRPr="00265EEE" w:rsidR="00551A0F" w:rsidP="00017065" w:rsidRDefault="00551A0F" w14:paraId="396A7FDB" w14:textId="77777777">
            <w:pPr>
              <w:pStyle w:val="naiskr"/>
              <w:spacing w:before="0" w:beforeAutospacing="0" w:after="0" w:afterAutospacing="0"/>
              <w:ind w:left="57" w:right="57"/>
            </w:pPr>
            <w:r w:rsidRPr="00265EEE">
              <w:t xml:space="preserve">Sabiedrības </w:t>
            </w:r>
            <w:proofErr w:type="spellStart"/>
            <w:r w:rsidRPr="00265EEE">
              <w:t>mērķgrupas</w:t>
            </w:r>
            <w:proofErr w:type="spellEnd"/>
            <w:r w:rsidRPr="00265EEE">
              <w:t>, kuras tiesiskais regulējums ietekmē vai varētu ietekmēt</w:t>
            </w:r>
          </w:p>
        </w:tc>
        <w:tc>
          <w:tcPr>
            <w:tcW w:w="5880" w:type="dxa"/>
          </w:tcPr>
          <w:p w:rsidR="001211A0" w:rsidP="006243B1" w:rsidRDefault="0081583E" w14:paraId="19788F06" w14:textId="3543D77A">
            <w:pPr>
              <w:shd w:val="clear" w:color="auto" w:fill="FFFFFF"/>
              <w:ind w:right="57"/>
              <w:jc w:val="both"/>
            </w:pPr>
            <w:bookmarkStart w:name="p21" w:id="0"/>
            <w:bookmarkEnd w:id="0"/>
            <w:r>
              <w:t>T</w:t>
            </w:r>
            <w:r w:rsidR="00376DA9">
              <w:t>iesību akt</w:t>
            </w:r>
            <w:r w:rsidR="0000584F">
              <w:t>a projekts</w:t>
            </w:r>
            <w:r w:rsidR="004B4548">
              <w:t xml:space="preserve"> ietekmē </w:t>
            </w:r>
            <w:r w:rsidR="00C7309D">
              <w:t xml:space="preserve">RB </w:t>
            </w:r>
            <w:r w:rsidR="00410998">
              <w:t xml:space="preserve">Projekta </w:t>
            </w:r>
            <w:r w:rsidR="00C7309D">
              <w:t>īstenošanu</w:t>
            </w:r>
            <w:r w:rsidR="00376DA9">
              <w:t xml:space="preserve">, jo </w:t>
            </w:r>
            <w:r w:rsidR="00C7309D">
              <w:t xml:space="preserve">paredz regulējumu </w:t>
            </w:r>
            <w:r w:rsidR="0000584F">
              <w:t xml:space="preserve">EISI finansēšanas līgumos RB Projekta </w:t>
            </w:r>
            <w:r w:rsidRPr="003F0256" w:rsidR="003F0256">
              <w:t xml:space="preserve"> izmaksu, kas neatbilst finansēšanas līguma nosacījumiem,</w:t>
            </w:r>
            <w:r w:rsidR="003F0256">
              <w:t xml:space="preserve"> </w:t>
            </w:r>
            <w:r w:rsidR="00C7309D">
              <w:t xml:space="preserve"> segšanai.</w:t>
            </w:r>
            <w:r w:rsidR="0000584F">
              <w:t xml:space="preserve"> Ja šīm izmaksām netiek rasts finansējums, tad var tikt kavētas vai apturētas EISI finansēšanas līgumos paredzētās aktivitātes.</w:t>
            </w:r>
            <w:r w:rsidR="00C7309D">
              <w:t xml:space="preserve"> </w:t>
            </w:r>
            <w:r w:rsidR="00376DA9">
              <w:t xml:space="preserve">PVN kompensēšana </w:t>
            </w:r>
            <w:r w:rsidR="00C7309D">
              <w:t xml:space="preserve">RB Projektā </w:t>
            </w:r>
            <w:r w:rsidR="00046659">
              <w:t xml:space="preserve">ir </w:t>
            </w:r>
            <w:r w:rsidR="00C7309D">
              <w:t>nepieciešamas</w:t>
            </w:r>
            <w:r w:rsidR="00046659">
              <w:t xml:space="preserve"> stabila</w:t>
            </w:r>
            <w:r w:rsidR="00C7309D">
              <w:t>s</w:t>
            </w:r>
            <w:r w:rsidR="00046659">
              <w:t xml:space="preserve"> </w:t>
            </w:r>
            <w:r w:rsidR="00376DA9">
              <w:t xml:space="preserve">RBR </w:t>
            </w:r>
            <w:r w:rsidR="00046659">
              <w:t>finanšu plūsma</w:t>
            </w:r>
            <w:r w:rsidR="00C7309D">
              <w:t>s</w:t>
            </w:r>
            <w:r w:rsidR="00046659">
              <w:t xml:space="preserve"> un </w:t>
            </w:r>
            <w:r w:rsidR="00C7309D">
              <w:t>saimnieciskā darbības stabilitātes, kā arī  RB Projekta aktivitātēm paredzētā finansējuma pietiekamības nodrošināšanai.</w:t>
            </w:r>
            <w:r w:rsidR="0000584F">
              <w:t xml:space="preserve"> Ņemot vērā RB Projekta komplekso raksturu, tā īstenošanas modeļa pārvaldībā rodas izmaksas, kuras nav attiecināmas finansēšanas līgumu ietvaros.</w:t>
            </w:r>
          </w:p>
          <w:p w:rsidRPr="00265EEE" w:rsidR="0042239C" w:rsidP="006243B1" w:rsidRDefault="001211A0" w14:paraId="45B7D67D" w14:textId="05F82F78">
            <w:pPr>
              <w:shd w:val="clear" w:color="auto" w:fill="FFFFFF"/>
              <w:ind w:right="57"/>
              <w:jc w:val="both"/>
            </w:pPr>
            <w:r>
              <w:t>Tiesību akts n</w:t>
            </w:r>
            <w:r w:rsidR="00376DA9">
              <w:t xml:space="preserve">etieši ietekmē jebkuru cilvēku, kurš nākotnē varētu izmantot Rail Baltica </w:t>
            </w:r>
            <w:r w:rsidR="00512CF6">
              <w:t>dzelzceļa līniju</w:t>
            </w:r>
            <w:r w:rsidR="00376DA9">
              <w:t xml:space="preserve">, jo bez PVN </w:t>
            </w:r>
            <w:r w:rsidR="00C7309D">
              <w:t>kompensēšanas un citu izmaksu</w:t>
            </w:r>
            <w:r w:rsidRPr="003F0256" w:rsidR="003F0256">
              <w:t>, kas neatbilst finansēšanas līguma nosacījumiem</w:t>
            </w:r>
            <w:r w:rsidR="003F0256">
              <w:t>,</w:t>
            </w:r>
            <w:r w:rsidRPr="003F0256" w:rsidR="003F0256">
              <w:t xml:space="preserve"> </w:t>
            </w:r>
            <w:r w:rsidRPr="003F0256" w:rsidR="00C7309D">
              <w:t xml:space="preserve"> </w:t>
            </w:r>
            <w:r w:rsidR="00C7309D">
              <w:t>segšanas</w:t>
            </w:r>
            <w:r w:rsidR="00376DA9">
              <w:t xml:space="preserve"> RBR</w:t>
            </w:r>
            <w:r>
              <w:t xml:space="preserve"> nevarēs funkcionēt</w:t>
            </w:r>
            <w:r w:rsidR="00C7309D">
              <w:t xml:space="preserve"> un nevarēs tikt īstenotas visas RB Projekta aktivitātes</w:t>
            </w:r>
            <w:r>
              <w:t xml:space="preserve">, </w:t>
            </w:r>
            <w:r w:rsidR="00607541">
              <w:t xml:space="preserve">kā rezultātā netiks </w:t>
            </w:r>
            <w:r w:rsidR="00376DA9">
              <w:t>izveidota Rail Baltica infrastruktūra.</w:t>
            </w:r>
          </w:p>
        </w:tc>
      </w:tr>
      <w:tr w:rsidRPr="00265EEE" w:rsidR="00607541" w:rsidTr="00BB3200" w14:paraId="1E912B55" w14:textId="77777777">
        <w:trPr>
          <w:trHeight w:val="274"/>
        </w:trPr>
        <w:tc>
          <w:tcPr>
            <w:tcW w:w="431" w:type="dxa"/>
          </w:tcPr>
          <w:p w:rsidRPr="00265EEE" w:rsidR="00607541" w:rsidP="00607541" w:rsidRDefault="00607541" w14:paraId="48559527" w14:textId="77777777">
            <w:pPr>
              <w:pStyle w:val="naiskr"/>
              <w:spacing w:before="0" w:beforeAutospacing="0" w:after="0" w:afterAutospacing="0"/>
              <w:ind w:left="57" w:right="57"/>
              <w:jc w:val="both"/>
            </w:pPr>
            <w:r w:rsidRPr="00265EEE">
              <w:t>2.</w:t>
            </w:r>
          </w:p>
        </w:tc>
        <w:tc>
          <w:tcPr>
            <w:tcW w:w="2766" w:type="dxa"/>
          </w:tcPr>
          <w:p w:rsidRPr="00265EEE" w:rsidR="00607541" w:rsidP="00607541" w:rsidRDefault="00607541" w14:paraId="1647C97E" w14:textId="77777777">
            <w:pPr>
              <w:pStyle w:val="naiskr"/>
              <w:spacing w:before="0" w:beforeAutospacing="0" w:after="0" w:afterAutospacing="0"/>
              <w:ind w:left="57" w:right="57"/>
            </w:pPr>
            <w:r w:rsidRPr="00265EEE">
              <w:t>Tiesiskā regulējuma ietekme uz tautsaimniecību un administratīvo slogu</w:t>
            </w:r>
          </w:p>
        </w:tc>
        <w:tc>
          <w:tcPr>
            <w:tcW w:w="5880" w:type="dxa"/>
          </w:tcPr>
          <w:p w:rsidRPr="00265EEE" w:rsidR="00607541" w:rsidP="0016067D" w:rsidRDefault="005E0F4D" w14:paraId="5B09B5D2" w14:textId="0D14E2D5">
            <w:pPr>
              <w:shd w:val="clear" w:color="auto" w:fill="FFFFFF"/>
              <w:ind w:right="57"/>
              <w:jc w:val="both"/>
            </w:pPr>
            <w:r>
              <w:t>P</w:t>
            </w:r>
            <w:r w:rsidR="00C7309D">
              <w:t xml:space="preserve">rojekta </w:t>
            </w:r>
            <w:r w:rsidRPr="008C111F" w:rsidR="00607541">
              <w:t>tiesiskais regulējums ietekmē tautsaimniecību kā valsts saimniecības nozari, jo</w:t>
            </w:r>
            <w:r w:rsidR="008C111F">
              <w:t>,</w:t>
            </w:r>
            <w:r w:rsidRPr="008C111F" w:rsidR="00607541">
              <w:t xml:space="preserve"> plānojot un īstenojot Rail Baltica projektu</w:t>
            </w:r>
            <w:r w:rsidR="008C111F">
              <w:t>,</w:t>
            </w:r>
            <w:r w:rsidRPr="008C111F" w:rsidR="00607541">
              <w:t xml:space="preserve"> tiek veidota tautsaimniecības vajadzībām, stabilas satiksmes interesēm, kā arī vides aizsardzības </w:t>
            </w:r>
            <w:r w:rsidRPr="00214A64" w:rsidR="00607541">
              <w:t>prasībām atbilstoša infrastruktūra.</w:t>
            </w:r>
          </w:p>
        </w:tc>
      </w:tr>
      <w:tr w:rsidRPr="00265EEE" w:rsidR="00607541" w:rsidTr="006243B1" w14:paraId="5D06EFE6" w14:textId="77777777">
        <w:trPr>
          <w:trHeight w:val="523"/>
        </w:trPr>
        <w:tc>
          <w:tcPr>
            <w:tcW w:w="431" w:type="dxa"/>
          </w:tcPr>
          <w:p w:rsidRPr="00265EEE" w:rsidR="00607541" w:rsidP="00607541" w:rsidRDefault="00607541" w14:paraId="423820E3" w14:textId="77777777">
            <w:pPr>
              <w:pStyle w:val="naiskr"/>
              <w:spacing w:before="0" w:beforeAutospacing="0" w:after="0" w:afterAutospacing="0"/>
              <w:ind w:left="57" w:right="57"/>
              <w:jc w:val="both"/>
            </w:pPr>
            <w:r w:rsidRPr="00265EEE">
              <w:t>3.</w:t>
            </w:r>
          </w:p>
        </w:tc>
        <w:tc>
          <w:tcPr>
            <w:tcW w:w="2766" w:type="dxa"/>
          </w:tcPr>
          <w:p w:rsidRPr="00265EEE" w:rsidR="00607541" w:rsidP="00607541" w:rsidRDefault="00607541" w14:paraId="7E528977" w14:textId="77777777">
            <w:pPr>
              <w:pStyle w:val="naiskr"/>
              <w:spacing w:before="0" w:beforeAutospacing="0" w:after="0" w:afterAutospacing="0"/>
              <w:ind w:left="57" w:right="57"/>
            </w:pPr>
            <w:r w:rsidRPr="00265EEE">
              <w:t>Administratīvo izmaksu monetārs novērtējums</w:t>
            </w:r>
          </w:p>
        </w:tc>
        <w:tc>
          <w:tcPr>
            <w:tcW w:w="5880" w:type="dxa"/>
          </w:tcPr>
          <w:p w:rsidRPr="00265EEE" w:rsidR="00607541" w:rsidP="00607541" w:rsidRDefault="005E0F4D" w14:paraId="3F7094BD" w14:textId="58F0A233">
            <w:pPr>
              <w:shd w:val="clear" w:color="auto" w:fill="FFFFFF"/>
              <w:ind w:left="57" w:right="57"/>
              <w:jc w:val="both"/>
            </w:pPr>
            <w:r>
              <w:t>P</w:t>
            </w:r>
            <w:r w:rsidRPr="00A17421" w:rsidR="00607541">
              <w:t>rojekts neparedz jaunas administratīvās izmaksas</w:t>
            </w:r>
            <w:r w:rsidRPr="00265EEE" w:rsidR="00607541">
              <w:t>.</w:t>
            </w:r>
          </w:p>
        </w:tc>
      </w:tr>
      <w:tr w:rsidRPr="00265EEE" w:rsidR="00607541" w:rsidTr="006243B1" w14:paraId="78BE4C30" w14:textId="77777777">
        <w:trPr>
          <w:trHeight w:val="523"/>
        </w:trPr>
        <w:tc>
          <w:tcPr>
            <w:tcW w:w="431" w:type="dxa"/>
          </w:tcPr>
          <w:p w:rsidRPr="00265EEE" w:rsidR="00607541" w:rsidP="00607541" w:rsidRDefault="00607541" w14:paraId="6E2E3134" w14:textId="77777777">
            <w:pPr>
              <w:pStyle w:val="naiskr"/>
              <w:spacing w:before="0" w:beforeAutospacing="0" w:after="0" w:afterAutospacing="0"/>
              <w:ind w:left="57" w:right="57"/>
              <w:jc w:val="both"/>
            </w:pPr>
            <w:r>
              <w:t>4.</w:t>
            </w:r>
          </w:p>
        </w:tc>
        <w:tc>
          <w:tcPr>
            <w:tcW w:w="2766" w:type="dxa"/>
          </w:tcPr>
          <w:p w:rsidRPr="006243B1" w:rsidR="00607541" w:rsidP="00607541" w:rsidRDefault="00607541" w14:paraId="7D22923F" w14:textId="77777777">
            <w:pPr>
              <w:pStyle w:val="naiskr"/>
              <w:spacing w:before="0" w:beforeAutospacing="0" w:after="0" w:afterAutospacing="0"/>
              <w:ind w:left="57" w:right="57"/>
            </w:pPr>
            <w:r w:rsidRPr="006243B1">
              <w:rPr>
                <w:iCs/>
              </w:rPr>
              <w:t>Atbilstības izmaksu monetārs novērtējums</w:t>
            </w:r>
          </w:p>
        </w:tc>
        <w:tc>
          <w:tcPr>
            <w:tcW w:w="5880" w:type="dxa"/>
          </w:tcPr>
          <w:p w:rsidRPr="00265EEE" w:rsidR="00607541" w:rsidP="00607541" w:rsidRDefault="00607541" w14:paraId="32516C8E" w14:textId="2AA9691A">
            <w:pPr>
              <w:shd w:val="clear" w:color="auto" w:fill="FFFFFF"/>
              <w:ind w:left="57" w:right="57"/>
              <w:jc w:val="both"/>
              <w:rPr>
                <w:bCs/>
                <w:iCs/>
              </w:rPr>
            </w:pPr>
            <w:r w:rsidRPr="00A17421">
              <w:rPr>
                <w:iCs/>
              </w:rPr>
              <w:t>Projekts šo jomu neskar. Tiesiskais regulējums atbilstības izmaksas nerada.</w:t>
            </w:r>
          </w:p>
        </w:tc>
      </w:tr>
      <w:tr w:rsidRPr="00265EEE" w:rsidR="00607541" w:rsidTr="00BB3200" w14:paraId="72F3F0F7" w14:textId="77777777">
        <w:trPr>
          <w:trHeight w:val="285"/>
        </w:trPr>
        <w:tc>
          <w:tcPr>
            <w:tcW w:w="431" w:type="dxa"/>
          </w:tcPr>
          <w:p w:rsidRPr="00265EEE" w:rsidR="00607541" w:rsidP="00607541" w:rsidRDefault="00607541" w14:paraId="377DCE04" w14:textId="77777777">
            <w:pPr>
              <w:pStyle w:val="naiskr"/>
              <w:spacing w:before="0" w:beforeAutospacing="0" w:after="0" w:afterAutospacing="0"/>
              <w:ind w:left="57" w:right="57"/>
              <w:jc w:val="both"/>
            </w:pPr>
            <w:r>
              <w:t>5</w:t>
            </w:r>
            <w:r w:rsidRPr="00265EEE">
              <w:t>.</w:t>
            </w:r>
          </w:p>
        </w:tc>
        <w:tc>
          <w:tcPr>
            <w:tcW w:w="2766" w:type="dxa"/>
          </w:tcPr>
          <w:p w:rsidRPr="00265EEE" w:rsidR="00607541" w:rsidP="00607541" w:rsidRDefault="00607541" w14:paraId="70553D9A" w14:textId="77777777">
            <w:pPr>
              <w:pStyle w:val="naiskr"/>
              <w:spacing w:before="0" w:beforeAutospacing="0" w:after="0" w:afterAutospacing="0"/>
              <w:ind w:left="57" w:right="57"/>
            </w:pPr>
            <w:r w:rsidRPr="00265EEE">
              <w:t>Cita informācija</w:t>
            </w:r>
          </w:p>
        </w:tc>
        <w:tc>
          <w:tcPr>
            <w:tcW w:w="5880" w:type="dxa"/>
          </w:tcPr>
          <w:p w:rsidRPr="00265EEE" w:rsidR="00607541" w:rsidP="00607541" w:rsidRDefault="00607541" w14:paraId="11292819" w14:textId="77777777">
            <w:pPr>
              <w:shd w:val="clear" w:color="auto" w:fill="FFFFFF"/>
              <w:ind w:left="57" w:right="57"/>
            </w:pPr>
            <w:r w:rsidRPr="00265EEE">
              <w:t>Nav.</w:t>
            </w:r>
          </w:p>
        </w:tc>
      </w:tr>
    </w:tbl>
    <w:p w:rsidR="00D63E48" w:rsidP="00551A0F" w:rsidRDefault="00D63E48" w14:paraId="08CF82CE" w14:textId="77777777"/>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200"/>
        <w:gridCol w:w="1134"/>
        <w:gridCol w:w="1134"/>
        <w:gridCol w:w="992"/>
        <w:gridCol w:w="993"/>
        <w:gridCol w:w="1134"/>
        <w:gridCol w:w="708"/>
      </w:tblGrid>
      <w:tr w:rsidRPr="00821079" w:rsidR="00D63E48" w:rsidTr="000B0091" w14:paraId="51974F1B" w14:textId="77777777">
        <w:trPr>
          <w:trHeight w:val="212"/>
        </w:trPr>
        <w:tc>
          <w:tcPr>
            <w:tcW w:w="907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2818AA" w:rsidR="00D63E48" w:rsidP="006E267F" w:rsidRDefault="00D63E48" w14:paraId="2EE9921E" w14:textId="77777777">
            <w:pPr>
              <w:jc w:val="center"/>
              <w:rPr>
                <w:b/>
                <w:bCs/>
              </w:rPr>
            </w:pPr>
            <w:r w:rsidRPr="002818AA">
              <w:rPr>
                <w:b/>
                <w:bCs/>
              </w:rPr>
              <w:t>III. Tiesību akta projekta ietekme uz valsts budžetu un pašvaldību budžetiem</w:t>
            </w:r>
          </w:p>
        </w:tc>
      </w:tr>
      <w:tr w:rsidRPr="00825345" w:rsidR="00D63E48" w:rsidTr="000B0091" w14:paraId="4B298B52"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63E48" w:rsidP="006E267F" w:rsidRDefault="00D63E48" w14:paraId="34C2A037" w14:textId="77777777">
            <w:pPr>
              <w:jc w:val="center"/>
              <w:rPr>
                <w:bCs/>
                <w:sz w:val="22"/>
              </w:rPr>
            </w:pPr>
            <w:r w:rsidRPr="00342C9C">
              <w:rPr>
                <w:bCs/>
                <w:sz w:val="22"/>
              </w:rPr>
              <w:lastRenderedPageBreak/>
              <w:t>Rādītāji</w:t>
            </w:r>
          </w:p>
        </w:tc>
        <w:tc>
          <w:tcPr>
            <w:tcW w:w="233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29893CEB" w14:textId="77777777">
            <w:pPr>
              <w:jc w:val="center"/>
              <w:rPr>
                <w:bCs/>
              </w:rPr>
            </w:pPr>
            <w:r w:rsidRPr="002818AA">
              <w:rPr>
                <w:bCs/>
              </w:rPr>
              <w:t>2020. gads</w:t>
            </w:r>
          </w:p>
        </w:tc>
        <w:tc>
          <w:tcPr>
            <w:tcW w:w="4961"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10F2BC2C" w14:textId="77777777">
            <w:pPr>
              <w:jc w:val="center"/>
            </w:pPr>
            <w:r w:rsidRPr="002818AA">
              <w:t>Turpmākie trīs gadi (</w:t>
            </w:r>
            <w:r w:rsidRPr="002818AA">
              <w:rPr>
                <w:i/>
                <w:iCs/>
              </w:rPr>
              <w:t>euro</w:t>
            </w:r>
            <w:r w:rsidRPr="002818AA">
              <w:t>)</w:t>
            </w:r>
          </w:p>
        </w:tc>
      </w:tr>
      <w:tr w:rsidRPr="00825345" w:rsidR="00E33B13" w:rsidTr="000B0091" w14:paraId="231F19C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13D2B07E" w14:textId="77777777">
            <w:pPr>
              <w:jc w:val="center"/>
              <w:rPr>
                <w:bCs/>
                <w:sz w:val="22"/>
              </w:rPr>
            </w:pPr>
          </w:p>
        </w:tc>
        <w:tc>
          <w:tcPr>
            <w:tcW w:w="2334"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14C9943D"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1448A00F" w14:textId="77777777">
            <w:pPr>
              <w:jc w:val="center"/>
              <w:rPr>
                <w:bCs/>
              </w:rPr>
            </w:pPr>
            <w:r w:rsidRPr="002818AA">
              <w:rPr>
                <w:bCs/>
              </w:rPr>
              <w:t>2021</w:t>
            </w: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41312642" w14:textId="77777777">
            <w:pPr>
              <w:jc w:val="center"/>
              <w:rPr>
                <w:bCs/>
              </w:rPr>
            </w:pPr>
            <w:r w:rsidRPr="002818AA">
              <w:rPr>
                <w:bCs/>
              </w:rPr>
              <w:t>2022</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15957E68" w14:textId="77777777">
            <w:pPr>
              <w:jc w:val="center"/>
              <w:rPr>
                <w:bCs/>
              </w:rPr>
            </w:pPr>
            <w:r w:rsidRPr="002818AA">
              <w:rPr>
                <w:bCs/>
              </w:rPr>
              <w:t>2023</w:t>
            </w:r>
          </w:p>
        </w:tc>
      </w:tr>
      <w:tr w:rsidRPr="00825345" w:rsidR="00E33B13" w:rsidTr="000B0091" w14:paraId="27F68A9E"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7B2B968A" w14:textId="77777777">
            <w:pPr>
              <w:jc w:val="center"/>
              <w:rPr>
                <w:b/>
                <w:bCs/>
                <w:sz w:val="22"/>
              </w:rPr>
            </w:pP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523B2A63" w14:textId="77777777">
            <w:pPr>
              <w:jc w:val="center"/>
              <w:rPr>
                <w:sz w:val="20"/>
                <w:szCs w:val="20"/>
              </w:rPr>
            </w:pPr>
            <w:r w:rsidRPr="002818AA">
              <w:rPr>
                <w:sz w:val="20"/>
                <w:szCs w:val="20"/>
              </w:rPr>
              <w:t>saskaņā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42D5F45A" w14:textId="77777777">
            <w:pPr>
              <w:jc w:val="center"/>
              <w:rPr>
                <w:sz w:val="20"/>
                <w:szCs w:val="20"/>
              </w:rPr>
            </w:pPr>
            <w:r w:rsidRPr="002818AA">
              <w:rPr>
                <w:sz w:val="20"/>
                <w:szCs w:val="20"/>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250BF91D" w14:textId="77777777">
            <w:pPr>
              <w:jc w:val="center"/>
              <w:rPr>
                <w:sz w:val="20"/>
                <w:szCs w:val="20"/>
              </w:rPr>
            </w:pPr>
            <w:r w:rsidRPr="002818AA">
              <w:rPr>
                <w:sz w:val="20"/>
                <w:szCs w:val="20"/>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57608DE6" w14:textId="77777777">
            <w:pPr>
              <w:jc w:val="center"/>
              <w:rPr>
                <w:sz w:val="20"/>
                <w:szCs w:val="20"/>
              </w:rPr>
            </w:pPr>
            <w:r w:rsidRPr="002818AA">
              <w:rPr>
                <w:sz w:val="20"/>
                <w:szCs w:val="20"/>
              </w:rPr>
              <w:t>izmaiņas, salīdzinot ar vidēja termiņa budžeta ietvaru 2021. gadam</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2E308B85" w14:textId="77777777">
            <w:pPr>
              <w:jc w:val="center"/>
              <w:rPr>
                <w:sz w:val="20"/>
                <w:szCs w:val="20"/>
              </w:rPr>
            </w:pPr>
            <w:r w:rsidRPr="002818AA">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1765346D" w14:textId="77777777">
            <w:pPr>
              <w:jc w:val="center"/>
              <w:rPr>
                <w:sz w:val="20"/>
                <w:szCs w:val="20"/>
              </w:rPr>
            </w:pPr>
            <w:r w:rsidRPr="002818AA">
              <w:rPr>
                <w:sz w:val="20"/>
                <w:szCs w:val="20"/>
              </w:rPr>
              <w:t xml:space="preserve">izmaiņas, </w:t>
            </w:r>
            <w:r w:rsidRPr="002818AA">
              <w:rPr>
                <w:sz w:val="18"/>
                <w:szCs w:val="18"/>
              </w:rPr>
              <w:t>salīdzino</w:t>
            </w:r>
            <w:r w:rsidRPr="002818AA">
              <w:rPr>
                <w:sz w:val="20"/>
                <w:szCs w:val="20"/>
              </w:rPr>
              <w:t>t ar vidēja termiņa budžeta ietvaru 2022. gadam</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2098FB89" w14:textId="77777777">
            <w:pPr>
              <w:jc w:val="center"/>
              <w:rPr>
                <w:sz w:val="20"/>
                <w:szCs w:val="20"/>
              </w:rPr>
            </w:pPr>
            <w:r w:rsidRPr="002818AA">
              <w:rPr>
                <w:sz w:val="20"/>
                <w:szCs w:val="20"/>
              </w:rPr>
              <w:t>izmaiņas, salīdzinot ar vidēja termiņa budžeta ietvaru 2022. gadam</w:t>
            </w:r>
          </w:p>
        </w:tc>
      </w:tr>
      <w:tr w:rsidRPr="00825345" w:rsidR="00E33B13" w:rsidTr="000B0091" w14:paraId="4A63AAD1"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D63E48" w:rsidP="006E267F" w:rsidRDefault="00D63E48" w14:paraId="38308CB1" w14:textId="77777777">
            <w:pPr>
              <w:jc w:val="center"/>
              <w:rPr>
                <w:sz w:val="22"/>
              </w:rPr>
            </w:pPr>
            <w:r w:rsidRPr="00342C9C">
              <w:rPr>
                <w:sz w:val="22"/>
              </w:rPr>
              <w:t>1</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39922C1B" w14:textId="77777777">
            <w:pPr>
              <w:jc w:val="center"/>
              <w:rPr>
                <w:sz w:val="20"/>
                <w:szCs w:val="20"/>
              </w:rPr>
            </w:pPr>
            <w:r w:rsidRPr="002818AA">
              <w:rPr>
                <w:sz w:val="20"/>
                <w:szCs w:val="20"/>
              </w:rPr>
              <w:t>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37B2DE6D" w14:textId="77777777">
            <w:pPr>
              <w:jc w:val="center"/>
              <w:rPr>
                <w:sz w:val="20"/>
                <w:szCs w:val="20"/>
              </w:rPr>
            </w:pPr>
            <w:r w:rsidRPr="002818AA">
              <w:rPr>
                <w:sz w:val="20"/>
                <w:szCs w:val="20"/>
              </w:rPr>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640BD489" w14:textId="77777777">
            <w:pPr>
              <w:jc w:val="center"/>
              <w:rPr>
                <w:sz w:val="20"/>
                <w:szCs w:val="20"/>
              </w:rPr>
            </w:pPr>
            <w:r w:rsidRPr="002818AA">
              <w:rPr>
                <w:sz w:val="20"/>
                <w:szCs w:val="20"/>
              </w:rPr>
              <w:t>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34E57CEA" w14:textId="77777777">
            <w:pPr>
              <w:jc w:val="center"/>
              <w:rPr>
                <w:sz w:val="20"/>
                <w:szCs w:val="20"/>
              </w:rPr>
            </w:pPr>
            <w:r w:rsidRPr="002818AA">
              <w:rPr>
                <w:sz w:val="20"/>
                <w:szCs w:val="20"/>
              </w:rPr>
              <w:t>5</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62F5DB1F" w14:textId="77777777">
            <w:pPr>
              <w:jc w:val="center"/>
              <w:rPr>
                <w:sz w:val="20"/>
                <w:szCs w:val="20"/>
              </w:rPr>
            </w:pPr>
            <w:r w:rsidRPr="002818AA">
              <w:rPr>
                <w:sz w:val="20"/>
                <w:szCs w:val="20"/>
              </w:rPr>
              <w:t>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0CE4245C" w14:textId="77777777">
            <w:pPr>
              <w:jc w:val="center"/>
              <w:rPr>
                <w:sz w:val="20"/>
                <w:szCs w:val="20"/>
              </w:rPr>
            </w:pPr>
            <w:r w:rsidRPr="002818AA">
              <w:rPr>
                <w:sz w:val="20"/>
                <w:szCs w:val="20"/>
              </w:rPr>
              <w:t>7</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275386B6" w14:textId="77777777">
            <w:pPr>
              <w:jc w:val="center"/>
              <w:rPr>
                <w:sz w:val="20"/>
                <w:szCs w:val="20"/>
              </w:rPr>
            </w:pPr>
            <w:r w:rsidRPr="002818AA">
              <w:rPr>
                <w:sz w:val="20"/>
                <w:szCs w:val="20"/>
              </w:rPr>
              <w:t>8</w:t>
            </w:r>
          </w:p>
        </w:tc>
      </w:tr>
      <w:tr w:rsidRPr="00825345" w:rsidR="00E33B13" w:rsidTr="000B0091" w14:paraId="7CFE7112"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342C9C" w:rsidR="00A45FB9" w:rsidP="00A45FB9" w:rsidRDefault="00A45FB9" w14:paraId="6C9CDE54" w14:textId="77777777">
            <w:pPr>
              <w:rPr>
                <w:sz w:val="22"/>
              </w:rPr>
            </w:pPr>
            <w:r w:rsidRPr="00342C9C">
              <w:rPr>
                <w:sz w:val="22"/>
              </w:rPr>
              <w:t>1. Budžeta ieņēmumi</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rsidRPr="002818AA" w:rsidR="00A45FB9" w:rsidP="00A45FB9" w:rsidRDefault="00CB2E15" w14:paraId="590A2484" w14:textId="257FD557">
            <w:pPr>
              <w:jc w:val="center"/>
              <w:rPr>
                <w:sz w:val="20"/>
                <w:szCs w:val="20"/>
              </w:rPr>
            </w:pPr>
            <w:r w:rsidRPr="00CB2E15">
              <w:rPr>
                <w:sz w:val="20"/>
                <w:szCs w:val="20"/>
              </w:rPr>
              <w:t>69</w:t>
            </w:r>
            <w:r>
              <w:rPr>
                <w:sz w:val="20"/>
                <w:szCs w:val="20"/>
              </w:rPr>
              <w:t xml:space="preserve"> </w:t>
            </w:r>
            <w:r w:rsidRPr="00CB2E15">
              <w:rPr>
                <w:sz w:val="20"/>
                <w:szCs w:val="20"/>
              </w:rPr>
              <w:t>043</w:t>
            </w:r>
            <w:r>
              <w:rPr>
                <w:sz w:val="20"/>
                <w:szCs w:val="20"/>
              </w:rPr>
              <w:t xml:space="preserve"> </w:t>
            </w:r>
            <w:r w:rsidRPr="00CB2E15">
              <w:rPr>
                <w:sz w:val="20"/>
                <w:szCs w:val="20"/>
              </w:rPr>
              <w:t>530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A45FB9" w:rsidR="00A45FB9" w:rsidP="00A45FB9" w:rsidRDefault="00BE56C1" w14:paraId="7527BA49" w14:textId="34282C9E">
            <w:pPr>
              <w:jc w:val="center"/>
              <w:rPr>
                <w:sz w:val="20"/>
                <w:szCs w:val="20"/>
              </w:rPr>
            </w:pPr>
            <w:r w:rsidRPr="00BE56C1">
              <w:rPr>
                <w:sz w:val="20"/>
                <w:szCs w:val="20"/>
              </w:rPr>
              <w:t>2 475 886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A45FB9" w:rsidR="00A45FB9" w:rsidP="00A45FB9" w:rsidRDefault="00306A05" w14:paraId="102276A9" w14:textId="04448437">
            <w:pPr>
              <w:jc w:val="center"/>
              <w:rPr>
                <w:sz w:val="20"/>
                <w:szCs w:val="20"/>
              </w:rPr>
            </w:pPr>
            <w:r w:rsidRPr="00306A05">
              <w:rPr>
                <w:sz w:val="20"/>
                <w:szCs w:val="20"/>
              </w:rPr>
              <w:t>108 704 167</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A45FB9" w:rsidR="00A45FB9" w:rsidP="00A45FB9" w:rsidRDefault="00BE56C1" w14:paraId="152EF9DA" w14:textId="5390EB26">
            <w:pPr>
              <w:jc w:val="center"/>
              <w:rPr>
                <w:sz w:val="20"/>
                <w:szCs w:val="20"/>
              </w:rPr>
            </w:pPr>
            <w:r w:rsidRPr="00BE56C1">
              <w:rPr>
                <w:sz w:val="20"/>
                <w:szCs w:val="20"/>
              </w:rPr>
              <w:t>2 916 010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A45FB9" w:rsidR="00A45FB9" w:rsidP="00A45FB9" w:rsidRDefault="00306A05" w14:paraId="4633EC79" w14:textId="799A0158">
            <w:pPr>
              <w:spacing w:before="120"/>
              <w:jc w:val="center"/>
              <w:rPr>
                <w:sz w:val="20"/>
                <w:szCs w:val="20"/>
              </w:rPr>
            </w:pPr>
            <w:r w:rsidRPr="00306A05">
              <w:rPr>
                <w:sz w:val="20"/>
                <w:szCs w:val="20"/>
              </w:rPr>
              <w:t>140 401 456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A45FB9" w:rsidR="00A45FB9" w:rsidP="00A45FB9" w:rsidRDefault="00BE56C1" w14:paraId="5103B459" w14:textId="2432866E">
            <w:pPr>
              <w:jc w:val="center"/>
              <w:rPr>
                <w:sz w:val="20"/>
                <w:szCs w:val="20"/>
              </w:rPr>
            </w:pPr>
            <w:r w:rsidRPr="00BE56C1">
              <w:rPr>
                <w:sz w:val="20"/>
                <w:szCs w:val="20"/>
              </w:rPr>
              <w:t>2 334 568</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A45FB9" w:rsidR="00A45FB9" w:rsidP="00A45FB9" w:rsidRDefault="00BE56C1" w14:paraId="162AA4BC" w14:textId="415BEE5F">
            <w:pPr>
              <w:jc w:val="center"/>
              <w:rPr>
                <w:sz w:val="20"/>
                <w:szCs w:val="20"/>
              </w:rPr>
            </w:pPr>
            <w:r w:rsidRPr="00BE56C1">
              <w:rPr>
                <w:sz w:val="20"/>
                <w:szCs w:val="20"/>
              </w:rPr>
              <w:t>2 220 475</w:t>
            </w:r>
          </w:p>
        </w:tc>
      </w:tr>
      <w:tr w:rsidRPr="00825345" w:rsidR="00E33B13" w:rsidTr="000B0091" w14:paraId="3A530516"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A45FB9" w:rsidP="00A45FB9" w:rsidRDefault="00A45FB9" w14:paraId="4844C942" w14:textId="77777777">
            <w:pPr>
              <w:rPr>
                <w:sz w:val="22"/>
              </w:rPr>
            </w:pPr>
            <w:r w:rsidRPr="00342C9C">
              <w:rPr>
                <w:sz w:val="22"/>
              </w:rPr>
              <w:t>1.1. valsts pamatbudžets, tai skaitā ieņēmumi no maksas pakalpojumiem un citi pašu ieņēmumi</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A45FB9" w:rsidP="00A45FB9" w:rsidRDefault="00CB2E15" w14:paraId="11E9BD6D" w14:textId="7ED48621">
            <w:pPr>
              <w:jc w:val="center"/>
              <w:rPr>
                <w:sz w:val="20"/>
                <w:szCs w:val="20"/>
              </w:rPr>
            </w:pPr>
            <w:r w:rsidRPr="00CB2E15">
              <w:rPr>
                <w:sz w:val="20"/>
                <w:szCs w:val="20"/>
              </w:rPr>
              <w:t>69</w:t>
            </w:r>
            <w:r>
              <w:rPr>
                <w:sz w:val="20"/>
                <w:szCs w:val="20"/>
              </w:rPr>
              <w:t xml:space="preserve"> </w:t>
            </w:r>
            <w:r w:rsidRPr="00CB2E15">
              <w:rPr>
                <w:sz w:val="20"/>
                <w:szCs w:val="20"/>
              </w:rPr>
              <w:t>043</w:t>
            </w:r>
            <w:r>
              <w:rPr>
                <w:sz w:val="20"/>
                <w:szCs w:val="20"/>
              </w:rPr>
              <w:t xml:space="preserve"> </w:t>
            </w:r>
            <w:r w:rsidRPr="00CB2E15">
              <w:rPr>
                <w:sz w:val="20"/>
                <w:szCs w:val="20"/>
              </w:rPr>
              <w:t>530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A45FB9" w:rsidR="00A45FB9" w:rsidP="00A45FB9" w:rsidRDefault="00BE56C1" w14:paraId="4F14A6E9" w14:textId="3A2A951A">
            <w:pPr>
              <w:jc w:val="center"/>
              <w:rPr>
                <w:sz w:val="20"/>
                <w:szCs w:val="20"/>
              </w:rPr>
            </w:pPr>
            <w:r w:rsidRPr="00BE56C1">
              <w:rPr>
                <w:sz w:val="20"/>
                <w:szCs w:val="20"/>
              </w:rPr>
              <w:t>2 475 886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A45FB9" w:rsidR="00A45FB9" w:rsidP="00A45FB9" w:rsidRDefault="00306A05" w14:paraId="665407D7" w14:textId="0EA6DCB1">
            <w:pPr>
              <w:jc w:val="center"/>
              <w:rPr>
                <w:sz w:val="20"/>
                <w:szCs w:val="20"/>
              </w:rPr>
            </w:pPr>
            <w:r w:rsidRPr="00306A05">
              <w:rPr>
                <w:sz w:val="20"/>
                <w:szCs w:val="20"/>
              </w:rPr>
              <w:t>108 704 167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A45FB9" w:rsidR="00A45FB9" w:rsidP="00A45FB9" w:rsidRDefault="00BE56C1" w14:paraId="40BDC315" w14:textId="326D2866">
            <w:pPr>
              <w:jc w:val="center"/>
              <w:rPr>
                <w:sz w:val="20"/>
                <w:szCs w:val="20"/>
              </w:rPr>
            </w:pPr>
            <w:r w:rsidRPr="00BE56C1">
              <w:rPr>
                <w:sz w:val="20"/>
                <w:szCs w:val="20"/>
              </w:rPr>
              <w:t>2 916 010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A45FB9" w:rsidR="00A45FB9" w:rsidP="008F2709" w:rsidRDefault="00306A05" w14:paraId="4AF1DFC2" w14:textId="20B3B071">
            <w:pPr>
              <w:jc w:val="center"/>
              <w:rPr>
                <w:sz w:val="20"/>
                <w:szCs w:val="20"/>
              </w:rPr>
            </w:pPr>
            <w:r w:rsidRPr="00306A05">
              <w:rPr>
                <w:sz w:val="20"/>
                <w:szCs w:val="20"/>
              </w:rPr>
              <w:t>140 401 456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A45FB9" w:rsidP="00A45FB9" w:rsidRDefault="00BE56C1" w14:paraId="3C21FB3B" w14:textId="28849B4B">
            <w:pPr>
              <w:jc w:val="center"/>
              <w:rPr>
                <w:sz w:val="20"/>
                <w:szCs w:val="20"/>
              </w:rPr>
            </w:pPr>
            <w:r w:rsidRPr="00BE56C1">
              <w:rPr>
                <w:sz w:val="20"/>
                <w:szCs w:val="20"/>
              </w:rPr>
              <w:t>2 334 568</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A45FB9" w:rsidP="00A45FB9" w:rsidRDefault="00BE56C1" w14:paraId="7EAFD388" w14:textId="6200A913">
            <w:pPr>
              <w:jc w:val="center"/>
              <w:rPr>
                <w:sz w:val="20"/>
                <w:szCs w:val="20"/>
              </w:rPr>
            </w:pPr>
            <w:r w:rsidRPr="00BE56C1">
              <w:rPr>
                <w:sz w:val="20"/>
                <w:szCs w:val="20"/>
              </w:rPr>
              <w:t>2 220 475</w:t>
            </w:r>
          </w:p>
        </w:tc>
      </w:tr>
      <w:tr w:rsidRPr="00825345" w:rsidR="00E33B13" w:rsidTr="000B0091" w14:paraId="76DE0AF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1DF7006D" w14:textId="77777777">
            <w:pPr>
              <w:rPr>
                <w:sz w:val="22"/>
              </w:rPr>
            </w:pPr>
            <w:r w:rsidRPr="00342C9C">
              <w:rPr>
                <w:sz w:val="22"/>
              </w:rPr>
              <w:t>1.2.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27D80A80" w14:textId="77777777">
            <w:pPr>
              <w:jc w:val="center"/>
              <w:rPr>
                <w:sz w:val="20"/>
                <w:szCs w:val="20"/>
              </w:rPr>
            </w:pPr>
            <w:r w:rsidRPr="002818AA">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26178D1E"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708D8FB6" w14:textId="77777777">
            <w:pPr>
              <w:jc w:val="center"/>
              <w:rPr>
                <w:sz w:val="20"/>
                <w:szCs w:val="20"/>
              </w:rPr>
            </w:pPr>
            <w:r w:rsidRPr="00A45FB9">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01CF34D4" w14:textId="35D55C8D">
            <w:pPr>
              <w:jc w:val="center"/>
              <w:rPr>
                <w:sz w:val="20"/>
                <w:szCs w:val="20"/>
              </w:rPr>
            </w:pPr>
            <w:r w:rsidRPr="00A45FB9">
              <w:rPr>
                <w:iCs/>
                <w:sz w:val="20"/>
                <w:szCs w:val="20"/>
                <w:lang w:val="en-US"/>
              </w:rPr>
              <w:t> 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052A584D"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448A26B1" w14:textId="6A73D04D">
            <w:pPr>
              <w:jc w:val="center"/>
              <w:rPr>
                <w:sz w:val="20"/>
                <w:szCs w:val="20"/>
              </w:rPr>
            </w:pPr>
            <w:r w:rsidRPr="00A45FB9">
              <w:rPr>
                <w:iCs/>
                <w:sz w:val="20"/>
                <w:szCs w:val="20"/>
                <w:lang w:val="en-US"/>
              </w:rPr>
              <w:t> 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02FB1EED" w14:textId="35B29AC9">
            <w:pPr>
              <w:jc w:val="center"/>
              <w:rPr>
                <w:sz w:val="20"/>
                <w:szCs w:val="20"/>
              </w:rPr>
            </w:pPr>
            <w:r w:rsidRPr="00A45FB9">
              <w:rPr>
                <w:iCs/>
                <w:sz w:val="20"/>
                <w:szCs w:val="20"/>
                <w:lang w:val="en-US"/>
              </w:rPr>
              <w:t> 0</w:t>
            </w:r>
          </w:p>
        </w:tc>
      </w:tr>
      <w:tr w:rsidRPr="00825345" w:rsidR="00E33B13" w:rsidTr="000B0091" w14:paraId="5AA103D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3F588226" w14:textId="77777777">
            <w:pPr>
              <w:rPr>
                <w:sz w:val="22"/>
              </w:rPr>
            </w:pPr>
            <w:r w:rsidRPr="00342C9C">
              <w:rPr>
                <w:sz w:val="22"/>
              </w:rPr>
              <w:t>1.3.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4185CE7C" w14:textId="77777777">
            <w:pPr>
              <w:jc w:val="center"/>
              <w:rPr>
                <w:sz w:val="20"/>
                <w:szCs w:val="20"/>
              </w:rPr>
            </w:pPr>
            <w:r w:rsidRPr="002818AA">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454F4D5A"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0E575B87" w14:textId="77777777">
            <w:pPr>
              <w:jc w:val="center"/>
              <w:rPr>
                <w:sz w:val="20"/>
                <w:szCs w:val="20"/>
              </w:rPr>
            </w:pPr>
            <w:r w:rsidRPr="00A45FB9">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485EF7C0" w14:textId="15E0D9DA">
            <w:pPr>
              <w:jc w:val="center"/>
              <w:rPr>
                <w:sz w:val="20"/>
                <w:szCs w:val="20"/>
              </w:rPr>
            </w:pPr>
            <w:r w:rsidRPr="00A45FB9">
              <w:rPr>
                <w:iCs/>
                <w:sz w:val="20"/>
                <w:szCs w:val="20"/>
                <w:lang w:val="en-US"/>
              </w:rPr>
              <w:t>0 </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7E5352F1"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5DA1F1B8" w14:textId="095A9477">
            <w:pPr>
              <w:jc w:val="center"/>
              <w:rPr>
                <w:sz w:val="20"/>
                <w:szCs w:val="20"/>
              </w:rPr>
            </w:pPr>
            <w:r w:rsidRPr="00A45FB9">
              <w:rPr>
                <w:iCs/>
                <w:sz w:val="20"/>
                <w:szCs w:val="20"/>
                <w:lang w:val="en-US"/>
              </w:rPr>
              <w:t> 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D63E48" w:rsidP="006E267F" w:rsidRDefault="00D63E48" w14:paraId="28C2F796" w14:textId="3BF4E492">
            <w:pPr>
              <w:jc w:val="center"/>
              <w:rPr>
                <w:sz w:val="20"/>
                <w:szCs w:val="20"/>
              </w:rPr>
            </w:pPr>
            <w:r w:rsidRPr="00A45FB9">
              <w:rPr>
                <w:iCs/>
                <w:sz w:val="20"/>
                <w:szCs w:val="20"/>
                <w:lang w:val="en-US"/>
              </w:rPr>
              <w:t> 0</w:t>
            </w:r>
          </w:p>
        </w:tc>
      </w:tr>
      <w:tr w:rsidRPr="00825345" w:rsidR="00E33B13" w:rsidTr="000B0091" w14:paraId="755810DF"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A45FB9" w:rsidP="00A45FB9" w:rsidRDefault="00A45FB9" w14:paraId="6E1E3556" w14:textId="77777777">
            <w:pPr>
              <w:rPr>
                <w:sz w:val="22"/>
              </w:rPr>
            </w:pPr>
            <w:r w:rsidRPr="00342C9C">
              <w:rPr>
                <w:sz w:val="22"/>
              </w:rPr>
              <w:t>2. Budžeta izdevumi</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F57315" w:rsidR="00A45FB9" w:rsidP="00A45FB9" w:rsidRDefault="00241525" w14:paraId="17F10E58" w14:textId="3673C615">
            <w:pPr>
              <w:jc w:val="center"/>
              <w:rPr>
                <w:sz w:val="20"/>
                <w:szCs w:val="20"/>
              </w:rPr>
            </w:pPr>
            <w:r w:rsidRPr="00F57315">
              <w:rPr>
                <w:sz w:val="20"/>
                <w:szCs w:val="20"/>
              </w:rPr>
              <w:t>73 528 976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F57315" w:rsidR="00A45FB9" w:rsidP="00011FC9" w:rsidRDefault="00264BD6" w14:paraId="15C0013D" w14:textId="34A3CC56">
            <w:pPr>
              <w:jc w:val="center"/>
              <w:rPr>
                <w:sz w:val="20"/>
                <w:szCs w:val="20"/>
              </w:rPr>
            </w:pPr>
            <w:r w:rsidRPr="00264BD6">
              <w:rPr>
                <w:sz w:val="20"/>
                <w:szCs w:val="20"/>
              </w:rPr>
              <w:t>2 657 038</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F57315" w:rsidR="00A45FB9" w:rsidP="00A45FB9" w:rsidRDefault="00831B1B" w14:paraId="01FC4EA4" w14:textId="1282E6A7">
            <w:pPr>
              <w:spacing w:before="120"/>
              <w:jc w:val="center"/>
              <w:rPr>
                <w:sz w:val="20"/>
                <w:szCs w:val="20"/>
              </w:rPr>
            </w:pPr>
            <w:r w:rsidRPr="00F57315">
              <w:rPr>
                <w:sz w:val="20"/>
                <w:szCs w:val="20"/>
              </w:rPr>
              <w:t>108 704 167</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F57315" w:rsidR="00A45FB9" w:rsidP="00A45FB9" w:rsidRDefault="00264BD6" w14:paraId="47619603" w14:textId="0AE2D5F0">
            <w:pPr>
              <w:spacing w:before="120"/>
              <w:jc w:val="center"/>
              <w:rPr>
                <w:sz w:val="20"/>
                <w:szCs w:val="20"/>
              </w:rPr>
            </w:pPr>
            <w:r w:rsidRPr="00264BD6">
              <w:rPr>
                <w:sz w:val="20"/>
                <w:szCs w:val="20"/>
              </w:rPr>
              <w:t>3 097 162</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F57315" w:rsidR="00A45FB9" w:rsidP="00A45FB9" w:rsidRDefault="00831B1B" w14:paraId="05C4BFEC" w14:textId="42D75209">
            <w:pPr>
              <w:spacing w:before="120"/>
              <w:jc w:val="center"/>
              <w:rPr>
                <w:sz w:val="20"/>
                <w:szCs w:val="20"/>
              </w:rPr>
            </w:pPr>
            <w:r w:rsidRPr="00F57315">
              <w:rPr>
                <w:sz w:val="20"/>
                <w:szCs w:val="20"/>
              </w:rPr>
              <w:t>140 401 456</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A45FB9" w:rsidR="00A45FB9" w:rsidP="00A45FB9" w:rsidRDefault="00264BD6" w14:paraId="68036825" w14:textId="3B3611BC">
            <w:pPr>
              <w:jc w:val="center"/>
              <w:rPr>
                <w:sz w:val="20"/>
                <w:szCs w:val="20"/>
              </w:rPr>
            </w:pPr>
            <w:r w:rsidRPr="00264BD6">
              <w:rPr>
                <w:sz w:val="20"/>
                <w:szCs w:val="20"/>
              </w:rPr>
              <w:t>2 515 720</w:t>
            </w:r>
          </w:p>
        </w:tc>
        <w:tc>
          <w:tcPr>
            <w:tcW w:w="708" w:type="dxa"/>
            <w:tcBorders>
              <w:top w:val="single" w:color="auto" w:sz="4" w:space="0"/>
              <w:left w:val="single" w:color="auto" w:sz="4" w:space="0"/>
              <w:bottom w:val="single" w:color="auto" w:sz="4" w:space="0"/>
              <w:right w:val="single" w:color="auto" w:sz="4" w:space="0"/>
            </w:tcBorders>
            <w:shd w:val="clear" w:color="auto" w:fill="auto"/>
            <w:hideMark/>
          </w:tcPr>
          <w:p w:rsidRPr="00A45FB9" w:rsidR="00A45FB9" w:rsidP="00A45FB9" w:rsidRDefault="00614ADE" w14:paraId="65BF421C" w14:textId="24531FF5">
            <w:pPr>
              <w:jc w:val="center"/>
              <w:rPr>
                <w:sz w:val="20"/>
                <w:szCs w:val="20"/>
              </w:rPr>
            </w:pPr>
            <w:r w:rsidRPr="00614ADE">
              <w:rPr>
                <w:sz w:val="20"/>
                <w:szCs w:val="20"/>
              </w:rPr>
              <w:t>2 401 627</w:t>
            </w:r>
          </w:p>
        </w:tc>
      </w:tr>
      <w:tr w:rsidRPr="00825345" w:rsidR="00E33B13" w:rsidTr="000B0091" w14:paraId="5BD9884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4E8C4002" w14:textId="77777777">
            <w:pPr>
              <w:rPr>
                <w:sz w:val="22"/>
              </w:rPr>
            </w:pPr>
            <w:r w:rsidRPr="00342C9C">
              <w:rPr>
                <w:sz w:val="22"/>
              </w:rPr>
              <w:t>2.1.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F57315" w:rsidR="00923A3D" w:rsidP="00923A3D" w:rsidRDefault="00241525" w14:paraId="75807673" w14:textId="5972F40A">
            <w:pPr>
              <w:jc w:val="center"/>
              <w:rPr>
                <w:sz w:val="20"/>
                <w:szCs w:val="20"/>
              </w:rPr>
            </w:pPr>
            <w:r w:rsidRPr="00F57315">
              <w:rPr>
                <w:sz w:val="20"/>
                <w:szCs w:val="20"/>
              </w:rPr>
              <w:t>73 528 976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F57315" w:rsidR="00923A3D" w:rsidP="00011FC9" w:rsidRDefault="00264BD6" w14:paraId="5C4CFEEE" w14:textId="23FDB87F">
            <w:pPr>
              <w:jc w:val="center"/>
              <w:rPr>
                <w:sz w:val="20"/>
                <w:szCs w:val="20"/>
              </w:rPr>
            </w:pPr>
            <w:r w:rsidRPr="00264BD6">
              <w:rPr>
                <w:sz w:val="20"/>
                <w:szCs w:val="20"/>
              </w:rPr>
              <w:t>2 657 038</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F57315" w:rsidR="00923A3D" w:rsidP="00923A3D" w:rsidRDefault="00831B1B" w14:paraId="10DCD2B2" w14:textId="447CEC91">
            <w:pPr>
              <w:spacing w:before="120"/>
              <w:jc w:val="center"/>
              <w:rPr>
                <w:sz w:val="20"/>
                <w:szCs w:val="20"/>
              </w:rPr>
            </w:pPr>
            <w:r w:rsidRPr="00F57315">
              <w:rPr>
                <w:sz w:val="20"/>
                <w:szCs w:val="20"/>
              </w:rPr>
              <w:t>108 704 167</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F57315" w:rsidR="00923A3D" w:rsidP="00923A3D" w:rsidRDefault="00264BD6" w14:paraId="028BAF2A" w14:textId="579BA658">
            <w:pPr>
              <w:spacing w:before="120"/>
              <w:jc w:val="center"/>
              <w:rPr>
                <w:sz w:val="20"/>
                <w:szCs w:val="20"/>
              </w:rPr>
            </w:pPr>
            <w:r w:rsidRPr="00264BD6">
              <w:rPr>
                <w:sz w:val="20"/>
                <w:szCs w:val="20"/>
              </w:rPr>
              <w:t>3 097 162</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F57315" w:rsidR="00923A3D" w:rsidP="00923A3D" w:rsidRDefault="00831B1B" w14:paraId="43CB9016" w14:textId="2A091C7E">
            <w:pPr>
              <w:spacing w:before="120"/>
              <w:jc w:val="center"/>
              <w:rPr>
                <w:sz w:val="20"/>
                <w:szCs w:val="20"/>
              </w:rPr>
            </w:pPr>
            <w:r w:rsidRPr="00F57315">
              <w:rPr>
                <w:sz w:val="20"/>
                <w:szCs w:val="20"/>
              </w:rPr>
              <w:t>140 401 456</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A45FB9" w:rsidR="00923A3D" w:rsidP="00923A3D" w:rsidRDefault="00264BD6" w14:paraId="73636DD0" w14:textId="09495F61">
            <w:pPr>
              <w:jc w:val="center"/>
              <w:rPr>
                <w:sz w:val="20"/>
                <w:szCs w:val="20"/>
              </w:rPr>
            </w:pPr>
            <w:r w:rsidRPr="00264BD6">
              <w:rPr>
                <w:sz w:val="20"/>
                <w:szCs w:val="20"/>
              </w:rPr>
              <w:t>2 515 720</w:t>
            </w:r>
          </w:p>
        </w:tc>
        <w:tc>
          <w:tcPr>
            <w:tcW w:w="708" w:type="dxa"/>
            <w:tcBorders>
              <w:top w:val="single" w:color="auto" w:sz="4" w:space="0"/>
              <w:left w:val="single" w:color="auto" w:sz="4" w:space="0"/>
              <w:bottom w:val="single" w:color="auto" w:sz="4" w:space="0"/>
              <w:right w:val="single" w:color="auto" w:sz="4" w:space="0"/>
            </w:tcBorders>
            <w:shd w:val="clear" w:color="auto" w:fill="auto"/>
            <w:hideMark/>
          </w:tcPr>
          <w:p w:rsidRPr="00A45FB9" w:rsidR="00923A3D" w:rsidP="00923A3D" w:rsidRDefault="00614ADE" w14:paraId="4878C2E4" w14:textId="5EDCC4CF">
            <w:pPr>
              <w:jc w:val="center"/>
              <w:rPr>
                <w:sz w:val="20"/>
                <w:szCs w:val="20"/>
              </w:rPr>
            </w:pPr>
            <w:r w:rsidRPr="00614ADE">
              <w:rPr>
                <w:sz w:val="20"/>
                <w:szCs w:val="20"/>
              </w:rPr>
              <w:t>2 401 627</w:t>
            </w:r>
          </w:p>
        </w:tc>
      </w:tr>
      <w:tr w:rsidRPr="00825345" w:rsidR="00E33B13" w:rsidTr="000B0091" w14:paraId="0FEB1941"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434D273D" w14:textId="77777777">
            <w:pPr>
              <w:rPr>
                <w:sz w:val="22"/>
              </w:rPr>
            </w:pPr>
            <w:r w:rsidRPr="00342C9C">
              <w:rPr>
                <w:sz w:val="22"/>
              </w:rPr>
              <w:t>2.2.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923A3D" w:rsidP="00923A3D" w:rsidRDefault="00923A3D" w14:paraId="01E73225" w14:textId="77777777">
            <w:pPr>
              <w:jc w:val="center"/>
              <w:rPr>
                <w:sz w:val="22"/>
              </w:rPr>
            </w:pPr>
            <w:r w:rsidRPr="002818AA">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1D7B66E6"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2227348A" w14:textId="77777777">
            <w:pPr>
              <w:jc w:val="center"/>
              <w:rPr>
                <w:sz w:val="20"/>
                <w:szCs w:val="20"/>
              </w:rPr>
            </w:pPr>
            <w:r w:rsidRPr="00A45FB9">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55175857" w14:textId="77777777">
            <w:pPr>
              <w:jc w:val="center"/>
              <w:rPr>
                <w:sz w:val="20"/>
                <w:szCs w:val="20"/>
              </w:rPr>
            </w:pPr>
            <w:r w:rsidRPr="00A45FB9">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7BA4E302"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7FA5C905" w14:textId="77777777">
            <w:pPr>
              <w:jc w:val="center"/>
              <w:rPr>
                <w:sz w:val="20"/>
                <w:szCs w:val="20"/>
              </w:rPr>
            </w:pPr>
            <w:r w:rsidRPr="00A45FB9">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161DCA6B" w14:textId="77777777">
            <w:pPr>
              <w:jc w:val="center"/>
              <w:rPr>
                <w:sz w:val="20"/>
                <w:szCs w:val="20"/>
              </w:rPr>
            </w:pPr>
            <w:r w:rsidRPr="00A45FB9">
              <w:rPr>
                <w:sz w:val="20"/>
                <w:szCs w:val="20"/>
              </w:rPr>
              <w:t>0</w:t>
            </w:r>
          </w:p>
        </w:tc>
      </w:tr>
      <w:tr w:rsidRPr="00825345" w:rsidR="00E33B13" w:rsidTr="000B0091" w14:paraId="20ECA8D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493496CC" w14:textId="77777777">
            <w:pPr>
              <w:rPr>
                <w:sz w:val="22"/>
              </w:rPr>
            </w:pPr>
            <w:r w:rsidRPr="00342C9C">
              <w:rPr>
                <w:sz w:val="22"/>
              </w:rPr>
              <w:t>2.3.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923A3D" w14:paraId="0189F531" w14:textId="77777777">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24900D8D"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4564AF44" w14:textId="77777777">
            <w:pPr>
              <w:jc w:val="center"/>
              <w:rPr>
                <w:sz w:val="20"/>
                <w:szCs w:val="20"/>
              </w:rPr>
            </w:pPr>
            <w:r w:rsidRPr="00A45FB9">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42A4AF43" w14:textId="77777777">
            <w:pPr>
              <w:jc w:val="center"/>
              <w:rPr>
                <w:sz w:val="20"/>
                <w:szCs w:val="20"/>
              </w:rPr>
            </w:pPr>
            <w:r w:rsidRPr="00A45FB9">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42E4808C"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53244137" w14:textId="77777777">
            <w:pPr>
              <w:jc w:val="center"/>
              <w:rPr>
                <w:sz w:val="20"/>
                <w:szCs w:val="20"/>
              </w:rPr>
            </w:pPr>
            <w:r w:rsidRPr="00A45FB9">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30E6CA53" w14:textId="77777777">
            <w:pPr>
              <w:jc w:val="center"/>
              <w:rPr>
                <w:sz w:val="20"/>
                <w:szCs w:val="20"/>
              </w:rPr>
            </w:pPr>
            <w:r w:rsidRPr="00A45FB9">
              <w:rPr>
                <w:sz w:val="20"/>
                <w:szCs w:val="20"/>
              </w:rPr>
              <w:t>0</w:t>
            </w:r>
          </w:p>
        </w:tc>
      </w:tr>
      <w:tr w:rsidRPr="00BD0191" w:rsidR="00E33B13" w:rsidTr="000B0091" w14:paraId="520FD308"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32164661" w14:textId="77777777">
            <w:pPr>
              <w:rPr>
                <w:sz w:val="22"/>
              </w:rPr>
            </w:pPr>
            <w:r w:rsidRPr="00342C9C">
              <w:rPr>
                <w:sz w:val="22"/>
              </w:rPr>
              <w:t>3. Finansiālā ietekme</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CB2E15" w14:paraId="1B96BDE6" w14:textId="5677185B">
            <w:pPr>
              <w:jc w:val="center"/>
              <w:rPr>
                <w:sz w:val="22"/>
              </w:rPr>
            </w:pPr>
            <w:r w:rsidRPr="00CB2E15">
              <w:rPr>
                <w:sz w:val="20"/>
                <w:szCs w:val="20"/>
              </w:rPr>
              <w:t>4</w:t>
            </w:r>
            <w:r>
              <w:rPr>
                <w:sz w:val="20"/>
                <w:szCs w:val="20"/>
              </w:rPr>
              <w:t xml:space="preserve"> </w:t>
            </w:r>
            <w:r w:rsidRPr="00CB2E15">
              <w:rPr>
                <w:sz w:val="20"/>
                <w:szCs w:val="20"/>
              </w:rPr>
              <w:t>485</w:t>
            </w:r>
            <w:r>
              <w:rPr>
                <w:sz w:val="20"/>
                <w:szCs w:val="20"/>
              </w:rPr>
              <w:t xml:space="preserve"> </w:t>
            </w:r>
            <w:r w:rsidRPr="00CB2E15">
              <w:rPr>
                <w:sz w:val="20"/>
                <w:szCs w:val="20"/>
              </w:rPr>
              <w:t>446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A45FB9" w:rsidR="00923A3D" w:rsidP="00923A3D" w:rsidRDefault="00923A3D" w14:paraId="00FFDF0D" w14:textId="7F1F4957">
            <w:pPr>
              <w:jc w:val="center"/>
              <w:rPr>
                <w:sz w:val="20"/>
                <w:szCs w:val="20"/>
              </w:rPr>
            </w:pPr>
            <w:r w:rsidRPr="00A45FB9">
              <w:rPr>
                <w:sz w:val="20"/>
                <w:szCs w:val="20"/>
              </w:rPr>
              <w:t>- 181 152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731C9590" w14:textId="77777777">
            <w:pPr>
              <w:jc w:val="center"/>
              <w:rPr>
                <w:sz w:val="20"/>
                <w:szCs w:val="20"/>
              </w:rPr>
            </w:pPr>
            <w:r w:rsidRPr="00A45FB9">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2AA2BD16" w14:textId="6E4D91F4">
            <w:pPr>
              <w:jc w:val="center"/>
              <w:rPr>
                <w:sz w:val="20"/>
                <w:szCs w:val="20"/>
              </w:rPr>
            </w:pPr>
            <w:r w:rsidRPr="00A45FB9">
              <w:rPr>
                <w:sz w:val="20"/>
                <w:szCs w:val="20"/>
              </w:rPr>
              <w:t>-181 152</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403CB91A" w14:textId="30E52784">
            <w:pPr>
              <w:jc w:val="center"/>
              <w:rPr>
                <w:sz w:val="20"/>
                <w:szCs w:val="20"/>
              </w:rPr>
            </w:pPr>
            <w:r w:rsidRPr="00A45FB9">
              <w:rPr>
                <w:sz w:val="20"/>
                <w:szCs w:val="20"/>
              </w:rPr>
              <w:t>-181 152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7495F88D" w14:textId="6229BFC1">
            <w:pPr>
              <w:jc w:val="center"/>
              <w:rPr>
                <w:sz w:val="20"/>
                <w:szCs w:val="20"/>
              </w:rPr>
            </w:pPr>
            <w:r w:rsidRPr="00A45FB9">
              <w:rPr>
                <w:sz w:val="20"/>
                <w:szCs w:val="20"/>
              </w:rPr>
              <w:t>-181 152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386D3ED2" w14:textId="6B5A659C">
            <w:pPr>
              <w:jc w:val="center"/>
              <w:rPr>
                <w:sz w:val="20"/>
                <w:szCs w:val="20"/>
              </w:rPr>
            </w:pPr>
            <w:r w:rsidRPr="00A45FB9">
              <w:rPr>
                <w:sz w:val="20"/>
                <w:szCs w:val="20"/>
              </w:rPr>
              <w:t>-181 152</w:t>
            </w:r>
          </w:p>
        </w:tc>
      </w:tr>
      <w:tr w:rsidRPr="00825345" w:rsidR="00E33B13" w:rsidTr="000B0091" w14:paraId="5CF7247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441FC474" w14:textId="77777777">
            <w:pPr>
              <w:rPr>
                <w:sz w:val="22"/>
              </w:rPr>
            </w:pPr>
            <w:r w:rsidRPr="00342C9C">
              <w:rPr>
                <w:sz w:val="22"/>
              </w:rPr>
              <w:t>3.1.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CB2E15" w14:paraId="11C07B39" w14:textId="31EE4F20">
            <w:pPr>
              <w:jc w:val="center"/>
              <w:rPr>
                <w:sz w:val="22"/>
              </w:rPr>
            </w:pPr>
            <w:r w:rsidRPr="00CB2E15">
              <w:rPr>
                <w:sz w:val="20"/>
                <w:szCs w:val="20"/>
              </w:rPr>
              <w:t>4</w:t>
            </w:r>
            <w:r>
              <w:rPr>
                <w:sz w:val="20"/>
                <w:szCs w:val="20"/>
              </w:rPr>
              <w:t xml:space="preserve"> </w:t>
            </w:r>
            <w:r w:rsidRPr="00CB2E15">
              <w:rPr>
                <w:sz w:val="20"/>
                <w:szCs w:val="20"/>
              </w:rPr>
              <w:t>485</w:t>
            </w:r>
            <w:r>
              <w:rPr>
                <w:sz w:val="20"/>
                <w:szCs w:val="20"/>
              </w:rPr>
              <w:t xml:space="preserve"> </w:t>
            </w:r>
            <w:r w:rsidRPr="00CB2E15">
              <w:rPr>
                <w:sz w:val="20"/>
                <w:szCs w:val="20"/>
              </w:rPr>
              <w:t>446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A45FB9" w:rsidR="00923A3D" w:rsidP="00011FC9" w:rsidRDefault="00923A3D" w14:paraId="2043EE75" w14:textId="1E5E3FF7">
            <w:pPr>
              <w:jc w:val="center"/>
              <w:rPr>
                <w:sz w:val="20"/>
                <w:szCs w:val="20"/>
              </w:rPr>
            </w:pPr>
            <w:r w:rsidRPr="00A45FB9">
              <w:rPr>
                <w:sz w:val="20"/>
                <w:szCs w:val="20"/>
              </w:rPr>
              <w:t>- 181 152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691FD38C" w14:textId="77777777">
            <w:pPr>
              <w:jc w:val="center"/>
              <w:rPr>
                <w:sz w:val="20"/>
                <w:szCs w:val="20"/>
              </w:rPr>
            </w:pPr>
            <w:r w:rsidRPr="00A45FB9">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050381EC" w14:textId="7A6F505B">
            <w:pPr>
              <w:jc w:val="center"/>
              <w:rPr>
                <w:sz w:val="20"/>
                <w:szCs w:val="20"/>
              </w:rPr>
            </w:pPr>
            <w:r w:rsidRPr="00A45FB9">
              <w:rPr>
                <w:sz w:val="20"/>
                <w:szCs w:val="20"/>
              </w:rPr>
              <w:t>-181 152</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729BE8F6" w14:textId="1B6AAB19">
            <w:pPr>
              <w:jc w:val="center"/>
              <w:rPr>
                <w:sz w:val="20"/>
                <w:szCs w:val="20"/>
              </w:rPr>
            </w:pPr>
            <w:r w:rsidRPr="00A45FB9">
              <w:rPr>
                <w:sz w:val="20"/>
                <w:szCs w:val="20"/>
              </w:rPr>
              <w:t>-181 152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62452857" w14:textId="66329142">
            <w:pPr>
              <w:jc w:val="center"/>
              <w:rPr>
                <w:sz w:val="20"/>
                <w:szCs w:val="20"/>
              </w:rPr>
            </w:pPr>
            <w:r w:rsidRPr="00A45FB9">
              <w:rPr>
                <w:sz w:val="20"/>
                <w:szCs w:val="20"/>
              </w:rPr>
              <w:t>-181 152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12297EEE" w14:textId="3D3886AE">
            <w:pPr>
              <w:rPr>
                <w:sz w:val="20"/>
                <w:szCs w:val="20"/>
              </w:rPr>
            </w:pPr>
            <w:r w:rsidRPr="00A45FB9">
              <w:rPr>
                <w:sz w:val="20"/>
                <w:szCs w:val="20"/>
              </w:rPr>
              <w:t>-181 152</w:t>
            </w:r>
          </w:p>
        </w:tc>
      </w:tr>
      <w:tr w:rsidRPr="00825345" w:rsidR="00E33B13" w:rsidTr="000B0091" w14:paraId="3A73F831"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103E9EF5" w14:textId="77777777">
            <w:pPr>
              <w:rPr>
                <w:sz w:val="22"/>
              </w:rPr>
            </w:pPr>
            <w:r w:rsidRPr="00342C9C">
              <w:rPr>
                <w:sz w:val="22"/>
              </w:rPr>
              <w:t>3.2.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923A3D" w14:paraId="4D64D98C" w14:textId="77777777">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30FAA0B5"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19F41939" w14:textId="77777777">
            <w:pPr>
              <w:jc w:val="center"/>
              <w:rPr>
                <w:sz w:val="20"/>
                <w:szCs w:val="20"/>
              </w:rPr>
            </w:pPr>
            <w:r w:rsidRPr="00A45FB9">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44784E8A" w14:textId="77777777">
            <w:pPr>
              <w:jc w:val="center"/>
              <w:rPr>
                <w:sz w:val="20"/>
                <w:szCs w:val="20"/>
              </w:rPr>
            </w:pPr>
            <w:r w:rsidRPr="00A45FB9">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5669CBC3"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33BAEA8E" w14:textId="77777777">
            <w:pPr>
              <w:jc w:val="center"/>
              <w:rPr>
                <w:sz w:val="20"/>
                <w:szCs w:val="20"/>
              </w:rPr>
            </w:pPr>
            <w:r w:rsidRPr="00A45FB9">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24C526F3" w14:textId="77777777">
            <w:pPr>
              <w:jc w:val="center"/>
              <w:rPr>
                <w:sz w:val="20"/>
                <w:szCs w:val="20"/>
              </w:rPr>
            </w:pPr>
            <w:r w:rsidRPr="00A45FB9">
              <w:rPr>
                <w:sz w:val="20"/>
                <w:szCs w:val="20"/>
              </w:rPr>
              <w:t>0</w:t>
            </w:r>
          </w:p>
        </w:tc>
      </w:tr>
      <w:tr w:rsidRPr="00825345" w:rsidR="00E33B13" w:rsidTr="000B0091" w14:paraId="491126A5"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0E054752" w14:textId="77777777">
            <w:pPr>
              <w:rPr>
                <w:sz w:val="22"/>
              </w:rPr>
            </w:pPr>
            <w:r w:rsidRPr="00342C9C">
              <w:rPr>
                <w:sz w:val="22"/>
              </w:rPr>
              <w:t>3.3.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923A3D" w14:paraId="7B8DCE41" w14:textId="77777777">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0A2EA008"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39BE15AB" w14:textId="77777777">
            <w:pPr>
              <w:jc w:val="center"/>
              <w:rPr>
                <w:sz w:val="20"/>
                <w:szCs w:val="20"/>
              </w:rPr>
            </w:pPr>
            <w:r w:rsidRPr="00A45FB9">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4C5214E4" w14:textId="77777777">
            <w:pPr>
              <w:jc w:val="center"/>
              <w:rPr>
                <w:sz w:val="20"/>
                <w:szCs w:val="20"/>
              </w:rPr>
            </w:pPr>
            <w:r w:rsidRPr="00A45FB9">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03F84B85" w14:textId="77777777">
            <w:pPr>
              <w:jc w:val="center"/>
              <w:rPr>
                <w:sz w:val="20"/>
                <w:szCs w:val="20"/>
              </w:rPr>
            </w:pPr>
            <w:r w:rsidRPr="00A45FB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6775D4E0" w14:textId="77777777">
            <w:pPr>
              <w:jc w:val="center"/>
              <w:rPr>
                <w:sz w:val="20"/>
                <w:szCs w:val="20"/>
              </w:rPr>
            </w:pPr>
            <w:r w:rsidRPr="00A45FB9">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923A3D" w:rsidP="00923A3D" w:rsidRDefault="00923A3D" w14:paraId="2E7491FB" w14:textId="77777777">
            <w:pPr>
              <w:jc w:val="center"/>
              <w:rPr>
                <w:sz w:val="20"/>
                <w:szCs w:val="20"/>
              </w:rPr>
            </w:pPr>
            <w:r w:rsidRPr="00A45FB9">
              <w:rPr>
                <w:sz w:val="20"/>
                <w:szCs w:val="20"/>
              </w:rPr>
              <w:t>0</w:t>
            </w:r>
          </w:p>
        </w:tc>
      </w:tr>
      <w:tr w:rsidRPr="00825345" w:rsidR="00E33B13" w:rsidTr="000B0091" w14:paraId="20D05F3D" w14:textId="77777777">
        <w:trPr>
          <w:trHeight w:val="84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32046754" w14:textId="77777777">
            <w:pPr>
              <w:rPr>
                <w:sz w:val="22"/>
              </w:rPr>
            </w:pPr>
            <w:r w:rsidRPr="00342C9C">
              <w:rPr>
                <w:sz w:val="22"/>
              </w:rPr>
              <w:t xml:space="preserve">4. Finanšu līdzekļi papildu izdevumu finansēšanai (kompensējošu izdevumu </w:t>
            </w:r>
            <w:r w:rsidRPr="00342C9C">
              <w:rPr>
                <w:sz w:val="22"/>
              </w:rPr>
              <w:lastRenderedPageBreak/>
              <w:t>samazinājumu norāda ar "+" zīmi)</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923A3D" w14:paraId="6DFCBDC1" w14:textId="77777777">
            <w:pPr>
              <w:jc w:val="center"/>
              <w:rPr>
                <w:sz w:val="22"/>
              </w:rPr>
            </w:pPr>
            <w:r>
              <w:rPr>
                <w:sz w:val="20"/>
                <w:szCs w:val="20"/>
              </w:rPr>
              <w:lastRenderedPageBreak/>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923A3D" w14:paraId="140896D1" w14:textId="77777777">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923A3D" w14:paraId="288E9396" w14:textId="77777777">
            <w:pPr>
              <w:jc w:val="center"/>
              <w:rPr>
                <w:sz w:val="22"/>
              </w:rPr>
            </w:pPr>
            <w:r>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923A3D" w14:paraId="00C0BC29" w14:textId="77777777">
            <w:pPr>
              <w:jc w:val="center"/>
              <w:rPr>
                <w:sz w:val="22"/>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923A3D" w14:paraId="7CFF1C20" w14:textId="77777777">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923A3D" w14:paraId="61E6F069" w14:textId="77777777">
            <w:pPr>
              <w:jc w:val="center"/>
              <w:rPr>
                <w:sz w:val="22"/>
              </w:rPr>
            </w:pPr>
            <w:r>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923A3D" w:rsidP="00923A3D" w:rsidRDefault="00923A3D" w14:paraId="73A1CA07" w14:textId="77777777">
            <w:pPr>
              <w:jc w:val="center"/>
              <w:rPr>
                <w:sz w:val="22"/>
              </w:rPr>
            </w:pPr>
            <w:r>
              <w:rPr>
                <w:sz w:val="20"/>
                <w:szCs w:val="20"/>
              </w:rPr>
              <w:t>0</w:t>
            </w:r>
          </w:p>
        </w:tc>
      </w:tr>
      <w:tr w:rsidRPr="00825345" w:rsidR="00FE063B" w:rsidTr="000B0091" w14:paraId="2CFA1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FE063B" w:rsidP="00FE063B" w:rsidRDefault="00FE063B" w14:paraId="74E261D3" w14:textId="77777777">
            <w:pPr>
              <w:rPr>
                <w:sz w:val="22"/>
              </w:rPr>
            </w:pPr>
            <w:r w:rsidRPr="00342C9C">
              <w:rPr>
                <w:sz w:val="22"/>
              </w:rPr>
              <w:t>5. Precizēta finansiālā ietekme</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FE063B" w:rsidP="00FE063B" w:rsidRDefault="00FE063B" w14:paraId="617CC382" w14:textId="76DDFE02">
            <w:pPr>
              <w:jc w:val="center"/>
              <w:rPr>
                <w:sz w:val="22"/>
              </w:rPr>
            </w:pPr>
            <w:r>
              <w:rPr>
                <w:sz w:val="22"/>
              </w:rPr>
              <w:t>X</w:t>
            </w:r>
          </w:p>
          <w:p w:rsidRPr="00342C9C" w:rsidR="00FE063B" w:rsidP="00FE063B" w:rsidRDefault="00FE063B" w14:paraId="0A652BFF" w14:textId="77777777">
            <w:pPr>
              <w:jc w:val="center"/>
              <w:rPr>
                <w:sz w:val="22"/>
              </w:rPr>
            </w:pPr>
          </w:p>
          <w:p w:rsidRPr="00342C9C" w:rsidR="00FE063B" w:rsidP="00FE063B" w:rsidRDefault="00FE063B" w14:paraId="665579FA"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FE063B" w:rsidP="00FE063B" w:rsidRDefault="00FE063B" w14:paraId="78354954" w14:textId="4D0F9B0F">
            <w:pPr>
              <w:jc w:val="center"/>
              <w:rPr>
                <w:sz w:val="22"/>
              </w:rPr>
            </w:pPr>
            <w:r w:rsidRPr="00A45FB9">
              <w:rPr>
                <w:sz w:val="20"/>
                <w:szCs w:val="20"/>
              </w:rPr>
              <w:t>- 181 152</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FE063B" w:rsidP="00FE063B" w:rsidRDefault="00FE063B" w14:paraId="2F4B0FBB" w14:textId="6ABC7B9E">
            <w:pPr>
              <w:jc w:val="center"/>
              <w:rPr>
                <w:sz w:val="22"/>
              </w:rPr>
            </w:pPr>
            <w:r>
              <w:rPr>
                <w:sz w:val="22"/>
              </w:rPr>
              <w:t>X</w:t>
            </w:r>
          </w:p>
          <w:p w:rsidRPr="00342C9C" w:rsidR="00FE063B" w:rsidP="00FE063B" w:rsidRDefault="00FE063B" w14:paraId="6DA74848" w14:textId="77777777">
            <w:pPr>
              <w:jc w:val="center"/>
              <w:rPr>
                <w:sz w:val="22"/>
              </w:rPr>
            </w:pPr>
          </w:p>
          <w:p w:rsidRPr="00342C9C" w:rsidR="00FE063B" w:rsidP="00FE063B" w:rsidRDefault="00FE063B" w14:paraId="458CD9B5" w14:textId="77777777">
            <w:pPr>
              <w:jc w:val="center"/>
              <w:rPr>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FE063B" w:rsidP="00FE063B" w:rsidRDefault="00FE063B" w14:paraId="4788CFCB" w14:textId="5BDF4F30">
            <w:pPr>
              <w:jc w:val="center"/>
              <w:rPr>
                <w:sz w:val="22"/>
              </w:rPr>
            </w:pPr>
            <w:r w:rsidRPr="00A45FB9">
              <w:rPr>
                <w:sz w:val="20"/>
                <w:szCs w:val="20"/>
              </w:rPr>
              <w:t>- 181 152</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FE063B" w:rsidP="00FE063B" w:rsidRDefault="00FE063B" w14:paraId="66986CD2" w14:textId="20EDC8C5">
            <w:pPr>
              <w:jc w:val="center"/>
              <w:rPr>
                <w:sz w:val="22"/>
              </w:rPr>
            </w:pPr>
            <w:r>
              <w:rPr>
                <w:sz w:val="22"/>
              </w:rPr>
              <w:t>X</w:t>
            </w:r>
          </w:p>
          <w:p w:rsidRPr="00342C9C" w:rsidR="00FE063B" w:rsidP="00FE063B" w:rsidRDefault="00FE063B" w14:paraId="00939879" w14:textId="77777777">
            <w:pPr>
              <w:jc w:val="center"/>
              <w:rPr>
                <w:sz w:val="22"/>
              </w:rPr>
            </w:pPr>
          </w:p>
          <w:p w:rsidRPr="00342C9C" w:rsidR="00FE063B" w:rsidP="00FE063B" w:rsidRDefault="00FE063B" w14:paraId="394D07D0" w14:textId="77777777">
            <w:pPr>
              <w:jc w:val="center"/>
              <w:rPr>
                <w:sz w:val="22"/>
              </w:rPr>
            </w:pPr>
          </w:p>
          <w:p w:rsidRPr="00342C9C" w:rsidR="00FE063B" w:rsidP="00FE063B" w:rsidRDefault="00FE063B" w14:paraId="5B3196B2"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FE063B" w:rsidP="00FE063B" w:rsidRDefault="00FE063B" w14:paraId="186F11B1" w14:textId="5D3BE95C">
            <w:pPr>
              <w:jc w:val="center"/>
              <w:rPr>
                <w:sz w:val="22"/>
              </w:rPr>
            </w:pPr>
            <w:r w:rsidRPr="00A45FB9">
              <w:rPr>
                <w:sz w:val="20"/>
                <w:szCs w:val="20"/>
              </w:rPr>
              <w:t>- 181 152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FE063B" w:rsidP="00FE063B" w:rsidRDefault="00FE063B" w14:paraId="780683C5" w14:textId="5E744650">
            <w:pPr>
              <w:jc w:val="center"/>
              <w:rPr>
                <w:sz w:val="22"/>
              </w:rPr>
            </w:pPr>
            <w:r w:rsidRPr="00A45FB9">
              <w:rPr>
                <w:sz w:val="20"/>
                <w:szCs w:val="20"/>
              </w:rPr>
              <w:t>- 181 152</w:t>
            </w:r>
          </w:p>
        </w:tc>
      </w:tr>
      <w:tr w:rsidRPr="00825345" w:rsidR="00FE063B" w:rsidTr="000B0091" w14:paraId="4CF6CAC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FE063B" w:rsidP="00FE063B" w:rsidRDefault="00FE063B" w14:paraId="12A73DE2" w14:textId="77777777">
            <w:pPr>
              <w:rPr>
                <w:sz w:val="22"/>
              </w:rPr>
            </w:pPr>
            <w:r w:rsidRPr="00342C9C">
              <w:rPr>
                <w:sz w:val="22"/>
              </w:rPr>
              <w:t>5.1. valsts pamatbudžets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FE063B" w:rsidP="00FE063B" w:rsidRDefault="00FE063B" w14:paraId="34FDD3D4"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FE063B" w:rsidP="00FE063B" w:rsidRDefault="00FE063B" w14:paraId="1178708F" w14:textId="77777777">
            <w:pPr>
              <w:jc w:val="center"/>
              <w:rPr>
                <w:sz w:val="20"/>
                <w:szCs w:val="20"/>
              </w:rPr>
            </w:pPr>
            <w:r w:rsidRPr="00A45FB9">
              <w:rPr>
                <w:sz w:val="20"/>
                <w:szCs w:val="20"/>
              </w:rPr>
              <w:t>- 181 152</w:t>
            </w:r>
          </w:p>
          <w:p w:rsidRPr="00342C9C" w:rsidR="00FE063B" w:rsidP="00FE063B" w:rsidRDefault="00FE063B" w14:paraId="08B445DC" w14:textId="2DBA4760">
            <w:pPr>
              <w:jc w:val="center"/>
              <w:rPr>
                <w:sz w:val="22"/>
              </w:rPr>
            </w:pP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FE063B" w:rsidP="00FE063B" w:rsidRDefault="00FE063B" w14:paraId="06E8B43C" w14:textId="77777777">
            <w:pPr>
              <w:jc w:val="center"/>
              <w:rPr>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FE063B" w:rsidP="00FE063B" w:rsidRDefault="00FE063B" w14:paraId="6C79D9F7" w14:textId="77777777">
            <w:pPr>
              <w:jc w:val="center"/>
              <w:rPr>
                <w:sz w:val="20"/>
                <w:szCs w:val="20"/>
              </w:rPr>
            </w:pPr>
            <w:r w:rsidRPr="00A45FB9">
              <w:rPr>
                <w:sz w:val="20"/>
                <w:szCs w:val="20"/>
              </w:rPr>
              <w:t>- 181 152</w:t>
            </w:r>
          </w:p>
          <w:p w:rsidRPr="00342C9C" w:rsidR="00FE063B" w:rsidP="00FE063B" w:rsidRDefault="00FE063B" w14:paraId="285714D3" w14:textId="5E50FF52">
            <w:pPr>
              <w:jc w:val="center"/>
              <w:rPr>
                <w:sz w:val="22"/>
              </w:rPr>
            </w:pPr>
          </w:p>
        </w:tc>
        <w:tc>
          <w:tcPr>
            <w:tcW w:w="993"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FE063B" w:rsidP="00FE063B" w:rsidRDefault="00FE063B" w14:paraId="2FC6B0E1"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FE063B" w:rsidP="00FE063B" w:rsidRDefault="00FE063B" w14:paraId="76DAC8D0" w14:textId="77777777">
            <w:pPr>
              <w:jc w:val="center"/>
              <w:rPr>
                <w:sz w:val="20"/>
                <w:szCs w:val="20"/>
              </w:rPr>
            </w:pPr>
            <w:r w:rsidRPr="00A45FB9">
              <w:rPr>
                <w:sz w:val="20"/>
                <w:szCs w:val="20"/>
              </w:rPr>
              <w:t>- 181 152</w:t>
            </w:r>
          </w:p>
          <w:p w:rsidRPr="00342C9C" w:rsidR="00FE063B" w:rsidP="00FE063B" w:rsidRDefault="00FE063B" w14:paraId="747C737D" w14:textId="645FD7A3">
            <w:pPr>
              <w:jc w:val="center"/>
              <w:rPr>
                <w:sz w:val="22"/>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5FB9" w:rsidR="00FE063B" w:rsidP="00FE063B" w:rsidRDefault="00FE063B" w14:paraId="0D717A01" w14:textId="77777777">
            <w:pPr>
              <w:jc w:val="center"/>
              <w:rPr>
                <w:sz w:val="20"/>
                <w:szCs w:val="20"/>
              </w:rPr>
            </w:pPr>
            <w:r w:rsidRPr="00A45FB9">
              <w:rPr>
                <w:sz w:val="20"/>
                <w:szCs w:val="20"/>
              </w:rPr>
              <w:t>- 181 152</w:t>
            </w:r>
          </w:p>
          <w:p w:rsidRPr="00342C9C" w:rsidR="00FE063B" w:rsidP="00FE063B" w:rsidRDefault="00FE063B" w14:paraId="656774C0" w14:textId="4BE062CE">
            <w:pPr>
              <w:jc w:val="center"/>
              <w:rPr>
                <w:sz w:val="22"/>
              </w:rPr>
            </w:pPr>
          </w:p>
        </w:tc>
      </w:tr>
      <w:tr w:rsidRPr="00825345" w:rsidR="00E33B13" w:rsidTr="000B0091" w14:paraId="70E72B1E"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32CE3D1D" w14:textId="77777777">
            <w:pPr>
              <w:rPr>
                <w:sz w:val="22"/>
              </w:rPr>
            </w:pPr>
            <w:r w:rsidRPr="00342C9C">
              <w:rPr>
                <w:sz w:val="22"/>
              </w:rPr>
              <w:t>5.2. speciālais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2D0B4EF0"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25E01904" w14:textId="77777777">
            <w:pPr>
              <w:jc w:val="center"/>
              <w:rPr>
                <w:sz w:val="22"/>
              </w:rPr>
            </w:pPr>
            <w:r w:rsidRPr="00342C9C">
              <w:rPr>
                <w:sz w:val="22"/>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212C8167" w14:textId="77777777">
            <w:pPr>
              <w:jc w:val="center"/>
              <w:rPr>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436D02D1" w14:textId="77777777">
            <w:pPr>
              <w:jc w:val="center"/>
              <w:rPr>
                <w:sz w:val="22"/>
              </w:rPr>
            </w:pPr>
            <w:r w:rsidRPr="00342C9C">
              <w:rPr>
                <w:sz w:val="22"/>
              </w:rPr>
              <w:t>0</w:t>
            </w:r>
          </w:p>
        </w:tc>
        <w:tc>
          <w:tcPr>
            <w:tcW w:w="993"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4811E0D2"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70EAAA68" w14:textId="77777777">
            <w:pPr>
              <w:jc w:val="center"/>
              <w:rPr>
                <w:sz w:val="22"/>
              </w:rPr>
            </w:pPr>
            <w:r w:rsidRPr="00342C9C">
              <w:rPr>
                <w:sz w:val="22"/>
              </w:rPr>
              <w:t>0</w:t>
            </w:r>
          </w:p>
        </w:tc>
        <w:tc>
          <w:tcPr>
            <w:tcW w:w="708"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75985AFA" w14:textId="77777777">
            <w:pPr>
              <w:jc w:val="center"/>
              <w:rPr>
                <w:sz w:val="22"/>
              </w:rPr>
            </w:pPr>
            <w:r w:rsidRPr="00342C9C">
              <w:rPr>
                <w:sz w:val="22"/>
              </w:rPr>
              <w:t>0</w:t>
            </w:r>
          </w:p>
        </w:tc>
      </w:tr>
      <w:tr w:rsidRPr="00825345" w:rsidR="00E33B13" w:rsidTr="000B0091" w14:paraId="6E53499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6F6E194E" w14:textId="77777777">
            <w:pPr>
              <w:rPr>
                <w:sz w:val="22"/>
              </w:rPr>
            </w:pPr>
            <w:r w:rsidRPr="00342C9C">
              <w:rPr>
                <w:sz w:val="22"/>
              </w:rPr>
              <w:t>5.3. pašvaldību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6DCDA577"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0551C83C" w14:textId="77777777">
            <w:pPr>
              <w:jc w:val="center"/>
              <w:rPr>
                <w:sz w:val="22"/>
              </w:rPr>
            </w:pPr>
            <w:r w:rsidRPr="00342C9C">
              <w:rPr>
                <w:sz w:val="22"/>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2D7B5EF8" w14:textId="77777777">
            <w:pPr>
              <w:jc w:val="center"/>
              <w:rPr>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70F71A45" w14:textId="77777777">
            <w:pPr>
              <w:jc w:val="center"/>
              <w:rPr>
                <w:sz w:val="22"/>
              </w:rPr>
            </w:pPr>
            <w:r w:rsidRPr="00342C9C">
              <w:rPr>
                <w:sz w:val="22"/>
              </w:rPr>
              <w:t>0</w:t>
            </w:r>
          </w:p>
        </w:tc>
        <w:tc>
          <w:tcPr>
            <w:tcW w:w="993"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52B7C286"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6EAE7973" w14:textId="77777777">
            <w:pPr>
              <w:jc w:val="center"/>
              <w:rPr>
                <w:sz w:val="22"/>
              </w:rPr>
            </w:pPr>
            <w:r w:rsidRPr="00342C9C">
              <w:rPr>
                <w:sz w:val="22"/>
              </w:rPr>
              <w:t>0</w:t>
            </w:r>
          </w:p>
        </w:tc>
        <w:tc>
          <w:tcPr>
            <w:tcW w:w="708" w:type="dxa"/>
            <w:tcBorders>
              <w:top w:val="single" w:color="auto" w:sz="4" w:space="0"/>
              <w:left w:val="single" w:color="auto" w:sz="4" w:space="0"/>
              <w:bottom w:val="single" w:color="auto" w:sz="4" w:space="0"/>
              <w:right w:val="single" w:color="auto" w:sz="4" w:space="0"/>
            </w:tcBorders>
            <w:shd w:val="clear" w:color="auto" w:fill="auto"/>
            <w:hideMark/>
          </w:tcPr>
          <w:p w:rsidRPr="00342C9C" w:rsidR="00923A3D" w:rsidP="00923A3D" w:rsidRDefault="00923A3D" w14:paraId="36762AC3" w14:textId="77777777">
            <w:pPr>
              <w:jc w:val="center"/>
              <w:rPr>
                <w:sz w:val="22"/>
              </w:rPr>
            </w:pPr>
            <w:r w:rsidRPr="00342C9C">
              <w:rPr>
                <w:sz w:val="22"/>
              </w:rPr>
              <w:t>0</w:t>
            </w:r>
          </w:p>
        </w:tc>
      </w:tr>
      <w:tr w:rsidRPr="00825345" w:rsidR="00C37549" w:rsidTr="000B0091" w14:paraId="234734BC" w14:textId="77777777">
        <w:trPr>
          <w:trHeight w:val="324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C37549" w:rsidP="00923A3D" w:rsidRDefault="00C37549" w14:paraId="0C3AFC07" w14:textId="77777777">
            <w:r w:rsidRPr="00821079">
              <w:t>6. Detalizēts ieņēmumu un izdevumu aprēķins (ja nepieciešams, detalizētu ieņēmumu un izdevumu aprēķinu var pievienot anotācijas pielikumā)</w:t>
            </w:r>
          </w:p>
        </w:tc>
        <w:tc>
          <w:tcPr>
            <w:tcW w:w="7295" w:type="dxa"/>
            <w:gridSpan w:val="7"/>
            <w:vMerge w:val="restart"/>
            <w:tcBorders>
              <w:top w:val="single" w:color="auto" w:sz="4" w:space="0"/>
              <w:left w:val="single" w:color="auto" w:sz="4" w:space="0"/>
              <w:right w:val="single" w:color="auto" w:sz="4" w:space="0"/>
            </w:tcBorders>
            <w:shd w:val="clear" w:color="auto" w:fill="auto"/>
          </w:tcPr>
          <w:p w:rsidR="00C37549" w:rsidP="00923A3D" w:rsidRDefault="00C37549" w14:paraId="391C3458" w14:textId="77777777">
            <w:pPr>
              <w:ind w:firstLine="664"/>
              <w:jc w:val="both"/>
              <w:rPr>
                <w:rFonts w:eastAsia="Calibri"/>
                <w:sz w:val="22"/>
                <w:szCs w:val="22"/>
                <w:lang w:eastAsia="en-US"/>
              </w:rPr>
            </w:pPr>
          </w:p>
          <w:p w:rsidRPr="00050438" w:rsidR="00C37549" w:rsidP="00923A3D" w:rsidRDefault="00C37549" w14:paraId="6CB5A6D5" w14:textId="75EA4D3E">
            <w:pPr>
              <w:jc w:val="both"/>
              <w:rPr>
                <w:rFonts w:eastAsia="Calibri"/>
                <w:lang w:eastAsia="en-US"/>
              </w:rPr>
            </w:pPr>
            <w:r w:rsidRPr="00050438">
              <w:rPr>
                <w:rFonts w:eastAsia="Calibri"/>
                <w:lang w:eastAsia="en-US"/>
              </w:rPr>
              <w:t>Līdzšinējā Rail Baltica projekta izpilde (CEF-1, CEF-2, un CEF-3) finansēšanas līgumiem SM budžeta apakšprogrammā 60.07.00 “Eiropas transporta infrastruktūras projekti (Rail Baltica)”:</w:t>
            </w:r>
          </w:p>
          <w:tbl>
            <w:tblPr>
              <w:tblW w:w="7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48"/>
              <w:gridCol w:w="1134"/>
              <w:gridCol w:w="1134"/>
              <w:gridCol w:w="1134"/>
              <w:gridCol w:w="1187"/>
            </w:tblGrid>
            <w:tr w:rsidRPr="00843B1C" w:rsidR="00C37549" w:rsidTr="003918BC" w14:paraId="5BB0E4C3" w14:textId="77777777">
              <w:trPr>
                <w:trHeight w:val="54"/>
              </w:trPr>
              <w:tc>
                <w:tcPr>
                  <w:tcW w:w="2648" w:type="dxa"/>
                  <w:shd w:val="clear" w:color="auto" w:fill="D9D9D9" w:themeFill="background1" w:themeFillShade="D9"/>
                  <w:noWrap/>
                  <w:vAlign w:val="center"/>
                </w:tcPr>
                <w:p w:rsidRPr="00843B1C" w:rsidR="00C37549" w:rsidP="00EA0593" w:rsidRDefault="00C37549" w14:paraId="12C4FEC0" w14:textId="77777777">
                  <w:pPr>
                    <w:rPr>
                      <w:color w:val="000000"/>
                      <w:sz w:val="18"/>
                      <w:szCs w:val="18"/>
                    </w:rPr>
                  </w:pPr>
                </w:p>
              </w:tc>
              <w:tc>
                <w:tcPr>
                  <w:tcW w:w="1134" w:type="dxa"/>
                  <w:shd w:val="clear" w:color="auto" w:fill="D9D9D9" w:themeFill="background1" w:themeFillShade="D9"/>
                  <w:noWrap/>
                  <w:vAlign w:val="center"/>
                </w:tcPr>
                <w:p w:rsidRPr="00843B1C" w:rsidR="00C37549" w:rsidP="00320912" w:rsidRDefault="00C37549" w14:paraId="2A6DD4E2" w14:textId="61DDB792">
                  <w:pPr>
                    <w:jc w:val="center"/>
                    <w:rPr>
                      <w:color w:val="000000"/>
                      <w:sz w:val="18"/>
                      <w:szCs w:val="18"/>
                    </w:rPr>
                  </w:pPr>
                  <w:r w:rsidRPr="00843B1C">
                    <w:rPr>
                      <w:color w:val="000000"/>
                      <w:sz w:val="18"/>
                      <w:szCs w:val="18"/>
                    </w:rPr>
                    <w:t>2016</w:t>
                  </w:r>
                </w:p>
              </w:tc>
              <w:tc>
                <w:tcPr>
                  <w:tcW w:w="1134" w:type="dxa"/>
                  <w:shd w:val="clear" w:color="auto" w:fill="D9D9D9" w:themeFill="background1" w:themeFillShade="D9"/>
                  <w:noWrap/>
                  <w:vAlign w:val="center"/>
                </w:tcPr>
                <w:p w:rsidRPr="00843B1C" w:rsidR="00C37549" w:rsidP="00320912" w:rsidRDefault="00C37549" w14:paraId="528CA05E" w14:textId="15B35346">
                  <w:pPr>
                    <w:jc w:val="center"/>
                    <w:rPr>
                      <w:color w:val="000000"/>
                      <w:sz w:val="18"/>
                      <w:szCs w:val="18"/>
                    </w:rPr>
                  </w:pPr>
                  <w:r w:rsidRPr="00843B1C">
                    <w:rPr>
                      <w:color w:val="000000"/>
                      <w:sz w:val="18"/>
                      <w:szCs w:val="18"/>
                    </w:rPr>
                    <w:t>2017</w:t>
                  </w:r>
                </w:p>
              </w:tc>
              <w:tc>
                <w:tcPr>
                  <w:tcW w:w="1134" w:type="dxa"/>
                  <w:shd w:val="clear" w:color="auto" w:fill="D9D9D9" w:themeFill="background1" w:themeFillShade="D9"/>
                  <w:noWrap/>
                  <w:vAlign w:val="center"/>
                </w:tcPr>
                <w:p w:rsidRPr="00843B1C" w:rsidR="00C37549" w:rsidP="00320912" w:rsidRDefault="00C37549" w14:paraId="77F10DD0" w14:textId="695C4074">
                  <w:pPr>
                    <w:jc w:val="center"/>
                    <w:rPr>
                      <w:color w:val="000000"/>
                      <w:sz w:val="18"/>
                      <w:szCs w:val="18"/>
                    </w:rPr>
                  </w:pPr>
                  <w:r w:rsidRPr="00843B1C">
                    <w:rPr>
                      <w:color w:val="000000"/>
                      <w:sz w:val="18"/>
                      <w:szCs w:val="18"/>
                    </w:rPr>
                    <w:t>2018</w:t>
                  </w:r>
                </w:p>
              </w:tc>
              <w:tc>
                <w:tcPr>
                  <w:tcW w:w="1187" w:type="dxa"/>
                  <w:shd w:val="clear" w:color="auto" w:fill="D9D9D9" w:themeFill="background1" w:themeFillShade="D9"/>
                  <w:noWrap/>
                  <w:vAlign w:val="center"/>
                </w:tcPr>
                <w:p w:rsidRPr="00843B1C" w:rsidR="00C37549" w:rsidP="00320912" w:rsidRDefault="00C37549" w14:paraId="75ABD254" w14:textId="0992B875">
                  <w:pPr>
                    <w:jc w:val="center"/>
                    <w:rPr>
                      <w:color w:val="000000"/>
                      <w:sz w:val="18"/>
                      <w:szCs w:val="18"/>
                    </w:rPr>
                  </w:pPr>
                  <w:r w:rsidRPr="00843B1C">
                    <w:rPr>
                      <w:color w:val="000000"/>
                      <w:sz w:val="18"/>
                      <w:szCs w:val="18"/>
                    </w:rPr>
                    <w:t>2019</w:t>
                  </w:r>
                </w:p>
              </w:tc>
            </w:tr>
            <w:tr w:rsidRPr="00843B1C" w:rsidR="00C37549" w:rsidTr="003918BC" w14:paraId="3B68793C" w14:textId="77777777">
              <w:trPr>
                <w:trHeight w:val="54"/>
              </w:trPr>
              <w:tc>
                <w:tcPr>
                  <w:tcW w:w="2648" w:type="dxa"/>
                  <w:shd w:val="clear" w:color="auto" w:fill="auto"/>
                  <w:noWrap/>
                  <w:vAlign w:val="center"/>
                  <w:hideMark/>
                </w:tcPr>
                <w:p w:rsidRPr="00843B1C" w:rsidR="00C37549" w:rsidP="00EA0593" w:rsidRDefault="00C37549" w14:paraId="45322F19" w14:textId="403EBC1F">
                  <w:pPr>
                    <w:rPr>
                      <w:color w:val="000000"/>
                      <w:sz w:val="18"/>
                      <w:szCs w:val="18"/>
                    </w:rPr>
                  </w:pPr>
                  <w:r w:rsidRPr="00843B1C">
                    <w:rPr>
                      <w:color w:val="000000"/>
                      <w:sz w:val="18"/>
                      <w:szCs w:val="18"/>
                    </w:rPr>
                    <w:t>KOPĀ</w:t>
                  </w:r>
                </w:p>
              </w:tc>
              <w:tc>
                <w:tcPr>
                  <w:tcW w:w="1134" w:type="dxa"/>
                  <w:shd w:val="clear" w:color="auto" w:fill="auto"/>
                  <w:noWrap/>
                  <w:vAlign w:val="center"/>
                  <w:hideMark/>
                </w:tcPr>
                <w:p w:rsidRPr="00843B1C" w:rsidR="00C37549" w:rsidP="00320912" w:rsidRDefault="00C37549" w14:paraId="3145A122" w14:textId="77777777">
                  <w:pPr>
                    <w:jc w:val="right"/>
                    <w:rPr>
                      <w:color w:val="000000"/>
                      <w:sz w:val="18"/>
                      <w:szCs w:val="18"/>
                    </w:rPr>
                  </w:pPr>
                  <w:r w:rsidRPr="00843B1C">
                    <w:rPr>
                      <w:color w:val="000000"/>
                      <w:sz w:val="18"/>
                      <w:szCs w:val="18"/>
                    </w:rPr>
                    <w:t>398 504</w:t>
                  </w:r>
                </w:p>
              </w:tc>
              <w:tc>
                <w:tcPr>
                  <w:tcW w:w="1134" w:type="dxa"/>
                  <w:shd w:val="clear" w:color="auto" w:fill="auto"/>
                  <w:noWrap/>
                  <w:vAlign w:val="center"/>
                  <w:hideMark/>
                </w:tcPr>
                <w:p w:rsidRPr="00843B1C" w:rsidR="00C37549" w:rsidP="00320912" w:rsidRDefault="00C37549" w14:paraId="57436107" w14:textId="77777777">
                  <w:pPr>
                    <w:jc w:val="right"/>
                    <w:rPr>
                      <w:color w:val="000000"/>
                      <w:sz w:val="18"/>
                      <w:szCs w:val="18"/>
                    </w:rPr>
                  </w:pPr>
                  <w:r w:rsidRPr="00843B1C">
                    <w:rPr>
                      <w:color w:val="000000"/>
                      <w:sz w:val="18"/>
                      <w:szCs w:val="18"/>
                    </w:rPr>
                    <w:t>1 503 597</w:t>
                  </w:r>
                </w:p>
              </w:tc>
              <w:tc>
                <w:tcPr>
                  <w:tcW w:w="1134" w:type="dxa"/>
                  <w:shd w:val="clear" w:color="auto" w:fill="auto"/>
                  <w:noWrap/>
                  <w:vAlign w:val="center"/>
                  <w:hideMark/>
                </w:tcPr>
                <w:p w:rsidRPr="00843B1C" w:rsidR="00C37549" w:rsidP="00320912" w:rsidRDefault="00C37549" w14:paraId="4EEE34EA" w14:textId="77777777">
                  <w:pPr>
                    <w:jc w:val="right"/>
                    <w:rPr>
                      <w:color w:val="000000"/>
                      <w:sz w:val="18"/>
                      <w:szCs w:val="18"/>
                    </w:rPr>
                  </w:pPr>
                  <w:r w:rsidRPr="00843B1C">
                    <w:rPr>
                      <w:color w:val="000000"/>
                      <w:sz w:val="18"/>
                      <w:szCs w:val="18"/>
                    </w:rPr>
                    <w:t>3 698 769</w:t>
                  </w:r>
                </w:p>
              </w:tc>
              <w:tc>
                <w:tcPr>
                  <w:tcW w:w="1187" w:type="dxa"/>
                  <w:shd w:val="clear" w:color="auto" w:fill="auto"/>
                  <w:noWrap/>
                  <w:vAlign w:val="center"/>
                  <w:hideMark/>
                </w:tcPr>
                <w:p w:rsidRPr="00843B1C" w:rsidR="00C37549" w:rsidP="00843B1C" w:rsidRDefault="00C37549" w14:paraId="2370DA03" w14:textId="77777777">
                  <w:pPr>
                    <w:jc w:val="right"/>
                    <w:rPr>
                      <w:color w:val="000000"/>
                      <w:sz w:val="18"/>
                      <w:szCs w:val="18"/>
                    </w:rPr>
                  </w:pPr>
                  <w:r w:rsidRPr="00843B1C">
                    <w:rPr>
                      <w:color w:val="000000"/>
                      <w:sz w:val="18"/>
                      <w:szCs w:val="18"/>
                    </w:rPr>
                    <w:t>13 104 635</w:t>
                  </w:r>
                </w:p>
              </w:tc>
            </w:tr>
            <w:tr w:rsidRPr="00843B1C" w:rsidR="00C37549" w:rsidTr="00320912" w14:paraId="6FA8A19E" w14:textId="77777777">
              <w:trPr>
                <w:trHeight w:val="240"/>
              </w:trPr>
              <w:tc>
                <w:tcPr>
                  <w:tcW w:w="2648" w:type="dxa"/>
                  <w:shd w:val="clear" w:color="auto" w:fill="auto"/>
                  <w:noWrap/>
                  <w:vAlign w:val="center"/>
                  <w:hideMark/>
                </w:tcPr>
                <w:p w:rsidRPr="00843B1C" w:rsidR="00C37549" w:rsidP="00320912" w:rsidRDefault="00C37549" w14:paraId="31FFCBF6" w14:textId="70F98F71">
                  <w:pPr>
                    <w:jc w:val="right"/>
                    <w:rPr>
                      <w:i/>
                      <w:iCs/>
                      <w:color w:val="000000"/>
                      <w:sz w:val="18"/>
                      <w:szCs w:val="18"/>
                    </w:rPr>
                  </w:pPr>
                  <w:r w:rsidRPr="00843B1C">
                    <w:rPr>
                      <w:i/>
                      <w:iCs/>
                      <w:color w:val="000000"/>
                      <w:sz w:val="18"/>
                      <w:szCs w:val="18"/>
                    </w:rPr>
                    <w:t>t.sk. EISI finansējums</w:t>
                  </w:r>
                </w:p>
              </w:tc>
              <w:tc>
                <w:tcPr>
                  <w:tcW w:w="1134" w:type="dxa"/>
                  <w:shd w:val="clear" w:color="auto" w:fill="auto"/>
                  <w:noWrap/>
                  <w:vAlign w:val="center"/>
                  <w:hideMark/>
                </w:tcPr>
                <w:p w:rsidRPr="00843B1C" w:rsidR="00C37549" w:rsidP="00320912" w:rsidRDefault="00C37549" w14:paraId="3D407C0D" w14:textId="60E2BED3">
                  <w:pPr>
                    <w:jc w:val="right"/>
                    <w:rPr>
                      <w:i/>
                      <w:iCs/>
                      <w:color w:val="000000"/>
                      <w:sz w:val="18"/>
                      <w:szCs w:val="18"/>
                    </w:rPr>
                  </w:pPr>
                </w:p>
              </w:tc>
              <w:tc>
                <w:tcPr>
                  <w:tcW w:w="1134" w:type="dxa"/>
                  <w:shd w:val="clear" w:color="auto" w:fill="auto"/>
                  <w:noWrap/>
                  <w:vAlign w:val="center"/>
                  <w:hideMark/>
                </w:tcPr>
                <w:p w:rsidRPr="00843B1C" w:rsidR="00C37549" w:rsidP="00320912" w:rsidRDefault="00C37549" w14:paraId="6DE3D6D6" w14:textId="77777777">
                  <w:pPr>
                    <w:jc w:val="right"/>
                    <w:rPr>
                      <w:i/>
                      <w:iCs/>
                      <w:color w:val="000000"/>
                      <w:sz w:val="18"/>
                      <w:szCs w:val="18"/>
                    </w:rPr>
                  </w:pPr>
                  <w:r w:rsidRPr="00843B1C">
                    <w:rPr>
                      <w:i/>
                      <w:iCs/>
                      <w:color w:val="000000"/>
                      <w:sz w:val="18"/>
                      <w:szCs w:val="18"/>
                    </w:rPr>
                    <w:t>434 403</w:t>
                  </w:r>
                </w:p>
              </w:tc>
              <w:tc>
                <w:tcPr>
                  <w:tcW w:w="1134" w:type="dxa"/>
                  <w:shd w:val="clear" w:color="auto" w:fill="auto"/>
                  <w:noWrap/>
                  <w:vAlign w:val="center"/>
                  <w:hideMark/>
                </w:tcPr>
                <w:p w:rsidRPr="00843B1C" w:rsidR="00C37549" w:rsidP="00320912" w:rsidRDefault="00C37549" w14:paraId="58B5C0F5" w14:textId="77777777">
                  <w:pPr>
                    <w:jc w:val="right"/>
                    <w:rPr>
                      <w:i/>
                      <w:iCs/>
                      <w:color w:val="000000"/>
                      <w:sz w:val="18"/>
                      <w:szCs w:val="18"/>
                    </w:rPr>
                  </w:pPr>
                  <w:r w:rsidRPr="00843B1C">
                    <w:rPr>
                      <w:i/>
                      <w:iCs/>
                      <w:color w:val="000000"/>
                      <w:sz w:val="18"/>
                      <w:szCs w:val="18"/>
                    </w:rPr>
                    <w:t>253 519</w:t>
                  </w:r>
                </w:p>
              </w:tc>
              <w:tc>
                <w:tcPr>
                  <w:tcW w:w="1187" w:type="dxa"/>
                  <w:shd w:val="clear" w:color="auto" w:fill="auto"/>
                  <w:noWrap/>
                  <w:vAlign w:val="center"/>
                  <w:hideMark/>
                </w:tcPr>
                <w:p w:rsidRPr="00843B1C" w:rsidR="00C37549" w:rsidP="00320912" w:rsidRDefault="00C37549" w14:paraId="4FB86286" w14:textId="41FCAC3B">
                  <w:pPr>
                    <w:jc w:val="right"/>
                    <w:rPr>
                      <w:i/>
                      <w:iCs/>
                      <w:color w:val="000000"/>
                      <w:sz w:val="18"/>
                      <w:szCs w:val="18"/>
                    </w:rPr>
                  </w:pPr>
                  <w:r w:rsidRPr="00843B1C">
                    <w:rPr>
                      <w:i/>
                      <w:sz w:val="18"/>
                      <w:szCs w:val="18"/>
                    </w:rPr>
                    <w:t>3 899 209</w:t>
                  </w:r>
                </w:p>
              </w:tc>
            </w:tr>
            <w:tr w:rsidRPr="00843B1C" w:rsidR="00C37549" w:rsidTr="003918BC" w14:paraId="0215B880" w14:textId="77777777">
              <w:trPr>
                <w:trHeight w:val="54"/>
              </w:trPr>
              <w:tc>
                <w:tcPr>
                  <w:tcW w:w="2648" w:type="dxa"/>
                  <w:shd w:val="clear" w:color="auto" w:fill="auto"/>
                  <w:noWrap/>
                  <w:vAlign w:val="center"/>
                  <w:hideMark/>
                </w:tcPr>
                <w:p w:rsidRPr="00843B1C" w:rsidR="00C37549" w:rsidP="00320912" w:rsidRDefault="00C37549" w14:paraId="334D1CAA" w14:textId="3F079142">
                  <w:pPr>
                    <w:jc w:val="right"/>
                    <w:rPr>
                      <w:i/>
                      <w:iCs/>
                      <w:color w:val="000000"/>
                      <w:sz w:val="18"/>
                      <w:szCs w:val="18"/>
                    </w:rPr>
                  </w:pPr>
                  <w:r w:rsidRPr="00843B1C">
                    <w:rPr>
                      <w:i/>
                      <w:iCs/>
                      <w:color w:val="000000"/>
                      <w:sz w:val="18"/>
                      <w:szCs w:val="18"/>
                    </w:rPr>
                    <w:t>t.sk. valsts budžeta finansējums</w:t>
                  </w:r>
                </w:p>
              </w:tc>
              <w:tc>
                <w:tcPr>
                  <w:tcW w:w="1134" w:type="dxa"/>
                  <w:shd w:val="clear" w:color="auto" w:fill="auto"/>
                  <w:noWrap/>
                  <w:vAlign w:val="center"/>
                  <w:hideMark/>
                </w:tcPr>
                <w:p w:rsidRPr="00843B1C" w:rsidR="00C37549" w:rsidP="00320912" w:rsidRDefault="00C37549" w14:paraId="30517FBF" w14:textId="77777777">
                  <w:pPr>
                    <w:jc w:val="right"/>
                    <w:rPr>
                      <w:i/>
                      <w:iCs/>
                      <w:color w:val="000000"/>
                      <w:sz w:val="18"/>
                      <w:szCs w:val="18"/>
                    </w:rPr>
                  </w:pPr>
                  <w:r w:rsidRPr="00843B1C">
                    <w:rPr>
                      <w:i/>
                      <w:iCs/>
                      <w:color w:val="000000"/>
                      <w:sz w:val="18"/>
                      <w:szCs w:val="18"/>
                    </w:rPr>
                    <w:t>398 504</w:t>
                  </w:r>
                </w:p>
              </w:tc>
              <w:tc>
                <w:tcPr>
                  <w:tcW w:w="1134" w:type="dxa"/>
                  <w:shd w:val="clear" w:color="auto" w:fill="auto"/>
                  <w:noWrap/>
                  <w:vAlign w:val="center"/>
                  <w:hideMark/>
                </w:tcPr>
                <w:p w:rsidRPr="00843B1C" w:rsidR="00C37549" w:rsidP="00320912" w:rsidRDefault="00C37549" w14:paraId="419EA1FF" w14:textId="77777777">
                  <w:pPr>
                    <w:jc w:val="right"/>
                    <w:rPr>
                      <w:i/>
                      <w:iCs/>
                      <w:color w:val="000000"/>
                      <w:sz w:val="18"/>
                      <w:szCs w:val="18"/>
                    </w:rPr>
                  </w:pPr>
                  <w:r w:rsidRPr="00843B1C">
                    <w:rPr>
                      <w:i/>
                      <w:iCs/>
                      <w:color w:val="000000"/>
                      <w:sz w:val="18"/>
                      <w:szCs w:val="18"/>
                    </w:rPr>
                    <w:t>1 069 194</w:t>
                  </w:r>
                </w:p>
              </w:tc>
              <w:tc>
                <w:tcPr>
                  <w:tcW w:w="1134" w:type="dxa"/>
                  <w:shd w:val="clear" w:color="auto" w:fill="auto"/>
                  <w:noWrap/>
                  <w:vAlign w:val="center"/>
                  <w:hideMark/>
                </w:tcPr>
                <w:p w:rsidRPr="00843B1C" w:rsidR="00C37549" w:rsidP="00320912" w:rsidRDefault="00C37549" w14:paraId="7DB984C8" w14:textId="77777777">
                  <w:pPr>
                    <w:jc w:val="right"/>
                    <w:rPr>
                      <w:i/>
                      <w:iCs/>
                      <w:color w:val="000000"/>
                      <w:sz w:val="18"/>
                      <w:szCs w:val="18"/>
                    </w:rPr>
                  </w:pPr>
                  <w:r w:rsidRPr="00843B1C">
                    <w:rPr>
                      <w:i/>
                      <w:iCs/>
                      <w:color w:val="000000"/>
                      <w:sz w:val="18"/>
                      <w:szCs w:val="18"/>
                    </w:rPr>
                    <w:t>3 445 250</w:t>
                  </w:r>
                </w:p>
              </w:tc>
              <w:tc>
                <w:tcPr>
                  <w:tcW w:w="1187" w:type="dxa"/>
                  <w:shd w:val="clear" w:color="auto" w:fill="auto"/>
                  <w:noWrap/>
                  <w:vAlign w:val="center"/>
                  <w:hideMark/>
                </w:tcPr>
                <w:p w:rsidRPr="00843B1C" w:rsidR="00C37549" w:rsidP="00320912" w:rsidRDefault="00C37549" w14:paraId="5127E1FE" w14:textId="57E2D082">
                  <w:pPr>
                    <w:jc w:val="right"/>
                    <w:rPr>
                      <w:i/>
                      <w:iCs/>
                      <w:color w:val="000000"/>
                      <w:sz w:val="18"/>
                      <w:szCs w:val="18"/>
                    </w:rPr>
                  </w:pPr>
                  <w:r w:rsidRPr="00843B1C">
                    <w:rPr>
                      <w:i/>
                      <w:sz w:val="18"/>
                      <w:szCs w:val="18"/>
                    </w:rPr>
                    <w:t>9 205 426</w:t>
                  </w:r>
                </w:p>
              </w:tc>
            </w:tr>
          </w:tbl>
          <w:p w:rsidR="00C37549" w:rsidP="00923A3D" w:rsidRDefault="00C37549" w14:paraId="2A2DDE70" w14:textId="49DF4D05">
            <w:pPr>
              <w:jc w:val="both"/>
              <w:rPr>
                <w:rFonts w:eastAsia="Calibri"/>
                <w:sz w:val="22"/>
                <w:szCs w:val="22"/>
                <w:lang w:eastAsia="en-US"/>
              </w:rPr>
            </w:pPr>
          </w:p>
          <w:p w:rsidRPr="00050438" w:rsidR="00C37549" w:rsidP="00923A3D" w:rsidRDefault="00C37549" w14:paraId="42FC4AAF" w14:textId="767D2FFD">
            <w:pPr>
              <w:jc w:val="both"/>
              <w:rPr>
                <w:rFonts w:eastAsia="Calibri"/>
              </w:rPr>
            </w:pPr>
            <w:r w:rsidRPr="00050438">
              <w:rPr>
                <w:rFonts w:eastAsia="Calibri"/>
                <w:lang w:eastAsia="en-US"/>
              </w:rPr>
              <w:t xml:space="preserve">Ailē “saskaņā ar valsts budžetu kārtējam gadam” norādīts SM budžeta apakšprogrammas 60.07.00 “Eiropas transporta infrastruktūras projekti (Rail Baltica)” 2020.gadam precizētais plāns un ailēs “saskaņā ar vidēja termiņa budžeta ietvaru” norādīts </w:t>
            </w:r>
            <w:r w:rsidRPr="00050438">
              <w:rPr>
                <w:rFonts w:eastAsia="Calibri"/>
              </w:rPr>
              <w:t>SM budžeta apakšprogrammas 60.07.00 “Eiropas transporta infrastruktūras projekti (Rail Baltica)” plāns saskaņā ar likumprojektu “Par valsts budžetu 2021.gadam” un likumprojektu “Par vidēja termiņa budžeta ietvaru 2021., 2022. un 2023.gadam”:</w:t>
            </w:r>
          </w:p>
          <w:tbl>
            <w:tblPr>
              <w:tblW w:w="7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32"/>
              <w:gridCol w:w="1417"/>
              <w:gridCol w:w="1418"/>
              <w:gridCol w:w="1417"/>
            </w:tblGrid>
            <w:tr w:rsidRPr="00843B1C" w:rsidR="00C37549" w:rsidTr="003918BC" w14:paraId="261D65A7" w14:textId="77777777">
              <w:trPr>
                <w:trHeight w:val="54"/>
              </w:trPr>
              <w:tc>
                <w:tcPr>
                  <w:tcW w:w="2932" w:type="dxa"/>
                  <w:shd w:val="clear" w:color="auto" w:fill="D9D9D9" w:themeFill="background1" w:themeFillShade="D9"/>
                  <w:noWrap/>
                  <w:vAlign w:val="center"/>
                </w:tcPr>
                <w:p w:rsidRPr="00843B1C" w:rsidR="00C37549" w:rsidP="00320912" w:rsidRDefault="00C37549" w14:paraId="17BC1C84" w14:textId="77777777">
                  <w:pPr>
                    <w:rPr>
                      <w:color w:val="000000"/>
                      <w:sz w:val="18"/>
                      <w:szCs w:val="18"/>
                    </w:rPr>
                  </w:pPr>
                </w:p>
              </w:tc>
              <w:tc>
                <w:tcPr>
                  <w:tcW w:w="1417" w:type="dxa"/>
                  <w:shd w:val="clear" w:color="auto" w:fill="D9D9D9" w:themeFill="background1" w:themeFillShade="D9"/>
                  <w:noWrap/>
                  <w:vAlign w:val="center"/>
                </w:tcPr>
                <w:p w:rsidRPr="00843B1C" w:rsidR="00C37549" w:rsidP="00320912" w:rsidRDefault="00C37549" w14:paraId="269E9F57" w14:textId="158E66B8">
                  <w:pPr>
                    <w:jc w:val="center"/>
                    <w:rPr>
                      <w:color w:val="000000"/>
                      <w:sz w:val="18"/>
                      <w:szCs w:val="18"/>
                    </w:rPr>
                  </w:pPr>
                  <w:r w:rsidRPr="00843B1C">
                    <w:rPr>
                      <w:color w:val="000000"/>
                      <w:sz w:val="18"/>
                      <w:szCs w:val="18"/>
                    </w:rPr>
                    <w:t>2020</w:t>
                  </w:r>
                </w:p>
              </w:tc>
              <w:tc>
                <w:tcPr>
                  <w:tcW w:w="1418" w:type="dxa"/>
                  <w:shd w:val="clear" w:color="auto" w:fill="D9D9D9" w:themeFill="background1" w:themeFillShade="D9"/>
                  <w:noWrap/>
                  <w:vAlign w:val="center"/>
                </w:tcPr>
                <w:p w:rsidRPr="00843B1C" w:rsidR="00C37549" w:rsidP="00320912" w:rsidRDefault="00C37549" w14:paraId="2E53869A" w14:textId="2A36D14F">
                  <w:pPr>
                    <w:jc w:val="center"/>
                    <w:rPr>
                      <w:color w:val="000000"/>
                      <w:sz w:val="18"/>
                      <w:szCs w:val="18"/>
                    </w:rPr>
                  </w:pPr>
                  <w:r w:rsidRPr="00843B1C">
                    <w:rPr>
                      <w:color w:val="000000"/>
                      <w:sz w:val="18"/>
                      <w:szCs w:val="18"/>
                    </w:rPr>
                    <w:t>2021</w:t>
                  </w:r>
                </w:p>
              </w:tc>
              <w:tc>
                <w:tcPr>
                  <w:tcW w:w="1417" w:type="dxa"/>
                  <w:shd w:val="clear" w:color="auto" w:fill="D9D9D9" w:themeFill="background1" w:themeFillShade="D9"/>
                  <w:noWrap/>
                  <w:vAlign w:val="center"/>
                </w:tcPr>
                <w:p w:rsidRPr="00843B1C" w:rsidR="00C37549" w:rsidP="00320912" w:rsidRDefault="00C37549" w14:paraId="555F8C0C" w14:textId="26E86D99">
                  <w:pPr>
                    <w:jc w:val="center"/>
                    <w:rPr>
                      <w:color w:val="000000"/>
                      <w:sz w:val="18"/>
                      <w:szCs w:val="18"/>
                    </w:rPr>
                  </w:pPr>
                  <w:r w:rsidRPr="00843B1C">
                    <w:rPr>
                      <w:color w:val="000000"/>
                      <w:sz w:val="18"/>
                      <w:szCs w:val="18"/>
                    </w:rPr>
                    <w:t>2022</w:t>
                  </w:r>
                </w:p>
              </w:tc>
            </w:tr>
            <w:tr w:rsidRPr="00843B1C" w:rsidR="00C37549" w:rsidTr="003918BC" w14:paraId="4E49D44A" w14:textId="77777777">
              <w:trPr>
                <w:trHeight w:val="54"/>
              </w:trPr>
              <w:tc>
                <w:tcPr>
                  <w:tcW w:w="2932" w:type="dxa"/>
                  <w:shd w:val="clear" w:color="auto" w:fill="auto"/>
                  <w:noWrap/>
                  <w:vAlign w:val="center"/>
                  <w:hideMark/>
                </w:tcPr>
                <w:p w:rsidRPr="00843B1C" w:rsidR="00C37549" w:rsidP="00320912" w:rsidRDefault="00C37549" w14:paraId="50D183F2" w14:textId="77777777">
                  <w:pPr>
                    <w:rPr>
                      <w:color w:val="000000"/>
                      <w:sz w:val="18"/>
                      <w:szCs w:val="18"/>
                    </w:rPr>
                  </w:pPr>
                  <w:r w:rsidRPr="00843B1C">
                    <w:rPr>
                      <w:color w:val="000000"/>
                      <w:sz w:val="18"/>
                      <w:szCs w:val="18"/>
                    </w:rPr>
                    <w:t>KOPĀ</w:t>
                  </w:r>
                </w:p>
              </w:tc>
              <w:tc>
                <w:tcPr>
                  <w:tcW w:w="1417" w:type="dxa"/>
                  <w:shd w:val="clear" w:color="auto" w:fill="auto"/>
                  <w:noWrap/>
                  <w:vAlign w:val="center"/>
                </w:tcPr>
                <w:p w:rsidRPr="00843B1C" w:rsidR="00C37549" w:rsidP="00320912" w:rsidRDefault="00C37549" w14:paraId="10BFB14F" w14:textId="234056B9">
                  <w:pPr>
                    <w:jc w:val="right"/>
                    <w:rPr>
                      <w:color w:val="000000"/>
                      <w:sz w:val="18"/>
                      <w:szCs w:val="18"/>
                    </w:rPr>
                  </w:pPr>
                  <w:r w:rsidRPr="00843B1C">
                    <w:rPr>
                      <w:color w:val="000000"/>
                      <w:sz w:val="18"/>
                      <w:szCs w:val="18"/>
                    </w:rPr>
                    <w:t>73 528 976</w:t>
                  </w:r>
                </w:p>
              </w:tc>
              <w:tc>
                <w:tcPr>
                  <w:tcW w:w="1418" w:type="dxa"/>
                  <w:shd w:val="clear" w:color="auto" w:fill="auto"/>
                  <w:noWrap/>
                  <w:vAlign w:val="center"/>
                </w:tcPr>
                <w:p w:rsidRPr="00843B1C" w:rsidR="00C37549" w:rsidP="00565842" w:rsidRDefault="00C37549" w14:paraId="2501E7BC" w14:textId="7D4E483E">
                  <w:pPr>
                    <w:jc w:val="right"/>
                    <w:rPr>
                      <w:color w:val="000000"/>
                      <w:sz w:val="18"/>
                      <w:szCs w:val="18"/>
                    </w:rPr>
                  </w:pPr>
                  <w:r w:rsidRPr="00843B1C">
                    <w:rPr>
                      <w:color w:val="000000"/>
                      <w:sz w:val="18"/>
                      <w:szCs w:val="18"/>
                    </w:rPr>
                    <w:t>108 704 167</w:t>
                  </w:r>
                </w:p>
              </w:tc>
              <w:tc>
                <w:tcPr>
                  <w:tcW w:w="1417" w:type="dxa"/>
                  <w:shd w:val="clear" w:color="auto" w:fill="auto"/>
                  <w:noWrap/>
                  <w:vAlign w:val="center"/>
                </w:tcPr>
                <w:p w:rsidRPr="00843B1C" w:rsidR="00C37549" w:rsidP="00565842" w:rsidRDefault="00C37549" w14:paraId="5523EE70" w14:textId="4E3A09E9">
                  <w:pPr>
                    <w:jc w:val="right"/>
                    <w:rPr>
                      <w:color w:val="000000"/>
                      <w:sz w:val="18"/>
                      <w:szCs w:val="18"/>
                    </w:rPr>
                  </w:pPr>
                  <w:r w:rsidRPr="00843B1C">
                    <w:rPr>
                      <w:color w:val="000000"/>
                      <w:sz w:val="18"/>
                      <w:szCs w:val="18"/>
                    </w:rPr>
                    <w:t>140 401 456</w:t>
                  </w:r>
                </w:p>
              </w:tc>
            </w:tr>
            <w:tr w:rsidRPr="00843B1C" w:rsidR="00C37549" w:rsidTr="003918BC" w14:paraId="116E20EF" w14:textId="77777777">
              <w:trPr>
                <w:trHeight w:val="97"/>
              </w:trPr>
              <w:tc>
                <w:tcPr>
                  <w:tcW w:w="2932" w:type="dxa"/>
                  <w:shd w:val="clear" w:color="auto" w:fill="auto"/>
                  <w:noWrap/>
                  <w:vAlign w:val="center"/>
                  <w:hideMark/>
                </w:tcPr>
                <w:p w:rsidRPr="00843B1C" w:rsidR="00C37549" w:rsidP="00320912" w:rsidRDefault="00C37549" w14:paraId="016201FD" w14:textId="77777777">
                  <w:pPr>
                    <w:jc w:val="right"/>
                    <w:rPr>
                      <w:i/>
                      <w:iCs/>
                      <w:color w:val="000000"/>
                      <w:sz w:val="18"/>
                      <w:szCs w:val="18"/>
                    </w:rPr>
                  </w:pPr>
                  <w:r w:rsidRPr="00843B1C">
                    <w:rPr>
                      <w:i/>
                      <w:iCs/>
                      <w:color w:val="000000"/>
                      <w:sz w:val="18"/>
                      <w:szCs w:val="18"/>
                    </w:rPr>
                    <w:t>t.sk. EISI finansējums</w:t>
                  </w:r>
                </w:p>
              </w:tc>
              <w:tc>
                <w:tcPr>
                  <w:tcW w:w="1417" w:type="dxa"/>
                  <w:shd w:val="clear" w:color="auto" w:fill="auto"/>
                  <w:noWrap/>
                  <w:vAlign w:val="center"/>
                </w:tcPr>
                <w:p w:rsidRPr="00843B1C" w:rsidR="00C37549" w:rsidP="00565842" w:rsidRDefault="00C37549" w14:paraId="27F2F7FD" w14:textId="40F4A8DC">
                  <w:pPr>
                    <w:jc w:val="right"/>
                    <w:rPr>
                      <w:i/>
                      <w:iCs/>
                      <w:color w:val="000000"/>
                      <w:sz w:val="18"/>
                      <w:szCs w:val="18"/>
                    </w:rPr>
                  </w:pPr>
                  <w:r w:rsidRPr="00843B1C">
                    <w:rPr>
                      <w:i/>
                      <w:iCs/>
                      <w:color w:val="000000"/>
                      <w:sz w:val="18"/>
                      <w:szCs w:val="18"/>
                    </w:rPr>
                    <w:t>32 953 803</w:t>
                  </w:r>
                </w:p>
              </w:tc>
              <w:tc>
                <w:tcPr>
                  <w:tcW w:w="1418" w:type="dxa"/>
                  <w:shd w:val="clear" w:color="auto" w:fill="auto"/>
                  <w:noWrap/>
                  <w:vAlign w:val="center"/>
                </w:tcPr>
                <w:p w:rsidRPr="00843B1C" w:rsidR="00C37549" w:rsidP="00320912" w:rsidRDefault="00C37549" w14:paraId="2F207DC7" w14:textId="5CA8A096">
                  <w:pPr>
                    <w:jc w:val="right"/>
                    <w:rPr>
                      <w:i/>
                      <w:iCs/>
                      <w:color w:val="000000"/>
                      <w:sz w:val="18"/>
                      <w:szCs w:val="18"/>
                    </w:rPr>
                  </w:pPr>
                  <w:r w:rsidRPr="00843B1C">
                    <w:rPr>
                      <w:i/>
                      <w:iCs/>
                      <w:color w:val="000000"/>
                      <w:sz w:val="18"/>
                      <w:szCs w:val="18"/>
                    </w:rPr>
                    <w:t>41 636 439</w:t>
                  </w:r>
                </w:p>
              </w:tc>
              <w:tc>
                <w:tcPr>
                  <w:tcW w:w="1417" w:type="dxa"/>
                  <w:shd w:val="clear" w:color="auto" w:fill="auto"/>
                  <w:noWrap/>
                  <w:vAlign w:val="center"/>
                </w:tcPr>
                <w:p w:rsidRPr="00843B1C" w:rsidR="00C37549" w:rsidP="00565842" w:rsidRDefault="00C37549" w14:paraId="0C860A9C" w14:textId="6E5BEDB6">
                  <w:pPr>
                    <w:jc w:val="right"/>
                    <w:rPr>
                      <w:i/>
                      <w:iCs/>
                      <w:color w:val="000000"/>
                      <w:sz w:val="18"/>
                      <w:szCs w:val="18"/>
                    </w:rPr>
                  </w:pPr>
                  <w:r w:rsidRPr="00843B1C">
                    <w:rPr>
                      <w:i/>
                      <w:iCs/>
                      <w:color w:val="000000"/>
                      <w:sz w:val="18"/>
                      <w:szCs w:val="18"/>
                    </w:rPr>
                    <w:t>113 276 399</w:t>
                  </w:r>
                </w:p>
              </w:tc>
            </w:tr>
            <w:tr w:rsidRPr="00843B1C" w:rsidR="00C37549" w:rsidTr="003918BC" w14:paraId="3CB1341A" w14:textId="77777777">
              <w:trPr>
                <w:trHeight w:val="172"/>
              </w:trPr>
              <w:tc>
                <w:tcPr>
                  <w:tcW w:w="2932" w:type="dxa"/>
                  <w:shd w:val="clear" w:color="auto" w:fill="auto"/>
                  <w:noWrap/>
                  <w:vAlign w:val="center"/>
                </w:tcPr>
                <w:p w:rsidRPr="00843B1C" w:rsidR="00C37549" w:rsidP="00320912" w:rsidRDefault="00C37549" w14:paraId="5BA80076" w14:textId="468AABDC">
                  <w:pPr>
                    <w:jc w:val="right"/>
                    <w:rPr>
                      <w:i/>
                      <w:iCs/>
                      <w:color w:val="000000"/>
                      <w:sz w:val="18"/>
                      <w:szCs w:val="18"/>
                    </w:rPr>
                  </w:pPr>
                  <w:r w:rsidRPr="00843B1C">
                    <w:rPr>
                      <w:i/>
                      <w:iCs/>
                      <w:color w:val="000000"/>
                      <w:sz w:val="18"/>
                      <w:szCs w:val="18"/>
                    </w:rPr>
                    <w:t>t.sk. EISI finansējuma atlikums no 2019.gada</w:t>
                  </w:r>
                </w:p>
              </w:tc>
              <w:tc>
                <w:tcPr>
                  <w:tcW w:w="1417" w:type="dxa"/>
                  <w:shd w:val="clear" w:color="auto" w:fill="auto"/>
                  <w:noWrap/>
                  <w:vAlign w:val="center"/>
                </w:tcPr>
                <w:p w:rsidRPr="00843B1C" w:rsidR="00C37549" w:rsidP="00320912" w:rsidRDefault="00C37549" w14:paraId="5726A5C7" w14:textId="60FFF2EB">
                  <w:pPr>
                    <w:jc w:val="right"/>
                    <w:rPr>
                      <w:i/>
                      <w:iCs/>
                      <w:color w:val="000000"/>
                      <w:sz w:val="18"/>
                      <w:szCs w:val="18"/>
                    </w:rPr>
                  </w:pPr>
                  <w:r w:rsidRPr="00843B1C">
                    <w:rPr>
                      <w:i/>
                      <w:iCs/>
                      <w:color w:val="000000"/>
                      <w:sz w:val="18"/>
                      <w:szCs w:val="18"/>
                    </w:rPr>
                    <w:t>4 485 446</w:t>
                  </w:r>
                </w:p>
              </w:tc>
              <w:tc>
                <w:tcPr>
                  <w:tcW w:w="1418" w:type="dxa"/>
                  <w:shd w:val="clear" w:color="auto" w:fill="auto"/>
                  <w:noWrap/>
                  <w:vAlign w:val="center"/>
                </w:tcPr>
                <w:p w:rsidRPr="00843B1C" w:rsidR="00C37549" w:rsidP="00565842" w:rsidRDefault="00C37549" w14:paraId="00B2A740" w14:textId="77777777">
                  <w:pPr>
                    <w:jc w:val="right"/>
                    <w:rPr>
                      <w:i/>
                      <w:iCs/>
                      <w:color w:val="000000"/>
                      <w:sz w:val="18"/>
                      <w:szCs w:val="18"/>
                    </w:rPr>
                  </w:pPr>
                </w:p>
              </w:tc>
              <w:tc>
                <w:tcPr>
                  <w:tcW w:w="1417" w:type="dxa"/>
                  <w:shd w:val="clear" w:color="auto" w:fill="auto"/>
                  <w:noWrap/>
                  <w:vAlign w:val="center"/>
                </w:tcPr>
                <w:p w:rsidRPr="00843B1C" w:rsidR="00C37549" w:rsidP="00565842" w:rsidRDefault="00C37549" w14:paraId="60C70190" w14:textId="77777777">
                  <w:pPr>
                    <w:jc w:val="right"/>
                    <w:rPr>
                      <w:i/>
                      <w:iCs/>
                      <w:color w:val="000000"/>
                      <w:sz w:val="18"/>
                      <w:szCs w:val="18"/>
                    </w:rPr>
                  </w:pPr>
                </w:p>
              </w:tc>
            </w:tr>
            <w:tr w:rsidRPr="00843B1C" w:rsidR="00C37549" w:rsidTr="003918BC" w14:paraId="49AEC850" w14:textId="77777777">
              <w:trPr>
                <w:trHeight w:val="54"/>
              </w:trPr>
              <w:tc>
                <w:tcPr>
                  <w:tcW w:w="2932" w:type="dxa"/>
                  <w:shd w:val="clear" w:color="auto" w:fill="auto"/>
                  <w:noWrap/>
                  <w:vAlign w:val="center"/>
                  <w:hideMark/>
                </w:tcPr>
                <w:p w:rsidRPr="00843B1C" w:rsidR="00C37549" w:rsidP="00320912" w:rsidRDefault="00C37549" w14:paraId="48F230C6" w14:textId="77777777">
                  <w:pPr>
                    <w:jc w:val="right"/>
                    <w:rPr>
                      <w:i/>
                      <w:iCs/>
                      <w:color w:val="000000"/>
                      <w:sz w:val="18"/>
                      <w:szCs w:val="18"/>
                    </w:rPr>
                  </w:pPr>
                  <w:r w:rsidRPr="00843B1C">
                    <w:rPr>
                      <w:i/>
                      <w:iCs/>
                      <w:color w:val="000000"/>
                      <w:sz w:val="18"/>
                      <w:szCs w:val="18"/>
                    </w:rPr>
                    <w:t>t.sk. valsts budžeta finansējums</w:t>
                  </w:r>
                </w:p>
              </w:tc>
              <w:tc>
                <w:tcPr>
                  <w:tcW w:w="1417" w:type="dxa"/>
                  <w:shd w:val="clear" w:color="auto" w:fill="auto"/>
                  <w:noWrap/>
                  <w:vAlign w:val="center"/>
                </w:tcPr>
                <w:p w:rsidRPr="00843B1C" w:rsidR="00C37549" w:rsidP="00320912" w:rsidRDefault="00C37549" w14:paraId="0E460A1D" w14:textId="074F6F91">
                  <w:pPr>
                    <w:jc w:val="right"/>
                    <w:rPr>
                      <w:i/>
                      <w:iCs/>
                      <w:color w:val="000000"/>
                      <w:sz w:val="18"/>
                      <w:szCs w:val="18"/>
                    </w:rPr>
                  </w:pPr>
                  <w:r w:rsidRPr="00843B1C">
                    <w:rPr>
                      <w:i/>
                      <w:iCs/>
                      <w:color w:val="000000"/>
                      <w:sz w:val="18"/>
                      <w:szCs w:val="18"/>
                    </w:rPr>
                    <w:t>36 089 727</w:t>
                  </w:r>
                </w:p>
              </w:tc>
              <w:tc>
                <w:tcPr>
                  <w:tcW w:w="1418" w:type="dxa"/>
                  <w:shd w:val="clear" w:color="auto" w:fill="auto"/>
                  <w:noWrap/>
                  <w:vAlign w:val="center"/>
                </w:tcPr>
                <w:p w:rsidRPr="00843B1C" w:rsidR="00C37549" w:rsidP="00565842" w:rsidRDefault="00C37549" w14:paraId="2FFEC52A" w14:textId="28986027">
                  <w:pPr>
                    <w:jc w:val="right"/>
                    <w:rPr>
                      <w:i/>
                      <w:iCs/>
                      <w:color w:val="000000"/>
                      <w:sz w:val="18"/>
                      <w:szCs w:val="18"/>
                    </w:rPr>
                  </w:pPr>
                  <w:r w:rsidRPr="00843B1C">
                    <w:rPr>
                      <w:i/>
                      <w:iCs/>
                      <w:color w:val="000000"/>
                      <w:sz w:val="18"/>
                      <w:szCs w:val="18"/>
                    </w:rPr>
                    <w:t>67 067 728</w:t>
                  </w:r>
                </w:p>
              </w:tc>
              <w:tc>
                <w:tcPr>
                  <w:tcW w:w="1417" w:type="dxa"/>
                  <w:shd w:val="clear" w:color="auto" w:fill="auto"/>
                  <w:noWrap/>
                  <w:vAlign w:val="center"/>
                </w:tcPr>
                <w:p w:rsidRPr="00843B1C" w:rsidR="00C37549" w:rsidP="00565842" w:rsidRDefault="00C37549" w14:paraId="5BDEB2CC" w14:textId="5E85FE45">
                  <w:pPr>
                    <w:jc w:val="right"/>
                    <w:rPr>
                      <w:i/>
                      <w:iCs/>
                      <w:color w:val="000000"/>
                      <w:sz w:val="18"/>
                      <w:szCs w:val="18"/>
                    </w:rPr>
                  </w:pPr>
                  <w:r w:rsidRPr="00843B1C">
                    <w:rPr>
                      <w:i/>
                      <w:iCs/>
                      <w:color w:val="000000"/>
                      <w:sz w:val="18"/>
                      <w:szCs w:val="18"/>
                    </w:rPr>
                    <w:t>27 125 057</w:t>
                  </w:r>
                </w:p>
              </w:tc>
            </w:tr>
          </w:tbl>
          <w:p w:rsidR="00C37549" w:rsidP="00923A3D" w:rsidRDefault="00C37549" w14:paraId="6746B469" w14:textId="77777777">
            <w:pPr>
              <w:jc w:val="both"/>
              <w:rPr>
                <w:rFonts w:eastAsia="Calibri"/>
                <w:sz w:val="22"/>
                <w:szCs w:val="22"/>
              </w:rPr>
            </w:pPr>
          </w:p>
          <w:p w:rsidRPr="00050438" w:rsidR="00C37549" w:rsidP="00EA0593" w:rsidRDefault="00C37549" w14:paraId="4E2EEC86" w14:textId="5F9B4C7A">
            <w:pPr>
              <w:jc w:val="both"/>
              <w:rPr>
                <w:rFonts w:eastAsia="Calibri"/>
              </w:rPr>
            </w:pPr>
            <w:r w:rsidRPr="00050438">
              <w:rPr>
                <w:rFonts w:eastAsia="Calibri"/>
              </w:rPr>
              <w:t>Saskaņā</w:t>
            </w:r>
            <w:r w:rsidRPr="00050438">
              <w:t xml:space="preserve"> </w:t>
            </w:r>
            <w:r w:rsidRPr="00050438">
              <w:rPr>
                <w:rFonts w:eastAsia="Calibri"/>
              </w:rPr>
              <w:t>MK 2019.gada 10.decembra sēdes lēmumu (prot. Nr.57 95.§) finansējums PVN maksājumu segšanai projekta Latvijas aktivitātēm jau ir ieplānots SM budžetā, sagatavojot likumprojektu “Par valsts budžetu 2021.gadam” un likumprojektu “Par vidēja termiņa budžeta ietvaru 2021., 2022. un 2023.gadam”.</w:t>
            </w:r>
          </w:p>
          <w:p w:rsidRPr="00050438" w:rsidR="005A71B2" w:rsidP="00EA0593" w:rsidRDefault="005A71B2" w14:paraId="63D1E083" w14:textId="7AF385B6">
            <w:pPr>
              <w:jc w:val="both"/>
              <w:rPr>
                <w:rFonts w:eastAsia="Calibri"/>
              </w:rPr>
            </w:pPr>
          </w:p>
          <w:p w:rsidRPr="00050438" w:rsidR="005A71B2" w:rsidP="005A71B2" w:rsidRDefault="005A71B2" w14:paraId="45F3E8CD" w14:textId="77777777">
            <w:pPr>
              <w:jc w:val="both"/>
              <w:rPr>
                <w:rFonts w:eastAsia="Calibri"/>
              </w:rPr>
            </w:pPr>
            <w:r w:rsidRPr="00050438">
              <w:rPr>
                <w:rFonts w:eastAsia="Calibri"/>
              </w:rPr>
              <w:t>Attiecīgi izmaiņas izdevumos 2021.-2023.gadam radīs izmaksas, kas nepieciešamas</w:t>
            </w:r>
            <w:r w:rsidRPr="00050438">
              <w:t xml:space="preserve"> PVN segšanai </w:t>
            </w:r>
            <w:r w:rsidRPr="00050438">
              <w:rPr>
                <w:rFonts w:eastAsia="Calibri"/>
              </w:rPr>
              <w:t>RBR aktivitātēm un Latvijas līdzfinansējumam</w:t>
            </w:r>
            <w:r w:rsidRPr="00050438">
              <w:t xml:space="preserve"> </w:t>
            </w:r>
            <w:r w:rsidRPr="00050438">
              <w:rPr>
                <w:rFonts w:eastAsia="Calibri"/>
              </w:rPr>
              <w:t>RB Projekta pārvaldības izmaksām.</w:t>
            </w:r>
          </w:p>
          <w:p w:rsidRPr="00050438" w:rsidR="005A71B2" w:rsidP="005A71B2" w:rsidRDefault="005A71B2" w14:paraId="3936CD5A" w14:textId="251E97EF">
            <w:pPr>
              <w:jc w:val="both"/>
              <w:rPr>
                <w:rFonts w:eastAsia="Calibri"/>
              </w:rPr>
            </w:pPr>
            <w:r w:rsidRPr="00050438">
              <w:rPr>
                <w:rFonts w:eastAsia="Calibri"/>
              </w:rPr>
              <w:t xml:space="preserve">Izmaiņas 2020.gadā noteiktas, ņemot vērā SM budžetā faktiski pieejamo finansējumu un </w:t>
            </w:r>
            <w:r w:rsidR="003171AC">
              <w:rPr>
                <w:rFonts w:eastAsia="Calibri"/>
              </w:rPr>
              <w:t>vēl prognozētos maksājumus projektā</w:t>
            </w:r>
            <w:r w:rsidRPr="00050438">
              <w:rPr>
                <w:rFonts w:eastAsia="Calibri"/>
              </w:rPr>
              <w:t>.</w:t>
            </w:r>
          </w:p>
          <w:p w:rsidR="00C37549" w:rsidP="00EA0593" w:rsidRDefault="00C37549" w14:paraId="03DA4502" w14:textId="786F8898">
            <w:pPr>
              <w:jc w:val="both"/>
              <w:rPr>
                <w:rFonts w:eastAsia="Calibri"/>
                <w:sz w:val="22"/>
                <w:szCs w:val="22"/>
              </w:rPr>
            </w:pPr>
          </w:p>
          <w:p w:rsidRPr="00882088" w:rsidR="00C37549" w:rsidP="00923A3D" w:rsidRDefault="00C37549" w14:paraId="48F9D14C" w14:textId="7A3B4376">
            <w:pPr>
              <w:jc w:val="both"/>
              <w:rPr>
                <w:rFonts w:eastAsia="Calibri"/>
                <w:sz w:val="22"/>
                <w:szCs w:val="22"/>
                <w:lang w:eastAsia="en-US"/>
              </w:rPr>
            </w:pPr>
            <w:r>
              <w:rPr>
                <w:rFonts w:eastAsia="Calibri"/>
                <w:sz w:val="22"/>
                <w:szCs w:val="22"/>
                <w:lang w:eastAsia="en-US"/>
              </w:rPr>
              <w:t>RB</w:t>
            </w:r>
            <w:r w:rsidR="007C3C1F">
              <w:rPr>
                <w:rFonts w:eastAsia="Calibri"/>
                <w:sz w:val="22"/>
                <w:szCs w:val="22"/>
                <w:lang w:eastAsia="en-US"/>
              </w:rPr>
              <w:t>R</w:t>
            </w:r>
            <w:r>
              <w:rPr>
                <w:rFonts w:eastAsia="Calibri"/>
                <w:sz w:val="22"/>
                <w:szCs w:val="22"/>
                <w:lang w:eastAsia="en-US"/>
              </w:rPr>
              <w:t xml:space="preserve"> </w:t>
            </w:r>
            <w:r w:rsidR="007C3C1F">
              <w:rPr>
                <w:rFonts w:eastAsia="Calibri"/>
                <w:sz w:val="22"/>
                <w:szCs w:val="22"/>
                <w:lang w:eastAsia="en-US"/>
              </w:rPr>
              <w:t xml:space="preserve">aktivitātēm </w:t>
            </w:r>
            <w:r>
              <w:rPr>
                <w:rFonts w:eastAsia="Calibri"/>
                <w:sz w:val="22"/>
                <w:szCs w:val="22"/>
                <w:lang w:eastAsia="en-US"/>
              </w:rPr>
              <w:t>kompensējamā PVN aprēķins (par maksājumiem no 2020.gada jūlija)*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76"/>
              <w:gridCol w:w="1134"/>
              <w:gridCol w:w="993"/>
              <w:gridCol w:w="992"/>
              <w:gridCol w:w="992"/>
              <w:gridCol w:w="985"/>
            </w:tblGrid>
            <w:tr w:rsidRPr="00B03CD6" w:rsidR="00C37549" w:rsidTr="003918BC" w14:paraId="78118819" w14:textId="77777777">
              <w:trPr>
                <w:trHeight w:val="258"/>
              </w:trPr>
              <w:tc>
                <w:tcPr>
                  <w:tcW w:w="2076" w:type="dxa"/>
                  <w:shd w:val="clear" w:color="auto" w:fill="D9D9D9" w:themeFill="background1" w:themeFillShade="D9"/>
                  <w:tcMar>
                    <w:left w:w="28" w:type="dxa"/>
                    <w:right w:w="28" w:type="dxa"/>
                  </w:tcMar>
                  <w:vAlign w:val="center"/>
                  <w:hideMark/>
                </w:tcPr>
                <w:p w:rsidRPr="00B03CD6" w:rsidR="00C37549" w:rsidP="00923A3D" w:rsidRDefault="00C37549" w14:paraId="0D454D9F" w14:textId="77777777">
                  <w:pPr>
                    <w:jc w:val="both"/>
                    <w:rPr>
                      <w:color w:val="000000"/>
                      <w:sz w:val="18"/>
                      <w:szCs w:val="18"/>
                    </w:rPr>
                  </w:pPr>
                  <w:bookmarkStart w:name="_Hlk53741671" w:id="1"/>
                  <w:r w:rsidRPr="00B03CD6">
                    <w:rPr>
                      <w:color w:val="000000"/>
                      <w:sz w:val="18"/>
                      <w:szCs w:val="18"/>
                    </w:rPr>
                    <w:t> </w:t>
                  </w:r>
                </w:p>
              </w:tc>
              <w:tc>
                <w:tcPr>
                  <w:tcW w:w="1134" w:type="dxa"/>
                  <w:shd w:val="clear" w:color="auto" w:fill="D9D9D9" w:themeFill="background1" w:themeFillShade="D9"/>
                  <w:tcMar>
                    <w:left w:w="28" w:type="dxa"/>
                    <w:right w:w="28" w:type="dxa"/>
                  </w:tcMar>
                  <w:vAlign w:val="center"/>
                  <w:hideMark/>
                </w:tcPr>
                <w:p w:rsidRPr="00B03CD6" w:rsidR="00C37549" w:rsidP="00923A3D" w:rsidRDefault="00C37549" w14:paraId="36BF8243" w14:textId="77777777">
                  <w:pPr>
                    <w:jc w:val="center"/>
                    <w:rPr>
                      <w:b/>
                      <w:bCs/>
                      <w:color w:val="000000"/>
                      <w:sz w:val="18"/>
                      <w:szCs w:val="18"/>
                    </w:rPr>
                  </w:pPr>
                  <w:r w:rsidRPr="00B03CD6">
                    <w:rPr>
                      <w:b/>
                      <w:bCs/>
                      <w:color w:val="000000"/>
                      <w:sz w:val="18"/>
                      <w:szCs w:val="18"/>
                    </w:rPr>
                    <w:t>2020</w:t>
                  </w:r>
                </w:p>
              </w:tc>
              <w:tc>
                <w:tcPr>
                  <w:tcW w:w="993" w:type="dxa"/>
                  <w:shd w:val="clear" w:color="auto" w:fill="D9D9D9" w:themeFill="background1" w:themeFillShade="D9"/>
                  <w:tcMar>
                    <w:left w:w="28" w:type="dxa"/>
                    <w:right w:w="28" w:type="dxa"/>
                  </w:tcMar>
                  <w:vAlign w:val="center"/>
                  <w:hideMark/>
                </w:tcPr>
                <w:p w:rsidRPr="00B03CD6" w:rsidR="00C37549" w:rsidP="00923A3D" w:rsidRDefault="00C37549" w14:paraId="6BF51256" w14:textId="77777777">
                  <w:pPr>
                    <w:jc w:val="center"/>
                    <w:rPr>
                      <w:b/>
                      <w:bCs/>
                      <w:color w:val="000000"/>
                      <w:sz w:val="18"/>
                      <w:szCs w:val="18"/>
                    </w:rPr>
                  </w:pPr>
                  <w:r w:rsidRPr="00B03CD6">
                    <w:rPr>
                      <w:b/>
                      <w:bCs/>
                      <w:color w:val="000000"/>
                      <w:sz w:val="18"/>
                      <w:szCs w:val="18"/>
                    </w:rPr>
                    <w:t>2021</w:t>
                  </w:r>
                </w:p>
              </w:tc>
              <w:tc>
                <w:tcPr>
                  <w:tcW w:w="992" w:type="dxa"/>
                  <w:shd w:val="clear" w:color="auto" w:fill="D9D9D9" w:themeFill="background1" w:themeFillShade="D9"/>
                  <w:tcMar>
                    <w:left w:w="28" w:type="dxa"/>
                    <w:right w:w="28" w:type="dxa"/>
                  </w:tcMar>
                  <w:vAlign w:val="center"/>
                  <w:hideMark/>
                </w:tcPr>
                <w:p w:rsidRPr="00B03CD6" w:rsidR="00C37549" w:rsidP="00923A3D" w:rsidRDefault="00C37549" w14:paraId="33CD70D1" w14:textId="77777777">
                  <w:pPr>
                    <w:jc w:val="center"/>
                    <w:rPr>
                      <w:b/>
                      <w:bCs/>
                      <w:color w:val="000000"/>
                      <w:sz w:val="18"/>
                      <w:szCs w:val="18"/>
                    </w:rPr>
                  </w:pPr>
                  <w:r w:rsidRPr="00B03CD6">
                    <w:rPr>
                      <w:b/>
                      <w:bCs/>
                      <w:color w:val="000000"/>
                      <w:sz w:val="18"/>
                      <w:szCs w:val="18"/>
                    </w:rPr>
                    <w:t>2022</w:t>
                  </w:r>
                </w:p>
              </w:tc>
              <w:tc>
                <w:tcPr>
                  <w:tcW w:w="992" w:type="dxa"/>
                  <w:shd w:val="clear" w:color="auto" w:fill="D9D9D9" w:themeFill="background1" w:themeFillShade="D9"/>
                  <w:tcMar>
                    <w:left w:w="28" w:type="dxa"/>
                    <w:right w:w="28" w:type="dxa"/>
                  </w:tcMar>
                  <w:vAlign w:val="center"/>
                  <w:hideMark/>
                </w:tcPr>
                <w:p w:rsidRPr="00B03CD6" w:rsidR="00C37549" w:rsidP="00923A3D" w:rsidRDefault="00C37549" w14:paraId="6B6DDA44" w14:textId="77777777">
                  <w:pPr>
                    <w:jc w:val="center"/>
                    <w:rPr>
                      <w:b/>
                      <w:bCs/>
                      <w:color w:val="000000"/>
                      <w:sz w:val="18"/>
                      <w:szCs w:val="18"/>
                    </w:rPr>
                  </w:pPr>
                  <w:r w:rsidRPr="00B03CD6">
                    <w:rPr>
                      <w:b/>
                      <w:bCs/>
                      <w:color w:val="000000"/>
                      <w:sz w:val="18"/>
                      <w:szCs w:val="18"/>
                    </w:rPr>
                    <w:t>2023</w:t>
                  </w:r>
                </w:p>
              </w:tc>
              <w:tc>
                <w:tcPr>
                  <w:tcW w:w="985" w:type="dxa"/>
                  <w:shd w:val="clear" w:color="auto" w:fill="D9D9D9" w:themeFill="background1" w:themeFillShade="D9"/>
                  <w:tcMar>
                    <w:left w:w="28" w:type="dxa"/>
                    <w:right w:w="28" w:type="dxa"/>
                  </w:tcMar>
                  <w:vAlign w:val="center"/>
                  <w:hideMark/>
                </w:tcPr>
                <w:p w:rsidRPr="00B03CD6" w:rsidR="00C37549" w:rsidP="00923A3D" w:rsidRDefault="00C37549" w14:paraId="705B4275" w14:textId="77777777">
                  <w:pPr>
                    <w:jc w:val="center"/>
                    <w:rPr>
                      <w:b/>
                      <w:bCs/>
                      <w:color w:val="000000"/>
                      <w:sz w:val="18"/>
                      <w:szCs w:val="18"/>
                    </w:rPr>
                  </w:pPr>
                  <w:r w:rsidRPr="00B03CD6">
                    <w:rPr>
                      <w:b/>
                      <w:bCs/>
                      <w:color w:val="000000"/>
                      <w:sz w:val="18"/>
                      <w:szCs w:val="18"/>
                    </w:rPr>
                    <w:t>Kopā</w:t>
                  </w:r>
                </w:p>
              </w:tc>
            </w:tr>
            <w:tr w:rsidRPr="00B03CD6" w:rsidR="00C37549" w:rsidTr="00624F66" w14:paraId="759C2872" w14:textId="77777777">
              <w:trPr>
                <w:trHeight w:val="300"/>
              </w:trPr>
              <w:tc>
                <w:tcPr>
                  <w:tcW w:w="2076" w:type="dxa"/>
                  <w:shd w:val="clear" w:color="auto" w:fill="auto"/>
                  <w:noWrap/>
                  <w:tcMar>
                    <w:left w:w="28" w:type="dxa"/>
                    <w:right w:w="28" w:type="dxa"/>
                  </w:tcMar>
                  <w:vAlign w:val="bottom"/>
                  <w:hideMark/>
                </w:tcPr>
                <w:p w:rsidRPr="00B03CD6" w:rsidR="00C37549" w:rsidP="00923A3D" w:rsidRDefault="00C37549" w14:paraId="7A23FE36" w14:textId="4E9802C6">
                  <w:pPr>
                    <w:rPr>
                      <w:color w:val="000000"/>
                      <w:sz w:val="18"/>
                      <w:szCs w:val="18"/>
                    </w:rPr>
                  </w:pPr>
                  <w:r w:rsidRPr="00B03CD6">
                    <w:rPr>
                      <w:color w:val="000000"/>
                      <w:sz w:val="18"/>
                      <w:szCs w:val="18"/>
                    </w:rPr>
                    <w:t>RBR aktivitāšu i</w:t>
                  </w:r>
                  <w:r>
                    <w:rPr>
                      <w:color w:val="000000"/>
                      <w:sz w:val="18"/>
                      <w:szCs w:val="18"/>
                    </w:rPr>
                    <w:t>ndikatīvi ar PVN apliekamā daļa</w:t>
                  </w:r>
                </w:p>
              </w:tc>
              <w:tc>
                <w:tcPr>
                  <w:tcW w:w="1134" w:type="dxa"/>
                  <w:shd w:val="clear" w:color="auto" w:fill="auto"/>
                  <w:noWrap/>
                  <w:tcMar>
                    <w:left w:w="28" w:type="dxa"/>
                    <w:right w:w="28" w:type="dxa"/>
                  </w:tcMar>
                  <w:vAlign w:val="bottom"/>
                  <w:hideMark/>
                </w:tcPr>
                <w:p w:rsidRPr="00B03CD6" w:rsidR="00C37549" w:rsidP="00923A3D" w:rsidRDefault="00C37549" w14:paraId="51DC5CFF" w14:textId="77777777">
                  <w:pPr>
                    <w:jc w:val="center"/>
                    <w:rPr>
                      <w:color w:val="000000"/>
                      <w:sz w:val="18"/>
                      <w:szCs w:val="18"/>
                    </w:rPr>
                  </w:pPr>
                  <w:r w:rsidRPr="00B03CD6">
                    <w:rPr>
                      <w:color w:val="000000"/>
                      <w:sz w:val="18"/>
                      <w:szCs w:val="18"/>
                    </w:rPr>
                    <w:t>11 789 931</w:t>
                  </w:r>
                </w:p>
              </w:tc>
              <w:tc>
                <w:tcPr>
                  <w:tcW w:w="993" w:type="dxa"/>
                  <w:shd w:val="clear" w:color="auto" w:fill="auto"/>
                  <w:noWrap/>
                  <w:tcMar>
                    <w:left w:w="28" w:type="dxa"/>
                    <w:right w:w="28" w:type="dxa"/>
                  </w:tcMar>
                  <w:vAlign w:val="bottom"/>
                  <w:hideMark/>
                </w:tcPr>
                <w:p w:rsidRPr="00B03CD6" w:rsidR="00C37549" w:rsidP="00923A3D" w:rsidRDefault="00C37549" w14:paraId="0DE87463" w14:textId="77777777">
                  <w:pPr>
                    <w:jc w:val="center"/>
                    <w:rPr>
                      <w:color w:val="000000"/>
                      <w:sz w:val="18"/>
                      <w:szCs w:val="18"/>
                    </w:rPr>
                  </w:pPr>
                  <w:r w:rsidRPr="00B03CD6">
                    <w:rPr>
                      <w:color w:val="000000"/>
                      <w:sz w:val="18"/>
                      <w:szCs w:val="18"/>
                    </w:rPr>
                    <w:t>13 885 763</w:t>
                  </w:r>
                </w:p>
              </w:tc>
              <w:tc>
                <w:tcPr>
                  <w:tcW w:w="992" w:type="dxa"/>
                  <w:shd w:val="clear" w:color="auto" w:fill="auto"/>
                  <w:noWrap/>
                  <w:tcMar>
                    <w:left w:w="28" w:type="dxa"/>
                    <w:right w:w="28" w:type="dxa"/>
                  </w:tcMar>
                  <w:vAlign w:val="bottom"/>
                  <w:hideMark/>
                </w:tcPr>
                <w:p w:rsidRPr="00B03CD6" w:rsidR="00C37549" w:rsidP="00923A3D" w:rsidRDefault="00C37549" w14:paraId="29C5B3F6" w14:textId="77777777">
                  <w:pPr>
                    <w:jc w:val="center"/>
                    <w:rPr>
                      <w:color w:val="000000"/>
                      <w:sz w:val="18"/>
                      <w:szCs w:val="18"/>
                    </w:rPr>
                  </w:pPr>
                  <w:r w:rsidRPr="00B03CD6">
                    <w:rPr>
                      <w:color w:val="000000"/>
                      <w:sz w:val="18"/>
                      <w:szCs w:val="18"/>
                    </w:rPr>
                    <w:t>11 116 989</w:t>
                  </w:r>
                </w:p>
              </w:tc>
              <w:tc>
                <w:tcPr>
                  <w:tcW w:w="992" w:type="dxa"/>
                  <w:shd w:val="clear" w:color="auto" w:fill="auto"/>
                  <w:noWrap/>
                  <w:tcMar>
                    <w:left w:w="28" w:type="dxa"/>
                    <w:right w:w="28" w:type="dxa"/>
                  </w:tcMar>
                  <w:vAlign w:val="bottom"/>
                  <w:hideMark/>
                </w:tcPr>
                <w:p w:rsidRPr="00B03CD6" w:rsidR="00C37549" w:rsidP="00923A3D" w:rsidRDefault="00C37549" w14:paraId="2095AE79" w14:textId="77777777">
                  <w:pPr>
                    <w:jc w:val="center"/>
                    <w:rPr>
                      <w:color w:val="000000"/>
                      <w:sz w:val="18"/>
                      <w:szCs w:val="18"/>
                    </w:rPr>
                  </w:pPr>
                  <w:r w:rsidRPr="00B03CD6">
                    <w:rPr>
                      <w:color w:val="000000"/>
                      <w:sz w:val="18"/>
                      <w:szCs w:val="18"/>
                    </w:rPr>
                    <w:t>10 573 688</w:t>
                  </w:r>
                </w:p>
              </w:tc>
              <w:tc>
                <w:tcPr>
                  <w:tcW w:w="985" w:type="dxa"/>
                  <w:shd w:val="clear" w:color="auto" w:fill="auto"/>
                  <w:noWrap/>
                  <w:tcMar>
                    <w:left w:w="28" w:type="dxa"/>
                    <w:right w:w="28" w:type="dxa"/>
                  </w:tcMar>
                  <w:vAlign w:val="bottom"/>
                  <w:hideMark/>
                </w:tcPr>
                <w:p w:rsidRPr="00B03CD6" w:rsidR="00C37549" w:rsidP="00923A3D" w:rsidRDefault="00C37549" w14:paraId="29532416" w14:textId="77777777">
                  <w:pPr>
                    <w:jc w:val="center"/>
                    <w:rPr>
                      <w:color w:val="000000"/>
                      <w:sz w:val="18"/>
                      <w:szCs w:val="18"/>
                    </w:rPr>
                  </w:pPr>
                  <w:r w:rsidRPr="00B03CD6">
                    <w:rPr>
                      <w:color w:val="000000"/>
                      <w:sz w:val="18"/>
                      <w:szCs w:val="18"/>
                    </w:rPr>
                    <w:t>47 366 371</w:t>
                  </w:r>
                </w:p>
              </w:tc>
            </w:tr>
            <w:tr w:rsidRPr="00B03CD6" w:rsidR="00C37549" w:rsidTr="00624F66" w14:paraId="3C3884A7" w14:textId="77777777">
              <w:trPr>
                <w:trHeight w:val="315"/>
              </w:trPr>
              <w:tc>
                <w:tcPr>
                  <w:tcW w:w="2076" w:type="dxa"/>
                  <w:shd w:val="clear" w:color="auto" w:fill="auto"/>
                  <w:noWrap/>
                  <w:tcMar>
                    <w:left w:w="28" w:type="dxa"/>
                    <w:right w:w="28" w:type="dxa"/>
                  </w:tcMar>
                  <w:vAlign w:val="bottom"/>
                  <w:hideMark/>
                </w:tcPr>
                <w:p w:rsidRPr="00B03CD6" w:rsidR="00C37549" w:rsidP="00923A3D" w:rsidRDefault="00C37549" w14:paraId="02C8900F" w14:textId="38AF37FA">
                  <w:pPr>
                    <w:rPr>
                      <w:color w:val="000000"/>
                      <w:sz w:val="18"/>
                      <w:szCs w:val="18"/>
                    </w:rPr>
                  </w:pPr>
                  <w:r w:rsidRPr="00B03CD6">
                    <w:rPr>
                      <w:color w:val="000000"/>
                      <w:sz w:val="18"/>
                      <w:szCs w:val="18"/>
                    </w:rPr>
                    <w:t>RBR aktivitāšu PVN 21%</w:t>
                  </w:r>
                </w:p>
              </w:tc>
              <w:tc>
                <w:tcPr>
                  <w:tcW w:w="1134" w:type="dxa"/>
                  <w:shd w:val="clear" w:color="auto" w:fill="auto"/>
                  <w:noWrap/>
                  <w:tcMar>
                    <w:left w:w="28" w:type="dxa"/>
                    <w:right w:w="28" w:type="dxa"/>
                  </w:tcMar>
                  <w:vAlign w:val="bottom"/>
                  <w:hideMark/>
                </w:tcPr>
                <w:p w:rsidRPr="00B03CD6" w:rsidR="00C37549" w:rsidP="00923A3D" w:rsidRDefault="00C37549" w14:paraId="634B3FA0" w14:textId="77777777">
                  <w:pPr>
                    <w:jc w:val="center"/>
                    <w:rPr>
                      <w:color w:val="000000"/>
                      <w:sz w:val="18"/>
                      <w:szCs w:val="18"/>
                    </w:rPr>
                  </w:pPr>
                  <w:r w:rsidRPr="00B03CD6">
                    <w:rPr>
                      <w:color w:val="000000"/>
                      <w:sz w:val="18"/>
                      <w:szCs w:val="18"/>
                    </w:rPr>
                    <w:t>2 475 886</w:t>
                  </w:r>
                </w:p>
              </w:tc>
              <w:tc>
                <w:tcPr>
                  <w:tcW w:w="993" w:type="dxa"/>
                  <w:shd w:val="clear" w:color="auto" w:fill="auto"/>
                  <w:noWrap/>
                  <w:tcMar>
                    <w:left w:w="28" w:type="dxa"/>
                    <w:right w:w="28" w:type="dxa"/>
                  </w:tcMar>
                  <w:vAlign w:val="bottom"/>
                  <w:hideMark/>
                </w:tcPr>
                <w:p w:rsidRPr="00B03CD6" w:rsidR="00C37549" w:rsidP="00923A3D" w:rsidRDefault="00C37549" w14:paraId="58D4D576" w14:textId="77777777">
                  <w:pPr>
                    <w:jc w:val="center"/>
                    <w:rPr>
                      <w:color w:val="000000"/>
                      <w:sz w:val="18"/>
                      <w:szCs w:val="18"/>
                    </w:rPr>
                  </w:pPr>
                  <w:r w:rsidRPr="00B03CD6">
                    <w:rPr>
                      <w:color w:val="000000"/>
                      <w:sz w:val="18"/>
                      <w:szCs w:val="18"/>
                    </w:rPr>
                    <w:t>2 916 010</w:t>
                  </w:r>
                </w:p>
              </w:tc>
              <w:tc>
                <w:tcPr>
                  <w:tcW w:w="992" w:type="dxa"/>
                  <w:shd w:val="clear" w:color="auto" w:fill="auto"/>
                  <w:noWrap/>
                  <w:tcMar>
                    <w:left w:w="28" w:type="dxa"/>
                    <w:right w:w="28" w:type="dxa"/>
                  </w:tcMar>
                  <w:vAlign w:val="bottom"/>
                  <w:hideMark/>
                </w:tcPr>
                <w:p w:rsidRPr="00B03CD6" w:rsidR="00C37549" w:rsidP="00923A3D" w:rsidRDefault="00C37549" w14:paraId="780DF5C4" w14:textId="77777777">
                  <w:pPr>
                    <w:jc w:val="center"/>
                    <w:rPr>
                      <w:color w:val="000000"/>
                      <w:sz w:val="18"/>
                      <w:szCs w:val="18"/>
                    </w:rPr>
                  </w:pPr>
                  <w:r w:rsidRPr="00B03CD6">
                    <w:rPr>
                      <w:color w:val="000000"/>
                      <w:sz w:val="18"/>
                      <w:szCs w:val="18"/>
                    </w:rPr>
                    <w:t>2 334 568</w:t>
                  </w:r>
                </w:p>
              </w:tc>
              <w:tc>
                <w:tcPr>
                  <w:tcW w:w="992" w:type="dxa"/>
                  <w:shd w:val="clear" w:color="auto" w:fill="auto"/>
                  <w:noWrap/>
                  <w:tcMar>
                    <w:left w:w="28" w:type="dxa"/>
                    <w:right w:w="28" w:type="dxa"/>
                  </w:tcMar>
                  <w:vAlign w:val="bottom"/>
                  <w:hideMark/>
                </w:tcPr>
                <w:p w:rsidRPr="00B03CD6" w:rsidR="00C37549" w:rsidP="00923A3D" w:rsidRDefault="00C37549" w14:paraId="4A9A619B" w14:textId="77777777">
                  <w:pPr>
                    <w:jc w:val="center"/>
                    <w:rPr>
                      <w:color w:val="000000"/>
                      <w:sz w:val="18"/>
                      <w:szCs w:val="18"/>
                    </w:rPr>
                  </w:pPr>
                  <w:r w:rsidRPr="00B03CD6">
                    <w:rPr>
                      <w:color w:val="000000"/>
                      <w:sz w:val="18"/>
                      <w:szCs w:val="18"/>
                    </w:rPr>
                    <w:t>2 220 475</w:t>
                  </w:r>
                </w:p>
              </w:tc>
              <w:tc>
                <w:tcPr>
                  <w:tcW w:w="985" w:type="dxa"/>
                  <w:shd w:val="clear" w:color="auto" w:fill="auto"/>
                  <w:noWrap/>
                  <w:tcMar>
                    <w:left w:w="28" w:type="dxa"/>
                    <w:right w:w="28" w:type="dxa"/>
                  </w:tcMar>
                  <w:vAlign w:val="bottom"/>
                  <w:hideMark/>
                </w:tcPr>
                <w:p w:rsidRPr="00B03CD6" w:rsidR="00C37549" w:rsidP="00923A3D" w:rsidRDefault="00C37549" w14:paraId="1F9F4576" w14:textId="3A96E717">
                  <w:pPr>
                    <w:jc w:val="center"/>
                    <w:rPr>
                      <w:color w:val="000000"/>
                      <w:sz w:val="18"/>
                      <w:szCs w:val="18"/>
                    </w:rPr>
                  </w:pPr>
                  <w:r w:rsidRPr="00B03CD6">
                    <w:rPr>
                      <w:color w:val="000000"/>
                      <w:sz w:val="18"/>
                      <w:szCs w:val="18"/>
                    </w:rPr>
                    <w:t>9 946 939</w:t>
                  </w:r>
                </w:p>
              </w:tc>
            </w:tr>
          </w:tbl>
          <w:bookmarkEnd w:id="1"/>
          <w:p w:rsidR="00C37549" w:rsidP="00923A3D" w:rsidRDefault="00C37549" w14:paraId="03B7FD9E" w14:textId="582E40E8">
            <w:pPr>
              <w:jc w:val="both"/>
              <w:rPr>
                <w:i/>
                <w:sz w:val="18"/>
                <w:szCs w:val="18"/>
              </w:rPr>
            </w:pPr>
            <w:r w:rsidRPr="00624F66">
              <w:rPr>
                <w:i/>
                <w:sz w:val="18"/>
                <w:szCs w:val="18"/>
              </w:rPr>
              <w:lastRenderedPageBreak/>
              <w:t>*</w:t>
            </w:r>
            <w:r>
              <w:rPr>
                <w:i/>
                <w:sz w:val="18"/>
                <w:szCs w:val="18"/>
              </w:rPr>
              <w:t xml:space="preserve"> T</w:t>
            </w:r>
            <w:r w:rsidRPr="00624F66">
              <w:rPr>
                <w:i/>
                <w:sz w:val="18"/>
                <w:szCs w:val="18"/>
              </w:rPr>
              <w:t>abulā norādīt</w:t>
            </w:r>
            <w:r w:rsidRPr="00563CC8">
              <w:rPr>
                <w:i/>
                <w:sz w:val="18"/>
                <w:szCs w:val="18"/>
              </w:rPr>
              <w:t>i izdevumi</w:t>
            </w:r>
            <w:r w:rsidRPr="00624F66">
              <w:rPr>
                <w:i/>
                <w:sz w:val="18"/>
                <w:szCs w:val="18"/>
              </w:rPr>
              <w:t xml:space="preserve"> CEF-1, CEF-2, CEF-3 līgumu ietvaros</w:t>
            </w:r>
            <w:r>
              <w:rPr>
                <w:i/>
                <w:sz w:val="18"/>
                <w:szCs w:val="18"/>
              </w:rPr>
              <w:t xml:space="preserve"> un turpmākajiem gadiem tie norādīti pēc aktualizētās projekta naudas plūsmas, budžeta likumprojektā finansējums plānots atbilstoši situācijai, kāda tika prognozēta 2020.gada vasarā. </w:t>
            </w:r>
          </w:p>
          <w:p w:rsidR="00C37549" w:rsidP="00923A3D" w:rsidRDefault="00C37549" w14:paraId="4F2EFA7B" w14:textId="712D3B51">
            <w:pPr>
              <w:jc w:val="both"/>
              <w:rPr>
                <w:i/>
                <w:sz w:val="18"/>
                <w:szCs w:val="18"/>
              </w:rPr>
            </w:pPr>
            <w:r>
              <w:rPr>
                <w:i/>
                <w:sz w:val="18"/>
                <w:szCs w:val="18"/>
              </w:rPr>
              <w:t xml:space="preserve">CEF-6 plānoto līgumu PVN izmaksu segšana un to apmēram saistošs ir MK </w:t>
            </w:r>
            <w:r w:rsidRPr="00563CC8">
              <w:rPr>
                <w:i/>
                <w:sz w:val="18"/>
                <w:szCs w:val="18"/>
              </w:rPr>
              <w:t xml:space="preserve">2020.gada 6.oktobra sēdes </w:t>
            </w:r>
            <w:r>
              <w:rPr>
                <w:i/>
                <w:sz w:val="18"/>
                <w:szCs w:val="18"/>
              </w:rPr>
              <w:t xml:space="preserve">lēmums </w:t>
            </w:r>
            <w:r w:rsidRPr="00563CC8">
              <w:rPr>
                <w:i/>
                <w:sz w:val="18"/>
                <w:szCs w:val="18"/>
              </w:rPr>
              <w:t>(prot.Nr.59 44.§)</w:t>
            </w:r>
          </w:p>
          <w:p w:rsidRPr="00624F66" w:rsidR="00C37549" w:rsidP="00923A3D" w:rsidRDefault="00C37549" w14:paraId="4B60B483" w14:textId="1443B311">
            <w:pPr>
              <w:jc w:val="both"/>
              <w:rPr>
                <w:sz w:val="18"/>
                <w:szCs w:val="18"/>
              </w:rPr>
            </w:pPr>
          </w:p>
          <w:p w:rsidR="00C37549" w:rsidP="00923A3D" w:rsidRDefault="00C37549" w14:paraId="7605D6BD" w14:textId="32118943">
            <w:pPr>
              <w:jc w:val="both"/>
            </w:pPr>
            <w:r w:rsidRPr="00897F33">
              <w:t xml:space="preserve">Ar RB Projekta pārvaldību saistītās izmaksas ir tādas izmaksas, kas neatbilst finansēšanas līguma nosacījumiem, proti, korporatīvās izmaksas, padomes atalgojums u.c., kuras Baltijas valstis finansē vienādās daļās. RBR Akcionāru līguma 5.8.apakšpunkts nosaka, ka, lai īstenotu RB Projektu un sasniegtu RB Projekta rezultātu Baltijas valstis apņemas panākt savstarpēju vienošanos par finanšu resursu nodrošināšanu papildus Eiropas Savienības finansējumam vai trešās puses piesaistītam kredītiestādes finansējumam. Turklāt minētais apakšpunkts nosaka, ka Baltijas valstis apņemas noregulēt Starpvaldību Līgumos valstu saistības attiecībā uz ieguldījumu nodrošināšanu. Tā kā par RB Projektu atbildīgās Baltijas valstu ministrijas un RBR četru pušu sarunās par RBR finansēšanu 2020.-2021.gadā tika panākta vienošanās par iemaksām RBR budžetā, tostarp ar RB Projekta pārvaldību saistīto izmaksu finansēšanai, tad arī Latvija plāno savu finansējuma daļu nodrošināt subsīdiju veidā. Jāatzīmē, ka lai nodrošinātu Projekta nepārtrauktību, finanšu līdzekļi, kas iemaksāti RBR pamatkapitālā, tiek izmantoti RB Projekta aktivitāšu </w:t>
            </w:r>
            <w:proofErr w:type="spellStart"/>
            <w:r w:rsidRPr="00897F33">
              <w:t>priekšfinansēšanai</w:t>
            </w:r>
            <w:proofErr w:type="spellEnd"/>
            <w:r w:rsidRPr="00897F33">
              <w:t xml:space="preserve"> pirms RBR saņem atbilstošus ārvalstu finanšu palīdzības resursus, kā arī RB Projekta neattiecināmo izmaksu </w:t>
            </w:r>
            <w:proofErr w:type="spellStart"/>
            <w:r w:rsidRPr="00897F33">
              <w:t>priekšfinansēšanai</w:t>
            </w:r>
            <w:proofErr w:type="spellEnd"/>
            <w:r w:rsidRPr="00897F33">
              <w:t xml:space="preserve"> pirms tiek saņemts dalībvalstu finansējums.</w:t>
            </w:r>
          </w:p>
          <w:p w:rsidR="00C37549" w:rsidP="00923A3D" w:rsidRDefault="00C37549" w14:paraId="0A5BC2D2" w14:textId="1AF383E1">
            <w:pPr>
              <w:jc w:val="both"/>
            </w:pPr>
            <w:r>
              <w:t xml:space="preserve">RBR iesniegtais 2020.gada budžets </w:t>
            </w:r>
            <w:r w:rsidRPr="00856091">
              <w:t>RB Projekta pārvaldīb</w:t>
            </w:r>
            <w:r>
              <w:t>as</w:t>
            </w:r>
            <w:r w:rsidRPr="00856091">
              <w:t xml:space="preserve"> </w:t>
            </w:r>
            <w:r>
              <w:t>i</w:t>
            </w:r>
            <w:r w:rsidRPr="00856091">
              <w:t>zmaks</w:t>
            </w:r>
            <w:r>
              <w:t xml:space="preserve">ām ir ņemts par pamatu 2021.gada un 2022.gada prognozei Latvijas finansējuma daļas aprēķināšanai. </w:t>
            </w:r>
          </w:p>
          <w:p w:rsidR="00C37549" w:rsidP="00923A3D" w:rsidRDefault="00C37549" w14:paraId="055AD511" w14:textId="64671E4A">
            <w:pPr>
              <w:jc w:val="both"/>
            </w:pPr>
          </w:p>
          <w:tbl>
            <w:tblPr>
              <w:tblW w:w="7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74"/>
              <w:gridCol w:w="1065"/>
              <w:gridCol w:w="992"/>
              <w:gridCol w:w="992"/>
              <w:gridCol w:w="1134"/>
            </w:tblGrid>
            <w:tr w:rsidRPr="00EF309A" w:rsidR="00C37549" w:rsidTr="00624F66" w14:paraId="76D036C1" w14:textId="77777777">
              <w:trPr>
                <w:trHeight w:val="930"/>
              </w:trPr>
              <w:tc>
                <w:tcPr>
                  <w:tcW w:w="3074" w:type="dxa"/>
                  <w:shd w:val="clear" w:color="auto" w:fill="D9D9D9" w:themeFill="background1" w:themeFillShade="D9"/>
                  <w:noWrap/>
                  <w:tcMar>
                    <w:left w:w="28" w:type="dxa"/>
                    <w:right w:w="28" w:type="dxa"/>
                  </w:tcMar>
                  <w:vAlign w:val="center"/>
                  <w:hideMark/>
                </w:tcPr>
                <w:p w:rsidRPr="00EF309A" w:rsidR="00C37549" w:rsidP="00843B1C" w:rsidRDefault="00C37549" w14:paraId="15A46182" w14:textId="1FDACA32">
                  <w:pPr>
                    <w:jc w:val="center"/>
                    <w:rPr>
                      <w:b/>
                      <w:bCs/>
                      <w:color w:val="000000"/>
                      <w:sz w:val="18"/>
                      <w:szCs w:val="18"/>
                    </w:rPr>
                  </w:pPr>
                  <w:r w:rsidRPr="00EF309A">
                    <w:rPr>
                      <w:b/>
                      <w:bCs/>
                      <w:color w:val="000000"/>
                      <w:sz w:val="18"/>
                      <w:szCs w:val="18"/>
                    </w:rPr>
                    <w:t>Aktivitātes apraksts</w:t>
                  </w:r>
                </w:p>
              </w:tc>
              <w:tc>
                <w:tcPr>
                  <w:tcW w:w="1065" w:type="dxa"/>
                  <w:shd w:val="clear" w:color="auto" w:fill="D9D9D9" w:themeFill="background1" w:themeFillShade="D9"/>
                  <w:tcMar>
                    <w:left w:w="28" w:type="dxa"/>
                    <w:right w:w="28" w:type="dxa"/>
                  </w:tcMar>
                  <w:vAlign w:val="center"/>
                  <w:hideMark/>
                </w:tcPr>
                <w:p w:rsidRPr="00EF309A" w:rsidR="00C37549" w:rsidP="00843B1C" w:rsidRDefault="00C37549" w14:paraId="5E3D8002" w14:textId="34941F3F">
                  <w:pPr>
                    <w:jc w:val="center"/>
                    <w:rPr>
                      <w:b/>
                      <w:bCs/>
                      <w:color w:val="000000"/>
                      <w:sz w:val="18"/>
                      <w:szCs w:val="18"/>
                    </w:rPr>
                  </w:pPr>
                  <w:r w:rsidRPr="00EF309A">
                    <w:rPr>
                      <w:b/>
                      <w:bCs/>
                      <w:color w:val="000000"/>
                      <w:sz w:val="18"/>
                      <w:szCs w:val="18"/>
                    </w:rPr>
                    <w:t>Budžets 2020</w:t>
                  </w:r>
                </w:p>
              </w:tc>
              <w:tc>
                <w:tcPr>
                  <w:tcW w:w="992" w:type="dxa"/>
                  <w:shd w:val="clear" w:color="auto" w:fill="D9D9D9" w:themeFill="background1" w:themeFillShade="D9"/>
                  <w:tcMar>
                    <w:left w:w="28" w:type="dxa"/>
                    <w:right w:w="28" w:type="dxa"/>
                  </w:tcMar>
                  <w:vAlign w:val="center"/>
                  <w:hideMark/>
                </w:tcPr>
                <w:p w:rsidRPr="00EF309A" w:rsidR="00C37549" w:rsidP="00843B1C" w:rsidRDefault="00C37549" w14:paraId="7864A703" w14:textId="0328445F">
                  <w:pPr>
                    <w:jc w:val="center"/>
                    <w:rPr>
                      <w:b/>
                      <w:bCs/>
                      <w:color w:val="000000"/>
                      <w:sz w:val="18"/>
                      <w:szCs w:val="18"/>
                    </w:rPr>
                  </w:pPr>
                  <w:r w:rsidRPr="00EF309A">
                    <w:rPr>
                      <w:b/>
                      <w:bCs/>
                      <w:color w:val="000000"/>
                      <w:sz w:val="18"/>
                      <w:szCs w:val="18"/>
                    </w:rPr>
                    <w:t>Budžets 2021 (prognoze)</w:t>
                  </w:r>
                </w:p>
              </w:tc>
              <w:tc>
                <w:tcPr>
                  <w:tcW w:w="992" w:type="dxa"/>
                  <w:shd w:val="clear" w:color="auto" w:fill="D9D9D9" w:themeFill="background1" w:themeFillShade="D9"/>
                  <w:tcMar>
                    <w:left w:w="28" w:type="dxa"/>
                    <w:right w:w="28" w:type="dxa"/>
                  </w:tcMar>
                  <w:vAlign w:val="center"/>
                  <w:hideMark/>
                </w:tcPr>
                <w:p w:rsidRPr="00EF309A" w:rsidR="00C37549" w:rsidP="00843B1C" w:rsidRDefault="00C37549" w14:paraId="48681992" w14:textId="627B0746">
                  <w:pPr>
                    <w:jc w:val="center"/>
                    <w:rPr>
                      <w:b/>
                      <w:bCs/>
                      <w:color w:val="000000"/>
                      <w:sz w:val="18"/>
                      <w:szCs w:val="18"/>
                    </w:rPr>
                  </w:pPr>
                  <w:r w:rsidRPr="00EF309A">
                    <w:rPr>
                      <w:b/>
                      <w:bCs/>
                      <w:color w:val="000000"/>
                      <w:sz w:val="18"/>
                      <w:szCs w:val="18"/>
                    </w:rPr>
                    <w:t>Budžets 2022 (prognoze)</w:t>
                  </w:r>
                </w:p>
              </w:tc>
              <w:tc>
                <w:tcPr>
                  <w:tcW w:w="1134" w:type="dxa"/>
                  <w:shd w:val="clear" w:color="auto" w:fill="D9D9D9" w:themeFill="background1" w:themeFillShade="D9"/>
                  <w:tcMar>
                    <w:left w:w="28" w:type="dxa"/>
                    <w:right w:w="28" w:type="dxa"/>
                  </w:tcMar>
                  <w:vAlign w:val="center"/>
                  <w:hideMark/>
                </w:tcPr>
                <w:p w:rsidRPr="00EF309A" w:rsidR="00C37549" w:rsidP="00843B1C" w:rsidRDefault="00C37549" w14:paraId="7B92A5A5" w14:textId="35AB426C">
                  <w:pPr>
                    <w:jc w:val="center"/>
                    <w:rPr>
                      <w:b/>
                      <w:bCs/>
                      <w:color w:val="000000"/>
                      <w:sz w:val="18"/>
                      <w:szCs w:val="18"/>
                    </w:rPr>
                  </w:pPr>
                  <w:r w:rsidRPr="00EF309A">
                    <w:rPr>
                      <w:b/>
                      <w:bCs/>
                      <w:color w:val="000000"/>
                      <w:sz w:val="18"/>
                      <w:szCs w:val="18"/>
                    </w:rPr>
                    <w:t>Katras valsts līdzfinansējums vienam gadam periodā 2020.-2022.g.</w:t>
                  </w:r>
                </w:p>
              </w:tc>
            </w:tr>
            <w:tr w:rsidRPr="00EF309A" w:rsidR="00C37549" w:rsidTr="00624F66" w14:paraId="6C66D206" w14:textId="77777777">
              <w:trPr>
                <w:trHeight w:val="98"/>
              </w:trPr>
              <w:tc>
                <w:tcPr>
                  <w:tcW w:w="3074" w:type="dxa"/>
                  <w:shd w:val="clear" w:color="auto" w:fill="auto"/>
                  <w:tcMar>
                    <w:left w:w="28" w:type="dxa"/>
                    <w:right w:w="28" w:type="dxa"/>
                  </w:tcMar>
                  <w:vAlign w:val="center"/>
                  <w:hideMark/>
                </w:tcPr>
                <w:p w:rsidRPr="00EF309A" w:rsidR="00C37549" w:rsidP="00843B1C" w:rsidRDefault="00C37549" w14:paraId="2CD17D34" w14:textId="77777777">
                  <w:pPr>
                    <w:rPr>
                      <w:color w:val="000000"/>
                      <w:sz w:val="18"/>
                      <w:szCs w:val="18"/>
                    </w:rPr>
                  </w:pPr>
                  <w:r w:rsidRPr="00EF309A">
                    <w:rPr>
                      <w:color w:val="000000"/>
                      <w:sz w:val="18"/>
                      <w:szCs w:val="18"/>
                    </w:rPr>
                    <w:t>Padomes atalgojums</w:t>
                  </w:r>
                </w:p>
              </w:tc>
              <w:tc>
                <w:tcPr>
                  <w:tcW w:w="1065" w:type="dxa"/>
                  <w:shd w:val="clear" w:color="auto" w:fill="auto"/>
                  <w:noWrap/>
                  <w:tcMar>
                    <w:left w:w="28" w:type="dxa"/>
                    <w:right w:w="28" w:type="dxa"/>
                  </w:tcMar>
                  <w:vAlign w:val="center"/>
                  <w:hideMark/>
                </w:tcPr>
                <w:p w:rsidRPr="00EF309A" w:rsidR="00C37549" w:rsidP="004C0636" w:rsidRDefault="00C37549" w14:paraId="7BBD0DBA" w14:textId="0C128779">
                  <w:pPr>
                    <w:jc w:val="center"/>
                    <w:rPr>
                      <w:color w:val="000000"/>
                      <w:sz w:val="18"/>
                      <w:szCs w:val="18"/>
                    </w:rPr>
                  </w:pPr>
                  <w:r w:rsidRPr="00EF309A">
                    <w:rPr>
                      <w:color w:val="000000"/>
                      <w:sz w:val="18"/>
                      <w:szCs w:val="18"/>
                    </w:rPr>
                    <w:t>312 490</w:t>
                  </w:r>
                </w:p>
              </w:tc>
              <w:tc>
                <w:tcPr>
                  <w:tcW w:w="992" w:type="dxa"/>
                  <w:shd w:val="clear" w:color="auto" w:fill="auto"/>
                  <w:noWrap/>
                  <w:tcMar>
                    <w:left w:w="28" w:type="dxa"/>
                    <w:right w:w="28" w:type="dxa"/>
                  </w:tcMar>
                  <w:vAlign w:val="center"/>
                  <w:hideMark/>
                </w:tcPr>
                <w:p w:rsidRPr="00EF309A" w:rsidR="00C37549" w:rsidP="004C0636" w:rsidRDefault="00C37549" w14:paraId="1EC4909C" w14:textId="018B992A">
                  <w:pPr>
                    <w:jc w:val="center"/>
                    <w:rPr>
                      <w:color w:val="000000"/>
                      <w:sz w:val="18"/>
                      <w:szCs w:val="18"/>
                    </w:rPr>
                  </w:pPr>
                  <w:r w:rsidRPr="00EF309A">
                    <w:rPr>
                      <w:color w:val="000000"/>
                      <w:sz w:val="18"/>
                      <w:szCs w:val="18"/>
                    </w:rPr>
                    <w:t>312 490</w:t>
                  </w:r>
                </w:p>
              </w:tc>
              <w:tc>
                <w:tcPr>
                  <w:tcW w:w="992" w:type="dxa"/>
                  <w:shd w:val="clear" w:color="auto" w:fill="auto"/>
                  <w:noWrap/>
                  <w:tcMar>
                    <w:left w:w="28" w:type="dxa"/>
                    <w:right w:w="28" w:type="dxa"/>
                  </w:tcMar>
                  <w:vAlign w:val="center"/>
                  <w:hideMark/>
                </w:tcPr>
                <w:p w:rsidRPr="00EF309A" w:rsidR="00C37549" w:rsidP="004C0636" w:rsidRDefault="00C37549" w14:paraId="75EC63D8" w14:textId="2FBBF1C8">
                  <w:pPr>
                    <w:jc w:val="center"/>
                    <w:rPr>
                      <w:color w:val="000000"/>
                      <w:sz w:val="18"/>
                      <w:szCs w:val="18"/>
                    </w:rPr>
                  </w:pPr>
                  <w:r w:rsidRPr="00EF309A">
                    <w:rPr>
                      <w:color w:val="000000"/>
                      <w:sz w:val="18"/>
                      <w:szCs w:val="18"/>
                    </w:rPr>
                    <w:t>312 490</w:t>
                  </w:r>
                </w:p>
              </w:tc>
              <w:tc>
                <w:tcPr>
                  <w:tcW w:w="1134" w:type="dxa"/>
                  <w:shd w:val="clear" w:color="auto" w:fill="auto"/>
                  <w:noWrap/>
                  <w:tcMar>
                    <w:left w:w="28" w:type="dxa"/>
                    <w:right w:w="28" w:type="dxa"/>
                  </w:tcMar>
                  <w:vAlign w:val="center"/>
                  <w:hideMark/>
                </w:tcPr>
                <w:p w:rsidRPr="00EF309A" w:rsidR="00C37549" w:rsidP="004C0636" w:rsidRDefault="00C37549" w14:paraId="2F9F954C" w14:textId="061FF3A4">
                  <w:pPr>
                    <w:jc w:val="center"/>
                    <w:rPr>
                      <w:color w:val="000000"/>
                      <w:sz w:val="18"/>
                      <w:szCs w:val="18"/>
                    </w:rPr>
                  </w:pPr>
                  <w:r w:rsidRPr="00EF309A">
                    <w:rPr>
                      <w:sz w:val="18"/>
                      <w:szCs w:val="18"/>
                    </w:rPr>
                    <w:t>104 163</w:t>
                  </w:r>
                </w:p>
              </w:tc>
            </w:tr>
            <w:tr w:rsidRPr="00EF309A" w:rsidR="00C37549" w:rsidTr="00624F66" w14:paraId="27F6840F" w14:textId="77777777">
              <w:trPr>
                <w:trHeight w:val="268"/>
              </w:trPr>
              <w:tc>
                <w:tcPr>
                  <w:tcW w:w="3074" w:type="dxa"/>
                  <w:shd w:val="clear" w:color="auto" w:fill="auto"/>
                  <w:tcMar>
                    <w:left w:w="28" w:type="dxa"/>
                    <w:right w:w="28" w:type="dxa"/>
                  </w:tcMar>
                  <w:vAlign w:val="center"/>
                  <w:hideMark/>
                </w:tcPr>
                <w:p w:rsidRPr="00EF309A" w:rsidR="00C37549" w:rsidP="00843B1C" w:rsidRDefault="00C37549" w14:paraId="3F9428F7" w14:textId="77777777">
                  <w:pPr>
                    <w:rPr>
                      <w:color w:val="000000"/>
                      <w:sz w:val="18"/>
                      <w:szCs w:val="18"/>
                    </w:rPr>
                  </w:pPr>
                  <w:r w:rsidRPr="00EF309A">
                    <w:rPr>
                      <w:color w:val="000000"/>
                      <w:sz w:val="18"/>
                      <w:szCs w:val="18"/>
                    </w:rPr>
                    <w:t>Biroja vadības (korporatīvās) izmaksas</w:t>
                  </w:r>
                </w:p>
              </w:tc>
              <w:tc>
                <w:tcPr>
                  <w:tcW w:w="1065" w:type="dxa"/>
                  <w:shd w:val="clear" w:color="auto" w:fill="auto"/>
                  <w:noWrap/>
                  <w:tcMar>
                    <w:left w:w="28" w:type="dxa"/>
                    <w:right w:w="28" w:type="dxa"/>
                  </w:tcMar>
                  <w:vAlign w:val="center"/>
                  <w:hideMark/>
                </w:tcPr>
                <w:p w:rsidRPr="00EF309A" w:rsidR="00C37549" w:rsidP="004C0636" w:rsidRDefault="00C37549" w14:paraId="31F45E14" w14:textId="797E69A0">
                  <w:pPr>
                    <w:jc w:val="center"/>
                    <w:rPr>
                      <w:color w:val="000000"/>
                      <w:sz w:val="18"/>
                      <w:szCs w:val="18"/>
                    </w:rPr>
                  </w:pPr>
                  <w:r w:rsidRPr="00EF309A">
                    <w:rPr>
                      <w:color w:val="000000"/>
                      <w:sz w:val="18"/>
                      <w:szCs w:val="18"/>
                    </w:rPr>
                    <w:t>24 000</w:t>
                  </w:r>
                </w:p>
              </w:tc>
              <w:tc>
                <w:tcPr>
                  <w:tcW w:w="992" w:type="dxa"/>
                  <w:shd w:val="clear" w:color="auto" w:fill="auto"/>
                  <w:noWrap/>
                  <w:tcMar>
                    <w:left w:w="28" w:type="dxa"/>
                    <w:right w:w="28" w:type="dxa"/>
                  </w:tcMar>
                  <w:vAlign w:val="center"/>
                  <w:hideMark/>
                </w:tcPr>
                <w:p w:rsidRPr="00EF309A" w:rsidR="00C37549" w:rsidP="004C0636" w:rsidRDefault="00C37549" w14:paraId="06C9F0A6" w14:textId="4A09F983">
                  <w:pPr>
                    <w:jc w:val="center"/>
                    <w:rPr>
                      <w:color w:val="000000"/>
                      <w:sz w:val="18"/>
                      <w:szCs w:val="18"/>
                    </w:rPr>
                  </w:pPr>
                  <w:r w:rsidRPr="00EF309A">
                    <w:rPr>
                      <w:color w:val="000000"/>
                      <w:sz w:val="18"/>
                      <w:szCs w:val="18"/>
                    </w:rPr>
                    <w:t>24 000</w:t>
                  </w:r>
                </w:p>
              </w:tc>
              <w:tc>
                <w:tcPr>
                  <w:tcW w:w="992" w:type="dxa"/>
                  <w:shd w:val="clear" w:color="auto" w:fill="auto"/>
                  <w:noWrap/>
                  <w:tcMar>
                    <w:left w:w="28" w:type="dxa"/>
                    <w:right w:w="28" w:type="dxa"/>
                  </w:tcMar>
                  <w:vAlign w:val="center"/>
                  <w:hideMark/>
                </w:tcPr>
                <w:p w:rsidRPr="00EF309A" w:rsidR="00C37549" w:rsidP="004C0636" w:rsidRDefault="00C37549" w14:paraId="0C21B972" w14:textId="549D6196">
                  <w:pPr>
                    <w:jc w:val="center"/>
                    <w:rPr>
                      <w:color w:val="000000"/>
                      <w:sz w:val="18"/>
                      <w:szCs w:val="18"/>
                    </w:rPr>
                  </w:pPr>
                  <w:r w:rsidRPr="00EF309A">
                    <w:rPr>
                      <w:color w:val="000000"/>
                      <w:sz w:val="18"/>
                      <w:szCs w:val="18"/>
                    </w:rPr>
                    <w:t>24 000</w:t>
                  </w:r>
                </w:p>
              </w:tc>
              <w:tc>
                <w:tcPr>
                  <w:tcW w:w="1134" w:type="dxa"/>
                  <w:shd w:val="clear" w:color="auto" w:fill="auto"/>
                  <w:noWrap/>
                  <w:tcMar>
                    <w:left w:w="28" w:type="dxa"/>
                    <w:right w:w="28" w:type="dxa"/>
                  </w:tcMar>
                  <w:vAlign w:val="center"/>
                  <w:hideMark/>
                </w:tcPr>
                <w:p w:rsidRPr="00EF309A" w:rsidR="00C37549" w:rsidP="004C0636" w:rsidRDefault="00C37549" w14:paraId="5224D7FE" w14:textId="12D29C38">
                  <w:pPr>
                    <w:jc w:val="center"/>
                    <w:rPr>
                      <w:color w:val="000000"/>
                      <w:sz w:val="18"/>
                      <w:szCs w:val="18"/>
                    </w:rPr>
                  </w:pPr>
                  <w:r w:rsidRPr="00EF309A">
                    <w:rPr>
                      <w:sz w:val="18"/>
                      <w:szCs w:val="18"/>
                    </w:rPr>
                    <w:t>8 000</w:t>
                  </w:r>
                </w:p>
              </w:tc>
            </w:tr>
            <w:tr w:rsidRPr="00EF309A" w:rsidR="00C37549" w:rsidTr="00624F66" w14:paraId="2EDC0516" w14:textId="77777777">
              <w:trPr>
                <w:trHeight w:val="190"/>
              </w:trPr>
              <w:tc>
                <w:tcPr>
                  <w:tcW w:w="3074" w:type="dxa"/>
                  <w:shd w:val="clear" w:color="auto" w:fill="auto"/>
                  <w:tcMar>
                    <w:left w:w="28" w:type="dxa"/>
                    <w:right w:w="28" w:type="dxa"/>
                  </w:tcMar>
                  <w:vAlign w:val="center"/>
                  <w:hideMark/>
                </w:tcPr>
                <w:p w:rsidRPr="00EF309A" w:rsidR="00C37549" w:rsidP="00843B1C" w:rsidRDefault="00C37549" w14:paraId="37350413" w14:textId="77777777">
                  <w:pPr>
                    <w:rPr>
                      <w:color w:val="000000"/>
                      <w:sz w:val="18"/>
                      <w:szCs w:val="18"/>
                    </w:rPr>
                  </w:pPr>
                  <w:r w:rsidRPr="00EF309A">
                    <w:rPr>
                      <w:color w:val="000000"/>
                      <w:sz w:val="18"/>
                      <w:szCs w:val="18"/>
                    </w:rPr>
                    <w:t>Ārpakalpojumi</w:t>
                  </w:r>
                </w:p>
              </w:tc>
              <w:tc>
                <w:tcPr>
                  <w:tcW w:w="1065" w:type="dxa"/>
                  <w:shd w:val="clear" w:color="auto" w:fill="auto"/>
                  <w:noWrap/>
                  <w:tcMar>
                    <w:left w:w="28" w:type="dxa"/>
                    <w:right w:w="28" w:type="dxa"/>
                  </w:tcMar>
                  <w:vAlign w:val="center"/>
                  <w:hideMark/>
                </w:tcPr>
                <w:p w:rsidRPr="00EF309A" w:rsidR="00C37549" w:rsidP="004C0636" w:rsidRDefault="00C37549" w14:paraId="07EA1177" w14:textId="6048F925">
                  <w:pPr>
                    <w:jc w:val="center"/>
                    <w:rPr>
                      <w:color w:val="000000"/>
                      <w:sz w:val="18"/>
                      <w:szCs w:val="18"/>
                    </w:rPr>
                  </w:pPr>
                  <w:r w:rsidRPr="00EF309A">
                    <w:rPr>
                      <w:color w:val="000000"/>
                      <w:sz w:val="18"/>
                      <w:szCs w:val="18"/>
                    </w:rPr>
                    <w:t>24 000</w:t>
                  </w:r>
                </w:p>
              </w:tc>
              <w:tc>
                <w:tcPr>
                  <w:tcW w:w="992" w:type="dxa"/>
                  <w:shd w:val="clear" w:color="auto" w:fill="auto"/>
                  <w:noWrap/>
                  <w:tcMar>
                    <w:left w:w="28" w:type="dxa"/>
                    <w:right w:w="28" w:type="dxa"/>
                  </w:tcMar>
                  <w:vAlign w:val="center"/>
                  <w:hideMark/>
                </w:tcPr>
                <w:p w:rsidRPr="00EF309A" w:rsidR="00C37549" w:rsidP="004C0636" w:rsidRDefault="00C37549" w14:paraId="39ACBD6D" w14:textId="68FB6D2F">
                  <w:pPr>
                    <w:jc w:val="center"/>
                    <w:rPr>
                      <w:color w:val="000000"/>
                      <w:sz w:val="18"/>
                      <w:szCs w:val="18"/>
                    </w:rPr>
                  </w:pPr>
                  <w:r w:rsidRPr="00EF309A">
                    <w:rPr>
                      <w:color w:val="000000"/>
                      <w:sz w:val="18"/>
                      <w:szCs w:val="18"/>
                    </w:rPr>
                    <w:t>24 000</w:t>
                  </w:r>
                </w:p>
              </w:tc>
              <w:tc>
                <w:tcPr>
                  <w:tcW w:w="992" w:type="dxa"/>
                  <w:shd w:val="clear" w:color="auto" w:fill="auto"/>
                  <w:noWrap/>
                  <w:tcMar>
                    <w:left w:w="28" w:type="dxa"/>
                    <w:right w:w="28" w:type="dxa"/>
                  </w:tcMar>
                  <w:vAlign w:val="center"/>
                  <w:hideMark/>
                </w:tcPr>
                <w:p w:rsidRPr="00EF309A" w:rsidR="00C37549" w:rsidP="004C0636" w:rsidRDefault="00C37549" w14:paraId="32EBC51B" w14:textId="348E0768">
                  <w:pPr>
                    <w:jc w:val="center"/>
                    <w:rPr>
                      <w:color w:val="000000"/>
                      <w:sz w:val="18"/>
                      <w:szCs w:val="18"/>
                    </w:rPr>
                  </w:pPr>
                  <w:r w:rsidRPr="00EF309A">
                    <w:rPr>
                      <w:color w:val="000000"/>
                      <w:sz w:val="18"/>
                      <w:szCs w:val="18"/>
                    </w:rPr>
                    <w:t>24 000</w:t>
                  </w:r>
                </w:p>
              </w:tc>
              <w:tc>
                <w:tcPr>
                  <w:tcW w:w="1134" w:type="dxa"/>
                  <w:shd w:val="clear" w:color="auto" w:fill="auto"/>
                  <w:noWrap/>
                  <w:tcMar>
                    <w:left w:w="28" w:type="dxa"/>
                    <w:right w:w="28" w:type="dxa"/>
                  </w:tcMar>
                  <w:vAlign w:val="center"/>
                  <w:hideMark/>
                </w:tcPr>
                <w:p w:rsidRPr="00EF309A" w:rsidR="00C37549" w:rsidP="004C0636" w:rsidRDefault="00C37549" w14:paraId="78657504" w14:textId="34BFC851">
                  <w:pPr>
                    <w:jc w:val="center"/>
                    <w:rPr>
                      <w:color w:val="000000"/>
                      <w:sz w:val="18"/>
                      <w:szCs w:val="18"/>
                    </w:rPr>
                  </w:pPr>
                  <w:r w:rsidRPr="00EF309A">
                    <w:rPr>
                      <w:sz w:val="18"/>
                      <w:szCs w:val="18"/>
                    </w:rPr>
                    <w:t>8 000</w:t>
                  </w:r>
                </w:p>
              </w:tc>
            </w:tr>
            <w:tr w:rsidRPr="00EF309A" w:rsidR="00C37549" w:rsidTr="00624F66" w14:paraId="4EBD9391" w14:textId="77777777">
              <w:trPr>
                <w:trHeight w:val="268"/>
              </w:trPr>
              <w:tc>
                <w:tcPr>
                  <w:tcW w:w="3074" w:type="dxa"/>
                  <w:shd w:val="clear" w:color="auto" w:fill="auto"/>
                  <w:tcMar>
                    <w:left w:w="28" w:type="dxa"/>
                    <w:right w:w="28" w:type="dxa"/>
                  </w:tcMar>
                  <w:vAlign w:val="center"/>
                  <w:hideMark/>
                </w:tcPr>
                <w:p w:rsidRPr="00EF309A" w:rsidR="00C37549" w:rsidP="00843B1C" w:rsidRDefault="00C37549" w14:paraId="49BBE692" w14:textId="77777777">
                  <w:pPr>
                    <w:rPr>
                      <w:color w:val="000000"/>
                      <w:sz w:val="18"/>
                      <w:szCs w:val="18"/>
                    </w:rPr>
                  </w:pPr>
                  <w:r w:rsidRPr="00EF309A">
                    <w:rPr>
                      <w:color w:val="000000"/>
                      <w:sz w:val="18"/>
                      <w:szCs w:val="18"/>
                    </w:rPr>
                    <w:t>Komandējumu izmaksas</w:t>
                  </w:r>
                </w:p>
              </w:tc>
              <w:tc>
                <w:tcPr>
                  <w:tcW w:w="1065" w:type="dxa"/>
                  <w:shd w:val="clear" w:color="auto" w:fill="auto"/>
                  <w:noWrap/>
                  <w:tcMar>
                    <w:left w:w="28" w:type="dxa"/>
                    <w:right w:w="28" w:type="dxa"/>
                  </w:tcMar>
                  <w:vAlign w:val="center"/>
                  <w:hideMark/>
                </w:tcPr>
                <w:p w:rsidRPr="00EF309A" w:rsidR="00C37549" w:rsidP="004C0636" w:rsidRDefault="00C37549" w14:paraId="4889571D" w14:textId="20240EA6">
                  <w:pPr>
                    <w:jc w:val="center"/>
                    <w:rPr>
                      <w:color w:val="000000"/>
                      <w:sz w:val="18"/>
                      <w:szCs w:val="18"/>
                    </w:rPr>
                  </w:pPr>
                  <w:r w:rsidRPr="00EF309A">
                    <w:rPr>
                      <w:color w:val="000000"/>
                      <w:sz w:val="18"/>
                      <w:szCs w:val="18"/>
                    </w:rPr>
                    <w:t>40 740</w:t>
                  </w:r>
                </w:p>
              </w:tc>
              <w:tc>
                <w:tcPr>
                  <w:tcW w:w="992" w:type="dxa"/>
                  <w:shd w:val="clear" w:color="auto" w:fill="auto"/>
                  <w:noWrap/>
                  <w:tcMar>
                    <w:left w:w="28" w:type="dxa"/>
                    <w:right w:w="28" w:type="dxa"/>
                  </w:tcMar>
                  <w:vAlign w:val="center"/>
                  <w:hideMark/>
                </w:tcPr>
                <w:p w:rsidRPr="00EF309A" w:rsidR="00C37549" w:rsidP="004C0636" w:rsidRDefault="00C37549" w14:paraId="57DFD8D6" w14:textId="040C97EF">
                  <w:pPr>
                    <w:jc w:val="center"/>
                    <w:rPr>
                      <w:color w:val="000000"/>
                      <w:sz w:val="18"/>
                      <w:szCs w:val="18"/>
                    </w:rPr>
                  </w:pPr>
                  <w:r w:rsidRPr="00EF309A">
                    <w:rPr>
                      <w:color w:val="000000"/>
                      <w:sz w:val="18"/>
                      <w:szCs w:val="18"/>
                    </w:rPr>
                    <w:t>40 740</w:t>
                  </w:r>
                </w:p>
              </w:tc>
              <w:tc>
                <w:tcPr>
                  <w:tcW w:w="992" w:type="dxa"/>
                  <w:shd w:val="clear" w:color="auto" w:fill="auto"/>
                  <w:noWrap/>
                  <w:tcMar>
                    <w:left w:w="28" w:type="dxa"/>
                    <w:right w:w="28" w:type="dxa"/>
                  </w:tcMar>
                  <w:vAlign w:val="center"/>
                  <w:hideMark/>
                </w:tcPr>
                <w:p w:rsidRPr="00EF309A" w:rsidR="00C37549" w:rsidP="004C0636" w:rsidRDefault="00C37549" w14:paraId="418E79C3" w14:textId="56EB1CCC">
                  <w:pPr>
                    <w:jc w:val="center"/>
                    <w:rPr>
                      <w:color w:val="000000"/>
                      <w:sz w:val="18"/>
                      <w:szCs w:val="18"/>
                    </w:rPr>
                  </w:pPr>
                  <w:r w:rsidRPr="00EF309A">
                    <w:rPr>
                      <w:color w:val="000000"/>
                      <w:sz w:val="18"/>
                      <w:szCs w:val="18"/>
                    </w:rPr>
                    <w:t>40 740</w:t>
                  </w:r>
                </w:p>
              </w:tc>
              <w:tc>
                <w:tcPr>
                  <w:tcW w:w="1134" w:type="dxa"/>
                  <w:shd w:val="clear" w:color="auto" w:fill="auto"/>
                  <w:noWrap/>
                  <w:tcMar>
                    <w:left w:w="28" w:type="dxa"/>
                    <w:right w:w="28" w:type="dxa"/>
                  </w:tcMar>
                  <w:vAlign w:val="center"/>
                  <w:hideMark/>
                </w:tcPr>
                <w:p w:rsidRPr="00EF309A" w:rsidR="00C37549" w:rsidP="004C0636" w:rsidRDefault="00C37549" w14:paraId="24BB2D80" w14:textId="3C749934">
                  <w:pPr>
                    <w:jc w:val="center"/>
                    <w:rPr>
                      <w:color w:val="000000"/>
                      <w:sz w:val="18"/>
                      <w:szCs w:val="18"/>
                    </w:rPr>
                  </w:pPr>
                  <w:r w:rsidRPr="00EF309A">
                    <w:rPr>
                      <w:sz w:val="18"/>
                      <w:szCs w:val="18"/>
                    </w:rPr>
                    <w:t>13 580</w:t>
                  </w:r>
                </w:p>
              </w:tc>
            </w:tr>
            <w:tr w:rsidRPr="00EF309A" w:rsidR="00C37549" w:rsidTr="00624F66" w14:paraId="5405FBD8" w14:textId="77777777">
              <w:trPr>
                <w:trHeight w:val="131"/>
              </w:trPr>
              <w:tc>
                <w:tcPr>
                  <w:tcW w:w="3074" w:type="dxa"/>
                  <w:shd w:val="clear" w:color="auto" w:fill="auto"/>
                  <w:tcMar>
                    <w:left w:w="28" w:type="dxa"/>
                    <w:right w:w="28" w:type="dxa"/>
                  </w:tcMar>
                  <w:vAlign w:val="center"/>
                  <w:hideMark/>
                </w:tcPr>
                <w:p w:rsidRPr="00EF309A" w:rsidR="00C37549" w:rsidP="00843B1C" w:rsidRDefault="00C37549" w14:paraId="59D2EE40" w14:textId="77777777">
                  <w:pPr>
                    <w:rPr>
                      <w:color w:val="000000"/>
                      <w:sz w:val="18"/>
                      <w:szCs w:val="18"/>
                    </w:rPr>
                  </w:pPr>
                  <w:r w:rsidRPr="00EF309A">
                    <w:rPr>
                      <w:color w:val="000000"/>
                      <w:sz w:val="18"/>
                      <w:szCs w:val="18"/>
                    </w:rPr>
                    <w:t>Sanāksmju izmaksas</w:t>
                  </w:r>
                </w:p>
              </w:tc>
              <w:tc>
                <w:tcPr>
                  <w:tcW w:w="1065" w:type="dxa"/>
                  <w:shd w:val="clear" w:color="auto" w:fill="auto"/>
                  <w:noWrap/>
                  <w:tcMar>
                    <w:left w:w="28" w:type="dxa"/>
                    <w:right w:w="28" w:type="dxa"/>
                  </w:tcMar>
                  <w:vAlign w:val="center"/>
                  <w:hideMark/>
                </w:tcPr>
                <w:p w:rsidRPr="00EF309A" w:rsidR="00C37549" w:rsidP="004C0636" w:rsidRDefault="00C37549" w14:paraId="0C0AFF85" w14:textId="7E74E6F0">
                  <w:pPr>
                    <w:jc w:val="center"/>
                    <w:rPr>
                      <w:color w:val="000000"/>
                      <w:sz w:val="18"/>
                      <w:szCs w:val="18"/>
                    </w:rPr>
                  </w:pPr>
                  <w:r w:rsidRPr="00EF309A">
                    <w:rPr>
                      <w:color w:val="000000"/>
                      <w:sz w:val="18"/>
                      <w:szCs w:val="18"/>
                    </w:rPr>
                    <w:t>6 000</w:t>
                  </w:r>
                </w:p>
              </w:tc>
              <w:tc>
                <w:tcPr>
                  <w:tcW w:w="992" w:type="dxa"/>
                  <w:shd w:val="clear" w:color="auto" w:fill="auto"/>
                  <w:noWrap/>
                  <w:tcMar>
                    <w:left w:w="28" w:type="dxa"/>
                    <w:right w:w="28" w:type="dxa"/>
                  </w:tcMar>
                  <w:vAlign w:val="center"/>
                  <w:hideMark/>
                </w:tcPr>
                <w:p w:rsidRPr="00EF309A" w:rsidR="00C37549" w:rsidP="004C0636" w:rsidRDefault="00C37549" w14:paraId="1CF944DF" w14:textId="1EFB60D4">
                  <w:pPr>
                    <w:jc w:val="center"/>
                    <w:rPr>
                      <w:color w:val="000000"/>
                      <w:sz w:val="18"/>
                      <w:szCs w:val="18"/>
                    </w:rPr>
                  </w:pPr>
                  <w:r w:rsidRPr="00EF309A">
                    <w:rPr>
                      <w:color w:val="000000"/>
                      <w:sz w:val="18"/>
                      <w:szCs w:val="18"/>
                    </w:rPr>
                    <w:t>6 000</w:t>
                  </w:r>
                </w:p>
              </w:tc>
              <w:tc>
                <w:tcPr>
                  <w:tcW w:w="992" w:type="dxa"/>
                  <w:shd w:val="clear" w:color="auto" w:fill="auto"/>
                  <w:noWrap/>
                  <w:tcMar>
                    <w:left w:w="28" w:type="dxa"/>
                    <w:right w:w="28" w:type="dxa"/>
                  </w:tcMar>
                  <w:vAlign w:val="center"/>
                  <w:hideMark/>
                </w:tcPr>
                <w:p w:rsidRPr="00EF309A" w:rsidR="00C37549" w:rsidP="004C0636" w:rsidRDefault="00C37549" w14:paraId="21D3D14A" w14:textId="2796D533">
                  <w:pPr>
                    <w:jc w:val="center"/>
                    <w:rPr>
                      <w:color w:val="000000"/>
                      <w:sz w:val="18"/>
                      <w:szCs w:val="18"/>
                    </w:rPr>
                  </w:pPr>
                  <w:r w:rsidRPr="00EF309A">
                    <w:rPr>
                      <w:color w:val="000000"/>
                      <w:sz w:val="18"/>
                      <w:szCs w:val="18"/>
                    </w:rPr>
                    <w:t>6 000</w:t>
                  </w:r>
                </w:p>
              </w:tc>
              <w:tc>
                <w:tcPr>
                  <w:tcW w:w="1134" w:type="dxa"/>
                  <w:shd w:val="clear" w:color="auto" w:fill="auto"/>
                  <w:noWrap/>
                  <w:tcMar>
                    <w:left w:w="28" w:type="dxa"/>
                    <w:right w:w="28" w:type="dxa"/>
                  </w:tcMar>
                  <w:vAlign w:val="center"/>
                  <w:hideMark/>
                </w:tcPr>
                <w:p w:rsidRPr="00EF309A" w:rsidR="00C37549" w:rsidP="004C0636" w:rsidRDefault="00C37549" w14:paraId="5F677BC4" w14:textId="60262832">
                  <w:pPr>
                    <w:jc w:val="center"/>
                    <w:rPr>
                      <w:color w:val="000000"/>
                      <w:sz w:val="18"/>
                      <w:szCs w:val="18"/>
                    </w:rPr>
                  </w:pPr>
                  <w:r w:rsidRPr="00EF309A">
                    <w:rPr>
                      <w:sz w:val="18"/>
                      <w:szCs w:val="18"/>
                    </w:rPr>
                    <w:t>2 000</w:t>
                  </w:r>
                </w:p>
              </w:tc>
            </w:tr>
            <w:tr w:rsidRPr="00EF309A" w:rsidR="00C37549" w:rsidTr="00624F66" w14:paraId="625D499B" w14:textId="77777777">
              <w:trPr>
                <w:trHeight w:val="54"/>
              </w:trPr>
              <w:tc>
                <w:tcPr>
                  <w:tcW w:w="3074" w:type="dxa"/>
                  <w:shd w:val="clear" w:color="auto" w:fill="auto"/>
                  <w:tcMar>
                    <w:left w:w="28" w:type="dxa"/>
                    <w:right w:w="28" w:type="dxa"/>
                  </w:tcMar>
                  <w:vAlign w:val="center"/>
                  <w:hideMark/>
                </w:tcPr>
                <w:p w:rsidRPr="00EF309A" w:rsidR="00C37549" w:rsidP="00843B1C" w:rsidRDefault="00C37549" w14:paraId="049B703A" w14:textId="77777777">
                  <w:pPr>
                    <w:rPr>
                      <w:color w:val="000000"/>
                      <w:sz w:val="18"/>
                      <w:szCs w:val="18"/>
                    </w:rPr>
                  </w:pPr>
                  <w:r w:rsidRPr="00EF309A">
                    <w:rPr>
                      <w:color w:val="000000"/>
                      <w:sz w:val="18"/>
                      <w:szCs w:val="18"/>
                    </w:rPr>
                    <w:t xml:space="preserve">Citas izmaksas saistītas ar padomes </w:t>
                  </w:r>
                  <w:proofErr w:type="spellStart"/>
                  <w:r w:rsidRPr="00EF309A">
                    <w:rPr>
                      <w:color w:val="000000"/>
                      <w:sz w:val="18"/>
                      <w:szCs w:val="18"/>
                    </w:rPr>
                    <w:t>darbīību</w:t>
                  </w:r>
                  <w:proofErr w:type="spellEnd"/>
                </w:p>
              </w:tc>
              <w:tc>
                <w:tcPr>
                  <w:tcW w:w="1065" w:type="dxa"/>
                  <w:shd w:val="clear" w:color="auto" w:fill="auto"/>
                  <w:noWrap/>
                  <w:tcMar>
                    <w:left w:w="28" w:type="dxa"/>
                    <w:right w:w="28" w:type="dxa"/>
                  </w:tcMar>
                  <w:vAlign w:val="center"/>
                  <w:hideMark/>
                </w:tcPr>
                <w:p w:rsidRPr="00EF309A" w:rsidR="00C37549" w:rsidP="004C0636" w:rsidRDefault="00C37549" w14:paraId="5A2D23FB" w14:textId="7CC23100">
                  <w:pPr>
                    <w:jc w:val="center"/>
                    <w:rPr>
                      <w:color w:val="000000"/>
                      <w:sz w:val="18"/>
                      <w:szCs w:val="18"/>
                    </w:rPr>
                  </w:pPr>
                  <w:r w:rsidRPr="00EF309A">
                    <w:rPr>
                      <w:color w:val="000000"/>
                      <w:sz w:val="18"/>
                      <w:szCs w:val="18"/>
                    </w:rPr>
                    <w:t>15 000</w:t>
                  </w:r>
                </w:p>
              </w:tc>
              <w:tc>
                <w:tcPr>
                  <w:tcW w:w="992" w:type="dxa"/>
                  <w:shd w:val="clear" w:color="auto" w:fill="auto"/>
                  <w:noWrap/>
                  <w:tcMar>
                    <w:left w:w="28" w:type="dxa"/>
                    <w:right w:w="28" w:type="dxa"/>
                  </w:tcMar>
                  <w:vAlign w:val="center"/>
                  <w:hideMark/>
                </w:tcPr>
                <w:p w:rsidRPr="00EF309A" w:rsidR="00C37549" w:rsidP="004C0636" w:rsidRDefault="00C37549" w14:paraId="10CA35E5" w14:textId="69C58A4E">
                  <w:pPr>
                    <w:jc w:val="center"/>
                    <w:rPr>
                      <w:color w:val="000000"/>
                      <w:sz w:val="18"/>
                      <w:szCs w:val="18"/>
                    </w:rPr>
                  </w:pPr>
                  <w:r w:rsidRPr="00EF309A">
                    <w:rPr>
                      <w:color w:val="000000"/>
                      <w:sz w:val="18"/>
                      <w:szCs w:val="18"/>
                    </w:rPr>
                    <w:t>15 000</w:t>
                  </w:r>
                </w:p>
              </w:tc>
              <w:tc>
                <w:tcPr>
                  <w:tcW w:w="992" w:type="dxa"/>
                  <w:shd w:val="clear" w:color="auto" w:fill="auto"/>
                  <w:noWrap/>
                  <w:tcMar>
                    <w:left w:w="28" w:type="dxa"/>
                    <w:right w:w="28" w:type="dxa"/>
                  </w:tcMar>
                  <w:vAlign w:val="center"/>
                  <w:hideMark/>
                </w:tcPr>
                <w:p w:rsidRPr="00EF309A" w:rsidR="00C37549" w:rsidP="004C0636" w:rsidRDefault="00C37549" w14:paraId="38824046" w14:textId="21E90E6E">
                  <w:pPr>
                    <w:jc w:val="center"/>
                    <w:rPr>
                      <w:color w:val="000000"/>
                      <w:sz w:val="18"/>
                      <w:szCs w:val="18"/>
                    </w:rPr>
                  </w:pPr>
                  <w:r w:rsidRPr="00EF309A">
                    <w:rPr>
                      <w:color w:val="000000"/>
                      <w:sz w:val="18"/>
                      <w:szCs w:val="18"/>
                    </w:rPr>
                    <w:t>15 000</w:t>
                  </w:r>
                </w:p>
              </w:tc>
              <w:tc>
                <w:tcPr>
                  <w:tcW w:w="1134" w:type="dxa"/>
                  <w:shd w:val="clear" w:color="auto" w:fill="auto"/>
                  <w:noWrap/>
                  <w:tcMar>
                    <w:left w:w="28" w:type="dxa"/>
                    <w:right w:w="28" w:type="dxa"/>
                  </w:tcMar>
                  <w:vAlign w:val="center"/>
                  <w:hideMark/>
                </w:tcPr>
                <w:p w:rsidRPr="00EF309A" w:rsidR="00C37549" w:rsidP="004C0636" w:rsidRDefault="00C37549" w14:paraId="2F53B702" w14:textId="32E0EADE">
                  <w:pPr>
                    <w:jc w:val="center"/>
                    <w:rPr>
                      <w:color w:val="000000"/>
                      <w:sz w:val="18"/>
                      <w:szCs w:val="18"/>
                    </w:rPr>
                  </w:pPr>
                  <w:r w:rsidRPr="00EF309A">
                    <w:rPr>
                      <w:sz w:val="18"/>
                      <w:szCs w:val="18"/>
                    </w:rPr>
                    <w:t>5 000</w:t>
                  </w:r>
                </w:p>
              </w:tc>
            </w:tr>
            <w:tr w:rsidRPr="00EF309A" w:rsidR="00C37549" w:rsidTr="00624F66" w14:paraId="50BEB786" w14:textId="77777777">
              <w:trPr>
                <w:trHeight w:val="287"/>
              </w:trPr>
              <w:tc>
                <w:tcPr>
                  <w:tcW w:w="3074" w:type="dxa"/>
                  <w:shd w:val="clear" w:color="auto" w:fill="auto"/>
                  <w:tcMar>
                    <w:left w:w="28" w:type="dxa"/>
                    <w:right w:w="28" w:type="dxa"/>
                  </w:tcMar>
                  <w:vAlign w:val="center"/>
                  <w:hideMark/>
                </w:tcPr>
                <w:p w:rsidRPr="00EF309A" w:rsidR="00C37549" w:rsidP="00843B1C" w:rsidRDefault="00C37549" w14:paraId="2FDDA0F1" w14:textId="77777777">
                  <w:pPr>
                    <w:rPr>
                      <w:color w:val="000000"/>
                      <w:sz w:val="18"/>
                      <w:szCs w:val="18"/>
                    </w:rPr>
                  </w:pPr>
                  <w:r w:rsidRPr="00EF309A">
                    <w:rPr>
                      <w:color w:val="000000"/>
                      <w:sz w:val="18"/>
                      <w:szCs w:val="18"/>
                    </w:rPr>
                    <w:t>Citas projektam pieskaitāmas netiešās izmaksas</w:t>
                  </w:r>
                </w:p>
              </w:tc>
              <w:tc>
                <w:tcPr>
                  <w:tcW w:w="1065" w:type="dxa"/>
                  <w:shd w:val="clear" w:color="auto" w:fill="auto"/>
                  <w:noWrap/>
                  <w:tcMar>
                    <w:left w:w="28" w:type="dxa"/>
                    <w:right w:w="28" w:type="dxa"/>
                  </w:tcMar>
                  <w:vAlign w:val="center"/>
                  <w:hideMark/>
                </w:tcPr>
                <w:p w:rsidRPr="00EF309A" w:rsidR="00C37549" w:rsidP="004C0636" w:rsidRDefault="00C37549" w14:paraId="64740B06" w14:textId="2D723DD7">
                  <w:pPr>
                    <w:jc w:val="center"/>
                    <w:rPr>
                      <w:color w:val="000000"/>
                      <w:sz w:val="18"/>
                      <w:szCs w:val="18"/>
                    </w:rPr>
                  </w:pPr>
                  <w:r w:rsidRPr="00EF309A">
                    <w:rPr>
                      <w:color w:val="000000"/>
                      <w:sz w:val="18"/>
                      <w:szCs w:val="18"/>
                    </w:rPr>
                    <w:t>121 227</w:t>
                  </w:r>
                </w:p>
              </w:tc>
              <w:tc>
                <w:tcPr>
                  <w:tcW w:w="992" w:type="dxa"/>
                  <w:shd w:val="clear" w:color="auto" w:fill="auto"/>
                  <w:noWrap/>
                  <w:tcMar>
                    <w:left w:w="28" w:type="dxa"/>
                    <w:right w:w="28" w:type="dxa"/>
                  </w:tcMar>
                  <w:vAlign w:val="center"/>
                  <w:hideMark/>
                </w:tcPr>
                <w:p w:rsidRPr="00EF309A" w:rsidR="00C37549" w:rsidP="004C0636" w:rsidRDefault="00C37549" w14:paraId="52D7DE57" w14:textId="0B79DBF2">
                  <w:pPr>
                    <w:jc w:val="center"/>
                    <w:rPr>
                      <w:color w:val="000000"/>
                      <w:sz w:val="18"/>
                      <w:szCs w:val="18"/>
                    </w:rPr>
                  </w:pPr>
                  <w:r w:rsidRPr="00EF309A">
                    <w:rPr>
                      <w:color w:val="000000"/>
                      <w:sz w:val="18"/>
                      <w:szCs w:val="18"/>
                    </w:rPr>
                    <w:t>121 227</w:t>
                  </w:r>
                </w:p>
              </w:tc>
              <w:tc>
                <w:tcPr>
                  <w:tcW w:w="992" w:type="dxa"/>
                  <w:shd w:val="clear" w:color="auto" w:fill="auto"/>
                  <w:noWrap/>
                  <w:tcMar>
                    <w:left w:w="28" w:type="dxa"/>
                    <w:right w:w="28" w:type="dxa"/>
                  </w:tcMar>
                  <w:vAlign w:val="center"/>
                  <w:hideMark/>
                </w:tcPr>
                <w:p w:rsidRPr="00EF309A" w:rsidR="00C37549" w:rsidP="004C0636" w:rsidRDefault="00C37549" w14:paraId="3E797E6E" w14:textId="26058581">
                  <w:pPr>
                    <w:jc w:val="center"/>
                    <w:rPr>
                      <w:color w:val="000000"/>
                      <w:sz w:val="18"/>
                      <w:szCs w:val="18"/>
                    </w:rPr>
                  </w:pPr>
                  <w:r w:rsidRPr="00EF309A">
                    <w:rPr>
                      <w:color w:val="000000"/>
                      <w:sz w:val="18"/>
                      <w:szCs w:val="18"/>
                    </w:rPr>
                    <w:t>121 227</w:t>
                  </w:r>
                </w:p>
              </w:tc>
              <w:tc>
                <w:tcPr>
                  <w:tcW w:w="1134" w:type="dxa"/>
                  <w:shd w:val="clear" w:color="auto" w:fill="auto"/>
                  <w:noWrap/>
                  <w:tcMar>
                    <w:left w:w="28" w:type="dxa"/>
                    <w:right w:w="28" w:type="dxa"/>
                  </w:tcMar>
                  <w:vAlign w:val="center"/>
                  <w:hideMark/>
                </w:tcPr>
                <w:p w:rsidRPr="00EF309A" w:rsidR="00C37549" w:rsidP="004C0636" w:rsidRDefault="00C37549" w14:paraId="1159D375" w14:textId="799F2548">
                  <w:pPr>
                    <w:jc w:val="center"/>
                    <w:rPr>
                      <w:color w:val="000000"/>
                      <w:sz w:val="18"/>
                      <w:szCs w:val="18"/>
                    </w:rPr>
                  </w:pPr>
                  <w:r w:rsidRPr="00EF309A">
                    <w:rPr>
                      <w:sz w:val="18"/>
                      <w:szCs w:val="18"/>
                    </w:rPr>
                    <w:t>40 409</w:t>
                  </w:r>
                </w:p>
              </w:tc>
            </w:tr>
            <w:tr w:rsidRPr="00EF309A" w:rsidR="00C37549" w:rsidTr="00624F66" w14:paraId="40B53904" w14:textId="77777777">
              <w:trPr>
                <w:trHeight w:val="315"/>
              </w:trPr>
              <w:tc>
                <w:tcPr>
                  <w:tcW w:w="3074" w:type="dxa"/>
                  <w:shd w:val="clear" w:color="auto" w:fill="auto"/>
                  <w:noWrap/>
                  <w:tcMar>
                    <w:left w:w="28" w:type="dxa"/>
                    <w:right w:w="28" w:type="dxa"/>
                  </w:tcMar>
                  <w:vAlign w:val="center"/>
                  <w:hideMark/>
                </w:tcPr>
                <w:p w:rsidRPr="00EF309A" w:rsidR="00C37549" w:rsidP="00923A3D" w:rsidRDefault="00C37549" w14:paraId="3F93804C" w14:textId="77777777">
                  <w:pPr>
                    <w:rPr>
                      <w:color w:val="000000"/>
                      <w:sz w:val="18"/>
                      <w:szCs w:val="18"/>
                    </w:rPr>
                  </w:pPr>
                  <w:r w:rsidRPr="00EF309A">
                    <w:rPr>
                      <w:color w:val="000000"/>
                      <w:sz w:val="18"/>
                      <w:szCs w:val="18"/>
                    </w:rPr>
                    <w:t> Kopā</w:t>
                  </w:r>
                </w:p>
              </w:tc>
              <w:tc>
                <w:tcPr>
                  <w:tcW w:w="1065" w:type="dxa"/>
                  <w:shd w:val="clear" w:color="auto" w:fill="auto"/>
                  <w:noWrap/>
                  <w:tcMar>
                    <w:left w:w="28" w:type="dxa"/>
                    <w:right w:w="28" w:type="dxa"/>
                  </w:tcMar>
                  <w:vAlign w:val="center"/>
                  <w:hideMark/>
                </w:tcPr>
                <w:p w:rsidRPr="00EF309A" w:rsidR="00C37549" w:rsidP="004C0636" w:rsidRDefault="00C37549" w14:paraId="18ADBDAD" w14:textId="61792545">
                  <w:pPr>
                    <w:jc w:val="center"/>
                    <w:rPr>
                      <w:b/>
                      <w:bCs/>
                      <w:color w:val="000000"/>
                      <w:sz w:val="18"/>
                      <w:szCs w:val="18"/>
                    </w:rPr>
                  </w:pPr>
                  <w:r w:rsidRPr="00EF309A">
                    <w:rPr>
                      <w:b/>
                      <w:bCs/>
                      <w:color w:val="000000"/>
                      <w:sz w:val="18"/>
                      <w:szCs w:val="18"/>
                    </w:rPr>
                    <w:t>543 457</w:t>
                  </w:r>
                </w:p>
              </w:tc>
              <w:tc>
                <w:tcPr>
                  <w:tcW w:w="992" w:type="dxa"/>
                  <w:shd w:val="clear" w:color="auto" w:fill="auto"/>
                  <w:noWrap/>
                  <w:tcMar>
                    <w:left w:w="28" w:type="dxa"/>
                    <w:right w:w="28" w:type="dxa"/>
                  </w:tcMar>
                  <w:vAlign w:val="center"/>
                  <w:hideMark/>
                </w:tcPr>
                <w:p w:rsidRPr="00EF309A" w:rsidR="00C37549" w:rsidP="004C0636" w:rsidRDefault="00C37549" w14:paraId="5C52560F" w14:textId="3A9063A3">
                  <w:pPr>
                    <w:jc w:val="center"/>
                    <w:rPr>
                      <w:b/>
                      <w:bCs/>
                      <w:color w:val="000000"/>
                      <w:sz w:val="18"/>
                      <w:szCs w:val="18"/>
                    </w:rPr>
                  </w:pPr>
                  <w:r w:rsidRPr="00EF309A">
                    <w:rPr>
                      <w:b/>
                      <w:bCs/>
                      <w:color w:val="000000"/>
                      <w:sz w:val="18"/>
                      <w:szCs w:val="18"/>
                    </w:rPr>
                    <w:t>543 457</w:t>
                  </w:r>
                </w:p>
              </w:tc>
              <w:tc>
                <w:tcPr>
                  <w:tcW w:w="992" w:type="dxa"/>
                  <w:shd w:val="clear" w:color="auto" w:fill="auto"/>
                  <w:noWrap/>
                  <w:tcMar>
                    <w:left w:w="28" w:type="dxa"/>
                    <w:right w:w="28" w:type="dxa"/>
                  </w:tcMar>
                  <w:vAlign w:val="center"/>
                  <w:hideMark/>
                </w:tcPr>
                <w:p w:rsidRPr="00EF309A" w:rsidR="00C37549" w:rsidP="004C0636" w:rsidRDefault="00C37549" w14:paraId="5DBC70D6" w14:textId="111971F1">
                  <w:pPr>
                    <w:jc w:val="center"/>
                    <w:rPr>
                      <w:b/>
                      <w:bCs/>
                      <w:color w:val="000000"/>
                      <w:sz w:val="18"/>
                      <w:szCs w:val="18"/>
                    </w:rPr>
                  </w:pPr>
                  <w:r w:rsidRPr="00EF309A">
                    <w:rPr>
                      <w:b/>
                      <w:bCs/>
                      <w:color w:val="000000"/>
                      <w:sz w:val="18"/>
                      <w:szCs w:val="18"/>
                    </w:rPr>
                    <w:t>543 457</w:t>
                  </w:r>
                </w:p>
              </w:tc>
              <w:tc>
                <w:tcPr>
                  <w:tcW w:w="1134" w:type="dxa"/>
                  <w:shd w:val="clear" w:color="auto" w:fill="auto"/>
                  <w:noWrap/>
                  <w:tcMar>
                    <w:left w:w="28" w:type="dxa"/>
                    <w:right w:w="28" w:type="dxa"/>
                  </w:tcMar>
                  <w:vAlign w:val="center"/>
                  <w:hideMark/>
                </w:tcPr>
                <w:p w:rsidRPr="00EF309A" w:rsidR="00C37549" w:rsidP="004C0636" w:rsidRDefault="00C37549" w14:paraId="7127C4B0" w14:textId="696624CE">
                  <w:pPr>
                    <w:jc w:val="center"/>
                    <w:rPr>
                      <w:b/>
                      <w:bCs/>
                      <w:color w:val="000000"/>
                      <w:sz w:val="18"/>
                      <w:szCs w:val="18"/>
                    </w:rPr>
                  </w:pPr>
                  <w:r w:rsidRPr="00EF309A">
                    <w:rPr>
                      <w:b/>
                      <w:bCs/>
                      <w:color w:val="000000"/>
                      <w:sz w:val="18"/>
                      <w:szCs w:val="18"/>
                    </w:rPr>
                    <w:t>181 152</w:t>
                  </w:r>
                </w:p>
              </w:tc>
            </w:tr>
          </w:tbl>
          <w:p w:rsidR="00C37549" w:rsidP="00923A3D" w:rsidRDefault="00C37549" w14:paraId="4E698805" w14:textId="77777777">
            <w:pPr>
              <w:jc w:val="both"/>
            </w:pPr>
          </w:p>
          <w:p w:rsidRPr="00050438" w:rsidR="009536E7" w:rsidP="009536E7" w:rsidRDefault="00C37549" w14:paraId="729808B5" w14:textId="5E90B98C">
            <w:pPr>
              <w:jc w:val="both"/>
            </w:pPr>
            <w:r w:rsidRPr="00050438">
              <w:t>Ņemot vērā iepriekš minēto</w:t>
            </w:r>
            <w:r w:rsidR="008A2936">
              <w:t>,</w:t>
            </w:r>
            <w:r w:rsidRPr="00050438" w:rsidR="005A71B2">
              <w:t xml:space="preserve"> no valsts budžeta papildu nepieciešamais finansējums</w:t>
            </w:r>
            <w:r w:rsidRPr="00050438" w:rsidR="00D34CBB">
              <w:t>:</w:t>
            </w:r>
            <w:r w:rsidRPr="00050438" w:rsidR="009536E7">
              <w:t xml:space="preserve"> </w:t>
            </w:r>
          </w:p>
          <w:p w:rsidR="005A71B2" w:rsidP="005A71B2" w:rsidRDefault="005A71B2" w14:paraId="40B616A4" w14:textId="2E845499">
            <w:pPr>
              <w:jc w:val="both"/>
            </w:pPr>
          </w:p>
          <w:tbl>
            <w:tblPr>
              <w:tblStyle w:val="TableGrid"/>
              <w:tblW w:w="0" w:type="auto"/>
              <w:tblLayout w:type="fixed"/>
              <w:tblLook w:val="04A0" w:firstRow="1" w:lastRow="0" w:firstColumn="1" w:lastColumn="0" w:noHBand="0" w:noVBand="1"/>
            </w:tblPr>
            <w:tblGrid>
              <w:gridCol w:w="2932"/>
              <w:gridCol w:w="1276"/>
              <w:gridCol w:w="1134"/>
              <w:gridCol w:w="992"/>
              <w:gridCol w:w="1019"/>
            </w:tblGrid>
            <w:tr w:rsidRPr="00050438" w:rsidR="009536E7" w:rsidTr="00050438" w14:paraId="110322E7" w14:textId="77777777">
              <w:tc>
                <w:tcPr>
                  <w:tcW w:w="2932" w:type="dxa"/>
                  <w:shd w:val="clear" w:color="auto" w:fill="D9D9D9" w:themeFill="background1" w:themeFillShade="D9"/>
                </w:tcPr>
                <w:p w:rsidRPr="00050438" w:rsidR="009536E7" w:rsidP="00050438" w:rsidRDefault="009536E7" w14:paraId="3CE0D882" w14:textId="77777777">
                  <w:pPr>
                    <w:jc w:val="center"/>
                    <w:rPr>
                      <w:sz w:val="18"/>
                      <w:szCs w:val="18"/>
                    </w:rPr>
                  </w:pPr>
                </w:p>
              </w:tc>
              <w:tc>
                <w:tcPr>
                  <w:tcW w:w="1276" w:type="dxa"/>
                  <w:shd w:val="clear" w:color="auto" w:fill="D9D9D9" w:themeFill="background1" w:themeFillShade="D9"/>
                </w:tcPr>
                <w:p w:rsidRPr="00050438" w:rsidR="009536E7" w:rsidP="00050438" w:rsidRDefault="009536E7" w14:paraId="18DECDBE" w14:textId="413BB3DE">
                  <w:pPr>
                    <w:jc w:val="center"/>
                    <w:rPr>
                      <w:sz w:val="18"/>
                      <w:szCs w:val="18"/>
                    </w:rPr>
                  </w:pPr>
                  <w:r w:rsidRPr="00050438">
                    <w:rPr>
                      <w:sz w:val="18"/>
                      <w:szCs w:val="18"/>
                    </w:rPr>
                    <w:t>2020</w:t>
                  </w:r>
                </w:p>
              </w:tc>
              <w:tc>
                <w:tcPr>
                  <w:tcW w:w="1134" w:type="dxa"/>
                  <w:shd w:val="clear" w:color="auto" w:fill="D9D9D9" w:themeFill="background1" w:themeFillShade="D9"/>
                </w:tcPr>
                <w:p w:rsidRPr="00050438" w:rsidR="009536E7" w:rsidP="00050438" w:rsidRDefault="009536E7" w14:paraId="3687B5AF" w14:textId="43D71BA0">
                  <w:pPr>
                    <w:jc w:val="center"/>
                    <w:rPr>
                      <w:sz w:val="18"/>
                      <w:szCs w:val="18"/>
                    </w:rPr>
                  </w:pPr>
                  <w:r w:rsidRPr="00050438">
                    <w:rPr>
                      <w:sz w:val="18"/>
                      <w:szCs w:val="18"/>
                    </w:rPr>
                    <w:t>2021</w:t>
                  </w:r>
                </w:p>
              </w:tc>
              <w:tc>
                <w:tcPr>
                  <w:tcW w:w="992" w:type="dxa"/>
                  <w:shd w:val="clear" w:color="auto" w:fill="D9D9D9" w:themeFill="background1" w:themeFillShade="D9"/>
                </w:tcPr>
                <w:p w:rsidRPr="00050438" w:rsidR="009536E7" w:rsidP="00050438" w:rsidRDefault="009536E7" w14:paraId="0F51D53E" w14:textId="421BBA83">
                  <w:pPr>
                    <w:jc w:val="center"/>
                    <w:rPr>
                      <w:sz w:val="18"/>
                      <w:szCs w:val="18"/>
                    </w:rPr>
                  </w:pPr>
                  <w:r w:rsidRPr="00050438">
                    <w:rPr>
                      <w:sz w:val="18"/>
                      <w:szCs w:val="18"/>
                    </w:rPr>
                    <w:t>2022</w:t>
                  </w:r>
                </w:p>
              </w:tc>
              <w:tc>
                <w:tcPr>
                  <w:tcW w:w="1019" w:type="dxa"/>
                  <w:shd w:val="clear" w:color="auto" w:fill="D9D9D9" w:themeFill="background1" w:themeFillShade="D9"/>
                </w:tcPr>
                <w:p w:rsidRPr="00050438" w:rsidR="009536E7" w:rsidP="00050438" w:rsidRDefault="009536E7" w14:paraId="516E56C2" w14:textId="6E34793A">
                  <w:pPr>
                    <w:jc w:val="center"/>
                    <w:rPr>
                      <w:sz w:val="18"/>
                      <w:szCs w:val="18"/>
                    </w:rPr>
                  </w:pPr>
                  <w:r w:rsidRPr="00050438">
                    <w:rPr>
                      <w:sz w:val="18"/>
                      <w:szCs w:val="18"/>
                    </w:rPr>
                    <w:t>2023</w:t>
                  </w:r>
                </w:p>
              </w:tc>
            </w:tr>
            <w:tr w:rsidRPr="00050438" w:rsidR="00976DA3" w:rsidTr="00050438" w14:paraId="5692AADD" w14:textId="77777777">
              <w:tc>
                <w:tcPr>
                  <w:tcW w:w="2932" w:type="dxa"/>
                </w:tcPr>
                <w:p w:rsidRPr="00050438" w:rsidR="00976DA3" w:rsidP="00976DA3" w:rsidRDefault="00976DA3" w14:paraId="405EA3E7" w14:textId="6FE3A92C">
                  <w:pPr>
                    <w:jc w:val="both"/>
                    <w:rPr>
                      <w:sz w:val="18"/>
                      <w:szCs w:val="18"/>
                    </w:rPr>
                  </w:pPr>
                  <w:r w:rsidRPr="00050438">
                    <w:rPr>
                      <w:sz w:val="18"/>
                      <w:szCs w:val="18"/>
                    </w:rPr>
                    <w:t>RBR aktivitāšu PVN 21%</w:t>
                  </w:r>
                </w:p>
              </w:tc>
              <w:tc>
                <w:tcPr>
                  <w:tcW w:w="1276" w:type="dxa"/>
                  <w:vAlign w:val="center"/>
                </w:tcPr>
                <w:p w:rsidRPr="00050438" w:rsidR="00976DA3" w:rsidP="00050438" w:rsidRDefault="00976DA3" w14:paraId="09C2A04D" w14:textId="02880C21">
                  <w:pPr>
                    <w:jc w:val="right"/>
                    <w:rPr>
                      <w:sz w:val="18"/>
                      <w:szCs w:val="18"/>
                    </w:rPr>
                  </w:pPr>
                  <w:r w:rsidRPr="00976DA3">
                    <w:rPr>
                      <w:color w:val="000000"/>
                      <w:sz w:val="18"/>
                      <w:szCs w:val="18"/>
                    </w:rPr>
                    <w:t>2 475 886</w:t>
                  </w:r>
                </w:p>
              </w:tc>
              <w:tc>
                <w:tcPr>
                  <w:tcW w:w="1134" w:type="dxa"/>
                  <w:vAlign w:val="center"/>
                </w:tcPr>
                <w:p w:rsidRPr="00050438" w:rsidR="00976DA3" w:rsidP="00050438" w:rsidRDefault="00976DA3" w14:paraId="0A8C531D" w14:textId="38460536">
                  <w:pPr>
                    <w:jc w:val="right"/>
                    <w:rPr>
                      <w:sz w:val="18"/>
                      <w:szCs w:val="18"/>
                    </w:rPr>
                  </w:pPr>
                  <w:r w:rsidRPr="00976DA3">
                    <w:rPr>
                      <w:color w:val="000000"/>
                      <w:sz w:val="18"/>
                      <w:szCs w:val="18"/>
                    </w:rPr>
                    <w:t>2 916 010</w:t>
                  </w:r>
                </w:p>
              </w:tc>
              <w:tc>
                <w:tcPr>
                  <w:tcW w:w="992" w:type="dxa"/>
                  <w:vAlign w:val="center"/>
                </w:tcPr>
                <w:p w:rsidRPr="00050438" w:rsidR="00976DA3" w:rsidP="00050438" w:rsidRDefault="00976DA3" w14:paraId="445D284C" w14:textId="7142BD70">
                  <w:pPr>
                    <w:jc w:val="right"/>
                    <w:rPr>
                      <w:sz w:val="18"/>
                      <w:szCs w:val="18"/>
                    </w:rPr>
                  </w:pPr>
                  <w:r w:rsidRPr="00976DA3">
                    <w:rPr>
                      <w:color w:val="000000"/>
                      <w:sz w:val="18"/>
                      <w:szCs w:val="18"/>
                    </w:rPr>
                    <w:t>2 334 568</w:t>
                  </w:r>
                </w:p>
              </w:tc>
              <w:tc>
                <w:tcPr>
                  <w:tcW w:w="1019" w:type="dxa"/>
                  <w:vAlign w:val="center"/>
                </w:tcPr>
                <w:p w:rsidRPr="00050438" w:rsidR="00976DA3" w:rsidP="00050438" w:rsidRDefault="00976DA3" w14:paraId="44DFBE41" w14:textId="286A53D8">
                  <w:pPr>
                    <w:jc w:val="right"/>
                    <w:rPr>
                      <w:sz w:val="18"/>
                      <w:szCs w:val="18"/>
                    </w:rPr>
                  </w:pPr>
                  <w:r w:rsidRPr="00976DA3">
                    <w:rPr>
                      <w:color w:val="000000"/>
                      <w:sz w:val="18"/>
                      <w:szCs w:val="18"/>
                    </w:rPr>
                    <w:t>2 220 475</w:t>
                  </w:r>
                </w:p>
              </w:tc>
            </w:tr>
            <w:tr w:rsidRPr="00050438" w:rsidR="009536E7" w:rsidTr="00050438" w14:paraId="725D0207" w14:textId="77777777">
              <w:tc>
                <w:tcPr>
                  <w:tcW w:w="2932" w:type="dxa"/>
                </w:tcPr>
                <w:p w:rsidRPr="00050438" w:rsidR="009536E7" w:rsidP="005A71B2" w:rsidRDefault="00976DA3" w14:paraId="1DFDD891" w14:textId="0F743C8F">
                  <w:pPr>
                    <w:jc w:val="both"/>
                    <w:rPr>
                      <w:sz w:val="18"/>
                      <w:szCs w:val="18"/>
                    </w:rPr>
                  </w:pPr>
                  <w:r w:rsidRPr="00050438">
                    <w:rPr>
                      <w:sz w:val="18"/>
                      <w:szCs w:val="18"/>
                    </w:rPr>
                    <w:t>RB Projekta pārvaldības izmaksām</w:t>
                  </w:r>
                </w:p>
              </w:tc>
              <w:tc>
                <w:tcPr>
                  <w:tcW w:w="1276" w:type="dxa"/>
                  <w:vAlign w:val="center"/>
                </w:tcPr>
                <w:p w:rsidRPr="00050438" w:rsidR="009536E7" w:rsidP="00050438" w:rsidRDefault="00976DA3" w14:paraId="2E69E5A1" w14:textId="050FC54F">
                  <w:pPr>
                    <w:jc w:val="right"/>
                    <w:rPr>
                      <w:sz w:val="18"/>
                      <w:szCs w:val="18"/>
                    </w:rPr>
                  </w:pPr>
                  <w:r w:rsidRPr="00050438">
                    <w:rPr>
                      <w:sz w:val="18"/>
                      <w:szCs w:val="18"/>
                    </w:rPr>
                    <w:t>181 152</w:t>
                  </w:r>
                </w:p>
              </w:tc>
              <w:tc>
                <w:tcPr>
                  <w:tcW w:w="1134" w:type="dxa"/>
                  <w:vAlign w:val="center"/>
                </w:tcPr>
                <w:p w:rsidRPr="00050438" w:rsidR="009536E7" w:rsidP="00050438" w:rsidRDefault="00976DA3" w14:paraId="2F9B18BF" w14:textId="555BFE0B">
                  <w:pPr>
                    <w:jc w:val="right"/>
                    <w:rPr>
                      <w:sz w:val="18"/>
                      <w:szCs w:val="18"/>
                    </w:rPr>
                  </w:pPr>
                  <w:r w:rsidRPr="00050438">
                    <w:rPr>
                      <w:sz w:val="18"/>
                      <w:szCs w:val="18"/>
                    </w:rPr>
                    <w:t>181 152</w:t>
                  </w:r>
                </w:p>
              </w:tc>
              <w:tc>
                <w:tcPr>
                  <w:tcW w:w="992" w:type="dxa"/>
                  <w:vAlign w:val="center"/>
                </w:tcPr>
                <w:p w:rsidRPr="00050438" w:rsidR="009536E7" w:rsidP="00050438" w:rsidRDefault="00976DA3" w14:paraId="6C112742" w14:textId="7E7E7FE7">
                  <w:pPr>
                    <w:jc w:val="right"/>
                    <w:rPr>
                      <w:sz w:val="18"/>
                      <w:szCs w:val="18"/>
                    </w:rPr>
                  </w:pPr>
                  <w:r w:rsidRPr="00050438">
                    <w:rPr>
                      <w:sz w:val="18"/>
                      <w:szCs w:val="18"/>
                    </w:rPr>
                    <w:t>181 152</w:t>
                  </w:r>
                </w:p>
              </w:tc>
              <w:tc>
                <w:tcPr>
                  <w:tcW w:w="1019" w:type="dxa"/>
                  <w:vAlign w:val="center"/>
                </w:tcPr>
                <w:p w:rsidRPr="00050438" w:rsidR="009536E7" w:rsidP="00050438" w:rsidRDefault="00976DA3" w14:paraId="691C00F1" w14:textId="580A68E3">
                  <w:pPr>
                    <w:jc w:val="right"/>
                    <w:rPr>
                      <w:sz w:val="18"/>
                      <w:szCs w:val="18"/>
                    </w:rPr>
                  </w:pPr>
                  <w:r w:rsidRPr="00050438">
                    <w:rPr>
                      <w:sz w:val="18"/>
                      <w:szCs w:val="18"/>
                    </w:rPr>
                    <w:t>181 152</w:t>
                  </w:r>
                </w:p>
              </w:tc>
            </w:tr>
            <w:tr w:rsidRPr="00050438" w:rsidR="00976DA3" w:rsidTr="00050438" w14:paraId="0CD9043A" w14:textId="77777777">
              <w:tc>
                <w:tcPr>
                  <w:tcW w:w="2932" w:type="dxa"/>
                </w:tcPr>
                <w:p w:rsidRPr="00050438" w:rsidR="00976DA3" w:rsidP="00976DA3" w:rsidRDefault="00976DA3" w14:paraId="53B1C5AA" w14:textId="5C06B78C">
                  <w:pPr>
                    <w:jc w:val="both"/>
                    <w:rPr>
                      <w:sz w:val="18"/>
                      <w:szCs w:val="18"/>
                    </w:rPr>
                  </w:pPr>
                  <w:r w:rsidRPr="00050438">
                    <w:rPr>
                      <w:sz w:val="18"/>
                      <w:szCs w:val="18"/>
                    </w:rPr>
                    <w:t>KOPĀ</w:t>
                  </w:r>
                </w:p>
              </w:tc>
              <w:tc>
                <w:tcPr>
                  <w:tcW w:w="1276" w:type="dxa"/>
                  <w:vAlign w:val="center"/>
                </w:tcPr>
                <w:p w:rsidRPr="00050438" w:rsidR="00976DA3" w:rsidP="00050438" w:rsidRDefault="00976DA3" w14:paraId="65F8DB61" w14:textId="020CBF73">
                  <w:pPr>
                    <w:jc w:val="right"/>
                    <w:rPr>
                      <w:sz w:val="18"/>
                      <w:szCs w:val="18"/>
                    </w:rPr>
                  </w:pPr>
                  <w:r w:rsidRPr="00050438">
                    <w:rPr>
                      <w:color w:val="000000"/>
                      <w:sz w:val="18"/>
                      <w:szCs w:val="18"/>
                    </w:rPr>
                    <w:t>2 657 038</w:t>
                  </w:r>
                </w:p>
              </w:tc>
              <w:tc>
                <w:tcPr>
                  <w:tcW w:w="1134" w:type="dxa"/>
                  <w:vAlign w:val="center"/>
                </w:tcPr>
                <w:p w:rsidRPr="00050438" w:rsidR="00976DA3" w:rsidP="00050438" w:rsidRDefault="00976DA3" w14:paraId="1705032A" w14:textId="3E194F1B">
                  <w:pPr>
                    <w:jc w:val="right"/>
                    <w:rPr>
                      <w:sz w:val="18"/>
                      <w:szCs w:val="18"/>
                    </w:rPr>
                  </w:pPr>
                  <w:r w:rsidRPr="00050438">
                    <w:rPr>
                      <w:color w:val="000000"/>
                      <w:sz w:val="18"/>
                      <w:szCs w:val="18"/>
                    </w:rPr>
                    <w:t>3 097 162</w:t>
                  </w:r>
                </w:p>
              </w:tc>
              <w:tc>
                <w:tcPr>
                  <w:tcW w:w="992" w:type="dxa"/>
                  <w:vAlign w:val="center"/>
                </w:tcPr>
                <w:p w:rsidRPr="00050438" w:rsidR="00976DA3" w:rsidP="00050438" w:rsidRDefault="00976DA3" w14:paraId="36571D74" w14:textId="6BFC9EB7">
                  <w:pPr>
                    <w:jc w:val="right"/>
                    <w:rPr>
                      <w:sz w:val="18"/>
                      <w:szCs w:val="18"/>
                    </w:rPr>
                  </w:pPr>
                  <w:r w:rsidRPr="00050438">
                    <w:rPr>
                      <w:color w:val="000000"/>
                      <w:sz w:val="18"/>
                      <w:szCs w:val="18"/>
                    </w:rPr>
                    <w:t>2 515 720</w:t>
                  </w:r>
                </w:p>
              </w:tc>
              <w:tc>
                <w:tcPr>
                  <w:tcW w:w="1019" w:type="dxa"/>
                  <w:vAlign w:val="center"/>
                </w:tcPr>
                <w:p w:rsidRPr="00050438" w:rsidR="00976DA3" w:rsidP="00050438" w:rsidRDefault="00976DA3" w14:paraId="4711B1A6" w14:textId="5561D681">
                  <w:pPr>
                    <w:jc w:val="right"/>
                    <w:rPr>
                      <w:sz w:val="18"/>
                      <w:szCs w:val="18"/>
                    </w:rPr>
                  </w:pPr>
                  <w:r w:rsidRPr="00050438">
                    <w:rPr>
                      <w:color w:val="000000"/>
                      <w:sz w:val="18"/>
                      <w:szCs w:val="18"/>
                    </w:rPr>
                    <w:t>2 401 627</w:t>
                  </w:r>
                </w:p>
              </w:tc>
            </w:tr>
          </w:tbl>
          <w:p w:rsidR="005A71B2" w:rsidP="005A71B2" w:rsidRDefault="005A71B2" w14:paraId="535332E5" w14:textId="77777777">
            <w:pPr>
              <w:jc w:val="both"/>
            </w:pPr>
          </w:p>
          <w:p w:rsidRPr="004F4C6C" w:rsidR="005A71B2" w:rsidP="00575250" w:rsidRDefault="005A71B2" w14:paraId="4DE347D2" w14:textId="3B775167">
            <w:pPr>
              <w:jc w:val="both"/>
            </w:pPr>
          </w:p>
        </w:tc>
      </w:tr>
      <w:tr w:rsidRPr="00825345" w:rsidR="00C37549" w:rsidTr="000B0091" w14:paraId="326C451E" w14:textId="77777777">
        <w:trPr>
          <w:trHeight w:val="78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C37549" w:rsidP="00923A3D" w:rsidRDefault="00C37549" w14:paraId="7DBEC3EB" w14:textId="77777777">
            <w:r w:rsidRPr="00821079">
              <w:t>6.1. detalizēts ieņēmumu aprēķins</w:t>
            </w:r>
          </w:p>
        </w:tc>
        <w:tc>
          <w:tcPr>
            <w:tcW w:w="7295" w:type="dxa"/>
            <w:gridSpan w:val="7"/>
            <w:vMerge/>
            <w:tcBorders>
              <w:left w:val="single" w:color="auto" w:sz="4" w:space="0"/>
              <w:right w:val="single" w:color="auto" w:sz="4" w:space="0"/>
            </w:tcBorders>
            <w:shd w:val="clear" w:color="auto" w:fill="auto"/>
            <w:vAlign w:val="center"/>
          </w:tcPr>
          <w:p w:rsidRPr="004F4C6C" w:rsidR="00C37549" w:rsidP="00923A3D" w:rsidRDefault="00C37549" w14:paraId="1A6F1458" w14:textId="77777777"/>
        </w:tc>
      </w:tr>
      <w:tr w:rsidRPr="00825345" w:rsidR="00C37549" w:rsidTr="000B0091" w14:paraId="461D2132" w14:textId="77777777">
        <w:trPr>
          <w:trHeight w:val="11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C37549" w:rsidP="00923A3D" w:rsidRDefault="00C37549" w14:paraId="7EA45EDF" w14:textId="77777777">
            <w:r w:rsidRPr="00821079">
              <w:t>6.2. detalizēts izdevumu aprēķins</w:t>
            </w:r>
          </w:p>
        </w:tc>
        <w:tc>
          <w:tcPr>
            <w:tcW w:w="7295" w:type="dxa"/>
            <w:gridSpan w:val="7"/>
            <w:vMerge/>
            <w:tcBorders>
              <w:left w:val="single" w:color="auto" w:sz="4" w:space="0"/>
              <w:bottom w:val="single" w:color="auto" w:sz="4" w:space="0"/>
              <w:right w:val="single" w:color="auto" w:sz="4" w:space="0"/>
            </w:tcBorders>
            <w:shd w:val="clear" w:color="auto" w:fill="auto"/>
            <w:vAlign w:val="center"/>
          </w:tcPr>
          <w:p w:rsidRPr="004F4C6C" w:rsidR="00C37549" w:rsidP="00923A3D" w:rsidRDefault="00C37549" w14:paraId="02D87C17" w14:textId="77777777"/>
        </w:tc>
      </w:tr>
      <w:tr w:rsidRPr="00825345" w:rsidR="00923A3D" w:rsidTr="000B0091" w14:paraId="3981880B"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923A3D" w:rsidP="00923A3D" w:rsidRDefault="00923A3D" w14:paraId="668F66C3" w14:textId="77777777">
            <w:r w:rsidRPr="00821079">
              <w:lastRenderedPageBreak/>
              <w:t>7. Amata vietu skaita izmaiņas</w:t>
            </w:r>
          </w:p>
        </w:tc>
        <w:tc>
          <w:tcPr>
            <w:tcW w:w="7295" w:type="dxa"/>
            <w:gridSpan w:val="7"/>
            <w:tcBorders>
              <w:top w:val="single" w:color="auto" w:sz="4" w:space="0"/>
              <w:left w:val="single" w:color="auto" w:sz="4" w:space="0"/>
              <w:bottom w:val="single" w:color="auto" w:sz="4" w:space="0"/>
              <w:right w:val="single" w:color="auto" w:sz="4" w:space="0"/>
            </w:tcBorders>
            <w:shd w:val="clear" w:color="auto" w:fill="auto"/>
          </w:tcPr>
          <w:p w:rsidRPr="00821079" w:rsidR="00923A3D" w:rsidP="00923A3D" w:rsidRDefault="00923A3D" w14:paraId="26663164" w14:textId="77777777">
            <w:r w:rsidRPr="00821079">
              <w:t>Nav attiecināms.</w:t>
            </w:r>
          </w:p>
        </w:tc>
      </w:tr>
      <w:tr w:rsidRPr="00825345" w:rsidR="00923A3D" w:rsidTr="000B0091" w14:paraId="5F40463A"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923A3D" w:rsidP="00923A3D" w:rsidRDefault="00923A3D" w14:paraId="394CE91C" w14:textId="77777777">
            <w:r w:rsidRPr="00821079">
              <w:t>8. Cita informācija</w:t>
            </w:r>
          </w:p>
        </w:tc>
        <w:tc>
          <w:tcPr>
            <w:tcW w:w="7295" w:type="dxa"/>
            <w:gridSpan w:val="7"/>
            <w:tcBorders>
              <w:top w:val="single" w:color="auto" w:sz="4" w:space="0"/>
              <w:left w:val="single" w:color="auto" w:sz="4" w:space="0"/>
              <w:bottom w:val="single" w:color="auto" w:sz="4" w:space="0"/>
              <w:right w:val="single" w:color="auto" w:sz="4" w:space="0"/>
            </w:tcBorders>
            <w:shd w:val="clear" w:color="auto" w:fill="auto"/>
            <w:hideMark/>
          </w:tcPr>
          <w:p w:rsidR="00897F33" w:rsidP="00923A3D" w:rsidRDefault="00923A3D" w14:paraId="181935B1" w14:textId="77777777">
            <w:pPr>
              <w:jc w:val="both"/>
              <w:rPr>
                <w:rFonts w:eastAsia="Calibri"/>
              </w:rPr>
            </w:pPr>
            <w:r>
              <w:rPr>
                <w:rFonts w:eastAsia="Calibri"/>
              </w:rPr>
              <w:t>Projektam ir ietekme uz valsts budžeta izdevumiem, jo ir paredzamas vairākas izdevumu kategorijas, kurām nebūs fiskāli neitrāla ietekme, piemēram, RB Projekta pārvaldības izmaksas. PVN maksājumu kompensēšanai nav ietekme uz valsts budžetu pēc naudas plūsmas, jo PVN maksājumi, kurus ir saņēmuši Latvijas PVN maksātāji vai tiešā veidā valsts budžets, jau ir ieskaitīti Latvijas valsts budžetā.</w:t>
            </w:r>
            <w:r w:rsidR="00B25557">
              <w:rPr>
                <w:rFonts w:eastAsia="Calibri"/>
              </w:rPr>
              <w:t xml:space="preserve"> </w:t>
            </w:r>
          </w:p>
          <w:p w:rsidR="00923A3D" w:rsidP="00923A3D" w:rsidRDefault="00897F33" w14:paraId="346C130D" w14:textId="77777777">
            <w:pPr>
              <w:jc w:val="both"/>
            </w:pPr>
            <w:r w:rsidRPr="00897F33">
              <w:rPr>
                <w:rFonts w:eastAsia="Calibri"/>
              </w:rPr>
              <w:t xml:space="preserve">Tā kā </w:t>
            </w:r>
            <w:r w:rsidRPr="00897F33" w:rsidR="00B25557">
              <w:t>RBR nav citu ieņēmumu kā EISI finansējums un dalībvalstu līdzfinansējums projekta aktivitāšu ieviešanai, Baltijas valstis vienādās daļās 33.33% apmērā finansē projekta pārvaldības izmaksas.</w:t>
            </w:r>
          </w:p>
          <w:p w:rsidRPr="00050438" w:rsidR="00575250" w:rsidP="00575250" w:rsidRDefault="00575250" w14:paraId="47914675" w14:textId="4AB13013">
            <w:pPr>
              <w:jc w:val="both"/>
            </w:pPr>
            <w:r w:rsidRPr="00050438">
              <w:t>2020.gadam papildu nepieciešamais finansējums tiks pieprasīts no 74. resora "Gadskārtējā valsts budžeta izpildes procesā pārdalāmais finansējums" 80.00.00 programmā "Nesadalītais finansējums Eiropas Savienības politiku instrumentu un pārējās ārvalstu finanšu palīdzības līdzfinansēto projektu un pasākumu īstenošanai", ja būs faktiski nepieciešams, ievērojot 2020.gadā vēl plānoto projekta maksājumus, ja tiks pieņemts atsevišķs MK lēmums.</w:t>
            </w:r>
          </w:p>
          <w:p w:rsidRPr="00050438" w:rsidR="00575250" w:rsidP="00575250" w:rsidRDefault="00575250" w14:paraId="13B69A0B" w14:textId="2EEA61FB">
            <w:pPr>
              <w:jc w:val="both"/>
              <w:rPr>
                <w:sz w:val="22"/>
                <w:szCs w:val="22"/>
              </w:rPr>
            </w:pPr>
            <w:r w:rsidRPr="00050438">
              <w:t>Turpmākajiem gadiem arī finansējums tiks pieprasīts no iepriekšminētās 80.00.00 programmas, ja par to būs pieņemts atsevišķs MK lēmums.</w:t>
            </w:r>
          </w:p>
        </w:tc>
      </w:tr>
    </w:tbl>
    <w:p w:rsidR="00D63E48" w:rsidP="00551A0F" w:rsidRDefault="00D63E48" w14:paraId="74383B24" w14:textId="77777777"/>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265EEE" w:rsidR="0094189D" w:rsidTr="00B44E39" w14:paraId="49519A8B" w14:textId="77777777">
        <w:trPr>
          <w:trHeight w:val="361"/>
          <w:jc w:val="center"/>
        </w:trPr>
        <w:tc>
          <w:tcPr>
            <w:tcW w:w="9117" w:type="dxa"/>
            <w:vAlign w:val="center"/>
          </w:tcPr>
          <w:p w:rsidRPr="00265EEE" w:rsidR="0094189D" w:rsidP="00B44E39" w:rsidRDefault="0094189D" w14:paraId="49BBEBCB" w14:textId="77777777">
            <w:pPr>
              <w:pStyle w:val="naisnod"/>
              <w:spacing w:before="0" w:beforeAutospacing="0" w:after="0" w:afterAutospacing="0"/>
              <w:jc w:val="center"/>
              <w:rPr>
                <w:b/>
                <w:i/>
              </w:rPr>
            </w:pPr>
            <w:r w:rsidRPr="00265EEE">
              <w:rPr>
                <w:b/>
                <w:bCs/>
              </w:rPr>
              <w:t>IV. Tiesību akta projekta ietekme uz spēkā esošo tiesību normu sistēmu</w:t>
            </w:r>
          </w:p>
        </w:tc>
      </w:tr>
      <w:tr w:rsidRPr="00265EEE" w:rsidR="0094189D" w:rsidTr="00B44E39" w14:paraId="2E80174D" w14:textId="77777777">
        <w:trPr>
          <w:trHeight w:val="361"/>
          <w:jc w:val="center"/>
        </w:trPr>
        <w:tc>
          <w:tcPr>
            <w:tcW w:w="9117" w:type="dxa"/>
            <w:vAlign w:val="center"/>
          </w:tcPr>
          <w:p w:rsidRPr="00265EEE" w:rsidR="0094189D" w:rsidP="00B44E39" w:rsidRDefault="0094189D" w14:paraId="5AA2B17E" w14:textId="77777777">
            <w:pPr>
              <w:pStyle w:val="naisnod"/>
              <w:spacing w:before="0" w:beforeAutospacing="0" w:after="0" w:afterAutospacing="0"/>
              <w:jc w:val="center"/>
            </w:pPr>
            <w:r w:rsidRPr="00265EEE">
              <w:rPr>
                <w:bCs/>
                <w:iCs/>
              </w:rPr>
              <w:t>Projekts šo jomu neskar</w:t>
            </w:r>
            <w:r w:rsidRPr="00265EEE">
              <w:t>.</w:t>
            </w:r>
          </w:p>
        </w:tc>
      </w:tr>
    </w:tbl>
    <w:p w:rsidR="00551A0F" w:rsidP="00551A0F" w:rsidRDefault="00551A0F" w14:paraId="030AA75D" w14:textId="77777777"/>
    <w:tbl>
      <w:tblPr>
        <w:tblW w:w="5007" w:type="pct"/>
        <w:tblInd w:w="-3"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8"/>
      </w:tblGrid>
      <w:tr w:rsidR="00E023A2" w:rsidTr="00E023A2" w14:paraId="28D5E0D5" w14:textId="77777777">
        <w:trPr>
          <w:trHeight w:val="555"/>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E023A2" w:rsidRDefault="00E023A2" w14:paraId="797F6F18" w14:textId="77777777">
            <w:pPr>
              <w:spacing w:before="100" w:beforeAutospacing="1" w:after="100" w:afterAutospacing="1" w:line="293" w:lineRule="atLeast"/>
              <w:jc w:val="center"/>
              <w:rPr>
                <w:b/>
                <w:bCs/>
              </w:rPr>
            </w:pPr>
            <w:r>
              <w:t> </w:t>
            </w:r>
            <w:r>
              <w:rPr>
                <w:b/>
                <w:bCs/>
              </w:rPr>
              <w:t>V. Tiesību akta projekta atbilstība Latvijas Republikas starptautiskajām saistībām</w:t>
            </w:r>
          </w:p>
        </w:tc>
      </w:tr>
      <w:tr w:rsidR="00E023A2" w:rsidTr="00CD4F77" w14:paraId="3559AD39" w14:textId="77777777">
        <w:trPr>
          <w:trHeight w:val="206"/>
        </w:trPr>
        <w:tc>
          <w:tcPr>
            <w:tcW w:w="5000" w:type="pct"/>
            <w:tcBorders>
              <w:top w:val="outset" w:color="414142" w:sz="6" w:space="0"/>
              <w:left w:val="outset" w:color="414142" w:sz="6" w:space="0"/>
              <w:bottom w:val="outset" w:color="414142" w:sz="6" w:space="0"/>
              <w:right w:val="outset" w:color="414142" w:sz="6" w:space="0"/>
            </w:tcBorders>
            <w:hideMark/>
          </w:tcPr>
          <w:p w:rsidR="00E023A2" w:rsidRDefault="001211A0" w14:paraId="301F219F" w14:textId="46A45674">
            <w:pPr>
              <w:jc w:val="center"/>
            </w:pPr>
            <w:r>
              <w:t>P</w:t>
            </w:r>
            <w:r w:rsidR="00E023A2">
              <w:t>rojekts šo jomu neskar.</w:t>
            </w:r>
          </w:p>
        </w:tc>
      </w:tr>
    </w:tbl>
    <w:p w:rsidR="003E5142" w:rsidP="003E5142" w:rsidRDefault="003E5142" w14:paraId="0100AC40" w14:textId="252F61C5"/>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110"/>
      </w:tblGrid>
      <w:tr w:rsidRPr="00265EEE" w:rsidR="00551A0F" w:rsidTr="00FB6748" w14:paraId="1BDEFF8B" w14:textId="77777777">
        <w:trPr>
          <w:trHeight w:val="327"/>
          <w:jc w:val="center"/>
        </w:trPr>
        <w:tc>
          <w:tcPr>
            <w:tcW w:w="9110" w:type="dxa"/>
            <w:vAlign w:val="center"/>
          </w:tcPr>
          <w:p w:rsidRPr="00265EEE" w:rsidR="00551A0F" w:rsidP="00017065" w:rsidRDefault="00551A0F" w14:paraId="57D8310F" w14:textId="77777777">
            <w:pPr>
              <w:pStyle w:val="naisnod"/>
              <w:spacing w:before="0" w:beforeAutospacing="0" w:after="0" w:afterAutospacing="0"/>
              <w:ind w:left="57" w:right="57"/>
              <w:jc w:val="center"/>
            </w:pPr>
            <w:r w:rsidRPr="00265EEE">
              <w:rPr>
                <w:b/>
              </w:rPr>
              <w:t>VI. Sabiedrības līdzdalība un komunikācijas aktivitātes</w:t>
            </w:r>
          </w:p>
        </w:tc>
      </w:tr>
      <w:tr w:rsidRPr="00265EEE" w:rsidR="00BA0D43" w:rsidTr="00FB6748" w14:paraId="35C36421" w14:textId="77777777">
        <w:trPr>
          <w:trHeight w:val="319"/>
          <w:jc w:val="center"/>
        </w:trPr>
        <w:tc>
          <w:tcPr>
            <w:tcW w:w="9110" w:type="dxa"/>
            <w:vAlign w:val="center"/>
          </w:tcPr>
          <w:p w:rsidRPr="00265EEE" w:rsidR="00BA0D43" w:rsidP="00017065" w:rsidRDefault="00BA0D43" w14:paraId="54FE2AF9" w14:textId="77777777">
            <w:pPr>
              <w:pStyle w:val="naisnod"/>
              <w:spacing w:before="0" w:beforeAutospacing="0" w:after="0" w:afterAutospacing="0"/>
              <w:ind w:left="57" w:right="57"/>
              <w:jc w:val="center"/>
              <w:rPr>
                <w:b/>
              </w:rPr>
            </w:pPr>
            <w:r w:rsidRPr="00265EEE">
              <w:rPr>
                <w:bCs/>
                <w:iCs/>
              </w:rPr>
              <w:t>Projekts šo jomu neskar</w:t>
            </w:r>
            <w:r w:rsidRPr="00265EEE">
              <w:t>.</w:t>
            </w:r>
          </w:p>
        </w:tc>
      </w:tr>
    </w:tbl>
    <w:p w:rsidRPr="00265EEE" w:rsidR="00551A0F" w:rsidP="00551A0F" w:rsidRDefault="00551A0F" w14:paraId="23E51F61" w14:textId="77777777"/>
    <w:tbl>
      <w:tblPr>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Pr="00265EEE" w:rsidR="00551A0F" w:rsidTr="007002EC" w14:paraId="7ABF92FB" w14:textId="77777777">
        <w:trPr>
          <w:trHeight w:val="381"/>
          <w:jc w:val="center"/>
        </w:trPr>
        <w:tc>
          <w:tcPr>
            <w:tcW w:w="9132" w:type="dxa"/>
            <w:gridSpan w:val="3"/>
            <w:vAlign w:val="center"/>
          </w:tcPr>
          <w:p w:rsidRPr="00265EEE" w:rsidR="00551A0F" w:rsidP="00017065" w:rsidRDefault="00551A0F" w14:paraId="27F19A77" w14:textId="77777777">
            <w:pPr>
              <w:pStyle w:val="naisnod"/>
              <w:spacing w:before="0" w:beforeAutospacing="0" w:after="0" w:afterAutospacing="0"/>
              <w:ind w:left="57" w:right="57"/>
              <w:jc w:val="center"/>
            </w:pPr>
            <w:r w:rsidRPr="00265EEE">
              <w:rPr>
                <w:b/>
              </w:rPr>
              <w:t>VII. Tiesību akta projekta izpildes nodrošināšana un tās ietekme uz institūcijām</w:t>
            </w:r>
          </w:p>
        </w:tc>
      </w:tr>
      <w:tr w:rsidRPr="00265EEE" w:rsidR="00551A0F" w:rsidTr="004E0B23" w14:paraId="0BC6F4B5" w14:textId="77777777">
        <w:trPr>
          <w:trHeight w:val="427"/>
          <w:jc w:val="center"/>
        </w:trPr>
        <w:tc>
          <w:tcPr>
            <w:tcW w:w="486" w:type="dxa"/>
          </w:tcPr>
          <w:p w:rsidRPr="00265EEE" w:rsidR="00551A0F" w:rsidP="00017065" w:rsidRDefault="00551A0F" w14:paraId="22769987" w14:textId="77777777">
            <w:pPr>
              <w:pStyle w:val="naisnod"/>
              <w:spacing w:before="0" w:beforeAutospacing="0" w:after="0" w:afterAutospacing="0"/>
              <w:ind w:left="57" w:right="57"/>
              <w:jc w:val="both"/>
            </w:pPr>
            <w:r w:rsidRPr="00265EEE">
              <w:t>1.</w:t>
            </w:r>
          </w:p>
        </w:tc>
        <w:tc>
          <w:tcPr>
            <w:tcW w:w="3656" w:type="dxa"/>
          </w:tcPr>
          <w:p w:rsidRPr="00265EEE" w:rsidR="00551A0F" w:rsidP="00AF09E6" w:rsidRDefault="00551A0F" w14:paraId="3AEC8AB6" w14:textId="77777777">
            <w:pPr>
              <w:pStyle w:val="naisf"/>
              <w:spacing w:before="0" w:after="0"/>
              <w:ind w:left="57" w:right="57" w:firstLine="0"/>
            </w:pPr>
            <w:r w:rsidRPr="00265EEE">
              <w:t>Projekta izpildē iesaistītās institūcijas</w:t>
            </w:r>
          </w:p>
        </w:tc>
        <w:tc>
          <w:tcPr>
            <w:tcW w:w="4990" w:type="dxa"/>
          </w:tcPr>
          <w:p w:rsidRPr="00265EEE" w:rsidR="00631147" w:rsidP="00B3088C" w:rsidRDefault="001211A0" w14:paraId="22C8C8AA" w14:textId="5CB82C8B">
            <w:pPr>
              <w:ind w:left="57" w:right="57"/>
              <w:jc w:val="both"/>
            </w:pPr>
            <w:r>
              <w:t>Satiksmes ministrija</w:t>
            </w:r>
            <w:r w:rsidR="0069095A">
              <w:t>,</w:t>
            </w:r>
            <w:r w:rsidR="00BD54C1">
              <w:t xml:space="preserve"> </w:t>
            </w:r>
            <w:r>
              <w:t>Finanšu ministrija</w:t>
            </w:r>
            <w:r w:rsidR="002E1438">
              <w:t>.</w:t>
            </w:r>
          </w:p>
        </w:tc>
      </w:tr>
      <w:tr w:rsidRPr="00265EEE" w:rsidR="00551A0F" w:rsidTr="00347938" w14:paraId="3B953242" w14:textId="77777777">
        <w:trPr>
          <w:trHeight w:val="463"/>
          <w:jc w:val="center"/>
        </w:trPr>
        <w:tc>
          <w:tcPr>
            <w:tcW w:w="486" w:type="dxa"/>
          </w:tcPr>
          <w:p w:rsidRPr="00265EEE" w:rsidR="00551A0F" w:rsidP="00017065" w:rsidRDefault="00551A0F" w14:paraId="6AA67A26" w14:textId="77777777">
            <w:pPr>
              <w:pStyle w:val="naisnod"/>
              <w:spacing w:before="0" w:beforeAutospacing="0" w:after="0" w:afterAutospacing="0"/>
              <w:ind w:left="57" w:right="57"/>
              <w:jc w:val="both"/>
            </w:pPr>
            <w:r w:rsidRPr="00265EEE">
              <w:t>2.</w:t>
            </w:r>
          </w:p>
        </w:tc>
        <w:tc>
          <w:tcPr>
            <w:tcW w:w="3656" w:type="dxa"/>
            <w:shd w:val="clear" w:color="auto" w:fill="auto"/>
          </w:tcPr>
          <w:p w:rsidRPr="00265EEE" w:rsidR="00551A0F" w:rsidP="006A50EF" w:rsidRDefault="00551A0F" w14:paraId="0FA8FF11" w14:textId="77777777">
            <w:pPr>
              <w:pStyle w:val="naisf"/>
              <w:spacing w:before="0" w:after="0"/>
              <w:ind w:left="57" w:right="57" w:firstLine="0"/>
            </w:pPr>
            <w:r w:rsidRPr="00265EEE">
              <w:t>Projekta izpildes ietekme uz pār</w:t>
            </w:r>
            <w:r w:rsidRPr="00265EEE">
              <w:softHyphen/>
              <w:t>valdes funkcijām un institucionālo struktūru.</w:t>
            </w:r>
          </w:p>
          <w:p w:rsidRPr="00265EEE" w:rsidR="00551A0F" w:rsidP="006A50EF" w:rsidRDefault="00551A0F" w14:paraId="614DDAEF" w14:textId="77777777">
            <w:pPr>
              <w:pStyle w:val="naisf"/>
              <w:spacing w:before="0" w:after="0"/>
              <w:ind w:left="57" w:right="57" w:firstLine="0"/>
            </w:pPr>
            <w:r w:rsidRPr="00265EEE">
              <w:t>Jaunu institūciju izveide, esošu institūciju likvidācija vai reorga</w:t>
            </w:r>
            <w:r w:rsidRPr="00265EEE">
              <w:softHyphen/>
              <w:t>nizācija, to ietekme uz institūcijas cilvēkresursiem</w:t>
            </w:r>
          </w:p>
        </w:tc>
        <w:tc>
          <w:tcPr>
            <w:tcW w:w="4990" w:type="dxa"/>
          </w:tcPr>
          <w:p w:rsidR="00B47DF7" w:rsidP="00017065" w:rsidRDefault="00291B85" w14:paraId="2A0347BE" w14:textId="77777777">
            <w:pPr>
              <w:shd w:val="clear" w:color="auto" w:fill="FFFFFF"/>
              <w:jc w:val="both"/>
            </w:pPr>
            <w:r>
              <w:t>P</w:t>
            </w:r>
            <w:r w:rsidRPr="00A17421" w:rsidR="00B47DF7">
              <w:t>rojekt</w:t>
            </w:r>
            <w:r>
              <w:t>ā paredzētā regulējuma</w:t>
            </w:r>
            <w:r w:rsidRPr="00A17421" w:rsidR="00B47DF7">
              <w:t xml:space="preserve"> īstenošana tiks veikta esošo valsts pārvaldes funkciju ietvaros, tā neietekmēs pārvaldes funkcijas vai institucionālo struktūru.</w:t>
            </w:r>
          </w:p>
          <w:p w:rsidRPr="00265EEE" w:rsidR="00291B85" w:rsidP="00017065" w:rsidRDefault="00291B85" w14:paraId="02D4DFAA" w14:textId="77EB7A69">
            <w:pPr>
              <w:shd w:val="clear" w:color="auto" w:fill="FFFFFF"/>
              <w:jc w:val="both"/>
            </w:pPr>
            <w:r>
              <w:t>Projekta regulējums būtiski samazinās administratīvos resursus veicamajām darbībām, lai pārdalītu valsts budžeta līdzekļus RB Projekta izmaksu</w:t>
            </w:r>
            <w:r w:rsidRPr="009A67BE" w:rsidR="009A67BE">
              <w:t>, kas neatbilst finansēšanas līguma nosacījumiem,</w:t>
            </w:r>
            <w:r w:rsidR="009A67BE">
              <w:t xml:space="preserve"> </w:t>
            </w:r>
            <w:r>
              <w:t>segšanai. Ieviešot sistēmisku risinājumu</w:t>
            </w:r>
            <w:r w:rsidR="0011110C">
              <w:t xml:space="preserve"> izmaksu</w:t>
            </w:r>
            <w:r w:rsidRPr="00AD634B" w:rsidR="00AD634B">
              <w:t>, kas neatbilst finansēšanas līguma nosacījumiem</w:t>
            </w:r>
            <w:r w:rsidR="00AD634B">
              <w:t>,</w:t>
            </w:r>
            <w:r w:rsidR="0011110C">
              <w:t xml:space="preserve"> segšanai, SM kā EISI finansējuma atbalsta saņēmēja un atbildīgā Latvijas institūcija par RB Projekta īstenošanu varēs nodrošināt finansējuma pieejamību ar mazāku pašas </w:t>
            </w:r>
            <w:r w:rsidR="0011110C">
              <w:lastRenderedPageBreak/>
              <w:t>un citu institūciju, tostarp Finanšu ministrijas, Tieslietu ministrijas, Valsts kancelejas un Ministru kabineta administratīvā resursa patērēšanas.</w:t>
            </w:r>
          </w:p>
        </w:tc>
      </w:tr>
      <w:tr w:rsidRPr="00265EEE" w:rsidR="00551A0F" w:rsidTr="004E0B23" w14:paraId="02708715" w14:textId="77777777">
        <w:trPr>
          <w:trHeight w:val="237"/>
          <w:jc w:val="center"/>
        </w:trPr>
        <w:tc>
          <w:tcPr>
            <w:tcW w:w="486" w:type="dxa"/>
            <w:tcBorders>
              <w:top w:val="single" w:color="auto" w:sz="4" w:space="0"/>
              <w:left w:val="single" w:color="auto" w:sz="4" w:space="0"/>
              <w:bottom w:val="single" w:color="auto" w:sz="4" w:space="0"/>
              <w:right w:val="single" w:color="auto" w:sz="4" w:space="0"/>
            </w:tcBorders>
          </w:tcPr>
          <w:p w:rsidRPr="00265EEE" w:rsidR="00551A0F" w:rsidP="00017065" w:rsidRDefault="00551A0F" w14:paraId="65B5DBFA" w14:textId="77777777">
            <w:pPr>
              <w:pStyle w:val="naisnod"/>
              <w:spacing w:before="0" w:beforeAutospacing="0" w:after="0" w:afterAutospacing="0"/>
              <w:ind w:left="57" w:right="57"/>
              <w:jc w:val="both"/>
            </w:pPr>
            <w:r w:rsidRPr="00265EEE">
              <w:lastRenderedPageBreak/>
              <w:t>3.</w:t>
            </w:r>
          </w:p>
        </w:tc>
        <w:tc>
          <w:tcPr>
            <w:tcW w:w="3656" w:type="dxa"/>
            <w:tcBorders>
              <w:top w:val="single" w:color="auto" w:sz="4" w:space="0"/>
              <w:left w:val="single" w:color="auto" w:sz="4" w:space="0"/>
              <w:bottom w:val="single" w:color="auto" w:sz="4" w:space="0"/>
              <w:right w:val="single" w:color="auto" w:sz="4" w:space="0"/>
            </w:tcBorders>
          </w:tcPr>
          <w:p w:rsidRPr="00265EEE" w:rsidR="00551A0F" w:rsidP="00C850AB" w:rsidRDefault="00AF09E6" w14:paraId="0CC4FA0A" w14:textId="77777777">
            <w:pPr>
              <w:pStyle w:val="naisf"/>
              <w:spacing w:before="0" w:after="0"/>
              <w:ind w:firstLine="0"/>
            </w:pPr>
            <w:r w:rsidRPr="00265EEE">
              <w:t xml:space="preserve"> </w:t>
            </w:r>
            <w:r w:rsidRPr="00265EEE" w:rsidR="00551A0F">
              <w:t>Cita informācija</w:t>
            </w:r>
          </w:p>
        </w:tc>
        <w:tc>
          <w:tcPr>
            <w:tcW w:w="4990" w:type="dxa"/>
            <w:tcBorders>
              <w:top w:val="single" w:color="auto" w:sz="4" w:space="0"/>
              <w:left w:val="single" w:color="auto" w:sz="4" w:space="0"/>
              <w:bottom w:val="single" w:color="auto" w:sz="4" w:space="0"/>
              <w:right w:val="single" w:color="auto" w:sz="4" w:space="0"/>
            </w:tcBorders>
          </w:tcPr>
          <w:p w:rsidRPr="00265EEE" w:rsidR="00551A0F" w:rsidP="00C850AB" w:rsidRDefault="00551A0F" w14:paraId="7BB8FA8A" w14:textId="77777777">
            <w:pPr>
              <w:ind w:left="57"/>
              <w:jc w:val="both"/>
            </w:pPr>
            <w:r w:rsidRPr="00265EEE">
              <w:t>Na</w:t>
            </w:r>
            <w:r w:rsidRPr="00265EEE" w:rsidR="006A50EF">
              <w:t>v.</w:t>
            </w:r>
          </w:p>
        </w:tc>
      </w:tr>
    </w:tbl>
    <w:p w:rsidRPr="00BB3200" w:rsidR="00551A0F" w:rsidP="00FD7418" w:rsidRDefault="00551A0F" w14:paraId="31FAE95A" w14:textId="77777777">
      <w:pPr>
        <w:jc w:val="center"/>
        <w:rPr>
          <w:b/>
          <w:bCs/>
          <w:sz w:val="20"/>
          <w:szCs w:val="20"/>
        </w:rPr>
      </w:pPr>
    </w:p>
    <w:p w:rsidR="00AB19B6" w:rsidP="001B5229" w:rsidRDefault="00AB19B6" w14:paraId="01D6E86F" w14:textId="77777777">
      <w:pPr>
        <w:ind w:firstLine="720"/>
      </w:pPr>
    </w:p>
    <w:p w:rsidRPr="001B5229" w:rsidR="001B5229" w:rsidP="001B5229" w:rsidRDefault="001B5229" w14:paraId="2C9FA06D" w14:textId="20C7615F">
      <w:pPr>
        <w:ind w:firstLine="720"/>
      </w:pPr>
      <w:r w:rsidRPr="001B5229">
        <w:t>Satiksmes ministrs</w:t>
      </w:r>
      <w:r w:rsidRPr="001B5229">
        <w:tab/>
      </w:r>
      <w:r w:rsidRPr="001B5229">
        <w:tab/>
      </w:r>
      <w:r w:rsidRPr="001B5229">
        <w:tab/>
      </w:r>
      <w:r w:rsidRPr="001B5229">
        <w:tab/>
      </w:r>
      <w:r w:rsidRPr="001B5229">
        <w:tab/>
      </w:r>
      <w:r w:rsidRPr="001B5229">
        <w:tab/>
      </w:r>
      <w:r w:rsidR="00EE39A4">
        <w:tab/>
      </w:r>
      <w:r w:rsidRPr="001B5229">
        <w:t>T.</w:t>
      </w:r>
      <w:r w:rsidR="001211A0">
        <w:t xml:space="preserve"> </w:t>
      </w:r>
      <w:proofErr w:type="spellStart"/>
      <w:r w:rsidRPr="001B5229">
        <w:t>Linkaits</w:t>
      </w:r>
      <w:proofErr w:type="spellEnd"/>
    </w:p>
    <w:p w:rsidRPr="00BB3200" w:rsidR="001B5229" w:rsidP="001B5229" w:rsidRDefault="001B5229" w14:paraId="02DA2EA0" w14:textId="77777777">
      <w:pPr>
        <w:rPr>
          <w:sz w:val="28"/>
          <w:szCs w:val="28"/>
        </w:rPr>
      </w:pPr>
    </w:p>
    <w:p w:rsidR="00AB19B6" w:rsidP="001B5229" w:rsidRDefault="00AB19B6" w14:paraId="073B5D03" w14:textId="77777777">
      <w:pPr>
        <w:ind w:firstLine="720"/>
      </w:pPr>
    </w:p>
    <w:p w:rsidRPr="001B5229" w:rsidR="001B5229" w:rsidP="001B5229" w:rsidRDefault="001B5229" w14:paraId="0B6BE801" w14:textId="07DF68E2">
      <w:pPr>
        <w:ind w:firstLine="720"/>
      </w:pPr>
      <w:r w:rsidRPr="001B5229">
        <w:t>Vīza:</w:t>
      </w:r>
      <w:r w:rsidR="00EE39A4">
        <w:t xml:space="preserve"> </w:t>
      </w:r>
      <w:bookmarkStart w:name="_Hlk53735463" w:id="2"/>
      <w:r w:rsidRPr="001B5229">
        <w:t>valsts sekretār</w:t>
      </w:r>
      <w:r w:rsidR="001211A0">
        <w:t>e</w:t>
      </w:r>
      <w:r w:rsidRPr="001B5229">
        <w:tab/>
      </w:r>
      <w:r w:rsidRPr="001B5229">
        <w:tab/>
      </w:r>
      <w:r w:rsidRPr="001B5229">
        <w:tab/>
      </w:r>
      <w:r w:rsidRPr="001B5229">
        <w:tab/>
      </w:r>
      <w:r>
        <w:tab/>
      </w:r>
      <w:r w:rsidRPr="001B5229">
        <w:tab/>
      </w:r>
      <w:r w:rsidR="001211A0">
        <w:t xml:space="preserve">            I. Stepanova</w:t>
      </w:r>
      <w:bookmarkEnd w:id="2"/>
    </w:p>
    <w:p w:rsidR="00AB19B6" w:rsidP="00A07C74" w:rsidRDefault="00AB19B6" w14:paraId="3A1C4304" w14:textId="77777777">
      <w:pPr>
        <w:jc w:val="both"/>
        <w:rPr>
          <w:sz w:val="20"/>
          <w:lang w:val="de-DE"/>
        </w:rPr>
      </w:pPr>
    </w:p>
    <w:p w:rsidR="00AB19B6" w:rsidP="00A07C74" w:rsidRDefault="00AB19B6" w14:paraId="6943CD49" w14:textId="77777777">
      <w:pPr>
        <w:jc w:val="both"/>
        <w:rPr>
          <w:sz w:val="20"/>
          <w:lang w:val="de-DE"/>
        </w:rPr>
      </w:pPr>
    </w:p>
    <w:p w:rsidR="00B70025" w:rsidP="00347938" w:rsidRDefault="00B70025" w14:paraId="1F335941" w14:textId="77777777">
      <w:pPr>
        <w:jc w:val="both"/>
        <w:rPr>
          <w:sz w:val="20"/>
          <w:lang w:val="de-DE"/>
        </w:rPr>
      </w:pPr>
    </w:p>
    <w:p w:rsidR="00A07C74" w:rsidP="00347938" w:rsidRDefault="0011110C" w14:paraId="69276BBE" w14:textId="3D28F55C">
      <w:pPr>
        <w:jc w:val="both"/>
        <w:rPr>
          <w:sz w:val="20"/>
          <w:lang w:val="de-DE"/>
        </w:rPr>
      </w:pPr>
      <w:r>
        <w:rPr>
          <w:sz w:val="20"/>
          <w:lang w:val="de-DE"/>
        </w:rPr>
        <w:t>Eņģelis</w:t>
      </w:r>
      <w:r w:rsidR="00A07C74">
        <w:rPr>
          <w:sz w:val="20"/>
          <w:lang w:val="de-DE"/>
        </w:rPr>
        <w:t>, 67028</w:t>
      </w:r>
      <w:r w:rsidR="00B70025">
        <w:rPr>
          <w:sz w:val="20"/>
          <w:lang w:val="de-DE"/>
        </w:rPr>
        <w:t>083</w:t>
      </w:r>
    </w:p>
    <w:p w:rsidR="006E267F" w:rsidP="0011110C" w:rsidRDefault="009A5CC2" w14:paraId="7C96A7CE" w14:textId="33F90253">
      <w:pPr>
        <w:jc w:val="both"/>
        <w:rPr>
          <w:rStyle w:val="Hyperlink"/>
          <w:sz w:val="20"/>
          <w:lang w:val="de-DE"/>
        </w:rPr>
      </w:pPr>
      <w:hyperlink w:history="1" r:id="rId8">
        <w:r w:rsidRPr="00BC024B" w:rsidR="0011110C">
          <w:rPr>
            <w:rStyle w:val="Hyperlink"/>
            <w:sz w:val="20"/>
            <w:lang w:val="de-DE"/>
          </w:rPr>
          <w:t>Karlis.Engelis@sam.gov.lv</w:t>
        </w:r>
      </w:hyperlink>
    </w:p>
    <w:sectPr w:rsidR="006E267F" w:rsidSect="008A4360">
      <w:headerReference w:type="even" r:id="rId9"/>
      <w:headerReference w:type="default" r:id="rId10"/>
      <w:footerReference w:type="default" r:id="rId11"/>
      <w:footerReference w:type="first" r:id="rId12"/>
      <w:pgSz w:w="11906" w:h="16838" w:code="9"/>
      <w:pgMar w:top="1418" w:right="1134" w:bottom="1134"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2B0D0" w14:textId="77777777" w:rsidR="009A5CC2" w:rsidRDefault="009A5CC2">
      <w:r>
        <w:separator/>
      </w:r>
    </w:p>
  </w:endnote>
  <w:endnote w:type="continuationSeparator" w:id="0">
    <w:p w14:paraId="318BBF56" w14:textId="77777777" w:rsidR="009A5CC2" w:rsidRDefault="009A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B2E" w14:textId="6597A809" w:rsidR="00C41A17" w:rsidRPr="0010357C" w:rsidRDefault="00C41A17" w:rsidP="00685C10">
    <w:pPr>
      <w:pStyle w:val="Footer"/>
      <w:jc w:val="both"/>
      <w:rPr>
        <w:sz w:val="18"/>
        <w:szCs w:val="22"/>
      </w:rPr>
    </w:pPr>
    <w:r w:rsidRPr="000B028F">
      <w:rPr>
        <w:sz w:val="18"/>
        <w:szCs w:val="22"/>
      </w:rPr>
      <w:t>SM</w:t>
    </w:r>
    <w:r>
      <w:rPr>
        <w:sz w:val="18"/>
        <w:szCs w:val="22"/>
      </w:rPr>
      <w:t>anot</w:t>
    </w:r>
    <w:r w:rsidRPr="000B028F">
      <w:rPr>
        <w:sz w:val="18"/>
        <w:szCs w:val="22"/>
      </w:rPr>
      <w:t>_</w:t>
    </w:r>
    <w:r w:rsidR="000B0091">
      <w:rPr>
        <w:sz w:val="18"/>
        <w:szCs w:val="22"/>
      </w:rPr>
      <w:t>0211</w:t>
    </w:r>
    <w:r>
      <w:rPr>
        <w:sz w:val="18"/>
        <w:szCs w:val="22"/>
      </w:rPr>
      <w:t>20_MKN395groz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8342" w14:textId="60F65B91" w:rsidR="00C41A17" w:rsidRPr="0011110C" w:rsidRDefault="00C41A17" w:rsidP="0011110C">
    <w:pPr>
      <w:pStyle w:val="Footer"/>
    </w:pPr>
    <w:r w:rsidRPr="0011110C">
      <w:rPr>
        <w:sz w:val="18"/>
        <w:szCs w:val="22"/>
      </w:rPr>
      <w:t>SM</w:t>
    </w:r>
    <w:r>
      <w:rPr>
        <w:sz w:val="18"/>
        <w:szCs w:val="22"/>
      </w:rPr>
      <w:t>a</w:t>
    </w:r>
    <w:r w:rsidRPr="0011110C">
      <w:rPr>
        <w:sz w:val="18"/>
        <w:szCs w:val="22"/>
      </w:rPr>
      <w:t>not_</w:t>
    </w:r>
    <w:r w:rsidR="00297169">
      <w:rPr>
        <w:sz w:val="18"/>
        <w:szCs w:val="22"/>
      </w:rPr>
      <w:t>0211</w:t>
    </w:r>
    <w:r w:rsidRPr="0011110C">
      <w:rPr>
        <w:sz w:val="18"/>
        <w:szCs w:val="22"/>
      </w:rPr>
      <w:t>20_MKN395groz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7B8D" w14:textId="77777777" w:rsidR="009A5CC2" w:rsidRDefault="009A5CC2">
      <w:r>
        <w:separator/>
      </w:r>
    </w:p>
  </w:footnote>
  <w:footnote w:type="continuationSeparator" w:id="0">
    <w:p w14:paraId="0FF57907" w14:textId="77777777" w:rsidR="009A5CC2" w:rsidRDefault="009A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A17" w:rsidP="00923014" w:rsidRDefault="00C41A17" w14:paraId="150B7D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A17" w:rsidRDefault="00C41A17" w14:paraId="74D69C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A17" w:rsidP="00923014" w:rsidRDefault="00C41A17" w14:paraId="26A80ACE" w14:textId="3A43458C">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41A17" w:rsidRDefault="00C41A17" w14:paraId="17B35B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433E33"/>
    <w:multiLevelType w:val="hybridMultilevel"/>
    <w:tmpl w:val="8034A768"/>
    <w:lvl w:ilvl="0" w:tplc="A7CA9E40">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96503A3"/>
    <w:multiLevelType w:val="hybridMultilevel"/>
    <w:tmpl w:val="5D0C0A5A"/>
    <w:lvl w:ilvl="0" w:tplc="A7CA9E40">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18"/>
    <w:rsid w:val="0000220B"/>
    <w:rsid w:val="0000584F"/>
    <w:rsid w:val="00011FC9"/>
    <w:rsid w:val="00015AD0"/>
    <w:rsid w:val="00017065"/>
    <w:rsid w:val="00031E8A"/>
    <w:rsid w:val="0003249F"/>
    <w:rsid w:val="00035B6C"/>
    <w:rsid w:val="000409DB"/>
    <w:rsid w:val="00040BE5"/>
    <w:rsid w:val="000429A5"/>
    <w:rsid w:val="00042C6C"/>
    <w:rsid w:val="00042CCA"/>
    <w:rsid w:val="00044CAF"/>
    <w:rsid w:val="00045A51"/>
    <w:rsid w:val="000463C2"/>
    <w:rsid w:val="00046659"/>
    <w:rsid w:val="000466C5"/>
    <w:rsid w:val="00050438"/>
    <w:rsid w:val="00050D3F"/>
    <w:rsid w:val="00053AE9"/>
    <w:rsid w:val="00053CCF"/>
    <w:rsid w:val="000565F6"/>
    <w:rsid w:val="00057391"/>
    <w:rsid w:val="000603F5"/>
    <w:rsid w:val="00063BFA"/>
    <w:rsid w:val="00065350"/>
    <w:rsid w:val="00070E41"/>
    <w:rsid w:val="0007497A"/>
    <w:rsid w:val="000749F7"/>
    <w:rsid w:val="00080FFA"/>
    <w:rsid w:val="00086521"/>
    <w:rsid w:val="00087A5F"/>
    <w:rsid w:val="000A0631"/>
    <w:rsid w:val="000A1525"/>
    <w:rsid w:val="000A34E3"/>
    <w:rsid w:val="000A3691"/>
    <w:rsid w:val="000A5FD7"/>
    <w:rsid w:val="000B0091"/>
    <w:rsid w:val="000B028F"/>
    <w:rsid w:val="000B2A2A"/>
    <w:rsid w:val="000B7961"/>
    <w:rsid w:val="000C2864"/>
    <w:rsid w:val="000C64FE"/>
    <w:rsid w:val="000D1545"/>
    <w:rsid w:val="000D7170"/>
    <w:rsid w:val="000F5E68"/>
    <w:rsid w:val="001022DC"/>
    <w:rsid w:val="0010357C"/>
    <w:rsid w:val="00107C2E"/>
    <w:rsid w:val="0011110C"/>
    <w:rsid w:val="00112AE1"/>
    <w:rsid w:val="00114403"/>
    <w:rsid w:val="00116EAB"/>
    <w:rsid w:val="001211A0"/>
    <w:rsid w:val="00133FA8"/>
    <w:rsid w:val="00140160"/>
    <w:rsid w:val="00151ADB"/>
    <w:rsid w:val="0015266D"/>
    <w:rsid w:val="0015310B"/>
    <w:rsid w:val="001600F8"/>
    <w:rsid w:val="0016067D"/>
    <w:rsid w:val="00160B2B"/>
    <w:rsid w:val="00174BC5"/>
    <w:rsid w:val="00185139"/>
    <w:rsid w:val="0019314F"/>
    <w:rsid w:val="00193B74"/>
    <w:rsid w:val="00193B8F"/>
    <w:rsid w:val="00194D1F"/>
    <w:rsid w:val="001958CA"/>
    <w:rsid w:val="001A165C"/>
    <w:rsid w:val="001A5BBD"/>
    <w:rsid w:val="001A7367"/>
    <w:rsid w:val="001B26EA"/>
    <w:rsid w:val="001B3877"/>
    <w:rsid w:val="001B5229"/>
    <w:rsid w:val="001C3289"/>
    <w:rsid w:val="001C596E"/>
    <w:rsid w:val="001C648C"/>
    <w:rsid w:val="001D1FD8"/>
    <w:rsid w:val="001E055A"/>
    <w:rsid w:val="001E23F3"/>
    <w:rsid w:val="001F5EC9"/>
    <w:rsid w:val="002015B1"/>
    <w:rsid w:val="00210E7D"/>
    <w:rsid w:val="00211ACB"/>
    <w:rsid w:val="00214104"/>
    <w:rsid w:val="00214A64"/>
    <w:rsid w:val="00217FDF"/>
    <w:rsid w:val="00222ECE"/>
    <w:rsid w:val="00224145"/>
    <w:rsid w:val="002259BB"/>
    <w:rsid w:val="0023642E"/>
    <w:rsid w:val="00241525"/>
    <w:rsid w:val="00242C7F"/>
    <w:rsid w:val="00243F3F"/>
    <w:rsid w:val="002445E7"/>
    <w:rsid w:val="0025232A"/>
    <w:rsid w:val="0025260A"/>
    <w:rsid w:val="002570B6"/>
    <w:rsid w:val="00263389"/>
    <w:rsid w:val="0026408B"/>
    <w:rsid w:val="0026418D"/>
    <w:rsid w:val="00264BD6"/>
    <w:rsid w:val="00265EEE"/>
    <w:rsid w:val="00266533"/>
    <w:rsid w:val="00266CCF"/>
    <w:rsid w:val="00267545"/>
    <w:rsid w:val="00270B21"/>
    <w:rsid w:val="00271275"/>
    <w:rsid w:val="00280AFA"/>
    <w:rsid w:val="002818AA"/>
    <w:rsid w:val="00283081"/>
    <w:rsid w:val="0028450A"/>
    <w:rsid w:val="002847B9"/>
    <w:rsid w:val="00284F1A"/>
    <w:rsid w:val="00284FDE"/>
    <w:rsid w:val="00291B85"/>
    <w:rsid w:val="00292D49"/>
    <w:rsid w:val="002950AC"/>
    <w:rsid w:val="00296A16"/>
    <w:rsid w:val="00297169"/>
    <w:rsid w:val="002A31D2"/>
    <w:rsid w:val="002A5686"/>
    <w:rsid w:val="002A6CB2"/>
    <w:rsid w:val="002B3937"/>
    <w:rsid w:val="002B6D79"/>
    <w:rsid w:val="002C12B2"/>
    <w:rsid w:val="002C19C8"/>
    <w:rsid w:val="002C415F"/>
    <w:rsid w:val="002C67DB"/>
    <w:rsid w:val="002C6966"/>
    <w:rsid w:val="002D084B"/>
    <w:rsid w:val="002D0BBC"/>
    <w:rsid w:val="002E1438"/>
    <w:rsid w:val="002E33F0"/>
    <w:rsid w:val="002E368A"/>
    <w:rsid w:val="002E7804"/>
    <w:rsid w:val="002F3244"/>
    <w:rsid w:val="002F65C2"/>
    <w:rsid w:val="002F7C9B"/>
    <w:rsid w:val="00301F99"/>
    <w:rsid w:val="003041A8"/>
    <w:rsid w:val="003067D0"/>
    <w:rsid w:val="00306A05"/>
    <w:rsid w:val="00307BB2"/>
    <w:rsid w:val="00311E42"/>
    <w:rsid w:val="003171AC"/>
    <w:rsid w:val="0031789E"/>
    <w:rsid w:val="00320912"/>
    <w:rsid w:val="00320CA4"/>
    <w:rsid w:val="00325D84"/>
    <w:rsid w:val="00337D02"/>
    <w:rsid w:val="003422B8"/>
    <w:rsid w:val="00347938"/>
    <w:rsid w:val="00353ED8"/>
    <w:rsid w:val="0035664C"/>
    <w:rsid w:val="0036265B"/>
    <w:rsid w:val="00362E1D"/>
    <w:rsid w:val="00364987"/>
    <w:rsid w:val="00365259"/>
    <w:rsid w:val="00370E71"/>
    <w:rsid w:val="00376DA9"/>
    <w:rsid w:val="003778DC"/>
    <w:rsid w:val="0038036C"/>
    <w:rsid w:val="0038210A"/>
    <w:rsid w:val="00385F5D"/>
    <w:rsid w:val="003918BC"/>
    <w:rsid w:val="00393273"/>
    <w:rsid w:val="00394698"/>
    <w:rsid w:val="00394A99"/>
    <w:rsid w:val="00396753"/>
    <w:rsid w:val="003B2A56"/>
    <w:rsid w:val="003C0601"/>
    <w:rsid w:val="003C2C23"/>
    <w:rsid w:val="003C451C"/>
    <w:rsid w:val="003C7040"/>
    <w:rsid w:val="003D09CC"/>
    <w:rsid w:val="003D0CD2"/>
    <w:rsid w:val="003D49CF"/>
    <w:rsid w:val="003E0625"/>
    <w:rsid w:val="003E1559"/>
    <w:rsid w:val="003E24D3"/>
    <w:rsid w:val="003E44EF"/>
    <w:rsid w:val="003E5142"/>
    <w:rsid w:val="003E6476"/>
    <w:rsid w:val="003E72CB"/>
    <w:rsid w:val="003F0256"/>
    <w:rsid w:val="003F4517"/>
    <w:rsid w:val="003F71ED"/>
    <w:rsid w:val="00400BC0"/>
    <w:rsid w:val="00402252"/>
    <w:rsid w:val="004106E9"/>
    <w:rsid w:val="00410998"/>
    <w:rsid w:val="004216B6"/>
    <w:rsid w:val="00421D08"/>
    <w:rsid w:val="0042239C"/>
    <w:rsid w:val="004230A1"/>
    <w:rsid w:val="00424A68"/>
    <w:rsid w:val="00425364"/>
    <w:rsid w:val="0042548E"/>
    <w:rsid w:val="00425DD9"/>
    <w:rsid w:val="00425EE4"/>
    <w:rsid w:val="00426252"/>
    <w:rsid w:val="004376E3"/>
    <w:rsid w:val="00441797"/>
    <w:rsid w:val="004428F2"/>
    <w:rsid w:val="00442D77"/>
    <w:rsid w:val="004430B0"/>
    <w:rsid w:val="00444193"/>
    <w:rsid w:val="00450B1F"/>
    <w:rsid w:val="00452204"/>
    <w:rsid w:val="0045278C"/>
    <w:rsid w:val="004564E0"/>
    <w:rsid w:val="0046534C"/>
    <w:rsid w:val="00467953"/>
    <w:rsid w:val="00471595"/>
    <w:rsid w:val="00472011"/>
    <w:rsid w:val="00477167"/>
    <w:rsid w:val="00482BB3"/>
    <w:rsid w:val="00490452"/>
    <w:rsid w:val="004908C3"/>
    <w:rsid w:val="004916A5"/>
    <w:rsid w:val="00493E2A"/>
    <w:rsid w:val="00495C87"/>
    <w:rsid w:val="004A3AE0"/>
    <w:rsid w:val="004A6913"/>
    <w:rsid w:val="004B0E9C"/>
    <w:rsid w:val="004B1EA5"/>
    <w:rsid w:val="004B364B"/>
    <w:rsid w:val="004B4548"/>
    <w:rsid w:val="004B479B"/>
    <w:rsid w:val="004C0636"/>
    <w:rsid w:val="004C1B5F"/>
    <w:rsid w:val="004C635C"/>
    <w:rsid w:val="004C6C3B"/>
    <w:rsid w:val="004D7731"/>
    <w:rsid w:val="004E0B23"/>
    <w:rsid w:val="004E1330"/>
    <w:rsid w:val="004F1CD7"/>
    <w:rsid w:val="004F2306"/>
    <w:rsid w:val="004F3EB1"/>
    <w:rsid w:val="004F50AB"/>
    <w:rsid w:val="004F76A6"/>
    <w:rsid w:val="005018F5"/>
    <w:rsid w:val="00507027"/>
    <w:rsid w:val="00511031"/>
    <w:rsid w:val="00512CF6"/>
    <w:rsid w:val="00522D7E"/>
    <w:rsid w:val="00524A7C"/>
    <w:rsid w:val="00525089"/>
    <w:rsid w:val="005262C6"/>
    <w:rsid w:val="00526336"/>
    <w:rsid w:val="00530563"/>
    <w:rsid w:val="00534552"/>
    <w:rsid w:val="00542AA6"/>
    <w:rsid w:val="00544770"/>
    <w:rsid w:val="00551A0F"/>
    <w:rsid w:val="00552DA9"/>
    <w:rsid w:val="00556D11"/>
    <w:rsid w:val="00556E46"/>
    <w:rsid w:val="00561492"/>
    <w:rsid w:val="00563CC8"/>
    <w:rsid w:val="00565842"/>
    <w:rsid w:val="00566312"/>
    <w:rsid w:val="005679B3"/>
    <w:rsid w:val="00575250"/>
    <w:rsid w:val="00575616"/>
    <w:rsid w:val="005765B1"/>
    <w:rsid w:val="00577113"/>
    <w:rsid w:val="0058013E"/>
    <w:rsid w:val="005811B5"/>
    <w:rsid w:val="00584DFC"/>
    <w:rsid w:val="00590AAF"/>
    <w:rsid w:val="00597DB7"/>
    <w:rsid w:val="005A01E7"/>
    <w:rsid w:val="005A0432"/>
    <w:rsid w:val="005A2218"/>
    <w:rsid w:val="005A4FE6"/>
    <w:rsid w:val="005A71B2"/>
    <w:rsid w:val="005B129B"/>
    <w:rsid w:val="005B205D"/>
    <w:rsid w:val="005B20D1"/>
    <w:rsid w:val="005B3F46"/>
    <w:rsid w:val="005C2D14"/>
    <w:rsid w:val="005C5307"/>
    <w:rsid w:val="005D16E8"/>
    <w:rsid w:val="005D488E"/>
    <w:rsid w:val="005D73F7"/>
    <w:rsid w:val="005D7798"/>
    <w:rsid w:val="005E0F4D"/>
    <w:rsid w:val="005E782E"/>
    <w:rsid w:val="005E7EF3"/>
    <w:rsid w:val="005F0E10"/>
    <w:rsid w:val="005F5E0A"/>
    <w:rsid w:val="00607541"/>
    <w:rsid w:val="00614ADE"/>
    <w:rsid w:val="006243B1"/>
    <w:rsid w:val="00624D16"/>
    <w:rsid w:val="00624F66"/>
    <w:rsid w:val="00631147"/>
    <w:rsid w:val="00631A0D"/>
    <w:rsid w:val="006329CD"/>
    <w:rsid w:val="006349E0"/>
    <w:rsid w:val="006428E8"/>
    <w:rsid w:val="00643875"/>
    <w:rsid w:val="0064410B"/>
    <w:rsid w:val="00647EB4"/>
    <w:rsid w:val="00654A9C"/>
    <w:rsid w:val="00655AB3"/>
    <w:rsid w:val="00655AC1"/>
    <w:rsid w:val="0066281F"/>
    <w:rsid w:val="006651BC"/>
    <w:rsid w:val="00665649"/>
    <w:rsid w:val="00666871"/>
    <w:rsid w:val="00673BF6"/>
    <w:rsid w:val="00675524"/>
    <w:rsid w:val="006817DF"/>
    <w:rsid w:val="00685C10"/>
    <w:rsid w:val="0068616F"/>
    <w:rsid w:val="0069095A"/>
    <w:rsid w:val="00691DA6"/>
    <w:rsid w:val="00696675"/>
    <w:rsid w:val="006A050C"/>
    <w:rsid w:val="006A3879"/>
    <w:rsid w:val="006A50EF"/>
    <w:rsid w:val="006A773F"/>
    <w:rsid w:val="006B3758"/>
    <w:rsid w:val="006B4CC0"/>
    <w:rsid w:val="006B5A84"/>
    <w:rsid w:val="006C6346"/>
    <w:rsid w:val="006D0198"/>
    <w:rsid w:val="006E0BF9"/>
    <w:rsid w:val="006E267F"/>
    <w:rsid w:val="006E646F"/>
    <w:rsid w:val="006F59AA"/>
    <w:rsid w:val="007002EC"/>
    <w:rsid w:val="00704F52"/>
    <w:rsid w:val="00706EC0"/>
    <w:rsid w:val="0070704B"/>
    <w:rsid w:val="0071109C"/>
    <w:rsid w:val="007134E9"/>
    <w:rsid w:val="00714EBF"/>
    <w:rsid w:val="007167C1"/>
    <w:rsid w:val="00722FB0"/>
    <w:rsid w:val="007235C6"/>
    <w:rsid w:val="00723C29"/>
    <w:rsid w:val="007270FE"/>
    <w:rsid w:val="00730D52"/>
    <w:rsid w:val="00730DF7"/>
    <w:rsid w:val="0073288E"/>
    <w:rsid w:val="00732F8B"/>
    <w:rsid w:val="0073717E"/>
    <w:rsid w:val="007409BD"/>
    <w:rsid w:val="00743B1D"/>
    <w:rsid w:val="00750CE2"/>
    <w:rsid w:val="00753B68"/>
    <w:rsid w:val="007544FB"/>
    <w:rsid w:val="007624CB"/>
    <w:rsid w:val="007648C6"/>
    <w:rsid w:val="00766C82"/>
    <w:rsid w:val="00772B8E"/>
    <w:rsid w:val="00772FE8"/>
    <w:rsid w:val="0077343C"/>
    <w:rsid w:val="00784639"/>
    <w:rsid w:val="00790453"/>
    <w:rsid w:val="007944E8"/>
    <w:rsid w:val="007945AF"/>
    <w:rsid w:val="0079480C"/>
    <w:rsid w:val="00795DED"/>
    <w:rsid w:val="007A00DB"/>
    <w:rsid w:val="007A2691"/>
    <w:rsid w:val="007A4534"/>
    <w:rsid w:val="007A6B1E"/>
    <w:rsid w:val="007B0914"/>
    <w:rsid w:val="007B1620"/>
    <w:rsid w:val="007B2CFD"/>
    <w:rsid w:val="007C0D0B"/>
    <w:rsid w:val="007C3C1F"/>
    <w:rsid w:val="007D1CF2"/>
    <w:rsid w:val="007E3B54"/>
    <w:rsid w:val="007E69C4"/>
    <w:rsid w:val="007E71AD"/>
    <w:rsid w:val="007F618B"/>
    <w:rsid w:val="007F6693"/>
    <w:rsid w:val="008118CB"/>
    <w:rsid w:val="008130A6"/>
    <w:rsid w:val="00813DDC"/>
    <w:rsid w:val="00813FAA"/>
    <w:rsid w:val="008145E9"/>
    <w:rsid w:val="008149EF"/>
    <w:rsid w:val="00814BE1"/>
    <w:rsid w:val="0081583E"/>
    <w:rsid w:val="008174BC"/>
    <w:rsid w:val="008226A2"/>
    <w:rsid w:val="008244ED"/>
    <w:rsid w:val="00831B1B"/>
    <w:rsid w:val="008325D9"/>
    <w:rsid w:val="00832FEE"/>
    <w:rsid w:val="00837EB6"/>
    <w:rsid w:val="008421FB"/>
    <w:rsid w:val="00843B1C"/>
    <w:rsid w:val="00851118"/>
    <w:rsid w:val="00855303"/>
    <w:rsid w:val="00856091"/>
    <w:rsid w:val="0086411E"/>
    <w:rsid w:val="008654FB"/>
    <w:rsid w:val="00871886"/>
    <w:rsid w:val="008724A4"/>
    <w:rsid w:val="00877C79"/>
    <w:rsid w:val="00882088"/>
    <w:rsid w:val="00896328"/>
    <w:rsid w:val="00897F33"/>
    <w:rsid w:val="008A2936"/>
    <w:rsid w:val="008A4360"/>
    <w:rsid w:val="008A5452"/>
    <w:rsid w:val="008B2B5A"/>
    <w:rsid w:val="008C111F"/>
    <w:rsid w:val="008C79D6"/>
    <w:rsid w:val="008D0A5C"/>
    <w:rsid w:val="008D3206"/>
    <w:rsid w:val="008D5029"/>
    <w:rsid w:val="008E5F2B"/>
    <w:rsid w:val="008F2709"/>
    <w:rsid w:val="008F3DAF"/>
    <w:rsid w:val="008F4BD9"/>
    <w:rsid w:val="009006CE"/>
    <w:rsid w:val="00900CD8"/>
    <w:rsid w:val="0090423F"/>
    <w:rsid w:val="009071E8"/>
    <w:rsid w:val="009126B5"/>
    <w:rsid w:val="009205CB"/>
    <w:rsid w:val="00922D8A"/>
    <w:rsid w:val="00923014"/>
    <w:rsid w:val="00923A3D"/>
    <w:rsid w:val="00932C3F"/>
    <w:rsid w:val="00932F2F"/>
    <w:rsid w:val="009352ED"/>
    <w:rsid w:val="0093570C"/>
    <w:rsid w:val="00936E6C"/>
    <w:rsid w:val="009377A6"/>
    <w:rsid w:val="0094189D"/>
    <w:rsid w:val="009425EC"/>
    <w:rsid w:val="009435AA"/>
    <w:rsid w:val="0095036E"/>
    <w:rsid w:val="009536E7"/>
    <w:rsid w:val="00955B92"/>
    <w:rsid w:val="00963117"/>
    <w:rsid w:val="0096329D"/>
    <w:rsid w:val="00971E56"/>
    <w:rsid w:val="00976BA0"/>
    <w:rsid w:val="00976DA3"/>
    <w:rsid w:val="00976FCC"/>
    <w:rsid w:val="009813B1"/>
    <w:rsid w:val="009834D7"/>
    <w:rsid w:val="009837FA"/>
    <w:rsid w:val="0098745E"/>
    <w:rsid w:val="00995758"/>
    <w:rsid w:val="00995F83"/>
    <w:rsid w:val="0099640D"/>
    <w:rsid w:val="009A0AC2"/>
    <w:rsid w:val="009A4BED"/>
    <w:rsid w:val="009A5CC2"/>
    <w:rsid w:val="009A67BE"/>
    <w:rsid w:val="009C0E81"/>
    <w:rsid w:val="009C7ADD"/>
    <w:rsid w:val="009D2E32"/>
    <w:rsid w:val="009E4AF5"/>
    <w:rsid w:val="009E6638"/>
    <w:rsid w:val="009E72EA"/>
    <w:rsid w:val="009E79CD"/>
    <w:rsid w:val="009F0757"/>
    <w:rsid w:val="00A03C4F"/>
    <w:rsid w:val="00A07953"/>
    <w:rsid w:val="00A07C74"/>
    <w:rsid w:val="00A13DD4"/>
    <w:rsid w:val="00A14385"/>
    <w:rsid w:val="00A157A3"/>
    <w:rsid w:val="00A1787D"/>
    <w:rsid w:val="00A202FB"/>
    <w:rsid w:val="00A264E4"/>
    <w:rsid w:val="00A31EBA"/>
    <w:rsid w:val="00A34682"/>
    <w:rsid w:val="00A358C9"/>
    <w:rsid w:val="00A36D3E"/>
    <w:rsid w:val="00A40B8F"/>
    <w:rsid w:val="00A40F9F"/>
    <w:rsid w:val="00A45FB9"/>
    <w:rsid w:val="00A500A3"/>
    <w:rsid w:val="00A52E93"/>
    <w:rsid w:val="00A552DF"/>
    <w:rsid w:val="00A562A4"/>
    <w:rsid w:val="00A60C63"/>
    <w:rsid w:val="00A64132"/>
    <w:rsid w:val="00A707E9"/>
    <w:rsid w:val="00A73BF1"/>
    <w:rsid w:val="00A73D8B"/>
    <w:rsid w:val="00A749BF"/>
    <w:rsid w:val="00A74FA0"/>
    <w:rsid w:val="00A808EA"/>
    <w:rsid w:val="00A81DB1"/>
    <w:rsid w:val="00A869D9"/>
    <w:rsid w:val="00A91024"/>
    <w:rsid w:val="00A937EC"/>
    <w:rsid w:val="00A94C3D"/>
    <w:rsid w:val="00A9541E"/>
    <w:rsid w:val="00A96F01"/>
    <w:rsid w:val="00A97194"/>
    <w:rsid w:val="00AB092E"/>
    <w:rsid w:val="00AB19B6"/>
    <w:rsid w:val="00AB2277"/>
    <w:rsid w:val="00AC2AB3"/>
    <w:rsid w:val="00AD4C39"/>
    <w:rsid w:val="00AD634B"/>
    <w:rsid w:val="00AE086A"/>
    <w:rsid w:val="00AF00E1"/>
    <w:rsid w:val="00AF09E6"/>
    <w:rsid w:val="00AF1646"/>
    <w:rsid w:val="00AF3696"/>
    <w:rsid w:val="00B01116"/>
    <w:rsid w:val="00B03CD6"/>
    <w:rsid w:val="00B0628D"/>
    <w:rsid w:val="00B06477"/>
    <w:rsid w:val="00B07EAC"/>
    <w:rsid w:val="00B12CE8"/>
    <w:rsid w:val="00B23334"/>
    <w:rsid w:val="00B24DD3"/>
    <w:rsid w:val="00B25557"/>
    <w:rsid w:val="00B3088C"/>
    <w:rsid w:val="00B36B09"/>
    <w:rsid w:val="00B375A8"/>
    <w:rsid w:val="00B37EEF"/>
    <w:rsid w:val="00B41703"/>
    <w:rsid w:val="00B4250B"/>
    <w:rsid w:val="00B425B2"/>
    <w:rsid w:val="00B44033"/>
    <w:rsid w:val="00B44116"/>
    <w:rsid w:val="00B44E39"/>
    <w:rsid w:val="00B4544C"/>
    <w:rsid w:val="00B47DF7"/>
    <w:rsid w:val="00B502BC"/>
    <w:rsid w:val="00B512EB"/>
    <w:rsid w:val="00B521F7"/>
    <w:rsid w:val="00B564D4"/>
    <w:rsid w:val="00B57AA9"/>
    <w:rsid w:val="00B61B0A"/>
    <w:rsid w:val="00B6446E"/>
    <w:rsid w:val="00B657F4"/>
    <w:rsid w:val="00B67BAC"/>
    <w:rsid w:val="00B70025"/>
    <w:rsid w:val="00B774F4"/>
    <w:rsid w:val="00B85697"/>
    <w:rsid w:val="00B85D07"/>
    <w:rsid w:val="00B90538"/>
    <w:rsid w:val="00B90AC5"/>
    <w:rsid w:val="00B92364"/>
    <w:rsid w:val="00B95C61"/>
    <w:rsid w:val="00B979E4"/>
    <w:rsid w:val="00BA0D43"/>
    <w:rsid w:val="00BA2A96"/>
    <w:rsid w:val="00BA3A69"/>
    <w:rsid w:val="00BB3200"/>
    <w:rsid w:val="00BB37A2"/>
    <w:rsid w:val="00BB47C6"/>
    <w:rsid w:val="00BC3EA3"/>
    <w:rsid w:val="00BD54C1"/>
    <w:rsid w:val="00BD5835"/>
    <w:rsid w:val="00BD6430"/>
    <w:rsid w:val="00BD6F20"/>
    <w:rsid w:val="00BE1AF8"/>
    <w:rsid w:val="00BE1CA2"/>
    <w:rsid w:val="00BE29DE"/>
    <w:rsid w:val="00BE56C1"/>
    <w:rsid w:val="00BE60B5"/>
    <w:rsid w:val="00BE745B"/>
    <w:rsid w:val="00BF22FF"/>
    <w:rsid w:val="00BF36C7"/>
    <w:rsid w:val="00BF5CD7"/>
    <w:rsid w:val="00BF6765"/>
    <w:rsid w:val="00C007C7"/>
    <w:rsid w:val="00C064D2"/>
    <w:rsid w:val="00C11989"/>
    <w:rsid w:val="00C174C3"/>
    <w:rsid w:val="00C301C6"/>
    <w:rsid w:val="00C33016"/>
    <w:rsid w:val="00C3333C"/>
    <w:rsid w:val="00C34D8D"/>
    <w:rsid w:val="00C37549"/>
    <w:rsid w:val="00C41A17"/>
    <w:rsid w:val="00C43921"/>
    <w:rsid w:val="00C46D3A"/>
    <w:rsid w:val="00C475B3"/>
    <w:rsid w:val="00C50543"/>
    <w:rsid w:val="00C55A8C"/>
    <w:rsid w:val="00C601C7"/>
    <w:rsid w:val="00C61754"/>
    <w:rsid w:val="00C61874"/>
    <w:rsid w:val="00C662DA"/>
    <w:rsid w:val="00C7309D"/>
    <w:rsid w:val="00C73D32"/>
    <w:rsid w:val="00C75770"/>
    <w:rsid w:val="00C802CC"/>
    <w:rsid w:val="00C8204F"/>
    <w:rsid w:val="00C850AB"/>
    <w:rsid w:val="00C87A6A"/>
    <w:rsid w:val="00C91E1A"/>
    <w:rsid w:val="00C9260B"/>
    <w:rsid w:val="00CA33DE"/>
    <w:rsid w:val="00CA729C"/>
    <w:rsid w:val="00CB060E"/>
    <w:rsid w:val="00CB12C8"/>
    <w:rsid w:val="00CB2E15"/>
    <w:rsid w:val="00CB661A"/>
    <w:rsid w:val="00CB6894"/>
    <w:rsid w:val="00CB7492"/>
    <w:rsid w:val="00CC07AE"/>
    <w:rsid w:val="00CC2357"/>
    <w:rsid w:val="00CC3798"/>
    <w:rsid w:val="00CC5DCC"/>
    <w:rsid w:val="00CD09D9"/>
    <w:rsid w:val="00CD1A80"/>
    <w:rsid w:val="00CD4D18"/>
    <w:rsid w:val="00CD4F77"/>
    <w:rsid w:val="00CD557A"/>
    <w:rsid w:val="00CE731F"/>
    <w:rsid w:val="00CF08F2"/>
    <w:rsid w:val="00CF150A"/>
    <w:rsid w:val="00CF19DA"/>
    <w:rsid w:val="00CF1F58"/>
    <w:rsid w:val="00CF28E5"/>
    <w:rsid w:val="00CF736A"/>
    <w:rsid w:val="00D01CAD"/>
    <w:rsid w:val="00D02649"/>
    <w:rsid w:val="00D02FF4"/>
    <w:rsid w:val="00D14096"/>
    <w:rsid w:val="00D21C15"/>
    <w:rsid w:val="00D2238E"/>
    <w:rsid w:val="00D22884"/>
    <w:rsid w:val="00D347C9"/>
    <w:rsid w:val="00D34A41"/>
    <w:rsid w:val="00D34CBB"/>
    <w:rsid w:val="00D353DC"/>
    <w:rsid w:val="00D368BB"/>
    <w:rsid w:val="00D36B54"/>
    <w:rsid w:val="00D46453"/>
    <w:rsid w:val="00D46A40"/>
    <w:rsid w:val="00D47D98"/>
    <w:rsid w:val="00D509AB"/>
    <w:rsid w:val="00D524E9"/>
    <w:rsid w:val="00D53FCE"/>
    <w:rsid w:val="00D55699"/>
    <w:rsid w:val="00D6085C"/>
    <w:rsid w:val="00D63E48"/>
    <w:rsid w:val="00D66A97"/>
    <w:rsid w:val="00D7055E"/>
    <w:rsid w:val="00D716A3"/>
    <w:rsid w:val="00D72E05"/>
    <w:rsid w:val="00D73261"/>
    <w:rsid w:val="00D76D09"/>
    <w:rsid w:val="00D77963"/>
    <w:rsid w:val="00D84D08"/>
    <w:rsid w:val="00D84DDE"/>
    <w:rsid w:val="00D85BF7"/>
    <w:rsid w:val="00D92EA4"/>
    <w:rsid w:val="00D9396E"/>
    <w:rsid w:val="00D93D77"/>
    <w:rsid w:val="00DA2B47"/>
    <w:rsid w:val="00DA4E09"/>
    <w:rsid w:val="00DA5F12"/>
    <w:rsid w:val="00DB17A1"/>
    <w:rsid w:val="00DB4A10"/>
    <w:rsid w:val="00DB6C3B"/>
    <w:rsid w:val="00DC1B44"/>
    <w:rsid w:val="00DD2BD2"/>
    <w:rsid w:val="00DD5E35"/>
    <w:rsid w:val="00DD7BA8"/>
    <w:rsid w:val="00DE1992"/>
    <w:rsid w:val="00DE1FF2"/>
    <w:rsid w:val="00DE2C8A"/>
    <w:rsid w:val="00DE3F16"/>
    <w:rsid w:val="00DE726E"/>
    <w:rsid w:val="00DE732F"/>
    <w:rsid w:val="00DE785B"/>
    <w:rsid w:val="00DF2574"/>
    <w:rsid w:val="00DF4BAF"/>
    <w:rsid w:val="00E023A2"/>
    <w:rsid w:val="00E02DDC"/>
    <w:rsid w:val="00E04970"/>
    <w:rsid w:val="00E1790E"/>
    <w:rsid w:val="00E242E1"/>
    <w:rsid w:val="00E25F52"/>
    <w:rsid w:val="00E26C37"/>
    <w:rsid w:val="00E276CC"/>
    <w:rsid w:val="00E33B13"/>
    <w:rsid w:val="00E35A8C"/>
    <w:rsid w:val="00E40874"/>
    <w:rsid w:val="00E4789B"/>
    <w:rsid w:val="00E55E4C"/>
    <w:rsid w:val="00E57093"/>
    <w:rsid w:val="00E6072B"/>
    <w:rsid w:val="00E62B3A"/>
    <w:rsid w:val="00E679D4"/>
    <w:rsid w:val="00E73AEA"/>
    <w:rsid w:val="00E7474A"/>
    <w:rsid w:val="00E77A10"/>
    <w:rsid w:val="00E85221"/>
    <w:rsid w:val="00E878B1"/>
    <w:rsid w:val="00E91929"/>
    <w:rsid w:val="00E929EE"/>
    <w:rsid w:val="00E95666"/>
    <w:rsid w:val="00E95669"/>
    <w:rsid w:val="00E96649"/>
    <w:rsid w:val="00EA0593"/>
    <w:rsid w:val="00EA0862"/>
    <w:rsid w:val="00EA2AD2"/>
    <w:rsid w:val="00EA4942"/>
    <w:rsid w:val="00EB2E5B"/>
    <w:rsid w:val="00EB60B6"/>
    <w:rsid w:val="00EC120E"/>
    <w:rsid w:val="00ED080E"/>
    <w:rsid w:val="00ED371E"/>
    <w:rsid w:val="00ED7F6A"/>
    <w:rsid w:val="00EE2BB5"/>
    <w:rsid w:val="00EE2CB7"/>
    <w:rsid w:val="00EE39A4"/>
    <w:rsid w:val="00EE5B1B"/>
    <w:rsid w:val="00EE62DA"/>
    <w:rsid w:val="00EF1F92"/>
    <w:rsid w:val="00EF309A"/>
    <w:rsid w:val="00EF62ED"/>
    <w:rsid w:val="00F03978"/>
    <w:rsid w:val="00F07A23"/>
    <w:rsid w:val="00F10285"/>
    <w:rsid w:val="00F10CDA"/>
    <w:rsid w:val="00F23073"/>
    <w:rsid w:val="00F26BDD"/>
    <w:rsid w:val="00F26EF5"/>
    <w:rsid w:val="00F32255"/>
    <w:rsid w:val="00F350F3"/>
    <w:rsid w:val="00F3681D"/>
    <w:rsid w:val="00F42482"/>
    <w:rsid w:val="00F5359F"/>
    <w:rsid w:val="00F53CDE"/>
    <w:rsid w:val="00F57315"/>
    <w:rsid w:val="00F6070B"/>
    <w:rsid w:val="00F6146D"/>
    <w:rsid w:val="00F629D2"/>
    <w:rsid w:val="00F65CCB"/>
    <w:rsid w:val="00F67A29"/>
    <w:rsid w:val="00F67E2E"/>
    <w:rsid w:val="00F71A58"/>
    <w:rsid w:val="00F75681"/>
    <w:rsid w:val="00F81B68"/>
    <w:rsid w:val="00F83202"/>
    <w:rsid w:val="00F85088"/>
    <w:rsid w:val="00F904B8"/>
    <w:rsid w:val="00F9124E"/>
    <w:rsid w:val="00F93DCA"/>
    <w:rsid w:val="00F93E7A"/>
    <w:rsid w:val="00F94BF1"/>
    <w:rsid w:val="00F96F9F"/>
    <w:rsid w:val="00FA208D"/>
    <w:rsid w:val="00FB61FF"/>
    <w:rsid w:val="00FB6748"/>
    <w:rsid w:val="00FB7501"/>
    <w:rsid w:val="00FC0E2E"/>
    <w:rsid w:val="00FC1D0C"/>
    <w:rsid w:val="00FC334A"/>
    <w:rsid w:val="00FD17C1"/>
    <w:rsid w:val="00FD507C"/>
    <w:rsid w:val="00FD7418"/>
    <w:rsid w:val="00FD7911"/>
    <w:rsid w:val="00FE0063"/>
    <w:rsid w:val="00FE063B"/>
    <w:rsid w:val="00FE3D4E"/>
    <w:rsid w:val="00FE5137"/>
    <w:rsid w:val="00FE7DCB"/>
    <w:rsid w:val="00FF1927"/>
    <w:rsid w:val="00FF3E44"/>
    <w:rsid w:val="00FF6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D767"/>
  <w15:chartTrackingRefBased/>
  <w15:docId w15:val="{38BF6DFA-996A-4237-B9D6-E707B44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B09"/>
    <w:rPr>
      <w:sz w:val="24"/>
      <w:szCs w:val="24"/>
    </w:rPr>
  </w:style>
  <w:style w:type="paragraph" w:styleId="Heading1">
    <w:name w:val="heading 1"/>
    <w:basedOn w:val="Normal"/>
    <w:next w:val="Normal"/>
    <w:link w:val="Heading1Char"/>
    <w:qFormat/>
    <w:rsid w:val="00E9192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551A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7418"/>
    <w:pPr>
      <w:jc w:val="center"/>
      <w:outlineLvl w:val="0"/>
    </w:pPr>
    <w:rPr>
      <w:b/>
      <w:sz w:val="28"/>
      <w:lang w:eastAsia="en-US"/>
    </w:rPr>
  </w:style>
  <w:style w:type="paragraph" w:styleId="Header">
    <w:name w:val="header"/>
    <w:basedOn w:val="Normal"/>
    <w:rsid w:val="00FD7418"/>
    <w:pPr>
      <w:tabs>
        <w:tab w:val="center" w:pos="4153"/>
        <w:tab w:val="right" w:pos="8306"/>
      </w:tabs>
    </w:pPr>
  </w:style>
  <w:style w:type="paragraph" w:styleId="Footer">
    <w:name w:val="footer"/>
    <w:basedOn w:val="Normal"/>
    <w:rsid w:val="00FD7418"/>
    <w:pPr>
      <w:tabs>
        <w:tab w:val="center" w:pos="4153"/>
        <w:tab w:val="right" w:pos="8306"/>
      </w:tabs>
    </w:pPr>
  </w:style>
  <w:style w:type="character" w:styleId="PageNumber">
    <w:name w:val="page number"/>
    <w:basedOn w:val="DefaultParagraphFont"/>
    <w:rsid w:val="00C475B3"/>
  </w:style>
  <w:style w:type="paragraph" w:styleId="BodyText2">
    <w:name w:val="Body Text 2"/>
    <w:basedOn w:val="Normal"/>
    <w:link w:val="BodyText2Char"/>
    <w:rsid w:val="00C475B3"/>
    <w:pPr>
      <w:jc w:val="both"/>
    </w:pPr>
    <w:rPr>
      <w:sz w:val="28"/>
      <w:szCs w:val="20"/>
      <w:lang w:eastAsia="en-US"/>
    </w:rPr>
  </w:style>
  <w:style w:type="paragraph" w:customStyle="1" w:styleId="naisf">
    <w:name w:val="naisf"/>
    <w:basedOn w:val="Normal"/>
    <w:rsid w:val="00666871"/>
    <w:pPr>
      <w:spacing w:before="75" w:after="75"/>
      <w:ind w:firstLine="375"/>
      <w:jc w:val="both"/>
    </w:pPr>
  </w:style>
  <w:style w:type="paragraph" w:customStyle="1" w:styleId="naisc">
    <w:name w:val="naisc"/>
    <w:basedOn w:val="Normal"/>
    <w:rsid w:val="00666871"/>
    <w:pPr>
      <w:spacing w:before="75" w:after="75"/>
      <w:jc w:val="center"/>
    </w:pPr>
  </w:style>
  <w:style w:type="paragraph" w:styleId="BalloonText">
    <w:name w:val="Balloon Text"/>
    <w:basedOn w:val="Normal"/>
    <w:semiHidden/>
    <w:rsid w:val="00B502BC"/>
    <w:rPr>
      <w:rFonts w:ascii="Tahoma" w:hAnsi="Tahoma" w:cs="Tahoma"/>
      <w:sz w:val="16"/>
      <w:szCs w:val="16"/>
    </w:rPr>
  </w:style>
  <w:style w:type="paragraph" w:customStyle="1" w:styleId="RakstzCharCharRakstzCharCharRakstz">
    <w:name w:val="Rakstz. Char Char Rakstz. Char Char Rakstz."/>
    <w:basedOn w:val="Normal"/>
    <w:rsid w:val="00A500A3"/>
    <w:pPr>
      <w:spacing w:after="160" w:line="240" w:lineRule="exact"/>
    </w:pPr>
    <w:rPr>
      <w:rFonts w:ascii="Tahoma" w:hAnsi="Tahoma"/>
      <w:sz w:val="20"/>
      <w:szCs w:val="20"/>
      <w:lang w:val="en-US" w:eastAsia="en-US"/>
    </w:rPr>
  </w:style>
  <w:style w:type="paragraph" w:customStyle="1" w:styleId="naislab">
    <w:name w:val="naislab"/>
    <w:basedOn w:val="Normal"/>
    <w:rsid w:val="00A9541E"/>
    <w:pPr>
      <w:spacing w:before="100" w:beforeAutospacing="1" w:after="100" w:afterAutospacing="1"/>
    </w:pPr>
  </w:style>
  <w:style w:type="character" w:customStyle="1" w:styleId="BodyText2Char">
    <w:name w:val="Body Text 2 Char"/>
    <w:link w:val="BodyText2"/>
    <w:rsid w:val="00CB661A"/>
    <w:rPr>
      <w:sz w:val="28"/>
      <w:lang w:eastAsia="en-US"/>
    </w:rPr>
  </w:style>
  <w:style w:type="character" w:customStyle="1" w:styleId="Heading3Char">
    <w:name w:val="Heading 3 Char"/>
    <w:link w:val="Heading3"/>
    <w:uiPriority w:val="9"/>
    <w:rsid w:val="00551A0F"/>
    <w:rPr>
      <w:b/>
      <w:bCs/>
      <w:sz w:val="27"/>
      <w:szCs w:val="27"/>
    </w:rPr>
  </w:style>
  <w:style w:type="paragraph" w:customStyle="1" w:styleId="naisnod">
    <w:name w:val="naisnod"/>
    <w:basedOn w:val="Normal"/>
    <w:rsid w:val="00551A0F"/>
    <w:pPr>
      <w:spacing w:before="100" w:beforeAutospacing="1" w:after="100" w:afterAutospacing="1"/>
    </w:pPr>
  </w:style>
  <w:style w:type="paragraph" w:customStyle="1" w:styleId="naiskr">
    <w:name w:val="naiskr"/>
    <w:basedOn w:val="Normal"/>
    <w:rsid w:val="00551A0F"/>
    <w:pPr>
      <w:spacing w:before="100" w:beforeAutospacing="1" w:after="100" w:afterAutospacing="1"/>
    </w:pPr>
  </w:style>
  <w:style w:type="paragraph" w:customStyle="1" w:styleId="tv2121">
    <w:name w:val="tv2121"/>
    <w:basedOn w:val="Normal"/>
    <w:rsid w:val="00551A0F"/>
    <w:pPr>
      <w:spacing w:before="400" w:line="360" w:lineRule="auto"/>
      <w:jc w:val="center"/>
    </w:pPr>
    <w:rPr>
      <w:rFonts w:ascii="Verdana" w:hAnsi="Verdana"/>
      <w:b/>
      <w:bCs/>
      <w:sz w:val="20"/>
      <w:szCs w:val="20"/>
    </w:rPr>
  </w:style>
  <w:style w:type="paragraph" w:styleId="ListParagraph">
    <w:name w:val="List Paragraph"/>
    <w:basedOn w:val="Normal"/>
    <w:uiPriority w:val="34"/>
    <w:qFormat/>
    <w:rsid w:val="00BF22FF"/>
    <w:pPr>
      <w:spacing w:after="160" w:line="259" w:lineRule="auto"/>
      <w:ind w:left="720"/>
      <w:contextualSpacing/>
    </w:pPr>
    <w:rPr>
      <w:rFonts w:ascii="Calibri" w:eastAsia="Calibri" w:hAnsi="Calibri"/>
      <w:sz w:val="22"/>
      <w:szCs w:val="22"/>
      <w:lang w:eastAsia="en-US"/>
    </w:rPr>
  </w:style>
  <w:style w:type="character" w:styleId="Hyperlink">
    <w:name w:val="Hyperlink"/>
    <w:rsid w:val="00B774F4"/>
    <w:rPr>
      <w:color w:val="0000FF"/>
      <w:u w:val="single"/>
    </w:rPr>
  </w:style>
  <w:style w:type="character" w:customStyle="1" w:styleId="Heading1Char">
    <w:name w:val="Heading 1 Char"/>
    <w:link w:val="Heading1"/>
    <w:rsid w:val="00E91929"/>
    <w:rPr>
      <w:rFonts w:ascii="Cambria" w:eastAsia="Times New Roman" w:hAnsi="Cambria" w:cs="Times New Roman"/>
      <w:b/>
      <w:bCs/>
      <w:kern w:val="32"/>
      <w:sz w:val="32"/>
      <w:szCs w:val="32"/>
    </w:rPr>
  </w:style>
  <w:style w:type="paragraph" w:styleId="BodyText">
    <w:name w:val="Body Text"/>
    <w:basedOn w:val="Normal"/>
    <w:link w:val="BodyTextChar"/>
    <w:rsid w:val="00524A7C"/>
    <w:pPr>
      <w:spacing w:after="120"/>
    </w:pPr>
  </w:style>
  <w:style w:type="character" w:customStyle="1" w:styleId="BodyTextChar">
    <w:name w:val="Body Text Char"/>
    <w:link w:val="BodyText"/>
    <w:rsid w:val="00524A7C"/>
    <w:rPr>
      <w:sz w:val="24"/>
      <w:szCs w:val="24"/>
    </w:rPr>
  </w:style>
  <w:style w:type="character" w:customStyle="1" w:styleId="UnresolvedMention1">
    <w:name w:val="Unresolved Mention1"/>
    <w:uiPriority w:val="99"/>
    <w:semiHidden/>
    <w:unhideWhenUsed/>
    <w:rsid w:val="005D488E"/>
    <w:rPr>
      <w:color w:val="808080"/>
      <w:shd w:val="clear" w:color="auto" w:fill="E6E6E6"/>
    </w:rPr>
  </w:style>
  <w:style w:type="character" w:customStyle="1" w:styleId="sentence">
    <w:name w:val="sentence"/>
    <w:rsid w:val="00542AA6"/>
  </w:style>
  <w:style w:type="character" w:customStyle="1" w:styleId="word">
    <w:name w:val="word"/>
    <w:rsid w:val="00542AA6"/>
  </w:style>
  <w:style w:type="character" w:customStyle="1" w:styleId="TitleChar">
    <w:name w:val="Title Char"/>
    <w:link w:val="Title"/>
    <w:rsid w:val="00F10CDA"/>
    <w:rPr>
      <w:b/>
      <w:sz w:val="28"/>
      <w:szCs w:val="24"/>
      <w:lang w:val="lv-LV"/>
    </w:rPr>
  </w:style>
  <w:style w:type="character" w:styleId="Strong">
    <w:name w:val="Strong"/>
    <w:uiPriority w:val="22"/>
    <w:qFormat/>
    <w:rsid w:val="00877C79"/>
    <w:rPr>
      <w:b/>
      <w:bCs/>
    </w:rPr>
  </w:style>
  <w:style w:type="paragraph" w:styleId="NormalWeb">
    <w:name w:val="Normal (Web)"/>
    <w:basedOn w:val="Normal"/>
    <w:uiPriority w:val="99"/>
    <w:rsid w:val="00EA4942"/>
    <w:pPr>
      <w:spacing w:before="75" w:after="75"/>
    </w:pPr>
  </w:style>
  <w:style w:type="character" w:customStyle="1" w:styleId="phrase">
    <w:name w:val="phrase"/>
    <w:rsid w:val="00D47D98"/>
  </w:style>
  <w:style w:type="paragraph" w:customStyle="1" w:styleId="Default">
    <w:name w:val="Default"/>
    <w:rsid w:val="00814BE1"/>
    <w:pPr>
      <w:autoSpaceDE w:val="0"/>
      <w:autoSpaceDN w:val="0"/>
      <w:adjustRightInd w:val="0"/>
    </w:pPr>
    <w:rPr>
      <w:color w:val="000000"/>
      <w:sz w:val="24"/>
      <w:szCs w:val="24"/>
      <w:lang w:val="en-US" w:eastAsia="en-US"/>
    </w:rPr>
  </w:style>
  <w:style w:type="paragraph" w:customStyle="1" w:styleId="CM1">
    <w:name w:val="CM1"/>
    <w:basedOn w:val="Default"/>
    <w:next w:val="Default"/>
    <w:uiPriority w:val="99"/>
    <w:rsid w:val="00D76D09"/>
    <w:rPr>
      <w:rFonts w:ascii="EUAlbertina" w:hAnsi="EUAlbertina"/>
      <w:color w:val="auto"/>
    </w:rPr>
  </w:style>
  <w:style w:type="paragraph" w:customStyle="1" w:styleId="CM3">
    <w:name w:val="CM3"/>
    <w:basedOn w:val="Default"/>
    <w:next w:val="Default"/>
    <w:uiPriority w:val="99"/>
    <w:rsid w:val="00D76D09"/>
    <w:rPr>
      <w:rFonts w:ascii="EUAlbertina" w:hAnsi="EUAlbertina"/>
      <w:color w:val="auto"/>
    </w:rPr>
  </w:style>
  <w:style w:type="paragraph" w:styleId="FootnoteText">
    <w:name w:val="footnote text"/>
    <w:basedOn w:val="Normal"/>
    <w:link w:val="FootnoteTextChar"/>
    <w:rsid w:val="00A34682"/>
    <w:rPr>
      <w:sz w:val="20"/>
      <w:szCs w:val="20"/>
    </w:rPr>
  </w:style>
  <w:style w:type="character" w:customStyle="1" w:styleId="FootnoteTextChar">
    <w:name w:val="Footnote Text Char"/>
    <w:basedOn w:val="DefaultParagraphFont"/>
    <w:link w:val="FootnoteText"/>
    <w:rsid w:val="00A34682"/>
  </w:style>
  <w:style w:type="character" w:styleId="FootnoteReference">
    <w:name w:val="footnote reference"/>
    <w:basedOn w:val="DefaultParagraphFont"/>
    <w:rsid w:val="00A34682"/>
    <w:rPr>
      <w:vertAlign w:val="superscript"/>
    </w:rPr>
  </w:style>
  <w:style w:type="table" w:styleId="TableGrid">
    <w:name w:val="Table Grid"/>
    <w:basedOn w:val="TableNormal"/>
    <w:rsid w:val="00A3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095A"/>
    <w:rPr>
      <w:sz w:val="16"/>
      <w:szCs w:val="16"/>
    </w:rPr>
  </w:style>
  <w:style w:type="paragraph" w:styleId="CommentText">
    <w:name w:val="annotation text"/>
    <w:basedOn w:val="Normal"/>
    <w:link w:val="CommentTextChar"/>
    <w:rsid w:val="0069095A"/>
    <w:rPr>
      <w:sz w:val="20"/>
      <w:szCs w:val="20"/>
    </w:rPr>
  </w:style>
  <w:style w:type="character" w:customStyle="1" w:styleId="CommentTextChar">
    <w:name w:val="Comment Text Char"/>
    <w:basedOn w:val="DefaultParagraphFont"/>
    <w:link w:val="CommentText"/>
    <w:rsid w:val="0069095A"/>
  </w:style>
  <w:style w:type="paragraph" w:styleId="CommentSubject">
    <w:name w:val="annotation subject"/>
    <w:basedOn w:val="CommentText"/>
    <w:next w:val="CommentText"/>
    <w:link w:val="CommentSubjectChar"/>
    <w:rsid w:val="0069095A"/>
    <w:rPr>
      <w:b/>
      <w:bCs/>
    </w:rPr>
  </w:style>
  <w:style w:type="character" w:customStyle="1" w:styleId="CommentSubjectChar">
    <w:name w:val="Comment Subject Char"/>
    <w:basedOn w:val="CommentTextChar"/>
    <w:link w:val="CommentSubject"/>
    <w:rsid w:val="0069095A"/>
    <w:rPr>
      <w:b/>
      <w:bCs/>
    </w:rPr>
  </w:style>
  <w:style w:type="paragraph" w:styleId="Revision">
    <w:name w:val="Revision"/>
    <w:hidden/>
    <w:uiPriority w:val="99"/>
    <w:semiHidden/>
    <w:rsid w:val="00D63E48"/>
    <w:rPr>
      <w:sz w:val="24"/>
      <w:szCs w:val="24"/>
    </w:rPr>
  </w:style>
  <w:style w:type="character" w:customStyle="1" w:styleId="UnresolvedMention2">
    <w:name w:val="Unresolved Mention2"/>
    <w:basedOn w:val="DefaultParagraphFont"/>
    <w:uiPriority w:val="99"/>
    <w:semiHidden/>
    <w:unhideWhenUsed/>
    <w:rsid w:val="006E267F"/>
    <w:rPr>
      <w:color w:val="605E5C"/>
      <w:shd w:val="clear" w:color="auto" w:fill="E1DFDD"/>
    </w:rPr>
  </w:style>
  <w:style w:type="table" w:customStyle="1" w:styleId="TableGrid1">
    <w:name w:val="Table Grid1"/>
    <w:basedOn w:val="TableNormal"/>
    <w:next w:val="TableGrid"/>
    <w:uiPriority w:val="59"/>
    <w:rsid w:val="006E267F"/>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6BDD"/>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9481">
      <w:bodyDiv w:val="1"/>
      <w:marLeft w:val="0"/>
      <w:marRight w:val="0"/>
      <w:marTop w:val="0"/>
      <w:marBottom w:val="0"/>
      <w:divBdr>
        <w:top w:val="none" w:sz="0" w:space="0" w:color="auto"/>
        <w:left w:val="none" w:sz="0" w:space="0" w:color="auto"/>
        <w:bottom w:val="none" w:sz="0" w:space="0" w:color="auto"/>
        <w:right w:val="none" w:sz="0" w:space="0" w:color="auto"/>
      </w:divBdr>
    </w:div>
    <w:div w:id="198006362">
      <w:bodyDiv w:val="1"/>
      <w:marLeft w:val="0"/>
      <w:marRight w:val="0"/>
      <w:marTop w:val="0"/>
      <w:marBottom w:val="0"/>
      <w:divBdr>
        <w:top w:val="none" w:sz="0" w:space="0" w:color="auto"/>
        <w:left w:val="none" w:sz="0" w:space="0" w:color="auto"/>
        <w:bottom w:val="none" w:sz="0" w:space="0" w:color="auto"/>
        <w:right w:val="none" w:sz="0" w:space="0" w:color="auto"/>
      </w:divBdr>
    </w:div>
    <w:div w:id="221984980">
      <w:bodyDiv w:val="1"/>
      <w:marLeft w:val="0"/>
      <w:marRight w:val="0"/>
      <w:marTop w:val="0"/>
      <w:marBottom w:val="0"/>
      <w:divBdr>
        <w:top w:val="none" w:sz="0" w:space="0" w:color="auto"/>
        <w:left w:val="none" w:sz="0" w:space="0" w:color="auto"/>
        <w:bottom w:val="none" w:sz="0" w:space="0" w:color="auto"/>
        <w:right w:val="none" w:sz="0" w:space="0" w:color="auto"/>
      </w:divBdr>
    </w:div>
    <w:div w:id="290090789">
      <w:bodyDiv w:val="1"/>
      <w:marLeft w:val="0"/>
      <w:marRight w:val="0"/>
      <w:marTop w:val="0"/>
      <w:marBottom w:val="0"/>
      <w:divBdr>
        <w:top w:val="none" w:sz="0" w:space="0" w:color="auto"/>
        <w:left w:val="none" w:sz="0" w:space="0" w:color="auto"/>
        <w:bottom w:val="none" w:sz="0" w:space="0" w:color="auto"/>
        <w:right w:val="none" w:sz="0" w:space="0" w:color="auto"/>
      </w:divBdr>
    </w:div>
    <w:div w:id="351995798">
      <w:bodyDiv w:val="1"/>
      <w:marLeft w:val="0"/>
      <w:marRight w:val="0"/>
      <w:marTop w:val="0"/>
      <w:marBottom w:val="0"/>
      <w:divBdr>
        <w:top w:val="none" w:sz="0" w:space="0" w:color="auto"/>
        <w:left w:val="none" w:sz="0" w:space="0" w:color="auto"/>
        <w:bottom w:val="none" w:sz="0" w:space="0" w:color="auto"/>
        <w:right w:val="none" w:sz="0" w:space="0" w:color="auto"/>
      </w:divBdr>
    </w:div>
    <w:div w:id="506797217">
      <w:bodyDiv w:val="1"/>
      <w:marLeft w:val="0"/>
      <w:marRight w:val="0"/>
      <w:marTop w:val="0"/>
      <w:marBottom w:val="0"/>
      <w:divBdr>
        <w:top w:val="none" w:sz="0" w:space="0" w:color="auto"/>
        <w:left w:val="none" w:sz="0" w:space="0" w:color="auto"/>
        <w:bottom w:val="none" w:sz="0" w:space="0" w:color="auto"/>
        <w:right w:val="none" w:sz="0" w:space="0" w:color="auto"/>
      </w:divBdr>
    </w:div>
    <w:div w:id="620721225">
      <w:bodyDiv w:val="1"/>
      <w:marLeft w:val="0"/>
      <w:marRight w:val="0"/>
      <w:marTop w:val="0"/>
      <w:marBottom w:val="0"/>
      <w:divBdr>
        <w:top w:val="none" w:sz="0" w:space="0" w:color="auto"/>
        <w:left w:val="none" w:sz="0" w:space="0" w:color="auto"/>
        <w:bottom w:val="none" w:sz="0" w:space="0" w:color="auto"/>
        <w:right w:val="none" w:sz="0" w:space="0" w:color="auto"/>
      </w:divBdr>
    </w:div>
    <w:div w:id="720058392">
      <w:bodyDiv w:val="1"/>
      <w:marLeft w:val="0"/>
      <w:marRight w:val="0"/>
      <w:marTop w:val="0"/>
      <w:marBottom w:val="0"/>
      <w:divBdr>
        <w:top w:val="none" w:sz="0" w:space="0" w:color="auto"/>
        <w:left w:val="none" w:sz="0" w:space="0" w:color="auto"/>
        <w:bottom w:val="none" w:sz="0" w:space="0" w:color="auto"/>
        <w:right w:val="none" w:sz="0" w:space="0" w:color="auto"/>
      </w:divBdr>
    </w:div>
    <w:div w:id="960721129">
      <w:bodyDiv w:val="1"/>
      <w:marLeft w:val="0"/>
      <w:marRight w:val="0"/>
      <w:marTop w:val="0"/>
      <w:marBottom w:val="0"/>
      <w:divBdr>
        <w:top w:val="none" w:sz="0" w:space="0" w:color="auto"/>
        <w:left w:val="none" w:sz="0" w:space="0" w:color="auto"/>
        <w:bottom w:val="none" w:sz="0" w:space="0" w:color="auto"/>
        <w:right w:val="none" w:sz="0" w:space="0" w:color="auto"/>
      </w:divBdr>
    </w:div>
    <w:div w:id="975456539">
      <w:bodyDiv w:val="1"/>
      <w:marLeft w:val="0"/>
      <w:marRight w:val="0"/>
      <w:marTop w:val="0"/>
      <w:marBottom w:val="0"/>
      <w:divBdr>
        <w:top w:val="none" w:sz="0" w:space="0" w:color="auto"/>
        <w:left w:val="none" w:sz="0" w:space="0" w:color="auto"/>
        <w:bottom w:val="none" w:sz="0" w:space="0" w:color="auto"/>
        <w:right w:val="none" w:sz="0" w:space="0" w:color="auto"/>
      </w:divBdr>
    </w:div>
    <w:div w:id="1009483084">
      <w:bodyDiv w:val="1"/>
      <w:marLeft w:val="0"/>
      <w:marRight w:val="0"/>
      <w:marTop w:val="0"/>
      <w:marBottom w:val="0"/>
      <w:divBdr>
        <w:top w:val="none" w:sz="0" w:space="0" w:color="auto"/>
        <w:left w:val="none" w:sz="0" w:space="0" w:color="auto"/>
        <w:bottom w:val="none" w:sz="0" w:space="0" w:color="auto"/>
        <w:right w:val="none" w:sz="0" w:space="0" w:color="auto"/>
      </w:divBdr>
    </w:div>
    <w:div w:id="1311248454">
      <w:bodyDiv w:val="1"/>
      <w:marLeft w:val="0"/>
      <w:marRight w:val="0"/>
      <w:marTop w:val="0"/>
      <w:marBottom w:val="0"/>
      <w:divBdr>
        <w:top w:val="none" w:sz="0" w:space="0" w:color="auto"/>
        <w:left w:val="none" w:sz="0" w:space="0" w:color="auto"/>
        <w:bottom w:val="none" w:sz="0" w:space="0" w:color="auto"/>
        <w:right w:val="none" w:sz="0" w:space="0" w:color="auto"/>
      </w:divBdr>
    </w:div>
    <w:div w:id="1374964074">
      <w:bodyDiv w:val="1"/>
      <w:marLeft w:val="0"/>
      <w:marRight w:val="0"/>
      <w:marTop w:val="0"/>
      <w:marBottom w:val="0"/>
      <w:divBdr>
        <w:top w:val="none" w:sz="0" w:space="0" w:color="auto"/>
        <w:left w:val="none" w:sz="0" w:space="0" w:color="auto"/>
        <w:bottom w:val="none" w:sz="0" w:space="0" w:color="auto"/>
        <w:right w:val="none" w:sz="0" w:space="0" w:color="auto"/>
      </w:divBdr>
    </w:div>
    <w:div w:id="1429545632">
      <w:bodyDiv w:val="1"/>
      <w:marLeft w:val="0"/>
      <w:marRight w:val="0"/>
      <w:marTop w:val="0"/>
      <w:marBottom w:val="0"/>
      <w:divBdr>
        <w:top w:val="none" w:sz="0" w:space="0" w:color="auto"/>
        <w:left w:val="none" w:sz="0" w:space="0" w:color="auto"/>
        <w:bottom w:val="none" w:sz="0" w:space="0" w:color="auto"/>
        <w:right w:val="none" w:sz="0" w:space="0" w:color="auto"/>
      </w:divBdr>
    </w:div>
    <w:div w:id="1433357003">
      <w:bodyDiv w:val="1"/>
      <w:marLeft w:val="0"/>
      <w:marRight w:val="0"/>
      <w:marTop w:val="0"/>
      <w:marBottom w:val="0"/>
      <w:divBdr>
        <w:top w:val="none" w:sz="0" w:space="0" w:color="auto"/>
        <w:left w:val="none" w:sz="0" w:space="0" w:color="auto"/>
        <w:bottom w:val="none" w:sz="0" w:space="0" w:color="auto"/>
        <w:right w:val="none" w:sz="0" w:space="0" w:color="auto"/>
      </w:divBdr>
    </w:div>
    <w:div w:id="1699969684">
      <w:bodyDiv w:val="1"/>
      <w:marLeft w:val="0"/>
      <w:marRight w:val="0"/>
      <w:marTop w:val="0"/>
      <w:marBottom w:val="0"/>
      <w:divBdr>
        <w:top w:val="none" w:sz="0" w:space="0" w:color="auto"/>
        <w:left w:val="none" w:sz="0" w:space="0" w:color="auto"/>
        <w:bottom w:val="none" w:sz="0" w:space="0" w:color="auto"/>
        <w:right w:val="none" w:sz="0" w:space="0" w:color="auto"/>
      </w:divBdr>
    </w:div>
    <w:div w:id="1726636824">
      <w:bodyDiv w:val="1"/>
      <w:marLeft w:val="0"/>
      <w:marRight w:val="0"/>
      <w:marTop w:val="0"/>
      <w:marBottom w:val="0"/>
      <w:divBdr>
        <w:top w:val="none" w:sz="0" w:space="0" w:color="auto"/>
        <w:left w:val="none" w:sz="0" w:space="0" w:color="auto"/>
        <w:bottom w:val="none" w:sz="0" w:space="0" w:color="auto"/>
        <w:right w:val="none" w:sz="0" w:space="0" w:color="auto"/>
      </w:divBdr>
    </w:div>
    <w:div w:id="1729187488">
      <w:bodyDiv w:val="1"/>
      <w:marLeft w:val="0"/>
      <w:marRight w:val="0"/>
      <w:marTop w:val="0"/>
      <w:marBottom w:val="0"/>
      <w:divBdr>
        <w:top w:val="none" w:sz="0" w:space="0" w:color="auto"/>
        <w:left w:val="none" w:sz="0" w:space="0" w:color="auto"/>
        <w:bottom w:val="none" w:sz="0" w:space="0" w:color="auto"/>
        <w:right w:val="none" w:sz="0" w:space="0" w:color="auto"/>
      </w:divBdr>
    </w:div>
    <w:div w:id="1886984087">
      <w:bodyDiv w:val="1"/>
      <w:marLeft w:val="0"/>
      <w:marRight w:val="0"/>
      <w:marTop w:val="0"/>
      <w:marBottom w:val="0"/>
      <w:divBdr>
        <w:top w:val="none" w:sz="0" w:space="0" w:color="auto"/>
        <w:left w:val="none" w:sz="0" w:space="0" w:color="auto"/>
        <w:bottom w:val="none" w:sz="0" w:space="0" w:color="auto"/>
        <w:right w:val="none" w:sz="0" w:space="0" w:color="auto"/>
      </w:divBdr>
    </w:div>
    <w:div w:id="1902714982">
      <w:bodyDiv w:val="1"/>
      <w:marLeft w:val="0"/>
      <w:marRight w:val="0"/>
      <w:marTop w:val="0"/>
      <w:marBottom w:val="0"/>
      <w:divBdr>
        <w:top w:val="none" w:sz="0" w:space="0" w:color="auto"/>
        <w:left w:val="none" w:sz="0" w:space="0" w:color="auto"/>
        <w:bottom w:val="none" w:sz="0" w:space="0" w:color="auto"/>
        <w:right w:val="none" w:sz="0" w:space="0" w:color="auto"/>
      </w:divBdr>
    </w:div>
    <w:div w:id="2004968935">
      <w:bodyDiv w:val="1"/>
      <w:marLeft w:val="0"/>
      <w:marRight w:val="0"/>
      <w:marTop w:val="0"/>
      <w:marBottom w:val="0"/>
      <w:divBdr>
        <w:top w:val="none" w:sz="0" w:space="0" w:color="auto"/>
        <w:left w:val="none" w:sz="0" w:space="0" w:color="auto"/>
        <w:bottom w:val="none" w:sz="0" w:space="0" w:color="auto"/>
        <w:right w:val="none" w:sz="0" w:space="0" w:color="auto"/>
      </w:divBdr>
    </w:div>
    <w:div w:id="20842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Engeli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D11E-9485-4F43-8EC3-34F6FDB2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15004</Words>
  <Characters>8553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Grozījums Ministru kabineta 2018. gada 3. jūlija noteikumos Nr. 395 "Eiropas infrastruktūras savienošanas instrumenta finansēto transporta un telekomunikāciju nozares projektu saskaņošanas un īstenošanas uzraudzības kārtība"</vt:lpstr>
    </vt:vector>
  </TitlesOfParts>
  <Company>Satiksmes Ministrija</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2018. gada 3. jūlija noteikumos Nr. 395 "Eiropas infrastruktūras savienošanas instrumenta finansēto transporta un telekomunikāciju nozares projektu saskaņošanas un īstenošanas uzraudzības kārtība"</dc:title>
  <dc:subject>Anotācija</dc:subject>
  <dc:creator>Kārlis Enģelis</dc:creator>
  <cp:keywords>Anotācija</cp:keywords>
  <dc:description>K.Eņģelis, 67028229</dc:description>
  <cp:lastModifiedBy>Kārlis Eņģelis</cp:lastModifiedBy>
  <cp:revision>3</cp:revision>
  <cp:lastPrinted>2020-10-16T12:21:00Z</cp:lastPrinted>
  <dcterms:created xsi:type="dcterms:W3CDTF">2020-11-02T13:56:00Z</dcterms:created>
  <dcterms:modified xsi:type="dcterms:W3CDTF">2020-11-02T13:56:00Z</dcterms:modified>
</cp:coreProperties>
</file>