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0CFD" w14:textId="77777777" w:rsidR="006B2466" w:rsidRPr="00A626FD" w:rsidRDefault="00F0154F" w:rsidP="005C0D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t>Informatīvais ziņojums</w:t>
      </w:r>
    </w:p>
    <w:p w14:paraId="7D96FE07" w14:textId="340C7D3B" w:rsidR="006B2466" w:rsidRPr="00A626FD" w:rsidRDefault="00BF14F9" w:rsidP="006B2466">
      <w:pPr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t>“</w:t>
      </w:r>
      <w:r w:rsidR="00F0154F" w:rsidRPr="00A626FD">
        <w:rPr>
          <w:rFonts w:ascii="Times New Roman" w:hAnsi="Times New Roman"/>
          <w:b/>
          <w:sz w:val="24"/>
          <w:szCs w:val="24"/>
        </w:rPr>
        <w:t>Par papildu valsts budžeta saistību uzņemšanos Eiropas infrastruktūras savienošanas instrumenta (</w:t>
      </w:r>
      <w:proofErr w:type="spellStart"/>
      <w:r w:rsidR="00F0154F" w:rsidRPr="00A626FD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Connecting</w:t>
      </w:r>
      <w:proofErr w:type="spellEnd"/>
      <w:r w:rsidR="00F0154F" w:rsidRPr="00A626FD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</w:t>
      </w:r>
      <w:proofErr w:type="spellStart"/>
      <w:r w:rsidR="00F0154F" w:rsidRPr="00A626FD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Europe</w:t>
      </w:r>
      <w:proofErr w:type="spellEnd"/>
      <w:r w:rsidR="00F0154F" w:rsidRPr="00A626FD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</w:t>
      </w:r>
      <w:proofErr w:type="spellStart"/>
      <w:r w:rsidR="00F0154F" w:rsidRPr="00A626FD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Facility</w:t>
      </w:r>
      <w:proofErr w:type="spellEnd"/>
      <w:r w:rsidR="00F0154F" w:rsidRPr="00A626FD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)</w:t>
      </w:r>
      <w:r w:rsidR="00F0154F" w:rsidRPr="00A626F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F0154F" w:rsidRPr="00A626FD">
        <w:rPr>
          <w:rFonts w:ascii="Times New Roman" w:hAnsi="Times New Roman"/>
          <w:b/>
          <w:sz w:val="24"/>
          <w:szCs w:val="24"/>
        </w:rPr>
        <w:t xml:space="preserve">līdzfinansētā projekta </w:t>
      </w:r>
      <w:r w:rsidRPr="00A626FD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8B2939" w:rsidRPr="00A626FD">
        <w:rPr>
          <w:rFonts w:ascii="Times New Roman" w:eastAsia="Times New Roman" w:hAnsi="Times New Roman"/>
          <w:b/>
          <w:sz w:val="24"/>
          <w:szCs w:val="24"/>
          <w:lang w:eastAsia="lv-LV"/>
        </w:rPr>
        <w:t>Latvijas nacionālā eIDAS mezgla punkta atjaunināšana</w:t>
      </w:r>
      <w:r w:rsidR="00F0154F" w:rsidRPr="00A626FD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F0154F" w:rsidRPr="00A626FD">
        <w:rPr>
          <w:rFonts w:ascii="Times New Roman" w:hAnsi="Times New Roman"/>
          <w:b/>
          <w:sz w:val="24"/>
          <w:szCs w:val="24"/>
        </w:rPr>
        <w:t xml:space="preserve"> īstenošanai” </w:t>
      </w:r>
    </w:p>
    <w:p w14:paraId="249C549F" w14:textId="77777777" w:rsidR="006B2466" w:rsidRPr="00A626FD" w:rsidRDefault="006B2466" w:rsidP="006B2466">
      <w:pPr>
        <w:spacing w:after="0" w:line="240" w:lineRule="auto"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1C6717D4" w14:textId="77777777" w:rsidR="006B2466" w:rsidRPr="00A626FD" w:rsidRDefault="006B2466" w:rsidP="006B2466">
      <w:pPr>
        <w:spacing w:after="0" w:line="240" w:lineRule="auto"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3A09DF1B" w14:textId="77777777" w:rsidR="006B2466" w:rsidRPr="00A626FD" w:rsidRDefault="00F0154F" w:rsidP="006B2466">
      <w:pPr>
        <w:spacing w:after="120" w:line="240" w:lineRule="auto"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t>1. Pamatojums informatīvā ziņojuma virzībai</w:t>
      </w:r>
    </w:p>
    <w:p w14:paraId="27C0E667" w14:textId="685BCE96" w:rsidR="006B2466" w:rsidRPr="00A626FD" w:rsidRDefault="00F0154F" w:rsidP="006B2466">
      <w:pPr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 xml:space="preserve">Eiropas Komisijas Digitālās vienotās tirgus stratēģija definē mērķi sekmēt Eiropas ekonomiku un palīdzēt gan iedzīvotājiem, gan </w:t>
      </w:r>
      <w:r w:rsidR="004B6E85">
        <w:rPr>
          <w:rFonts w:ascii="Times New Roman" w:hAnsi="Times New Roman"/>
          <w:sz w:val="24"/>
          <w:szCs w:val="24"/>
        </w:rPr>
        <w:t>komersantiem</w:t>
      </w:r>
      <w:r w:rsidR="004B6E85" w:rsidRPr="00A626FD">
        <w:rPr>
          <w:rFonts w:ascii="Times New Roman" w:hAnsi="Times New Roman"/>
          <w:sz w:val="24"/>
          <w:szCs w:val="24"/>
        </w:rPr>
        <w:t xml:space="preserve"> </w:t>
      </w:r>
      <w:r w:rsidRPr="00A626FD">
        <w:rPr>
          <w:rFonts w:ascii="Times New Roman" w:hAnsi="Times New Roman"/>
          <w:sz w:val="24"/>
          <w:szCs w:val="24"/>
        </w:rPr>
        <w:t xml:space="preserve">gūt lielāko iespējamo labumu no digitālajām tehnoloģijām. Tās īstenošana sekmēs inovāciju, ekonomisko izaugsmi un uzlabojumus gan privātpersonu, gan </w:t>
      </w:r>
      <w:r w:rsidR="004B6E85">
        <w:rPr>
          <w:rFonts w:ascii="Times New Roman" w:hAnsi="Times New Roman"/>
          <w:sz w:val="24"/>
          <w:szCs w:val="24"/>
        </w:rPr>
        <w:t>komersantu</w:t>
      </w:r>
      <w:r w:rsidR="004B6E85" w:rsidRPr="00A626FD">
        <w:rPr>
          <w:rFonts w:ascii="Times New Roman" w:hAnsi="Times New Roman"/>
          <w:sz w:val="24"/>
          <w:szCs w:val="24"/>
        </w:rPr>
        <w:t xml:space="preserve"> </w:t>
      </w:r>
      <w:r w:rsidRPr="00A626FD">
        <w:rPr>
          <w:rFonts w:ascii="Times New Roman" w:hAnsi="Times New Roman"/>
          <w:sz w:val="24"/>
          <w:szCs w:val="24"/>
        </w:rPr>
        <w:t>ikdienas dzīvē. Viena no tās prioritārajām rīcības jomām ir digitālās pārvaldības ieviešana un pārrobežu pakalpoj</w:t>
      </w:r>
      <w:r w:rsidR="00BF14F9" w:rsidRPr="00A626FD">
        <w:rPr>
          <w:rFonts w:ascii="Times New Roman" w:hAnsi="Times New Roman"/>
          <w:sz w:val="24"/>
          <w:szCs w:val="24"/>
        </w:rPr>
        <w:t>umu sniegšana. Digitālā vienotā</w:t>
      </w:r>
      <w:r w:rsidRPr="00A626FD">
        <w:rPr>
          <w:rFonts w:ascii="Times New Roman" w:hAnsi="Times New Roman"/>
          <w:sz w:val="24"/>
          <w:szCs w:val="24"/>
        </w:rPr>
        <w:t xml:space="preserve"> tirgus stratēģijas ieviešanai Eiropas Komisija ir izveidojusi vairākus finanšu instrumentus, kuru ietvaros notiek projektu konkursi. Viens no šādiem finanšu instrumentiem ir 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Eiropas infrastruktūras savienošanas instruments</w:t>
      </w:r>
      <w:r w:rsidRPr="00A626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>Connecting</w:t>
      </w:r>
      <w:proofErr w:type="spellEnd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>Europe</w:t>
      </w:r>
      <w:proofErr w:type="spellEnd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>Facility</w:t>
      </w:r>
      <w:proofErr w:type="spellEnd"/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CEF)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, kas paredz </w:t>
      </w:r>
      <w:r w:rsidRPr="00A626FD">
        <w:rPr>
          <w:rFonts w:ascii="Times New Roman" w:hAnsi="Times New Roman"/>
          <w:sz w:val="24"/>
          <w:szCs w:val="24"/>
        </w:rPr>
        <w:t>ieguldījumus Eiropas Savienības transporta, enerģētikas un telekomunikācij</w:t>
      </w:r>
      <w:r w:rsidR="004B6E85">
        <w:rPr>
          <w:rFonts w:ascii="Times New Roman" w:hAnsi="Times New Roman"/>
          <w:sz w:val="24"/>
          <w:szCs w:val="24"/>
        </w:rPr>
        <w:t>u</w:t>
      </w:r>
      <w:r w:rsidRPr="00A626FD">
        <w:rPr>
          <w:rFonts w:ascii="Times New Roman" w:hAnsi="Times New Roman"/>
          <w:sz w:val="24"/>
          <w:szCs w:val="24"/>
        </w:rPr>
        <w:t xml:space="preserve"> infrastruktūrā. CEF aktivitātes tiek īstenotas saskaņā ar šādiem Eir</w:t>
      </w:r>
      <w:r w:rsidR="005C0DC9">
        <w:rPr>
          <w:rFonts w:ascii="Times New Roman" w:hAnsi="Times New Roman"/>
          <w:sz w:val="24"/>
          <w:szCs w:val="24"/>
        </w:rPr>
        <w:t>opas Savienības tiesību aktiem:</w:t>
      </w:r>
    </w:p>
    <w:p w14:paraId="2E53BDDC" w14:textId="64BC9E74" w:rsidR="006B2466" w:rsidRPr="00A626FD" w:rsidRDefault="00F0154F" w:rsidP="006B246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Eiropas Parlamenta un Padomes regula (ES) Nr. 1316/2013 (2013.</w:t>
      </w:r>
      <w:r w:rsidR="003033E6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gada 11.</w:t>
      </w:r>
      <w:r w:rsidR="003033E6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decembris), ar ko izveido Eiropas infrastruktūras savienošanas instrumentu, groza Regulu (ES) Nr. 913/2010 un atceļ Regulu (EK) Nr. 680/2007 un Regulu (EK) Nr. 67/2010</w:t>
      </w:r>
      <w:r w:rsidRPr="00A626FD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5C0DC9">
        <w:rPr>
          <w:rFonts w:ascii="Times New Roman" w:hAnsi="Times New Roman"/>
          <w:sz w:val="24"/>
          <w:szCs w:val="24"/>
        </w:rPr>
        <w:t>;</w:t>
      </w:r>
    </w:p>
    <w:p w14:paraId="5DA75C7D" w14:textId="515EBAE4" w:rsidR="006B2466" w:rsidRPr="00A626FD" w:rsidRDefault="00F0154F" w:rsidP="006B246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Eiropas Parlamenta un Padomes regula (ES) Nr. 283/2014 (2014.</w:t>
      </w:r>
      <w:r w:rsidR="003033E6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gada 11.</w:t>
      </w:r>
      <w:r w:rsidR="003033E6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marts) par pamatnostādnēm Eiropas komunikāciju tīkliem telekomunikāciju infrastruktūras jomā, ar ko atceļ Lēmumu Nr.</w:t>
      </w:r>
      <w:r w:rsidR="003033E6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1336/97/EK</w:t>
      </w:r>
      <w:r w:rsidRPr="00A626FD">
        <w:rPr>
          <w:rFonts w:ascii="Times New Roman" w:hAnsi="Times New Roman"/>
          <w:sz w:val="24"/>
          <w:szCs w:val="24"/>
          <w:shd w:val="clear" w:color="auto" w:fill="FFF6EA"/>
        </w:rPr>
        <w:t xml:space="preserve"> </w:t>
      </w:r>
      <w:r w:rsidRPr="00A626FD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A626FD">
        <w:rPr>
          <w:rFonts w:ascii="Times New Roman" w:hAnsi="Times New Roman"/>
          <w:sz w:val="24"/>
          <w:szCs w:val="24"/>
          <w:shd w:val="clear" w:color="auto" w:fill="FFF6EA"/>
        </w:rPr>
        <w:t>;</w:t>
      </w:r>
    </w:p>
    <w:p w14:paraId="789410C2" w14:textId="0FA182FE" w:rsidR="006B2466" w:rsidRPr="00A626FD" w:rsidRDefault="00F0154F" w:rsidP="006B246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E</w:t>
      </w:r>
      <w:r w:rsidRPr="00A626FD">
        <w:rPr>
          <w:rFonts w:ascii="Times New Roman" w:hAnsi="Times New Roman"/>
          <w:bCs/>
          <w:sz w:val="24"/>
          <w:szCs w:val="24"/>
        </w:rPr>
        <w:t>iropas Parlamenta un Padomes Regula (ES, Euratom) Nr.</w:t>
      </w:r>
      <w:r w:rsidR="003033E6" w:rsidRPr="00A626FD">
        <w:rPr>
          <w:rFonts w:ascii="Times New Roman" w:hAnsi="Times New Roman"/>
          <w:bCs/>
          <w:sz w:val="24"/>
          <w:szCs w:val="24"/>
        </w:rPr>
        <w:t> </w:t>
      </w:r>
      <w:r w:rsidRPr="00A626FD">
        <w:rPr>
          <w:rFonts w:ascii="Times New Roman" w:hAnsi="Times New Roman"/>
          <w:bCs/>
          <w:sz w:val="24"/>
          <w:szCs w:val="24"/>
        </w:rPr>
        <w:t>966/2012 (2012.</w:t>
      </w:r>
      <w:r w:rsidR="003033E6" w:rsidRPr="00A626FD">
        <w:rPr>
          <w:rFonts w:ascii="Times New Roman" w:hAnsi="Times New Roman"/>
          <w:bCs/>
          <w:sz w:val="24"/>
          <w:szCs w:val="24"/>
        </w:rPr>
        <w:t> </w:t>
      </w:r>
      <w:r w:rsidRPr="00A626FD">
        <w:rPr>
          <w:rFonts w:ascii="Times New Roman" w:hAnsi="Times New Roman"/>
          <w:bCs/>
          <w:sz w:val="24"/>
          <w:szCs w:val="24"/>
        </w:rPr>
        <w:t>gada 25.</w:t>
      </w:r>
      <w:r w:rsidR="003033E6" w:rsidRPr="00A626FD">
        <w:rPr>
          <w:rFonts w:ascii="Times New Roman" w:hAnsi="Times New Roman"/>
          <w:bCs/>
          <w:sz w:val="24"/>
          <w:szCs w:val="24"/>
        </w:rPr>
        <w:t> </w:t>
      </w:r>
      <w:r w:rsidRPr="00A626FD">
        <w:rPr>
          <w:rFonts w:ascii="Times New Roman" w:hAnsi="Times New Roman"/>
          <w:bCs/>
          <w:sz w:val="24"/>
          <w:szCs w:val="24"/>
        </w:rPr>
        <w:t>oktobris) par finanšu noteikumiem, ko piemēro Savienības vispārējam budžetam, un par Padomes Regulas (EK, Euratom) Nr.</w:t>
      </w:r>
      <w:r w:rsidR="003033E6" w:rsidRPr="00A626FD">
        <w:rPr>
          <w:rFonts w:ascii="Times New Roman" w:hAnsi="Times New Roman"/>
          <w:bCs/>
          <w:sz w:val="24"/>
          <w:szCs w:val="24"/>
        </w:rPr>
        <w:t> </w:t>
      </w:r>
      <w:r w:rsidRPr="00A626FD">
        <w:rPr>
          <w:rFonts w:ascii="Times New Roman" w:hAnsi="Times New Roman"/>
          <w:bCs/>
          <w:sz w:val="24"/>
          <w:szCs w:val="24"/>
        </w:rPr>
        <w:t>1605/2002 atcelšanu</w:t>
      </w:r>
      <w:r w:rsidRPr="00A626FD">
        <w:rPr>
          <w:rFonts w:ascii="Times New Roman" w:hAnsi="Times New Roman"/>
          <w:sz w:val="24"/>
          <w:szCs w:val="24"/>
        </w:rPr>
        <w:t xml:space="preserve"> (Finanšu Regula)</w:t>
      </w:r>
      <w:r w:rsidRPr="00A626FD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A626FD">
        <w:rPr>
          <w:rFonts w:ascii="Times New Roman" w:hAnsi="Times New Roman"/>
          <w:sz w:val="24"/>
          <w:szCs w:val="24"/>
        </w:rPr>
        <w:t>.</w:t>
      </w:r>
    </w:p>
    <w:p w14:paraId="6353CB26" w14:textId="31AFF22D" w:rsidR="006B2466" w:rsidRPr="00A626FD" w:rsidRDefault="00F0154F" w:rsidP="006B246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Eiropas Parlamenta un Pad</w:t>
      </w:r>
      <w:r w:rsidR="003033E6" w:rsidRPr="00A626FD">
        <w:rPr>
          <w:rFonts w:ascii="Times New Roman" w:hAnsi="Times New Roman"/>
          <w:sz w:val="24"/>
          <w:szCs w:val="24"/>
        </w:rPr>
        <w:t>omes Regula (ES) Nr. 910/2014 (2014.</w:t>
      </w:r>
      <w:r w:rsidR="003033E6" w:rsidRPr="00A626FD">
        <w:rPr>
          <w:sz w:val="24"/>
          <w:szCs w:val="24"/>
        </w:rPr>
        <w:t> </w:t>
      </w:r>
      <w:r w:rsidR="003033E6" w:rsidRPr="00A626FD">
        <w:rPr>
          <w:rFonts w:ascii="Times New Roman" w:hAnsi="Times New Roman"/>
          <w:sz w:val="24"/>
          <w:szCs w:val="24"/>
        </w:rPr>
        <w:t>gada 23.</w:t>
      </w:r>
      <w:r w:rsidR="003033E6" w:rsidRPr="00A626FD">
        <w:rPr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jūlijs) par elektronisko identifikāciju un uzticamības pakalpojumiem elektronisko darījumu veikšanai iekšējā tirgū un ar ko atceļ Direktīvu 1999/93/EK</w:t>
      </w:r>
      <w:r w:rsidRPr="00A626FD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5C0DC9">
        <w:rPr>
          <w:rFonts w:ascii="Times New Roman" w:hAnsi="Times New Roman"/>
          <w:sz w:val="24"/>
          <w:szCs w:val="24"/>
        </w:rPr>
        <w:t>.</w:t>
      </w:r>
    </w:p>
    <w:p w14:paraId="20A56791" w14:textId="77777777" w:rsidR="006B2466" w:rsidRPr="00A626FD" w:rsidRDefault="006B2466" w:rsidP="006B2466">
      <w:pPr>
        <w:pStyle w:val="ListParagraph"/>
        <w:spacing w:after="0" w:line="240" w:lineRule="auto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482FBB3" w14:textId="7CD883DE" w:rsidR="006B2466" w:rsidRPr="00AF173A" w:rsidRDefault="00384C19" w:rsidP="00AF173A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Cs/>
          <w:color w:val="333333"/>
          <w:sz w:val="24"/>
          <w:szCs w:val="24"/>
          <w:lang w:eastAsia="lv-LV"/>
        </w:rPr>
      </w:pPr>
      <w:r w:rsidRPr="003270F9">
        <w:rPr>
          <w:rFonts w:ascii="Times New Roman" w:hAnsi="Times New Roman"/>
          <w:sz w:val="24"/>
          <w:szCs w:val="24"/>
        </w:rPr>
        <w:t>Saskaņā ar Ministru kabineta 2020. gada 4. marta rīkojumu Nr. 95</w:t>
      </w:r>
      <w:r w:rsidR="00773A3F" w:rsidRPr="003270F9">
        <w:rPr>
          <w:rFonts w:ascii="Times New Roman" w:hAnsi="Times New Roman"/>
          <w:sz w:val="24"/>
          <w:szCs w:val="24"/>
        </w:rPr>
        <w:t xml:space="preserve"> “</w:t>
      </w:r>
      <w:r w:rsidR="00773A3F" w:rsidRPr="003270F9">
        <w:rPr>
          <w:rFonts w:ascii="Times New Roman" w:eastAsia="Times New Roman" w:hAnsi="Times New Roman"/>
          <w:bCs/>
          <w:sz w:val="24"/>
          <w:szCs w:val="24"/>
          <w:lang w:eastAsia="lv-LV"/>
        </w:rPr>
        <w:t>Par nozaru politiku pamatnostādnēm 2021.–2027. gada plānošanas periodam</w:t>
      </w:r>
      <w:r w:rsidR="00773A3F" w:rsidRPr="003270F9">
        <w:rPr>
          <w:rFonts w:ascii="Times New Roman" w:hAnsi="Times New Roman"/>
          <w:sz w:val="24"/>
          <w:szCs w:val="24"/>
        </w:rPr>
        <w:t>”</w:t>
      </w:r>
      <w:r w:rsidR="003033E6" w:rsidRPr="003270F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67CE1" w:rsidRPr="00A626FD">
        <w:rPr>
          <w:rFonts w:ascii="Times New Roman" w:eastAsia="Times New Roman" w:hAnsi="Times New Roman"/>
          <w:sz w:val="24"/>
          <w:szCs w:val="24"/>
          <w:lang w:eastAsia="lv-LV"/>
        </w:rPr>
        <w:t>Digitālās trans</w:t>
      </w:r>
      <w:r w:rsidR="003033E6" w:rsidRPr="00A626FD">
        <w:rPr>
          <w:rFonts w:ascii="Times New Roman" w:eastAsia="Times New Roman" w:hAnsi="Times New Roman"/>
          <w:sz w:val="24"/>
          <w:szCs w:val="24"/>
          <w:lang w:eastAsia="lv-LV"/>
        </w:rPr>
        <w:t>formācijas pamatnostādnes 2021.–</w:t>
      </w:r>
      <w:r w:rsidR="00D67CE1" w:rsidRPr="00A626FD">
        <w:rPr>
          <w:rFonts w:ascii="Times New Roman" w:eastAsia="Times New Roman" w:hAnsi="Times New Roman"/>
          <w:sz w:val="24"/>
          <w:szCs w:val="24"/>
          <w:lang w:eastAsia="lv-LV"/>
        </w:rPr>
        <w:t>2027. gadam</w:t>
      </w:r>
      <w:r w:rsidR="00F0154F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atbalsta aktivitātes, </w:t>
      </w:r>
      <w:r w:rsidR="00D67CE1" w:rsidRPr="00A626FD">
        <w:rPr>
          <w:rFonts w:ascii="Times New Roman" w:eastAsia="Times New Roman" w:hAnsi="Times New Roman"/>
          <w:sz w:val="24"/>
          <w:szCs w:val="24"/>
          <w:lang w:eastAsia="lv-LV"/>
        </w:rPr>
        <w:t>kas attīsta vienotus digitālus risinājumus un ievieš jaunus</w:t>
      </w:r>
      <w:r w:rsidR="003033E6" w:rsidRPr="00A626FD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67CE1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efektīvus, sabiedrībai pieejamus pakalpojumus un infrastruktūru atbilstoši pasaules informācijas sabiedrības mērķiem un E</w:t>
      </w:r>
      <w:r w:rsidR="00760281">
        <w:rPr>
          <w:rFonts w:ascii="Times New Roman" w:eastAsia="Times New Roman" w:hAnsi="Times New Roman"/>
          <w:sz w:val="24"/>
          <w:szCs w:val="24"/>
          <w:lang w:eastAsia="lv-LV"/>
        </w:rPr>
        <w:t xml:space="preserve">iropas </w:t>
      </w:r>
      <w:r w:rsidR="00D67CE1" w:rsidRPr="00A626FD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760281">
        <w:rPr>
          <w:rFonts w:ascii="Times New Roman" w:eastAsia="Times New Roman" w:hAnsi="Times New Roman"/>
          <w:sz w:val="24"/>
          <w:szCs w:val="24"/>
          <w:lang w:eastAsia="lv-LV"/>
        </w:rPr>
        <w:t>avienības</w:t>
      </w:r>
      <w:r w:rsidR="00D67CE1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digitālā vienotā tirgus attīstības tendencēm.</w:t>
      </w:r>
    </w:p>
    <w:p w14:paraId="2FFEA339" w14:textId="3398A579" w:rsidR="006B2466" w:rsidRDefault="00F0154F" w:rsidP="00E81E54">
      <w:pPr>
        <w:pStyle w:val="ListParagraph"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Sas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kaņā ar Ministru kabineta 2016. 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gad</w:t>
      </w:r>
      <w:bookmarkStart w:id="0" w:name="_Hlk42096445"/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a 14. jūnija noteikumu Nr. 375 “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Valsts reģionālās attīstības aģentūras nolikums”</w:t>
      </w:r>
      <w:bookmarkEnd w:id="0"/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4.</w:t>
      </w:r>
      <w:r w:rsidR="007E37B5" w:rsidRPr="00A626FD">
        <w:rPr>
          <w:rFonts w:ascii="Times New Roman" w:eastAsia="Times New Roman" w:hAnsi="Times New Roman"/>
          <w:sz w:val="24"/>
          <w:szCs w:val="24"/>
          <w:lang w:eastAsia="lv-LV"/>
        </w:rPr>
        <w:t>12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773A3F">
        <w:rPr>
          <w:rFonts w:ascii="Times New Roman" w:eastAsia="Times New Roman" w:hAnsi="Times New Roman"/>
          <w:sz w:val="24"/>
          <w:szCs w:val="24"/>
          <w:lang w:eastAsia="lv-LV"/>
        </w:rPr>
        <w:t>apakš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punktu un Ministru kabineta 201</w:t>
      </w:r>
      <w:r w:rsidR="00CE02D9" w:rsidRPr="00A626FD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CE02D9" w:rsidRPr="00A626FD">
        <w:rPr>
          <w:rFonts w:ascii="Times New Roman" w:eastAsia="Times New Roman" w:hAnsi="Times New Roman"/>
          <w:sz w:val="24"/>
          <w:szCs w:val="24"/>
          <w:lang w:eastAsia="lv-LV"/>
        </w:rPr>
        <w:t>22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ma</w:t>
      </w:r>
      <w:r w:rsidR="00CE02D9" w:rsidRPr="00A626FD">
        <w:rPr>
          <w:rFonts w:ascii="Times New Roman" w:eastAsia="Times New Roman" w:hAnsi="Times New Roman"/>
          <w:sz w:val="24"/>
          <w:szCs w:val="24"/>
          <w:lang w:eastAsia="lv-LV"/>
        </w:rPr>
        <w:t>ija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rīkojumu Nr.</w:t>
      </w:r>
      <w:r w:rsidR="00CE02D9" w:rsidRPr="00A626FD">
        <w:rPr>
          <w:sz w:val="24"/>
          <w:szCs w:val="24"/>
        </w:rPr>
        <w:t xml:space="preserve"> </w:t>
      </w:r>
      <w:r w:rsidR="00CE02D9" w:rsidRPr="00A626FD">
        <w:rPr>
          <w:rFonts w:ascii="Times New Roman" w:eastAsia="Times New Roman" w:hAnsi="Times New Roman"/>
          <w:sz w:val="24"/>
          <w:szCs w:val="24"/>
          <w:lang w:eastAsia="lv-LV"/>
        </w:rPr>
        <w:t>247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CE02D9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Par Uzņēmējdarbības vides pilnveidošanas pasākumu plānu 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2019.–</w:t>
      </w:r>
      <w:r w:rsidR="00CE02D9" w:rsidRPr="00A626FD">
        <w:rPr>
          <w:rFonts w:ascii="Times New Roman" w:eastAsia="Times New Roman" w:hAnsi="Times New Roman"/>
          <w:sz w:val="24"/>
          <w:szCs w:val="24"/>
          <w:lang w:eastAsia="lv-LV"/>
        </w:rPr>
        <w:t>2022. gadam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” Valsts reģionālās attīstības aģentūrai (</w:t>
      </w:r>
      <w:r w:rsidR="004D2864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turpmāk – 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VRAA) ir uzdots </w:t>
      </w:r>
      <w:r w:rsidR="00E81E54" w:rsidRPr="00512113">
        <w:rPr>
          <w:rFonts w:ascii="Times New Roman" w:eastAsia="Times New Roman" w:hAnsi="Times New Roman"/>
          <w:sz w:val="24"/>
          <w:szCs w:val="24"/>
          <w:lang w:eastAsia="lv-LV"/>
        </w:rPr>
        <w:t>izveidot un</w:t>
      </w:r>
      <w:r w:rsidR="00E81E54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darbināt </w:t>
      </w:r>
      <w:bookmarkStart w:id="1" w:name="_Hlk45106566"/>
      <w:r w:rsidR="00E81E54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Latvijas nacionālo eIDAS mezgla punktu </w:t>
      </w:r>
      <w:bookmarkEnd w:id="1"/>
      <w:r w:rsidR="00A626F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proofErr w:type="spellStart"/>
      <w:r w:rsidR="00A626FD">
        <w:rPr>
          <w:rFonts w:ascii="Times New Roman" w:eastAsia="Times New Roman" w:hAnsi="Times New Roman"/>
          <w:i/>
          <w:sz w:val="24"/>
          <w:szCs w:val="24"/>
          <w:lang w:eastAsia="lv-LV"/>
        </w:rPr>
        <w:t>eIDAS</w:t>
      </w:r>
      <w:proofErr w:type="spellEnd"/>
      <w:r w:rsidR="00A626FD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A626FD">
        <w:rPr>
          <w:rFonts w:ascii="Times New Roman" w:eastAsia="Times New Roman" w:hAnsi="Times New Roman"/>
          <w:i/>
          <w:sz w:val="24"/>
          <w:szCs w:val="24"/>
          <w:lang w:eastAsia="lv-LV"/>
        </w:rPr>
        <w:t>node</w:t>
      </w:r>
      <w:proofErr w:type="spellEnd"/>
      <w:r w:rsidR="00E81E54" w:rsidRPr="00A626FD">
        <w:rPr>
          <w:rFonts w:ascii="Times New Roman" w:eastAsia="Times New Roman" w:hAnsi="Times New Roman"/>
          <w:sz w:val="24"/>
          <w:szCs w:val="24"/>
          <w:lang w:eastAsia="lv-LV"/>
        </w:rPr>
        <w:t>) un papildināt universālās pieteikšanās servisu, tādējādi tehniski nodrošinot piekļuves iespējas Latvijas elektroniskajiem pakalpojumiem ar citu dalībvalstu paziņotajiem elektroniskās identifikācijas līdzekļiem.</w:t>
      </w:r>
    </w:p>
    <w:p w14:paraId="16563492" w14:textId="534BBB89" w:rsidR="00454BE1" w:rsidRPr="00A626FD" w:rsidRDefault="007B118E" w:rsidP="003270F9">
      <w:pPr>
        <w:pStyle w:val="ListParagraph"/>
        <w:spacing w:after="0" w:line="240" w:lineRule="auto"/>
        <w:ind w:left="0" w:firstLine="56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Tāpat </w:t>
      </w:r>
      <w:r w:rsidR="00454BE1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454BE1" w:rsidRPr="00454BE1">
        <w:rPr>
          <w:rFonts w:ascii="Times New Roman" w:eastAsia="Times New Roman" w:hAnsi="Times New Roman"/>
          <w:sz w:val="24"/>
          <w:szCs w:val="24"/>
          <w:lang w:eastAsia="lv-LV"/>
        </w:rPr>
        <w:t xml:space="preserve">askaņā ar Vienotās digitālās vārtejas </w:t>
      </w:r>
      <w:r w:rsidR="005665F1">
        <w:rPr>
          <w:rFonts w:ascii="Times New Roman" w:eastAsia="Times New Roman" w:hAnsi="Times New Roman"/>
          <w:sz w:val="24"/>
          <w:szCs w:val="24"/>
          <w:lang w:eastAsia="lv-LV"/>
        </w:rPr>
        <w:t>r</w:t>
      </w:r>
      <w:r w:rsidR="00454BE1" w:rsidRPr="00454BE1">
        <w:rPr>
          <w:rFonts w:ascii="Times New Roman" w:eastAsia="Times New Roman" w:hAnsi="Times New Roman"/>
          <w:sz w:val="24"/>
          <w:szCs w:val="24"/>
          <w:lang w:eastAsia="lv-LV"/>
        </w:rPr>
        <w:t>egulas</w:t>
      </w:r>
      <w:r w:rsidR="00AE3669">
        <w:rPr>
          <w:rFonts w:ascii="Times New Roman" w:eastAsia="Times New Roman" w:hAnsi="Times New Roman"/>
          <w:sz w:val="24"/>
          <w:szCs w:val="24"/>
          <w:lang w:eastAsia="lv-LV"/>
        </w:rPr>
        <w:t xml:space="preserve"> (ES) 2018/1724</w:t>
      </w:r>
      <w:r w:rsidR="00454BE1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6"/>
      </w:r>
      <w:r w:rsidR="00454BE1" w:rsidRPr="00454BE1">
        <w:rPr>
          <w:rFonts w:ascii="Times New Roman" w:eastAsia="Times New Roman" w:hAnsi="Times New Roman"/>
          <w:sz w:val="24"/>
          <w:szCs w:val="24"/>
          <w:lang w:eastAsia="lv-LV"/>
        </w:rPr>
        <w:t xml:space="preserve"> prasībām no 2023.</w:t>
      </w:r>
      <w:r w:rsidR="00384C19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454BE1" w:rsidRPr="00454BE1">
        <w:rPr>
          <w:rFonts w:ascii="Times New Roman" w:eastAsia="Times New Roman" w:hAnsi="Times New Roman"/>
          <w:sz w:val="24"/>
          <w:szCs w:val="24"/>
          <w:lang w:eastAsia="lv-LV"/>
        </w:rPr>
        <w:t>gada 12.</w:t>
      </w:r>
      <w:r w:rsidR="00384C19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454BE1" w:rsidRPr="00454BE1">
        <w:rPr>
          <w:rFonts w:ascii="Times New Roman" w:eastAsia="Times New Roman" w:hAnsi="Times New Roman"/>
          <w:sz w:val="24"/>
          <w:szCs w:val="24"/>
          <w:lang w:eastAsia="lv-LV"/>
        </w:rPr>
        <w:t xml:space="preserve">decembra pārrobežu lietotājiem tiešsaistē jānodrošina piekļuve </w:t>
      </w:r>
      <w:r w:rsidR="00454BE1">
        <w:rPr>
          <w:rFonts w:ascii="Times New Roman" w:eastAsia="Times New Roman" w:hAnsi="Times New Roman"/>
          <w:sz w:val="24"/>
          <w:szCs w:val="24"/>
          <w:lang w:eastAsia="lv-LV"/>
        </w:rPr>
        <w:t>digitālajiem pakalpojumiem</w:t>
      </w:r>
      <w:r w:rsidR="00454BE1" w:rsidRPr="00454BE1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D16AB6">
        <w:rPr>
          <w:rFonts w:ascii="Times New Roman" w:eastAsia="Times New Roman" w:hAnsi="Times New Roman"/>
          <w:sz w:val="24"/>
          <w:szCs w:val="24"/>
          <w:lang w:eastAsia="lv-LV"/>
        </w:rPr>
        <w:t>N</w:t>
      </w:r>
      <w:r w:rsidR="00D16AB6" w:rsidRPr="00D16AB6">
        <w:rPr>
          <w:rFonts w:ascii="Times New Roman" w:eastAsia="Times New Roman" w:hAnsi="Times New Roman"/>
          <w:sz w:val="24"/>
          <w:szCs w:val="24"/>
          <w:lang w:eastAsia="lv-LV"/>
        </w:rPr>
        <w:t>acionāl</w:t>
      </w:r>
      <w:r w:rsidR="00D16AB6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D16AB6" w:rsidRPr="00D16AB6">
        <w:rPr>
          <w:rFonts w:ascii="Times New Roman" w:eastAsia="Times New Roman" w:hAnsi="Times New Roman"/>
          <w:sz w:val="24"/>
          <w:szCs w:val="24"/>
          <w:lang w:eastAsia="lv-LV"/>
        </w:rPr>
        <w:t xml:space="preserve"> eIDAS mezgla punkt</w:t>
      </w:r>
      <w:r w:rsidR="00D16AB6">
        <w:rPr>
          <w:rFonts w:ascii="Times New Roman" w:eastAsia="Times New Roman" w:hAnsi="Times New Roman"/>
          <w:sz w:val="24"/>
          <w:szCs w:val="24"/>
          <w:lang w:eastAsia="lv-LV"/>
        </w:rPr>
        <w:t xml:space="preserve">a pilnvērtīga darbība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ir </w:t>
      </w:r>
      <w:r w:rsidR="005665F1">
        <w:rPr>
          <w:rFonts w:ascii="Times New Roman" w:eastAsia="Times New Roman" w:hAnsi="Times New Roman"/>
          <w:sz w:val="24"/>
          <w:szCs w:val="24"/>
          <w:lang w:eastAsia="lv-LV"/>
        </w:rPr>
        <w:t xml:space="preserve">viens no kritiskajiem faktoriem pārrobežu pakalpojumu digitālā </w:t>
      </w:r>
      <w:r w:rsidR="00CD7921">
        <w:rPr>
          <w:rFonts w:ascii="Times New Roman" w:eastAsia="Times New Roman" w:hAnsi="Times New Roman"/>
          <w:sz w:val="24"/>
          <w:szCs w:val="24"/>
          <w:lang w:eastAsia="lv-LV"/>
        </w:rPr>
        <w:t>pieejamībā</w:t>
      </w:r>
      <w:r w:rsidR="005665F1">
        <w:rPr>
          <w:rFonts w:ascii="Times New Roman" w:eastAsia="Times New Roman" w:hAnsi="Times New Roman"/>
          <w:sz w:val="24"/>
          <w:szCs w:val="24"/>
          <w:lang w:eastAsia="lv-LV"/>
        </w:rPr>
        <w:t xml:space="preserve"> un Vienotās digitālās vārtejas regulas prasību </w:t>
      </w:r>
      <w:r w:rsidR="00CD7921">
        <w:rPr>
          <w:rFonts w:ascii="Times New Roman" w:eastAsia="Times New Roman" w:hAnsi="Times New Roman"/>
          <w:sz w:val="24"/>
          <w:szCs w:val="24"/>
          <w:lang w:eastAsia="lv-LV"/>
        </w:rPr>
        <w:t>nodrošināšanā (p</w:t>
      </w:r>
      <w:r w:rsidR="00454BE1" w:rsidRPr="00454BE1">
        <w:rPr>
          <w:rFonts w:ascii="Times New Roman" w:eastAsia="Times New Roman" w:hAnsi="Times New Roman"/>
          <w:sz w:val="24"/>
          <w:szCs w:val="24"/>
          <w:lang w:eastAsia="lv-LV"/>
        </w:rPr>
        <w:t xml:space="preserve">ašlaik eIDAS identifikācijas risinājums pieslēgts trīs Latvijas valsts pārvaldes e-pakalpojumiem portālā www.latvija.lv un kopumā 10 valsts pārvaldes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informācijas sistēmām</w:t>
      </w:r>
      <w:r w:rsidR="00454BE1" w:rsidRPr="00454BE1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CD792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6C88717" w14:textId="646A4700" w:rsidR="006B2466" w:rsidRPr="00A626FD" w:rsidRDefault="00F0154F" w:rsidP="003270F9">
      <w:pPr>
        <w:spacing w:after="0" w:line="240" w:lineRule="auto"/>
        <w:ind w:firstLine="56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hAnsi="Times New Roman"/>
          <w:sz w:val="24"/>
          <w:szCs w:val="24"/>
        </w:rPr>
        <w:t>Kā minēts, Eiropas Komisija kā vienu no finanšu instrumentiem, kas paredz ieguldī</w:t>
      </w:r>
      <w:r w:rsidR="00BF14F9" w:rsidRPr="00A626FD">
        <w:rPr>
          <w:rFonts w:ascii="Times New Roman" w:hAnsi="Times New Roman"/>
          <w:sz w:val="24"/>
          <w:szCs w:val="24"/>
        </w:rPr>
        <w:t>jumus infrastruktūras aktivitātē</w:t>
      </w:r>
      <w:r w:rsidRPr="00A626FD">
        <w:rPr>
          <w:rFonts w:ascii="Times New Roman" w:hAnsi="Times New Roman"/>
          <w:sz w:val="24"/>
          <w:szCs w:val="24"/>
        </w:rPr>
        <w:t>s</w:t>
      </w:r>
      <w:r w:rsidR="00716CD4">
        <w:rPr>
          <w:rFonts w:ascii="Times New Roman" w:hAnsi="Times New Roman"/>
          <w:sz w:val="24"/>
          <w:szCs w:val="24"/>
        </w:rPr>
        <w:t>,</w:t>
      </w:r>
      <w:r w:rsidRPr="00A626FD">
        <w:rPr>
          <w:rFonts w:ascii="Times New Roman" w:hAnsi="Times New Roman"/>
          <w:sz w:val="24"/>
          <w:szCs w:val="24"/>
        </w:rPr>
        <w:t xml:space="preserve"> ir izveidojusi 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CEF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, kur līdz 20</w:t>
      </w:r>
      <w:r w:rsidR="00454A92" w:rsidRPr="00A626FD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454A92" w:rsidRPr="00A626FD">
        <w:rPr>
          <w:rFonts w:ascii="Times New Roman" w:eastAsia="Times New Roman" w:hAnsi="Times New Roman"/>
          <w:sz w:val="24"/>
          <w:szCs w:val="24"/>
          <w:lang w:eastAsia="lv-LV"/>
        </w:rPr>
        <w:t>25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 jū</w:t>
      </w:r>
      <w:r w:rsidR="00454A92" w:rsidRPr="00A626FD">
        <w:rPr>
          <w:rFonts w:ascii="Times New Roman" w:eastAsia="Times New Roman" w:hAnsi="Times New Roman"/>
          <w:sz w:val="24"/>
          <w:szCs w:val="24"/>
          <w:lang w:eastAsia="lv-LV"/>
        </w:rPr>
        <w:t>nijam bija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atvērts CEF 20</w:t>
      </w:r>
      <w:r w:rsidR="0029252F" w:rsidRPr="00A626FD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gada programmas projekt</w:t>
      </w:r>
      <w:r w:rsidR="00716CD4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uzsaukums tēmai </w:t>
      </w:r>
      <w:proofErr w:type="spellStart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>eIdentification</w:t>
      </w:r>
      <w:proofErr w:type="spellEnd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(</w:t>
      </w:r>
      <w:proofErr w:type="spellStart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>eID</w:t>
      </w:r>
      <w:proofErr w:type="spellEnd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) &amp; </w:t>
      </w:r>
      <w:proofErr w:type="spellStart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>eSignature</w:t>
      </w:r>
      <w:proofErr w:type="spellEnd"/>
      <w:r w:rsidRPr="00A626FD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, </w:t>
      </w:r>
      <w:r w:rsidR="00BF14F9" w:rsidRPr="00A626FD">
        <w:rPr>
          <w:rFonts w:ascii="Times New Roman" w:eastAsia="Times New Roman" w:hAnsi="Times New Roman"/>
          <w:sz w:val="24"/>
          <w:szCs w:val="24"/>
          <w:lang w:eastAsia="lv-LV"/>
        </w:rPr>
        <w:t>kurā VRAA piedalās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, lai </w:t>
      </w:r>
      <w:r w:rsidR="00615D4B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veiktu </w:t>
      </w:r>
      <w:r w:rsidR="00DA722C" w:rsidRPr="00A626FD">
        <w:rPr>
          <w:rFonts w:ascii="Times New Roman" w:eastAsia="Times New Roman" w:hAnsi="Times New Roman"/>
          <w:sz w:val="24"/>
          <w:szCs w:val="24"/>
          <w:lang w:eastAsia="lv-LV"/>
        </w:rPr>
        <w:t>Latvijas eIDAS mezgl</w:t>
      </w:r>
      <w:r w:rsidR="000567C0" w:rsidRPr="00A626F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DA722C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567C0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punkta </w:t>
      </w:r>
      <w:r w:rsidR="004D2864" w:rsidRPr="00A626FD">
        <w:rPr>
          <w:rFonts w:ascii="Times New Roman" w:eastAsia="Times New Roman" w:hAnsi="Times New Roman"/>
          <w:sz w:val="24"/>
          <w:szCs w:val="24"/>
          <w:lang w:eastAsia="lv-LV"/>
        </w:rPr>
        <w:t>atjaunināšanu</w:t>
      </w:r>
      <w:r w:rsidR="00615D4B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un nodrošinātu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eIDAS regulai</w:t>
      </w:r>
      <w:r w:rsidR="00384C19">
        <w:rPr>
          <w:rFonts w:ascii="Times New Roman" w:eastAsia="Times New Roman" w:hAnsi="Times New Roman"/>
          <w:sz w:val="24"/>
          <w:szCs w:val="24"/>
          <w:lang w:eastAsia="lv-LV"/>
        </w:rPr>
        <w:t xml:space="preserve"> (ES) Nr. 910/2014</w:t>
      </w:r>
      <w:r w:rsidR="00384C19">
        <w:rPr>
          <w:rStyle w:val="FootnoteReference"/>
          <w:rFonts w:ascii="Times New Roman" w:eastAsia="Times New Roman" w:hAnsi="Times New Roman"/>
          <w:sz w:val="24"/>
          <w:szCs w:val="24"/>
          <w:lang w:eastAsia="lv-LV"/>
        </w:rPr>
        <w:footnoteReference w:id="7"/>
      </w:r>
      <w:r w:rsidR="00384C19" w:rsidRPr="00454BE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E3669">
        <w:rPr>
          <w:rFonts w:ascii="Times New Roman" w:eastAsia="Times New Roman" w:hAnsi="Times New Roman"/>
          <w:sz w:val="24"/>
          <w:szCs w:val="24"/>
          <w:lang w:eastAsia="lv-LV"/>
        </w:rPr>
        <w:t xml:space="preserve">(turpmāk – eIDAS regula) 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atbilstošu risinājumu Latvijā.</w:t>
      </w:r>
    </w:p>
    <w:p w14:paraId="65F35ED6" w14:textId="510437F0" w:rsidR="006B2466" w:rsidRPr="00A626FD" w:rsidRDefault="00F0154F" w:rsidP="006B2466">
      <w:pPr>
        <w:spacing w:after="0" w:line="240" w:lineRule="auto"/>
        <w:ind w:firstLine="56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CEF projekta ietvaros ir iespējams saņemt līdz 75% faktisko izmaksu finansējumu CEF programmas ietvaros. Projekta aktivitātes var sākt iekļaut attiecināmās izmaksās līdz ar projekta pietei</w:t>
      </w:r>
      <w:r w:rsidR="005C0DC9">
        <w:rPr>
          <w:rFonts w:ascii="Times New Roman" w:eastAsia="Times New Roman" w:hAnsi="Times New Roman"/>
          <w:sz w:val="24"/>
          <w:szCs w:val="24"/>
          <w:lang w:eastAsia="lv-LV"/>
        </w:rPr>
        <w:t>kuma iesniegšanu CEF programmā.</w:t>
      </w:r>
    </w:p>
    <w:p w14:paraId="448A1DA5" w14:textId="4F531ADE" w:rsidR="006B2466" w:rsidRPr="00A626FD" w:rsidRDefault="00F0154F" w:rsidP="003270F9">
      <w:pPr>
        <w:spacing w:after="0" w:line="240" w:lineRule="auto"/>
        <w:ind w:firstLine="56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Ņemot vērā, ka projekta īstenošanai būs nepieciešams līdzfinansējums, projekta apstiprināšanas gadījumā pēc līguma noslēgšanas finansējumu projekta aktivitāšu īstenošanai plānots pieprasīt no </w:t>
      </w:r>
      <w:r w:rsidRPr="00397E70">
        <w:rPr>
          <w:rFonts w:ascii="Times New Roman" w:eastAsia="Times New Roman" w:hAnsi="Times New Roman"/>
          <w:sz w:val="24"/>
          <w:szCs w:val="24"/>
          <w:lang w:eastAsia="lv-LV"/>
        </w:rPr>
        <w:t>74.</w:t>
      </w:r>
      <w:r w:rsidR="00BF14F9" w:rsidRPr="00397E70">
        <w:rPr>
          <w:sz w:val="24"/>
          <w:szCs w:val="24"/>
        </w:rPr>
        <w:t> </w:t>
      </w:r>
      <w:r w:rsidR="00BF14F9" w:rsidRPr="00397E70">
        <w:rPr>
          <w:rFonts w:ascii="Times New Roman" w:eastAsia="Times New Roman" w:hAnsi="Times New Roman"/>
          <w:sz w:val="24"/>
          <w:szCs w:val="24"/>
          <w:lang w:eastAsia="lv-LV"/>
        </w:rPr>
        <w:t>resora “</w:t>
      </w:r>
      <w:r w:rsidRPr="00397E70">
        <w:rPr>
          <w:rFonts w:ascii="Times New Roman" w:eastAsia="Times New Roman" w:hAnsi="Times New Roman"/>
          <w:sz w:val="24"/>
          <w:szCs w:val="24"/>
          <w:lang w:eastAsia="lv-LV"/>
        </w:rPr>
        <w:t xml:space="preserve">Gadskārtējā valsts budžeta izpildes </w:t>
      </w:r>
      <w:r w:rsidR="00BF14F9" w:rsidRPr="00397E70">
        <w:rPr>
          <w:rFonts w:ascii="Times New Roman" w:eastAsia="Times New Roman" w:hAnsi="Times New Roman"/>
          <w:sz w:val="24"/>
          <w:szCs w:val="24"/>
          <w:lang w:eastAsia="lv-LV"/>
        </w:rPr>
        <w:t>procesā pārdalāmais finansējums” programmas 80.00.00 “</w:t>
      </w:r>
      <w:r w:rsidRPr="00397E70">
        <w:rPr>
          <w:rFonts w:ascii="Times New Roman" w:eastAsia="Times New Roman" w:hAnsi="Times New Roman"/>
          <w:sz w:val="24"/>
          <w:szCs w:val="24"/>
          <w:lang w:eastAsia="lv-LV"/>
        </w:rPr>
        <w:t>Nesadalītais finansējums Eiropas Savienības politiku instrumentu un pārējās ārvalstu finanšu palīdzības līdzfinansēto p</w:t>
      </w:r>
      <w:r w:rsidR="00BF14F9" w:rsidRPr="00397E70">
        <w:rPr>
          <w:rFonts w:ascii="Times New Roman" w:eastAsia="Times New Roman" w:hAnsi="Times New Roman"/>
          <w:sz w:val="24"/>
          <w:szCs w:val="24"/>
          <w:lang w:eastAsia="lv-LV"/>
        </w:rPr>
        <w:t>rojektu un pasākumu īstenošanai”</w:t>
      </w:r>
      <w:r w:rsidRPr="00397E70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uzņemoties papildu valsts budžeta ilgtermiņa </w:t>
      </w:r>
      <w:r w:rsidR="005C0DC9">
        <w:rPr>
          <w:rFonts w:ascii="Times New Roman" w:eastAsia="Times New Roman" w:hAnsi="Times New Roman"/>
          <w:sz w:val="24"/>
          <w:szCs w:val="24"/>
          <w:lang w:eastAsia="lv-LV"/>
        </w:rPr>
        <w:t>saistības projekta īstenošanai.</w:t>
      </w:r>
    </w:p>
    <w:p w14:paraId="01A01DFC" w14:textId="4BAC2FC6" w:rsidR="006B2466" w:rsidRPr="00A626FD" w:rsidRDefault="00F0154F" w:rsidP="003270F9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Lai nodrošinātu plānoto CEF projekta aktivitāšu realizāciju, ievērojot normatīvajos aktos</w:t>
      </w:r>
      <w:r w:rsidRPr="00A626F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footnoteReference w:id="8"/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noteikto kārtību, kādā budžeta iestādes var uzņemties papildu saistības Eiropas Savienības politikas instrumentu un pārējās ārvalstu finanšu palīdzības līdzfinansēt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>os projektos un pasākumos, Vides aizsardzības un reģionālās attīstības ministrija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ir sagatavojusi informatīvo ziņojumu par </w:t>
      </w:r>
      <w:r w:rsidR="008C2F9B" w:rsidRPr="00A626FD">
        <w:rPr>
          <w:rFonts w:ascii="Times New Roman" w:hAnsi="Times New Roman"/>
          <w:sz w:val="24"/>
          <w:szCs w:val="24"/>
        </w:rPr>
        <w:t>CEF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626FD">
        <w:rPr>
          <w:rFonts w:ascii="Times New Roman" w:hAnsi="Times New Roman"/>
          <w:sz w:val="24"/>
          <w:szCs w:val="24"/>
        </w:rPr>
        <w:t xml:space="preserve">līdzfinansētā projekta </w:t>
      </w:r>
      <w:proofErr w:type="spellStart"/>
      <w:r w:rsidRPr="00A626FD">
        <w:rPr>
          <w:rFonts w:ascii="Times New Roman" w:hAnsi="Times New Roman"/>
          <w:sz w:val="24"/>
          <w:szCs w:val="24"/>
        </w:rPr>
        <w:t>pri</w:t>
      </w:r>
      <w:r w:rsidR="005C0DC9">
        <w:rPr>
          <w:rFonts w:ascii="Times New Roman" w:hAnsi="Times New Roman"/>
          <w:sz w:val="24"/>
          <w:szCs w:val="24"/>
        </w:rPr>
        <w:t>ekšfinansēšanas</w:t>
      </w:r>
      <w:proofErr w:type="spellEnd"/>
      <w:r w:rsidR="005C0DC9">
        <w:rPr>
          <w:rFonts w:ascii="Times New Roman" w:hAnsi="Times New Roman"/>
          <w:sz w:val="24"/>
          <w:szCs w:val="24"/>
        </w:rPr>
        <w:t xml:space="preserve"> nepieciešamību.</w:t>
      </w:r>
    </w:p>
    <w:p w14:paraId="76AAF442" w14:textId="77777777" w:rsidR="006B2466" w:rsidRPr="00A626FD" w:rsidRDefault="006B2466" w:rsidP="006B24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7696C29" w14:textId="77777777" w:rsidR="006B2466" w:rsidRPr="00A626FD" w:rsidRDefault="00F0154F" w:rsidP="006B2466">
      <w:pPr>
        <w:spacing w:after="120" w:line="240" w:lineRule="auto"/>
        <w:ind w:firstLine="561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t>2. Projekta pieteikums</w:t>
      </w:r>
    </w:p>
    <w:p w14:paraId="42671A5D" w14:textId="41E5D509" w:rsidR="006B2466" w:rsidRPr="00A626FD" w:rsidRDefault="00F0154F" w:rsidP="006B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Lai 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tiktu </w:t>
      </w:r>
      <w:r w:rsidR="00BE62D9" w:rsidRPr="00A626FD">
        <w:rPr>
          <w:rFonts w:ascii="Times New Roman" w:eastAsia="Times New Roman" w:hAnsi="Times New Roman"/>
          <w:sz w:val="24"/>
          <w:szCs w:val="24"/>
          <w:lang w:eastAsia="lv-LV"/>
        </w:rPr>
        <w:t>turpināta atbilstības nodrošināšana eIDAS regulai un īstenošanas regulai (ES) 2015/1501</w:t>
      </w:r>
      <w:r w:rsidR="00802CA5" w:rsidRPr="00802CA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802CA5" w:rsidRPr="00A626F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footnoteReference w:id="9"/>
      </w:r>
      <w:r w:rsidR="0087308C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VRAA, kas ir arī </w:t>
      </w:r>
      <w:r w:rsidR="0087308C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Latvijas nacionālo eIDAS mezgla punktu 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pārvaldnieks, atsaucoties uz 20</w:t>
      </w:r>
      <w:r w:rsidR="00FB3D2A" w:rsidRPr="00A626FD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933AAA" w:rsidRPr="00A626FD"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933AAA" w:rsidRPr="00A626FD">
        <w:rPr>
          <w:rFonts w:ascii="Times New Roman" w:eastAsia="Times New Roman" w:hAnsi="Times New Roman"/>
          <w:sz w:val="24"/>
          <w:szCs w:val="24"/>
          <w:lang w:eastAsia="lv-LV"/>
        </w:rPr>
        <w:t>martā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CEF Telecom</w:t>
      </w:r>
      <w:r w:rsidRPr="00A626FD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ietvaros izsludināto projektu konkursu </w:t>
      </w:r>
      <w:r w:rsidRPr="00A626FD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CEF-TC-20</w:t>
      </w:r>
      <w:r w:rsidR="00933AAA" w:rsidRPr="00A626FD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20</w:t>
      </w:r>
      <w:r w:rsidRPr="00A626FD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 xml:space="preserve">-1 </w:t>
      </w:r>
      <w:proofErr w:type="spellStart"/>
      <w:r w:rsidRPr="00A626FD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eIdentification</w:t>
      </w:r>
      <w:proofErr w:type="spellEnd"/>
      <w:r w:rsidRPr="00A626FD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 xml:space="preserve"> (</w:t>
      </w:r>
      <w:proofErr w:type="spellStart"/>
      <w:r w:rsidRPr="00A626FD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eID</w:t>
      </w:r>
      <w:proofErr w:type="spellEnd"/>
      <w:r w:rsidRPr="00A626FD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 xml:space="preserve">) &amp; </w:t>
      </w:r>
      <w:proofErr w:type="spellStart"/>
      <w:r w:rsidRPr="00A626FD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eSignature</w:t>
      </w:r>
      <w:proofErr w:type="spellEnd"/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ir 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izstrādāj</w:t>
      </w:r>
      <w:r w:rsidR="008D24A8">
        <w:rPr>
          <w:rFonts w:ascii="Times New Roman" w:eastAsia="Times New Roman" w:hAnsi="Times New Roman"/>
          <w:sz w:val="24"/>
          <w:szCs w:val="24"/>
          <w:lang w:eastAsia="lv-LV"/>
        </w:rPr>
        <w:t>usi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8D24A8" w:rsidRPr="00A626FD">
        <w:rPr>
          <w:rFonts w:ascii="Times New Roman" w:eastAsia="Times New Roman" w:hAnsi="Times New Roman"/>
          <w:sz w:val="24"/>
          <w:szCs w:val="24"/>
          <w:lang w:eastAsia="lv-LV"/>
        </w:rPr>
        <w:t>iesnie</w:t>
      </w:r>
      <w:r w:rsidR="008D24A8">
        <w:rPr>
          <w:rFonts w:ascii="Times New Roman" w:eastAsia="Times New Roman" w:hAnsi="Times New Roman"/>
          <w:sz w:val="24"/>
          <w:szCs w:val="24"/>
          <w:lang w:eastAsia="lv-LV"/>
        </w:rPr>
        <w:t>gusi</w:t>
      </w:r>
      <w:r w:rsidR="008D24A8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>projekta pieteikumu “</w:t>
      </w:r>
      <w:proofErr w:type="spellStart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>Latvian</w:t>
      </w:r>
      <w:proofErr w:type="spellEnd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>national</w:t>
      </w:r>
      <w:proofErr w:type="spellEnd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>eIDAS</w:t>
      </w:r>
      <w:proofErr w:type="spellEnd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>node</w:t>
      </w:r>
      <w:proofErr w:type="spellEnd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>upgrade</w:t>
      </w:r>
      <w:proofErr w:type="spellEnd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(Latvijas nacionālā </w:t>
      </w:r>
      <w:proofErr w:type="spellStart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>eIDAS</w:t>
      </w:r>
      <w:proofErr w:type="spellEnd"/>
      <w:r w:rsidR="00192590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mezgla punkta atjaunināšana)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>” (turpmāk –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projekta pieteikums). Projekta pieteikums paredz, ka tā apstiprināšanas gadījumā tiks nodrošināts finansējums eIDAS </w:t>
      </w:r>
      <w:r w:rsidR="00FE6FF4" w:rsidRPr="00A626FD">
        <w:rPr>
          <w:rFonts w:ascii="Times New Roman" w:eastAsia="Times New Roman" w:hAnsi="Times New Roman"/>
          <w:sz w:val="24"/>
          <w:szCs w:val="24"/>
          <w:lang w:eastAsia="lv-LV"/>
        </w:rPr>
        <w:t>mezgla punkta atjaunināšana</w:t>
      </w:r>
      <w:r w:rsidR="00301409" w:rsidRPr="00A626FD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8D24A8">
        <w:rPr>
          <w:rFonts w:ascii="Times New Roman" w:eastAsia="Times New Roman" w:hAnsi="Times New Roman"/>
          <w:sz w:val="24"/>
          <w:szCs w:val="24"/>
          <w:lang w:eastAsia="lv-LV"/>
        </w:rPr>
        <w:t xml:space="preserve">Informatīvā </w:t>
      </w:r>
      <w:r w:rsidR="008D24A8">
        <w:rPr>
          <w:rFonts w:ascii="Times New Roman" w:hAnsi="Times New Roman"/>
          <w:sz w:val="24"/>
          <w:szCs w:val="24"/>
        </w:rPr>
        <w:t>z</w:t>
      </w:r>
      <w:r w:rsidR="008D24A8" w:rsidRPr="00A626FD">
        <w:rPr>
          <w:rFonts w:ascii="Times New Roman" w:hAnsi="Times New Roman"/>
          <w:sz w:val="24"/>
          <w:szCs w:val="24"/>
        </w:rPr>
        <w:t xml:space="preserve">iņojuma </w:t>
      </w:r>
      <w:r w:rsidRPr="00A626FD">
        <w:rPr>
          <w:rFonts w:ascii="Times New Roman" w:hAnsi="Times New Roman"/>
          <w:sz w:val="24"/>
          <w:szCs w:val="24"/>
        </w:rPr>
        <w:t>pirmajā tabulā ir att</w:t>
      </w:r>
      <w:r w:rsidR="008C2F9B" w:rsidRPr="00A626FD">
        <w:rPr>
          <w:rFonts w:ascii="Times New Roman" w:hAnsi="Times New Roman"/>
          <w:sz w:val="24"/>
          <w:szCs w:val="24"/>
        </w:rPr>
        <w:t>ēlots</w:t>
      </w:r>
      <w:r w:rsidRPr="00A626FD">
        <w:rPr>
          <w:rFonts w:ascii="Times New Roman" w:hAnsi="Times New Roman"/>
          <w:sz w:val="24"/>
          <w:szCs w:val="24"/>
        </w:rPr>
        <w:t xml:space="preserve"> projekta laika plānojums.</w:t>
      </w:r>
    </w:p>
    <w:p w14:paraId="086B47D7" w14:textId="77777777" w:rsidR="006B2466" w:rsidRPr="00A626FD" w:rsidRDefault="006B2466" w:rsidP="006B2466">
      <w:pPr>
        <w:spacing w:after="0" w:line="240" w:lineRule="auto"/>
        <w:ind w:firstLine="562"/>
        <w:jc w:val="both"/>
        <w:textAlignment w:val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14:paraId="16AFC5B8" w14:textId="10F566D6" w:rsidR="006B2466" w:rsidRPr="00A626FD" w:rsidRDefault="00F0154F" w:rsidP="006B2466">
      <w:pPr>
        <w:spacing w:after="0" w:line="240" w:lineRule="auto"/>
        <w:ind w:firstLine="562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Tabula nr.</w:t>
      </w:r>
      <w:r w:rsidR="003033E6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1</w:t>
      </w:r>
    </w:p>
    <w:p w14:paraId="7040E9AD" w14:textId="30EF782D" w:rsidR="006B2466" w:rsidRPr="00A626FD" w:rsidRDefault="00F0154F" w:rsidP="006B2466">
      <w:pPr>
        <w:spacing w:after="0" w:line="240" w:lineRule="auto"/>
        <w:ind w:firstLine="562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A626FD">
        <w:rPr>
          <w:rFonts w:ascii="Times New Roman" w:eastAsia="Times New Roman" w:hAnsi="Times New Roman"/>
          <w:sz w:val="24"/>
          <w:szCs w:val="24"/>
        </w:rPr>
        <w:t xml:space="preserve">CEF projekta </w:t>
      </w:r>
      <w:r w:rsidRPr="00A626FD">
        <w:rPr>
          <w:rFonts w:ascii="Times New Roman" w:hAnsi="Times New Roman"/>
          <w:i/>
          <w:sz w:val="24"/>
          <w:szCs w:val="24"/>
        </w:rPr>
        <w:t>CEF-TC-20</w:t>
      </w:r>
      <w:r w:rsidR="00B72055" w:rsidRPr="00A626FD">
        <w:rPr>
          <w:rFonts w:ascii="Times New Roman" w:hAnsi="Times New Roman"/>
          <w:i/>
          <w:sz w:val="24"/>
          <w:szCs w:val="24"/>
        </w:rPr>
        <w:t>20</w:t>
      </w:r>
      <w:r w:rsidRPr="00A626FD">
        <w:rPr>
          <w:rFonts w:ascii="Times New Roman" w:hAnsi="Times New Roman"/>
          <w:i/>
          <w:sz w:val="24"/>
          <w:szCs w:val="24"/>
        </w:rPr>
        <w:t xml:space="preserve">-1 </w:t>
      </w:r>
      <w:proofErr w:type="spellStart"/>
      <w:r w:rsidRPr="00A626FD">
        <w:rPr>
          <w:rFonts w:ascii="Times New Roman" w:hAnsi="Times New Roman"/>
          <w:i/>
          <w:sz w:val="24"/>
          <w:szCs w:val="24"/>
        </w:rPr>
        <w:t>eIdentification</w:t>
      </w:r>
      <w:proofErr w:type="spellEnd"/>
      <w:r w:rsidRPr="00A626F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626FD">
        <w:rPr>
          <w:rFonts w:ascii="Times New Roman" w:hAnsi="Times New Roman"/>
          <w:i/>
          <w:sz w:val="24"/>
          <w:szCs w:val="24"/>
        </w:rPr>
        <w:t>eID</w:t>
      </w:r>
      <w:proofErr w:type="spellEnd"/>
      <w:r w:rsidRPr="00A626FD">
        <w:rPr>
          <w:rFonts w:ascii="Times New Roman" w:hAnsi="Times New Roman"/>
          <w:i/>
          <w:sz w:val="24"/>
          <w:szCs w:val="24"/>
        </w:rPr>
        <w:t xml:space="preserve">) &amp; </w:t>
      </w:r>
      <w:proofErr w:type="spellStart"/>
      <w:r w:rsidRPr="00A626FD">
        <w:rPr>
          <w:rFonts w:ascii="Times New Roman" w:hAnsi="Times New Roman"/>
          <w:i/>
          <w:sz w:val="24"/>
          <w:szCs w:val="24"/>
        </w:rPr>
        <w:t>eSignature</w:t>
      </w:r>
      <w:proofErr w:type="spellEnd"/>
      <w:r w:rsidRPr="00A626FD">
        <w:rPr>
          <w:rFonts w:ascii="Times New Roman" w:hAnsi="Times New Roman"/>
          <w:sz w:val="24"/>
          <w:szCs w:val="24"/>
        </w:rPr>
        <w:t xml:space="preserve">  </w:t>
      </w:r>
      <w:r w:rsidRPr="00A626FD">
        <w:rPr>
          <w:rFonts w:ascii="Times New Roman" w:eastAsia="Times New Roman" w:hAnsi="Times New Roman"/>
          <w:sz w:val="24"/>
          <w:szCs w:val="24"/>
        </w:rPr>
        <w:t>laika plāns:</w:t>
      </w:r>
    </w:p>
    <w:p w14:paraId="055176C8" w14:textId="77777777" w:rsidR="006B2466" w:rsidRPr="00A626FD" w:rsidRDefault="006B2466" w:rsidP="006B2466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268"/>
      </w:tblGrid>
      <w:tr w:rsidR="003A0076" w:rsidRPr="00A626FD" w14:paraId="655A9DF0" w14:textId="77777777" w:rsidTr="006B2466">
        <w:trPr>
          <w:trHeight w:val="333"/>
          <w:jc w:val="center"/>
        </w:trPr>
        <w:tc>
          <w:tcPr>
            <w:tcW w:w="5954" w:type="dxa"/>
            <w:vAlign w:val="center"/>
          </w:tcPr>
          <w:p w14:paraId="21467D8C" w14:textId="77777777" w:rsidR="006B2466" w:rsidRPr="00A626FD" w:rsidRDefault="00F0154F" w:rsidP="006B24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FD">
              <w:rPr>
                <w:rFonts w:ascii="Times New Roman" w:hAnsi="Times New Roman"/>
                <w:b/>
                <w:sz w:val="24"/>
                <w:szCs w:val="24"/>
              </w:rPr>
              <w:t>Projekta pieteikuma aktivitāte</w:t>
            </w:r>
          </w:p>
        </w:tc>
        <w:tc>
          <w:tcPr>
            <w:tcW w:w="2268" w:type="dxa"/>
            <w:vAlign w:val="center"/>
          </w:tcPr>
          <w:p w14:paraId="284B21C0" w14:textId="77777777" w:rsidR="006B2466" w:rsidRPr="00A626FD" w:rsidRDefault="00F0154F" w:rsidP="006B24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FD">
              <w:rPr>
                <w:rFonts w:ascii="Times New Roman" w:hAnsi="Times New Roman"/>
                <w:b/>
                <w:sz w:val="24"/>
                <w:szCs w:val="24"/>
              </w:rPr>
              <w:t>Termiņš</w:t>
            </w:r>
          </w:p>
        </w:tc>
      </w:tr>
      <w:tr w:rsidR="003A0076" w:rsidRPr="00A626FD" w14:paraId="7B1AE632" w14:textId="77777777" w:rsidTr="006B2466">
        <w:trPr>
          <w:trHeight w:val="355"/>
          <w:jc w:val="center"/>
        </w:trPr>
        <w:tc>
          <w:tcPr>
            <w:tcW w:w="5954" w:type="dxa"/>
            <w:vAlign w:val="center"/>
          </w:tcPr>
          <w:p w14:paraId="6069DC33" w14:textId="77777777" w:rsidR="006B2466" w:rsidRPr="00A626FD" w:rsidRDefault="00F0154F" w:rsidP="006B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 xml:space="preserve">Projekta iesniegšana </w:t>
            </w:r>
          </w:p>
        </w:tc>
        <w:tc>
          <w:tcPr>
            <w:tcW w:w="2268" w:type="dxa"/>
            <w:vAlign w:val="center"/>
          </w:tcPr>
          <w:p w14:paraId="58316C77" w14:textId="3624C2AD" w:rsidR="006B2466" w:rsidRPr="00A626FD" w:rsidRDefault="00B72055" w:rsidP="006B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25</w:t>
            </w:r>
            <w:r w:rsidR="00106D98">
              <w:rPr>
                <w:rFonts w:ascii="Times New Roman" w:hAnsi="Times New Roman"/>
                <w:sz w:val="24"/>
                <w:szCs w:val="24"/>
              </w:rPr>
              <w:t xml:space="preserve">. jūnijs </w:t>
            </w:r>
            <w:r w:rsidR="00F0154F" w:rsidRPr="00A626FD">
              <w:rPr>
                <w:rFonts w:ascii="Times New Roman" w:hAnsi="Times New Roman"/>
                <w:sz w:val="24"/>
                <w:szCs w:val="24"/>
              </w:rPr>
              <w:t>20</w:t>
            </w:r>
            <w:r w:rsidRPr="00A626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0076" w:rsidRPr="00A626FD" w14:paraId="06D265A5" w14:textId="77777777" w:rsidTr="006B2466">
        <w:trPr>
          <w:trHeight w:val="333"/>
          <w:jc w:val="center"/>
        </w:trPr>
        <w:tc>
          <w:tcPr>
            <w:tcW w:w="5954" w:type="dxa"/>
            <w:vAlign w:val="center"/>
          </w:tcPr>
          <w:p w14:paraId="51FE0B9E" w14:textId="77777777" w:rsidR="006B2466" w:rsidRPr="00A626FD" w:rsidRDefault="00F0154F" w:rsidP="006B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Pieteikumu vērtēšana</w:t>
            </w:r>
          </w:p>
        </w:tc>
        <w:tc>
          <w:tcPr>
            <w:tcW w:w="2268" w:type="dxa"/>
            <w:vAlign w:val="center"/>
          </w:tcPr>
          <w:p w14:paraId="1A108531" w14:textId="4FB12019" w:rsidR="006B2466" w:rsidRPr="00A626FD" w:rsidRDefault="00D428CD" w:rsidP="006B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Oktobris</w:t>
            </w:r>
            <w:r w:rsidR="00F0154F" w:rsidRPr="00A626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A626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0076" w:rsidRPr="00A626FD" w14:paraId="4F28AA55" w14:textId="77777777" w:rsidTr="006B2466">
        <w:trPr>
          <w:trHeight w:val="355"/>
          <w:jc w:val="center"/>
        </w:trPr>
        <w:tc>
          <w:tcPr>
            <w:tcW w:w="5954" w:type="dxa"/>
            <w:vAlign w:val="center"/>
          </w:tcPr>
          <w:p w14:paraId="5092314C" w14:textId="77777777" w:rsidR="006B2466" w:rsidRPr="00A626FD" w:rsidRDefault="00F0154F" w:rsidP="006B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 xml:space="preserve">Izvērtēšana CEF komisijā </w:t>
            </w:r>
          </w:p>
        </w:tc>
        <w:tc>
          <w:tcPr>
            <w:tcW w:w="2268" w:type="dxa"/>
            <w:vAlign w:val="center"/>
          </w:tcPr>
          <w:p w14:paraId="137A1FF5" w14:textId="6141B312" w:rsidR="006B2466" w:rsidRPr="00A626FD" w:rsidRDefault="00695D45" w:rsidP="006B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Novembris</w:t>
            </w:r>
            <w:r w:rsidR="00F0154F" w:rsidRPr="00A626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A626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0076" w:rsidRPr="00A626FD" w14:paraId="5F5C8E7C" w14:textId="77777777" w:rsidTr="006B2466">
        <w:trPr>
          <w:trHeight w:val="355"/>
          <w:jc w:val="center"/>
        </w:trPr>
        <w:tc>
          <w:tcPr>
            <w:tcW w:w="5954" w:type="dxa"/>
            <w:vAlign w:val="center"/>
          </w:tcPr>
          <w:p w14:paraId="661B5EC9" w14:textId="77777777" w:rsidR="006B2466" w:rsidRPr="00A626FD" w:rsidRDefault="00F0154F" w:rsidP="006B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Līgumu par finansējuma nodrošināšanu slēgšana</w:t>
            </w:r>
          </w:p>
        </w:tc>
        <w:tc>
          <w:tcPr>
            <w:tcW w:w="2268" w:type="dxa"/>
            <w:vAlign w:val="center"/>
          </w:tcPr>
          <w:p w14:paraId="4310320A" w14:textId="4C7971D2" w:rsidR="006B2466" w:rsidRPr="00A626FD" w:rsidRDefault="00695D45" w:rsidP="006B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Decembris</w:t>
            </w:r>
            <w:r w:rsidR="00F0154F" w:rsidRPr="00A626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A626FD">
              <w:rPr>
                <w:rFonts w:ascii="Times New Roman" w:hAnsi="Times New Roman"/>
                <w:sz w:val="24"/>
                <w:szCs w:val="24"/>
              </w:rPr>
              <w:t>20</w:t>
            </w:r>
            <w:r w:rsidR="00F0154F" w:rsidRPr="00A626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26FD">
              <w:rPr>
                <w:rFonts w:ascii="Times New Roman" w:hAnsi="Times New Roman"/>
                <w:sz w:val="24"/>
                <w:szCs w:val="24"/>
              </w:rPr>
              <w:t>Marts</w:t>
            </w:r>
            <w:r w:rsidR="00F0154F" w:rsidRPr="00A626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A626FD">
              <w:rPr>
                <w:rFonts w:ascii="Times New Roman" w:hAnsi="Times New Roman"/>
                <w:sz w:val="24"/>
                <w:szCs w:val="24"/>
              </w:rPr>
              <w:t>21</w:t>
            </w:r>
            <w:r w:rsidR="00F0154F" w:rsidRPr="00A6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CD3179D" w14:textId="77777777" w:rsidR="006B2466" w:rsidRPr="00E81E54" w:rsidRDefault="006B2466" w:rsidP="006B24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93DE9CE" w14:textId="59D6D844" w:rsidR="006B2466" w:rsidRPr="00A626FD" w:rsidRDefault="00F0154F" w:rsidP="006B24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t>2.1. Projekta ietvaros plānotie pasākumi</w:t>
      </w:r>
    </w:p>
    <w:p w14:paraId="673F62C5" w14:textId="77777777" w:rsidR="006B2466" w:rsidRPr="00A626FD" w:rsidRDefault="006B2466" w:rsidP="006B2466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5BCFEBB" w14:textId="1725C69F" w:rsidR="006B2466" w:rsidRPr="00A626FD" w:rsidRDefault="00F0154F" w:rsidP="006B2466">
      <w:pPr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2.1.1. </w:t>
      </w:r>
      <w:r w:rsidR="004D2864" w:rsidRPr="00A626FD">
        <w:rPr>
          <w:rFonts w:ascii="Times New Roman" w:eastAsia="Times New Roman" w:hAnsi="Times New Roman"/>
          <w:sz w:val="24"/>
          <w:szCs w:val="24"/>
          <w:lang w:eastAsia="lv-LV"/>
        </w:rPr>
        <w:t>Atjaunināt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eIDAS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vārteju, lai nodrošinātu elektroniskās 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identifikācijas sistēmu savienošanu Eiropas Savienības līmenī ar mērķi nodrošināt Eiropas Savienības iedzī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>votāju piekļūšanu citu valstu e-</w:t>
      </w:r>
      <w:r w:rsidR="005C0DC9">
        <w:rPr>
          <w:rFonts w:ascii="Times New Roman" w:eastAsia="Times New Roman" w:hAnsi="Times New Roman"/>
          <w:sz w:val="24"/>
          <w:szCs w:val="24"/>
          <w:lang w:eastAsia="lv-LV"/>
        </w:rPr>
        <w:t>pakalpojumiem;</w:t>
      </w:r>
    </w:p>
    <w:p w14:paraId="3E84F345" w14:textId="102AF23C" w:rsidR="006B2466" w:rsidRPr="00A626FD" w:rsidRDefault="00F0154F" w:rsidP="006B2466">
      <w:pPr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2.1.2. </w:t>
      </w:r>
      <w:r w:rsidR="004D2864" w:rsidRPr="00A626FD">
        <w:rPr>
          <w:rFonts w:ascii="Times New Roman" w:eastAsia="Times New Roman" w:hAnsi="Times New Roman"/>
          <w:sz w:val="24"/>
          <w:szCs w:val="24"/>
          <w:lang w:eastAsia="lv-LV"/>
        </w:rPr>
        <w:t>Atjaunināt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eIDAS vārteju, lai nodrošinātu Eiropas Savienības iedzīvotāju autentifikāciju Latvijas publisko iestāžu elektroniskajiem pakalpojumiem</w:t>
      </w:r>
      <w:r w:rsidR="00E834B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F907FCD" w14:textId="13A9543C" w:rsidR="006B2466" w:rsidRPr="00A626FD" w:rsidRDefault="006B2466" w:rsidP="006B2466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14:paraId="7583C8CA" w14:textId="5B7AC6D6" w:rsidR="006B2466" w:rsidRPr="00A626FD" w:rsidRDefault="00F0154F" w:rsidP="006B246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hAnsi="Times New Roman"/>
          <w:b/>
          <w:sz w:val="24"/>
          <w:szCs w:val="24"/>
        </w:rPr>
        <w:t>Projekta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626FD">
        <w:rPr>
          <w:rFonts w:ascii="Times New Roman" w:hAnsi="Times New Roman"/>
          <w:b/>
          <w:sz w:val="24"/>
          <w:szCs w:val="24"/>
        </w:rPr>
        <w:t>ietvaros</w:t>
      </w:r>
      <w:r w:rsidR="00AF173A">
        <w:rPr>
          <w:rFonts w:ascii="Times New Roman" w:hAnsi="Times New Roman"/>
          <w:b/>
          <w:sz w:val="24"/>
          <w:szCs w:val="24"/>
        </w:rPr>
        <w:t xml:space="preserve"> sasniedzamo rezultātu apraksts</w:t>
      </w:r>
    </w:p>
    <w:p w14:paraId="5BBAEE1C" w14:textId="77777777" w:rsidR="006B2466" w:rsidRPr="00A626FD" w:rsidRDefault="006B2466" w:rsidP="006B2466">
      <w:pPr>
        <w:pStyle w:val="ListParagraph"/>
        <w:spacing w:after="0" w:line="240" w:lineRule="auto"/>
        <w:ind w:left="128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6888E7E" w14:textId="0FADDEA0" w:rsidR="3964AB6F" w:rsidRPr="00A626FD" w:rsidRDefault="00F0154F" w:rsidP="575F0F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2.2.1. </w:t>
      </w:r>
      <w:r w:rsidR="70B02943" w:rsidRPr="00A626FD">
        <w:rPr>
          <w:rFonts w:ascii="Times New Roman" w:eastAsia="Times New Roman" w:hAnsi="Times New Roman"/>
          <w:sz w:val="24"/>
          <w:szCs w:val="24"/>
          <w:lang w:eastAsia="lv-LV"/>
        </w:rPr>
        <w:t>eIDAS tehnisk</w:t>
      </w:r>
      <w:r w:rsidR="2AAB5426" w:rsidRPr="00A626FD">
        <w:rPr>
          <w:rFonts w:ascii="Times New Roman" w:eastAsia="Times New Roman" w:hAnsi="Times New Roman"/>
          <w:sz w:val="24"/>
          <w:szCs w:val="24"/>
          <w:lang w:eastAsia="lv-LV"/>
        </w:rPr>
        <w:t>ās</w:t>
      </w:r>
      <w:r w:rsidR="70B02943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specifikācijas versijai 1.2.</w:t>
      </w:r>
      <w:r w:rsidR="21873747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atbilstoša pārrobežu</w:t>
      </w:r>
      <w:r w:rsidR="5F046665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aute</w:t>
      </w:r>
      <w:r w:rsidR="008C2F9B" w:rsidRPr="00A626FD">
        <w:rPr>
          <w:rFonts w:ascii="Times New Roman" w:eastAsia="Times New Roman" w:hAnsi="Times New Roman"/>
          <w:sz w:val="24"/>
          <w:szCs w:val="24"/>
          <w:lang w:eastAsia="lv-LV"/>
        </w:rPr>
        <w:t>nt</w:t>
      </w:r>
      <w:r w:rsidR="5F046665" w:rsidRPr="00A626FD">
        <w:rPr>
          <w:rFonts w:ascii="Times New Roman" w:eastAsia="Times New Roman" w:hAnsi="Times New Roman"/>
          <w:sz w:val="24"/>
          <w:szCs w:val="24"/>
          <w:lang w:eastAsia="lv-LV"/>
        </w:rPr>
        <w:t>ifikācijas</w:t>
      </w:r>
      <w:r w:rsidR="005C1A28"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21873747" w:rsidRPr="00A626FD">
        <w:rPr>
          <w:rFonts w:ascii="Times New Roman" w:eastAsia="Times New Roman" w:hAnsi="Times New Roman"/>
          <w:sz w:val="24"/>
          <w:szCs w:val="24"/>
          <w:lang w:eastAsia="lv-LV"/>
        </w:rPr>
        <w:t>ri</w:t>
      </w:r>
      <w:r w:rsidR="005C0DC9">
        <w:rPr>
          <w:rFonts w:ascii="Times New Roman" w:eastAsia="Times New Roman" w:hAnsi="Times New Roman"/>
          <w:sz w:val="24"/>
          <w:szCs w:val="24"/>
          <w:lang w:eastAsia="lv-LV"/>
        </w:rPr>
        <w:t>sinājuma nodrošināšana Latvijā</w:t>
      </w:r>
      <w:r w:rsidR="005C1A28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78B614BA" w14:textId="7309CCA9" w:rsidR="006B2466" w:rsidRPr="00A626FD" w:rsidRDefault="00F0154F" w:rsidP="006B2466">
      <w:pPr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2.2.</w:t>
      </w:r>
      <w:r w:rsidR="009128E6" w:rsidRPr="00A626F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Daļēja partneru e-pakalpojumu pielāgošana, lai izmantotu eIDAS autentifikāciju.</w:t>
      </w:r>
    </w:p>
    <w:p w14:paraId="7C462425" w14:textId="77777777" w:rsidR="006B2466" w:rsidRPr="00A626FD" w:rsidRDefault="006B2466" w:rsidP="006B24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9E593F5" w14:textId="6A8FBCA7" w:rsidR="006B2466" w:rsidRPr="00A626FD" w:rsidRDefault="00AF173A" w:rsidP="006B246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Projekta </w:t>
      </w:r>
      <w:r w:rsidR="00F0154F" w:rsidRPr="00A626FD">
        <w:rPr>
          <w:rFonts w:ascii="Times New Roman" w:hAnsi="Times New Roman"/>
          <w:b/>
          <w:sz w:val="24"/>
          <w:szCs w:val="24"/>
        </w:rPr>
        <w:t>ietvaros plānoto pasākumu aktivitāšu sadalījums</w:t>
      </w:r>
    </w:p>
    <w:p w14:paraId="7CA0FCE3" w14:textId="77777777" w:rsidR="006B2466" w:rsidRPr="00A626FD" w:rsidRDefault="006B2466" w:rsidP="006B2466">
      <w:p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7127E29" w14:textId="455FEC0A" w:rsidR="006B2466" w:rsidRPr="00A626FD" w:rsidRDefault="00F0154F" w:rsidP="006B2466">
      <w:pPr>
        <w:spacing w:after="0" w:line="240" w:lineRule="auto"/>
        <w:ind w:left="714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t xml:space="preserve">VRAA </w:t>
      </w:r>
      <w:r w:rsidRPr="00A626FD">
        <w:rPr>
          <w:rFonts w:ascii="Times New Roman" w:hAnsi="Times New Roman"/>
          <w:sz w:val="24"/>
          <w:szCs w:val="24"/>
        </w:rPr>
        <w:t>īstenos šādas VRAA kompetencē esošas aktivitātes:</w:t>
      </w:r>
    </w:p>
    <w:p w14:paraId="2B7EC1BD" w14:textId="7CCFD57B" w:rsidR="006B2466" w:rsidRPr="00A626FD" w:rsidRDefault="00FC4E30" w:rsidP="00AF173A">
      <w:pPr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4D2864" w:rsidRPr="00A626FD">
        <w:rPr>
          <w:rFonts w:ascii="Times New Roman" w:hAnsi="Times New Roman"/>
          <w:sz w:val="24"/>
          <w:szCs w:val="24"/>
        </w:rPr>
        <w:t>Atjauninās</w:t>
      </w:r>
      <w:r w:rsidR="00F0154F" w:rsidRPr="00A626FD">
        <w:rPr>
          <w:rFonts w:ascii="Times New Roman" w:hAnsi="Times New Roman"/>
          <w:sz w:val="24"/>
          <w:szCs w:val="24"/>
        </w:rPr>
        <w:t xml:space="preserve"> eIDAS </w:t>
      </w:r>
      <w:r w:rsidR="0060369F" w:rsidRPr="00A626FD">
        <w:rPr>
          <w:rFonts w:ascii="Times New Roman" w:hAnsi="Times New Roman"/>
          <w:sz w:val="24"/>
          <w:szCs w:val="24"/>
        </w:rPr>
        <w:t>mezglu punktu</w:t>
      </w:r>
      <w:r w:rsidR="005C0DC9">
        <w:rPr>
          <w:rFonts w:ascii="Times New Roman" w:hAnsi="Times New Roman"/>
          <w:sz w:val="24"/>
          <w:szCs w:val="24"/>
        </w:rPr>
        <w:t>;</w:t>
      </w:r>
    </w:p>
    <w:p w14:paraId="4CDF44DB" w14:textId="3571557A" w:rsidR="006B2466" w:rsidRPr="00A626FD" w:rsidRDefault="00FC4E30" w:rsidP="00AF173A">
      <w:pPr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F0154F" w:rsidRPr="00A626FD">
        <w:rPr>
          <w:rFonts w:ascii="Times New Roman" w:hAnsi="Times New Roman"/>
          <w:sz w:val="24"/>
          <w:szCs w:val="24"/>
        </w:rPr>
        <w:t xml:space="preserve">Pilnveidos Vienoto pieteikšanās moduli </w:t>
      </w:r>
      <w:r w:rsidR="00C538C2" w:rsidRPr="00A626FD">
        <w:rPr>
          <w:rFonts w:ascii="Times New Roman" w:hAnsi="Times New Roman"/>
          <w:sz w:val="24"/>
          <w:szCs w:val="24"/>
        </w:rPr>
        <w:t>jaunās</w:t>
      </w:r>
      <w:r w:rsidR="006F1357" w:rsidRPr="00A626FD">
        <w:rPr>
          <w:rFonts w:ascii="Times New Roman" w:hAnsi="Times New Roman"/>
          <w:sz w:val="24"/>
          <w:szCs w:val="24"/>
        </w:rPr>
        <w:t xml:space="preserve"> tehniskās specifikācijas</w:t>
      </w:r>
      <w:r w:rsidR="00C538C2" w:rsidRPr="00A626FD">
        <w:rPr>
          <w:rFonts w:ascii="Times New Roman" w:hAnsi="Times New Roman"/>
          <w:sz w:val="24"/>
          <w:szCs w:val="24"/>
        </w:rPr>
        <w:t xml:space="preserve"> </w:t>
      </w:r>
      <w:r w:rsidR="00F0154F" w:rsidRPr="00A626FD">
        <w:rPr>
          <w:rFonts w:ascii="Times New Roman" w:hAnsi="Times New Roman"/>
          <w:sz w:val="24"/>
          <w:szCs w:val="24"/>
        </w:rPr>
        <w:t>atbalstam;</w:t>
      </w:r>
    </w:p>
    <w:p w14:paraId="2C616B2A" w14:textId="57E90089" w:rsidR="006B2466" w:rsidRPr="00A626FD" w:rsidRDefault="00FC4E30" w:rsidP="00AF173A">
      <w:pPr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F0154F" w:rsidRPr="00A626FD">
        <w:rPr>
          <w:rFonts w:ascii="Times New Roman" w:hAnsi="Times New Roman"/>
          <w:sz w:val="24"/>
          <w:szCs w:val="24"/>
        </w:rPr>
        <w:t>Organizēs un veiks komunikācijas testēšanu ar eIDAS valstīm;</w:t>
      </w:r>
    </w:p>
    <w:p w14:paraId="3058E96C" w14:textId="20C67218" w:rsidR="006B2466" w:rsidRPr="00A626FD" w:rsidRDefault="00FC4E30" w:rsidP="00AF173A">
      <w:pPr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="00F0154F" w:rsidRPr="00A626FD">
        <w:rPr>
          <w:rFonts w:ascii="Times New Roman" w:hAnsi="Times New Roman"/>
          <w:sz w:val="24"/>
          <w:szCs w:val="24"/>
        </w:rPr>
        <w:t>Nodrošinās projekta vadību (iekļaujot kopējo projekta budžeta pārraudzību).</w:t>
      </w:r>
    </w:p>
    <w:p w14:paraId="5DFFB2CB" w14:textId="77777777" w:rsidR="006B2466" w:rsidRPr="00A626FD" w:rsidRDefault="006B2466" w:rsidP="006B2466">
      <w:pPr>
        <w:spacing w:after="0" w:line="240" w:lineRule="auto"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357AF86D" w14:textId="7C90E2E8" w:rsidR="006B2466" w:rsidRPr="00A626FD" w:rsidRDefault="005C0DC9" w:rsidP="006B2466">
      <w:pPr>
        <w:spacing w:after="120" w:line="240" w:lineRule="auto"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Finanšu nosacījumi</w:t>
      </w:r>
    </w:p>
    <w:p w14:paraId="49994FE7" w14:textId="77777777" w:rsidR="006B2466" w:rsidRPr="00397E70" w:rsidRDefault="00F0154F" w:rsidP="006B2466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t>3.1</w:t>
      </w:r>
      <w:r w:rsidRPr="00397E70">
        <w:rPr>
          <w:rFonts w:ascii="Times New Roman" w:hAnsi="Times New Roman"/>
          <w:b/>
          <w:sz w:val="24"/>
          <w:szCs w:val="24"/>
        </w:rPr>
        <w:t>. Projekta pieteikumā plānotais finansējums un tā sadalījums</w:t>
      </w:r>
    </w:p>
    <w:p w14:paraId="199B36C0" w14:textId="2C8AEF3D" w:rsidR="006B2466" w:rsidRPr="00A626FD" w:rsidRDefault="00F0154F" w:rsidP="006B2466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97E70">
        <w:rPr>
          <w:rFonts w:ascii="Times New Roman" w:hAnsi="Times New Roman"/>
          <w:sz w:val="24"/>
          <w:szCs w:val="24"/>
        </w:rPr>
        <w:t xml:space="preserve">Projekta pieteikuma kopējās attiecināmās izmaksas plānotas </w:t>
      </w:r>
      <w:r w:rsidR="00886C22" w:rsidRPr="00397E70">
        <w:rPr>
          <w:rFonts w:ascii="Times New Roman" w:hAnsi="Times New Roman"/>
          <w:sz w:val="24"/>
          <w:szCs w:val="24"/>
        </w:rPr>
        <w:t>100</w:t>
      </w:r>
      <w:r w:rsidRPr="00397E70">
        <w:rPr>
          <w:rFonts w:ascii="Times New Roman" w:hAnsi="Times New Roman"/>
          <w:sz w:val="24"/>
          <w:szCs w:val="24"/>
        </w:rPr>
        <w:t xml:space="preserve"> 000 </w:t>
      </w:r>
      <w:r w:rsidR="00F46B9A" w:rsidRPr="00397E70">
        <w:rPr>
          <w:rFonts w:ascii="Times New Roman" w:hAnsi="Times New Roman"/>
          <w:sz w:val="24"/>
          <w:szCs w:val="24"/>
        </w:rPr>
        <w:t>EUR</w:t>
      </w:r>
      <w:r w:rsidRPr="00397E70">
        <w:rPr>
          <w:rFonts w:ascii="Times New Roman" w:hAnsi="Times New Roman"/>
          <w:sz w:val="24"/>
          <w:szCs w:val="24"/>
        </w:rPr>
        <w:t xml:space="preserve"> apmērā, no tām Eiropas Komisijas finansējums (maksimāli 75% no attiecināmajām izmaksām</w:t>
      </w:r>
      <w:r w:rsidR="00D20493" w:rsidRPr="00397E70">
        <w:rPr>
          <w:rFonts w:ascii="Times New Roman" w:hAnsi="Times New Roman"/>
          <w:sz w:val="24"/>
          <w:szCs w:val="24"/>
        </w:rPr>
        <w:t xml:space="preserve">, bet ne vairāk kā </w:t>
      </w:r>
      <w:r w:rsidR="00F05292" w:rsidRPr="00397E70">
        <w:rPr>
          <w:rFonts w:ascii="Times New Roman" w:hAnsi="Times New Roman"/>
          <w:sz w:val="24"/>
          <w:szCs w:val="24"/>
        </w:rPr>
        <w:t>41 450</w:t>
      </w:r>
      <w:r w:rsidR="00C01C1F" w:rsidRPr="00397E70">
        <w:rPr>
          <w:rFonts w:ascii="Times New Roman" w:hAnsi="Times New Roman"/>
          <w:i/>
          <w:sz w:val="24"/>
          <w:szCs w:val="24"/>
        </w:rPr>
        <w:t xml:space="preserve"> </w:t>
      </w:r>
      <w:r w:rsidR="00F46B9A" w:rsidRPr="00397E70">
        <w:rPr>
          <w:rFonts w:ascii="Times New Roman" w:hAnsi="Times New Roman"/>
          <w:sz w:val="24"/>
          <w:szCs w:val="24"/>
        </w:rPr>
        <w:t>EUR</w:t>
      </w:r>
      <w:r w:rsidR="008C2F9B" w:rsidRPr="00397E70">
        <w:rPr>
          <w:rFonts w:ascii="Times New Roman" w:hAnsi="Times New Roman"/>
          <w:sz w:val="24"/>
          <w:szCs w:val="24"/>
        </w:rPr>
        <w:t>) –</w:t>
      </w:r>
      <w:r w:rsidRPr="00397E70">
        <w:rPr>
          <w:rFonts w:ascii="Times New Roman" w:hAnsi="Times New Roman"/>
          <w:sz w:val="24"/>
          <w:szCs w:val="24"/>
        </w:rPr>
        <w:t xml:space="preserve"> </w:t>
      </w:r>
      <w:r w:rsidR="00F05292" w:rsidRPr="00397E70">
        <w:rPr>
          <w:rFonts w:ascii="Times New Roman" w:hAnsi="Times New Roman"/>
          <w:sz w:val="24"/>
          <w:szCs w:val="24"/>
        </w:rPr>
        <w:t>41 450</w:t>
      </w:r>
      <w:r w:rsidRPr="00397E70">
        <w:rPr>
          <w:rFonts w:ascii="Times New Roman" w:hAnsi="Times New Roman"/>
          <w:sz w:val="24"/>
          <w:szCs w:val="24"/>
        </w:rPr>
        <w:t xml:space="preserve"> </w:t>
      </w:r>
      <w:r w:rsidR="00F46B9A" w:rsidRPr="00397E70">
        <w:rPr>
          <w:rFonts w:ascii="Times New Roman" w:hAnsi="Times New Roman"/>
          <w:sz w:val="24"/>
          <w:szCs w:val="24"/>
        </w:rPr>
        <w:t>EUR</w:t>
      </w:r>
      <w:r w:rsidRPr="00397E70">
        <w:rPr>
          <w:rFonts w:ascii="Times New Roman" w:hAnsi="Times New Roman"/>
          <w:sz w:val="24"/>
          <w:szCs w:val="24"/>
        </w:rPr>
        <w:t>, līdzfinansējums 25% apmērā</w:t>
      </w:r>
      <w:r w:rsidR="009C3A26" w:rsidRPr="00397E70">
        <w:rPr>
          <w:rFonts w:ascii="Times New Roman" w:hAnsi="Times New Roman"/>
          <w:sz w:val="24"/>
          <w:szCs w:val="24"/>
        </w:rPr>
        <w:t xml:space="preserve"> vai starp</w:t>
      </w:r>
      <w:r w:rsidR="00E012FB" w:rsidRPr="00397E70">
        <w:rPr>
          <w:rFonts w:ascii="Times New Roman" w:hAnsi="Times New Roman"/>
          <w:sz w:val="24"/>
          <w:szCs w:val="24"/>
        </w:rPr>
        <w:t>ība, kas pārsniedz 25% no līdzfinansējuma maksimālās summas,</w:t>
      </w:r>
      <w:r w:rsidRPr="00397E70">
        <w:rPr>
          <w:rFonts w:ascii="Times New Roman" w:hAnsi="Times New Roman"/>
          <w:sz w:val="24"/>
          <w:szCs w:val="24"/>
        </w:rPr>
        <w:t xml:space="preserve"> jānodrošina Latvijas pusei, atbilstoši plānoto aktivitāšu sadalījumam (skat. tabulu nr.</w:t>
      </w:r>
      <w:r w:rsidR="003033E6" w:rsidRPr="00397E70">
        <w:rPr>
          <w:rFonts w:ascii="Times New Roman" w:hAnsi="Times New Roman"/>
          <w:sz w:val="24"/>
          <w:szCs w:val="24"/>
        </w:rPr>
        <w:t> </w:t>
      </w:r>
      <w:r w:rsidRPr="00397E70">
        <w:rPr>
          <w:rFonts w:ascii="Times New Roman" w:hAnsi="Times New Roman"/>
          <w:sz w:val="24"/>
          <w:szCs w:val="24"/>
        </w:rPr>
        <w:t>2</w:t>
      </w:r>
      <w:r w:rsidR="00CD4750">
        <w:rPr>
          <w:rFonts w:ascii="Times New Roman" w:hAnsi="Times New Roman"/>
          <w:sz w:val="24"/>
          <w:szCs w:val="24"/>
        </w:rPr>
        <w:t xml:space="preserve"> “Projekta finansēšanas avoti”)</w:t>
      </w:r>
      <w:r w:rsidRPr="00BE7B17">
        <w:rPr>
          <w:rFonts w:ascii="Times New Roman" w:hAnsi="Times New Roman"/>
          <w:sz w:val="24"/>
          <w:szCs w:val="24"/>
        </w:rPr>
        <w:t>.</w:t>
      </w:r>
    </w:p>
    <w:p w14:paraId="72901174" w14:textId="77777777" w:rsidR="006B2466" w:rsidRPr="00A626FD" w:rsidRDefault="006B2466" w:rsidP="006B2466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1BFA87B4" w14:textId="4CBF1024" w:rsidR="006B2466" w:rsidRPr="00A626FD" w:rsidRDefault="00F0154F" w:rsidP="006B2466">
      <w:pPr>
        <w:spacing w:after="0" w:line="240" w:lineRule="auto"/>
        <w:ind w:firstLine="562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Tabula nr.</w:t>
      </w:r>
      <w:r w:rsidR="003033E6" w:rsidRPr="00A626FD">
        <w:rPr>
          <w:rFonts w:ascii="Times New Roman" w:hAnsi="Times New Roman"/>
          <w:sz w:val="24"/>
          <w:szCs w:val="24"/>
        </w:rPr>
        <w:t> </w:t>
      </w:r>
      <w:r w:rsidR="005C0DC9">
        <w:rPr>
          <w:rFonts w:ascii="Times New Roman" w:hAnsi="Times New Roman"/>
          <w:sz w:val="24"/>
          <w:szCs w:val="24"/>
        </w:rPr>
        <w:t>2</w:t>
      </w:r>
    </w:p>
    <w:p w14:paraId="7534C1E7" w14:textId="05F4EF38" w:rsidR="006B2466" w:rsidRPr="00A626FD" w:rsidRDefault="00F0154F" w:rsidP="006B2466">
      <w:pPr>
        <w:spacing w:after="0" w:line="240" w:lineRule="auto"/>
        <w:ind w:firstLine="562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Projekta finansēšanas avoti</w:t>
      </w:r>
    </w:p>
    <w:p w14:paraId="03FFBFFF" w14:textId="77777777" w:rsidR="006B2466" w:rsidRPr="00A626FD" w:rsidRDefault="006B2466" w:rsidP="006B2466">
      <w:pPr>
        <w:spacing w:after="0" w:line="240" w:lineRule="auto"/>
        <w:ind w:firstLine="562"/>
        <w:jc w:val="right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2677"/>
      </w:tblGrid>
      <w:tr w:rsidR="003A0076" w:rsidRPr="00A626FD" w14:paraId="39497863" w14:textId="77777777" w:rsidTr="006B2466">
        <w:trPr>
          <w:jc w:val="center"/>
        </w:trPr>
        <w:tc>
          <w:tcPr>
            <w:tcW w:w="5484" w:type="dxa"/>
            <w:shd w:val="clear" w:color="auto" w:fill="auto"/>
          </w:tcPr>
          <w:p w14:paraId="05753D88" w14:textId="77777777" w:rsidR="006B2466" w:rsidRPr="00A626FD" w:rsidRDefault="00F0154F" w:rsidP="006B2466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626F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Finansējuma avots (fonds)</w:t>
            </w:r>
          </w:p>
        </w:tc>
        <w:tc>
          <w:tcPr>
            <w:tcW w:w="2677" w:type="dxa"/>
            <w:shd w:val="clear" w:color="auto" w:fill="auto"/>
          </w:tcPr>
          <w:p w14:paraId="7DC63E1A" w14:textId="77777777" w:rsidR="006B2466" w:rsidRPr="00A626FD" w:rsidRDefault="00F0154F" w:rsidP="006B2466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626F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Summa, EUR</w:t>
            </w:r>
          </w:p>
        </w:tc>
      </w:tr>
      <w:tr w:rsidR="003A0076" w:rsidRPr="00A626FD" w14:paraId="717BB233" w14:textId="77777777" w:rsidTr="006B2466">
        <w:trPr>
          <w:jc w:val="center"/>
        </w:trPr>
        <w:tc>
          <w:tcPr>
            <w:tcW w:w="5484" w:type="dxa"/>
            <w:shd w:val="clear" w:color="auto" w:fill="auto"/>
          </w:tcPr>
          <w:p w14:paraId="529C3B11" w14:textId="77777777" w:rsidR="006B2466" w:rsidRPr="00A626FD" w:rsidRDefault="00F0154F" w:rsidP="006B2466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kopējais indikatīvais finansējums (EUR), no tā:</w:t>
            </w:r>
          </w:p>
        </w:tc>
        <w:tc>
          <w:tcPr>
            <w:tcW w:w="2677" w:type="dxa"/>
            <w:shd w:val="clear" w:color="auto" w:fill="auto"/>
          </w:tcPr>
          <w:p w14:paraId="4E92D17E" w14:textId="3783AB5C" w:rsidR="006B2466" w:rsidRPr="00A626FD" w:rsidRDefault="001C1114" w:rsidP="006B2466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F0154F"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00 000</w:t>
            </w:r>
          </w:p>
        </w:tc>
      </w:tr>
      <w:tr w:rsidR="003A0076" w:rsidRPr="00A626FD" w14:paraId="24E7085D" w14:textId="77777777" w:rsidTr="006B2466">
        <w:trPr>
          <w:jc w:val="center"/>
        </w:trPr>
        <w:tc>
          <w:tcPr>
            <w:tcW w:w="5484" w:type="dxa"/>
            <w:shd w:val="clear" w:color="auto" w:fill="auto"/>
          </w:tcPr>
          <w:p w14:paraId="31705028" w14:textId="77777777" w:rsidR="006B2466" w:rsidRPr="00A626FD" w:rsidRDefault="00F0154F" w:rsidP="006B2466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AF173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lastRenderedPageBreak/>
              <w:t>Connecting</w:t>
            </w:r>
            <w:proofErr w:type="spellEnd"/>
            <w:r w:rsidRPr="00AF173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F173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Europe</w:t>
            </w:r>
            <w:proofErr w:type="spellEnd"/>
            <w:r w:rsidRPr="00AF173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F173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Facility</w:t>
            </w:r>
            <w:proofErr w:type="spellEnd"/>
            <w:r w:rsidRPr="00AF173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(CEF) </w:t>
            </w:r>
            <w:proofErr w:type="spellStart"/>
            <w:r w:rsidRPr="00AF173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for</w:t>
            </w:r>
            <w:proofErr w:type="spellEnd"/>
            <w:r w:rsidRPr="00AF173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Telecom</w:t>
            </w:r>
            <w:r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Programmas līdzfinansējuma daļa (EUR): </w:t>
            </w:r>
          </w:p>
        </w:tc>
        <w:tc>
          <w:tcPr>
            <w:tcW w:w="2677" w:type="dxa"/>
            <w:shd w:val="clear" w:color="auto" w:fill="auto"/>
          </w:tcPr>
          <w:p w14:paraId="3CBFCB4C" w14:textId="61CA39E5" w:rsidR="006B2466" w:rsidRPr="00A626FD" w:rsidRDefault="00D1207B" w:rsidP="006B2466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41 450</w:t>
            </w:r>
          </w:p>
        </w:tc>
      </w:tr>
      <w:tr w:rsidR="003A0076" w:rsidRPr="00A626FD" w14:paraId="0718D217" w14:textId="77777777" w:rsidTr="006B2466">
        <w:trPr>
          <w:jc w:val="center"/>
        </w:trPr>
        <w:tc>
          <w:tcPr>
            <w:tcW w:w="5484" w:type="dxa"/>
            <w:shd w:val="clear" w:color="auto" w:fill="auto"/>
          </w:tcPr>
          <w:p w14:paraId="4E38A4E3" w14:textId="58A4D028" w:rsidR="006B2466" w:rsidRPr="00A626FD" w:rsidRDefault="00F0154F" w:rsidP="006B2466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Latvijas attiecināmo izma</w:t>
            </w:r>
            <w:r w:rsidR="008C2F9B"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ksu līdzfinansējuma daļa (EUR):</w:t>
            </w:r>
          </w:p>
        </w:tc>
        <w:tc>
          <w:tcPr>
            <w:tcW w:w="2677" w:type="dxa"/>
            <w:shd w:val="clear" w:color="auto" w:fill="auto"/>
          </w:tcPr>
          <w:p w14:paraId="6E1A6EC8" w14:textId="6BE1ACB2" w:rsidR="006B2466" w:rsidRPr="00A626FD" w:rsidRDefault="003956B2" w:rsidP="006B2466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58 550</w:t>
            </w:r>
          </w:p>
        </w:tc>
      </w:tr>
    </w:tbl>
    <w:p w14:paraId="6F5316D0" w14:textId="77777777" w:rsidR="006B2466" w:rsidRPr="00A626FD" w:rsidRDefault="006B2466" w:rsidP="006B2466">
      <w:pPr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619F21F8" w14:textId="6A2AF8C3" w:rsidR="006B2466" w:rsidRPr="00A626FD" w:rsidRDefault="00F0154F" w:rsidP="006B2466">
      <w:pPr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>Projekt</w:t>
      </w:r>
      <w:r w:rsidR="005C0DC9">
        <w:rPr>
          <w:rFonts w:ascii="Times New Roman" w:eastAsia="Times New Roman" w:hAnsi="Times New Roman"/>
          <w:sz w:val="24"/>
          <w:szCs w:val="24"/>
          <w:lang w:eastAsia="lv-LV"/>
        </w:rPr>
        <w:t>a finansējuma saņēmējs ir VRAA.</w:t>
      </w:r>
    </w:p>
    <w:p w14:paraId="30E72367" w14:textId="77777777" w:rsidR="006B2466" w:rsidRPr="00A626FD" w:rsidRDefault="006B2466" w:rsidP="006B2466">
      <w:pPr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2E45E702" w14:textId="6018A655" w:rsidR="006B2466" w:rsidRPr="00A626FD" w:rsidRDefault="00F0154F" w:rsidP="006B2466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Saskaņā ar projekta pieteikumu konkursa dokumentāciju</w:t>
      </w:r>
      <w:r w:rsidR="001B23F8" w:rsidRPr="00A626FD">
        <w:rPr>
          <w:rFonts w:ascii="Times New Roman" w:hAnsi="Times New Roman"/>
          <w:sz w:val="24"/>
          <w:szCs w:val="24"/>
        </w:rPr>
        <w:t xml:space="preserve"> projektā plānots tikai viens maksājums, jo projekta </w:t>
      </w:r>
      <w:r w:rsidR="00DD5725" w:rsidRPr="00A626FD">
        <w:rPr>
          <w:rFonts w:ascii="Times New Roman" w:hAnsi="Times New Roman"/>
          <w:sz w:val="24"/>
          <w:szCs w:val="24"/>
        </w:rPr>
        <w:t>realizācijas</w:t>
      </w:r>
      <w:r w:rsidR="008C2F9B" w:rsidRPr="00A626FD">
        <w:rPr>
          <w:rFonts w:ascii="Times New Roman" w:hAnsi="Times New Roman"/>
          <w:sz w:val="24"/>
          <w:szCs w:val="24"/>
        </w:rPr>
        <w:t xml:space="preserve"> termiņš ir seši</w:t>
      </w:r>
      <w:r w:rsidR="001B23F8" w:rsidRPr="00A626FD">
        <w:rPr>
          <w:rFonts w:ascii="Times New Roman" w:hAnsi="Times New Roman"/>
          <w:sz w:val="24"/>
          <w:szCs w:val="24"/>
        </w:rPr>
        <w:t xml:space="preserve"> mēneši</w:t>
      </w:r>
      <w:r w:rsidRPr="00A626FD">
        <w:rPr>
          <w:rFonts w:ascii="Times New Roman" w:hAnsi="Times New Roman"/>
          <w:sz w:val="24"/>
          <w:szCs w:val="24"/>
        </w:rPr>
        <w:t xml:space="preserve">. Gala maksājums no Eiropas Komisijas piešķirtā finansējuma tiek pārskaitīts pēc projekta aktivitāšu pabeigšanas, pamatojoties uz projekta gala ziņojumu. Līdz ar to projekta ieviešanai nepieciešams valsts </w:t>
      </w:r>
      <w:proofErr w:type="spellStart"/>
      <w:r w:rsidRPr="00A626FD">
        <w:rPr>
          <w:rFonts w:ascii="Times New Roman" w:hAnsi="Times New Roman"/>
          <w:sz w:val="24"/>
          <w:szCs w:val="24"/>
        </w:rPr>
        <w:t>priekšfinansējums</w:t>
      </w:r>
      <w:proofErr w:type="spellEnd"/>
      <w:r w:rsidRPr="00A626FD">
        <w:rPr>
          <w:rFonts w:ascii="Times New Roman" w:hAnsi="Times New Roman"/>
          <w:sz w:val="24"/>
          <w:szCs w:val="24"/>
        </w:rPr>
        <w:t xml:space="preserve"> 100% apmērā no projekta plānot</w:t>
      </w:r>
      <w:r w:rsidR="008C2F9B" w:rsidRPr="00A626FD">
        <w:rPr>
          <w:rFonts w:ascii="Times New Roman" w:hAnsi="Times New Roman"/>
          <w:sz w:val="24"/>
          <w:szCs w:val="24"/>
        </w:rPr>
        <w:t xml:space="preserve">ā finansējuma. </w:t>
      </w:r>
      <w:proofErr w:type="spellStart"/>
      <w:r w:rsidR="008C2F9B" w:rsidRPr="00A626FD">
        <w:rPr>
          <w:rFonts w:ascii="Times New Roman" w:hAnsi="Times New Roman"/>
          <w:sz w:val="24"/>
          <w:szCs w:val="24"/>
        </w:rPr>
        <w:t>Priekšfinansējums</w:t>
      </w:r>
      <w:proofErr w:type="spellEnd"/>
      <w:r w:rsidRPr="00A626FD">
        <w:rPr>
          <w:rFonts w:ascii="Times New Roman" w:hAnsi="Times New Roman"/>
          <w:sz w:val="24"/>
          <w:szCs w:val="24"/>
        </w:rPr>
        <w:t xml:space="preserve"> nepieciešams, lai VRAA kā projekta koordinētājs varētu finansēt veicamās aktivitātes.</w:t>
      </w:r>
    </w:p>
    <w:p w14:paraId="4ABC013B" w14:textId="232145EC" w:rsidR="006B2466" w:rsidRPr="00A626FD" w:rsidRDefault="00F0154F" w:rsidP="006B2466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Pēc projekta pabeigšanas un attiecināmo izmaksu apstiprināšanas Eiropas Komisija veiks gala maksājumu VRAA saskaņotā atbalsta apjomā. VRAA nodrošinās atmaksas ieskaitīšanu valsts pamatbudžeta ieņēmumos.</w:t>
      </w:r>
    </w:p>
    <w:p w14:paraId="2988158B" w14:textId="77777777" w:rsidR="006B2466" w:rsidRPr="00A626FD" w:rsidRDefault="006B2466" w:rsidP="006B2466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64AF388E" w14:textId="0D963206" w:rsidR="006B2466" w:rsidRPr="00A626FD" w:rsidRDefault="00F0154F" w:rsidP="006B2466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t>3.2. VRAA paredzētais projekta finansējuma apjoms un tā sadalījums</w:t>
      </w:r>
    </w:p>
    <w:p w14:paraId="31198F3B" w14:textId="77777777" w:rsidR="006B2466" w:rsidRPr="00A626FD" w:rsidRDefault="006B2466" w:rsidP="006B246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C9896A3" w14:textId="3E66E531" w:rsidR="006B2466" w:rsidRPr="00A626FD" w:rsidRDefault="00F0154F" w:rsidP="006B246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Tabula nr.</w:t>
      </w:r>
      <w:r w:rsidR="00C21E68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3</w:t>
      </w:r>
    </w:p>
    <w:p w14:paraId="44D7BAA4" w14:textId="76B89F5C" w:rsidR="006B2466" w:rsidRPr="00A626FD" w:rsidRDefault="00F0154F" w:rsidP="006B246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Projekta finansējuma apjoms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1557"/>
        <w:gridCol w:w="1260"/>
      </w:tblGrid>
      <w:tr w:rsidR="00BE329E" w:rsidRPr="00A626FD" w14:paraId="18EFC53F" w14:textId="77777777" w:rsidTr="00C03358">
        <w:trPr>
          <w:trHeight w:val="600"/>
        </w:trPr>
        <w:tc>
          <w:tcPr>
            <w:tcW w:w="3739" w:type="dxa"/>
            <w:shd w:val="clear" w:color="auto" w:fill="auto"/>
            <w:noWrap/>
            <w:hideMark/>
          </w:tcPr>
          <w:p w14:paraId="231FEDBC" w14:textId="77777777" w:rsidR="00BE329E" w:rsidRPr="00A626FD" w:rsidRDefault="00BE329E" w:rsidP="006B24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hideMark/>
          </w:tcPr>
          <w:p w14:paraId="042FE0D7" w14:textId="73495976" w:rsidR="00BE329E" w:rsidRPr="00A626FD" w:rsidRDefault="00BE329E" w:rsidP="006B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FD">
              <w:rPr>
                <w:rFonts w:ascii="Times New Roman" w:hAnsi="Times New Roman"/>
                <w:b/>
                <w:sz w:val="24"/>
                <w:szCs w:val="24"/>
              </w:rPr>
              <w:t>2021.</w:t>
            </w:r>
            <w:r w:rsidR="004D2864" w:rsidRPr="00A626F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626FD">
              <w:rPr>
                <w:rFonts w:ascii="Times New Roman" w:hAnsi="Times New Roman"/>
                <w:b/>
                <w:sz w:val="24"/>
                <w:szCs w:val="24"/>
              </w:rPr>
              <w:t>gads</w:t>
            </w:r>
          </w:p>
          <w:p w14:paraId="3BD156F9" w14:textId="1CD9AB72" w:rsidR="00BE329E" w:rsidRPr="00A626FD" w:rsidRDefault="005C1A28" w:rsidP="00CD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(EUR)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5930868" w14:textId="77777777" w:rsidR="00BE329E" w:rsidRDefault="00BE329E" w:rsidP="006B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FD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  <w:p w14:paraId="69025124" w14:textId="0703404C" w:rsidR="005C1A28" w:rsidRPr="00A626FD" w:rsidRDefault="005C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(EUR)</w:t>
            </w:r>
          </w:p>
        </w:tc>
      </w:tr>
      <w:tr w:rsidR="00BE329E" w:rsidRPr="00A626FD" w14:paraId="6D667666" w14:textId="77777777" w:rsidTr="00C03358">
        <w:trPr>
          <w:trHeight w:val="600"/>
        </w:trPr>
        <w:tc>
          <w:tcPr>
            <w:tcW w:w="3739" w:type="dxa"/>
            <w:shd w:val="clear" w:color="auto" w:fill="auto"/>
            <w:hideMark/>
          </w:tcPr>
          <w:p w14:paraId="416EBC55" w14:textId="720C9396" w:rsidR="00BE329E" w:rsidRPr="00A626FD" w:rsidRDefault="00BE329E" w:rsidP="006B24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EK finansējums (1. maksājuma daļa 100% apmērā)</w:t>
            </w:r>
          </w:p>
        </w:tc>
        <w:tc>
          <w:tcPr>
            <w:tcW w:w="1557" w:type="dxa"/>
            <w:shd w:val="clear" w:color="auto" w:fill="auto"/>
            <w:noWrap/>
          </w:tcPr>
          <w:p w14:paraId="25679147" w14:textId="218E5637" w:rsidR="00BE329E" w:rsidRPr="00A626FD" w:rsidRDefault="00BE329E" w:rsidP="006B24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41 450</w:t>
            </w:r>
          </w:p>
        </w:tc>
        <w:tc>
          <w:tcPr>
            <w:tcW w:w="1260" w:type="dxa"/>
            <w:shd w:val="clear" w:color="auto" w:fill="auto"/>
            <w:noWrap/>
          </w:tcPr>
          <w:p w14:paraId="113D07F2" w14:textId="706E93B9" w:rsidR="00BE329E" w:rsidRPr="00A626FD" w:rsidRDefault="00BE329E" w:rsidP="006B24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41 450</w:t>
            </w:r>
          </w:p>
        </w:tc>
      </w:tr>
      <w:tr w:rsidR="00BE329E" w:rsidRPr="00A626FD" w14:paraId="7094EE2A" w14:textId="77777777" w:rsidTr="00C03358">
        <w:trPr>
          <w:trHeight w:val="300"/>
        </w:trPr>
        <w:tc>
          <w:tcPr>
            <w:tcW w:w="3739" w:type="dxa"/>
            <w:shd w:val="clear" w:color="auto" w:fill="auto"/>
            <w:hideMark/>
          </w:tcPr>
          <w:p w14:paraId="52962DB9" w14:textId="77777777" w:rsidR="00BE329E" w:rsidRPr="00A626FD" w:rsidRDefault="00BE329E" w:rsidP="006B24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Valsts budžeta līdzfinansējums</w:t>
            </w:r>
          </w:p>
        </w:tc>
        <w:tc>
          <w:tcPr>
            <w:tcW w:w="1557" w:type="dxa"/>
            <w:shd w:val="clear" w:color="auto" w:fill="auto"/>
            <w:noWrap/>
          </w:tcPr>
          <w:p w14:paraId="2175DC78" w14:textId="691F7566" w:rsidR="00BE329E" w:rsidRPr="00A626FD" w:rsidRDefault="006D3806" w:rsidP="006B24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58 550</w:t>
            </w:r>
          </w:p>
        </w:tc>
        <w:tc>
          <w:tcPr>
            <w:tcW w:w="1260" w:type="dxa"/>
            <w:shd w:val="clear" w:color="auto" w:fill="auto"/>
            <w:noWrap/>
          </w:tcPr>
          <w:p w14:paraId="41979DFE" w14:textId="76E7B0A1" w:rsidR="00BE329E" w:rsidRPr="00A626FD" w:rsidRDefault="006D3806" w:rsidP="006B24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58 550</w:t>
            </w:r>
          </w:p>
        </w:tc>
      </w:tr>
      <w:tr w:rsidR="00BE329E" w:rsidRPr="00A626FD" w14:paraId="5E9DCBE2" w14:textId="77777777" w:rsidTr="00C03358">
        <w:trPr>
          <w:trHeight w:val="900"/>
        </w:trPr>
        <w:tc>
          <w:tcPr>
            <w:tcW w:w="3739" w:type="dxa"/>
            <w:shd w:val="clear" w:color="auto" w:fill="auto"/>
          </w:tcPr>
          <w:p w14:paraId="1C81B9BF" w14:textId="5CE1F042" w:rsidR="00BE329E" w:rsidRPr="00A626FD" w:rsidRDefault="00BE329E" w:rsidP="006B24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 xml:space="preserve">Valsts budžeta </w:t>
            </w:r>
            <w:proofErr w:type="spellStart"/>
            <w:r w:rsidRPr="00A626FD">
              <w:rPr>
                <w:rFonts w:ascii="Times New Roman" w:hAnsi="Times New Roman"/>
                <w:sz w:val="24"/>
                <w:szCs w:val="24"/>
              </w:rPr>
              <w:t>priekšfinansējums</w:t>
            </w:r>
            <w:proofErr w:type="spellEnd"/>
            <w:r w:rsidR="008C2F9B" w:rsidRPr="00A626FD">
              <w:rPr>
                <w:rFonts w:ascii="Times New Roman" w:hAnsi="Times New Roman"/>
                <w:sz w:val="24"/>
                <w:szCs w:val="24"/>
              </w:rPr>
              <w:t>, tai</w:t>
            </w:r>
            <w:r w:rsidRPr="00A626FD">
              <w:rPr>
                <w:rFonts w:ascii="Times New Roman" w:hAnsi="Times New Roman"/>
                <w:sz w:val="24"/>
                <w:szCs w:val="24"/>
              </w:rPr>
              <w:t xml:space="preserve"> skaitā PVN maksājuma daļai 21% apmērā</w:t>
            </w:r>
          </w:p>
        </w:tc>
        <w:tc>
          <w:tcPr>
            <w:tcW w:w="1557" w:type="dxa"/>
            <w:shd w:val="clear" w:color="auto" w:fill="auto"/>
            <w:noWrap/>
          </w:tcPr>
          <w:p w14:paraId="6C67EE04" w14:textId="360E60DE" w:rsidR="00BE329E" w:rsidRPr="00A626FD" w:rsidRDefault="00BE7B17" w:rsidP="006B24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329E" w:rsidRPr="00A626F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60" w:type="dxa"/>
            <w:shd w:val="clear" w:color="auto" w:fill="auto"/>
            <w:noWrap/>
          </w:tcPr>
          <w:p w14:paraId="6A231306" w14:textId="02E2430D" w:rsidR="00BE329E" w:rsidRPr="00A626FD" w:rsidRDefault="00BE7B17" w:rsidP="006B24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329E" w:rsidRPr="00A626F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E329E" w:rsidRPr="00A626FD" w14:paraId="4E66B3BA" w14:textId="77777777" w:rsidTr="00C03358">
        <w:trPr>
          <w:trHeight w:val="825"/>
        </w:trPr>
        <w:tc>
          <w:tcPr>
            <w:tcW w:w="3739" w:type="dxa"/>
            <w:shd w:val="clear" w:color="auto" w:fill="auto"/>
          </w:tcPr>
          <w:p w14:paraId="66A37CDC" w14:textId="7076A3E0" w:rsidR="00BE329E" w:rsidRPr="00A626FD" w:rsidRDefault="00A3221F" w:rsidP="006B24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E329E" w:rsidRPr="00A626FD">
              <w:rPr>
                <w:rFonts w:ascii="Times New Roman" w:hAnsi="Times New Roman"/>
                <w:sz w:val="24"/>
                <w:szCs w:val="24"/>
              </w:rPr>
              <w:t>ēc EK finansējuma saņemšanas atmaksu veikšana valsts pamatbudžetā</w:t>
            </w:r>
          </w:p>
        </w:tc>
        <w:tc>
          <w:tcPr>
            <w:tcW w:w="1557" w:type="dxa"/>
            <w:shd w:val="clear" w:color="auto" w:fill="auto"/>
            <w:noWrap/>
          </w:tcPr>
          <w:p w14:paraId="657A9653" w14:textId="292380EC" w:rsidR="00BE329E" w:rsidRPr="00A626FD" w:rsidRDefault="00BE329E" w:rsidP="006B24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41 450</w:t>
            </w:r>
          </w:p>
        </w:tc>
        <w:tc>
          <w:tcPr>
            <w:tcW w:w="1260" w:type="dxa"/>
            <w:shd w:val="clear" w:color="auto" w:fill="auto"/>
            <w:noWrap/>
          </w:tcPr>
          <w:p w14:paraId="2AE5D69B" w14:textId="69A7B89B" w:rsidR="00BE329E" w:rsidRPr="00A626FD" w:rsidRDefault="00BE329E" w:rsidP="006B24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FD">
              <w:rPr>
                <w:rFonts w:ascii="Times New Roman" w:hAnsi="Times New Roman"/>
                <w:sz w:val="24"/>
                <w:szCs w:val="24"/>
              </w:rPr>
              <w:t>41 450</w:t>
            </w:r>
          </w:p>
        </w:tc>
      </w:tr>
    </w:tbl>
    <w:p w14:paraId="188C971A" w14:textId="77777777" w:rsidR="00504AC8" w:rsidRDefault="00504AC8" w:rsidP="006B246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509C1FB" w14:textId="7D7A41B9" w:rsidR="006B2466" w:rsidRPr="00A626FD" w:rsidRDefault="00F0154F" w:rsidP="00CD4750">
      <w:pPr>
        <w:spacing w:after="120" w:line="240" w:lineRule="auto"/>
        <w:ind w:firstLine="562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Projekta tehniskās realizācijas aktivitātes tiek uzsāktas 20</w:t>
      </w:r>
      <w:r w:rsidR="00D35410" w:rsidRPr="00A626FD">
        <w:rPr>
          <w:rFonts w:ascii="Times New Roman" w:hAnsi="Times New Roman"/>
          <w:sz w:val="24"/>
          <w:szCs w:val="24"/>
        </w:rPr>
        <w:t>21</w:t>
      </w:r>
      <w:r w:rsidRPr="00A626FD">
        <w:rPr>
          <w:rFonts w:ascii="Times New Roman" w:hAnsi="Times New Roman"/>
          <w:sz w:val="24"/>
          <w:szCs w:val="24"/>
        </w:rPr>
        <w:t>.</w:t>
      </w:r>
      <w:r w:rsidR="008C2F9B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gad</w:t>
      </w:r>
      <w:r w:rsidR="00D35410" w:rsidRPr="00A626FD">
        <w:rPr>
          <w:rFonts w:ascii="Times New Roman" w:hAnsi="Times New Roman"/>
          <w:sz w:val="24"/>
          <w:szCs w:val="24"/>
        </w:rPr>
        <w:t>ā</w:t>
      </w:r>
      <w:r w:rsidRPr="00A626FD">
        <w:rPr>
          <w:rFonts w:ascii="Times New Roman" w:hAnsi="Times New Roman"/>
          <w:sz w:val="24"/>
          <w:szCs w:val="24"/>
        </w:rPr>
        <w:t xml:space="preserve"> </w:t>
      </w:r>
      <w:r w:rsidR="0055392E" w:rsidRPr="00A626FD">
        <w:rPr>
          <w:rFonts w:ascii="Times New Roman" w:hAnsi="Times New Roman"/>
          <w:sz w:val="24"/>
          <w:szCs w:val="24"/>
        </w:rPr>
        <w:t xml:space="preserve">pēc </w:t>
      </w:r>
      <w:r w:rsidR="00504AC8">
        <w:rPr>
          <w:rFonts w:ascii="Times New Roman" w:hAnsi="Times New Roman"/>
          <w:sz w:val="24"/>
          <w:szCs w:val="24"/>
        </w:rPr>
        <w:t>l</w:t>
      </w:r>
      <w:r w:rsidR="0055392E" w:rsidRPr="00A626FD">
        <w:rPr>
          <w:rFonts w:ascii="Times New Roman" w:hAnsi="Times New Roman"/>
          <w:sz w:val="24"/>
          <w:szCs w:val="24"/>
        </w:rPr>
        <w:t>īgumu par finansējuma nodrošināšanu slēgšanas</w:t>
      </w:r>
      <w:r w:rsidRPr="00A626FD">
        <w:rPr>
          <w:rFonts w:ascii="Times New Roman" w:hAnsi="Times New Roman"/>
          <w:sz w:val="24"/>
          <w:szCs w:val="24"/>
        </w:rPr>
        <w:t>, maksājumi plānoti 20</w:t>
      </w:r>
      <w:r w:rsidR="00B94140" w:rsidRPr="00A626FD">
        <w:rPr>
          <w:rFonts w:ascii="Times New Roman" w:hAnsi="Times New Roman"/>
          <w:sz w:val="24"/>
          <w:szCs w:val="24"/>
        </w:rPr>
        <w:t>21</w:t>
      </w:r>
      <w:r w:rsidRPr="00A626FD">
        <w:rPr>
          <w:rFonts w:ascii="Times New Roman" w:hAnsi="Times New Roman"/>
          <w:sz w:val="24"/>
          <w:szCs w:val="24"/>
        </w:rPr>
        <w:t>.</w:t>
      </w:r>
      <w:r w:rsidR="008C2F9B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>gadā.</w:t>
      </w:r>
    </w:p>
    <w:p w14:paraId="7263AB19" w14:textId="56384E0E" w:rsidR="006B2466" w:rsidRPr="00A626FD" w:rsidRDefault="00F0154F" w:rsidP="006B2466">
      <w:pPr>
        <w:spacing w:after="12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Finansējuma apmērs aprēķināts indikatīvi projekta pieteikuma līmenī un varētu tikt</w:t>
      </w:r>
      <w:r w:rsidR="008C2F9B" w:rsidRPr="00A626FD">
        <w:rPr>
          <w:rFonts w:ascii="Times New Roman" w:hAnsi="Times New Roman"/>
          <w:sz w:val="24"/>
          <w:szCs w:val="24"/>
        </w:rPr>
        <w:t xml:space="preserve"> precizēts, ja Eiropas Komisija</w:t>
      </w:r>
      <w:r w:rsidRPr="00A626FD">
        <w:rPr>
          <w:rFonts w:ascii="Times New Roman" w:hAnsi="Times New Roman"/>
          <w:sz w:val="24"/>
          <w:szCs w:val="24"/>
        </w:rPr>
        <w:t xml:space="preserve"> lūgs precizēt plānoto budžetu</w:t>
      </w:r>
      <w:r w:rsidR="00BF02EC" w:rsidRPr="00A626FD">
        <w:rPr>
          <w:rFonts w:ascii="Times New Roman" w:hAnsi="Times New Roman"/>
          <w:sz w:val="24"/>
          <w:szCs w:val="24"/>
        </w:rPr>
        <w:t xml:space="preserve"> un publicēs</w:t>
      </w:r>
      <w:r w:rsidR="00D35410" w:rsidRPr="00A62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410" w:rsidRPr="00A626FD">
        <w:rPr>
          <w:rFonts w:ascii="Times New Roman" w:hAnsi="Times New Roman"/>
          <w:i/>
          <w:sz w:val="24"/>
          <w:szCs w:val="24"/>
        </w:rPr>
        <w:t>eIDAS</w:t>
      </w:r>
      <w:proofErr w:type="spellEnd"/>
      <w:r w:rsidR="00D35410" w:rsidRPr="00A626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35410" w:rsidRPr="00A626FD">
        <w:rPr>
          <w:rFonts w:ascii="Times New Roman" w:hAnsi="Times New Roman"/>
          <w:i/>
          <w:sz w:val="24"/>
          <w:szCs w:val="24"/>
        </w:rPr>
        <w:t>node</w:t>
      </w:r>
      <w:proofErr w:type="spellEnd"/>
      <w:r w:rsidR="00D35410" w:rsidRPr="00A626FD">
        <w:rPr>
          <w:rFonts w:ascii="Times New Roman" w:hAnsi="Times New Roman"/>
          <w:sz w:val="24"/>
          <w:szCs w:val="24"/>
        </w:rPr>
        <w:t xml:space="preserve"> v2.5 tehnisko specifikāciju</w:t>
      </w:r>
      <w:r w:rsidRPr="00A626FD">
        <w:rPr>
          <w:rFonts w:ascii="Times New Roman" w:hAnsi="Times New Roman"/>
          <w:sz w:val="24"/>
          <w:szCs w:val="24"/>
        </w:rPr>
        <w:t>.</w:t>
      </w:r>
    </w:p>
    <w:p w14:paraId="657D9A0F" w14:textId="17D327BA" w:rsidR="006B2466" w:rsidRDefault="00F0154F" w:rsidP="00603897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 xml:space="preserve">Gadījumā, ja Eiropas Komisijā netiks apstiprināts </w:t>
      </w:r>
      <w:r w:rsidR="009D169C">
        <w:rPr>
          <w:rFonts w:ascii="Times New Roman" w:hAnsi="Times New Roman"/>
          <w:sz w:val="24"/>
          <w:szCs w:val="24"/>
        </w:rPr>
        <w:t>p</w:t>
      </w:r>
      <w:r w:rsidRPr="00A626FD">
        <w:rPr>
          <w:rFonts w:ascii="Times New Roman" w:hAnsi="Times New Roman"/>
          <w:sz w:val="24"/>
          <w:szCs w:val="24"/>
        </w:rPr>
        <w:t xml:space="preserve">rojekta pieteikums, un </w:t>
      </w:r>
      <w:r w:rsidR="004D2864" w:rsidRPr="00A626FD">
        <w:rPr>
          <w:rFonts w:ascii="Times New Roman" w:hAnsi="Times New Roman"/>
          <w:sz w:val="24"/>
          <w:szCs w:val="24"/>
        </w:rPr>
        <w:t>valsts budžeta atbalsts netiks saņemts</w:t>
      </w:r>
      <w:r w:rsidRPr="00A626FD">
        <w:rPr>
          <w:rFonts w:ascii="Times New Roman" w:hAnsi="Times New Roman"/>
          <w:sz w:val="24"/>
          <w:szCs w:val="24"/>
        </w:rPr>
        <w:t xml:space="preserve">, eIDAS </w:t>
      </w:r>
      <w:r w:rsidR="005A3EA9" w:rsidRPr="00A626FD">
        <w:rPr>
          <w:rFonts w:ascii="Times New Roman" w:hAnsi="Times New Roman"/>
          <w:sz w:val="24"/>
          <w:szCs w:val="24"/>
        </w:rPr>
        <w:t>m</w:t>
      </w:r>
      <w:r w:rsidR="004D2864" w:rsidRPr="00A626FD">
        <w:rPr>
          <w:rFonts w:ascii="Times New Roman" w:hAnsi="Times New Roman"/>
          <w:sz w:val="24"/>
          <w:szCs w:val="24"/>
        </w:rPr>
        <w:t>ezglu punkta atjaunināšanas</w:t>
      </w:r>
      <w:r w:rsidR="00622A2D" w:rsidRPr="00A626FD">
        <w:rPr>
          <w:rFonts w:ascii="Times New Roman" w:hAnsi="Times New Roman"/>
          <w:sz w:val="24"/>
          <w:szCs w:val="24"/>
        </w:rPr>
        <w:t xml:space="preserve"> </w:t>
      </w:r>
      <w:r w:rsidRPr="00A626FD">
        <w:rPr>
          <w:rFonts w:ascii="Times New Roman" w:hAnsi="Times New Roman"/>
          <w:sz w:val="24"/>
          <w:szCs w:val="24"/>
        </w:rPr>
        <w:t xml:space="preserve">atbalsts būs jāvirza kā priekšlikums finansēšanai no Eiropas </w:t>
      </w:r>
      <w:r w:rsidR="009D169C">
        <w:rPr>
          <w:rFonts w:ascii="Times New Roman" w:hAnsi="Times New Roman"/>
          <w:sz w:val="24"/>
          <w:szCs w:val="24"/>
        </w:rPr>
        <w:t>R</w:t>
      </w:r>
      <w:r w:rsidRPr="00A626FD">
        <w:rPr>
          <w:rFonts w:ascii="Times New Roman" w:hAnsi="Times New Roman"/>
          <w:sz w:val="24"/>
          <w:szCs w:val="24"/>
        </w:rPr>
        <w:t>eģionālā</w:t>
      </w:r>
      <w:r w:rsidR="009D169C">
        <w:rPr>
          <w:rFonts w:ascii="Times New Roman" w:hAnsi="Times New Roman"/>
          <w:sz w:val="24"/>
          <w:szCs w:val="24"/>
        </w:rPr>
        <w:t>s</w:t>
      </w:r>
      <w:r w:rsidRPr="00A626FD">
        <w:rPr>
          <w:rFonts w:ascii="Times New Roman" w:hAnsi="Times New Roman"/>
          <w:sz w:val="24"/>
          <w:szCs w:val="24"/>
        </w:rPr>
        <w:t xml:space="preserve"> attīstības fonda. Projekta atbalsta neapstiprināšanas gadījumā netiks iegūti papildu Eiropas S</w:t>
      </w:r>
      <w:r w:rsidR="005C0DC9">
        <w:rPr>
          <w:rFonts w:ascii="Times New Roman" w:hAnsi="Times New Roman"/>
          <w:sz w:val="24"/>
          <w:szCs w:val="24"/>
        </w:rPr>
        <w:t>avienības finansējuma līdzekļi.</w:t>
      </w:r>
    </w:p>
    <w:p w14:paraId="1AA7D8CC" w14:textId="5F365300" w:rsidR="00603897" w:rsidRDefault="00603897" w:rsidP="00603897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21B04BC" w14:textId="2191830E" w:rsidR="00565DB1" w:rsidRDefault="00565DB1" w:rsidP="00603897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65D72FF" w14:textId="2A118258" w:rsidR="00565DB1" w:rsidRDefault="00565DB1" w:rsidP="00603897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CC23E69" w14:textId="77777777" w:rsidR="00565DB1" w:rsidRPr="007C0126" w:rsidRDefault="00565DB1" w:rsidP="00603897">
      <w:pPr>
        <w:spacing w:after="0" w:line="240" w:lineRule="auto"/>
        <w:ind w:firstLine="562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E8C0DFD" w14:textId="7AE234FC" w:rsidR="006B2466" w:rsidRPr="00A626FD" w:rsidRDefault="00F0154F" w:rsidP="00603897">
      <w:pPr>
        <w:suppressAutoHyphens w:val="0"/>
        <w:autoSpaceDN/>
        <w:ind w:firstLine="540"/>
        <w:textAlignment w:val="auto"/>
        <w:rPr>
          <w:rFonts w:ascii="Times New Roman" w:hAnsi="Times New Roman"/>
          <w:b/>
          <w:sz w:val="24"/>
          <w:szCs w:val="24"/>
        </w:rPr>
      </w:pPr>
      <w:r w:rsidRPr="00A626FD">
        <w:rPr>
          <w:rFonts w:ascii="Times New Roman" w:hAnsi="Times New Roman"/>
          <w:b/>
          <w:sz w:val="24"/>
          <w:szCs w:val="24"/>
        </w:rPr>
        <w:lastRenderedPageBreak/>
        <w:t>4. Turpmākā rīcība</w:t>
      </w:r>
    </w:p>
    <w:p w14:paraId="7E0162E5" w14:textId="53050EC6" w:rsidR="006B2466" w:rsidRPr="00A626FD" w:rsidRDefault="00F0154F" w:rsidP="006B2466">
      <w:pPr>
        <w:tabs>
          <w:tab w:val="left" w:pos="0"/>
        </w:tabs>
        <w:spacing w:after="120" w:line="240" w:lineRule="auto"/>
        <w:ind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Dalībai projektā eIDAS ieviešanas atbalsta ieviešanai Latvijā</w:t>
      </w:r>
      <w:r w:rsidRPr="00A626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626FD">
        <w:rPr>
          <w:rFonts w:ascii="Times New Roman" w:hAnsi="Times New Roman"/>
          <w:sz w:val="24"/>
          <w:szCs w:val="24"/>
        </w:rPr>
        <w:t>tā</w:t>
      </w:r>
      <w:r w:rsidR="005C0DC9">
        <w:rPr>
          <w:rFonts w:ascii="Times New Roman" w:hAnsi="Times New Roman"/>
          <w:sz w:val="24"/>
          <w:szCs w:val="24"/>
        </w:rPr>
        <w:t>lākai īstenošanai nepieciešams:</w:t>
      </w:r>
    </w:p>
    <w:p w14:paraId="163BF00B" w14:textId="34BA39FD" w:rsidR="006B2466" w:rsidRPr="00A626FD" w:rsidRDefault="00F0154F" w:rsidP="006B2466">
      <w:pPr>
        <w:pStyle w:val="ListParagraph"/>
        <w:numPr>
          <w:ilvl w:val="0"/>
          <w:numId w:val="6"/>
        </w:numPr>
        <w:tabs>
          <w:tab w:val="left" w:pos="993"/>
        </w:tabs>
        <w:spacing w:after="144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 xml:space="preserve">Atļaut VRAA uzsākt īstenot </w:t>
      </w:r>
      <w:r w:rsidR="00721FCC" w:rsidRPr="00A626FD">
        <w:rPr>
          <w:rFonts w:ascii="Times New Roman" w:hAnsi="Times New Roman"/>
          <w:sz w:val="24"/>
          <w:szCs w:val="24"/>
        </w:rPr>
        <w:t xml:space="preserve">CEF līdzfinansētā projekta “Latvijas nacionālā eIDAS mezgla punkta atjaunināšana” </w:t>
      </w:r>
      <w:r w:rsidRPr="00A626FD">
        <w:rPr>
          <w:rFonts w:ascii="Times New Roman" w:hAnsi="Times New Roman"/>
          <w:sz w:val="24"/>
          <w:szCs w:val="24"/>
        </w:rPr>
        <w:t xml:space="preserve">aktivitātes un uzņemties </w:t>
      </w:r>
      <w:r w:rsidR="00721FCC">
        <w:rPr>
          <w:rFonts w:ascii="Times New Roman" w:hAnsi="Times New Roman"/>
          <w:sz w:val="24"/>
          <w:szCs w:val="24"/>
        </w:rPr>
        <w:t xml:space="preserve">papildu </w:t>
      </w:r>
      <w:r w:rsidR="00B03E98">
        <w:rPr>
          <w:rFonts w:ascii="Times New Roman" w:hAnsi="Times New Roman"/>
          <w:sz w:val="24"/>
          <w:szCs w:val="24"/>
        </w:rPr>
        <w:t xml:space="preserve">valsts budžeta </w:t>
      </w:r>
      <w:r w:rsidRPr="00A626FD">
        <w:rPr>
          <w:rFonts w:ascii="Times New Roman" w:hAnsi="Times New Roman"/>
          <w:sz w:val="24"/>
          <w:szCs w:val="24"/>
        </w:rPr>
        <w:t>saistības projekta aktivitāšu īstenošanai.</w:t>
      </w:r>
    </w:p>
    <w:p w14:paraId="14748B6C" w14:textId="4A8E254A" w:rsidR="006B2466" w:rsidRPr="00A626FD" w:rsidRDefault="00F0154F" w:rsidP="006B2466">
      <w:pPr>
        <w:pStyle w:val="ListParagraph"/>
        <w:numPr>
          <w:ilvl w:val="0"/>
          <w:numId w:val="6"/>
        </w:numPr>
        <w:tabs>
          <w:tab w:val="left" w:pos="993"/>
        </w:tabs>
        <w:spacing w:after="144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 xml:space="preserve">Atļaut </w:t>
      </w:r>
      <w:r w:rsidR="00DF2079">
        <w:rPr>
          <w:rFonts w:ascii="Times New Roman" w:hAnsi="Times New Roman"/>
          <w:sz w:val="24"/>
          <w:szCs w:val="24"/>
        </w:rPr>
        <w:t>VARAM (</w:t>
      </w:r>
      <w:r w:rsidRPr="00A626FD">
        <w:rPr>
          <w:rFonts w:ascii="Times New Roman" w:hAnsi="Times New Roman"/>
          <w:sz w:val="24"/>
          <w:szCs w:val="24"/>
        </w:rPr>
        <w:t>VRAA</w:t>
      </w:r>
      <w:r w:rsidR="00DF2079">
        <w:rPr>
          <w:rFonts w:ascii="Times New Roman" w:hAnsi="Times New Roman"/>
          <w:sz w:val="24"/>
          <w:szCs w:val="24"/>
        </w:rPr>
        <w:t>)</w:t>
      </w:r>
      <w:r w:rsidRPr="00A626FD">
        <w:rPr>
          <w:rFonts w:ascii="Times New Roman" w:hAnsi="Times New Roman"/>
          <w:sz w:val="24"/>
          <w:szCs w:val="24"/>
        </w:rPr>
        <w:t xml:space="preserve"> 20</w:t>
      </w:r>
      <w:r w:rsidR="00547276" w:rsidRPr="00A626FD">
        <w:rPr>
          <w:rFonts w:ascii="Times New Roman" w:hAnsi="Times New Roman"/>
          <w:sz w:val="24"/>
          <w:szCs w:val="24"/>
        </w:rPr>
        <w:t>21</w:t>
      </w:r>
      <w:r w:rsidRPr="00A626FD">
        <w:rPr>
          <w:rFonts w:ascii="Times New Roman" w:hAnsi="Times New Roman"/>
          <w:sz w:val="24"/>
          <w:szCs w:val="24"/>
        </w:rPr>
        <w:t>.</w:t>
      </w:r>
      <w:r w:rsidR="00F46B9A" w:rsidRPr="00A626FD">
        <w:rPr>
          <w:rFonts w:ascii="Times New Roman" w:hAnsi="Times New Roman"/>
          <w:sz w:val="24"/>
          <w:szCs w:val="24"/>
        </w:rPr>
        <w:t> </w:t>
      </w:r>
      <w:r w:rsidRPr="00A626FD">
        <w:rPr>
          <w:rFonts w:ascii="Times New Roman" w:hAnsi="Times New Roman"/>
          <w:sz w:val="24"/>
          <w:szCs w:val="24"/>
        </w:rPr>
        <w:t xml:space="preserve">gadā uzņemties papildu valsts budžeta ilgtermiņa saistības </w:t>
      </w:r>
      <w:r w:rsidR="00F46B9A" w:rsidRPr="00A626FD">
        <w:rPr>
          <w:rFonts w:ascii="Times New Roman" w:hAnsi="Times New Roman"/>
          <w:sz w:val="24"/>
          <w:szCs w:val="24"/>
        </w:rPr>
        <w:t>CEF</w:t>
      </w:r>
      <w:r w:rsidRPr="00A626FD">
        <w:rPr>
          <w:rFonts w:ascii="Times New Roman" w:hAnsi="Times New Roman"/>
          <w:sz w:val="24"/>
          <w:szCs w:val="24"/>
        </w:rPr>
        <w:t xml:space="preserve"> līdzfinansētā </w:t>
      </w:r>
      <w:r w:rsidR="00F46B9A" w:rsidRPr="00A626FD">
        <w:rPr>
          <w:rFonts w:ascii="Times New Roman" w:hAnsi="Times New Roman"/>
          <w:sz w:val="24"/>
          <w:szCs w:val="24"/>
        </w:rPr>
        <w:t>projekta “</w:t>
      </w:r>
      <w:r w:rsidR="00547276" w:rsidRPr="00A626FD">
        <w:rPr>
          <w:rFonts w:ascii="Times New Roman" w:hAnsi="Times New Roman"/>
          <w:sz w:val="24"/>
          <w:szCs w:val="24"/>
        </w:rPr>
        <w:t>Latvijas nacionālā eIDAS mezgla punkta atjaunināšana</w:t>
      </w:r>
      <w:r w:rsidRPr="00A626FD">
        <w:rPr>
          <w:rFonts w:ascii="Times New Roman" w:hAnsi="Times New Roman"/>
          <w:sz w:val="24"/>
          <w:szCs w:val="24"/>
        </w:rPr>
        <w:t>” īstenošanai tā apstiprināšanas gadījumā, un projekta īstenošanai nepiecieš</w:t>
      </w:r>
      <w:r w:rsidR="00F46B9A" w:rsidRPr="00A626FD">
        <w:rPr>
          <w:rFonts w:ascii="Times New Roman" w:hAnsi="Times New Roman"/>
          <w:sz w:val="24"/>
          <w:szCs w:val="24"/>
        </w:rPr>
        <w:t>amo finansējumu pārdalot no 74. resora “</w:t>
      </w:r>
      <w:r w:rsidRPr="00A626FD">
        <w:rPr>
          <w:rFonts w:ascii="Times New Roman" w:hAnsi="Times New Roman"/>
          <w:sz w:val="24"/>
          <w:szCs w:val="24"/>
        </w:rPr>
        <w:t>Gadskārtējā valsts budžeta izpildes procesā pārdalāmais finansējums” 80.00.00</w:t>
      </w:r>
      <w:r w:rsidR="00F46B9A" w:rsidRPr="00A626FD">
        <w:rPr>
          <w:rFonts w:ascii="Times New Roman" w:hAnsi="Times New Roman"/>
          <w:sz w:val="24"/>
          <w:szCs w:val="24"/>
        </w:rPr>
        <w:t xml:space="preserve"> programmas “</w:t>
      </w:r>
      <w:r w:rsidRPr="00A626FD">
        <w:rPr>
          <w:rFonts w:ascii="Times New Roman" w:hAnsi="Times New Roman"/>
          <w:sz w:val="24"/>
          <w:szCs w:val="24"/>
        </w:rPr>
        <w:t>Nesadalītais finansējums Eiropas Savienības politiku instrumentu un pārējās ārvalstu finanšu palīdzības līdzfinansēto pro</w:t>
      </w:r>
      <w:r w:rsidR="005C0DC9">
        <w:rPr>
          <w:rFonts w:ascii="Times New Roman" w:hAnsi="Times New Roman"/>
          <w:sz w:val="24"/>
          <w:szCs w:val="24"/>
        </w:rPr>
        <w:t>jektu un pasākumu īstenošanai”.</w:t>
      </w:r>
    </w:p>
    <w:p w14:paraId="56157544" w14:textId="451AAB6C" w:rsidR="006B2466" w:rsidRDefault="00F0154F" w:rsidP="006B2466">
      <w:pPr>
        <w:pStyle w:val="ListParagraph"/>
        <w:numPr>
          <w:ilvl w:val="0"/>
          <w:numId w:val="6"/>
        </w:numPr>
        <w:tabs>
          <w:tab w:val="left" w:pos="993"/>
        </w:tabs>
        <w:spacing w:after="144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 xml:space="preserve">Pēc gala maksājuma saņemšanas no Eiropas Komisijas, </w:t>
      </w:r>
      <w:r w:rsidR="00DF2079">
        <w:rPr>
          <w:rFonts w:ascii="Times New Roman" w:hAnsi="Times New Roman"/>
          <w:sz w:val="24"/>
          <w:szCs w:val="24"/>
        </w:rPr>
        <w:t>VARAM (</w:t>
      </w:r>
      <w:r w:rsidRPr="00A626FD">
        <w:rPr>
          <w:rFonts w:ascii="Times New Roman" w:hAnsi="Times New Roman"/>
          <w:sz w:val="24"/>
          <w:szCs w:val="24"/>
        </w:rPr>
        <w:t>VRAA</w:t>
      </w:r>
      <w:r w:rsidR="00DF2079">
        <w:rPr>
          <w:rFonts w:ascii="Times New Roman" w:hAnsi="Times New Roman"/>
          <w:sz w:val="24"/>
          <w:szCs w:val="24"/>
        </w:rPr>
        <w:t>) nodrošināt saņemtā finansējuma</w:t>
      </w:r>
      <w:r w:rsidRPr="00A626FD">
        <w:rPr>
          <w:rFonts w:ascii="Times New Roman" w:hAnsi="Times New Roman"/>
          <w:sz w:val="24"/>
          <w:szCs w:val="24"/>
        </w:rPr>
        <w:t xml:space="preserve"> ieskaitīšanu valsts pamatbudžeta ieņēmumos.</w:t>
      </w:r>
    </w:p>
    <w:p w14:paraId="69DFE0E6" w14:textId="15E61945" w:rsidR="009A0C0D" w:rsidRDefault="006C7A92" w:rsidP="00B80400">
      <w:pPr>
        <w:pStyle w:val="ListParagraph"/>
        <w:numPr>
          <w:ilvl w:val="0"/>
          <w:numId w:val="6"/>
        </w:numPr>
        <w:tabs>
          <w:tab w:val="left" w:pos="993"/>
        </w:tabs>
        <w:spacing w:after="144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2" w:name="_Hlk52524454"/>
      <w:bookmarkStart w:id="3" w:name="_Hlk52523791"/>
      <w:r w:rsidRPr="009A0C0D">
        <w:rPr>
          <w:rFonts w:ascii="Times New Roman" w:hAnsi="Times New Roman"/>
          <w:sz w:val="24"/>
          <w:szCs w:val="24"/>
        </w:rPr>
        <w:t>Nepieciešamo finansējumu projekta rezultātu uzturēšanai pieprasīt papildus pēc projekta pabeigšanas normatīvajos aktos noteiktajā kārtībā līdz 20</w:t>
      </w:r>
      <w:r w:rsidR="00080CBB" w:rsidRPr="009A0C0D">
        <w:rPr>
          <w:rFonts w:ascii="Times New Roman" w:hAnsi="Times New Roman"/>
          <w:sz w:val="24"/>
          <w:szCs w:val="24"/>
        </w:rPr>
        <w:t xml:space="preserve"> </w:t>
      </w:r>
      <w:r w:rsidRPr="009A0C0D">
        <w:rPr>
          <w:rFonts w:ascii="Times New Roman" w:hAnsi="Times New Roman"/>
          <w:sz w:val="24"/>
          <w:szCs w:val="24"/>
        </w:rPr>
        <w:t>% gadā no kopējām faktiskajām projekta īstenošanas izmaksām</w:t>
      </w:r>
      <w:r w:rsidR="009A0C0D" w:rsidRPr="009A0C0D">
        <w:rPr>
          <w:rFonts w:ascii="Times New Roman" w:hAnsi="Times New Roman"/>
          <w:sz w:val="24"/>
          <w:szCs w:val="24"/>
        </w:rPr>
        <w:t>:</w:t>
      </w:r>
    </w:p>
    <w:p w14:paraId="2E9B1CD7" w14:textId="41D75FD3" w:rsidR="00BD464A" w:rsidRPr="009A0C0D" w:rsidRDefault="00BD464A" w:rsidP="009A0C0D">
      <w:pPr>
        <w:pStyle w:val="ListParagraph"/>
        <w:tabs>
          <w:tab w:val="left" w:pos="993"/>
        </w:tabs>
        <w:spacing w:after="144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0C0D">
        <w:rPr>
          <w:rFonts w:ascii="Times New Roman" w:hAnsi="Times New Roman"/>
          <w:sz w:val="24"/>
          <w:szCs w:val="24"/>
        </w:rPr>
        <w:tab/>
        <w:t>4.1.</w:t>
      </w:r>
      <w:r w:rsidRPr="009A0C0D">
        <w:rPr>
          <w:rFonts w:ascii="Times New Roman" w:hAnsi="Times New Roman"/>
          <w:sz w:val="24"/>
          <w:szCs w:val="24"/>
        </w:rPr>
        <w:tab/>
        <w:t>Sistēmas problēmu, kļūdu novēršanas un profilaktiskās uzturēšanas pakalpojumi: 10 1</w:t>
      </w:r>
      <w:r w:rsidR="00080CBB" w:rsidRPr="009A0C0D">
        <w:rPr>
          <w:rFonts w:ascii="Times New Roman" w:hAnsi="Times New Roman"/>
          <w:sz w:val="24"/>
          <w:szCs w:val="24"/>
        </w:rPr>
        <w:t>64</w:t>
      </w:r>
      <w:r w:rsidRPr="009A0C0D">
        <w:rPr>
          <w:rFonts w:ascii="Times New Roman" w:hAnsi="Times New Roman"/>
          <w:sz w:val="24"/>
          <w:szCs w:val="24"/>
        </w:rPr>
        <w:t xml:space="preserve"> </w:t>
      </w:r>
      <w:r w:rsidR="001E0E12">
        <w:rPr>
          <w:rFonts w:ascii="Times New Roman" w:hAnsi="Times New Roman"/>
          <w:sz w:val="24"/>
          <w:szCs w:val="24"/>
        </w:rPr>
        <w:t>EUR</w:t>
      </w:r>
      <w:r w:rsidRPr="009A0C0D">
        <w:rPr>
          <w:rFonts w:ascii="Times New Roman" w:hAnsi="Times New Roman"/>
          <w:sz w:val="24"/>
          <w:szCs w:val="24"/>
        </w:rPr>
        <w:t xml:space="preserve"> (17,5 c/d x 580,80 </w:t>
      </w:r>
      <w:r w:rsidR="001E0E12">
        <w:rPr>
          <w:rFonts w:ascii="Times New Roman" w:hAnsi="Times New Roman"/>
          <w:sz w:val="24"/>
          <w:szCs w:val="24"/>
        </w:rPr>
        <w:t>EUR</w:t>
      </w:r>
      <w:r w:rsidRPr="009A0C0D">
        <w:rPr>
          <w:rFonts w:ascii="Times New Roman" w:hAnsi="Times New Roman"/>
          <w:sz w:val="24"/>
          <w:szCs w:val="24"/>
        </w:rPr>
        <w:t xml:space="preserve">/c/d = 10 164 </w:t>
      </w:r>
      <w:r w:rsidR="001E0E12">
        <w:rPr>
          <w:rFonts w:ascii="Times New Roman" w:hAnsi="Times New Roman"/>
          <w:sz w:val="24"/>
          <w:szCs w:val="24"/>
        </w:rPr>
        <w:t>EUR</w:t>
      </w:r>
      <w:r w:rsidRPr="009A0C0D">
        <w:rPr>
          <w:rFonts w:ascii="Times New Roman" w:hAnsi="Times New Roman"/>
          <w:sz w:val="24"/>
          <w:szCs w:val="24"/>
        </w:rPr>
        <w:t>)</w:t>
      </w:r>
      <w:r w:rsidR="00A3221F">
        <w:rPr>
          <w:rFonts w:ascii="Times New Roman" w:hAnsi="Times New Roman"/>
          <w:sz w:val="24"/>
          <w:szCs w:val="24"/>
        </w:rPr>
        <w:t xml:space="preserve"> ieskaitot PVN</w:t>
      </w:r>
      <w:r w:rsidRPr="009A0C0D">
        <w:rPr>
          <w:rFonts w:ascii="Times New Roman" w:hAnsi="Times New Roman"/>
          <w:sz w:val="24"/>
          <w:szCs w:val="24"/>
        </w:rPr>
        <w:t>;</w:t>
      </w:r>
    </w:p>
    <w:p w14:paraId="545C790F" w14:textId="3DE99856" w:rsidR="00BD464A" w:rsidRDefault="00BD464A" w:rsidP="00BD464A">
      <w:pPr>
        <w:tabs>
          <w:tab w:val="left" w:pos="993"/>
        </w:tabs>
        <w:spacing w:after="144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</w:t>
      </w:r>
      <w:r>
        <w:rPr>
          <w:rFonts w:ascii="Times New Roman" w:hAnsi="Times New Roman"/>
          <w:sz w:val="24"/>
          <w:szCs w:val="24"/>
        </w:rPr>
        <w:tab/>
      </w:r>
      <w:r w:rsidRPr="00BD464A">
        <w:rPr>
          <w:rFonts w:ascii="Times New Roman" w:hAnsi="Times New Roman"/>
          <w:sz w:val="24"/>
          <w:szCs w:val="24"/>
        </w:rPr>
        <w:t xml:space="preserve">Drošības ikgadējais audits </w:t>
      </w:r>
      <w:r w:rsidR="001E0E12">
        <w:rPr>
          <w:rFonts w:ascii="Times New Roman" w:hAnsi="Times New Roman"/>
          <w:sz w:val="24"/>
          <w:szCs w:val="24"/>
        </w:rPr>
        <w:t>–</w:t>
      </w:r>
      <w:r w:rsidRPr="00BD464A">
        <w:rPr>
          <w:rFonts w:ascii="Times New Roman" w:hAnsi="Times New Roman"/>
          <w:sz w:val="24"/>
          <w:szCs w:val="24"/>
        </w:rPr>
        <w:t xml:space="preserve"> 10 </w:t>
      </w:r>
      <w:r w:rsidR="00080CBB">
        <w:rPr>
          <w:rFonts w:ascii="Times New Roman" w:hAnsi="Times New Roman"/>
          <w:sz w:val="24"/>
          <w:szCs w:val="24"/>
        </w:rPr>
        <w:t>164</w:t>
      </w:r>
      <w:r w:rsidRPr="00BD464A">
        <w:rPr>
          <w:rFonts w:ascii="Times New Roman" w:hAnsi="Times New Roman"/>
          <w:sz w:val="24"/>
          <w:szCs w:val="24"/>
        </w:rPr>
        <w:t xml:space="preserve"> </w:t>
      </w:r>
      <w:r w:rsidR="001E0E12">
        <w:rPr>
          <w:rFonts w:ascii="Times New Roman" w:hAnsi="Times New Roman"/>
          <w:sz w:val="24"/>
          <w:szCs w:val="24"/>
        </w:rPr>
        <w:t>EUR</w:t>
      </w:r>
      <w:r w:rsidR="0055702C">
        <w:rPr>
          <w:rFonts w:ascii="Times New Roman" w:hAnsi="Times New Roman"/>
          <w:sz w:val="24"/>
          <w:szCs w:val="24"/>
        </w:rPr>
        <w:t xml:space="preserve"> </w:t>
      </w:r>
      <w:r w:rsidR="0055702C" w:rsidRPr="00BD464A">
        <w:rPr>
          <w:rFonts w:ascii="Times New Roman" w:hAnsi="Times New Roman"/>
          <w:sz w:val="24"/>
          <w:szCs w:val="24"/>
        </w:rPr>
        <w:t>(17,5 c/d x 580</w:t>
      </w:r>
      <w:r w:rsidR="0055702C">
        <w:rPr>
          <w:rFonts w:ascii="Times New Roman" w:hAnsi="Times New Roman"/>
          <w:sz w:val="24"/>
          <w:szCs w:val="24"/>
        </w:rPr>
        <w:t>,80</w:t>
      </w:r>
      <w:r w:rsidR="0055702C" w:rsidRPr="00BD464A">
        <w:rPr>
          <w:rFonts w:ascii="Times New Roman" w:hAnsi="Times New Roman"/>
          <w:sz w:val="24"/>
          <w:szCs w:val="24"/>
        </w:rPr>
        <w:t xml:space="preserve"> </w:t>
      </w:r>
      <w:r w:rsidR="001E0E12">
        <w:rPr>
          <w:rFonts w:ascii="Times New Roman" w:hAnsi="Times New Roman"/>
          <w:sz w:val="24"/>
          <w:szCs w:val="24"/>
        </w:rPr>
        <w:t>EUR</w:t>
      </w:r>
      <w:r w:rsidR="0055702C" w:rsidRPr="00BD464A">
        <w:rPr>
          <w:rFonts w:ascii="Times New Roman" w:hAnsi="Times New Roman"/>
          <w:sz w:val="24"/>
          <w:szCs w:val="24"/>
        </w:rPr>
        <w:t>/c/d = 10 1</w:t>
      </w:r>
      <w:r w:rsidR="0055702C">
        <w:rPr>
          <w:rFonts w:ascii="Times New Roman" w:hAnsi="Times New Roman"/>
          <w:sz w:val="24"/>
          <w:szCs w:val="24"/>
        </w:rPr>
        <w:t>64</w:t>
      </w:r>
      <w:r w:rsidR="0055702C" w:rsidRPr="00BD464A">
        <w:rPr>
          <w:rFonts w:ascii="Times New Roman" w:hAnsi="Times New Roman"/>
          <w:sz w:val="24"/>
          <w:szCs w:val="24"/>
        </w:rPr>
        <w:t xml:space="preserve"> </w:t>
      </w:r>
      <w:r w:rsidR="001E0E12">
        <w:rPr>
          <w:rFonts w:ascii="Times New Roman" w:hAnsi="Times New Roman"/>
          <w:sz w:val="24"/>
          <w:szCs w:val="24"/>
        </w:rPr>
        <w:t>EUR</w:t>
      </w:r>
      <w:r w:rsidR="0055702C" w:rsidRPr="00BD464A">
        <w:rPr>
          <w:rFonts w:ascii="Times New Roman" w:hAnsi="Times New Roman"/>
          <w:sz w:val="24"/>
          <w:szCs w:val="24"/>
        </w:rPr>
        <w:t>)</w:t>
      </w:r>
      <w:r w:rsidR="00A3221F">
        <w:rPr>
          <w:rFonts w:ascii="Times New Roman" w:hAnsi="Times New Roman"/>
          <w:sz w:val="24"/>
          <w:szCs w:val="24"/>
        </w:rPr>
        <w:t xml:space="preserve"> ieskaitot PVN</w:t>
      </w:r>
      <w:r w:rsidR="0055702C">
        <w:rPr>
          <w:rFonts w:ascii="Times New Roman" w:hAnsi="Times New Roman"/>
          <w:sz w:val="24"/>
          <w:szCs w:val="24"/>
        </w:rPr>
        <w:t>.</w:t>
      </w:r>
    </w:p>
    <w:bookmarkEnd w:id="2"/>
    <w:p w14:paraId="41253627" w14:textId="77777777" w:rsidR="00BD464A" w:rsidRPr="00BD464A" w:rsidRDefault="00BD464A" w:rsidP="00BD464A">
      <w:pPr>
        <w:tabs>
          <w:tab w:val="left" w:pos="993"/>
        </w:tabs>
        <w:spacing w:after="144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bookmarkEnd w:id="3"/>
    <w:p w14:paraId="26BE1914" w14:textId="77777777" w:rsidR="006B2466" w:rsidRDefault="006B2466" w:rsidP="006B2466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A3584" w14:textId="77777777" w:rsidR="005F3F1D" w:rsidRPr="00A626FD" w:rsidRDefault="005F3F1D" w:rsidP="006B2466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7ED9D" w14:textId="77777777" w:rsidR="00F46B9A" w:rsidRPr="00A626FD" w:rsidRDefault="00F46B9A" w:rsidP="00F46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Vides aizsardzības un reģionālās</w:t>
      </w:r>
      <w:r w:rsidRPr="00A626FD">
        <w:rPr>
          <w:rFonts w:ascii="Times New Roman" w:hAnsi="Times New Roman"/>
          <w:sz w:val="24"/>
          <w:szCs w:val="24"/>
        </w:rPr>
        <w:tab/>
      </w:r>
      <w:r w:rsidRPr="00A626FD">
        <w:rPr>
          <w:rFonts w:ascii="Times New Roman" w:hAnsi="Times New Roman"/>
          <w:sz w:val="24"/>
          <w:szCs w:val="24"/>
        </w:rPr>
        <w:tab/>
      </w:r>
      <w:r w:rsidRPr="00A626FD">
        <w:rPr>
          <w:rFonts w:ascii="Times New Roman" w:hAnsi="Times New Roman"/>
          <w:sz w:val="24"/>
          <w:szCs w:val="24"/>
        </w:rPr>
        <w:tab/>
      </w:r>
      <w:r w:rsidRPr="00A626FD">
        <w:rPr>
          <w:rFonts w:ascii="Times New Roman" w:hAnsi="Times New Roman"/>
          <w:sz w:val="24"/>
          <w:szCs w:val="24"/>
        </w:rPr>
        <w:tab/>
      </w:r>
      <w:r w:rsidRPr="00A626FD">
        <w:rPr>
          <w:rFonts w:ascii="Times New Roman" w:hAnsi="Times New Roman"/>
          <w:sz w:val="24"/>
          <w:szCs w:val="24"/>
        </w:rPr>
        <w:tab/>
        <w:t xml:space="preserve">         J. Pūce</w:t>
      </w:r>
    </w:p>
    <w:p w14:paraId="1BB344C1" w14:textId="77777777" w:rsidR="00F46B9A" w:rsidRPr="00A626FD" w:rsidRDefault="00F46B9A" w:rsidP="00F46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6FD">
        <w:rPr>
          <w:rFonts w:ascii="Times New Roman" w:hAnsi="Times New Roman"/>
          <w:sz w:val="24"/>
          <w:szCs w:val="24"/>
        </w:rPr>
        <w:t>attīstības ministrs</w:t>
      </w:r>
    </w:p>
    <w:p w14:paraId="476153BD" w14:textId="77777777" w:rsidR="00F46B9A" w:rsidRPr="001A7F3D" w:rsidRDefault="00F46B9A" w:rsidP="00F46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D65944" w14:textId="77777777" w:rsidR="00F46B9A" w:rsidRDefault="00F46B9A" w:rsidP="00F46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2B7D36" w14:textId="77777777" w:rsidR="00F46B9A" w:rsidRDefault="00F46B9A" w:rsidP="00F46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F7608" w14:textId="77777777" w:rsidR="00F46B9A" w:rsidRDefault="00F46B9A" w:rsidP="00F46B9A">
      <w:pPr>
        <w:widowControl w:val="0"/>
        <w:tabs>
          <w:tab w:val="left" w:pos="4320"/>
        </w:tabs>
        <w:spacing w:after="0" w:line="240" w:lineRule="auto"/>
        <w:ind w:right="-427"/>
        <w:outlineLvl w:val="0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18"/>
          <w:szCs w:val="18"/>
        </w:rPr>
        <w:t>Bērziņa</w:t>
      </w:r>
      <w:r w:rsidRPr="00517A0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lv-LV"/>
        </w:rPr>
        <w:t>67026929</w:t>
      </w:r>
    </w:p>
    <w:p w14:paraId="030FDC96" w14:textId="77777777" w:rsidR="00F46B9A" w:rsidRPr="009B7635" w:rsidRDefault="00F46B9A" w:rsidP="00F46B9A">
      <w:pPr>
        <w:widowControl w:val="0"/>
        <w:tabs>
          <w:tab w:val="left" w:pos="4320"/>
        </w:tabs>
        <w:spacing w:after="0" w:line="240" w:lineRule="auto"/>
        <w:ind w:right="-427"/>
        <w:outlineLvl w:val="0"/>
        <w:rPr>
          <w:rFonts w:ascii="Times New Roman" w:hAnsi="Times New Roman"/>
          <w:sz w:val="18"/>
          <w:szCs w:val="18"/>
          <w:lang w:eastAsia="lv-LV"/>
        </w:rPr>
      </w:pPr>
      <w:r w:rsidRPr="009B7635">
        <w:rPr>
          <w:rStyle w:val="Hyperlink"/>
          <w:rFonts w:ascii="Times New Roman" w:hAnsi="Times New Roman"/>
          <w:sz w:val="18"/>
          <w:szCs w:val="18"/>
          <w:lang w:eastAsia="lv-LV"/>
        </w:rPr>
        <w:t>Signe.Berzina@varam.gov.lv</w:t>
      </w:r>
    </w:p>
    <w:p w14:paraId="34900171" w14:textId="77777777" w:rsidR="005A7584" w:rsidRPr="005A7584" w:rsidRDefault="005A7584" w:rsidP="005A7584">
      <w:pPr>
        <w:rPr>
          <w:rFonts w:ascii="Times New Roman" w:hAnsi="Times New Roman"/>
          <w:sz w:val="28"/>
          <w:szCs w:val="28"/>
        </w:rPr>
      </w:pPr>
    </w:p>
    <w:p w14:paraId="34FFF331" w14:textId="77777777" w:rsidR="005A7584" w:rsidRPr="005A7584" w:rsidRDefault="005A7584" w:rsidP="005A7584">
      <w:pPr>
        <w:rPr>
          <w:rFonts w:ascii="Times New Roman" w:hAnsi="Times New Roman"/>
          <w:sz w:val="28"/>
          <w:szCs w:val="28"/>
        </w:rPr>
      </w:pPr>
    </w:p>
    <w:p w14:paraId="36F41ACD" w14:textId="5A216DB3" w:rsidR="005A7584" w:rsidRDefault="005A7584" w:rsidP="005A7584">
      <w:pPr>
        <w:rPr>
          <w:rFonts w:ascii="Times New Roman" w:hAnsi="Times New Roman"/>
          <w:sz w:val="28"/>
          <w:szCs w:val="28"/>
        </w:rPr>
      </w:pPr>
    </w:p>
    <w:p w14:paraId="4F7A5022" w14:textId="77777777" w:rsidR="006B2466" w:rsidRPr="005A7584" w:rsidRDefault="006B2466" w:rsidP="005A7584">
      <w:pPr>
        <w:jc w:val="center"/>
        <w:rPr>
          <w:rFonts w:ascii="Times New Roman" w:hAnsi="Times New Roman"/>
          <w:sz w:val="28"/>
          <w:szCs w:val="28"/>
        </w:rPr>
      </w:pPr>
    </w:p>
    <w:sectPr w:rsidR="006B2466" w:rsidRPr="005A7584" w:rsidSect="007C0126">
      <w:headerReference w:type="default" r:id="rId11"/>
      <w:footerReference w:type="default" r:id="rId12"/>
      <w:footerReference w:type="first" r:id="rId13"/>
      <w:pgSz w:w="11906" w:h="16838"/>
      <w:pgMar w:top="1361" w:right="1134" w:bottom="1418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75C2" w14:textId="77777777" w:rsidR="00874FD9" w:rsidRDefault="00874FD9">
      <w:pPr>
        <w:spacing w:after="0" w:line="240" w:lineRule="auto"/>
      </w:pPr>
      <w:r>
        <w:separator/>
      </w:r>
    </w:p>
  </w:endnote>
  <w:endnote w:type="continuationSeparator" w:id="0">
    <w:p w14:paraId="3A71D897" w14:textId="77777777" w:rsidR="00874FD9" w:rsidRDefault="00874FD9">
      <w:pPr>
        <w:spacing w:after="0" w:line="240" w:lineRule="auto"/>
      </w:pPr>
      <w:r>
        <w:continuationSeparator/>
      </w:r>
    </w:p>
  </w:endnote>
  <w:endnote w:type="continuationNotice" w:id="1">
    <w:p w14:paraId="52383163" w14:textId="77777777" w:rsidR="00874FD9" w:rsidRDefault="00874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6EB5" w14:textId="6EB2DF88" w:rsidR="00603897" w:rsidRPr="00E00D51" w:rsidRDefault="00603897" w:rsidP="00603897">
    <w:pPr>
      <w:spacing w:after="0" w:line="240" w:lineRule="auto"/>
      <w:jc w:val="both"/>
      <w:textAlignment w:val="auto"/>
    </w:pPr>
    <w:r>
      <w:rPr>
        <w:rFonts w:ascii="Times New Roman" w:hAnsi="Times New Roman"/>
      </w:rPr>
      <w:t>VARAMInf_</w:t>
    </w:r>
    <w:r w:rsidR="00565DB1">
      <w:rPr>
        <w:rFonts w:ascii="Times New Roman" w:hAnsi="Times New Roman"/>
      </w:rPr>
      <w:t>28</w:t>
    </w:r>
    <w:r>
      <w:rPr>
        <w:rFonts w:ascii="Times New Roman" w:hAnsi="Times New Roman"/>
      </w:rPr>
      <w:t>102020_CEF_VRAA</w:t>
    </w:r>
  </w:p>
  <w:p w14:paraId="042A0BC5" w14:textId="77777777" w:rsidR="00603897" w:rsidRPr="0068653E" w:rsidRDefault="00603897" w:rsidP="00603897">
    <w:pPr>
      <w:pStyle w:val="Footer"/>
    </w:pPr>
  </w:p>
  <w:p w14:paraId="3E79D3A1" w14:textId="6D36B158" w:rsidR="006B2466" w:rsidRPr="00603897" w:rsidRDefault="006B2466" w:rsidP="00603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CB44" w14:textId="7781076F" w:rsidR="006B2466" w:rsidRPr="00E00D51" w:rsidRDefault="00384C19" w:rsidP="006B2466">
    <w:pPr>
      <w:spacing w:after="0" w:line="240" w:lineRule="auto"/>
      <w:jc w:val="both"/>
      <w:textAlignment w:val="auto"/>
    </w:pPr>
    <w:r>
      <w:rPr>
        <w:rFonts w:ascii="Times New Roman" w:hAnsi="Times New Roman"/>
      </w:rPr>
      <w:t>VARAMInf_</w:t>
    </w:r>
    <w:r w:rsidR="00565DB1">
      <w:rPr>
        <w:rFonts w:ascii="Times New Roman" w:hAnsi="Times New Roman"/>
      </w:rPr>
      <w:t>28</w:t>
    </w:r>
    <w:r w:rsidR="00603897">
      <w:rPr>
        <w:rFonts w:ascii="Times New Roman" w:hAnsi="Times New Roman"/>
      </w:rPr>
      <w:t>10</w:t>
    </w:r>
    <w:r w:rsidR="00C975CF">
      <w:rPr>
        <w:rFonts w:ascii="Times New Roman" w:hAnsi="Times New Roman"/>
      </w:rPr>
      <w:t>20</w:t>
    </w:r>
    <w:r w:rsidR="00603897">
      <w:rPr>
        <w:rFonts w:ascii="Times New Roman" w:hAnsi="Times New Roman"/>
      </w:rPr>
      <w:t>20</w:t>
    </w:r>
    <w:r w:rsidR="00BF14F9">
      <w:rPr>
        <w:rFonts w:ascii="Times New Roman" w:hAnsi="Times New Roman"/>
      </w:rPr>
      <w:t>_CEF</w:t>
    </w:r>
    <w:r w:rsidR="00603897">
      <w:rPr>
        <w:rFonts w:ascii="Times New Roman" w:hAnsi="Times New Roman"/>
      </w:rPr>
      <w:t>_VRAA</w:t>
    </w:r>
  </w:p>
  <w:p w14:paraId="6AA4CAF7" w14:textId="77777777" w:rsidR="006B2466" w:rsidRPr="0068653E" w:rsidRDefault="006B2466" w:rsidP="006B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081BD" w14:textId="77777777" w:rsidR="00874FD9" w:rsidRDefault="00874FD9" w:rsidP="006B2466">
      <w:pPr>
        <w:spacing w:after="0" w:line="240" w:lineRule="auto"/>
      </w:pPr>
      <w:r>
        <w:separator/>
      </w:r>
    </w:p>
  </w:footnote>
  <w:footnote w:type="continuationSeparator" w:id="0">
    <w:p w14:paraId="4DAF305E" w14:textId="77777777" w:rsidR="00874FD9" w:rsidRDefault="00874FD9" w:rsidP="006B2466">
      <w:pPr>
        <w:spacing w:after="0" w:line="240" w:lineRule="auto"/>
      </w:pPr>
      <w:r>
        <w:continuationSeparator/>
      </w:r>
    </w:p>
  </w:footnote>
  <w:footnote w:type="continuationNotice" w:id="1">
    <w:p w14:paraId="17AEC761" w14:textId="77777777" w:rsidR="00874FD9" w:rsidRDefault="00874FD9">
      <w:pPr>
        <w:spacing w:after="0" w:line="240" w:lineRule="auto"/>
      </w:pPr>
    </w:p>
  </w:footnote>
  <w:footnote w:id="2">
    <w:p w14:paraId="0914B72C" w14:textId="7FC798FC" w:rsidR="006B2466" w:rsidRPr="007B118E" w:rsidRDefault="00F0154F" w:rsidP="006B2466">
      <w:pPr>
        <w:pStyle w:val="FootnoteText"/>
        <w:rPr>
          <w:rFonts w:ascii="Times New Roman" w:hAnsi="Times New Roman"/>
        </w:rPr>
      </w:pPr>
      <w:r w:rsidRPr="007B118E">
        <w:rPr>
          <w:rStyle w:val="FootnoteReference"/>
          <w:rFonts w:ascii="Times New Roman" w:hAnsi="Times New Roman"/>
        </w:rPr>
        <w:footnoteRef/>
      </w:r>
      <w:r w:rsidRPr="007B118E">
        <w:rPr>
          <w:rFonts w:ascii="Times New Roman" w:hAnsi="Times New Roman"/>
        </w:rPr>
        <w:t xml:space="preserve"> </w:t>
      </w:r>
      <w:hyperlink r:id="rId1" w:history="1">
        <w:r w:rsidR="00BF14F9" w:rsidRPr="007B118E">
          <w:rPr>
            <w:rStyle w:val="Hyperlink"/>
            <w:rFonts w:ascii="Times New Roman" w:hAnsi="Times New Roman"/>
          </w:rPr>
          <w:t>http://eur-lex.europa.eu/legal-content/EN/TXT/HTML/?uri=OJ:L:2013:348:FULL&amp;from=EN</w:t>
        </w:r>
      </w:hyperlink>
      <w:r w:rsidR="00BF14F9" w:rsidRPr="007B118E">
        <w:rPr>
          <w:rFonts w:ascii="Times New Roman" w:hAnsi="Times New Roman"/>
        </w:rPr>
        <w:t xml:space="preserve"> </w:t>
      </w:r>
    </w:p>
  </w:footnote>
  <w:footnote w:id="3">
    <w:p w14:paraId="314069A8" w14:textId="6B5A3FDB" w:rsidR="00BF14F9" w:rsidRPr="00AF173A" w:rsidRDefault="00F0154F" w:rsidP="006B2466">
      <w:pPr>
        <w:pStyle w:val="FootnoteText"/>
        <w:rPr>
          <w:rFonts w:ascii="Times New Roman" w:hAnsi="Times New Roman"/>
        </w:rPr>
      </w:pPr>
      <w:r w:rsidRPr="00AF173A">
        <w:rPr>
          <w:rStyle w:val="FootnoteReference"/>
          <w:rFonts w:ascii="Times New Roman" w:hAnsi="Times New Roman"/>
        </w:rPr>
        <w:footnoteRef/>
      </w:r>
      <w:r w:rsidRPr="00AF173A">
        <w:rPr>
          <w:rFonts w:ascii="Times New Roman" w:hAnsi="Times New Roman"/>
        </w:rPr>
        <w:t xml:space="preserve"> </w:t>
      </w:r>
      <w:hyperlink r:id="rId2" w:history="1">
        <w:r w:rsidR="00BF14F9" w:rsidRPr="00AF173A">
          <w:rPr>
            <w:rStyle w:val="Hyperlink"/>
            <w:rFonts w:ascii="Times New Roman" w:hAnsi="Times New Roman"/>
          </w:rPr>
          <w:t>http://eur-lex.europa.eu/legal-content/EN/TXT/PDF/?uri=OJ%3AJOL_2014_086_R_0014_01&amp;from=EN</w:t>
        </w:r>
      </w:hyperlink>
      <w:r w:rsidR="00BF14F9" w:rsidRPr="00AF173A">
        <w:rPr>
          <w:rFonts w:ascii="Times New Roman" w:hAnsi="Times New Roman"/>
        </w:rPr>
        <w:t xml:space="preserve"> </w:t>
      </w:r>
    </w:p>
  </w:footnote>
  <w:footnote w:id="4">
    <w:p w14:paraId="430075C8" w14:textId="78BA1D62" w:rsidR="006B2466" w:rsidRPr="00AF173A" w:rsidRDefault="00F0154F" w:rsidP="006B2466">
      <w:pPr>
        <w:pStyle w:val="FootnoteText"/>
        <w:rPr>
          <w:rFonts w:ascii="Times New Roman" w:hAnsi="Times New Roman"/>
        </w:rPr>
      </w:pPr>
      <w:r w:rsidRPr="00AF173A">
        <w:rPr>
          <w:rStyle w:val="FootnoteReference"/>
          <w:rFonts w:ascii="Times New Roman" w:hAnsi="Times New Roman"/>
        </w:rPr>
        <w:footnoteRef/>
      </w:r>
      <w:r w:rsidRPr="00AF173A">
        <w:rPr>
          <w:rFonts w:ascii="Times New Roman" w:hAnsi="Times New Roman"/>
        </w:rPr>
        <w:t xml:space="preserve"> </w:t>
      </w:r>
      <w:hyperlink r:id="rId3" w:history="1">
        <w:r w:rsidR="00BF14F9" w:rsidRPr="00AF173A">
          <w:rPr>
            <w:rStyle w:val="Hyperlink"/>
            <w:rFonts w:ascii="Times New Roman" w:hAnsi="Times New Roman"/>
          </w:rPr>
          <w:t>http://eur-lex.europa.eu/legal-content/lv/TXT/PDF/?uri=CELEX:32012R0966&amp;from=EN</w:t>
        </w:r>
      </w:hyperlink>
      <w:r w:rsidR="00BF14F9" w:rsidRPr="00AF173A">
        <w:rPr>
          <w:rFonts w:ascii="Times New Roman" w:hAnsi="Times New Roman"/>
        </w:rPr>
        <w:t xml:space="preserve"> </w:t>
      </w:r>
    </w:p>
  </w:footnote>
  <w:footnote w:id="5">
    <w:p w14:paraId="03B353CD" w14:textId="77777777" w:rsidR="006B2466" w:rsidRDefault="00F0154F" w:rsidP="006B2466">
      <w:pPr>
        <w:pStyle w:val="FootnoteText"/>
      </w:pPr>
      <w:r w:rsidRPr="00AF173A">
        <w:rPr>
          <w:rStyle w:val="FootnoteReference"/>
          <w:rFonts w:ascii="Times New Roman" w:hAnsi="Times New Roman"/>
        </w:rPr>
        <w:footnoteRef/>
      </w:r>
      <w:r w:rsidRPr="00AF173A">
        <w:rPr>
          <w:rFonts w:ascii="Times New Roman" w:hAnsi="Times New Roman"/>
        </w:rPr>
        <w:t xml:space="preserve"> </w:t>
      </w:r>
      <w:hyperlink r:id="rId4" w:history="1">
        <w:r w:rsidRPr="00AF173A">
          <w:rPr>
            <w:rStyle w:val="Hyperlink"/>
            <w:rFonts w:ascii="Times New Roman" w:hAnsi="Times New Roman"/>
          </w:rPr>
          <w:t>http://eur-lex.europa.eu/legal-content/LV/TXT/?uri=CELEX:32014R0910</w:t>
        </w:r>
      </w:hyperlink>
      <w:r>
        <w:t xml:space="preserve"> </w:t>
      </w:r>
    </w:p>
  </w:footnote>
  <w:footnote w:id="6">
    <w:p w14:paraId="03545331" w14:textId="77777777" w:rsidR="00802CA5" w:rsidRDefault="00454BE1" w:rsidP="00F658AE">
      <w:pPr>
        <w:pStyle w:val="FootnoteText"/>
        <w:rPr>
          <w:rFonts w:ascii="Times New Roman" w:hAnsi="Times New Roman"/>
        </w:rPr>
      </w:pPr>
      <w:r w:rsidRPr="00AF173A">
        <w:rPr>
          <w:rStyle w:val="FootnoteReference"/>
          <w:rFonts w:ascii="Times New Roman" w:hAnsi="Times New Roman"/>
        </w:rPr>
        <w:footnoteRef/>
      </w:r>
      <w:r w:rsidRPr="00AF173A">
        <w:rPr>
          <w:rFonts w:ascii="Times New Roman" w:hAnsi="Times New Roman"/>
        </w:rPr>
        <w:t xml:space="preserve"> </w:t>
      </w:r>
      <w:r w:rsidR="00AE3669">
        <w:rPr>
          <w:rFonts w:ascii="Times New Roman" w:hAnsi="Times New Roman"/>
        </w:rPr>
        <w:t>Eiropas Parlamenta un Padomes regula</w:t>
      </w:r>
      <w:r w:rsidR="00AE3669" w:rsidRPr="00AE3669">
        <w:rPr>
          <w:rFonts w:ascii="Times New Roman" w:hAnsi="Times New Roman"/>
        </w:rPr>
        <w:t xml:space="preserve"> (ES) 2018/1724 (2018. gada 2. oktobris), ar ko izveido vienotu digitālo vārteju, lai sniegtu piekļuvi informācijai, procedūrām un palīdzības un problēmu risināšanas pakalpojumiem, un ar ko groza Regulu (ES) Nr. 1024/2012</w:t>
      </w:r>
    </w:p>
    <w:p w14:paraId="4D8A6505" w14:textId="5508387F" w:rsidR="00F658AE" w:rsidRPr="00AF173A" w:rsidRDefault="00874FD9" w:rsidP="00F658AE">
      <w:pPr>
        <w:pStyle w:val="FootnoteText"/>
        <w:rPr>
          <w:rFonts w:ascii="Times New Roman" w:hAnsi="Times New Roman"/>
        </w:rPr>
      </w:pPr>
      <w:hyperlink r:id="rId5" w:history="1">
        <w:r w:rsidR="00F658AE" w:rsidRPr="00AF173A">
          <w:rPr>
            <w:rStyle w:val="Hyperlink"/>
            <w:rFonts w:ascii="Times New Roman" w:hAnsi="Times New Roman"/>
          </w:rPr>
          <w:t>https://eur-lex.europa.eu/legal-content/LV/TXT/PDF/?uri=CELEX:32018R1724&amp;from=BG</w:t>
        </w:r>
      </w:hyperlink>
    </w:p>
    <w:p w14:paraId="6743EC08" w14:textId="576A61B5" w:rsidR="00454BE1" w:rsidRPr="00AF173A" w:rsidRDefault="00454BE1">
      <w:pPr>
        <w:pStyle w:val="FootnoteText"/>
        <w:rPr>
          <w:rFonts w:ascii="Times New Roman" w:hAnsi="Times New Roman"/>
        </w:rPr>
      </w:pPr>
    </w:p>
  </w:footnote>
  <w:footnote w:id="7">
    <w:p w14:paraId="36603960" w14:textId="4CE3FFBC" w:rsidR="00384C19" w:rsidRPr="00AF173A" w:rsidRDefault="00384C19" w:rsidP="00384C19">
      <w:pPr>
        <w:pStyle w:val="FootnoteText"/>
        <w:rPr>
          <w:rFonts w:ascii="Times New Roman" w:hAnsi="Times New Roman"/>
        </w:rPr>
      </w:pPr>
      <w:r w:rsidRPr="00AF173A">
        <w:rPr>
          <w:rStyle w:val="FootnoteReference"/>
          <w:rFonts w:ascii="Times New Roman" w:hAnsi="Times New Roman"/>
        </w:rPr>
        <w:footnoteRef/>
      </w:r>
      <w:r w:rsidRPr="00AF173A">
        <w:rPr>
          <w:rFonts w:ascii="Times New Roman" w:hAnsi="Times New Roman"/>
        </w:rPr>
        <w:t xml:space="preserve"> </w:t>
      </w:r>
      <w:r w:rsidR="00802CA5">
        <w:rPr>
          <w:rFonts w:ascii="Times New Roman" w:hAnsi="Times New Roman"/>
        </w:rPr>
        <w:t>Eiropas Parlaments un Padomes regula</w:t>
      </w:r>
      <w:r w:rsidR="00802CA5" w:rsidRPr="00802CA5">
        <w:rPr>
          <w:rFonts w:ascii="Times New Roman" w:hAnsi="Times New Roman"/>
        </w:rPr>
        <w:t xml:space="preserve"> (ES) Nr. 910/2014 (2014. gada 23. jūlijs) par elektronisko identifikāciju un uzticamības pakalpojumiem elektronisko darījumu veikšanai iekšējā tirgū un ar ko atceļ Direktīvu 1999/93/EK</w:t>
      </w:r>
      <w:r w:rsidR="00802CA5">
        <w:rPr>
          <w:rFonts w:ascii="Times New Roman" w:hAnsi="Times New Roman"/>
        </w:rPr>
        <w:t xml:space="preserve"> </w:t>
      </w:r>
      <w:hyperlink r:id="rId6" w:history="1">
        <w:r w:rsidRPr="00AF173A">
          <w:rPr>
            <w:rStyle w:val="Hyperlink"/>
            <w:rFonts w:ascii="Times New Roman" w:hAnsi="Times New Roman"/>
          </w:rPr>
          <w:t>https://eur-lex.europa.eu/legal-content/LV/TXT/PDF/?uri=CELEX:32014R0910&amp;from=LV</w:t>
        </w:r>
      </w:hyperlink>
    </w:p>
    <w:p w14:paraId="2485DA90" w14:textId="77777777" w:rsidR="00384C19" w:rsidRPr="00AF173A" w:rsidRDefault="00384C19" w:rsidP="00384C19">
      <w:pPr>
        <w:pStyle w:val="FootnoteText"/>
        <w:rPr>
          <w:rFonts w:ascii="Times New Roman" w:hAnsi="Times New Roman"/>
        </w:rPr>
      </w:pPr>
    </w:p>
  </w:footnote>
  <w:footnote w:id="8">
    <w:p w14:paraId="11A2804B" w14:textId="63CD6635" w:rsidR="006B2466" w:rsidRDefault="00F0154F" w:rsidP="006B2466">
      <w:pPr>
        <w:pStyle w:val="FootnoteText"/>
        <w:jc w:val="both"/>
      </w:pPr>
      <w:r w:rsidRPr="00AF173A">
        <w:rPr>
          <w:rStyle w:val="FootnoteReference"/>
          <w:rFonts w:ascii="Times New Roman" w:hAnsi="Times New Roman"/>
        </w:rPr>
        <w:footnoteRef/>
      </w:r>
      <w:r w:rsidRPr="00AF173A">
        <w:rPr>
          <w:rFonts w:ascii="Times New Roman" w:hAnsi="Times New Roman"/>
        </w:rPr>
        <w:t xml:space="preserve"> </w:t>
      </w:r>
      <w:r w:rsidRPr="007B118E">
        <w:rPr>
          <w:rFonts w:ascii="Times New Roman" w:hAnsi="Times New Roman"/>
        </w:rPr>
        <w:t>Ministru kabineta 201</w:t>
      </w:r>
      <w:r w:rsidR="006D1D2E" w:rsidRPr="007B118E">
        <w:rPr>
          <w:rFonts w:ascii="Times New Roman" w:hAnsi="Times New Roman"/>
        </w:rPr>
        <w:t>8</w:t>
      </w:r>
      <w:r w:rsidRPr="007B118E">
        <w:rPr>
          <w:rFonts w:ascii="Times New Roman" w:hAnsi="Times New Roman"/>
        </w:rPr>
        <w:t>. gada 1</w:t>
      </w:r>
      <w:r w:rsidR="006D1D2E" w:rsidRPr="007B118E">
        <w:rPr>
          <w:rFonts w:ascii="Times New Roman" w:hAnsi="Times New Roman"/>
        </w:rPr>
        <w:t>7</w:t>
      </w:r>
      <w:r w:rsidRPr="007B118E">
        <w:rPr>
          <w:rFonts w:ascii="Times New Roman" w:hAnsi="Times New Roman"/>
        </w:rPr>
        <w:t xml:space="preserve">. </w:t>
      </w:r>
      <w:r w:rsidR="006D1D2E" w:rsidRPr="007B118E">
        <w:rPr>
          <w:rFonts w:ascii="Times New Roman" w:hAnsi="Times New Roman"/>
        </w:rPr>
        <w:t xml:space="preserve">jūlija </w:t>
      </w:r>
      <w:r w:rsidRPr="007B118E">
        <w:rPr>
          <w:rFonts w:ascii="Times New Roman" w:hAnsi="Times New Roman"/>
        </w:rPr>
        <w:t>noteikumu Nr. 4</w:t>
      </w:r>
      <w:r w:rsidR="003B43F3" w:rsidRPr="007B118E">
        <w:rPr>
          <w:rFonts w:ascii="Times New Roman" w:hAnsi="Times New Roman"/>
        </w:rPr>
        <w:t>21</w:t>
      </w:r>
      <w:r w:rsidRPr="007B118E">
        <w:rPr>
          <w:rFonts w:ascii="Times New Roman" w:hAnsi="Times New Roman"/>
        </w:rPr>
        <w:t xml:space="preserve"> </w:t>
      </w:r>
      <w:r w:rsidR="0011028B">
        <w:rPr>
          <w:rFonts w:ascii="Times New Roman" w:hAnsi="Times New Roman"/>
        </w:rPr>
        <w:t>“</w:t>
      </w:r>
      <w:r w:rsidR="00397E70" w:rsidRPr="007B118E">
        <w:rPr>
          <w:rFonts w:ascii="Times New Roman" w:hAnsi="Times New Roman"/>
        </w:rPr>
        <w:t>Kārtība, kādā veic gadskārtējā valsts budžeta likumā noteiktās apropriācijas izmaiņas</w:t>
      </w:r>
      <w:r w:rsidR="00AF173A">
        <w:rPr>
          <w:rFonts w:ascii="Times New Roman" w:hAnsi="Times New Roman"/>
        </w:rPr>
        <w:t>”</w:t>
      </w:r>
      <w:r w:rsidRPr="007B118E">
        <w:rPr>
          <w:rFonts w:ascii="Times New Roman" w:hAnsi="Times New Roman"/>
        </w:rPr>
        <w:t xml:space="preserve"> 80.00.00 programmā plānoto līdzekļu pārdales kārtību Eiropas Savienības politiku instrumentu un pārējās ārvalstu finanšu palīdzības līdzfinansēto pro</w:t>
      </w:r>
      <w:r w:rsidR="00AF173A">
        <w:rPr>
          <w:rFonts w:ascii="Times New Roman" w:hAnsi="Times New Roman"/>
        </w:rPr>
        <w:t>jektu un pasākumu īstenošanai</w:t>
      </w:r>
      <w:r w:rsidRPr="007B118E">
        <w:rPr>
          <w:rFonts w:ascii="Times New Roman" w:hAnsi="Times New Roman"/>
        </w:rPr>
        <w:t>” 15.punkts; Likum</w:t>
      </w:r>
      <w:r w:rsidR="0011028B">
        <w:rPr>
          <w:rFonts w:ascii="Times New Roman" w:hAnsi="Times New Roman"/>
        </w:rPr>
        <w:t>a</w:t>
      </w:r>
      <w:r w:rsidRPr="007B118E">
        <w:rPr>
          <w:rFonts w:ascii="Times New Roman" w:hAnsi="Times New Roman"/>
        </w:rPr>
        <w:t xml:space="preserve"> par budžetu un finanšu vadību 24. panta trešā daļa.</w:t>
      </w:r>
    </w:p>
  </w:footnote>
  <w:footnote w:id="9">
    <w:p w14:paraId="208899ED" w14:textId="62657759" w:rsidR="00802CA5" w:rsidRDefault="00802CA5" w:rsidP="00802CA5">
      <w:pPr>
        <w:pStyle w:val="FootnoteText"/>
        <w:jc w:val="both"/>
        <w:rPr>
          <w:rFonts w:ascii="Times New Roman" w:hAnsi="Times New Roman"/>
        </w:rPr>
      </w:pPr>
      <w:r w:rsidRPr="00AF173A">
        <w:rPr>
          <w:rStyle w:val="FootnoteReference"/>
          <w:rFonts w:ascii="Times New Roman" w:hAnsi="Times New Roman"/>
        </w:rPr>
        <w:footnoteRef/>
      </w:r>
      <w:r w:rsidRPr="00AF1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Komisijas Īstenošanas regula (ES) 2015/1501 </w:t>
      </w:r>
      <w:r w:rsidRPr="00802CA5">
        <w:rPr>
          <w:rFonts w:ascii="Times New Roman" w:hAnsi="Times New Roman"/>
        </w:rPr>
        <w:t>(2015. gada 8</w:t>
      </w:r>
      <w:r>
        <w:rPr>
          <w:rFonts w:ascii="Times New Roman" w:hAnsi="Times New Roman"/>
        </w:rPr>
        <w:t xml:space="preserve">. septembris) </w:t>
      </w:r>
      <w:r w:rsidRPr="00802CA5">
        <w:rPr>
          <w:rFonts w:ascii="Times New Roman" w:hAnsi="Times New Roman"/>
        </w:rPr>
        <w:t xml:space="preserve">par </w:t>
      </w:r>
      <w:proofErr w:type="spellStart"/>
      <w:r w:rsidRPr="00802CA5">
        <w:rPr>
          <w:rFonts w:ascii="Times New Roman" w:hAnsi="Times New Roman"/>
        </w:rPr>
        <w:t>sadarbspējas</w:t>
      </w:r>
      <w:proofErr w:type="spellEnd"/>
      <w:r w:rsidRPr="00802CA5">
        <w:rPr>
          <w:rFonts w:ascii="Times New Roman" w:hAnsi="Times New Roman"/>
        </w:rPr>
        <w:t xml:space="preserve"> sistēmu saskaņā ar Eiropas Parlamenta un Padomes Regulas (ES) Nr. 910/2014 par elektronisko identifikāciju un uzticamības pakalpojumiem elektronisko darījumu veikšanai iekšējā tirgū 12. panta 8. punktu</w:t>
      </w:r>
    </w:p>
    <w:p w14:paraId="6ECCCD1D" w14:textId="3385D3FE" w:rsidR="00802CA5" w:rsidRDefault="00874FD9" w:rsidP="00802CA5">
      <w:pPr>
        <w:pStyle w:val="FootnoteText"/>
        <w:jc w:val="both"/>
      </w:pPr>
      <w:hyperlink r:id="rId7" w:history="1">
        <w:r w:rsidR="00802CA5" w:rsidRPr="00D532C9">
          <w:rPr>
            <w:rStyle w:val="Hyperlink"/>
            <w:rFonts w:ascii="Times New Roman" w:hAnsi="Times New Roman"/>
          </w:rPr>
          <w:t>https://eur-lex.europa.eu/legal-content/LV/TXT/?uri=CELEX%3A32015R1501</w:t>
        </w:r>
      </w:hyperlink>
      <w:r w:rsidR="00802CA5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364E" w14:textId="77777777" w:rsidR="006B2466" w:rsidRPr="004A147F" w:rsidRDefault="00F0154F">
    <w:pPr>
      <w:pStyle w:val="Header"/>
      <w:jc w:val="center"/>
      <w:rPr>
        <w:rFonts w:ascii="Times New Roman" w:hAnsi="Times New Roman"/>
        <w:sz w:val="24"/>
        <w:szCs w:val="24"/>
      </w:rPr>
    </w:pPr>
    <w:r w:rsidRPr="004A147F">
      <w:rPr>
        <w:rFonts w:ascii="Times New Roman" w:hAnsi="Times New Roman"/>
        <w:sz w:val="24"/>
        <w:szCs w:val="24"/>
      </w:rPr>
      <w:fldChar w:fldCharType="begin"/>
    </w:r>
    <w:r w:rsidRPr="004A147F">
      <w:rPr>
        <w:rFonts w:ascii="Times New Roman" w:hAnsi="Times New Roman"/>
        <w:sz w:val="24"/>
        <w:szCs w:val="24"/>
      </w:rPr>
      <w:instrText xml:space="preserve"> PAGE </w:instrText>
    </w:r>
    <w:r w:rsidRPr="004A147F">
      <w:rPr>
        <w:rFonts w:ascii="Times New Roman" w:hAnsi="Times New Roman"/>
        <w:sz w:val="24"/>
        <w:szCs w:val="24"/>
      </w:rPr>
      <w:fldChar w:fldCharType="separate"/>
    </w:r>
    <w:r w:rsidR="005A7584">
      <w:rPr>
        <w:rFonts w:ascii="Times New Roman" w:hAnsi="Times New Roman"/>
        <w:noProof/>
        <w:sz w:val="24"/>
        <w:szCs w:val="24"/>
      </w:rPr>
      <w:t>5</w:t>
    </w:r>
    <w:r w:rsidRPr="004A147F">
      <w:rPr>
        <w:rFonts w:ascii="Times New Roman" w:hAnsi="Times New Roman"/>
        <w:sz w:val="24"/>
        <w:szCs w:val="24"/>
      </w:rPr>
      <w:fldChar w:fldCharType="end"/>
    </w:r>
  </w:p>
  <w:p w14:paraId="53F20B1A" w14:textId="77777777" w:rsidR="006B2466" w:rsidRDefault="006B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A6FEA"/>
    <w:multiLevelType w:val="multilevel"/>
    <w:tmpl w:val="516E42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Calibri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b/>
        <w:i/>
      </w:rPr>
    </w:lvl>
  </w:abstractNum>
  <w:abstractNum w:abstractNumId="1" w15:restartNumberingAfterBreak="0">
    <w:nsid w:val="582B278E"/>
    <w:multiLevelType w:val="hybridMultilevel"/>
    <w:tmpl w:val="A838DA20"/>
    <w:lvl w:ilvl="0" w:tplc="3D705F6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72C2F17C">
      <w:start w:val="1"/>
      <w:numFmt w:val="lowerLetter"/>
      <w:lvlText w:val="%2."/>
      <w:lvlJc w:val="left"/>
      <w:pPr>
        <w:ind w:left="1647" w:hanging="360"/>
      </w:pPr>
    </w:lvl>
    <w:lvl w:ilvl="2" w:tplc="EBFCDAE6">
      <w:start w:val="1"/>
      <w:numFmt w:val="lowerRoman"/>
      <w:lvlText w:val="%3."/>
      <w:lvlJc w:val="right"/>
      <w:pPr>
        <w:ind w:left="2367" w:hanging="180"/>
      </w:pPr>
    </w:lvl>
    <w:lvl w:ilvl="3" w:tplc="268416DE" w:tentative="1">
      <w:start w:val="1"/>
      <w:numFmt w:val="decimal"/>
      <w:lvlText w:val="%4."/>
      <w:lvlJc w:val="left"/>
      <w:pPr>
        <w:ind w:left="3087" w:hanging="360"/>
      </w:pPr>
    </w:lvl>
    <w:lvl w:ilvl="4" w:tplc="97A2CDDA" w:tentative="1">
      <w:start w:val="1"/>
      <w:numFmt w:val="lowerLetter"/>
      <w:lvlText w:val="%5."/>
      <w:lvlJc w:val="left"/>
      <w:pPr>
        <w:ind w:left="3807" w:hanging="360"/>
      </w:pPr>
    </w:lvl>
    <w:lvl w:ilvl="5" w:tplc="CB88CEF6" w:tentative="1">
      <w:start w:val="1"/>
      <w:numFmt w:val="lowerRoman"/>
      <w:lvlText w:val="%6."/>
      <w:lvlJc w:val="right"/>
      <w:pPr>
        <w:ind w:left="4527" w:hanging="180"/>
      </w:pPr>
    </w:lvl>
    <w:lvl w:ilvl="6" w:tplc="58DC6FC4" w:tentative="1">
      <w:start w:val="1"/>
      <w:numFmt w:val="decimal"/>
      <w:lvlText w:val="%7."/>
      <w:lvlJc w:val="left"/>
      <w:pPr>
        <w:ind w:left="5247" w:hanging="360"/>
      </w:pPr>
    </w:lvl>
    <w:lvl w:ilvl="7" w:tplc="15641AAE" w:tentative="1">
      <w:start w:val="1"/>
      <w:numFmt w:val="lowerLetter"/>
      <w:lvlText w:val="%8."/>
      <w:lvlJc w:val="left"/>
      <w:pPr>
        <w:ind w:left="5967" w:hanging="360"/>
      </w:pPr>
    </w:lvl>
    <w:lvl w:ilvl="8" w:tplc="019643A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8C6A5F"/>
    <w:multiLevelType w:val="hybridMultilevel"/>
    <w:tmpl w:val="12209E86"/>
    <w:lvl w:ilvl="0" w:tplc="990A9A12">
      <w:start w:val="28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4A18D70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6BCB33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8802D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8AA5F8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303C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C30827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BE3C8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F2CEF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 w15:restartNumberingAfterBreak="0">
    <w:nsid w:val="6F0017D3"/>
    <w:multiLevelType w:val="multilevel"/>
    <w:tmpl w:val="C442CA4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b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b/>
        <w:i/>
      </w:rPr>
    </w:lvl>
  </w:abstractNum>
  <w:abstractNum w:abstractNumId="5" w15:restartNumberingAfterBreak="0">
    <w:nsid w:val="6FB42CFB"/>
    <w:multiLevelType w:val="hybridMultilevel"/>
    <w:tmpl w:val="B544A1E6"/>
    <w:lvl w:ilvl="0" w:tplc="375E6C9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FEA08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6ECF0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CE307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9C6090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C6AFD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92681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EC9EE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50EF2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1821D6"/>
    <w:multiLevelType w:val="hybridMultilevel"/>
    <w:tmpl w:val="EDB6E298"/>
    <w:lvl w:ilvl="0" w:tplc="7CFA0F06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BCCC759A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65EABCA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D53E384A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F4F27240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60143CE8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B841E68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CDA26EBA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3E5A5A42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76"/>
    <w:rsid w:val="000274B2"/>
    <w:rsid w:val="00035E34"/>
    <w:rsid w:val="00044B17"/>
    <w:rsid w:val="000567C0"/>
    <w:rsid w:val="00080CBB"/>
    <w:rsid w:val="0008274F"/>
    <w:rsid w:val="0008463A"/>
    <w:rsid w:val="00106D98"/>
    <w:rsid w:val="00107DB4"/>
    <w:rsid w:val="0011028B"/>
    <w:rsid w:val="00137B39"/>
    <w:rsid w:val="00163D13"/>
    <w:rsid w:val="0017004A"/>
    <w:rsid w:val="00192590"/>
    <w:rsid w:val="00194E5D"/>
    <w:rsid w:val="001A078D"/>
    <w:rsid w:val="001A1534"/>
    <w:rsid w:val="001A49E7"/>
    <w:rsid w:val="001B1249"/>
    <w:rsid w:val="001B23F8"/>
    <w:rsid w:val="001C1114"/>
    <w:rsid w:val="001E0E12"/>
    <w:rsid w:val="00200675"/>
    <w:rsid w:val="0021727A"/>
    <w:rsid w:val="002344B7"/>
    <w:rsid w:val="002378E0"/>
    <w:rsid w:val="0029252F"/>
    <w:rsid w:val="002D7023"/>
    <w:rsid w:val="00301409"/>
    <w:rsid w:val="003033E6"/>
    <w:rsid w:val="00317509"/>
    <w:rsid w:val="003270F9"/>
    <w:rsid w:val="00333777"/>
    <w:rsid w:val="00346600"/>
    <w:rsid w:val="0036192C"/>
    <w:rsid w:val="00384C19"/>
    <w:rsid w:val="003956B2"/>
    <w:rsid w:val="00396F3F"/>
    <w:rsid w:val="00397E70"/>
    <w:rsid w:val="003A0076"/>
    <w:rsid w:val="003B19E3"/>
    <w:rsid w:val="003B43F3"/>
    <w:rsid w:val="003D067D"/>
    <w:rsid w:val="003E4CB2"/>
    <w:rsid w:val="004234B7"/>
    <w:rsid w:val="004313E0"/>
    <w:rsid w:val="0043177A"/>
    <w:rsid w:val="00454A92"/>
    <w:rsid w:val="00454BE1"/>
    <w:rsid w:val="00460F11"/>
    <w:rsid w:val="0046715E"/>
    <w:rsid w:val="0048266A"/>
    <w:rsid w:val="004966E1"/>
    <w:rsid w:val="004A159E"/>
    <w:rsid w:val="004A41E0"/>
    <w:rsid w:val="004B6E85"/>
    <w:rsid w:val="004B7D2D"/>
    <w:rsid w:val="004D2864"/>
    <w:rsid w:val="004D56D1"/>
    <w:rsid w:val="004E71E2"/>
    <w:rsid w:val="004F473E"/>
    <w:rsid w:val="004F637F"/>
    <w:rsid w:val="00504AC8"/>
    <w:rsid w:val="00512113"/>
    <w:rsid w:val="00546658"/>
    <w:rsid w:val="00547276"/>
    <w:rsid w:val="0055392E"/>
    <w:rsid w:val="0055702C"/>
    <w:rsid w:val="00565DB1"/>
    <w:rsid w:val="005665F1"/>
    <w:rsid w:val="005949C5"/>
    <w:rsid w:val="005A3EA9"/>
    <w:rsid w:val="005A7584"/>
    <w:rsid w:val="005C0DC9"/>
    <w:rsid w:val="005C1A28"/>
    <w:rsid w:val="005C67EF"/>
    <w:rsid w:val="005D5DD7"/>
    <w:rsid w:val="005E5A58"/>
    <w:rsid w:val="005E6AA7"/>
    <w:rsid w:val="005F3F1D"/>
    <w:rsid w:val="0060147B"/>
    <w:rsid w:val="0060369F"/>
    <w:rsid w:val="00603897"/>
    <w:rsid w:val="00615D4B"/>
    <w:rsid w:val="00622A2D"/>
    <w:rsid w:val="00637AE3"/>
    <w:rsid w:val="0067174D"/>
    <w:rsid w:val="00677FF9"/>
    <w:rsid w:val="006805EC"/>
    <w:rsid w:val="006815EC"/>
    <w:rsid w:val="00681C16"/>
    <w:rsid w:val="00695D45"/>
    <w:rsid w:val="006961F9"/>
    <w:rsid w:val="006A7489"/>
    <w:rsid w:val="006B1E43"/>
    <w:rsid w:val="006B2466"/>
    <w:rsid w:val="006C7A92"/>
    <w:rsid w:val="006D1D2E"/>
    <w:rsid w:val="006D3806"/>
    <w:rsid w:val="006E64B6"/>
    <w:rsid w:val="006F1357"/>
    <w:rsid w:val="00713D2C"/>
    <w:rsid w:val="00716CD4"/>
    <w:rsid w:val="00721FCC"/>
    <w:rsid w:val="00726BF7"/>
    <w:rsid w:val="00727B46"/>
    <w:rsid w:val="00743637"/>
    <w:rsid w:val="00750D94"/>
    <w:rsid w:val="00754DA9"/>
    <w:rsid w:val="00760281"/>
    <w:rsid w:val="00773A3F"/>
    <w:rsid w:val="00777A3D"/>
    <w:rsid w:val="00794B19"/>
    <w:rsid w:val="007B118E"/>
    <w:rsid w:val="007B1512"/>
    <w:rsid w:val="007B175B"/>
    <w:rsid w:val="007C0126"/>
    <w:rsid w:val="007E1CEB"/>
    <w:rsid w:val="007E37B5"/>
    <w:rsid w:val="007E422A"/>
    <w:rsid w:val="007F2349"/>
    <w:rsid w:val="007F2609"/>
    <w:rsid w:val="00802CA5"/>
    <w:rsid w:val="00815AD7"/>
    <w:rsid w:val="00860E6C"/>
    <w:rsid w:val="0087308C"/>
    <w:rsid w:val="00874FD9"/>
    <w:rsid w:val="00875C65"/>
    <w:rsid w:val="008865D2"/>
    <w:rsid w:val="00886C22"/>
    <w:rsid w:val="00896B88"/>
    <w:rsid w:val="008A15D1"/>
    <w:rsid w:val="008B2939"/>
    <w:rsid w:val="008C2F9B"/>
    <w:rsid w:val="008C60C7"/>
    <w:rsid w:val="008D24A8"/>
    <w:rsid w:val="009128E6"/>
    <w:rsid w:val="00933AAA"/>
    <w:rsid w:val="0098625D"/>
    <w:rsid w:val="009926DB"/>
    <w:rsid w:val="009A0C0D"/>
    <w:rsid w:val="009A5D96"/>
    <w:rsid w:val="009B4C7F"/>
    <w:rsid w:val="009B7D36"/>
    <w:rsid w:val="009C3A26"/>
    <w:rsid w:val="009C3D7A"/>
    <w:rsid w:val="009C7AB5"/>
    <w:rsid w:val="009D169C"/>
    <w:rsid w:val="009D4895"/>
    <w:rsid w:val="009E394F"/>
    <w:rsid w:val="009E7E6B"/>
    <w:rsid w:val="00A04191"/>
    <w:rsid w:val="00A107D9"/>
    <w:rsid w:val="00A146A5"/>
    <w:rsid w:val="00A254BF"/>
    <w:rsid w:val="00A27A10"/>
    <w:rsid w:val="00A30757"/>
    <w:rsid w:val="00A3221F"/>
    <w:rsid w:val="00A41ED6"/>
    <w:rsid w:val="00A626FD"/>
    <w:rsid w:val="00A64F03"/>
    <w:rsid w:val="00A70705"/>
    <w:rsid w:val="00A95A6D"/>
    <w:rsid w:val="00AE3669"/>
    <w:rsid w:val="00AF173A"/>
    <w:rsid w:val="00B014D7"/>
    <w:rsid w:val="00B03E98"/>
    <w:rsid w:val="00B2233D"/>
    <w:rsid w:val="00B41B63"/>
    <w:rsid w:val="00B5707E"/>
    <w:rsid w:val="00B57605"/>
    <w:rsid w:val="00B61338"/>
    <w:rsid w:val="00B72055"/>
    <w:rsid w:val="00B83970"/>
    <w:rsid w:val="00B83B12"/>
    <w:rsid w:val="00B94140"/>
    <w:rsid w:val="00BD464A"/>
    <w:rsid w:val="00BE329E"/>
    <w:rsid w:val="00BE62D9"/>
    <w:rsid w:val="00BE7B17"/>
    <w:rsid w:val="00BF02EC"/>
    <w:rsid w:val="00BF14F9"/>
    <w:rsid w:val="00C01C1F"/>
    <w:rsid w:val="00C03358"/>
    <w:rsid w:val="00C21E68"/>
    <w:rsid w:val="00C3064F"/>
    <w:rsid w:val="00C538C2"/>
    <w:rsid w:val="00C62D2F"/>
    <w:rsid w:val="00C70582"/>
    <w:rsid w:val="00C93E44"/>
    <w:rsid w:val="00C946C0"/>
    <w:rsid w:val="00C9618D"/>
    <w:rsid w:val="00C975CF"/>
    <w:rsid w:val="00CA1025"/>
    <w:rsid w:val="00CA4F69"/>
    <w:rsid w:val="00CC2EDC"/>
    <w:rsid w:val="00CD4750"/>
    <w:rsid w:val="00CD7921"/>
    <w:rsid w:val="00CE02D9"/>
    <w:rsid w:val="00CF4CAC"/>
    <w:rsid w:val="00D1207B"/>
    <w:rsid w:val="00D16AB6"/>
    <w:rsid w:val="00D20493"/>
    <w:rsid w:val="00D35410"/>
    <w:rsid w:val="00D428CD"/>
    <w:rsid w:val="00D66F5D"/>
    <w:rsid w:val="00D67CE1"/>
    <w:rsid w:val="00DA722C"/>
    <w:rsid w:val="00DB2A48"/>
    <w:rsid w:val="00DC5A58"/>
    <w:rsid w:val="00DD5725"/>
    <w:rsid w:val="00DF2079"/>
    <w:rsid w:val="00E012FB"/>
    <w:rsid w:val="00E0578F"/>
    <w:rsid w:val="00E24EAC"/>
    <w:rsid w:val="00E364D2"/>
    <w:rsid w:val="00E41195"/>
    <w:rsid w:val="00E75E60"/>
    <w:rsid w:val="00E81E54"/>
    <w:rsid w:val="00E834B8"/>
    <w:rsid w:val="00EA1640"/>
    <w:rsid w:val="00EB1142"/>
    <w:rsid w:val="00EB78C9"/>
    <w:rsid w:val="00EE2017"/>
    <w:rsid w:val="00F0154F"/>
    <w:rsid w:val="00F05292"/>
    <w:rsid w:val="00F2629C"/>
    <w:rsid w:val="00F27C55"/>
    <w:rsid w:val="00F326D2"/>
    <w:rsid w:val="00F46B9A"/>
    <w:rsid w:val="00F658AE"/>
    <w:rsid w:val="00F82DA6"/>
    <w:rsid w:val="00FA00CA"/>
    <w:rsid w:val="00FB3D2A"/>
    <w:rsid w:val="00FC4660"/>
    <w:rsid w:val="00FC4E30"/>
    <w:rsid w:val="00FD3464"/>
    <w:rsid w:val="00FD4C68"/>
    <w:rsid w:val="00FE6FF4"/>
    <w:rsid w:val="02C89F70"/>
    <w:rsid w:val="079D9979"/>
    <w:rsid w:val="08813CA5"/>
    <w:rsid w:val="0B14C87F"/>
    <w:rsid w:val="0CA4188B"/>
    <w:rsid w:val="0D39228E"/>
    <w:rsid w:val="11F03D3B"/>
    <w:rsid w:val="12ED32CA"/>
    <w:rsid w:val="21873747"/>
    <w:rsid w:val="27B15EF6"/>
    <w:rsid w:val="27E3DCE3"/>
    <w:rsid w:val="2AAB5426"/>
    <w:rsid w:val="3964AB6F"/>
    <w:rsid w:val="3ACAC180"/>
    <w:rsid w:val="3DC3CAB3"/>
    <w:rsid w:val="4B3C9F99"/>
    <w:rsid w:val="4B6511C3"/>
    <w:rsid w:val="4D6DE989"/>
    <w:rsid w:val="4E0B5D13"/>
    <w:rsid w:val="5305C4C6"/>
    <w:rsid w:val="5604B40D"/>
    <w:rsid w:val="575F0F5B"/>
    <w:rsid w:val="5B046415"/>
    <w:rsid w:val="5BA1B767"/>
    <w:rsid w:val="5BC6920C"/>
    <w:rsid w:val="5F046665"/>
    <w:rsid w:val="5F8619F7"/>
    <w:rsid w:val="63E360AE"/>
    <w:rsid w:val="68D16175"/>
    <w:rsid w:val="68E81B15"/>
    <w:rsid w:val="70B02943"/>
    <w:rsid w:val="713B03D1"/>
    <w:rsid w:val="72E112B3"/>
    <w:rsid w:val="7C18C79C"/>
    <w:rsid w:val="7FC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6EFDB"/>
  <w15:docId w15:val="{CAC8A59B-7ED5-4E4D-AF5B-678970E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653E"/>
    <w:pPr>
      <w:suppressAutoHyphens/>
      <w:autoSpaceDN w:val="0"/>
      <w:textAlignment w:val="baseline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53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865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653E"/>
    <w:rPr>
      <w:rFonts w:ascii="Calibri" w:hAnsi="Calibri"/>
      <w:sz w:val="20"/>
    </w:rPr>
  </w:style>
  <w:style w:type="character" w:styleId="FootnoteReference">
    <w:name w:val="footnote reference"/>
    <w:rsid w:val="0068653E"/>
    <w:rPr>
      <w:position w:val="0"/>
      <w:vertAlign w:val="superscript"/>
    </w:rPr>
  </w:style>
  <w:style w:type="paragraph" w:styleId="ListParagraph">
    <w:name w:val="List Paragraph"/>
    <w:basedOn w:val="Normal"/>
    <w:rsid w:val="0068653E"/>
    <w:pPr>
      <w:ind w:left="720"/>
    </w:pPr>
  </w:style>
  <w:style w:type="paragraph" w:styleId="Header">
    <w:name w:val="header"/>
    <w:basedOn w:val="Normal"/>
    <w:link w:val="HeaderChar"/>
    <w:rsid w:val="00686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653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3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CE1"/>
    <w:rPr>
      <w:rFonts w:ascii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CE1"/>
    <w:rPr>
      <w:rFonts w:ascii="Calibri" w:hAnsi="Calibri"/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4C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lv/TXT/PDF/?uri=CELEX:32012R0966&amp;from=EN" TargetMode="External"/><Relationship Id="rId7" Type="http://schemas.openxmlformats.org/officeDocument/2006/relationships/hyperlink" Target="https://eur-lex.europa.eu/legal-content/LV/TXT/?uri=CELEX%3A32015R1501" TargetMode="External"/><Relationship Id="rId2" Type="http://schemas.openxmlformats.org/officeDocument/2006/relationships/hyperlink" Target="http://eur-lex.europa.eu/legal-content/EN/TXT/PDF/?uri=OJ%3AJOL_2014_086_R_0014_01&amp;from=EN" TargetMode="External"/><Relationship Id="rId1" Type="http://schemas.openxmlformats.org/officeDocument/2006/relationships/hyperlink" Target="http://eur-lex.europa.eu/legal-content/EN/TXT/HTML/?uri=OJ:L:2013:348:FULL&amp;from=EN" TargetMode="External"/><Relationship Id="rId6" Type="http://schemas.openxmlformats.org/officeDocument/2006/relationships/hyperlink" Target="https://eur-lex.europa.eu/legal-content/LV/TXT/PDF/?uri=CELEX:32014R0910&amp;from=LV" TargetMode="External"/><Relationship Id="rId5" Type="http://schemas.openxmlformats.org/officeDocument/2006/relationships/hyperlink" Target="https://eur-lex.europa.eu/legal-content/LV/TXT/PDF/?uri=CELEX:32018R1724&amp;from=BG" TargetMode="External"/><Relationship Id="rId4" Type="http://schemas.openxmlformats.org/officeDocument/2006/relationships/hyperlink" Target="http://eur-lex.europa.eu/legal-content/LV/TXT/?uri=CELEX:32014R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6FF48D5FE7888468C075B17A0DB5556" ma:contentTypeVersion="8" ma:contentTypeDescription="Izveidot jaunu dokumentu." ma:contentTypeScope="" ma:versionID="453666d8180313fc46bd91e450083a10">
  <xsd:schema xmlns:xsd="http://www.w3.org/2001/XMLSchema" xmlns:xs="http://www.w3.org/2001/XMLSchema" xmlns:p="http://schemas.microsoft.com/office/2006/metadata/properties" xmlns:ns2="8d898d2a-e4a9-4543-860c-3c3fea7d32ca" xmlns:ns3="b02db670-f63b-460b-830f-dd2cefafb9c5" targetNamespace="http://schemas.microsoft.com/office/2006/metadata/properties" ma:root="true" ma:fieldsID="38e0661530ad259bd5f6728112f2168c" ns2:_="" ns3:_="">
    <xsd:import namespace="8d898d2a-e4a9-4543-860c-3c3fea7d32ca"/>
    <xsd:import namespace="b02db670-f63b-460b-830f-dd2cefafb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98d2a-e4a9-4543-860c-3c3fea7d3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b670-f63b-460b-830f-dd2cefafb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59CB4-7C91-45BB-9E03-F3102AD57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F1CD8-E90D-44DA-BCB8-C1015FF05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745C5-F1A8-430B-9CA8-392785510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98d2a-e4a9-4543-860c-3c3fea7d32ca"/>
    <ds:schemaRef ds:uri="b02db670-f63b-460b-830f-dd2cefafb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1BC8C-2D77-412F-9E79-ED4CF5BFB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7466</Words>
  <Characters>4257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Gintere</dc:creator>
  <cp:keywords/>
  <cp:lastModifiedBy>Signe Bērziņa</cp:lastModifiedBy>
  <cp:revision>10</cp:revision>
  <cp:lastPrinted>2017-05-09T02:33:00Z</cp:lastPrinted>
  <dcterms:created xsi:type="dcterms:W3CDTF">2020-10-09T13:08:00Z</dcterms:created>
  <dcterms:modified xsi:type="dcterms:W3CDTF">2020-10-28T08:25:00Z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0x010100B6FF48D5FE7888468C075B17A0DB5556</vt:lpwstr>
  </property>
</Properties>
</file>