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7D60" w14:textId="7BDD4502" w:rsidR="00894C55" w:rsidRPr="00FB6912" w:rsidRDefault="006A4CCF"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0E6D65" w:rsidRPr="00FB6912">
            <w:rPr>
              <w:rFonts w:ascii="Times New Roman" w:eastAsia="Times New Roman" w:hAnsi="Times New Roman" w:cs="Times New Roman"/>
              <w:b/>
              <w:bCs/>
              <w:sz w:val="28"/>
              <w:szCs w:val="24"/>
              <w:lang w:eastAsia="lv-LV"/>
            </w:rPr>
            <w:t>Ministru kabineta rīkojuma “Par informācijas sabiedrības attīstības pamatnostādņu ieviešanu publiskās pārvaldes informācijas sistēmu jomā (</w:t>
          </w:r>
          <w:proofErr w:type="spellStart"/>
          <w:r w:rsidR="000E6D65" w:rsidRPr="00FB6912">
            <w:rPr>
              <w:rFonts w:ascii="Times New Roman" w:eastAsia="Times New Roman" w:hAnsi="Times New Roman" w:cs="Times New Roman"/>
              <w:b/>
              <w:bCs/>
              <w:sz w:val="28"/>
              <w:szCs w:val="24"/>
              <w:lang w:eastAsia="lv-LV"/>
            </w:rPr>
            <w:t>mērķarhitektūras</w:t>
          </w:r>
          <w:proofErr w:type="spellEnd"/>
          <w:r w:rsidR="000E6D65" w:rsidRPr="00FB6912">
            <w:rPr>
              <w:rFonts w:ascii="Times New Roman" w:eastAsia="Times New Roman" w:hAnsi="Times New Roman" w:cs="Times New Roman"/>
              <w:b/>
              <w:bCs/>
              <w:sz w:val="28"/>
              <w:szCs w:val="24"/>
              <w:lang w:eastAsia="lv-LV"/>
            </w:rPr>
            <w:t xml:space="preserve"> </w:t>
          </w:r>
          <w:r w:rsidR="000C3100">
            <w:rPr>
              <w:rFonts w:ascii="Times New Roman" w:eastAsia="Times New Roman" w:hAnsi="Times New Roman" w:cs="Times New Roman"/>
              <w:b/>
              <w:bCs/>
              <w:sz w:val="28"/>
              <w:szCs w:val="24"/>
              <w:lang w:eastAsia="lv-LV"/>
            </w:rPr>
            <w:t>55</w:t>
          </w:r>
          <w:r w:rsidR="000E6D65" w:rsidRPr="00FB6912">
            <w:rPr>
              <w:rFonts w:ascii="Times New Roman" w:eastAsia="Times New Roman" w:hAnsi="Times New Roman" w:cs="Times New Roman"/>
              <w:b/>
              <w:bCs/>
              <w:sz w:val="28"/>
              <w:szCs w:val="24"/>
              <w:lang w:eastAsia="lv-LV"/>
            </w:rPr>
            <w:t>.0 versija)”</w:t>
          </w:r>
          <w:r w:rsidR="00300F18">
            <w:rPr>
              <w:rFonts w:ascii="Times New Roman" w:eastAsia="Times New Roman" w:hAnsi="Times New Roman" w:cs="Times New Roman"/>
              <w:b/>
              <w:bCs/>
              <w:sz w:val="28"/>
              <w:szCs w:val="24"/>
              <w:lang w:eastAsia="lv-LV"/>
            </w:rPr>
            <w:t xml:space="preserve"> </w:t>
          </w:r>
          <w:r w:rsidR="00300F18" w:rsidRPr="00300F18">
            <w:rPr>
              <w:rFonts w:ascii="Times New Roman" w:eastAsia="Times New Roman" w:hAnsi="Times New Roman" w:cs="Times New Roman"/>
              <w:b/>
              <w:bCs/>
              <w:sz w:val="28"/>
              <w:szCs w:val="24"/>
              <w:lang w:eastAsia="lv-LV"/>
            </w:rPr>
            <w:t xml:space="preserve"> </w:t>
          </w:r>
          <w:r w:rsidR="00300F18" w:rsidRPr="00FB6912">
            <w:rPr>
              <w:rFonts w:ascii="Times New Roman" w:eastAsia="Times New Roman" w:hAnsi="Times New Roman" w:cs="Times New Roman"/>
              <w:b/>
              <w:bCs/>
              <w:sz w:val="28"/>
              <w:szCs w:val="24"/>
              <w:lang w:eastAsia="lv-LV"/>
            </w:rPr>
            <w:t>projekta</w:t>
          </w:r>
          <w:r w:rsidR="00300F18" w:rsidRPr="00FB6912">
            <w:rPr>
              <w:rFonts w:ascii="Times New Roman" w:eastAsia="Times New Roman" w:hAnsi="Times New Roman" w:cs="Times New Roman"/>
              <w:b/>
              <w:bCs/>
              <w:sz w:val="28"/>
              <w:szCs w:val="24"/>
              <w:lang w:eastAsia="lv-LV"/>
            </w:rPr>
            <w:br/>
            <w:t>sākotnējās ietekmes novērtējuma ziņojums (anotācija)</w:t>
          </w:r>
        </w:sdtContent>
      </w:sdt>
      <w:r w:rsidR="00894C55" w:rsidRPr="00FB6912">
        <w:rPr>
          <w:rFonts w:ascii="Times New Roman" w:eastAsia="Times New Roman" w:hAnsi="Times New Roman" w:cs="Times New Roman"/>
          <w:b/>
          <w:bCs/>
          <w:sz w:val="28"/>
          <w:szCs w:val="24"/>
          <w:lang w:eastAsia="lv-LV"/>
        </w:rPr>
        <w:t xml:space="preserve"> </w:t>
      </w:r>
    </w:p>
    <w:p w14:paraId="2A14B454" w14:textId="77777777" w:rsidR="00E5323B" w:rsidRPr="00FB691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6912" w:rsidRPr="00FB6912" w14:paraId="54942CF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56B615"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Tiesību akta projekta anotācijas kopsavilkums</w:t>
            </w:r>
          </w:p>
        </w:tc>
      </w:tr>
      <w:tr w:rsidR="00FB6912" w:rsidRPr="00FB6912" w14:paraId="52C26B7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8E5BA5" w14:textId="77777777" w:rsidR="00E5323B" w:rsidRPr="00FB6912" w:rsidRDefault="00E5323B" w:rsidP="00BC5B2C">
            <w:pPr>
              <w:spacing w:after="0" w:line="240" w:lineRule="auto"/>
              <w:jc w:val="both"/>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75EA734" w14:textId="2ADFA86B" w:rsidR="000E6D65" w:rsidRPr="00FB6912" w:rsidRDefault="000312CE" w:rsidP="00BC5B2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w:t>
            </w:r>
            <w:r w:rsidR="000E6D65" w:rsidRPr="00FB6912">
              <w:rPr>
                <w:rFonts w:ascii="Times New Roman" w:eastAsia="Times New Roman" w:hAnsi="Times New Roman" w:cs="Times New Roman"/>
                <w:iCs/>
                <w:sz w:val="24"/>
                <w:szCs w:val="24"/>
                <w:lang w:eastAsia="lv-LV"/>
              </w:rPr>
              <w:t>Ministru kabineta (turpmāk - MK) rīkojuma projekt</w:t>
            </w:r>
            <w:r w:rsidR="00DA4817">
              <w:rPr>
                <w:rFonts w:ascii="Times New Roman" w:eastAsia="Times New Roman" w:hAnsi="Times New Roman" w:cs="Times New Roman"/>
                <w:iCs/>
                <w:sz w:val="24"/>
                <w:szCs w:val="24"/>
                <w:lang w:eastAsia="lv-LV"/>
              </w:rPr>
              <w:t>u</w:t>
            </w:r>
            <w:r w:rsidR="00877FFC">
              <w:rPr>
                <w:rFonts w:ascii="Times New Roman" w:eastAsia="Times New Roman" w:hAnsi="Times New Roman" w:cs="Times New Roman"/>
                <w:iCs/>
                <w:sz w:val="24"/>
                <w:szCs w:val="24"/>
                <w:lang w:eastAsia="lv-LV"/>
              </w:rPr>
              <w:t xml:space="preserve"> “</w:t>
            </w:r>
            <w:r w:rsidR="00877FFC" w:rsidRPr="00007694">
              <w:rPr>
                <w:rFonts w:ascii="Times New Roman" w:eastAsia="Times New Roman" w:hAnsi="Times New Roman" w:cs="Times New Roman"/>
                <w:bCs/>
                <w:sz w:val="24"/>
                <w:szCs w:val="24"/>
                <w:lang w:eastAsia="lv-LV"/>
              </w:rPr>
              <w:t>Par informācijas sabiedrības attīstības pamatnostādņu ieviešanu publiskās pārvaldes informācijas sistēmu jomā (</w:t>
            </w:r>
            <w:proofErr w:type="spellStart"/>
            <w:r w:rsidR="00877FFC" w:rsidRPr="00007694">
              <w:rPr>
                <w:rFonts w:ascii="Times New Roman" w:eastAsia="Times New Roman" w:hAnsi="Times New Roman" w:cs="Times New Roman"/>
                <w:bCs/>
                <w:sz w:val="24"/>
                <w:szCs w:val="24"/>
                <w:lang w:eastAsia="lv-LV"/>
              </w:rPr>
              <w:t>mērķarhitektūras</w:t>
            </w:r>
            <w:proofErr w:type="spellEnd"/>
            <w:r w:rsidR="00877FFC" w:rsidRPr="00007694">
              <w:rPr>
                <w:rFonts w:ascii="Times New Roman" w:eastAsia="Times New Roman" w:hAnsi="Times New Roman" w:cs="Times New Roman"/>
                <w:bCs/>
                <w:sz w:val="24"/>
                <w:szCs w:val="24"/>
                <w:lang w:eastAsia="lv-LV"/>
              </w:rPr>
              <w:t xml:space="preserve"> 55.0 versija)</w:t>
            </w:r>
            <w:r w:rsidR="00877FFC">
              <w:rPr>
                <w:rFonts w:ascii="Times New Roman" w:eastAsia="Times New Roman" w:hAnsi="Times New Roman" w:cs="Times New Roman"/>
                <w:bCs/>
                <w:sz w:val="24"/>
                <w:szCs w:val="24"/>
                <w:lang w:eastAsia="lv-LV"/>
              </w:rPr>
              <w:t xml:space="preserve">” </w:t>
            </w:r>
            <w:r w:rsidR="00877FFC" w:rsidRPr="00236A07">
              <w:rPr>
                <w:rFonts w:ascii="Times New Roman" w:eastAsia="Times New Roman" w:hAnsi="Times New Roman" w:cs="Times New Roman"/>
                <w:iCs/>
                <w:sz w:val="24"/>
                <w:szCs w:val="24"/>
                <w:lang w:eastAsia="lv-LV"/>
              </w:rPr>
              <w:t>(turpmāk – Rīkojuma projekts)</w:t>
            </w:r>
            <w:r w:rsidR="000E6D65" w:rsidRPr="00FB6912">
              <w:rPr>
                <w:rFonts w:ascii="Times New Roman" w:eastAsia="Times New Roman" w:hAnsi="Times New Roman" w:cs="Times New Roman"/>
                <w:iCs/>
                <w:sz w:val="24"/>
                <w:szCs w:val="24"/>
                <w:lang w:eastAsia="lv-LV"/>
              </w:rPr>
              <w:t xml:space="preserve"> </w:t>
            </w:r>
            <w:r w:rsidR="00DA4817">
              <w:rPr>
                <w:rFonts w:ascii="Times New Roman" w:eastAsia="Times New Roman" w:hAnsi="Times New Roman" w:cs="Times New Roman"/>
                <w:iCs/>
                <w:sz w:val="24"/>
                <w:szCs w:val="24"/>
                <w:lang w:eastAsia="lv-LV"/>
              </w:rPr>
              <w:t>tiek apstiprin</w:t>
            </w:r>
            <w:r w:rsidR="00DA2061">
              <w:rPr>
                <w:rFonts w:ascii="Times New Roman" w:eastAsia="Times New Roman" w:hAnsi="Times New Roman" w:cs="Times New Roman"/>
                <w:iCs/>
                <w:sz w:val="24"/>
                <w:szCs w:val="24"/>
                <w:lang w:eastAsia="lv-LV"/>
              </w:rPr>
              <w:t>ā</w:t>
            </w:r>
            <w:r w:rsidR="00DA4817">
              <w:rPr>
                <w:rFonts w:ascii="Times New Roman" w:eastAsia="Times New Roman" w:hAnsi="Times New Roman" w:cs="Times New Roman"/>
                <w:iCs/>
                <w:sz w:val="24"/>
                <w:szCs w:val="24"/>
                <w:lang w:eastAsia="lv-LV"/>
              </w:rPr>
              <w:t xml:space="preserve">ts un iekļauts </w:t>
            </w:r>
            <w:proofErr w:type="spellStart"/>
            <w:r w:rsidR="00DA2061" w:rsidRPr="00DA2061">
              <w:rPr>
                <w:rFonts w:ascii="Times New Roman" w:eastAsia="Times New Roman" w:hAnsi="Times New Roman" w:cs="Times New Roman"/>
                <w:iCs/>
                <w:sz w:val="24"/>
                <w:szCs w:val="24"/>
                <w:lang w:eastAsia="lv-LV"/>
              </w:rPr>
              <w:t>iek</w:t>
            </w:r>
            <w:r w:rsidR="00877FFC">
              <w:rPr>
                <w:rFonts w:ascii="Times New Roman" w:eastAsia="Times New Roman" w:hAnsi="Times New Roman" w:cs="Times New Roman"/>
                <w:iCs/>
                <w:sz w:val="24"/>
                <w:szCs w:val="24"/>
                <w:lang w:eastAsia="lv-LV"/>
              </w:rPr>
              <w:t>ļ</w:t>
            </w:r>
            <w:r w:rsidR="00DA2061" w:rsidRPr="00DA2061">
              <w:rPr>
                <w:rFonts w:ascii="Times New Roman" w:eastAsia="Times New Roman" w:hAnsi="Times New Roman" w:cs="Times New Roman"/>
                <w:iCs/>
                <w:sz w:val="24"/>
                <w:szCs w:val="24"/>
                <w:lang w:eastAsia="lv-LV"/>
              </w:rPr>
              <w:t>auts</w:t>
            </w:r>
            <w:proofErr w:type="spellEnd"/>
            <w:r w:rsidR="00DA2061" w:rsidRPr="00DA2061">
              <w:rPr>
                <w:rFonts w:ascii="Times New Roman" w:eastAsia="Times New Roman" w:hAnsi="Times New Roman" w:cs="Times New Roman"/>
                <w:iCs/>
                <w:sz w:val="24"/>
                <w:szCs w:val="24"/>
                <w:lang w:eastAsia="lv-LV"/>
              </w:rPr>
              <w:t xml:space="preserve"> informācijas un komunikācijas tehnoloģiju</w:t>
            </w:r>
            <w:r w:rsidR="00DC4F98">
              <w:rPr>
                <w:rFonts w:ascii="Times New Roman" w:eastAsia="Times New Roman" w:hAnsi="Times New Roman" w:cs="Times New Roman"/>
                <w:iCs/>
                <w:sz w:val="24"/>
                <w:szCs w:val="24"/>
                <w:lang w:eastAsia="lv-LV"/>
              </w:rPr>
              <w:t xml:space="preserve"> (turpmāk – IKT)</w:t>
            </w:r>
            <w:r w:rsidR="00DA2061" w:rsidRPr="00DA2061">
              <w:rPr>
                <w:rFonts w:ascii="Times New Roman" w:eastAsia="Times New Roman" w:hAnsi="Times New Roman" w:cs="Times New Roman"/>
                <w:iCs/>
                <w:sz w:val="24"/>
                <w:szCs w:val="24"/>
                <w:lang w:eastAsia="lv-LV"/>
              </w:rPr>
              <w:t xml:space="preserve"> </w:t>
            </w:r>
            <w:proofErr w:type="spellStart"/>
            <w:r w:rsidR="00DA2061" w:rsidRPr="00DA2061">
              <w:rPr>
                <w:rFonts w:ascii="Times New Roman" w:eastAsia="Times New Roman" w:hAnsi="Times New Roman" w:cs="Times New Roman"/>
                <w:iCs/>
                <w:sz w:val="24"/>
                <w:szCs w:val="24"/>
                <w:lang w:eastAsia="lv-LV"/>
              </w:rPr>
              <w:t>mērķarhitektūrā</w:t>
            </w:r>
            <w:proofErr w:type="spellEnd"/>
            <w:r w:rsidR="00DA2061">
              <w:rPr>
                <w:rFonts w:ascii="Times New Roman" w:eastAsia="Times New Roman" w:hAnsi="Times New Roman" w:cs="Times New Roman"/>
                <w:iCs/>
                <w:sz w:val="24"/>
                <w:szCs w:val="24"/>
                <w:lang w:eastAsia="lv-LV"/>
              </w:rPr>
              <w:t xml:space="preserve"> Zemkopības ministrijas </w:t>
            </w:r>
            <w:r w:rsidR="00396293">
              <w:rPr>
                <w:rFonts w:ascii="Times New Roman" w:eastAsia="Times New Roman" w:hAnsi="Times New Roman" w:cs="Times New Roman"/>
                <w:iCs/>
                <w:sz w:val="24"/>
                <w:szCs w:val="24"/>
                <w:lang w:eastAsia="lv-LV"/>
              </w:rPr>
              <w:t xml:space="preserve">(turpmāk – ZM) </w:t>
            </w:r>
            <w:r w:rsidR="00DA2061">
              <w:rPr>
                <w:rFonts w:ascii="Times New Roman" w:eastAsia="Times New Roman" w:hAnsi="Times New Roman" w:cs="Times New Roman"/>
                <w:iCs/>
                <w:sz w:val="24"/>
                <w:szCs w:val="24"/>
                <w:lang w:eastAsia="lv-LV"/>
              </w:rPr>
              <w:t>projekta “</w:t>
            </w:r>
            <w:r w:rsidR="009419E3" w:rsidRPr="00E417CA">
              <w:rPr>
                <w:rFonts w:ascii="Times New Roman" w:eastAsia="Times New Roman" w:hAnsi="Times New Roman" w:cs="Times New Roman"/>
                <w:iCs/>
                <w:sz w:val="24"/>
                <w:szCs w:val="24"/>
                <w:lang w:eastAsia="lv-LV"/>
              </w:rPr>
              <w:t xml:space="preserve">Zemkopības ministrijas un tās </w:t>
            </w:r>
            <w:r w:rsidR="009419E3">
              <w:rPr>
                <w:rFonts w:ascii="Times New Roman" w:eastAsia="Times New Roman" w:hAnsi="Times New Roman" w:cs="Times New Roman"/>
                <w:iCs/>
                <w:sz w:val="24"/>
                <w:szCs w:val="24"/>
                <w:lang w:eastAsia="lv-LV"/>
              </w:rPr>
              <w:t>padotībā</w:t>
            </w:r>
            <w:r w:rsidR="009419E3" w:rsidRPr="00E417CA">
              <w:rPr>
                <w:rFonts w:ascii="Times New Roman" w:eastAsia="Times New Roman" w:hAnsi="Times New Roman" w:cs="Times New Roman"/>
                <w:iCs/>
                <w:sz w:val="24"/>
                <w:szCs w:val="24"/>
                <w:lang w:eastAsia="lv-LV"/>
              </w:rPr>
              <w:t xml:space="preserve"> esošo iestāžu informācijas un komunikācijas tehnoloģiju attīstība (2.kārta)</w:t>
            </w:r>
            <w:r w:rsidR="009419E3">
              <w:rPr>
                <w:rFonts w:ascii="Times New Roman" w:eastAsia="Times New Roman" w:hAnsi="Times New Roman" w:cs="Times New Roman"/>
                <w:iCs/>
                <w:sz w:val="24"/>
                <w:szCs w:val="24"/>
                <w:lang w:eastAsia="lv-LV"/>
              </w:rPr>
              <w:t>”</w:t>
            </w:r>
            <w:r w:rsidR="00A630D9">
              <w:rPr>
                <w:rFonts w:ascii="Times New Roman" w:eastAsia="Times New Roman" w:hAnsi="Times New Roman" w:cs="Times New Roman"/>
                <w:iCs/>
                <w:sz w:val="24"/>
                <w:szCs w:val="24"/>
                <w:lang w:eastAsia="lv-LV"/>
              </w:rPr>
              <w:t xml:space="preserve"> (turpmāk – Projekts)</w:t>
            </w:r>
            <w:r w:rsidR="009419E3" w:rsidRPr="00236A07">
              <w:rPr>
                <w:rFonts w:ascii="Times New Roman" w:eastAsia="Times New Roman" w:hAnsi="Times New Roman" w:cs="Times New Roman"/>
                <w:iCs/>
                <w:sz w:val="24"/>
                <w:szCs w:val="24"/>
                <w:lang w:eastAsia="lv-LV"/>
              </w:rPr>
              <w:t>,</w:t>
            </w:r>
            <w:r w:rsidR="00DA2061">
              <w:rPr>
                <w:rFonts w:ascii="Times New Roman" w:eastAsia="Times New Roman" w:hAnsi="Times New Roman" w:cs="Times New Roman"/>
                <w:iCs/>
                <w:sz w:val="24"/>
                <w:szCs w:val="24"/>
                <w:lang w:eastAsia="lv-LV"/>
              </w:rPr>
              <w:t xml:space="preserve"> apraksts</w:t>
            </w:r>
            <w:r w:rsidR="00FA265B">
              <w:rPr>
                <w:rFonts w:ascii="Times New Roman" w:eastAsia="Times New Roman" w:hAnsi="Times New Roman" w:cs="Times New Roman"/>
                <w:iCs/>
                <w:sz w:val="24"/>
                <w:szCs w:val="24"/>
                <w:lang w:eastAsia="lv-LV"/>
              </w:rPr>
              <w:t>.</w:t>
            </w:r>
            <w:r w:rsidR="00DA2061">
              <w:rPr>
                <w:rFonts w:ascii="Times New Roman" w:eastAsia="Times New Roman" w:hAnsi="Times New Roman" w:cs="Times New Roman"/>
                <w:iCs/>
                <w:sz w:val="24"/>
                <w:szCs w:val="24"/>
                <w:lang w:eastAsia="lv-LV"/>
              </w:rPr>
              <w:t xml:space="preserve"> </w:t>
            </w:r>
          </w:p>
          <w:p w14:paraId="25413CB3" w14:textId="0474700F" w:rsidR="00E5323B" w:rsidRPr="00FB6912" w:rsidRDefault="000E6D65" w:rsidP="00BC5B2C">
            <w:pPr>
              <w:spacing w:after="0" w:line="240" w:lineRule="auto"/>
              <w:jc w:val="both"/>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Rīkojuma projekts stāsies spēkā </w:t>
            </w:r>
            <w:r w:rsidR="000A60FB">
              <w:rPr>
                <w:rFonts w:ascii="Times New Roman" w:eastAsia="Times New Roman" w:hAnsi="Times New Roman" w:cs="Times New Roman"/>
                <w:iCs/>
                <w:sz w:val="24"/>
                <w:szCs w:val="24"/>
                <w:lang w:eastAsia="lv-LV"/>
              </w:rPr>
              <w:t>tā parakstīšanas brīdī.</w:t>
            </w:r>
          </w:p>
        </w:tc>
      </w:tr>
    </w:tbl>
    <w:p w14:paraId="07A12579" w14:textId="77777777" w:rsidR="00E5323B" w:rsidRPr="00FB6912" w:rsidRDefault="00E5323B" w:rsidP="00BC5B2C">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1B04F3A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274EC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 Tiesību akta projekta izstrādes nepieciešamība</w:t>
            </w:r>
          </w:p>
        </w:tc>
      </w:tr>
      <w:tr w:rsidR="00FB6912" w:rsidRPr="00FB6912" w14:paraId="740A5BDD" w14:textId="77777777" w:rsidTr="00A84A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03B6E4"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18C1A47"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14:paraId="4281B1E3" w14:textId="27FA8B11" w:rsidR="000E6D65" w:rsidRDefault="00A84A4B" w:rsidP="00A84A4B">
            <w:pPr>
              <w:suppressAutoHyphens/>
              <w:spacing w:after="0" w:line="240" w:lineRule="auto"/>
              <w:ind w:right="210"/>
              <w:jc w:val="both"/>
              <w:rPr>
                <w:rFonts w:ascii="Times New Roman" w:hAnsi="Times New Roman" w:cs="Times New Roman"/>
                <w:sz w:val="24"/>
                <w:szCs w:val="24"/>
              </w:rPr>
            </w:pPr>
            <w:r w:rsidRPr="00A84A4B">
              <w:rPr>
                <w:rFonts w:ascii="Times New Roman" w:hAnsi="Times New Roman" w:cs="Times New Roman"/>
                <w:sz w:val="24"/>
                <w:szCs w:val="24"/>
              </w:rPr>
              <w:t xml:space="preserve">1) </w:t>
            </w:r>
            <w:r w:rsidR="00D9379E">
              <w:rPr>
                <w:rFonts w:ascii="Times New Roman" w:hAnsi="Times New Roman" w:cs="Times New Roman"/>
                <w:sz w:val="24"/>
                <w:szCs w:val="24"/>
              </w:rPr>
              <w:t>MK</w:t>
            </w:r>
            <w:r w:rsidRPr="00A84A4B">
              <w:rPr>
                <w:rFonts w:ascii="Times New Roman" w:hAnsi="Times New Roman" w:cs="Times New Roman"/>
                <w:sz w:val="24"/>
                <w:szCs w:val="24"/>
              </w:rPr>
              <w:t xml:space="preserve"> 2015. gada 17. novembra noteikumu Nr. 653 </w:t>
            </w:r>
            <w:r w:rsidR="007D7E5C">
              <w:rPr>
                <w:rFonts w:ascii="Times New Roman" w:hAnsi="Times New Roman" w:cs="Times New Roman"/>
                <w:sz w:val="24"/>
                <w:szCs w:val="24"/>
              </w:rPr>
              <w:t>“</w:t>
            </w:r>
            <w:r w:rsidRPr="00A84A4B">
              <w:rPr>
                <w:rFonts w:ascii="Times New Roman" w:hAnsi="Times New Roman" w:cs="Times New Roman"/>
                <w:sz w:val="24"/>
                <w:szCs w:val="24"/>
              </w:rPr>
              <w:t xml:space="preserve">Darbības programmas </w:t>
            </w:r>
            <w:r w:rsidR="007D7E5C">
              <w:rPr>
                <w:rFonts w:ascii="Times New Roman" w:hAnsi="Times New Roman" w:cs="Times New Roman"/>
                <w:sz w:val="24"/>
                <w:szCs w:val="24"/>
              </w:rPr>
              <w:t>“</w:t>
            </w:r>
            <w:r w:rsidRPr="00A84A4B">
              <w:rPr>
                <w:rFonts w:ascii="Times New Roman" w:hAnsi="Times New Roman" w:cs="Times New Roman"/>
                <w:sz w:val="24"/>
                <w:szCs w:val="24"/>
              </w:rPr>
              <w:t>Izaugsme un nodarbinātība</w:t>
            </w:r>
            <w:r w:rsidR="0047160E">
              <w:rPr>
                <w:rFonts w:ascii="Times New Roman" w:hAnsi="Times New Roman" w:cs="Times New Roman"/>
                <w:sz w:val="24"/>
                <w:szCs w:val="24"/>
              </w:rPr>
              <w:t>”</w:t>
            </w:r>
            <w:r w:rsidRPr="00A84A4B">
              <w:rPr>
                <w:rFonts w:ascii="Times New Roman" w:hAnsi="Times New Roman" w:cs="Times New Roman"/>
                <w:sz w:val="24"/>
                <w:szCs w:val="24"/>
              </w:rPr>
              <w:t xml:space="preserve"> 2.2.1. specifiskā atbalsta mērķa </w:t>
            </w:r>
            <w:r w:rsidR="0047160E">
              <w:rPr>
                <w:rFonts w:ascii="Times New Roman" w:hAnsi="Times New Roman" w:cs="Times New Roman"/>
                <w:sz w:val="24"/>
                <w:szCs w:val="24"/>
              </w:rPr>
              <w:t>“</w:t>
            </w:r>
            <w:r w:rsidRPr="00A84A4B">
              <w:rPr>
                <w:rFonts w:ascii="Times New Roman" w:hAnsi="Times New Roman" w:cs="Times New Roman"/>
                <w:sz w:val="24"/>
                <w:szCs w:val="24"/>
              </w:rPr>
              <w:t xml:space="preserve">Nodrošināt publisko datu </w:t>
            </w:r>
            <w:proofErr w:type="spellStart"/>
            <w:r w:rsidRPr="00A84A4B">
              <w:rPr>
                <w:rFonts w:ascii="Times New Roman" w:hAnsi="Times New Roman" w:cs="Times New Roman"/>
                <w:sz w:val="24"/>
                <w:szCs w:val="24"/>
              </w:rPr>
              <w:t>atkalizmantošanas</w:t>
            </w:r>
            <w:proofErr w:type="spellEnd"/>
            <w:r w:rsidRPr="00A84A4B">
              <w:rPr>
                <w:rFonts w:ascii="Times New Roman" w:hAnsi="Times New Roman" w:cs="Times New Roman"/>
                <w:sz w:val="24"/>
                <w:szCs w:val="24"/>
              </w:rPr>
              <w:t xml:space="preserve"> pieaugumu un efektīvu publiskās pārvaldes un privātā sektora mijiedarbību</w:t>
            </w:r>
            <w:r w:rsidR="0047160E">
              <w:rPr>
                <w:rFonts w:ascii="Times New Roman" w:hAnsi="Times New Roman" w:cs="Times New Roman"/>
                <w:sz w:val="24"/>
                <w:szCs w:val="24"/>
              </w:rPr>
              <w:t>”</w:t>
            </w:r>
            <w:r w:rsidRPr="00A84A4B">
              <w:rPr>
                <w:rFonts w:ascii="Times New Roman" w:hAnsi="Times New Roman" w:cs="Times New Roman"/>
                <w:sz w:val="24"/>
                <w:szCs w:val="24"/>
              </w:rPr>
              <w:t xml:space="preserve"> 2.2.1.1. pasākuma </w:t>
            </w:r>
            <w:r w:rsidR="0047160E">
              <w:rPr>
                <w:rFonts w:ascii="Times New Roman" w:hAnsi="Times New Roman" w:cs="Times New Roman"/>
                <w:sz w:val="24"/>
                <w:szCs w:val="24"/>
              </w:rPr>
              <w:t>“</w:t>
            </w:r>
            <w:r w:rsidRPr="00A84A4B">
              <w:rPr>
                <w:rFonts w:ascii="Times New Roman" w:hAnsi="Times New Roman" w:cs="Times New Roman"/>
                <w:sz w:val="24"/>
                <w:szCs w:val="24"/>
              </w:rPr>
              <w:t>Centralizētu publiskās pārvaldes IKT platformu izveide, publiskās pārvaldes procesu optimizēšana un attīstība" īstenošanas noteikumi</w:t>
            </w:r>
            <w:r w:rsidR="0047160E">
              <w:rPr>
                <w:rFonts w:ascii="Times New Roman" w:hAnsi="Times New Roman" w:cs="Times New Roman"/>
                <w:sz w:val="24"/>
                <w:szCs w:val="24"/>
              </w:rPr>
              <w:t>”</w:t>
            </w:r>
            <w:r w:rsidRPr="00A84A4B">
              <w:rPr>
                <w:rFonts w:ascii="Times New Roman" w:hAnsi="Times New Roman" w:cs="Times New Roman"/>
                <w:sz w:val="24"/>
                <w:szCs w:val="24"/>
              </w:rPr>
              <w:t xml:space="preserve"> 4. punkts un </w:t>
            </w:r>
            <w:r w:rsidRPr="00F013FA">
              <w:rPr>
                <w:rFonts w:ascii="Times New Roman" w:hAnsi="Times New Roman" w:cs="Times New Roman"/>
                <w:sz w:val="24"/>
                <w:szCs w:val="24"/>
              </w:rPr>
              <w:t>13.2. apakšpunkts.</w:t>
            </w:r>
          </w:p>
          <w:p w14:paraId="42312FFA" w14:textId="1128CF27" w:rsidR="00A84A4B" w:rsidRPr="00FB6912" w:rsidRDefault="00A84A4B" w:rsidP="00A84A4B">
            <w:pPr>
              <w:suppressAutoHyphens/>
              <w:spacing w:after="0" w:line="240" w:lineRule="auto"/>
              <w:ind w:right="210"/>
              <w:jc w:val="both"/>
              <w:rPr>
                <w:rFonts w:ascii="Times New Roman" w:hAnsi="Times New Roman" w:cs="Times New Roman"/>
                <w:sz w:val="24"/>
                <w:szCs w:val="24"/>
              </w:rPr>
            </w:pPr>
            <w:r>
              <w:rPr>
                <w:rFonts w:ascii="Times New Roman" w:hAnsi="Times New Roman" w:cs="Times New Roman"/>
                <w:sz w:val="24"/>
                <w:szCs w:val="24"/>
              </w:rPr>
              <w:t xml:space="preserve">2) </w:t>
            </w:r>
            <w:r w:rsidR="001A6860">
              <w:rPr>
                <w:rFonts w:ascii="Times New Roman" w:hAnsi="Times New Roman" w:cs="Times New Roman"/>
                <w:sz w:val="24"/>
                <w:szCs w:val="24"/>
              </w:rPr>
              <w:t xml:space="preserve">MK 2020. gada 15. jūlija </w:t>
            </w:r>
            <w:r w:rsidR="00754B68">
              <w:rPr>
                <w:rFonts w:ascii="Times New Roman" w:hAnsi="Times New Roman" w:cs="Times New Roman"/>
                <w:sz w:val="24"/>
                <w:szCs w:val="24"/>
              </w:rPr>
              <w:t>rīkojum</w:t>
            </w:r>
            <w:r w:rsidR="00F06202">
              <w:rPr>
                <w:rFonts w:ascii="Times New Roman" w:hAnsi="Times New Roman" w:cs="Times New Roman"/>
                <w:sz w:val="24"/>
                <w:szCs w:val="24"/>
              </w:rPr>
              <w:t>a</w:t>
            </w:r>
            <w:r w:rsidR="00754B68">
              <w:rPr>
                <w:rFonts w:ascii="Times New Roman" w:hAnsi="Times New Roman" w:cs="Times New Roman"/>
                <w:sz w:val="24"/>
                <w:szCs w:val="24"/>
              </w:rPr>
              <w:t xml:space="preserve"> Nr. 374 </w:t>
            </w:r>
            <w:r w:rsidR="007D7E5C">
              <w:rPr>
                <w:rFonts w:ascii="Times New Roman" w:hAnsi="Times New Roman" w:cs="Times New Roman"/>
                <w:sz w:val="24"/>
                <w:szCs w:val="24"/>
              </w:rPr>
              <w:t>“</w:t>
            </w:r>
            <w:r w:rsidR="0047160E" w:rsidRPr="0047160E">
              <w:rPr>
                <w:rFonts w:ascii="Times New Roman" w:hAnsi="Times New Roman" w:cs="Times New Roman"/>
                <w:sz w:val="24"/>
                <w:szCs w:val="24"/>
              </w:rPr>
              <w:t xml:space="preserve">Par darbības programmas "Izaugsme un nodarbinātība" 2.2.1. specifiskā atbalsta mērķa "Nodrošināt publisko datu </w:t>
            </w:r>
            <w:proofErr w:type="spellStart"/>
            <w:r w:rsidR="0047160E" w:rsidRPr="0047160E">
              <w:rPr>
                <w:rFonts w:ascii="Times New Roman" w:hAnsi="Times New Roman" w:cs="Times New Roman"/>
                <w:sz w:val="24"/>
                <w:szCs w:val="24"/>
              </w:rPr>
              <w:t>atkalizmantošanas</w:t>
            </w:r>
            <w:proofErr w:type="spellEnd"/>
            <w:r w:rsidR="0047160E" w:rsidRPr="0047160E">
              <w:rPr>
                <w:rFonts w:ascii="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un 2.2.1.2. pasākuma "Kultūras mantojuma </w:t>
            </w:r>
            <w:proofErr w:type="spellStart"/>
            <w:r w:rsidR="0047160E" w:rsidRPr="0047160E">
              <w:rPr>
                <w:rFonts w:ascii="Times New Roman" w:hAnsi="Times New Roman" w:cs="Times New Roman"/>
                <w:sz w:val="24"/>
                <w:szCs w:val="24"/>
              </w:rPr>
              <w:t>digitalizācija</w:t>
            </w:r>
            <w:proofErr w:type="spellEnd"/>
            <w:r w:rsidR="0047160E" w:rsidRPr="0047160E">
              <w:rPr>
                <w:rFonts w:ascii="Times New Roman" w:hAnsi="Times New Roman" w:cs="Times New Roman"/>
                <w:sz w:val="24"/>
                <w:szCs w:val="24"/>
              </w:rPr>
              <w:t>" projektu iesniegumu atlases 1. un 2. kārtas projektu sarakstu Eiropas Savienības fondu 2014.–2020. gada plānošanas periodam</w:t>
            </w:r>
            <w:r w:rsidR="0047160E">
              <w:rPr>
                <w:rFonts w:ascii="Times New Roman" w:hAnsi="Times New Roman" w:cs="Times New Roman"/>
                <w:sz w:val="24"/>
                <w:szCs w:val="24"/>
              </w:rPr>
              <w:t>”</w:t>
            </w:r>
            <w:r w:rsidR="003F03B9">
              <w:rPr>
                <w:rFonts w:ascii="Times New Roman" w:hAnsi="Times New Roman" w:cs="Times New Roman"/>
                <w:sz w:val="24"/>
                <w:szCs w:val="24"/>
              </w:rPr>
              <w:t xml:space="preserve"> 4. pun</w:t>
            </w:r>
            <w:r w:rsidR="00F06202">
              <w:rPr>
                <w:rFonts w:ascii="Times New Roman" w:hAnsi="Times New Roman" w:cs="Times New Roman"/>
                <w:sz w:val="24"/>
                <w:szCs w:val="24"/>
              </w:rPr>
              <w:t>k</w:t>
            </w:r>
            <w:r w:rsidR="003F03B9">
              <w:rPr>
                <w:rFonts w:ascii="Times New Roman" w:hAnsi="Times New Roman" w:cs="Times New Roman"/>
                <w:sz w:val="24"/>
                <w:szCs w:val="24"/>
              </w:rPr>
              <w:t>ts</w:t>
            </w:r>
            <w:r w:rsidR="00F06202">
              <w:rPr>
                <w:rFonts w:ascii="Times New Roman" w:hAnsi="Times New Roman" w:cs="Times New Roman"/>
                <w:sz w:val="24"/>
                <w:szCs w:val="24"/>
              </w:rPr>
              <w:t>.</w:t>
            </w:r>
          </w:p>
        </w:tc>
      </w:tr>
      <w:tr w:rsidR="00FB6912" w:rsidRPr="00FB6912" w14:paraId="7A77B292"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32984"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0C8D15"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3DE134B2" w14:textId="63F5FF84" w:rsidR="00FB6912" w:rsidRDefault="00236A07" w:rsidP="00A62066">
            <w:pPr>
              <w:spacing w:after="0" w:line="240" w:lineRule="auto"/>
              <w:jc w:val="both"/>
              <w:rPr>
                <w:rFonts w:ascii="Times New Roman" w:eastAsia="Times New Roman" w:hAnsi="Times New Roman" w:cs="Times New Roman"/>
                <w:iCs/>
                <w:sz w:val="24"/>
                <w:szCs w:val="24"/>
                <w:lang w:eastAsia="lv-LV"/>
              </w:rPr>
            </w:pPr>
            <w:r w:rsidRPr="00236A07">
              <w:rPr>
                <w:rFonts w:ascii="Times New Roman" w:eastAsia="Times New Roman" w:hAnsi="Times New Roman" w:cs="Times New Roman"/>
                <w:iCs/>
                <w:sz w:val="24"/>
                <w:szCs w:val="24"/>
                <w:lang w:eastAsia="lv-LV"/>
              </w:rPr>
              <w:t xml:space="preserve">Ar </w:t>
            </w:r>
            <w:r w:rsidR="00877FFC">
              <w:rPr>
                <w:rFonts w:ascii="Times New Roman" w:eastAsia="Times New Roman" w:hAnsi="Times New Roman" w:cs="Times New Roman"/>
                <w:iCs/>
                <w:sz w:val="24"/>
                <w:szCs w:val="24"/>
                <w:lang w:eastAsia="lv-LV"/>
              </w:rPr>
              <w:t>R</w:t>
            </w:r>
            <w:r w:rsidRPr="00236A07">
              <w:rPr>
                <w:rFonts w:ascii="Times New Roman" w:eastAsia="Times New Roman" w:hAnsi="Times New Roman" w:cs="Times New Roman"/>
                <w:iCs/>
                <w:sz w:val="24"/>
                <w:szCs w:val="24"/>
                <w:lang w:eastAsia="lv-LV"/>
              </w:rPr>
              <w:t xml:space="preserve">īkojuma projektu  tiek apstiprināts un iekļauts IKT </w:t>
            </w:r>
            <w:proofErr w:type="spellStart"/>
            <w:r w:rsidRPr="00236A07">
              <w:rPr>
                <w:rFonts w:ascii="Times New Roman" w:eastAsia="Times New Roman" w:hAnsi="Times New Roman" w:cs="Times New Roman"/>
                <w:iCs/>
                <w:sz w:val="24"/>
                <w:szCs w:val="24"/>
                <w:lang w:eastAsia="lv-LV"/>
              </w:rPr>
              <w:t>mērķarhitektūras</w:t>
            </w:r>
            <w:proofErr w:type="spellEnd"/>
            <w:r w:rsidRPr="00236A0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55</w:t>
            </w:r>
            <w:r w:rsidRPr="00236A07">
              <w:rPr>
                <w:rFonts w:ascii="Times New Roman" w:eastAsia="Times New Roman" w:hAnsi="Times New Roman" w:cs="Times New Roman"/>
                <w:iCs/>
                <w:sz w:val="24"/>
                <w:szCs w:val="24"/>
                <w:lang w:eastAsia="lv-LV"/>
              </w:rPr>
              <w:t xml:space="preserve">.0 versijā </w:t>
            </w:r>
            <w:r w:rsidR="00396293">
              <w:rPr>
                <w:rFonts w:ascii="Times New Roman" w:eastAsia="Times New Roman" w:hAnsi="Times New Roman" w:cs="Times New Roman"/>
                <w:iCs/>
                <w:sz w:val="24"/>
                <w:szCs w:val="24"/>
                <w:lang w:eastAsia="lv-LV"/>
              </w:rPr>
              <w:t>ZM</w:t>
            </w:r>
            <w:r w:rsidR="00DE2CBC">
              <w:rPr>
                <w:rFonts w:ascii="Times New Roman" w:eastAsia="Times New Roman" w:hAnsi="Times New Roman" w:cs="Times New Roman"/>
                <w:iCs/>
                <w:sz w:val="24"/>
                <w:szCs w:val="24"/>
                <w:lang w:eastAsia="lv-LV"/>
              </w:rPr>
              <w:t xml:space="preserve"> </w:t>
            </w:r>
            <w:r w:rsidR="00A630D9">
              <w:rPr>
                <w:rFonts w:ascii="Times New Roman" w:eastAsia="Times New Roman" w:hAnsi="Times New Roman" w:cs="Times New Roman"/>
                <w:iCs/>
                <w:sz w:val="24"/>
                <w:szCs w:val="24"/>
                <w:lang w:eastAsia="lv-LV"/>
              </w:rPr>
              <w:t>P</w:t>
            </w:r>
            <w:r w:rsidRPr="00236A07">
              <w:rPr>
                <w:rFonts w:ascii="Times New Roman" w:eastAsia="Times New Roman" w:hAnsi="Times New Roman" w:cs="Times New Roman"/>
                <w:iCs/>
                <w:sz w:val="24"/>
                <w:szCs w:val="24"/>
                <w:lang w:eastAsia="lv-LV"/>
              </w:rPr>
              <w:t>rojekta apraksts</w:t>
            </w:r>
            <w:r w:rsidR="00A630D9">
              <w:rPr>
                <w:rFonts w:ascii="Times New Roman" w:eastAsia="Times New Roman" w:hAnsi="Times New Roman" w:cs="Times New Roman"/>
                <w:iCs/>
                <w:sz w:val="24"/>
                <w:szCs w:val="24"/>
                <w:lang w:eastAsia="lv-LV"/>
              </w:rPr>
              <w:t xml:space="preserve">, </w:t>
            </w:r>
            <w:r w:rsidRPr="00236A07">
              <w:rPr>
                <w:rFonts w:ascii="Times New Roman" w:eastAsia="Times New Roman" w:hAnsi="Times New Roman" w:cs="Times New Roman"/>
                <w:iCs/>
                <w:sz w:val="24"/>
                <w:szCs w:val="24"/>
                <w:lang w:eastAsia="lv-LV"/>
              </w:rPr>
              <w:t xml:space="preserve">kas tika izvērtēts atbilstoši Vides aizsardzības un reģionālās attīstības ministrijas (turpmāk – VARAM) izstrādātajai un apstiprinātajai metodikai par projektu iekļaušanu IKT </w:t>
            </w:r>
            <w:proofErr w:type="spellStart"/>
            <w:r w:rsidRPr="00236A07">
              <w:rPr>
                <w:rFonts w:ascii="Times New Roman" w:eastAsia="Times New Roman" w:hAnsi="Times New Roman" w:cs="Times New Roman"/>
                <w:iCs/>
                <w:sz w:val="24"/>
                <w:szCs w:val="24"/>
                <w:lang w:eastAsia="lv-LV"/>
              </w:rPr>
              <w:t>mērķarhitektūrā</w:t>
            </w:r>
            <w:proofErr w:type="spellEnd"/>
            <w:r w:rsidRPr="00236A07">
              <w:rPr>
                <w:rFonts w:ascii="Times New Roman" w:eastAsia="Times New Roman" w:hAnsi="Times New Roman" w:cs="Times New Roman"/>
                <w:iCs/>
                <w:sz w:val="24"/>
                <w:szCs w:val="24"/>
                <w:lang w:eastAsia="lv-LV"/>
              </w:rPr>
              <w:t xml:space="preserve">. VARAM ir atbalstījis </w:t>
            </w:r>
            <w:r w:rsidRPr="00236A07">
              <w:rPr>
                <w:rFonts w:ascii="Times New Roman" w:eastAsia="Times New Roman" w:hAnsi="Times New Roman" w:cs="Times New Roman"/>
                <w:iCs/>
                <w:sz w:val="24"/>
                <w:szCs w:val="24"/>
                <w:lang w:eastAsia="lv-LV"/>
              </w:rPr>
              <w:lastRenderedPageBreak/>
              <w:t xml:space="preserve">projekta iekļaušanu IKT </w:t>
            </w:r>
            <w:proofErr w:type="spellStart"/>
            <w:r w:rsidRPr="00236A07">
              <w:rPr>
                <w:rFonts w:ascii="Times New Roman" w:eastAsia="Times New Roman" w:hAnsi="Times New Roman" w:cs="Times New Roman"/>
                <w:iCs/>
                <w:sz w:val="24"/>
                <w:szCs w:val="24"/>
                <w:lang w:eastAsia="lv-LV"/>
              </w:rPr>
              <w:t>mērķarhitektūras</w:t>
            </w:r>
            <w:proofErr w:type="spellEnd"/>
            <w:r w:rsidRPr="00236A07">
              <w:rPr>
                <w:rFonts w:ascii="Times New Roman" w:eastAsia="Times New Roman" w:hAnsi="Times New Roman" w:cs="Times New Roman"/>
                <w:iCs/>
                <w:sz w:val="24"/>
                <w:szCs w:val="24"/>
                <w:lang w:eastAsia="lv-LV"/>
              </w:rPr>
              <w:t xml:space="preserve"> kārtējā versijā. Projekts veicina darbības programmas </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Izaugsme un nodarbinātība</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 xml:space="preserve"> specifiskā atbalsta mērķa </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 xml:space="preserve">Nodrošināt publisko datu </w:t>
            </w:r>
            <w:proofErr w:type="spellStart"/>
            <w:r w:rsidRPr="00236A07">
              <w:rPr>
                <w:rFonts w:ascii="Times New Roman" w:eastAsia="Times New Roman" w:hAnsi="Times New Roman" w:cs="Times New Roman"/>
                <w:iCs/>
                <w:sz w:val="24"/>
                <w:szCs w:val="24"/>
                <w:lang w:eastAsia="lv-LV"/>
              </w:rPr>
              <w:t>atkalizmantošanas</w:t>
            </w:r>
            <w:proofErr w:type="spellEnd"/>
            <w:r w:rsidRPr="00236A07">
              <w:rPr>
                <w:rFonts w:ascii="Times New Roman" w:eastAsia="Times New Roman" w:hAnsi="Times New Roman" w:cs="Times New Roman"/>
                <w:iCs/>
                <w:sz w:val="24"/>
                <w:szCs w:val="24"/>
                <w:lang w:eastAsia="lv-LV"/>
              </w:rPr>
              <w:t xml:space="preserve"> pieaugumu un efektīvu publiskās pārvaldes un privātā sektora mijiedarbību</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 xml:space="preserve"> 2.2.1.1. pasākumam </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Centralizētu publiskās pārvaldes IKT platformu izveide, publiskās pārvaldes procesu optimizēšana un attīstība</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 xml:space="preserve"> izvirzīto rādītāju sasniegšanu, pilnveidojot 1</w:t>
            </w:r>
            <w:r w:rsidR="00B023D1">
              <w:rPr>
                <w:rFonts w:ascii="Times New Roman" w:eastAsia="Times New Roman" w:hAnsi="Times New Roman" w:cs="Times New Roman"/>
                <w:iCs/>
                <w:sz w:val="24"/>
                <w:szCs w:val="24"/>
                <w:lang w:eastAsia="lv-LV"/>
              </w:rPr>
              <w:t>0</w:t>
            </w:r>
            <w:r w:rsidRPr="00236A07">
              <w:rPr>
                <w:rFonts w:ascii="Times New Roman" w:eastAsia="Times New Roman" w:hAnsi="Times New Roman" w:cs="Times New Roman"/>
                <w:iCs/>
                <w:sz w:val="24"/>
                <w:szCs w:val="24"/>
                <w:lang w:eastAsia="lv-LV"/>
              </w:rPr>
              <w:t xml:space="preserve"> darbības procesus, </w:t>
            </w:r>
            <w:r w:rsidR="00216863">
              <w:rPr>
                <w:rFonts w:ascii="Times New Roman" w:eastAsia="Times New Roman" w:hAnsi="Times New Roman" w:cs="Times New Roman"/>
                <w:iCs/>
                <w:sz w:val="24"/>
                <w:szCs w:val="24"/>
                <w:lang w:eastAsia="lv-LV"/>
              </w:rPr>
              <w:t>elektronizējot</w:t>
            </w:r>
            <w:r w:rsidR="006728B8">
              <w:rPr>
                <w:rFonts w:ascii="Times New Roman" w:eastAsia="Times New Roman" w:hAnsi="Times New Roman" w:cs="Times New Roman"/>
                <w:iCs/>
                <w:sz w:val="24"/>
                <w:szCs w:val="24"/>
                <w:lang w:eastAsia="lv-LV"/>
              </w:rPr>
              <w:t xml:space="preserve"> </w:t>
            </w:r>
            <w:r w:rsidR="009753F2">
              <w:rPr>
                <w:rFonts w:ascii="Times New Roman" w:eastAsia="Times New Roman" w:hAnsi="Times New Roman" w:cs="Times New Roman"/>
                <w:iCs/>
                <w:sz w:val="24"/>
                <w:szCs w:val="24"/>
                <w:lang w:eastAsia="lv-LV"/>
              </w:rPr>
              <w:t xml:space="preserve">3 pakalpojumus, </w:t>
            </w:r>
            <w:r w:rsidR="000877C9">
              <w:rPr>
                <w:rFonts w:ascii="Times New Roman" w:eastAsia="Times New Roman" w:hAnsi="Times New Roman" w:cs="Times New Roman"/>
                <w:iCs/>
                <w:sz w:val="24"/>
                <w:szCs w:val="24"/>
                <w:lang w:eastAsia="lv-LV"/>
              </w:rPr>
              <w:t>izveido</w:t>
            </w:r>
            <w:r w:rsidR="00216863">
              <w:rPr>
                <w:rFonts w:ascii="Times New Roman" w:eastAsia="Times New Roman" w:hAnsi="Times New Roman" w:cs="Times New Roman"/>
                <w:iCs/>
                <w:sz w:val="24"/>
                <w:szCs w:val="24"/>
                <w:lang w:eastAsia="lv-LV"/>
              </w:rPr>
              <w:t>jot</w:t>
            </w:r>
            <w:r w:rsidR="000877C9">
              <w:rPr>
                <w:rFonts w:ascii="Times New Roman" w:eastAsia="Times New Roman" w:hAnsi="Times New Roman" w:cs="Times New Roman"/>
                <w:iCs/>
                <w:sz w:val="24"/>
                <w:szCs w:val="24"/>
                <w:lang w:eastAsia="lv-LV"/>
              </w:rPr>
              <w:t xml:space="preserve"> 2 koplietošanas funkcionalitātes </w:t>
            </w:r>
            <w:r w:rsidR="006B6A7F">
              <w:rPr>
                <w:rFonts w:ascii="Times New Roman" w:eastAsia="Times New Roman" w:hAnsi="Times New Roman" w:cs="Times New Roman"/>
                <w:iCs/>
                <w:sz w:val="24"/>
                <w:szCs w:val="24"/>
                <w:lang w:eastAsia="lv-LV"/>
              </w:rPr>
              <w:t>z</w:t>
            </w:r>
            <w:r w:rsidR="0010180F">
              <w:rPr>
                <w:rFonts w:ascii="Times New Roman" w:eastAsia="Times New Roman" w:hAnsi="Times New Roman" w:cs="Times New Roman"/>
                <w:iCs/>
                <w:sz w:val="24"/>
                <w:szCs w:val="24"/>
                <w:lang w:eastAsia="lv-LV"/>
              </w:rPr>
              <w:t xml:space="preserve">emkopības nozares centralizētās platformas pilnveidošanas ietvaros, kā arī </w:t>
            </w:r>
            <w:r w:rsidR="00F40893">
              <w:rPr>
                <w:rFonts w:ascii="Times New Roman" w:eastAsia="Times New Roman" w:hAnsi="Times New Roman" w:cs="Times New Roman"/>
                <w:iCs/>
                <w:sz w:val="24"/>
                <w:szCs w:val="24"/>
                <w:lang w:eastAsia="lv-LV"/>
              </w:rPr>
              <w:t xml:space="preserve">atverot 7 </w:t>
            </w:r>
            <w:r w:rsidR="00E005DC">
              <w:rPr>
                <w:rFonts w:ascii="Times New Roman" w:eastAsia="Times New Roman" w:hAnsi="Times New Roman" w:cs="Times New Roman"/>
                <w:iCs/>
                <w:sz w:val="24"/>
                <w:szCs w:val="24"/>
                <w:lang w:eastAsia="lv-LV"/>
              </w:rPr>
              <w:t xml:space="preserve">datu </w:t>
            </w:r>
            <w:r w:rsidR="00BB2EA8">
              <w:rPr>
                <w:rFonts w:ascii="Times New Roman" w:eastAsia="Times New Roman" w:hAnsi="Times New Roman" w:cs="Times New Roman"/>
                <w:iCs/>
                <w:sz w:val="24"/>
                <w:szCs w:val="24"/>
                <w:lang w:eastAsia="lv-LV"/>
              </w:rPr>
              <w:t>kopas.</w:t>
            </w:r>
          </w:p>
          <w:p w14:paraId="4F78E920" w14:textId="659A1011" w:rsidR="00CD4D92" w:rsidRDefault="00CA67EC" w:rsidP="00A62066">
            <w:pPr>
              <w:spacing w:after="0" w:line="240" w:lineRule="auto"/>
              <w:jc w:val="both"/>
              <w:rPr>
                <w:rFonts w:ascii="Times New Roman" w:eastAsia="Times New Roman" w:hAnsi="Times New Roman" w:cs="Times New Roman"/>
                <w:iCs/>
                <w:sz w:val="24"/>
                <w:szCs w:val="24"/>
                <w:lang w:eastAsia="lv-LV"/>
              </w:rPr>
            </w:pPr>
            <w:r w:rsidRPr="00CA67EC">
              <w:rPr>
                <w:rFonts w:ascii="Times New Roman" w:eastAsia="Times New Roman" w:hAnsi="Times New Roman" w:cs="Times New Roman"/>
                <w:iCs/>
                <w:sz w:val="24"/>
                <w:szCs w:val="24"/>
                <w:lang w:eastAsia="lv-LV"/>
              </w:rPr>
              <w:t xml:space="preserve">Projekts ir tiešs </w:t>
            </w:r>
            <w:r w:rsidR="00337A2F">
              <w:rPr>
                <w:rFonts w:ascii="Times New Roman" w:eastAsia="Times New Roman" w:hAnsi="Times New Roman" w:cs="Times New Roman"/>
                <w:iCs/>
                <w:sz w:val="24"/>
                <w:szCs w:val="24"/>
                <w:lang w:eastAsia="lv-LV"/>
              </w:rPr>
              <w:t>p</w:t>
            </w:r>
            <w:r w:rsidR="00A32E1F">
              <w:rPr>
                <w:rFonts w:ascii="Times New Roman" w:eastAsia="Times New Roman" w:hAnsi="Times New Roman" w:cs="Times New Roman"/>
                <w:iCs/>
                <w:sz w:val="24"/>
                <w:szCs w:val="24"/>
                <w:lang w:eastAsia="lv-LV"/>
              </w:rPr>
              <w:t xml:space="preserve">rojekta </w:t>
            </w:r>
            <w:r w:rsidR="00396293">
              <w:rPr>
                <w:rFonts w:ascii="Times New Roman" w:eastAsia="Times New Roman" w:hAnsi="Times New Roman" w:cs="Times New Roman"/>
                <w:iCs/>
                <w:sz w:val="24"/>
                <w:szCs w:val="24"/>
                <w:lang w:eastAsia="lv-LV"/>
              </w:rPr>
              <w:t>ZM</w:t>
            </w:r>
            <w:r w:rsidR="00337A2F" w:rsidRPr="00337A2F">
              <w:rPr>
                <w:rFonts w:ascii="Times New Roman" w:eastAsia="Times New Roman" w:hAnsi="Times New Roman" w:cs="Times New Roman"/>
                <w:iCs/>
                <w:sz w:val="24"/>
                <w:szCs w:val="24"/>
                <w:lang w:eastAsia="lv-LV"/>
              </w:rPr>
              <w:t xml:space="preserve"> un tās pakļautībā esošo iestāžu informācijas un komunikācijas tehnoloģiju attīstība </w:t>
            </w:r>
            <w:r w:rsidRPr="00CA67EC">
              <w:rPr>
                <w:rFonts w:ascii="Times New Roman" w:eastAsia="Times New Roman" w:hAnsi="Times New Roman" w:cs="Times New Roman"/>
                <w:iCs/>
                <w:sz w:val="24"/>
                <w:szCs w:val="24"/>
                <w:lang w:eastAsia="lv-LV"/>
              </w:rPr>
              <w:t>1. kārta turpinājums</w:t>
            </w:r>
            <w:r w:rsidR="00A32E1F">
              <w:rPr>
                <w:rFonts w:ascii="Times New Roman" w:eastAsia="Times New Roman" w:hAnsi="Times New Roman" w:cs="Times New Roman"/>
                <w:iCs/>
                <w:sz w:val="24"/>
                <w:szCs w:val="24"/>
                <w:lang w:eastAsia="lv-LV"/>
              </w:rPr>
              <w:t xml:space="preserve"> un</w:t>
            </w:r>
            <w:r w:rsidRPr="00CA67EC">
              <w:rPr>
                <w:rFonts w:ascii="Times New Roman" w:eastAsia="Times New Roman" w:hAnsi="Times New Roman" w:cs="Times New Roman"/>
                <w:iCs/>
                <w:sz w:val="24"/>
                <w:szCs w:val="24"/>
                <w:lang w:eastAsia="lv-LV"/>
              </w:rPr>
              <w:t xml:space="preserve"> tas vērsts uz </w:t>
            </w:r>
            <w:r w:rsidR="00396293">
              <w:rPr>
                <w:rFonts w:ascii="Times New Roman" w:eastAsia="Times New Roman" w:hAnsi="Times New Roman" w:cs="Times New Roman"/>
                <w:iCs/>
                <w:sz w:val="24"/>
                <w:szCs w:val="24"/>
                <w:lang w:eastAsia="lv-LV"/>
              </w:rPr>
              <w:t>z</w:t>
            </w:r>
            <w:r w:rsidRPr="00CA67EC">
              <w:rPr>
                <w:rFonts w:ascii="Times New Roman" w:eastAsia="Times New Roman" w:hAnsi="Times New Roman" w:cs="Times New Roman"/>
                <w:iCs/>
                <w:sz w:val="24"/>
                <w:szCs w:val="24"/>
                <w:lang w:eastAsia="lv-LV"/>
              </w:rPr>
              <w:t>emkopības nozares iestāžu darbības efektivitātes palielināšanu</w:t>
            </w:r>
            <w:r w:rsidR="00A32E1F">
              <w:rPr>
                <w:rFonts w:ascii="Times New Roman" w:eastAsia="Times New Roman" w:hAnsi="Times New Roman" w:cs="Times New Roman"/>
                <w:iCs/>
                <w:sz w:val="24"/>
                <w:szCs w:val="24"/>
                <w:lang w:eastAsia="lv-LV"/>
              </w:rPr>
              <w:t>.</w:t>
            </w:r>
          </w:p>
          <w:p w14:paraId="5E43152C" w14:textId="77777777" w:rsidR="00A32E1F" w:rsidRDefault="002139CE" w:rsidP="00A6206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Projektam ir izvirzīti šādi mērķi:</w:t>
            </w:r>
          </w:p>
          <w:p w14:paraId="36DE23B1" w14:textId="7F3F7AC7" w:rsidR="002139CE" w:rsidRDefault="0032137F" w:rsidP="0032137F">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32137F">
              <w:rPr>
                <w:rFonts w:ascii="Times New Roman" w:eastAsia="Times New Roman" w:hAnsi="Times New Roman" w:cs="Times New Roman"/>
                <w:iCs/>
                <w:sz w:val="24"/>
                <w:szCs w:val="24"/>
                <w:lang w:eastAsia="lv-LV"/>
              </w:rPr>
              <w:t xml:space="preserve">Vienotas risku analīzes un pārvaldības sistēmas ieviešana </w:t>
            </w:r>
            <w:r w:rsidR="00396293">
              <w:rPr>
                <w:rFonts w:ascii="Times New Roman" w:eastAsia="Times New Roman" w:hAnsi="Times New Roman" w:cs="Times New Roman"/>
                <w:iCs/>
                <w:sz w:val="24"/>
                <w:szCs w:val="24"/>
                <w:lang w:eastAsia="lv-LV"/>
              </w:rPr>
              <w:t>z</w:t>
            </w:r>
            <w:r w:rsidRPr="0032137F">
              <w:rPr>
                <w:rFonts w:ascii="Times New Roman" w:eastAsia="Times New Roman" w:hAnsi="Times New Roman" w:cs="Times New Roman"/>
                <w:iCs/>
                <w:sz w:val="24"/>
                <w:szCs w:val="24"/>
                <w:lang w:eastAsia="lv-LV"/>
              </w:rPr>
              <w:t xml:space="preserve">emkopības nozarē, izveidojot vienotu informācijas tehnoloģiju risinājumu </w:t>
            </w:r>
            <w:r w:rsidR="00396293">
              <w:rPr>
                <w:rFonts w:ascii="Times New Roman" w:eastAsia="Times New Roman" w:hAnsi="Times New Roman" w:cs="Times New Roman"/>
                <w:iCs/>
                <w:sz w:val="24"/>
                <w:szCs w:val="24"/>
                <w:lang w:eastAsia="lv-LV"/>
              </w:rPr>
              <w:t>z</w:t>
            </w:r>
            <w:r w:rsidRPr="0032137F">
              <w:rPr>
                <w:rFonts w:ascii="Times New Roman" w:eastAsia="Times New Roman" w:hAnsi="Times New Roman" w:cs="Times New Roman"/>
                <w:iCs/>
                <w:sz w:val="24"/>
                <w:szCs w:val="24"/>
                <w:lang w:eastAsia="lv-LV"/>
              </w:rPr>
              <w:t>emkopības nozares klientu risku reitinga uzturēšanai, risku analīzei un to mazināšanas procesu plānošanai.</w:t>
            </w:r>
          </w:p>
          <w:p w14:paraId="397B2F67" w14:textId="77777777" w:rsidR="0032137F" w:rsidRDefault="0099063E" w:rsidP="0032137F">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99063E">
              <w:rPr>
                <w:rFonts w:ascii="Times New Roman" w:eastAsia="Times New Roman" w:hAnsi="Times New Roman" w:cs="Times New Roman"/>
                <w:iCs/>
                <w:sz w:val="24"/>
                <w:szCs w:val="24"/>
                <w:lang w:eastAsia="lv-LV"/>
              </w:rPr>
              <w:t>Zemkopības nozares elektronisko pakalpojumu attīstība. Pakalpojumu nodrošināšanas procesu pilnveide un jaunu pieprasītu pakalpojumu elektronizēšana (jauni e-pakalpojumi).</w:t>
            </w:r>
          </w:p>
          <w:p w14:paraId="6350C9C4" w14:textId="77777777" w:rsidR="0099063E" w:rsidRDefault="00761BDC" w:rsidP="0032137F">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761BDC">
              <w:rPr>
                <w:rFonts w:ascii="Times New Roman" w:eastAsia="Times New Roman" w:hAnsi="Times New Roman" w:cs="Times New Roman"/>
                <w:iCs/>
                <w:sz w:val="24"/>
                <w:szCs w:val="24"/>
                <w:lang w:eastAsia="lv-LV"/>
              </w:rPr>
              <w:t xml:space="preserve">Zemkopības nozares datu semantiskās savietojamības uzlabošana. Plašāks pielietojums nozares datu </w:t>
            </w:r>
            <w:proofErr w:type="spellStart"/>
            <w:r w:rsidRPr="00761BDC">
              <w:rPr>
                <w:rFonts w:ascii="Times New Roman" w:eastAsia="Times New Roman" w:hAnsi="Times New Roman" w:cs="Times New Roman"/>
                <w:iCs/>
                <w:sz w:val="24"/>
                <w:szCs w:val="24"/>
                <w:lang w:eastAsia="lv-LV"/>
              </w:rPr>
              <w:t>atkalizmantošanai</w:t>
            </w:r>
            <w:proofErr w:type="spellEnd"/>
            <w:r w:rsidRPr="00761BDC">
              <w:rPr>
                <w:rFonts w:ascii="Times New Roman" w:eastAsia="Times New Roman" w:hAnsi="Times New Roman" w:cs="Times New Roman"/>
                <w:iCs/>
                <w:sz w:val="24"/>
                <w:szCs w:val="24"/>
                <w:lang w:eastAsia="lv-LV"/>
              </w:rPr>
              <w:t xml:space="preserve">. Darbinieku patērētā laika samazināšana, elektronizējot </w:t>
            </w:r>
            <w:proofErr w:type="spellStart"/>
            <w:r w:rsidRPr="00761BDC">
              <w:rPr>
                <w:rFonts w:ascii="Times New Roman" w:eastAsia="Times New Roman" w:hAnsi="Times New Roman" w:cs="Times New Roman"/>
                <w:iCs/>
                <w:sz w:val="24"/>
                <w:szCs w:val="24"/>
                <w:lang w:eastAsia="lv-LV"/>
              </w:rPr>
              <w:t>starpiestāžu</w:t>
            </w:r>
            <w:proofErr w:type="spellEnd"/>
            <w:r w:rsidRPr="00761BDC">
              <w:rPr>
                <w:rFonts w:ascii="Times New Roman" w:eastAsia="Times New Roman" w:hAnsi="Times New Roman" w:cs="Times New Roman"/>
                <w:iCs/>
                <w:sz w:val="24"/>
                <w:szCs w:val="24"/>
                <w:lang w:eastAsia="lv-LV"/>
              </w:rPr>
              <w:t xml:space="preserve"> datu apmaiņu un nozares politikas datu apkopošanas un analīzes procesus.</w:t>
            </w:r>
          </w:p>
          <w:p w14:paraId="36003738" w14:textId="7AA99718" w:rsidR="00715D8E" w:rsidRDefault="00E97CC8" w:rsidP="00715D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ietvaros </w:t>
            </w:r>
            <w:r w:rsidR="00396293">
              <w:rPr>
                <w:rFonts w:ascii="Times New Roman" w:eastAsia="Times New Roman" w:hAnsi="Times New Roman" w:cs="Times New Roman"/>
                <w:iCs/>
                <w:sz w:val="24"/>
                <w:szCs w:val="24"/>
                <w:lang w:eastAsia="lv-LV"/>
              </w:rPr>
              <w:t>z</w:t>
            </w:r>
            <w:r>
              <w:rPr>
                <w:rFonts w:ascii="Times New Roman" w:eastAsia="Times New Roman" w:hAnsi="Times New Roman" w:cs="Times New Roman"/>
                <w:iCs/>
                <w:sz w:val="24"/>
                <w:szCs w:val="24"/>
                <w:lang w:eastAsia="lv-LV"/>
              </w:rPr>
              <w:t xml:space="preserve">emkopības nozarē tiks ieviesta </w:t>
            </w:r>
            <w:r w:rsidR="00196AAF">
              <w:rPr>
                <w:rFonts w:ascii="Times New Roman" w:eastAsia="Times New Roman" w:hAnsi="Times New Roman" w:cs="Times New Roman"/>
                <w:iCs/>
                <w:sz w:val="24"/>
                <w:szCs w:val="24"/>
                <w:lang w:eastAsia="lv-LV"/>
              </w:rPr>
              <w:t>vienota risku analīzes un pārvaldības  sistēma</w:t>
            </w:r>
            <w:r w:rsidR="000E534D">
              <w:rPr>
                <w:rFonts w:ascii="Times New Roman" w:eastAsia="Times New Roman" w:hAnsi="Times New Roman" w:cs="Times New Roman"/>
                <w:iCs/>
                <w:sz w:val="24"/>
                <w:szCs w:val="24"/>
                <w:lang w:eastAsia="lv-LV"/>
              </w:rPr>
              <w:t xml:space="preserve">. </w:t>
            </w:r>
            <w:r w:rsidR="00536B2C">
              <w:rPr>
                <w:rFonts w:ascii="Times New Roman" w:eastAsia="Times New Roman" w:hAnsi="Times New Roman" w:cs="Times New Roman"/>
                <w:iCs/>
                <w:sz w:val="24"/>
                <w:szCs w:val="24"/>
                <w:lang w:eastAsia="lv-LV"/>
              </w:rPr>
              <w:t xml:space="preserve">Tiks </w:t>
            </w:r>
            <w:r w:rsidR="00F379CB" w:rsidRPr="00F379CB">
              <w:rPr>
                <w:rFonts w:ascii="Times New Roman" w:eastAsia="Times New Roman" w:hAnsi="Times New Roman" w:cs="Times New Roman"/>
                <w:iCs/>
                <w:sz w:val="24"/>
                <w:szCs w:val="24"/>
                <w:lang w:eastAsia="lv-LV"/>
              </w:rPr>
              <w:t>uzlabot</w:t>
            </w:r>
            <w:r w:rsidR="00F379CB">
              <w:rPr>
                <w:rFonts w:ascii="Times New Roman" w:eastAsia="Times New Roman" w:hAnsi="Times New Roman" w:cs="Times New Roman"/>
                <w:iCs/>
                <w:sz w:val="24"/>
                <w:szCs w:val="24"/>
                <w:lang w:eastAsia="lv-LV"/>
              </w:rPr>
              <w:t>i</w:t>
            </w:r>
            <w:r w:rsidR="00F379CB" w:rsidRPr="00F379CB">
              <w:rPr>
                <w:rFonts w:ascii="Times New Roman" w:eastAsia="Times New Roman" w:hAnsi="Times New Roman" w:cs="Times New Roman"/>
                <w:iCs/>
                <w:sz w:val="24"/>
                <w:szCs w:val="24"/>
                <w:lang w:eastAsia="lv-LV"/>
              </w:rPr>
              <w:t xml:space="preserve"> </w:t>
            </w:r>
            <w:r w:rsidR="00396293">
              <w:rPr>
                <w:rFonts w:ascii="Times New Roman" w:eastAsia="Times New Roman" w:hAnsi="Times New Roman" w:cs="Times New Roman"/>
                <w:iCs/>
                <w:sz w:val="24"/>
                <w:szCs w:val="24"/>
                <w:lang w:eastAsia="lv-LV"/>
              </w:rPr>
              <w:t>z</w:t>
            </w:r>
            <w:r w:rsidR="00F379CB" w:rsidRPr="00F379CB">
              <w:rPr>
                <w:rFonts w:ascii="Times New Roman" w:eastAsia="Times New Roman" w:hAnsi="Times New Roman" w:cs="Times New Roman"/>
                <w:iCs/>
                <w:sz w:val="24"/>
                <w:szCs w:val="24"/>
                <w:lang w:eastAsia="lv-LV"/>
              </w:rPr>
              <w:t>emkopības nozares informācijas tehnoloģiju risinājum</w:t>
            </w:r>
            <w:r w:rsidR="00F379CB">
              <w:rPr>
                <w:rFonts w:ascii="Times New Roman" w:eastAsia="Times New Roman" w:hAnsi="Times New Roman" w:cs="Times New Roman"/>
                <w:iCs/>
                <w:sz w:val="24"/>
                <w:szCs w:val="24"/>
                <w:lang w:eastAsia="lv-LV"/>
              </w:rPr>
              <w:t>i</w:t>
            </w:r>
            <w:r w:rsidR="00F379CB" w:rsidRPr="00F379CB">
              <w:rPr>
                <w:rFonts w:ascii="Times New Roman" w:eastAsia="Times New Roman" w:hAnsi="Times New Roman" w:cs="Times New Roman"/>
                <w:iCs/>
                <w:sz w:val="24"/>
                <w:szCs w:val="24"/>
                <w:lang w:eastAsia="lv-LV"/>
              </w:rPr>
              <w:t xml:space="preserve"> datu semantiskajai savietojamībai, ievie</w:t>
            </w:r>
            <w:r w:rsidR="00F379CB">
              <w:rPr>
                <w:rFonts w:ascii="Times New Roman" w:eastAsia="Times New Roman" w:hAnsi="Times New Roman" w:cs="Times New Roman"/>
                <w:iCs/>
                <w:sz w:val="24"/>
                <w:szCs w:val="24"/>
                <w:lang w:eastAsia="lv-LV"/>
              </w:rPr>
              <w:t>šot</w:t>
            </w:r>
            <w:r w:rsidR="00F379CB" w:rsidRPr="00F379CB">
              <w:rPr>
                <w:rFonts w:ascii="Times New Roman" w:eastAsia="Times New Roman" w:hAnsi="Times New Roman" w:cs="Times New Roman"/>
                <w:iCs/>
                <w:sz w:val="24"/>
                <w:szCs w:val="24"/>
                <w:lang w:eastAsia="lv-LV"/>
              </w:rPr>
              <w:t xml:space="preserve"> vienotus klasifikatorus nozares pamatdarbības informācijas sistēmās un nodrošin</w:t>
            </w:r>
            <w:r w:rsidR="00F379CB">
              <w:rPr>
                <w:rFonts w:ascii="Times New Roman" w:eastAsia="Times New Roman" w:hAnsi="Times New Roman" w:cs="Times New Roman"/>
                <w:iCs/>
                <w:sz w:val="24"/>
                <w:szCs w:val="24"/>
                <w:lang w:eastAsia="lv-LV"/>
              </w:rPr>
              <w:t>o</w:t>
            </w:r>
            <w:r w:rsidR="00F379CB" w:rsidRPr="00F379CB">
              <w:rPr>
                <w:rFonts w:ascii="Times New Roman" w:eastAsia="Times New Roman" w:hAnsi="Times New Roman" w:cs="Times New Roman"/>
                <w:iCs/>
                <w:sz w:val="24"/>
                <w:szCs w:val="24"/>
                <w:lang w:eastAsia="lv-LV"/>
              </w:rPr>
              <w:t>t plašāk</w:t>
            </w:r>
            <w:r w:rsidR="00F379CB">
              <w:rPr>
                <w:rFonts w:ascii="Times New Roman" w:eastAsia="Times New Roman" w:hAnsi="Times New Roman" w:cs="Times New Roman"/>
                <w:iCs/>
                <w:sz w:val="24"/>
                <w:szCs w:val="24"/>
                <w:lang w:eastAsia="lv-LV"/>
              </w:rPr>
              <w:t>as</w:t>
            </w:r>
            <w:r w:rsidR="00F379CB" w:rsidRPr="00F379CB">
              <w:rPr>
                <w:rFonts w:ascii="Times New Roman" w:eastAsia="Times New Roman" w:hAnsi="Times New Roman" w:cs="Times New Roman"/>
                <w:iCs/>
                <w:sz w:val="24"/>
                <w:szCs w:val="24"/>
                <w:lang w:eastAsia="lv-LV"/>
              </w:rPr>
              <w:t xml:space="preserve"> pielietojumu datu </w:t>
            </w:r>
            <w:proofErr w:type="spellStart"/>
            <w:r w:rsidR="00F379CB" w:rsidRPr="00F379CB">
              <w:rPr>
                <w:rFonts w:ascii="Times New Roman" w:eastAsia="Times New Roman" w:hAnsi="Times New Roman" w:cs="Times New Roman"/>
                <w:iCs/>
                <w:sz w:val="24"/>
                <w:szCs w:val="24"/>
                <w:lang w:eastAsia="lv-LV"/>
              </w:rPr>
              <w:t>atkalizmantošanas</w:t>
            </w:r>
            <w:proofErr w:type="spellEnd"/>
            <w:r w:rsidR="00F379CB" w:rsidRPr="00F379CB">
              <w:rPr>
                <w:rFonts w:ascii="Times New Roman" w:eastAsia="Times New Roman" w:hAnsi="Times New Roman" w:cs="Times New Roman"/>
                <w:iCs/>
                <w:sz w:val="24"/>
                <w:szCs w:val="24"/>
                <w:lang w:eastAsia="lv-LV"/>
              </w:rPr>
              <w:t xml:space="preserve"> iespēj</w:t>
            </w:r>
            <w:r w:rsidR="00F379CB">
              <w:rPr>
                <w:rFonts w:ascii="Times New Roman" w:eastAsia="Times New Roman" w:hAnsi="Times New Roman" w:cs="Times New Roman"/>
                <w:iCs/>
                <w:sz w:val="24"/>
                <w:szCs w:val="24"/>
                <w:lang w:eastAsia="lv-LV"/>
              </w:rPr>
              <w:t xml:space="preserve">as. </w:t>
            </w:r>
            <w:r w:rsidR="00544497">
              <w:rPr>
                <w:rFonts w:ascii="Times New Roman" w:eastAsia="Times New Roman" w:hAnsi="Times New Roman" w:cs="Times New Roman"/>
                <w:iCs/>
                <w:sz w:val="24"/>
                <w:szCs w:val="24"/>
                <w:lang w:eastAsia="lv-LV"/>
              </w:rPr>
              <w:t>Projektā tiks elektronizēti 3 pakalpojumi</w:t>
            </w:r>
            <w:r w:rsidR="00F86DFD">
              <w:rPr>
                <w:rFonts w:ascii="Times New Roman" w:eastAsia="Times New Roman" w:hAnsi="Times New Roman" w:cs="Times New Roman"/>
                <w:iCs/>
                <w:sz w:val="24"/>
                <w:szCs w:val="24"/>
                <w:lang w:eastAsia="lv-LV"/>
              </w:rPr>
              <w:t xml:space="preserve"> un pilnveidoti 10 nozares (t.sk. starpnozaru) darbības procesi.</w:t>
            </w:r>
            <w:r w:rsidR="00083784">
              <w:rPr>
                <w:rFonts w:ascii="Times New Roman" w:eastAsia="Times New Roman" w:hAnsi="Times New Roman" w:cs="Times New Roman"/>
                <w:iCs/>
                <w:sz w:val="24"/>
                <w:szCs w:val="24"/>
                <w:lang w:eastAsia="lv-LV"/>
              </w:rPr>
              <w:t xml:space="preserve"> Zemkopības nozares koplietošanas </w:t>
            </w:r>
            <w:r w:rsidR="00F70F39">
              <w:rPr>
                <w:rFonts w:ascii="Times New Roman" w:eastAsia="Times New Roman" w:hAnsi="Times New Roman" w:cs="Times New Roman"/>
                <w:iCs/>
                <w:sz w:val="24"/>
                <w:szCs w:val="24"/>
                <w:lang w:eastAsia="lv-LV"/>
              </w:rPr>
              <w:t>IKT platform</w:t>
            </w:r>
            <w:r w:rsidR="00D13E16">
              <w:rPr>
                <w:rFonts w:ascii="Times New Roman" w:eastAsia="Times New Roman" w:hAnsi="Times New Roman" w:cs="Times New Roman"/>
                <w:iCs/>
                <w:sz w:val="24"/>
                <w:szCs w:val="24"/>
                <w:lang w:eastAsia="lv-LV"/>
              </w:rPr>
              <w:t>a</w:t>
            </w:r>
            <w:r w:rsidR="00F70F39">
              <w:rPr>
                <w:rFonts w:ascii="Times New Roman" w:eastAsia="Times New Roman" w:hAnsi="Times New Roman" w:cs="Times New Roman"/>
                <w:iCs/>
                <w:sz w:val="24"/>
                <w:szCs w:val="24"/>
                <w:lang w:eastAsia="lv-LV"/>
              </w:rPr>
              <w:t xml:space="preserve"> tiks papildināta ar 2 koplietošanas funkcionalitātēm. </w:t>
            </w:r>
            <w:r w:rsidR="00704EEA">
              <w:rPr>
                <w:rFonts w:ascii="Times New Roman" w:eastAsia="Times New Roman" w:hAnsi="Times New Roman" w:cs="Times New Roman"/>
                <w:iCs/>
                <w:sz w:val="24"/>
                <w:szCs w:val="24"/>
                <w:lang w:eastAsia="lv-LV"/>
              </w:rPr>
              <w:t xml:space="preserve">Tiks </w:t>
            </w:r>
            <w:r w:rsidR="00D13E16" w:rsidRPr="00D13E16">
              <w:rPr>
                <w:rFonts w:ascii="Times New Roman" w:eastAsia="Times New Roman" w:hAnsi="Times New Roman" w:cs="Times New Roman"/>
                <w:iCs/>
                <w:sz w:val="24"/>
                <w:szCs w:val="24"/>
                <w:lang w:eastAsia="lv-LV"/>
              </w:rPr>
              <w:t>izveidot</w:t>
            </w:r>
            <w:r w:rsidR="00704EEA">
              <w:rPr>
                <w:rFonts w:ascii="Times New Roman" w:eastAsia="Times New Roman" w:hAnsi="Times New Roman" w:cs="Times New Roman"/>
                <w:iCs/>
                <w:sz w:val="24"/>
                <w:szCs w:val="24"/>
                <w:lang w:eastAsia="lv-LV"/>
              </w:rPr>
              <w:t>s</w:t>
            </w:r>
            <w:r w:rsidR="00D13E16" w:rsidRPr="00D13E16">
              <w:rPr>
                <w:rFonts w:ascii="Times New Roman" w:eastAsia="Times New Roman" w:hAnsi="Times New Roman" w:cs="Times New Roman"/>
                <w:iCs/>
                <w:sz w:val="24"/>
                <w:szCs w:val="24"/>
                <w:lang w:eastAsia="lv-LV"/>
              </w:rPr>
              <w:t xml:space="preserve"> </w:t>
            </w:r>
            <w:r w:rsidR="00396293">
              <w:rPr>
                <w:rFonts w:ascii="Times New Roman" w:eastAsia="Times New Roman" w:hAnsi="Times New Roman" w:cs="Times New Roman"/>
                <w:iCs/>
                <w:sz w:val="24"/>
                <w:szCs w:val="24"/>
                <w:lang w:eastAsia="lv-LV"/>
              </w:rPr>
              <w:t>z</w:t>
            </w:r>
            <w:r w:rsidR="00D13E16" w:rsidRPr="00D13E16">
              <w:rPr>
                <w:rFonts w:ascii="Times New Roman" w:eastAsia="Times New Roman" w:hAnsi="Times New Roman" w:cs="Times New Roman"/>
                <w:iCs/>
                <w:sz w:val="24"/>
                <w:szCs w:val="24"/>
                <w:lang w:eastAsia="lv-LV"/>
              </w:rPr>
              <w:t>emkopības nozares datu iesniegšanas, apkopošanas un analīzes risinājum</w:t>
            </w:r>
            <w:r w:rsidR="00704EEA">
              <w:rPr>
                <w:rFonts w:ascii="Times New Roman" w:eastAsia="Times New Roman" w:hAnsi="Times New Roman" w:cs="Times New Roman"/>
                <w:iCs/>
                <w:sz w:val="24"/>
                <w:szCs w:val="24"/>
                <w:lang w:eastAsia="lv-LV"/>
              </w:rPr>
              <w:t>s</w:t>
            </w:r>
            <w:r w:rsidR="00D13E16" w:rsidRPr="00D13E16">
              <w:rPr>
                <w:rFonts w:ascii="Times New Roman" w:eastAsia="Times New Roman" w:hAnsi="Times New Roman" w:cs="Times New Roman"/>
                <w:iCs/>
                <w:sz w:val="24"/>
                <w:szCs w:val="24"/>
                <w:lang w:eastAsia="lv-LV"/>
              </w:rPr>
              <w:t xml:space="preserve"> (nozares pārvaldības, statistikas un </w:t>
            </w:r>
            <w:r w:rsidR="00704EEA">
              <w:rPr>
                <w:rFonts w:ascii="Times New Roman" w:eastAsia="Times New Roman" w:hAnsi="Times New Roman" w:cs="Times New Roman"/>
                <w:iCs/>
                <w:sz w:val="24"/>
                <w:szCs w:val="24"/>
                <w:lang w:eastAsia="lv-LV"/>
              </w:rPr>
              <w:t>Eiropas Savienības</w:t>
            </w:r>
            <w:r w:rsidR="00D13E16" w:rsidRPr="00D13E16">
              <w:rPr>
                <w:rFonts w:ascii="Times New Roman" w:eastAsia="Times New Roman" w:hAnsi="Times New Roman" w:cs="Times New Roman"/>
                <w:iCs/>
                <w:sz w:val="24"/>
                <w:szCs w:val="24"/>
                <w:lang w:eastAsia="lv-LV"/>
              </w:rPr>
              <w:t xml:space="preserve"> vajadzībām)</w:t>
            </w:r>
            <w:r w:rsidR="00704EEA">
              <w:rPr>
                <w:rFonts w:ascii="Times New Roman" w:eastAsia="Times New Roman" w:hAnsi="Times New Roman" w:cs="Times New Roman"/>
                <w:iCs/>
                <w:sz w:val="24"/>
                <w:szCs w:val="24"/>
                <w:lang w:eastAsia="lv-LV"/>
              </w:rPr>
              <w:t>.</w:t>
            </w:r>
          </w:p>
          <w:p w14:paraId="6E98E435" w14:textId="00F9A040" w:rsidR="00544497" w:rsidRPr="00715D8E" w:rsidRDefault="00DC4F98" w:rsidP="00715D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Projekts tiks īstenots </w:t>
            </w:r>
            <w:r w:rsidR="007118E5">
              <w:rPr>
                <w:rFonts w:ascii="Times New Roman" w:eastAsia="Times New Roman" w:hAnsi="Times New Roman" w:cs="Times New Roman"/>
                <w:iCs/>
                <w:sz w:val="24"/>
                <w:szCs w:val="24"/>
                <w:lang w:eastAsia="lv-LV"/>
              </w:rPr>
              <w:t>24 mēnešu laikā.</w:t>
            </w:r>
          </w:p>
        </w:tc>
      </w:tr>
      <w:tr w:rsidR="00FB6912" w:rsidRPr="00FB6912" w14:paraId="18ED4F7A"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0A8BD7"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8A39A3C"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760D58D" w14:textId="7E79645A" w:rsidR="000E6D65" w:rsidRPr="000E614B" w:rsidRDefault="000E6D65" w:rsidP="000E6D65">
            <w:pPr>
              <w:spacing w:after="0" w:line="240" w:lineRule="auto"/>
              <w:rPr>
                <w:rFonts w:ascii="Times New Roman" w:eastAsia="Times New Roman" w:hAnsi="Times New Roman" w:cs="Times New Roman"/>
                <w:iCs/>
                <w:sz w:val="24"/>
                <w:szCs w:val="24"/>
                <w:highlight w:val="yellow"/>
                <w:lang w:eastAsia="lv-LV"/>
              </w:rPr>
            </w:pPr>
          </w:p>
        </w:tc>
      </w:tr>
      <w:tr w:rsidR="00FB6912" w:rsidRPr="00FB6912" w14:paraId="2A9991C5"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0EB936"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6E427CE"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D7E5D9" w14:textId="77777777" w:rsidR="000E6D65" w:rsidRPr="00FB6912" w:rsidRDefault="00E94E40" w:rsidP="000E6D65">
            <w:pPr>
              <w:spacing w:after="0" w:line="240" w:lineRule="auto"/>
              <w:rPr>
                <w:rFonts w:ascii="Times New Roman" w:eastAsia="Times New Roman" w:hAnsi="Times New Roman" w:cs="Times New Roman"/>
                <w:iCs/>
                <w:sz w:val="24"/>
                <w:szCs w:val="24"/>
                <w:lang w:eastAsia="lv-LV"/>
              </w:rPr>
            </w:pPr>
            <w:r w:rsidRPr="00E94E40">
              <w:rPr>
                <w:rFonts w:ascii="Times New Roman" w:eastAsia="Times New Roman" w:hAnsi="Times New Roman" w:cs="Times New Roman"/>
                <w:iCs/>
                <w:sz w:val="24"/>
                <w:szCs w:val="24"/>
                <w:lang w:eastAsia="lv-LV"/>
              </w:rPr>
              <w:t>Nav</w:t>
            </w:r>
          </w:p>
        </w:tc>
      </w:tr>
    </w:tbl>
    <w:p w14:paraId="607A0789"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7A882F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7FEBDC"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6912" w:rsidRPr="00FB6912" w14:paraId="3E18B2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985C73"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1F98B2"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Sabiedrības </w:t>
            </w:r>
            <w:proofErr w:type="spellStart"/>
            <w:r w:rsidRPr="00FB6912">
              <w:rPr>
                <w:rFonts w:ascii="Times New Roman" w:eastAsia="Times New Roman" w:hAnsi="Times New Roman" w:cs="Times New Roman"/>
                <w:iCs/>
                <w:sz w:val="24"/>
                <w:szCs w:val="24"/>
                <w:lang w:eastAsia="lv-LV"/>
              </w:rPr>
              <w:t>mērķgrupas</w:t>
            </w:r>
            <w:proofErr w:type="spellEnd"/>
            <w:r w:rsidRPr="00FB6912">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431B43D" w14:textId="27C6A9F7" w:rsidR="00693616" w:rsidRPr="00693616" w:rsidRDefault="00396293" w:rsidP="0023147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ZM</w:t>
            </w:r>
            <w:r w:rsidR="00FA71A5">
              <w:rPr>
                <w:rFonts w:ascii="Times New Roman" w:eastAsia="Times New Roman" w:hAnsi="Times New Roman" w:cs="Times New Roman"/>
                <w:iCs/>
                <w:sz w:val="24"/>
                <w:szCs w:val="24"/>
                <w:lang w:eastAsia="lv-LV"/>
              </w:rPr>
              <w:t xml:space="preserve"> </w:t>
            </w:r>
            <w:r w:rsidR="00693616" w:rsidRPr="00693616">
              <w:rPr>
                <w:rFonts w:ascii="Times New Roman" w:eastAsia="Times New Roman" w:hAnsi="Times New Roman" w:cs="Times New Roman"/>
                <w:iCs/>
                <w:sz w:val="24"/>
                <w:szCs w:val="24"/>
                <w:lang w:eastAsia="lv-LV"/>
              </w:rPr>
              <w:t xml:space="preserve">projektā paredzētās aktivitātes ir vērstas uz </w:t>
            </w:r>
            <w:r w:rsidR="00BC12A6">
              <w:rPr>
                <w:rFonts w:ascii="Times New Roman" w:eastAsia="Times New Roman" w:hAnsi="Times New Roman" w:cs="Times New Roman"/>
                <w:iCs/>
                <w:sz w:val="24"/>
                <w:szCs w:val="24"/>
                <w:lang w:eastAsia="lv-LV"/>
              </w:rPr>
              <w:t>zemkopības</w:t>
            </w:r>
            <w:r w:rsidR="00693616" w:rsidRPr="00693616">
              <w:rPr>
                <w:rFonts w:ascii="Times New Roman" w:eastAsia="Times New Roman" w:hAnsi="Times New Roman" w:cs="Times New Roman"/>
                <w:iCs/>
                <w:sz w:val="24"/>
                <w:szCs w:val="24"/>
                <w:lang w:eastAsia="lv-LV"/>
              </w:rPr>
              <w:t xml:space="preserve"> nozares iestāžu darbības efektivitātes paaugstināšanu.</w:t>
            </w:r>
          </w:p>
          <w:p w14:paraId="41DC5E41" w14:textId="780838FA" w:rsidR="00E5323B" w:rsidRPr="00FB6912" w:rsidRDefault="00693616" w:rsidP="00231474">
            <w:pPr>
              <w:spacing w:after="0" w:line="240" w:lineRule="auto"/>
              <w:jc w:val="both"/>
              <w:rPr>
                <w:rFonts w:ascii="Times New Roman" w:eastAsia="Times New Roman" w:hAnsi="Times New Roman" w:cs="Times New Roman"/>
                <w:iCs/>
                <w:sz w:val="24"/>
                <w:szCs w:val="24"/>
                <w:lang w:eastAsia="lv-LV"/>
              </w:rPr>
            </w:pPr>
            <w:r w:rsidRPr="00693616">
              <w:rPr>
                <w:rFonts w:ascii="Times New Roman" w:eastAsia="Times New Roman" w:hAnsi="Times New Roman" w:cs="Times New Roman"/>
                <w:iCs/>
                <w:sz w:val="24"/>
                <w:szCs w:val="24"/>
                <w:lang w:eastAsia="lv-LV"/>
              </w:rPr>
              <w:t xml:space="preserve">Netiešā veidā var tikt ietekmēta jebkura sabiedrības </w:t>
            </w:r>
            <w:proofErr w:type="spellStart"/>
            <w:r w:rsidRPr="00693616">
              <w:rPr>
                <w:rFonts w:ascii="Times New Roman" w:eastAsia="Times New Roman" w:hAnsi="Times New Roman" w:cs="Times New Roman"/>
                <w:iCs/>
                <w:sz w:val="24"/>
                <w:szCs w:val="24"/>
                <w:lang w:eastAsia="lv-LV"/>
              </w:rPr>
              <w:t>mērķgrupa</w:t>
            </w:r>
            <w:proofErr w:type="spellEnd"/>
            <w:r w:rsidRPr="00693616">
              <w:rPr>
                <w:rFonts w:ascii="Times New Roman" w:eastAsia="Times New Roman" w:hAnsi="Times New Roman" w:cs="Times New Roman"/>
                <w:iCs/>
                <w:sz w:val="24"/>
                <w:szCs w:val="24"/>
                <w:lang w:eastAsia="lv-LV"/>
              </w:rPr>
              <w:t xml:space="preserve">, kura saņem pakalpojumus no </w:t>
            </w:r>
            <w:r w:rsidR="005A49A5">
              <w:rPr>
                <w:rFonts w:ascii="Times New Roman" w:eastAsia="Times New Roman" w:hAnsi="Times New Roman" w:cs="Times New Roman"/>
                <w:iCs/>
                <w:sz w:val="24"/>
                <w:szCs w:val="24"/>
                <w:lang w:eastAsia="lv-LV"/>
              </w:rPr>
              <w:t>zemkopības</w:t>
            </w:r>
            <w:r w:rsidRPr="00693616">
              <w:rPr>
                <w:rFonts w:ascii="Times New Roman" w:eastAsia="Times New Roman" w:hAnsi="Times New Roman" w:cs="Times New Roman"/>
                <w:iCs/>
                <w:sz w:val="24"/>
                <w:szCs w:val="24"/>
                <w:lang w:eastAsia="lv-LV"/>
              </w:rPr>
              <w:t xml:space="preserve"> nozares iestādēm.</w:t>
            </w:r>
          </w:p>
        </w:tc>
      </w:tr>
      <w:tr w:rsidR="00FB6912" w:rsidRPr="00FB6912" w14:paraId="09EDF2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76D057"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237B76"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6619DC2" w14:textId="6F584730" w:rsidR="00E5323B" w:rsidRPr="00FB6912" w:rsidRDefault="00834DB2" w:rsidP="0023147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ZM</w:t>
            </w:r>
            <w:r w:rsidR="00231474">
              <w:rPr>
                <w:rFonts w:ascii="Times New Roman" w:eastAsia="Times New Roman" w:hAnsi="Times New Roman" w:cs="Times New Roman"/>
                <w:iCs/>
                <w:sz w:val="24"/>
                <w:szCs w:val="24"/>
                <w:lang w:eastAsia="lv-LV"/>
              </w:rPr>
              <w:t xml:space="preserve"> projekta </w:t>
            </w:r>
            <w:r w:rsidR="00231474" w:rsidRPr="00231474">
              <w:rPr>
                <w:rFonts w:ascii="Times New Roman" w:eastAsia="Times New Roman" w:hAnsi="Times New Roman" w:cs="Times New Roman"/>
                <w:iCs/>
                <w:sz w:val="24"/>
                <w:szCs w:val="24"/>
                <w:lang w:eastAsia="lv-LV"/>
              </w:rPr>
              <w:t xml:space="preserve">ietvaros tiks elektronizēti 3 zemkopības iestāžu pakalpojumi. Tiek prognozēts, ka sniegto e-pakalpojumu īpatsvars palielināsies par 3.5% sešu gadu laikā, sasniedzot 52.5%, kas pozitīvi ietekmēs administratīvā sloga samazinājumu par  4 milj. </w:t>
            </w:r>
            <w:proofErr w:type="spellStart"/>
            <w:r w:rsidR="002529DE">
              <w:rPr>
                <w:rFonts w:ascii="Times New Roman" w:eastAsia="Times New Roman" w:hAnsi="Times New Roman" w:cs="Times New Roman"/>
                <w:i/>
                <w:sz w:val="24"/>
                <w:szCs w:val="24"/>
                <w:lang w:eastAsia="lv-LV"/>
              </w:rPr>
              <w:t>euro</w:t>
            </w:r>
            <w:proofErr w:type="spellEnd"/>
            <w:r w:rsidR="00231474" w:rsidRPr="00231474">
              <w:rPr>
                <w:rFonts w:ascii="Times New Roman" w:eastAsia="Times New Roman" w:hAnsi="Times New Roman" w:cs="Times New Roman"/>
                <w:iCs/>
                <w:sz w:val="24"/>
                <w:szCs w:val="24"/>
                <w:lang w:eastAsia="lv-LV"/>
              </w:rPr>
              <w:t xml:space="preserve"> projekta pārskata perioda ietvaros, t.i. līdz 2030.gadam.</w:t>
            </w:r>
          </w:p>
        </w:tc>
      </w:tr>
      <w:tr w:rsidR="00FB6912" w:rsidRPr="00FB6912" w14:paraId="616C5D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78DB25"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7BD4B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9D1646" w14:textId="77777777" w:rsidR="00E5323B" w:rsidRPr="00FB6912" w:rsidRDefault="00693616" w:rsidP="00E5323B">
            <w:pPr>
              <w:spacing w:after="0" w:line="240" w:lineRule="auto"/>
              <w:rPr>
                <w:rFonts w:ascii="Times New Roman" w:eastAsia="Times New Roman" w:hAnsi="Times New Roman" w:cs="Times New Roman"/>
                <w:iCs/>
                <w:sz w:val="24"/>
                <w:szCs w:val="24"/>
                <w:lang w:eastAsia="lv-LV"/>
              </w:rPr>
            </w:pPr>
            <w:r w:rsidRPr="00693616">
              <w:rPr>
                <w:rFonts w:ascii="Times New Roman" w:eastAsia="Times New Roman" w:hAnsi="Times New Roman" w:cs="Times New Roman"/>
                <w:iCs/>
                <w:sz w:val="24"/>
                <w:szCs w:val="24"/>
                <w:lang w:eastAsia="lv-LV"/>
              </w:rPr>
              <w:t>Nav attiecināms</w:t>
            </w:r>
          </w:p>
        </w:tc>
      </w:tr>
      <w:tr w:rsidR="00FB6912" w:rsidRPr="00FB6912" w14:paraId="55B062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95BA5"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4D8722"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45F40D" w14:textId="77777777" w:rsidR="00DD0002" w:rsidRPr="00FB6912" w:rsidRDefault="000E614B" w:rsidP="00E5323B">
            <w:pPr>
              <w:spacing w:after="0" w:line="240" w:lineRule="auto"/>
              <w:rPr>
                <w:rFonts w:ascii="Times New Roman" w:eastAsia="Times New Roman" w:hAnsi="Times New Roman" w:cs="Times New Roman"/>
                <w:iCs/>
                <w:sz w:val="24"/>
                <w:szCs w:val="24"/>
                <w:lang w:eastAsia="lv-LV"/>
              </w:rPr>
            </w:pPr>
            <w:r w:rsidRPr="000E614B">
              <w:rPr>
                <w:rFonts w:ascii="Times New Roman" w:eastAsia="Times New Roman" w:hAnsi="Times New Roman" w:cs="Times New Roman"/>
                <w:iCs/>
                <w:sz w:val="24"/>
                <w:szCs w:val="24"/>
                <w:lang w:eastAsia="lv-LV"/>
              </w:rPr>
              <w:t>Nav attiecināms</w:t>
            </w:r>
          </w:p>
        </w:tc>
      </w:tr>
      <w:tr w:rsidR="00FB6912" w:rsidRPr="00FB6912" w14:paraId="7AA974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B60EAF"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55E3CD1"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5017AF" w14:textId="77777777" w:rsidR="00E5323B" w:rsidRPr="00FB6912" w:rsidRDefault="00693616" w:rsidP="00E5323B">
            <w:pPr>
              <w:spacing w:after="0" w:line="240" w:lineRule="auto"/>
              <w:rPr>
                <w:rFonts w:ascii="Times New Roman" w:eastAsia="Times New Roman" w:hAnsi="Times New Roman" w:cs="Times New Roman"/>
                <w:iCs/>
                <w:sz w:val="24"/>
                <w:szCs w:val="24"/>
                <w:lang w:eastAsia="lv-LV"/>
              </w:rPr>
            </w:pPr>
            <w:r w:rsidRPr="00693616">
              <w:rPr>
                <w:rFonts w:ascii="Times New Roman" w:eastAsia="Times New Roman" w:hAnsi="Times New Roman" w:cs="Times New Roman"/>
                <w:iCs/>
                <w:sz w:val="24"/>
                <w:szCs w:val="24"/>
                <w:lang w:eastAsia="lv-LV"/>
              </w:rPr>
              <w:t>Nav</w:t>
            </w:r>
          </w:p>
        </w:tc>
      </w:tr>
    </w:tbl>
    <w:p w14:paraId="51F1FF30"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5"/>
        <w:gridCol w:w="895"/>
        <w:gridCol w:w="1047"/>
        <w:gridCol w:w="842"/>
        <w:gridCol w:w="1019"/>
        <w:gridCol w:w="912"/>
        <w:gridCol w:w="1284"/>
        <w:gridCol w:w="1401"/>
      </w:tblGrid>
      <w:tr w:rsidR="00FB6912" w:rsidRPr="003F15F0" w14:paraId="2B76B4C7" w14:textId="77777777" w:rsidTr="00687550">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4BD7A8E2" w14:textId="77777777" w:rsidR="00CD526E" w:rsidRPr="003F15F0" w:rsidRDefault="00E5323B" w:rsidP="001B6A66">
            <w:pPr>
              <w:spacing w:after="0" w:line="240" w:lineRule="auto"/>
              <w:jc w:val="center"/>
              <w:rPr>
                <w:rFonts w:ascii="Times New Roman" w:eastAsia="Times New Roman" w:hAnsi="Times New Roman" w:cs="Times New Roman"/>
                <w:b/>
                <w:bCs/>
                <w:iCs/>
                <w:lang w:eastAsia="lv-LV"/>
              </w:rPr>
            </w:pPr>
            <w:r w:rsidRPr="003F15F0">
              <w:rPr>
                <w:rFonts w:ascii="Times New Roman" w:eastAsia="Times New Roman" w:hAnsi="Times New Roman" w:cs="Times New Roman"/>
                <w:b/>
                <w:bCs/>
                <w:iCs/>
                <w:lang w:eastAsia="lv-LV"/>
              </w:rPr>
              <w:t>III. Tiesību akta projekta ietekme uz valsts budžetu un pašvaldību budžetiem</w:t>
            </w:r>
          </w:p>
        </w:tc>
      </w:tr>
      <w:tr w:rsidR="00D35FE7" w:rsidRPr="003F15F0" w14:paraId="16839F79" w14:textId="77777777" w:rsidTr="00687550">
        <w:trPr>
          <w:tblCellSpacing w:w="15" w:type="dxa"/>
        </w:trPr>
        <w:tc>
          <w:tcPr>
            <w:tcW w:w="910" w:type="pct"/>
            <w:vMerge w:val="restart"/>
            <w:tcBorders>
              <w:top w:val="outset" w:sz="6" w:space="0" w:color="auto"/>
              <w:left w:val="outset" w:sz="6" w:space="0" w:color="auto"/>
              <w:bottom w:val="outset" w:sz="6" w:space="0" w:color="auto"/>
              <w:right w:val="outset" w:sz="6" w:space="0" w:color="auto"/>
            </w:tcBorders>
            <w:vAlign w:val="center"/>
            <w:hideMark/>
          </w:tcPr>
          <w:p w14:paraId="0402057F" w14:textId="77777777" w:rsidR="005C4720" w:rsidRPr="003F15F0" w:rsidRDefault="005C4720" w:rsidP="003503D4">
            <w:pPr>
              <w:rPr>
                <w:rFonts w:ascii="Times New Roman" w:hAnsi="Times New Roman" w:cs="Times New Roman"/>
                <w:iCs/>
                <w:noProof/>
                <w:lang w:val="en-US" w:eastAsia="lv-LV"/>
              </w:rPr>
            </w:pPr>
            <w:bookmarkStart w:id="0" w:name="_GoBack" w:colFirst="0" w:colLast="7"/>
            <w:r w:rsidRPr="003F15F0">
              <w:rPr>
                <w:rFonts w:ascii="Times New Roman" w:hAnsi="Times New Roman" w:cs="Times New Roman"/>
                <w:iCs/>
                <w:noProof/>
                <w:lang w:val="en-US" w:eastAsia="lv-LV"/>
              </w:rPr>
              <w:t>Rādītāji</w:t>
            </w:r>
          </w:p>
        </w:tc>
        <w:tc>
          <w:tcPr>
            <w:tcW w:w="106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C998C63" w14:textId="7021364B" w:rsidR="005C4720" w:rsidRPr="003F15F0" w:rsidRDefault="005C4720" w:rsidP="003503D4">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2020</w:t>
            </w:r>
            <w:r w:rsidR="00E12877">
              <w:rPr>
                <w:rFonts w:ascii="Times New Roman" w:hAnsi="Times New Roman" w:cs="Times New Roman"/>
                <w:iCs/>
                <w:noProof/>
                <w:lang w:val="en-US" w:eastAsia="lv-LV"/>
              </w:rPr>
              <w:t>.gads</w:t>
            </w:r>
            <w:r w:rsidRPr="003F15F0">
              <w:rPr>
                <w:rFonts w:ascii="Times New Roman" w:hAnsi="Times New Roman" w:cs="Times New Roman"/>
                <w:iCs/>
                <w:noProof/>
                <w:lang w:val="en-US" w:eastAsia="lv-LV"/>
              </w:rPr>
              <w:t xml:space="preserve"> </w:t>
            </w:r>
          </w:p>
        </w:tc>
        <w:tc>
          <w:tcPr>
            <w:tcW w:w="2963" w:type="pct"/>
            <w:gridSpan w:val="5"/>
            <w:tcBorders>
              <w:top w:val="outset" w:sz="6" w:space="0" w:color="auto"/>
              <w:left w:val="outset" w:sz="6" w:space="0" w:color="auto"/>
              <w:bottom w:val="outset" w:sz="6" w:space="0" w:color="auto"/>
              <w:right w:val="outset" w:sz="6" w:space="0" w:color="auto"/>
            </w:tcBorders>
            <w:vAlign w:val="center"/>
            <w:hideMark/>
          </w:tcPr>
          <w:p w14:paraId="09AB9519"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Turpmākie trīs gadi (</w:t>
            </w:r>
            <w:r w:rsidRPr="003F15F0">
              <w:rPr>
                <w:rFonts w:ascii="Times New Roman" w:hAnsi="Times New Roman" w:cs="Times New Roman"/>
                <w:i/>
                <w:iCs/>
                <w:noProof/>
                <w:lang w:val="en-US" w:eastAsia="lv-LV"/>
              </w:rPr>
              <w:t>euro</w:t>
            </w:r>
            <w:r w:rsidRPr="003F15F0">
              <w:rPr>
                <w:rFonts w:ascii="Times New Roman" w:hAnsi="Times New Roman" w:cs="Times New Roman"/>
                <w:iCs/>
                <w:noProof/>
                <w:lang w:val="en-US" w:eastAsia="lv-LV"/>
              </w:rPr>
              <w:t>)</w:t>
            </w:r>
          </w:p>
        </w:tc>
      </w:tr>
      <w:tr w:rsidR="00E1024D" w:rsidRPr="003F15F0" w14:paraId="55C4B982" w14:textId="77777777" w:rsidTr="00687550">
        <w:trPr>
          <w:tblCellSpacing w:w="15" w:type="dxa"/>
        </w:trPr>
        <w:tc>
          <w:tcPr>
            <w:tcW w:w="910" w:type="pct"/>
            <w:vMerge/>
            <w:tcBorders>
              <w:top w:val="outset" w:sz="6" w:space="0" w:color="auto"/>
              <w:left w:val="outset" w:sz="6" w:space="0" w:color="auto"/>
              <w:bottom w:val="outset" w:sz="6" w:space="0" w:color="auto"/>
              <w:right w:val="outset" w:sz="6" w:space="0" w:color="auto"/>
            </w:tcBorders>
            <w:vAlign w:val="center"/>
            <w:hideMark/>
          </w:tcPr>
          <w:p w14:paraId="5289B20F" w14:textId="77777777" w:rsidR="005C4720" w:rsidRPr="003F15F0" w:rsidRDefault="005C4720" w:rsidP="003503D4">
            <w:pPr>
              <w:rPr>
                <w:rFonts w:ascii="Times New Roman" w:hAnsi="Times New Roman" w:cs="Times New Roman"/>
                <w:iCs/>
                <w:noProof/>
                <w:sz w:val="20"/>
                <w:szCs w:val="20"/>
                <w:lang w:val="en-US" w:eastAsia="lv-LV"/>
              </w:rPr>
            </w:pPr>
          </w:p>
        </w:tc>
        <w:tc>
          <w:tcPr>
            <w:tcW w:w="1064" w:type="pct"/>
            <w:gridSpan w:val="2"/>
            <w:vMerge/>
            <w:tcBorders>
              <w:top w:val="outset" w:sz="6" w:space="0" w:color="auto"/>
              <w:left w:val="outset" w:sz="6" w:space="0" w:color="auto"/>
              <w:bottom w:val="outset" w:sz="6" w:space="0" w:color="auto"/>
              <w:right w:val="outset" w:sz="6" w:space="0" w:color="auto"/>
            </w:tcBorders>
            <w:vAlign w:val="center"/>
            <w:hideMark/>
          </w:tcPr>
          <w:p w14:paraId="0780BFC5" w14:textId="77777777" w:rsidR="005C4720" w:rsidRPr="003F15F0" w:rsidRDefault="005C4720" w:rsidP="003503D4">
            <w:pPr>
              <w:rPr>
                <w:rFonts w:ascii="Times New Roman" w:hAnsi="Times New Roman" w:cs="Times New Roman"/>
                <w:iCs/>
                <w:noProof/>
                <w:sz w:val="20"/>
                <w:szCs w:val="20"/>
                <w:lang w:val="en-US" w:eastAsia="lv-LV"/>
              </w:rPr>
            </w:pPr>
          </w:p>
        </w:tc>
        <w:tc>
          <w:tcPr>
            <w:tcW w:w="1518" w:type="pct"/>
            <w:gridSpan w:val="3"/>
            <w:tcBorders>
              <w:top w:val="outset" w:sz="6" w:space="0" w:color="auto"/>
              <w:left w:val="outset" w:sz="6" w:space="0" w:color="auto"/>
              <w:bottom w:val="outset" w:sz="6" w:space="0" w:color="auto"/>
              <w:right w:val="outset" w:sz="6" w:space="0" w:color="auto"/>
            </w:tcBorders>
            <w:vAlign w:val="center"/>
            <w:hideMark/>
          </w:tcPr>
          <w:p w14:paraId="7149A5A1" w14:textId="1E5992EF" w:rsidR="005C4720" w:rsidRPr="003F15F0" w:rsidRDefault="005C4720" w:rsidP="003503D4">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2021</w:t>
            </w:r>
            <w:r w:rsidR="00CA3B11">
              <w:rPr>
                <w:rFonts w:ascii="Times New Roman" w:hAnsi="Times New Roman" w:cs="Times New Roman"/>
                <w:iCs/>
                <w:noProof/>
                <w:lang w:val="en-US" w:eastAsia="lv-LV"/>
              </w:rPr>
              <w:t>.</w:t>
            </w:r>
          </w:p>
        </w:tc>
        <w:tc>
          <w:tcPr>
            <w:tcW w:w="710" w:type="pct"/>
            <w:tcBorders>
              <w:top w:val="outset" w:sz="6" w:space="0" w:color="auto"/>
              <w:left w:val="outset" w:sz="6" w:space="0" w:color="auto"/>
              <w:bottom w:val="outset" w:sz="6" w:space="0" w:color="auto"/>
              <w:right w:val="outset" w:sz="6" w:space="0" w:color="auto"/>
            </w:tcBorders>
            <w:vAlign w:val="center"/>
            <w:hideMark/>
          </w:tcPr>
          <w:p w14:paraId="3164131E" w14:textId="6D66A9B9" w:rsidR="005C4720" w:rsidRPr="003F15F0" w:rsidRDefault="005C4720" w:rsidP="003503D4">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2022</w:t>
            </w:r>
            <w:r w:rsidR="00CA3B11">
              <w:rPr>
                <w:rFonts w:ascii="Times New Roman" w:hAnsi="Times New Roman" w:cs="Times New Roman"/>
                <w:iCs/>
                <w:noProof/>
                <w:lang w:val="en-US" w:eastAsia="lv-LV"/>
              </w:rPr>
              <w:t>.</w:t>
            </w:r>
          </w:p>
        </w:tc>
        <w:tc>
          <w:tcPr>
            <w:tcW w:w="703" w:type="pct"/>
            <w:tcBorders>
              <w:top w:val="outset" w:sz="6" w:space="0" w:color="auto"/>
              <w:left w:val="outset" w:sz="6" w:space="0" w:color="auto"/>
              <w:bottom w:val="outset" w:sz="6" w:space="0" w:color="auto"/>
              <w:right w:val="outset" w:sz="6" w:space="0" w:color="auto"/>
            </w:tcBorders>
            <w:vAlign w:val="center"/>
            <w:hideMark/>
          </w:tcPr>
          <w:p w14:paraId="673E22AA" w14:textId="168A0250" w:rsidR="005C4720" w:rsidRPr="003F15F0" w:rsidRDefault="005C4720" w:rsidP="003503D4">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2023</w:t>
            </w:r>
            <w:r w:rsidR="00CA3B11">
              <w:rPr>
                <w:rFonts w:ascii="Times New Roman" w:hAnsi="Times New Roman" w:cs="Times New Roman"/>
                <w:iCs/>
                <w:noProof/>
                <w:lang w:val="en-US" w:eastAsia="lv-LV"/>
              </w:rPr>
              <w:t>.</w:t>
            </w:r>
          </w:p>
        </w:tc>
      </w:tr>
      <w:tr w:rsidR="00D35FE7" w:rsidRPr="003F15F0" w14:paraId="65C51702" w14:textId="77777777" w:rsidTr="00687550">
        <w:trPr>
          <w:tblCellSpacing w:w="15" w:type="dxa"/>
        </w:trPr>
        <w:tc>
          <w:tcPr>
            <w:tcW w:w="910" w:type="pct"/>
            <w:vMerge/>
            <w:tcBorders>
              <w:top w:val="outset" w:sz="6" w:space="0" w:color="auto"/>
              <w:left w:val="outset" w:sz="6" w:space="0" w:color="auto"/>
              <w:bottom w:val="outset" w:sz="6" w:space="0" w:color="auto"/>
              <w:right w:val="outset" w:sz="6" w:space="0" w:color="auto"/>
            </w:tcBorders>
            <w:vAlign w:val="center"/>
            <w:hideMark/>
          </w:tcPr>
          <w:p w14:paraId="770DA3B0" w14:textId="77777777" w:rsidR="005C4720" w:rsidRPr="003F15F0" w:rsidRDefault="005C4720" w:rsidP="003503D4">
            <w:pPr>
              <w:rPr>
                <w:rFonts w:ascii="Times New Roman" w:hAnsi="Times New Roman" w:cs="Times New Roman"/>
                <w:iCs/>
                <w:noProof/>
                <w:sz w:val="20"/>
                <w:szCs w:val="20"/>
                <w:lang w:val="en-US" w:eastAsia="lv-LV"/>
              </w:rPr>
            </w:pPr>
          </w:p>
        </w:tc>
        <w:tc>
          <w:tcPr>
            <w:tcW w:w="489" w:type="pct"/>
            <w:tcBorders>
              <w:top w:val="outset" w:sz="6" w:space="0" w:color="auto"/>
              <w:left w:val="outset" w:sz="6" w:space="0" w:color="auto"/>
              <w:bottom w:val="outset" w:sz="6" w:space="0" w:color="auto"/>
              <w:right w:val="outset" w:sz="6" w:space="0" w:color="auto"/>
            </w:tcBorders>
            <w:vAlign w:val="center"/>
            <w:hideMark/>
          </w:tcPr>
          <w:p w14:paraId="614D939E"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saskaņā ar valsts budžetu kārtējam gadam*</w:t>
            </w:r>
          </w:p>
        </w:tc>
        <w:tc>
          <w:tcPr>
            <w:tcW w:w="559" w:type="pct"/>
            <w:tcBorders>
              <w:top w:val="outset" w:sz="6" w:space="0" w:color="auto"/>
              <w:left w:val="outset" w:sz="6" w:space="0" w:color="auto"/>
              <w:bottom w:val="outset" w:sz="6" w:space="0" w:color="auto"/>
              <w:right w:val="outset" w:sz="6" w:space="0" w:color="auto"/>
            </w:tcBorders>
            <w:vAlign w:val="center"/>
            <w:hideMark/>
          </w:tcPr>
          <w:p w14:paraId="7824F7D3"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izmaiņas kārtējā gadā, salīdzinot ar valsts budžetu kārtējam gadam</w:t>
            </w:r>
          </w:p>
        </w:tc>
        <w:tc>
          <w:tcPr>
            <w:tcW w:w="459" w:type="pct"/>
            <w:tcBorders>
              <w:top w:val="outset" w:sz="6" w:space="0" w:color="auto"/>
              <w:left w:val="outset" w:sz="6" w:space="0" w:color="auto"/>
              <w:bottom w:val="outset" w:sz="6" w:space="0" w:color="auto"/>
              <w:right w:val="outset" w:sz="6" w:space="0" w:color="auto"/>
            </w:tcBorders>
            <w:vAlign w:val="center"/>
            <w:hideMark/>
          </w:tcPr>
          <w:p w14:paraId="3D445B47" w14:textId="77777777" w:rsidR="005C4720" w:rsidRPr="003F15F0" w:rsidRDefault="005C4720" w:rsidP="003503D4">
            <w:pPr>
              <w:rPr>
                <w:rFonts w:ascii="Times New Roman" w:hAnsi="Times New Roman" w:cs="Times New Roman"/>
                <w:iCs/>
                <w:noProof/>
                <w:lang w:val="sv-SE" w:eastAsia="lv-LV"/>
              </w:rPr>
            </w:pPr>
            <w:r w:rsidRPr="003F15F0">
              <w:rPr>
                <w:rFonts w:ascii="Times New Roman" w:hAnsi="Times New Roman" w:cs="Times New Roman"/>
                <w:iCs/>
                <w:noProof/>
                <w:lang w:val="sv-SE" w:eastAsia="lv-LV"/>
              </w:rPr>
              <w:t>saskaņā ar vidēja termiņa budžeta ietvaru</w:t>
            </w:r>
          </w:p>
        </w:tc>
        <w:tc>
          <w:tcPr>
            <w:tcW w:w="560" w:type="pct"/>
            <w:tcBorders>
              <w:top w:val="outset" w:sz="6" w:space="0" w:color="auto"/>
              <w:left w:val="outset" w:sz="6" w:space="0" w:color="auto"/>
              <w:bottom w:val="outset" w:sz="6" w:space="0" w:color="auto"/>
              <w:right w:val="outset" w:sz="6" w:space="0" w:color="auto"/>
            </w:tcBorders>
            <w:vAlign w:val="center"/>
            <w:hideMark/>
          </w:tcPr>
          <w:p w14:paraId="026E95ED" w14:textId="28AFED48" w:rsidR="005C4720" w:rsidRPr="003F15F0" w:rsidRDefault="005C4720" w:rsidP="003503D4">
            <w:pPr>
              <w:rPr>
                <w:rFonts w:ascii="Times New Roman" w:hAnsi="Times New Roman" w:cs="Times New Roman"/>
                <w:iCs/>
                <w:noProof/>
                <w:lang w:val="sv-SE" w:eastAsia="lv-LV"/>
              </w:rPr>
            </w:pPr>
            <w:r w:rsidRPr="003F15F0">
              <w:rPr>
                <w:rFonts w:ascii="Times New Roman" w:hAnsi="Times New Roman" w:cs="Times New Roman"/>
                <w:iCs/>
                <w:noProof/>
                <w:lang w:val="sv-SE" w:eastAsia="lv-LV"/>
              </w:rPr>
              <w:t xml:space="preserve">izmaiņas, salīdzinot ar vidēja termiņa budžeta ietvaru </w:t>
            </w:r>
            <w:r w:rsidR="00CA3B11" w:rsidRPr="003F15F0">
              <w:rPr>
                <w:rFonts w:ascii="Times New Roman" w:hAnsi="Times New Roman" w:cs="Times New Roman"/>
                <w:iCs/>
                <w:noProof/>
                <w:lang w:val="sv-SE" w:eastAsia="lv-LV"/>
              </w:rPr>
              <w:t>202</w:t>
            </w:r>
            <w:r w:rsidR="00CA3B11">
              <w:rPr>
                <w:rFonts w:ascii="Times New Roman" w:hAnsi="Times New Roman" w:cs="Times New Roman"/>
                <w:iCs/>
                <w:noProof/>
                <w:lang w:val="sv-SE" w:eastAsia="lv-LV"/>
              </w:rPr>
              <w:t>1</w:t>
            </w:r>
            <w:r w:rsidRPr="003F15F0">
              <w:rPr>
                <w:rFonts w:ascii="Times New Roman" w:hAnsi="Times New Roman" w:cs="Times New Roman"/>
                <w:iCs/>
                <w:noProof/>
                <w:lang w:val="sv-SE" w:eastAsia="lv-LV"/>
              </w:rPr>
              <w:t>.ga</w:t>
            </w:r>
            <w:r w:rsidR="00D35FE7" w:rsidRPr="003F15F0">
              <w:rPr>
                <w:rFonts w:ascii="Times New Roman" w:hAnsi="Times New Roman" w:cs="Times New Roman"/>
                <w:iCs/>
                <w:noProof/>
                <w:lang w:val="sv-SE" w:eastAsia="lv-LV"/>
              </w:rPr>
              <w:t>-</w:t>
            </w:r>
            <w:r w:rsidRPr="003F15F0">
              <w:rPr>
                <w:rFonts w:ascii="Times New Roman" w:hAnsi="Times New Roman" w:cs="Times New Roman"/>
                <w:iCs/>
                <w:noProof/>
                <w:lang w:val="sv-SE" w:eastAsia="lv-LV"/>
              </w:rPr>
              <w:t>dam</w:t>
            </w:r>
          </w:p>
        </w:tc>
        <w:tc>
          <w:tcPr>
            <w:tcW w:w="468" w:type="pct"/>
            <w:tcBorders>
              <w:top w:val="outset" w:sz="6" w:space="0" w:color="auto"/>
              <w:left w:val="outset" w:sz="6" w:space="0" w:color="auto"/>
              <w:bottom w:val="outset" w:sz="6" w:space="0" w:color="auto"/>
              <w:right w:val="outset" w:sz="6" w:space="0" w:color="auto"/>
            </w:tcBorders>
            <w:vAlign w:val="center"/>
            <w:hideMark/>
          </w:tcPr>
          <w:p w14:paraId="677A647C" w14:textId="77777777" w:rsidR="005C4720" w:rsidRPr="003F15F0" w:rsidRDefault="005C4720" w:rsidP="003503D4">
            <w:pPr>
              <w:ind w:left="48" w:hanging="48"/>
              <w:rPr>
                <w:rFonts w:ascii="Times New Roman" w:hAnsi="Times New Roman" w:cs="Times New Roman"/>
                <w:iCs/>
                <w:noProof/>
                <w:lang w:val="sv-SE" w:eastAsia="lv-LV"/>
              </w:rPr>
            </w:pPr>
            <w:r w:rsidRPr="003F15F0">
              <w:rPr>
                <w:rFonts w:ascii="Times New Roman" w:hAnsi="Times New Roman" w:cs="Times New Roman"/>
                <w:iCs/>
                <w:noProof/>
                <w:lang w:val="sv-SE" w:eastAsia="lv-LV"/>
              </w:rPr>
              <w:t>saskaņā ar vidēja termiņa budžeta ietvaru</w:t>
            </w:r>
          </w:p>
        </w:tc>
        <w:tc>
          <w:tcPr>
            <w:tcW w:w="710" w:type="pct"/>
            <w:tcBorders>
              <w:top w:val="outset" w:sz="6" w:space="0" w:color="auto"/>
              <w:left w:val="outset" w:sz="6" w:space="0" w:color="auto"/>
              <w:bottom w:val="outset" w:sz="6" w:space="0" w:color="auto"/>
              <w:right w:val="outset" w:sz="6" w:space="0" w:color="auto"/>
            </w:tcBorders>
            <w:vAlign w:val="center"/>
            <w:hideMark/>
          </w:tcPr>
          <w:p w14:paraId="5D6DDC83" w14:textId="002EABEA" w:rsidR="005C4720" w:rsidRPr="003F15F0" w:rsidRDefault="005C4720" w:rsidP="003503D4">
            <w:pPr>
              <w:ind w:left="12"/>
              <w:rPr>
                <w:rFonts w:ascii="Times New Roman" w:hAnsi="Times New Roman" w:cs="Times New Roman"/>
                <w:iCs/>
                <w:noProof/>
                <w:lang w:val="sv-SE" w:eastAsia="lv-LV"/>
              </w:rPr>
            </w:pPr>
            <w:r w:rsidRPr="003F15F0">
              <w:rPr>
                <w:rFonts w:ascii="Times New Roman" w:hAnsi="Times New Roman" w:cs="Times New Roman"/>
                <w:iCs/>
                <w:noProof/>
                <w:lang w:val="sv-SE" w:eastAsia="lv-LV"/>
              </w:rPr>
              <w:t xml:space="preserve">izmaiņas, salīdzinot ar vidēja termiņa budžeta ietvaru </w:t>
            </w:r>
            <w:r w:rsidR="00CA3B11" w:rsidRPr="003F15F0">
              <w:rPr>
                <w:rFonts w:ascii="Times New Roman" w:hAnsi="Times New Roman" w:cs="Times New Roman"/>
                <w:iCs/>
                <w:noProof/>
                <w:lang w:val="sv-SE" w:eastAsia="lv-LV"/>
              </w:rPr>
              <w:t>202</w:t>
            </w:r>
            <w:r w:rsidR="00CA3B11">
              <w:rPr>
                <w:rFonts w:ascii="Times New Roman" w:hAnsi="Times New Roman" w:cs="Times New Roman"/>
                <w:iCs/>
                <w:noProof/>
                <w:lang w:val="sv-SE" w:eastAsia="lv-LV"/>
              </w:rPr>
              <w:t>2</w:t>
            </w:r>
            <w:r w:rsidRPr="003F15F0">
              <w:rPr>
                <w:rFonts w:ascii="Times New Roman" w:hAnsi="Times New Roman" w:cs="Times New Roman"/>
                <w:iCs/>
                <w:noProof/>
                <w:lang w:val="sv-SE" w:eastAsia="lv-LV"/>
              </w:rPr>
              <w:t>.</w:t>
            </w:r>
            <w:r w:rsidRPr="003F15F0">
              <w:rPr>
                <w:rFonts w:ascii="Times New Roman" w:hAnsi="Times New Roman" w:cs="Times New Roman"/>
              </w:rPr>
              <w:t> </w:t>
            </w:r>
            <w:r w:rsidRPr="003F15F0">
              <w:rPr>
                <w:rFonts w:ascii="Times New Roman" w:hAnsi="Times New Roman" w:cs="Times New Roman"/>
                <w:iCs/>
                <w:noProof/>
                <w:lang w:val="sv-SE" w:eastAsia="lv-LV"/>
              </w:rPr>
              <w:t>gadam</w:t>
            </w:r>
          </w:p>
        </w:tc>
        <w:tc>
          <w:tcPr>
            <w:tcW w:w="703" w:type="pct"/>
            <w:tcBorders>
              <w:top w:val="outset" w:sz="6" w:space="0" w:color="auto"/>
              <w:left w:val="outset" w:sz="6" w:space="0" w:color="auto"/>
              <w:bottom w:val="outset" w:sz="6" w:space="0" w:color="auto"/>
              <w:right w:val="outset" w:sz="6" w:space="0" w:color="auto"/>
            </w:tcBorders>
            <w:vAlign w:val="center"/>
            <w:hideMark/>
          </w:tcPr>
          <w:p w14:paraId="5AB17AE9" w14:textId="1985F1CC" w:rsidR="005C4720" w:rsidRPr="003F15F0" w:rsidRDefault="005C4720" w:rsidP="003503D4">
            <w:pPr>
              <w:rPr>
                <w:rFonts w:ascii="Times New Roman" w:hAnsi="Times New Roman" w:cs="Times New Roman"/>
                <w:iCs/>
                <w:noProof/>
                <w:lang w:val="sv-SE" w:eastAsia="lv-LV"/>
              </w:rPr>
            </w:pPr>
            <w:r w:rsidRPr="003F15F0">
              <w:rPr>
                <w:rFonts w:ascii="Times New Roman" w:hAnsi="Times New Roman" w:cs="Times New Roman"/>
                <w:iCs/>
                <w:noProof/>
                <w:lang w:val="sv-SE" w:eastAsia="lv-LV"/>
              </w:rPr>
              <w:t xml:space="preserve">izmaiņas, salīdzinot ar vidēja termiņa budžeta ietvaru </w:t>
            </w:r>
            <w:r w:rsidR="00CA3B11" w:rsidRPr="003F15F0">
              <w:rPr>
                <w:rFonts w:ascii="Times New Roman" w:hAnsi="Times New Roman" w:cs="Times New Roman"/>
                <w:iCs/>
                <w:noProof/>
                <w:lang w:val="sv-SE" w:eastAsia="lv-LV"/>
              </w:rPr>
              <w:t>202</w:t>
            </w:r>
            <w:r w:rsidR="00CA3B11">
              <w:rPr>
                <w:rFonts w:ascii="Times New Roman" w:hAnsi="Times New Roman" w:cs="Times New Roman"/>
                <w:iCs/>
                <w:noProof/>
                <w:lang w:val="sv-SE" w:eastAsia="lv-LV"/>
              </w:rPr>
              <w:t>2</w:t>
            </w:r>
            <w:r w:rsidRPr="003F15F0">
              <w:rPr>
                <w:rFonts w:ascii="Times New Roman" w:hAnsi="Times New Roman" w:cs="Times New Roman"/>
                <w:iCs/>
                <w:noProof/>
                <w:lang w:val="sv-SE" w:eastAsia="lv-LV"/>
              </w:rPr>
              <w:t>.</w:t>
            </w:r>
            <w:r w:rsidRPr="003F15F0">
              <w:rPr>
                <w:rFonts w:ascii="Times New Roman" w:hAnsi="Times New Roman" w:cs="Times New Roman"/>
              </w:rPr>
              <w:t> </w:t>
            </w:r>
            <w:r w:rsidRPr="003F15F0">
              <w:rPr>
                <w:rFonts w:ascii="Times New Roman" w:hAnsi="Times New Roman" w:cs="Times New Roman"/>
                <w:iCs/>
                <w:noProof/>
                <w:lang w:val="sv-SE" w:eastAsia="lv-LV"/>
              </w:rPr>
              <w:t>gadam</w:t>
            </w:r>
          </w:p>
        </w:tc>
      </w:tr>
      <w:bookmarkEnd w:id="0"/>
      <w:tr w:rsidR="00D35FE7" w:rsidRPr="003F15F0" w14:paraId="1870C976"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vAlign w:val="center"/>
            <w:hideMark/>
          </w:tcPr>
          <w:p w14:paraId="551083D0"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1</w:t>
            </w:r>
          </w:p>
        </w:tc>
        <w:tc>
          <w:tcPr>
            <w:tcW w:w="489" w:type="pct"/>
            <w:tcBorders>
              <w:top w:val="outset" w:sz="6" w:space="0" w:color="auto"/>
              <w:left w:val="outset" w:sz="6" w:space="0" w:color="auto"/>
              <w:bottom w:val="outset" w:sz="6" w:space="0" w:color="auto"/>
              <w:right w:val="outset" w:sz="6" w:space="0" w:color="auto"/>
            </w:tcBorders>
            <w:vAlign w:val="center"/>
            <w:hideMark/>
          </w:tcPr>
          <w:p w14:paraId="759DA577"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2</w:t>
            </w:r>
          </w:p>
        </w:tc>
        <w:tc>
          <w:tcPr>
            <w:tcW w:w="559" w:type="pct"/>
            <w:tcBorders>
              <w:top w:val="outset" w:sz="6" w:space="0" w:color="auto"/>
              <w:left w:val="outset" w:sz="6" w:space="0" w:color="auto"/>
              <w:bottom w:val="outset" w:sz="6" w:space="0" w:color="auto"/>
              <w:right w:val="outset" w:sz="6" w:space="0" w:color="auto"/>
            </w:tcBorders>
            <w:vAlign w:val="center"/>
            <w:hideMark/>
          </w:tcPr>
          <w:p w14:paraId="3BE1BD71"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3</w:t>
            </w:r>
          </w:p>
        </w:tc>
        <w:tc>
          <w:tcPr>
            <w:tcW w:w="459" w:type="pct"/>
            <w:tcBorders>
              <w:top w:val="outset" w:sz="6" w:space="0" w:color="auto"/>
              <w:left w:val="outset" w:sz="6" w:space="0" w:color="auto"/>
              <w:bottom w:val="outset" w:sz="6" w:space="0" w:color="auto"/>
              <w:right w:val="outset" w:sz="6" w:space="0" w:color="auto"/>
            </w:tcBorders>
            <w:vAlign w:val="center"/>
            <w:hideMark/>
          </w:tcPr>
          <w:p w14:paraId="5E2D7197"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4</w:t>
            </w:r>
          </w:p>
        </w:tc>
        <w:tc>
          <w:tcPr>
            <w:tcW w:w="560" w:type="pct"/>
            <w:tcBorders>
              <w:top w:val="outset" w:sz="6" w:space="0" w:color="auto"/>
              <w:left w:val="outset" w:sz="6" w:space="0" w:color="auto"/>
              <w:bottom w:val="outset" w:sz="6" w:space="0" w:color="auto"/>
              <w:right w:val="outset" w:sz="6" w:space="0" w:color="auto"/>
            </w:tcBorders>
            <w:vAlign w:val="center"/>
            <w:hideMark/>
          </w:tcPr>
          <w:p w14:paraId="106B8A05"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5</w:t>
            </w:r>
          </w:p>
        </w:tc>
        <w:tc>
          <w:tcPr>
            <w:tcW w:w="468" w:type="pct"/>
            <w:tcBorders>
              <w:top w:val="outset" w:sz="6" w:space="0" w:color="auto"/>
              <w:left w:val="outset" w:sz="6" w:space="0" w:color="auto"/>
              <w:bottom w:val="outset" w:sz="6" w:space="0" w:color="auto"/>
              <w:right w:val="outset" w:sz="6" w:space="0" w:color="auto"/>
            </w:tcBorders>
            <w:vAlign w:val="center"/>
            <w:hideMark/>
          </w:tcPr>
          <w:p w14:paraId="089AA555"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6</w:t>
            </w:r>
          </w:p>
        </w:tc>
        <w:tc>
          <w:tcPr>
            <w:tcW w:w="710" w:type="pct"/>
            <w:tcBorders>
              <w:top w:val="outset" w:sz="6" w:space="0" w:color="auto"/>
              <w:left w:val="outset" w:sz="6" w:space="0" w:color="auto"/>
              <w:bottom w:val="outset" w:sz="6" w:space="0" w:color="auto"/>
              <w:right w:val="outset" w:sz="6" w:space="0" w:color="auto"/>
            </w:tcBorders>
            <w:vAlign w:val="center"/>
            <w:hideMark/>
          </w:tcPr>
          <w:p w14:paraId="2FC5543E" w14:textId="77777777" w:rsidR="005C4720" w:rsidRPr="003F15F0" w:rsidRDefault="005C4720" w:rsidP="003503D4">
            <w:pPr>
              <w:ind w:right="354"/>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7</w:t>
            </w:r>
          </w:p>
        </w:tc>
        <w:tc>
          <w:tcPr>
            <w:tcW w:w="703" w:type="pct"/>
            <w:tcBorders>
              <w:top w:val="outset" w:sz="6" w:space="0" w:color="auto"/>
              <w:left w:val="outset" w:sz="6" w:space="0" w:color="auto"/>
              <w:bottom w:val="outset" w:sz="6" w:space="0" w:color="auto"/>
              <w:right w:val="outset" w:sz="6" w:space="0" w:color="auto"/>
            </w:tcBorders>
            <w:vAlign w:val="center"/>
            <w:hideMark/>
          </w:tcPr>
          <w:p w14:paraId="403DA85D"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8</w:t>
            </w:r>
          </w:p>
        </w:tc>
      </w:tr>
      <w:tr w:rsidR="00D35FE7" w:rsidRPr="003F15F0" w14:paraId="2EF59FFC"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39ED66E5"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1. Budžeta ieņēmumi</w:t>
            </w:r>
          </w:p>
        </w:tc>
        <w:tc>
          <w:tcPr>
            <w:tcW w:w="489" w:type="pct"/>
            <w:tcBorders>
              <w:top w:val="outset" w:sz="6" w:space="0" w:color="auto"/>
              <w:left w:val="outset" w:sz="6" w:space="0" w:color="auto"/>
              <w:bottom w:val="outset" w:sz="6" w:space="0" w:color="auto"/>
              <w:right w:val="outset" w:sz="6" w:space="0" w:color="auto"/>
            </w:tcBorders>
            <w:vAlign w:val="center"/>
          </w:tcPr>
          <w:p w14:paraId="63912D6A" w14:textId="6CE4B744"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vAlign w:val="center"/>
          </w:tcPr>
          <w:p w14:paraId="53882D9F" w14:textId="453A2E2C"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2A4B1F1B" w14:textId="053F954E" w:rsidR="005C4720" w:rsidRPr="003F15F0" w:rsidRDefault="00882D1C"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589 333</w:t>
            </w:r>
          </w:p>
        </w:tc>
        <w:tc>
          <w:tcPr>
            <w:tcW w:w="560" w:type="pct"/>
            <w:tcBorders>
              <w:top w:val="outset" w:sz="6" w:space="0" w:color="auto"/>
              <w:left w:val="outset" w:sz="6" w:space="0" w:color="auto"/>
              <w:bottom w:val="outset" w:sz="6" w:space="0" w:color="auto"/>
              <w:right w:val="outset" w:sz="6" w:space="0" w:color="auto"/>
            </w:tcBorders>
            <w:vAlign w:val="center"/>
          </w:tcPr>
          <w:p w14:paraId="1EF50954" w14:textId="038F8409"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68" w:type="pct"/>
            <w:tcBorders>
              <w:top w:val="outset" w:sz="6" w:space="0" w:color="auto"/>
              <w:left w:val="outset" w:sz="6" w:space="0" w:color="auto"/>
              <w:bottom w:val="outset" w:sz="6" w:space="0" w:color="auto"/>
              <w:right w:val="outset" w:sz="6" w:space="0" w:color="auto"/>
            </w:tcBorders>
            <w:vAlign w:val="center"/>
          </w:tcPr>
          <w:p w14:paraId="3973B009"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710" w:type="pct"/>
            <w:tcBorders>
              <w:top w:val="outset" w:sz="6" w:space="0" w:color="auto"/>
              <w:left w:val="outset" w:sz="6" w:space="0" w:color="auto"/>
              <w:bottom w:val="outset" w:sz="6" w:space="0" w:color="auto"/>
              <w:right w:val="outset" w:sz="6" w:space="0" w:color="auto"/>
            </w:tcBorders>
            <w:vAlign w:val="center"/>
          </w:tcPr>
          <w:p w14:paraId="26351EEA" w14:textId="1FE0C5B1" w:rsidR="005C4720" w:rsidRPr="003F15F0" w:rsidRDefault="00B27106"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noProof/>
                <w:sz w:val="20"/>
                <w:szCs w:val="20"/>
              </w:rPr>
              <w:t>1 110</w:t>
            </w:r>
            <w:r w:rsidR="00882D1C" w:rsidRPr="003F15F0">
              <w:rPr>
                <w:rFonts w:ascii="Times New Roman" w:hAnsi="Times New Roman" w:cs="Times New Roman"/>
                <w:noProof/>
                <w:sz w:val="20"/>
                <w:szCs w:val="20"/>
              </w:rPr>
              <w:t> </w:t>
            </w:r>
            <w:r w:rsidRPr="003F15F0">
              <w:rPr>
                <w:rFonts w:ascii="Times New Roman" w:hAnsi="Times New Roman" w:cs="Times New Roman"/>
                <w:noProof/>
                <w:sz w:val="20"/>
                <w:szCs w:val="20"/>
              </w:rPr>
              <w:t>66</w:t>
            </w:r>
            <w:r w:rsidR="004D4487" w:rsidRPr="003F15F0">
              <w:rPr>
                <w:rFonts w:ascii="Times New Roman" w:hAnsi="Times New Roman" w:cs="Times New Roman"/>
                <w:noProof/>
                <w:sz w:val="20"/>
                <w:szCs w:val="20"/>
              </w:rPr>
              <w:t>7</w:t>
            </w:r>
          </w:p>
        </w:tc>
        <w:tc>
          <w:tcPr>
            <w:tcW w:w="703" w:type="pct"/>
            <w:tcBorders>
              <w:top w:val="outset" w:sz="6" w:space="0" w:color="auto"/>
              <w:left w:val="outset" w:sz="6" w:space="0" w:color="auto"/>
              <w:bottom w:val="outset" w:sz="6" w:space="0" w:color="auto"/>
              <w:right w:val="outset" w:sz="6" w:space="0" w:color="auto"/>
            </w:tcBorders>
            <w:vAlign w:val="center"/>
          </w:tcPr>
          <w:p w14:paraId="5EEFC216"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r>
      <w:tr w:rsidR="00D35FE7" w:rsidRPr="003F15F0" w14:paraId="674BACC7" w14:textId="77777777" w:rsidTr="00687550">
        <w:trPr>
          <w:trHeight w:val="2407"/>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0073FCB" w14:textId="77777777" w:rsidR="005C4720" w:rsidRPr="003F15F0" w:rsidRDefault="005C4720" w:rsidP="005C4720">
            <w:pPr>
              <w:numPr>
                <w:ilvl w:val="1"/>
                <w:numId w:val="3"/>
              </w:numPr>
              <w:ind w:left="0" w:firstLine="0"/>
              <w:contextualSpacing/>
              <w:rPr>
                <w:rFonts w:ascii="Times New Roman" w:hAnsi="Times New Roman" w:cs="Times New Roman"/>
                <w:noProof/>
                <w:lang w:eastAsia="lv-LV"/>
              </w:rPr>
            </w:pPr>
            <w:r w:rsidRPr="003F15F0">
              <w:rPr>
                <w:rFonts w:ascii="Times New Roman" w:hAnsi="Times New Roman" w:cs="Times New Roman"/>
                <w:iCs/>
                <w:noProof/>
                <w:lang w:eastAsia="lv-LV"/>
              </w:rPr>
              <w:lastRenderedPageBreak/>
              <w:t>valsts pamatbu-džets, tai skaitā ieņēmumi no maksas pakalpojumiem un citi pašu ieņēmumi</w:t>
            </w:r>
          </w:p>
        </w:tc>
        <w:tc>
          <w:tcPr>
            <w:tcW w:w="489" w:type="pct"/>
            <w:tcBorders>
              <w:top w:val="outset" w:sz="6" w:space="0" w:color="auto"/>
              <w:left w:val="outset" w:sz="6" w:space="0" w:color="auto"/>
              <w:bottom w:val="outset" w:sz="6" w:space="0" w:color="auto"/>
              <w:right w:val="outset" w:sz="6" w:space="0" w:color="auto"/>
            </w:tcBorders>
          </w:tcPr>
          <w:p w14:paraId="51271FE5" w14:textId="3BD69475"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64FF632A" w14:textId="471AF5EC"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tcPr>
          <w:p w14:paraId="348C2D55" w14:textId="0D0CE3CE" w:rsidR="005C4720" w:rsidRPr="003F15F0" w:rsidRDefault="00882D1C"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589 333</w:t>
            </w:r>
          </w:p>
        </w:tc>
        <w:tc>
          <w:tcPr>
            <w:tcW w:w="560" w:type="pct"/>
            <w:tcBorders>
              <w:top w:val="outset" w:sz="6" w:space="0" w:color="auto"/>
              <w:left w:val="outset" w:sz="6" w:space="0" w:color="auto"/>
              <w:bottom w:val="outset" w:sz="6" w:space="0" w:color="auto"/>
              <w:right w:val="outset" w:sz="6" w:space="0" w:color="auto"/>
            </w:tcBorders>
          </w:tcPr>
          <w:p w14:paraId="00B3DF03" w14:textId="567CB82A"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468" w:type="pct"/>
            <w:tcBorders>
              <w:top w:val="outset" w:sz="6" w:space="0" w:color="auto"/>
              <w:left w:val="outset" w:sz="6" w:space="0" w:color="auto"/>
              <w:bottom w:val="outset" w:sz="6" w:space="0" w:color="auto"/>
              <w:right w:val="outset" w:sz="6" w:space="0" w:color="auto"/>
            </w:tcBorders>
          </w:tcPr>
          <w:p w14:paraId="0F7F345C"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tcPr>
          <w:p w14:paraId="1E085EBA" w14:textId="7794E967" w:rsidR="005C4720" w:rsidRPr="003F15F0" w:rsidRDefault="00B27106"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noProof/>
                <w:sz w:val="20"/>
                <w:szCs w:val="20"/>
              </w:rPr>
              <w:t>1 110</w:t>
            </w:r>
            <w:r w:rsidR="00882D1C" w:rsidRPr="003F15F0">
              <w:rPr>
                <w:rFonts w:ascii="Times New Roman" w:hAnsi="Times New Roman" w:cs="Times New Roman"/>
                <w:noProof/>
                <w:sz w:val="20"/>
                <w:szCs w:val="20"/>
              </w:rPr>
              <w:t> </w:t>
            </w:r>
            <w:r w:rsidRPr="003F15F0">
              <w:rPr>
                <w:rFonts w:ascii="Times New Roman" w:hAnsi="Times New Roman" w:cs="Times New Roman"/>
                <w:noProof/>
                <w:sz w:val="20"/>
                <w:szCs w:val="20"/>
              </w:rPr>
              <w:t>66</w:t>
            </w:r>
            <w:r w:rsidR="00FE2DFB" w:rsidRPr="003F15F0">
              <w:rPr>
                <w:rFonts w:ascii="Times New Roman" w:hAnsi="Times New Roman" w:cs="Times New Roman"/>
                <w:noProof/>
                <w:sz w:val="20"/>
                <w:szCs w:val="20"/>
              </w:rPr>
              <w:t>7</w:t>
            </w:r>
          </w:p>
        </w:tc>
        <w:tc>
          <w:tcPr>
            <w:tcW w:w="703" w:type="pct"/>
            <w:tcBorders>
              <w:top w:val="outset" w:sz="6" w:space="0" w:color="auto"/>
              <w:left w:val="outset" w:sz="6" w:space="0" w:color="auto"/>
              <w:bottom w:val="outset" w:sz="6" w:space="0" w:color="auto"/>
              <w:right w:val="outset" w:sz="6" w:space="0" w:color="auto"/>
            </w:tcBorders>
          </w:tcPr>
          <w:p w14:paraId="4226D87B"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r>
      <w:tr w:rsidR="00D35FE7" w:rsidRPr="003F15F0" w14:paraId="7C0F82A6"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ED6305B"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2. Budžeta izdevumi</w:t>
            </w:r>
          </w:p>
        </w:tc>
        <w:tc>
          <w:tcPr>
            <w:tcW w:w="489" w:type="pct"/>
            <w:tcBorders>
              <w:top w:val="outset" w:sz="6" w:space="0" w:color="auto"/>
              <w:left w:val="outset" w:sz="6" w:space="0" w:color="auto"/>
              <w:bottom w:val="outset" w:sz="6" w:space="0" w:color="auto"/>
              <w:right w:val="outset" w:sz="6" w:space="0" w:color="auto"/>
            </w:tcBorders>
            <w:vAlign w:val="center"/>
          </w:tcPr>
          <w:p w14:paraId="6A09E0E8" w14:textId="2D7AE0ED"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vAlign w:val="center"/>
          </w:tcPr>
          <w:p w14:paraId="180619EC" w14:textId="32656029"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3D1D2CF4" w14:textId="26CB1DFD" w:rsidR="005C4720" w:rsidRPr="003F15F0" w:rsidRDefault="00882D1C"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693 333</w:t>
            </w:r>
          </w:p>
        </w:tc>
        <w:tc>
          <w:tcPr>
            <w:tcW w:w="560" w:type="pct"/>
            <w:tcBorders>
              <w:top w:val="outset" w:sz="6" w:space="0" w:color="auto"/>
              <w:left w:val="outset" w:sz="6" w:space="0" w:color="auto"/>
              <w:bottom w:val="outset" w:sz="6" w:space="0" w:color="auto"/>
              <w:right w:val="outset" w:sz="6" w:space="0" w:color="auto"/>
            </w:tcBorders>
            <w:vAlign w:val="center"/>
          </w:tcPr>
          <w:p w14:paraId="23526BA7" w14:textId="3F433B6E"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68" w:type="pct"/>
            <w:tcBorders>
              <w:top w:val="outset" w:sz="6" w:space="0" w:color="auto"/>
              <w:left w:val="outset" w:sz="6" w:space="0" w:color="auto"/>
              <w:bottom w:val="outset" w:sz="6" w:space="0" w:color="auto"/>
              <w:right w:val="outset" w:sz="6" w:space="0" w:color="auto"/>
            </w:tcBorders>
            <w:vAlign w:val="center"/>
          </w:tcPr>
          <w:p w14:paraId="2BF8A56F"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710" w:type="pct"/>
            <w:tcBorders>
              <w:top w:val="outset" w:sz="6" w:space="0" w:color="auto"/>
              <w:left w:val="outset" w:sz="6" w:space="0" w:color="auto"/>
              <w:bottom w:val="outset" w:sz="6" w:space="0" w:color="auto"/>
              <w:right w:val="outset" w:sz="6" w:space="0" w:color="auto"/>
            </w:tcBorders>
            <w:vAlign w:val="center"/>
          </w:tcPr>
          <w:p w14:paraId="7CEF5CE7" w14:textId="095546A2" w:rsidR="005C4720" w:rsidRPr="003F15F0" w:rsidRDefault="00B27106"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1 306</w:t>
            </w:r>
            <w:r w:rsidR="00882D1C" w:rsidRPr="003F15F0">
              <w:rPr>
                <w:rFonts w:ascii="Times New Roman" w:hAnsi="Times New Roman" w:cs="Times New Roman"/>
                <w:iCs/>
                <w:noProof/>
                <w:sz w:val="20"/>
                <w:szCs w:val="20"/>
                <w:lang w:val="en-US" w:eastAsia="lv-LV"/>
              </w:rPr>
              <w:t> </w:t>
            </w:r>
            <w:r w:rsidRPr="003F15F0">
              <w:rPr>
                <w:rFonts w:ascii="Times New Roman" w:hAnsi="Times New Roman" w:cs="Times New Roman"/>
                <w:iCs/>
                <w:noProof/>
                <w:sz w:val="20"/>
                <w:szCs w:val="20"/>
                <w:lang w:val="en-US" w:eastAsia="lv-LV"/>
              </w:rPr>
              <w:t>66</w:t>
            </w:r>
            <w:r w:rsidR="00FE2DFB" w:rsidRPr="003F15F0">
              <w:rPr>
                <w:rFonts w:ascii="Times New Roman" w:hAnsi="Times New Roman" w:cs="Times New Roman"/>
                <w:iCs/>
                <w:noProof/>
                <w:sz w:val="20"/>
                <w:szCs w:val="20"/>
                <w:lang w:val="en-US" w:eastAsia="lv-LV"/>
              </w:rPr>
              <w:t>7</w:t>
            </w:r>
          </w:p>
        </w:tc>
        <w:tc>
          <w:tcPr>
            <w:tcW w:w="703" w:type="pct"/>
            <w:tcBorders>
              <w:top w:val="outset" w:sz="6" w:space="0" w:color="auto"/>
              <w:left w:val="outset" w:sz="6" w:space="0" w:color="auto"/>
              <w:bottom w:val="outset" w:sz="6" w:space="0" w:color="auto"/>
              <w:right w:val="outset" w:sz="6" w:space="0" w:color="auto"/>
            </w:tcBorders>
            <w:vAlign w:val="center"/>
          </w:tcPr>
          <w:p w14:paraId="05CBF1FF" w14:textId="27837B83" w:rsidR="005C4720" w:rsidRPr="003F15F0" w:rsidRDefault="003A4F9D"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42 000</w:t>
            </w:r>
          </w:p>
        </w:tc>
      </w:tr>
      <w:tr w:rsidR="00D35FE7" w:rsidRPr="003F15F0" w14:paraId="2F17BA1D"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7A14114A"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2.1. valsts pamatbudžets</w:t>
            </w:r>
          </w:p>
        </w:tc>
        <w:tc>
          <w:tcPr>
            <w:tcW w:w="489" w:type="pct"/>
            <w:tcBorders>
              <w:top w:val="outset" w:sz="6" w:space="0" w:color="auto"/>
              <w:left w:val="outset" w:sz="6" w:space="0" w:color="auto"/>
              <w:bottom w:val="outset" w:sz="6" w:space="0" w:color="auto"/>
              <w:right w:val="outset" w:sz="6" w:space="0" w:color="auto"/>
            </w:tcBorders>
          </w:tcPr>
          <w:p w14:paraId="6EE82ECE" w14:textId="4F45267B"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5C587677" w14:textId="3CB5394E"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tcPr>
          <w:p w14:paraId="48C5A725" w14:textId="7A260F14" w:rsidR="005C4720" w:rsidRPr="003F15F0" w:rsidRDefault="00882D1C"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693 333</w:t>
            </w:r>
          </w:p>
        </w:tc>
        <w:tc>
          <w:tcPr>
            <w:tcW w:w="560" w:type="pct"/>
            <w:tcBorders>
              <w:top w:val="outset" w:sz="6" w:space="0" w:color="auto"/>
              <w:left w:val="outset" w:sz="6" w:space="0" w:color="auto"/>
              <w:bottom w:val="outset" w:sz="6" w:space="0" w:color="auto"/>
              <w:right w:val="outset" w:sz="6" w:space="0" w:color="auto"/>
            </w:tcBorders>
          </w:tcPr>
          <w:p w14:paraId="61AA1034" w14:textId="5C83F2DB"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468" w:type="pct"/>
            <w:tcBorders>
              <w:top w:val="outset" w:sz="6" w:space="0" w:color="auto"/>
              <w:left w:val="outset" w:sz="6" w:space="0" w:color="auto"/>
              <w:bottom w:val="outset" w:sz="6" w:space="0" w:color="auto"/>
              <w:right w:val="outset" w:sz="6" w:space="0" w:color="auto"/>
            </w:tcBorders>
          </w:tcPr>
          <w:p w14:paraId="543C8BF5"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tcPr>
          <w:p w14:paraId="31D21384" w14:textId="04428CB7" w:rsidR="005C4720" w:rsidRPr="003F15F0" w:rsidRDefault="00B27106"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1 306</w:t>
            </w:r>
            <w:r w:rsidR="00882D1C" w:rsidRPr="003F15F0">
              <w:rPr>
                <w:rFonts w:ascii="Times New Roman" w:hAnsi="Times New Roman" w:cs="Times New Roman"/>
                <w:iCs/>
                <w:noProof/>
                <w:sz w:val="20"/>
                <w:szCs w:val="20"/>
                <w:lang w:val="en-US" w:eastAsia="lv-LV"/>
              </w:rPr>
              <w:t> </w:t>
            </w:r>
            <w:r w:rsidRPr="003F15F0">
              <w:rPr>
                <w:rFonts w:ascii="Times New Roman" w:hAnsi="Times New Roman" w:cs="Times New Roman"/>
                <w:iCs/>
                <w:noProof/>
                <w:sz w:val="20"/>
                <w:szCs w:val="20"/>
                <w:lang w:val="en-US" w:eastAsia="lv-LV"/>
              </w:rPr>
              <w:t>66</w:t>
            </w:r>
            <w:r w:rsidR="00FE2DFB" w:rsidRPr="003F15F0">
              <w:rPr>
                <w:rFonts w:ascii="Times New Roman" w:hAnsi="Times New Roman" w:cs="Times New Roman"/>
                <w:iCs/>
                <w:noProof/>
                <w:sz w:val="20"/>
                <w:szCs w:val="20"/>
                <w:lang w:val="en-US" w:eastAsia="lv-LV"/>
              </w:rPr>
              <w:t>7</w:t>
            </w:r>
          </w:p>
        </w:tc>
        <w:tc>
          <w:tcPr>
            <w:tcW w:w="703" w:type="pct"/>
            <w:tcBorders>
              <w:top w:val="outset" w:sz="6" w:space="0" w:color="auto"/>
              <w:left w:val="outset" w:sz="6" w:space="0" w:color="auto"/>
              <w:bottom w:val="outset" w:sz="6" w:space="0" w:color="auto"/>
              <w:right w:val="outset" w:sz="6" w:space="0" w:color="auto"/>
            </w:tcBorders>
          </w:tcPr>
          <w:p w14:paraId="63437CCD" w14:textId="081CF045" w:rsidR="005C4720" w:rsidRPr="003F15F0" w:rsidRDefault="003A4F9D"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42 000</w:t>
            </w:r>
          </w:p>
        </w:tc>
      </w:tr>
      <w:tr w:rsidR="00D35FE7" w:rsidRPr="003F15F0" w14:paraId="3259ACCC"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1D79549E"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3. Finansiālā ietekme</w:t>
            </w:r>
          </w:p>
        </w:tc>
        <w:tc>
          <w:tcPr>
            <w:tcW w:w="489" w:type="pct"/>
            <w:tcBorders>
              <w:top w:val="outset" w:sz="6" w:space="0" w:color="auto"/>
              <w:left w:val="outset" w:sz="6" w:space="0" w:color="auto"/>
              <w:bottom w:val="outset" w:sz="6" w:space="0" w:color="auto"/>
              <w:right w:val="outset" w:sz="6" w:space="0" w:color="auto"/>
            </w:tcBorders>
          </w:tcPr>
          <w:p w14:paraId="52AFE5A9" w14:textId="5D0D7F16"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tcPr>
          <w:p w14:paraId="410A65B0" w14:textId="2161B153"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59" w:type="pct"/>
            <w:tcBorders>
              <w:top w:val="outset" w:sz="6" w:space="0" w:color="auto"/>
              <w:left w:val="outset" w:sz="6" w:space="0" w:color="auto"/>
              <w:bottom w:val="outset" w:sz="6" w:space="0" w:color="auto"/>
              <w:right w:val="outset" w:sz="6" w:space="0" w:color="auto"/>
            </w:tcBorders>
          </w:tcPr>
          <w:p w14:paraId="46EBF8A3" w14:textId="593A4BD9" w:rsidR="005C4720" w:rsidRPr="003F15F0" w:rsidRDefault="00882D1C"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-104 000</w:t>
            </w:r>
          </w:p>
        </w:tc>
        <w:tc>
          <w:tcPr>
            <w:tcW w:w="560" w:type="pct"/>
            <w:tcBorders>
              <w:top w:val="outset" w:sz="6" w:space="0" w:color="auto"/>
              <w:left w:val="outset" w:sz="6" w:space="0" w:color="auto"/>
              <w:bottom w:val="outset" w:sz="6" w:space="0" w:color="auto"/>
              <w:right w:val="outset" w:sz="6" w:space="0" w:color="auto"/>
            </w:tcBorders>
          </w:tcPr>
          <w:p w14:paraId="65AE6E0A" w14:textId="3B2758C6"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68" w:type="pct"/>
            <w:tcBorders>
              <w:top w:val="outset" w:sz="6" w:space="0" w:color="auto"/>
              <w:left w:val="outset" w:sz="6" w:space="0" w:color="auto"/>
              <w:bottom w:val="outset" w:sz="6" w:space="0" w:color="auto"/>
              <w:right w:val="outset" w:sz="6" w:space="0" w:color="auto"/>
            </w:tcBorders>
          </w:tcPr>
          <w:p w14:paraId="6FC053E4"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710" w:type="pct"/>
            <w:tcBorders>
              <w:top w:val="outset" w:sz="6" w:space="0" w:color="auto"/>
              <w:left w:val="outset" w:sz="6" w:space="0" w:color="auto"/>
              <w:bottom w:val="outset" w:sz="6" w:space="0" w:color="auto"/>
              <w:right w:val="outset" w:sz="6" w:space="0" w:color="auto"/>
            </w:tcBorders>
          </w:tcPr>
          <w:p w14:paraId="405F3F00" w14:textId="4803AFC1" w:rsidR="005C4720" w:rsidRPr="003F15F0" w:rsidRDefault="00B27106"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-196</w:t>
            </w:r>
            <w:r w:rsidR="00882D1C" w:rsidRPr="003F15F0">
              <w:rPr>
                <w:rFonts w:ascii="Times New Roman" w:hAnsi="Times New Roman" w:cs="Times New Roman"/>
                <w:iCs/>
                <w:noProof/>
                <w:sz w:val="20"/>
                <w:szCs w:val="20"/>
                <w:lang w:val="en-US" w:eastAsia="lv-LV"/>
              </w:rPr>
              <w:t> </w:t>
            </w:r>
            <w:r w:rsidRPr="003F15F0">
              <w:rPr>
                <w:rFonts w:ascii="Times New Roman" w:hAnsi="Times New Roman" w:cs="Times New Roman"/>
                <w:iCs/>
                <w:noProof/>
                <w:sz w:val="20"/>
                <w:szCs w:val="20"/>
                <w:lang w:val="en-US" w:eastAsia="lv-LV"/>
              </w:rPr>
              <w:t>000</w:t>
            </w:r>
          </w:p>
        </w:tc>
        <w:tc>
          <w:tcPr>
            <w:tcW w:w="703" w:type="pct"/>
            <w:tcBorders>
              <w:top w:val="outset" w:sz="6" w:space="0" w:color="auto"/>
              <w:left w:val="outset" w:sz="6" w:space="0" w:color="auto"/>
              <w:bottom w:val="outset" w:sz="6" w:space="0" w:color="auto"/>
              <w:right w:val="outset" w:sz="6" w:space="0" w:color="auto"/>
            </w:tcBorders>
          </w:tcPr>
          <w:p w14:paraId="2100AF81" w14:textId="507A5727" w:rsidR="005C4720" w:rsidRPr="003F15F0" w:rsidRDefault="003A4F9D"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-42 000</w:t>
            </w:r>
          </w:p>
        </w:tc>
      </w:tr>
      <w:tr w:rsidR="00D35FE7" w:rsidRPr="003F15F0" w14:paraId="772C0B59"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3546EC25"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3.1. valsts pamatbudžets</w:t>
            </w:r>
          </w:p>
        </w:tc>
        <w:tc>
          <w:tcPr>
            <w:tcW w:w="489" w:type="pct"/>
            <w:tcBorders>
              <w:top w:val="outset" w:sz="6" w:space="0" w:color="auto"/>
              <w:left w:val="outset" w:sz="6" w:space="0" w:color="auto"/>
              <w:bottom w:val="outset" w:sz="6" w:space="0" w:color="auto"/>
              <w:right w:val="outset" w:sz="6" w:space="0" w:color="auto"/>
            </w:tcBorders>
          </w:tcPr>
          <w:p w14:paraId="7CDE1FB4" w14:textId="51E3DAEB"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70733B8B" w14:textId="492851EF"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tcPr>
          <w:p w14:paraId="0FC026C8" w14:textId="006E5D6C" w:rsidR="005C4720" w:rsidRPr="003F15F0" w:rsidRDefault="00882D1C"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-104 000</w:t>
            </w:r>
          </w:p>
        </w:tc>
        <w:tc>
          <w:tcPr>
            <w:tcW w:w="560" w:type="pct"/>
            <w:tcBorders>
              <w:top w:val="outset" w:sz="6" w:space="0" w:color="auto"/>
              <w:left w:val="outset" w:sz="6" w:space="0" w:color="auto"/>
              <w:bottom w:val="outset" w:sz="6" w:space="0" w:color="auto"/>
              <w:right w:val="outset" w:sz="6" w:space="0" w:color="auto"/>
            </w:tcBorders>
          </w:tcPr>
          <w:p w14:paraId="599C6DB1" w14:textId="04EAD89E"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468" w:type="pct"/>
            <w:tcBorders>
              <w:top w:val="outset" w:sz="6" w:space="0" w:color="auto"/>
              <w:left w:val="outset" w:sz="6" w:space="0" w:color="auto"/>
              <w:bottom w:val="outset" w:sz="6" w:space="0" w:color="auto"/>
              <w:right w:val="outset" w:sz="6" w:space="0" w:color="auto"/>
            </w:tcBorders>
          </w:tcPr>
          <w:p w14:paraId="6129117D"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 xml:space="preserve"> 0</w:t>
            </w:r>
          </w:p>
        </w:tc>
        <w:tc>
          <w:tcPr>
            <w:tcW w:w="710" w:type="pct"/>
            <w:tcBorders>
              <w:top w:val="outset" w:sz="6" w:space="0" w:color="auto"/>
              <w:left w:val="outset" w:sz="6" w:space="0" w:color="auto"/>
              <w:bottom w:val="outset" w:sz="6" w:space="0" w:color="auto"/>
              <w:right w:val="outset" w:sz="6" w:space="0" w:color="auto"/>
            </w:tcBorders>
          </w:tcPr>
          <w:p w14:paraId="7F90E1B7" w14:textId="7004137F" w:rsidR="005C4720" w:rsidRPr="003F15F0" w:rsidRDefault="00B27106"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-196</w:t>
            </w:r>
            <w:r w:rsidR="00882D1C" w:rsidRPr="003F15F0">
              <w:rPr>
                <w:rFonts w:ascii="Times New Roman" w:hAnsi="Times New Roman" w:cs="Times New Roman"/>
                <w:sz w:val="20"/>
                <w:szCs w:val="20"/>
              </w:rPr>
              <w:t> </w:t>
            </w:r>
            <w:r w:rsidRPr="003F15F0">
              <w:rPr>
                <w:rFonts w:ascii="Times New Roman" w:hAnsi="Times New Roman" w:cs="Times New Roman"/>
                <w:sz w:val="20"/>
                <w:szCs w:val="20"/>
              </w:rPr>
              <w:t>000</w:t>
            </w:r>
          </w:p>
        </w:tc>
        <w:tc>
          <w:tcPr>
            <w:tcW w:w="703" w:type="pct"/>
            <w:tcBorders>
              <w:top w:val="outset" w:sz="6" w:space="0" w:color="auto"/>
              <w:left w:val="outset" w:sz="6" w:space="0" w:color="auto"/>
              <w:bottom w:val="outset" w:sz="6" w:space="0" w:color="auto"/>
              <w:right w:val="outset" w:sz="6" w:space="0" w:color="auto"/>
            </w:tcBorders>
          </w:tcPr>
          <w:p w14:paraId="74302C9A" w14:textId="676CF48B" w:rsidR="005C4720" w:rsidRPr="003F15F0" w:rsidRDefault="003A4F9D"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-42 000</w:t>
            </w:r>
          </w:p>
        </w:tc>
      </w:tr>
      <w:tr w:rsidR="00D35FE7" w:rsidRPr="003F15F0" w14:paraId="33E8FBAE"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6FBC5BD3" w14:textId="77777777" w:rsidR="005C4720" w:rsidRPr="003F15F0" w:rsidRDefault="005C4720" w:rsidP="003503D4">
            <w:pPr>
              <w:rPr>
                <w:rFonts w:ascii="Times New Roman" w:hAnsi="Times New Roman" w:cs="Times New Roman"/>
                <w:iCs/>
                <w:noProof/>
                <w:lang w:eastAsia="lv-LV"/>
              </w:rPr>
            </w:pPr>
            <w:r w:rsidRPr="003F15F0">
              <w:rPr>
                <w:rFonts w:ascii="Times New Roman" w:hAnsi="Times New Roman" w:cs="Times New Roman"/>
                <w:iCs/>
                <w:noProof/>
                <w:lang w:eastAsia="lv-LV"/>
              </w:rPr>
              <w:t>4. Finanšu līdzekļi papildu izdevumu finansēšanai (kompen-sējošu izdevumu samazinā-jumu norāda ar "+" zīmi)</w:t>
            </w:r>
          </w:p>
        </w:tc>
        <w:tc>
          <w:tcPr>
            <w:tcW w:w="489" w:type="pct"/>
            <w:tcBorders>
              <w:top w:val="outset" w:sz="6" w:space="0" w:color="auto"/>
              <w:left w:val="outset" w:sz="6" w:space="0" w:color="auto"/>
              <w:bottom w:val="outset" w:sz="6" w:space="0" w:color="auto"/>
              <w:right w:val="outset" w:sz="6" w:space="0" w:color="auto"/>
            </w:tcBorders>
          </w:tcPr>
          <w:p w14:paraId="281BAFA8" w14:textId="77777777" w:rsidR="005C4720" w:rsidRPr="003F15F0" w:rsidRDefault="005C4720" w:rsidP="003503D4">
            <w:pPr>
              <w:jc w:val="center"/>
              <w:rPr>
                <w:rFonts w:ascii="Times New Roman" w:hAnsi="Times New Roman" w:cs="Times New Roman"/>
                <w:iCs/>
                <w:noProof/>
                <w:sz w:val="20"/>
                <w:szCs w:val="20"/>
                <w:lang w:eastAsia="lv-LV"/>
              </w:rPr>
            </w:pPr>
            <w:r w:rsidRPr="003F15F0">
              <w:rPr>
                <w:rFonts w:ascii="Times New Roman" w:hAnsi="Times New Roman" w:cs="Times New Roman"/>
                <w:iCs/>
                <w:noProof/>
                <w:sz w:val="20"/>
                <w:szCs w:val="20"/>
                <w:lang w:eastAsia="lv-LV"/>
              </w:rPr>
              <w:t> </w:t>
            </w:r>
            <w:r w:rsidRPr="003F15F0">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tcPr>
          <w:p w14:paraId="492E7934"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459" w:type="pct"/>
            <w:tcBorders>
              <w:top w:val="outset" w:sz="6" w:space="0" w:color="auto"/>
              <w:left w:val="outset" w:sz="6" w:space="0" w:color="auto"/>
              <w:bottom w:val="outset" w:sz="6" w:space="0" w:color="auto"/>
              <w:right w:val="outset" w:sz="6" w:space="0" w:color="auto"/>
            </w:tcBorders>
          </w:tcPr>
          <w:p w14:paraId="16EC8A13"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560" w:type="pct"/>
            <w:tcBorders>
              <w:top w:val="outset" w:sz="6" w:space="0" w:color="auto"/>
              <w:left w:val="outset" w:sz="6" w:space="0" w:color="auto"/>
              <w:bottom w:val="outset" w:sz="6" w:space="0" w:color="auto"/>
              <w:right w:val="outset" w:sz="6" w:space="0" w:color="auto"/>
            </w:tcBorders>
          </w:tcPr>
          <w:p w14:paraId="0B79A7A3"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68" w:type="pct"/>
            <w:tcBorders>
              <w:top w:val="outset" w:sz="6" w:space="0" w:color="auto"/>
              <w:left w:val="outset" w:sz="6" w:space="0" w:color="auto"/>
              <w:bottom w:val="outset" w:sz="6" w:space="0" w:color="auto"/>
              <w:right w:val="outset" w:sz="6" w:space="0" w:color="auto"/>
            </w:tcBorders>
          </w:tcPr>
          <w:p w14:paraId="5520DC8C"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710" w:type="pct"/>
            <w:tcBorders>
              <w:top w:val="outset" w:sz="6" w:space="0" w:color="auto"/>
              <w:left w:val="outset" w:sz="6" w:space="0" w:color="auto"/>
              <w:bottom w:val="outset" w:sz="6" w:space="0" w:color="auto"/>
              <w:right w:val="outset" w:sz="6" w:space="0" w:color="auto"/>
            </w:tcBorders>
          </w:tcPr>
          <w:p w14:paraId="68B9D9DF"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703" w:type="pct"/>
            <w:tcBorders>
              <w:top w:val="outset" w:sz="6" w:space="0" w:color="auto"/>
              <w:left w:val="outset" w:sz="6" w:space="0" w:color="auto"/>
              <w:bottom w:val="outset" w:sz="6" w:space="0" w:color="auto"/>
              <w:right w:val="outset" w:sz="6" w:space="0" w:color="auto"/>
            </w:tcBorders>
          </w:tcPr>
          <w:p w14:paraId="3CE8393F"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r>
      <w:tr w:rsidR="00D35FE7" w:rsidRPr="003F15F0" w14:paraId="00DA80D4"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tcPr>
          <w:p w14:paraId="0C0C1B3B"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5. Precizēta finansiālā ietekme</w:t>
            </w:r>
          </w:p>
        </w:tc>
        <w:tc>
          <w:tcPr>
            <w:tcW w:w="489" w:type="pct"/>
            <w:tcBorders>
              <w:top w:val="outset" w:sz="6" w:space="0" w:color="auto"/>
              <w:left w:val="outset" w:sz="6" w:space="0" w:color="auto"/>
              <w:bottom w:val="outset" w:sz="6" w:space="0" w:color="auto"/>
              <w:right w:val="outset" w:sz="6" w:space="0" w:color="auto"/>
            </w:tcBorders>
            <w:vAlign w:val="center"/>
          </w:tcPr>
          <w:p w14:paraId="477D51D1" w14:textId="0550DED1"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vAlign w:val="center"/>
          </w:tcPr>
          <w:p w14:paraId="2DB89F49" w14:textId="06C62E60"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1EC37DA0" w14:textId="59EE7566" w:rsidR="005C4720" w:rsidRPr="003F15F0" w:rsidRDefault="00882D1C"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-104 000</w:t>
            </w:r>
          </w:p>
        </w:tc>
        <w:tc>
          <w:tcPr>
            <w:tcW w:w="560" w:type="pct"/>
            <w:tcBorders>
              <w:top w:val="outset" w:sz="6" w:space="0" w:color="auto"/>
              <w:left w:val="outset" w:sz="6" w:space="0" w:color="auto"/>
              <w:bottom w:val="outset" w:sz="6" w:space="0" w:color="auto"/>
              <w:right w:val="outset" w:sz="6" w:space="0" w:color="auto"/>
            </w:tcBorders>
            <w:vAlign w:val="center"/>
          </w:tcPr>
          <w:p w14:paraId="4CB72F40" w14:textId="7A18F57C"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68" w:type="pct"/>
            <w:tcBorders>
              <w:top w:val="outset" w:sz="6" w:space="0" w:color="auto"/>
              <w:left w:val="outset" w:sz="6" w:space="0" w:color="auto"/>
              <w:bottom w:val="outset" w:sz="6" w:space="0" w:color="auto"/>
              <w:right w:val="outset" w:sz="6" w:space="0" w:color="auto"/>
            </w:tcBorders>
            <w:vAlign w:val="center"/>
          </w:tcPr>
          <w:p w14:paraId="2A9C9912"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710" w:type="pct"/>
            <w:tcBorders>
              <w:top w:val="outset" w:sz="6" w:space="0" w:color="auto"/>
              <w:left w:val="outset" w:sz="6" w:space="0" w:color="auto"/>
              <w:bottom w:val="outset" w:sz="6" w:space="0" w:color="auto"/>
              <w:right w:val="outset" w:sz="6" w:space="0" w:color="auto"/>
            </w:tcBorders>
            <w:vAlign w:val="center"/>
          </w:tcPr>
          <w:p w14:paraId="54A913D1" w14:textId="19A0453B" w:rsidR="005C4720" w:rsidRPr="003F15F0" w:rsidRDefault="00B27106"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-196</w:t>
            </w:r>
            <w:r w:rsidR="00882D1C" w:rsidRPr="003F15F0">
              <w:rPr>
                <w:rFonts w:ascii="Times New Roman" w:hAnsi="Times New Roman" w:cs="Times New Roman"/>
                <w:sz w:val="20"/>
                <w:szCs w:val="20"/>
              </w:rPr>
              <w:t> </w:t>
            </w:r>
            <w:r w:rsidRPr="003F15F0">
              <w:rPr>
                <w:rFonts w:ascii="Times New Roman" w:hAnsi="Times New Roman" w:cs="Times New Roman"/>
                <w:sz w:val="20"/>
                <w:szCs w:val="20"/>
              </w:rPr>
              <w:t>000</w:t>
            </w:r>
          </w:p>
        </w:tc>
        <w:tc>
          <w:tcPr>
            <w:tcW w:w="703" w:type="pct"/>
            <w:tcBorders>
              <w:top w:val="outset" w:sz="6" w:space="0" w:color="auto"/>
              <w:left w:val="outset" w:sz="6" w:space="0" w:color="auto"/>
              <w:bottom w:val="outset" w:sz="6" w:space="0" w:color="auto"/>
              <w:right w:val="outset" w:sz="6" w:space="0" w:color="auto"/>
            </w:tcBorders>
            <w:vAlign w:val="center"/>
          </w:tcPr>
          <w:p w14:paraId="756A0F51" w14:textId="348CA62D" w:rsidR="005C4720" w:rsidRPr="003F15F0" w:rsidRDefault="003A4F9D"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-42 000</w:t>
            </w:r>
          </w:p>
        </w:tc>
      </w:tr>
      <w:tr w:rsidR="00D35FE7" w:rsidRPr="003F15F0" w14:paraId="7987A251"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tcPr>
          <w:p w14:paraId="598CF5CB"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5.1. valsts pamatbu-džets</w:t>
            </w:r>
          </w:p>
        </w:tc>
        <w:tc>
          <w:tcPr>
            <w:tcW w:w="489" w:type="pct"/>
            <w:tcBorders>
              <w:top w:val="outset" w:sz="6" w:space="0" w:color="auto"/>
              <w:left w:val="outset" w:sz="6" w:space="0" w:color="auto"/>
              <w:bottom w:val="outset" w:sz="6" w:space="0" w:color="auto"/>
              <w:right w:val="outset" w:sz="6" w:space="0" w:color="auto"/>
            </w:tcBorders>
            <w:vAlign w:val="center"/>
          </w:tcPr>
          <w:p w14:paraId="0FBE501B" w14:textId="0E0BB561"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vAlign w:val="center"/>
          </w:tcPr>
          <w:p w14:paraId="1313D535" w14:textId="366AFFC8"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r w:rsidR="005C4720" w:rsidRPr="003F15F0">
              <w:rPr>
                <w:rFonts w:ascii="Times New Roman" w:hAnsi="Times New Roman" w:cs="Times New Roman"/>
                <w:iCs/>
                <w:noProof/>
                <w:sz w:val="20"/>
                <w:szCs w:val="20"/>
                <w:lang w:val="en-US" w:eastAsia="lv-LV"/>
              </w:rPr>
              <w:t xml:space="preserve"> </w:t>
            </w:r>
          </w:p>
        </w:tc>
        <w:tc>
          <w:tcPr>
            <w:tcW w:w="459" w:type="pct"/>
            <w:tcBorders>
              <w:top w:val="outset" w:sz="6" w:space="0" w:color="auto"/>
              <w:left w:val="outset" w:sz="6" w:space="0" w:color="auto"/>
              <w:bottom w:val="outset" w:sz="6" w:space="0" w:color="auto"/>
              <w:right w:val="outset" w:sz="6" w:space="0" w:color="auto"/>
            </w:tcBorders>
            <w:vAlign w:val="center"/>
          </w:tcPr>
          <w:p w14:paraId="7AE70AF9" w14:textId="12CFD99A" w:rsidR="005C4720" w:rsidRPr="003F15F0" w:rsidRDefault="00882D1C"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-104 000</w:t>
            </w:r>
          </w:p>
        </w:tc>
        <w:tc>
          <w:tcPr>
            <w:tcW w:w="560" w:type="pct"/>
            <w:tcBorders>
              <w:top w:val="outset" w:sz="6" w:space="0" w:color="auto"/>
              <w:left w:val="outset" w:sz="6" w:space="0" w:color="auto"/>
              <w:bottom w:val="outset" w:sz="6" w:space="0" w:color="auto"/>
              <w:right w:val="outset" w:sz="6" w:space="0" w:color="auto"/>
            </w:tcBorders>
            <w:vAlign w:val="center"/>
          </w:tcPr>
          <w:p w14:paraId="0C9CDF8E" w14:textId="476139F1"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68" w:type="pct"/>
            <w:tcBorders>
              <w:top w:val="outset" w:sz="6" w:space="0" w:color="auto"/>
              <w:left w:val="outset" w:sz="6" w:space="0" w:color="auto"/>
              <w:bottom w:val="outset" w:sz="6" w:space="0" w:color="auto"/>
              <w:right w:val="outset" w:sz="6" w:space="0" w:color="auto"/>
            </w:tcBorders>
            <w:vAlign w:val="center"/>
          </w:tcPr>
          <w:p w14:paraId="7939100B"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710" w:type="pct"/>
            <w:tcBorders>
              <w:top w:val="outset" w:sz="6" w:space="0" w:color="auto"/>
              <w:left w:val="outset" w:sz="6" w:space="0" w:color="auto"/>
              <w:bottom w:val="outset" w:sz="6" w:space="0" w:color="auto"/>
              <w:right w:val="outset" w:sz="6" w:space="0" w:color="auto"/>
            </w:tcBorders>
            <w:vAlign w:val="center"/>
          </w:tcPr>
          <w:p w14:paraId="1D295E73" w14:textId="679C3AEE" w:rsidR="005C4720" w:rsidRPr="003F15F0" w:rsidRDefault="00B27106"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-196</w:t>
            </w:r>
            <w:r w:rsidR="00882D1C" w:rsidRPr="003F15F0">
              <w:rPr>
                <w:rFonts w:ascii="Times New Roman" w:hAnsi="Times New Roman" w:cs="Times New Roman"/>
                <w:sz w:val="20"/>
                <w:szCs w:val="20"/>
              </w:rPr>
              <w:t> </w:t>
            </w:r>
            <w:r w:rsidRPr="003F15F0">
              <w:rPr>
                <w:rFonts w:ascii="Times New Roman" w:hAnsi="Times New Roman" w:cs="Times New Roman"/>
                <w:sz w:val="20"/>
                <w:szCs w:val="20"/>
              </w:rPr>
              <w:t>000</w:t>
            </w:r>
          </w:p>
        </w:tc>
        <w:tc>
          <w:tcPr>
            <w:tcW w:w="703" w:type="pct"/>
            <w:tcBorders>
              <w:top w:val="outset" w:sz="6" w:space="0" w:color="auto"/>
              <w:left w:val="outset" w:sz="6" w:space="0" w:color="auto"/>
              <w:bottom w:val="outset" w:sz="6" w:space="0" w:color="auto"/>
              <w:right w:val="outset" w:sz="6" w:space="0" w:color="auto"/>
            </w:tcBorders>
            <w:vAlign w:val="center"/>
          </w:tcPr>
          <w:p w14:paraId="57191D58" w14:textId="6F8D9878" w:rsidR="005C4720" w:rsidRPr="003F15F0" w:rsidRDefault="003A4F9D"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-42 000</w:t>
            </w:r>
          </w:p>
        </w:tc>
      </w:tr>
      <w:tr w:rsidR="005C4720" w:rsidRPr="003F15F0" w14:paraId="6E1ED5C6"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636AE619" w14:textId="77777777" w:rsidR="005C4720" w:rsidRPr="003F15F0" w:rsidRDefault="005C4720" w:rsidP="003503D4">
            <w:pPr>
              <w:rPr>
                <w:rFonts w:ascii="Times New Roman" w:hAnsi="Times New Roman" w:cs="Times New Roman"/>
                <w:iCs/>
                <w:noProof/>
                <w:lang w:eastAsia="lv-LV"/>
              </w:rPr>
            </w:pPr>
            <w:r w:rsidRPr="003F15F0">
              <w:rPr>
                <w:rFonts w:ascii="Times New Roman" w:hAnsi="Times New Roman" w:cs="Times New Roman"/>
                <w:iCs/>
                <w:noProof/>
                <w:lang w:eastAsia="lv-LV"/>
              </w:rPr>
              <w:t>6. Detalizēts ieņēmumu un izdevumu aprēķins (ja nepiecie-šams, detalizētu ieņēmumu un izdevumu aprēķinu var pievienot anotācijas pielikumā)</w:t>
            </w:r>
          </w:p>
        </w:tc>
        <w:tc>
          <w:tcPr>
            <w:tcW w:w="4043" w:type="pct"/>
            <w:gridSpan w:val="7"/>
            <w:vMerge w:val="restart"/>
            <w:tcBorders>
              <w:top w:val="outset" w:sz="6" w:space="0" w:color="auto"/>
              <w:left w:val="outset" w:sz="6" w:space="0" w:color="auto"/>
              <w:bottom w:val="outset" w:sz="6" w:space="0" w:color="auto"/>
              <w:right w:val="outset" w:sz="6" w:space="0" w:color="auto"/>
            </w:tcBorders>
            <w:vAlign w:val="center"/>
          </w:tcPr>
          <w:p w14:paraId="7F2F1BA2" w14:textId="0D3D65C1" w:rsidR="005679ED" w:rsidRPr="003F15F0" w:rsidRDefault="005679ED" w:rsidP="005679ED">
            <w:pPr>
              <w:rPr>
                <w:rFonts w:ascii="Times New Roman" w:hAnsi="Times New Roman" w:cs="Times New Roman"/>
              </w:rPr>
            </w:pPr>
            <w:r w:rsidRPr="003F15F0">
              <w:rPr>
                <w:rFonts w:ascii="Times New Roman" w:hAnsi="Times New Roman" w:cs="Times New Roman"/>
              </w:rPr>
              <w:t xml:space="preserve">Projekts tiks līdzfinansēts no Eiropas Reģionālās attīstības fonda (turpmāk - ERAF) līdzekļiem un tā kopējais finansējuma apjoms (kopējās attiecināmās izmaksas) plānots 2 000 000 </w:t>
            </w:r>
            <w:proofErr w:type="spellStart"/>
            <w:r w:rsidRPr="003F15F0">
              <w:rPr>
                <w:rFonts w:ascii="Times New Roman" w:hAnsi="Times New Roman" w:cs="Times New Roman"/>
                <w:i/>
              </w:rPr>
              <w:t>euro</w:t>
            </w:r>
            <w:proofErr w:type="spellEnd"/>
            <w:r w:rsidRPr="003F15F0">
              <w:rPr>
                <w:rFonts w:ascii="Times New Roman" w:hAnsi="Times New Roman" w:cs="Times New Roman"/>
              </w:rPr>
              <w:t xml:space="preserve"> apmērā, tai skaitā ERAF finansējums 1 700 000 </w:t>
            </w:r>
            <w:proofErr w:type="spellStart"/>
            <w:r w:rsidRPr="003F15F0">
              <w:rPr>
                <w:rFonts w:ascii="Times New Roman" w:hAnsi="Times New Roman" w:cs="Times New Roman"/>
                <w:i/>
              </w:rPr>
              <w:t>euro</w:t>
            </w:r>
            <w:proofErr w:type="spellEnd"/>
            <w:r w:rsidRPr="003F15F0">
              <w:rPr>
                <w:rFonts w:ascii="Times New Roman" w:hAnsi="Times New Roman" w:cs="Times New Roman"/>
              </w:rPr>
              <w:t xml:space="preserve"> un valsts budžeta finansējums 300 000 </w:t>
            </w:r>
            <w:proofErr w:type="spellStart"/>
            <w:r w:rsidRPr="003F15F0">
              <w:rPr>
                <w:rFonts w:ascii="Times New Roman" w:hAnsi="Times New Roman" w:cs="Times New Roman"/>
                <w:i/>
              </w:rPr>
              <w:t>euro</w:t>
            </w:r>
            <w:proofErr w:type="spellEnd"/>
            <w:r w:rsidRPr="003F15F0">
              <w:rPr>
                <w:rFonts w:ascii="Times New Roman" w:hAnsi="Times New Roman" w:cs="Times New Roman"/>
                <w:i/>
              </w:rPr>
              <w:t>.</w:t>
            </w:r>
            <w:r w:rsidRPr="003F15F0">
              <w:rPr>
                <w:rFonts w:ascii="Times New Roman" w:hAnsi="Times New Roman" w:cs="Times New Roman"/>
              </w:rPr>
              <w:t xml:space="preserve"> </w:t>
            </w:r>
          </w:p>
          <w:p w14:paraId="075D52A3" w14:textId="6E3FB2C2" w:rsidR="005679ED" w:rsidRPr="003F15F0" w:rsidRDefault="005679ED" w:rsidP="005679ED">
            <w:pPr>
              <w:pStyle w:val="VPBullet"/>
              <w:numPr>
                <w:ilvl w:val="0"/>
                <w:numId w:val="0"/>
              </w:numPr>
              <w:rPr>
                <w:sz w:val="22"/>
              </w:rPr>
            </w:pPr>
            <w:r w:rsidRPr="003F15F0">
              <w:rPr>
                <w:sz w:val="22"/>
              </w:rPr>
              <w:t xml:space="preserve">Lai nodrošinātu ilgtspējīgu projekta ietvaros sagatavoto risinājumu darbību pēc projekta termiņa beigām, sākot ar 2023. gadu, </w:t>
            </w:r>
            <w:r w:rsidR="00B1133B" w:rsidRPr="003F15F0">
              <w:rPr>
                <w:sz w:val="22"/>
              </w:rPr>
              <w:t xml:space="preserve">līdz 2025. gadam </w:t>
            </w:r>
            <w:r w:rsidRPr="003F15F0">
              <w:rPr>
                <w:sz w:val="22"/>
              </w:rPr>
              <w:t xml:space="preserve">ir plānojamas IKT risinājumu uzturēšanas izmaksas. Plānotās </w:t>
            </w:r>
            <w:r w:rsidR="00B66011" w:rsidRPr="003F15F0">
              <w:rPr>
                <w:sz w:val="22"/>
              </w:rPr>
              <w:t xml:space="preserve">projekta laikā radīto jauno informācijas sistēmu </w:t>
            </w:r>
            <w:r w:rsidRPr="003F15F0">
              <w:rPr>
                <w:sz w:val="22"/>
              </w:rPr>
              <w:t>uzturēšanas (turpmākās sistēmu darbināšanas) izmaksas ir 84 000 </w:t>
            </w:r>
            <w:proofErr w:type="spellStart"/>
            <w:r w:rsidRPr="003F15F0">
              <w:rPr>
                <w:i/>
                <w:sz w:val="22"/>
              </w:rPr>
              <w:t>euro</w:t>
            </w:r>
            <w:proofErr w:type="spellEnd"/>
            <w:r w:rsidRPr="003F15F0">
              <w:rPr>
                <w:sz w:val="22"/>
              </w:rPr>
              <w:t xml:space="preserve"> gadā. Izvērtējot </w:t>
            </w:r>
            <w:r w:rsidR="00834DB2" w:rsidRPr="003F15F0">
              <w:rPr>
                <w:sz w:val="22"/>
              </w:rPr>
              <w:t>ZM</w:t>
            </w:r>
            <w:r w:rsidRPr="003F15F0">
              <w:rPr>
                <w:sz w:val="22"/>
              </w:rPr>
              <w:t xml:space="preserve"> un padotības iestāžu iespējas nodrošināt projekta rezultātu uzturēšanu, noteikts, ka 42 000 </w:t>
            </w:r>
            <w:proofErr w:type="spellStart"/>
            <w:r w:rsidRPr="003F15F0">
              <w:rPr>
                <w:i/>
                <w:sz w:val="22"/>
              </w:rPr>
              <w:t>euro</w:t>
            </w:r>
            <w:proofErr w:type="spellEnd"/>
            <w:r w:rsidRPr="003F15F0">
              <w:rPr>
                <w:sz w:val="22"/>
              </w:rPr>
              <w:t xml:space="preserve"> gadā tiks segti no </w:t>
            </w:r>
            <w:r w:rsidR="00834DB2" w:rsidRPr="003F15F0">
              <w:rPr>
                <w:sz w:val="22"/>
              </w:rPr>
              <w:t>ZM</w:t>
            </w:r>
            <w:r w:rsidRPr="003F15F0">
              <w:rPr>
                <w:sz w:val="22"/>
              </w:rPr>
              <w:t xml:space="preserve"> budžeta programmas </w:t>
            </w:r>
            <w:r w:rsidRPr="003F15F0">
              <w:rPr>
                <w:sz w:val="22"/>
              </w:rPr>
              <w:lastRenderedPageBreak/>
              <w:t>97.00.00 “Nozaru vadība un politikas plānošana”, bet 42 </w:t>
            </w:r>
            <w:r w:rsidR="003A4F9D" w:rsidRPr="003F15F0">
              <w:rPr>
                <w:sz w:val="22"/>
              </w:rPr>
              <w:t>0</w:t>
            </w:r>
            <w:r w:rsidRPr="003F15F0">
              <w:rPr>
                <w:sz w:val="22"/>
              </w:rPr>
              <w:t xml:space="preserve">00 </w:t>
            </w:r>
            <w:proofErr w:type="spellStart"/>
            <w:r w:rsidRPr="003F15F0">
              <w:rPr>
                <w:i/>
                <w:sz w:val="22"/>
              </w:rPr>
              <w:t>euro</w:t>
            </w:r>
            <w:proofErr w:type="spellEnd"/>
            <w:r w:rsidRPr="003F15F0">
              <w:rPr>
                <w:sz w:val="22"/>
              </w:rPr>
              <w:t xml:space="preserve"> gadā ir nepieciešamais papildus finansējums.</w:t>
            </w:r>
          </w:p>
          <w:tbl>
            <w:tblPr>
              <w:tblStyle w:val="TableGrid"/>
              <w:tblW w:w="0" w:type="auto"/>
              <w:tblInd w:w="0" w:type="dxa"/>
              <w:tblLook w:val="04A0" w:firstRow="1" w:lastRow="0" w:firstColumn="1" w:lastColumn="0" w:noHBand="0" w:noVBand="1"/>
            </w:tblPr>
            <w:tblGrid>
              <w:gridCol w:w="1805"/>
              <w:gridCol w:w="1134"/>
              <w:gridCol w:w="1096"/>
              <w:gridCol w:w="1321"/>
              <w:gridCol w:w="1321"/>
            </w:tblGrid>
            <w:tr w:rsidR="005679ED" w:rsidRPr="003F15F0" w14:paraId="37214DE3" w14:textId="77777777" w:rsidTr="005679ED">
              <w:tc>
                <w:tcPr>
                  <w:tcW w:w="1730" w:type="dxa"/>
                  <w:tcBorders>
                    <w:top w:val="single" w:sz="4" w:space="0" w:color="auto"/>
                    <w:left w:val="single" w:sz="4" w:space="0" w:color="auto"/>
                    <w:bottom w:val="single" w:sz="4" w:space="0" w:color="auto"/>
                    <w:right w:val="single" w:sz="4" w:space="0" w:color="auto"/>
                  </w:tcBorders>
                  <w:vAlign w:val="center"/>
                  <w:hideMark/>
                </w:tcPr>
                <w:p w14:paraId="2237F1E3" w14:textId="77777777" w:rsidR="005679ED" w:rsidRPr="003F15F0" w:rsidRDefault="005679ED" w:rsidP="005679ED">
                  <w:pPr>
                    <w:pStyle w:val="VPBody"/>
                    <w:rPr>
                      <w:sz w:val="22"/>
                    </w:rPr>
                  </w:pPr>
                  <w:r w:rsidRPr="003F15F0">
                    <w:rPr>
                      <w:sz w:val="22"/>
                    </w:rPr>
                    <w:t>Nepieciešamās IKT risinājuma uzturēšanas izmaksas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474D8E" w14:textId="7CA48FB0" w:rsidR="005679ED" w:rsidRPr="003F15F0" w:rsidRDefault="005679ED" w:rsidP="005679ED">
                  <w:pPr>
                    <w:pStyle w:val="VPBody"/>
                    <w:rPr>
                      <w:sz w:val="22"/>
                    </w:rPr>
                  </w:pPr>
                  <w:r w:rsidRPr="003F15F0">
                    <w:rPr>
                      <w:sz w:val="22"/>
                    </w:rPr>
                    <w:t xml:space="preserve">2023, </w:t>
                  </w:r>
                  <w:proofErr w:type="spellStart"/>
                  <w:r w:rsidRPr="003F15F0">
                    <w:rPr>
                      <w:i/>
                      <w:sz w:val="22"/>
                    </w:rPr>
                    <w:t>euro</w:t>
                  </w:r>
                  <w:proofErr w:type="spellEnd"/>
                </w:p>
              </w:tc>
              <w:tc>
                <w:tcPr>
                  <w:tcW w:w="1096" w:type="dxa"/>
                  <w:tcBorders>
                    <w:top w:val="single" w:sz="4" w:space="0" w:color="auto"/>
                    <w:left w:val="single" w:sz="4" w:space="0" w:color="auto"/>
                    <w:bottom w:val="single" w:sz="4" w:space="0" w:color="auto"/>
                    <w:right w:val="single" w:sz="4" w:space="0" w:color="auto"/>
                  </w:tcBorders>
                  <w:vAlign w:val="center"/>
                  <w:hideMark/>
                </w:tcPr>
                <w:p w14:paraId="65773459" w14:textId="5C955BC1" w:rsidR="005679ED" w:rsidRPr="003F15F0" w:rsidRDefault="005679ED" w:rsidP="005679ED">
                  <w:pPr>
                    <w:pStyle w:val="VPBody"/>
                    <w:rPr>
                      <w:sz w:val="22"/>
                    </w:rPr>
                  </w:pPr>
                  <w:r w:rsidRPr="003F15F0">
                    <w:rPr>
                      <w:sz w:val="22"/>
                    </w:rPr>
                    <w:t xml:space="preserve">2024, </w:t>
                  </w:r>
                  <w:proofErr w:type="spellStart"/>
                  <w:r w:rsidRPr="003F15F0">
                    <w:rPr>
                      <w:i/>
                      <w:sz w:val="22"/>
                    </w:rPr>
                    <w:t>euro</w:t>
                  </w:r>
                  <w:proofErr w:type="spellEnd"/>
                </w:p>
              </w:tc>
              <w:tc>
                <w:tcPr>
                  <w:tcW w:w="1321" w:type="dxa"/>
                  <w:tcBorders>
                    <w:top w:val="single" w:sz="4" w:space="0" w:color="auto"/>
                    <w:left w:val="single" w:sz="4" w:space="0" w:color="auto"/>
                    <w:bottom w:val="single" w:sz="4" w:space="0" w:color="auto"/>
                    <w:right w:val="single" w:sz="4" w:space="0" w:color="auto"/>
                  </w:tcBorders>
                  <w:vAlign w:val="center"/>
                  <w:hideMark/>
                </w:tcPr>
                <w:p w14:paraId="29202C86" w14:textId="09A76871" w:rsidR="005679ED" w:rsidRPr="003F15F0" w:rsidRDefault="005679ED" w:rsidP="005679ED">
                  <w:pPr>
                    <w:pStyle w:val="VPBody"/>
                    <w:rPr>
                      <w:sz w:val="22"/>
                    </w:rPr>
                  </w:pPr>
                  <w:r w:rsidRPr="003F15F0">
                    <w:rPr>
                      <w:sz w:val="22"/>
                    </w:rPr>
                    <w:t xml:space="preserve">2025, </w:t>
                  </w:r>
                  <w:proofErr w:type="spellStart"/>
                  <w:r w:rsidRPr="003F15F0">
                    <w:rPr>
                      <w:i/>
                      <w:sz w:val="22"/>
                    </w:rPr>
                    <w:t>euro</w:t>
                  </w:r>
                  <w:proofErr w:type="spellEnd"/>
                </w:p>
              </w:tc>
              <w:tc>
                <w:tcPr>
                  <w:tcW w:w="1321" w:type="dxa"/>
                  <w:tcBorders>
                    <w:top w:val="single" w:sz="4" w:space="0" w:color="auto"/>
                    <w:left w:val="single" w:sz="4" w:space="0" w:color="auto"/>
                    <w:bottom w:val="single" w:sz="4" w:space="0" w:color="auto"/>
                    <w:right w:val="single" w:sz="4" w:space="0" w:color="auto"/>
                  </w:tcBorders>
                  <w:vAlign w:val="center"/>
                  <w:hideMark/>
                </w:tcPr>
                <w:p w14:paraId="5258E3A0" w14:textId="77777777" w:rsidR="005679ED" w:rsidRPr="003F15F0" w:rsidRDefault="005679ED" w:rsidP="005679ED">
                  <w:pPr>
                    <w:pStyle w:val="VPBody"/>
                    <w:rPr>
                      <w:sz w:val="22"/>
                    </w:rPr>
                  </w:pPr>
                  <w:r w:rsidRPr="003F15F0">
                    <w:rPr>
                      <w:sz w:val="22"/>
                    </w:rPr>
                    <w:t xml:space="preserve">KOPĀ, </w:t>
                  </w:r>
                  <w:proofErr w:type="spellStart"/>
                  <w:r w:rsidRPr="003F15F0">
                    <w:rPr>
                      <w:i/>
                      <w:sz w:val="22"/>
                    </w:rPr>
                    <w:t>euro</w:t>
                  </w:r>
                  <w:proofErr w:type="spellEnd"/>
                </w:p>
              </w:tc>
            </w:tr>
            <w:tr w:rsidR="005679ED" w:rsidRPr="003F15F0" w14:paraId="21785065" w14:textId="77777777" w:rsidTr="005679ED">
              <w:trPr>
                <w:trHeight w:val="1040"/>
              </w:trPr>
              <w:tc>
                <w:tcPr>
                  <w:tcW w:w="1730" w:type="dxa"/>
                  <w:tcBorders>
                    <w:top w:val="single" w:sz="4" w:space="0" w:color="auto"/>
                    <w:left w:val="single" w:sz="4" w:space="0" w:color="auto"/>
                    <w:bottom w:val="single" w:sz="4" w:space="0" w:color="auto"/>
                    <w:right w:val="single" w:sz="4" w:space="0" w:color="auto"/>
                  </w:tcBorders>
                  <w:vAlign w:val="bottom"/>
                  <w:hideMark/>
                </w:tcPr>
                <w:p w14:paraId="072A0FA5" w14:textId="77777777" w:rsidR="005679ED" w:rsidRPr="003F15F0" w:rsidRDefault="005679ED" w:rsidP="005679ED">
                  <w:pPr>
                    <w:pStyle w:val="VPBody"/>
                    <w:rPr>
                      <w:i/>
                      <w:sz w:val="22"/>
                    </w:rPr>
                  </w:pPr>
                  <w:r w:rsidRPr="003F15F0">
                    <w:rPr>
                      <w:i/>
                      <w:sz w:val="22"/>
                    </w:rPr>
                    <w:t>ZM koplietošanas risinājumi</w:t>
                  </w:r>
                  <w:r w:rsidR="00C731BF" w:rsidRPr="003F15F0">
                    <w:rPr>
                      <w:i/>
                      <w:sz w:val="22"/>
                    </w:rPr>
                    <w:t>:</w:t>
                  </w:r>
                </w:p>
                <w:p w14:paraId="36384C57" w14:textId="6C0F6371" w:rsidR="00C731BF" w:rsidRPr="003F15F0" w:rsidRDefault="00C731BF" w:rsidP="00C731BF">
                  <w:pPr>
                    <w:pStyle w:val="VPBody"/>
                    <w:rPr>
                      <w:i/>
                      <w:iCs/>
                      <w:sz w:val="22"/>
                    </w:rPr>
                  </w:pPr>
                  <w:r w:rsidRPr="003F15F0">
                    <w:rPr>
                      <w:sz w:val="22"/>
                    </w:rPr>
                    <w:t>•</w:t>
                  </w:r>
                  <w:r w:rsidR="009C0268">
                    <w:rPr>
                      <w:sz w:val="22"/>
                    </w:rPr>
                    <w:t xml:space="preserve"> </w:t>
                  </w:r>
                  <w:r w:rsidRPr="003F15F0">
                    <w:rPr>
                      <w:i/>
                      <w:iCs/>
                      <w:sz w:val="22"/>
                    </w:rPr>
                    <w:t xml:space="preserve">Vienots Zemkopības nozares klientu risku analīzes un pārvaldības risinājums </w:t>
                  </w:r>
                </w:p>
                <w:p w14:paraId="13B5D25D" w14:textId="2566DADE" w:rsidR="00C731BF" w:rsidRPr="003F15F0" w:rsidRDefault="00C731BF" w:rsidP="00C731BF">
                  <w:pPr>
                    <w:pStyle w:val="VPBody"/>
                    <w:rPr>
                      <w:sz w:val="22"/>
                    </w:rPr>
                  </w:pPr>
                  <w:r w:rsidRPr="003F15F0">
                    <w:rPr>
                      <w:i/>
                      <w:iCs/>
                      <w:sz w:val="22"/>
                    </w:rPr>
                    <w:t>•</w:t>
                  </w:r>
                  <w:r w:rsidR="009C0268">
                    <w:rPr>
                      <w:i/>
                      <w:iCs/>
                      <w:sz w:val="22"/>
                    </w:rPr>
                    <w:t xml:space="preserve"> </w:t>
                  </w:r>
                  <w:r w:rsidRPr="003F15F0">
                    <w:rPr>
                      <w:i/>
                      <w:iCs/>
                      <w:sz w:val="22"/>
                    </w:rPr>
                    <w:t>Zemkopības nozares datu analīzes risinājums</w:t>
                  </w:r>
                </w:p>
              </w:tc>
              <w:tc>
                <w:tcPr>
                  <w:tcW w:w="1134" w:type="dxa"/>
                  <w:tcBorders>
                    <w:top w:val="single" w:sz="4" w:space="0" w:color="auto"/>
                    <w:left w:val="single" w:sz="4" w:space="0" w:color="auto"/>
                    <w:bottom w:val="single" w:sz="4" w:space="0" w:color="auto"/>
                    <w:right w:val="single" w:sz="4" w:space="0" w:color="auto"/>
                  </w:tcBorders>
                  <w:hideMark/>
                </w:tcPr>
                <w:p w14:paraId="4153E58B" w14:textId="121550F8" w:rsidR="005679ED" w:rsidRPr="003F15F0" w:rsidRDefault="005679ED" w:rsidP="005679ED">
                  <w:pPr>
                    <w:pStyle w:val="VPBody"/>
                    <w:rPr>
                      <w:sz w:val="22"/>
                    </w:rPr>
                  </w:pPr>
                  <w:r w:rsidRPr="003F15F0">
                    <w:rPr>
                      <w:sz w:val="22"/>
                    </w:rPr>
                    <w:t>75 000</w:t>
                  </w:r>
                </w:p>
              </w:tc>
              <w:tc>
                <w:tcPr>
                  <w:tcW w:w="1096" w:type="dxa"/>
                  <w:tcBorders>
                    <w:top w:val="single" w:sz="4" w:space="0" w:color="auto"/>
                    <w:left w:val="single" w:sz="4" w:space="0" w:color="auto"/>
                    <w:bottom w:val="single" w:sz="4" w:space="0" w:color="auto"/>
                    <w:right w:val="single" w:sz="4" w:space="0" w:color="auto"/>
                  </w:tcBorders>
                  <w:hideMark/>
                </w:tcPr>
                <w:p w14:paraId="4A99E255" w14:textId="3CFD1ADF" w:rsidR="005679ED" w:rsidRPr="003F15F0" w:rsidRDefault="005679ED" w:rsidP="005679ED">
                  <w:pPr>
                    <w:pStyle w:val="VPBody"/>
                    <w:rPr>
                      <w:sz w:val="22"/>
                    </w:rPr>
                  </w:pPr>
                  <w:r w:rsidRPr="003F15F0">
                    <w:rPr>
                      <w:sz w:val="22"/>
                    </w:rPr>
                    <w:t>75 000</w:t>
                  </w:r>
                </w:p>
              </w:tc>
              <w:tc>
                <w:tcPr>
                  <w:tcW w:w="1321" w:type="dxa"/>
                  <w:tcBorders>
                    <w:top w:val="single" w:sz="4" w:space="0" w:color="auto"/>
                    <w:left w:val="single" w:sz="4" w:space="0" w:color="auto"/>
                    <w:bottom w:val="single" w:sz="4" w:space="0" w:color="auto"/>
                    <w:right w:val="single" w:sz="4" w:space="0" w:color="auto"/>
                  </w:tcBorders>
                  <w:hideMark/>
                </w:tcPr>
                <w:p w14:paraId="0C8CB2BF" w14:textId="27154E81" w:rsidR="005679ED" w:rsidRPr="003F15F0" w:rsidRDefault="005679ED" w:rsidP="005679ED">
                  <w:pPr>
                    <w:pStyle w:val="VPBody"/>
                    <w:rPr>
                      <w:sz w:val="22"/>
                    </w:rPr>
                  </w:pPr>
                  <w:r w:rsidRPr="003F15F0">
                    <w:rPr>
                      <w:sz w:val="22"/>
                    </w:rPr>
                    <w:t>75 000</w:t>
                  </w:r>
                </w:p>
              </w:tc>
              <w:tc>
                <w:tcPr>
                  <w:tcW w:w="1321" w:type="dxa"/>
                  <w:tcBorders>
                    <w:top w:val="single" w:sz="4" w:space="0" w:color="auto"/>
                    <w:left w:val="single" w:sz="4" w:space="0" w:color="auto"/>
                    <w:bottom w:val="single" w:sz="4" w:space="0" w:color="auto"/>
                    <w:right w:val="single" w:sz="4" w:space="0" w:color="auto"/>
                  </w:tcBorders>
                  <w:hideMark/>
                </w:tcPr>
                <w:p w14:paraId="0CB1F107" w14:textId="5A38DA97" w:rsidR="005679ED" w:rsidRPr="003F15F0" w:rsidRDefault="005679ED" w:rsidP="005679ED">
                  <w:pPr>
                    <w:pStyle w:val="VPBody"/>
                    <w:rPr>
                      <w:sz w:val="22"/>
                    </w:rPr>
                  </w:pPr>
                  <w:r w:rsidRPr="003F15F0">
                    <w:rPr>
                      <w:sz w:val="22"/>
                    </w:rPr>
                    <w:t>225 000</w:t>
                  </w:r>
                </w:p>
              </w:tc>
            </w:tr>
            <w:tr w:rsidR="005679ED" w:rsidRPr="003F15F0" w14:paraId="115AFE0A" w14:textId="77777777" w:rsidTr="005679ED">
              <w:tc>
                <w:tcPr>
                  <w:tcW w:w="1730" w:type="dxa"/>
                  <w:tcBorders>
                    <w:top w:val="single" w:sz="4" w:space="0" w:color="auto"/>
                    <w:left w:val="single" w:sz="4" w:space="0" w:color="auto"/>
                    <w:bottom w:val="single" w:sz="4" w:space="0" w:color="auto"/>
                    <w:right w:val="single" w:sz="4" w:space="0" w:color="auto"/>
                  </w:tcBorders>
                  <w:vAlign w:val="bottom"/>
                  <w:hideMark/>
                </w:tcPr>
                <w:p w14:paraId="39D46F5B" w14:textId="261F35E5" w:rsidR="005679ED" w:rsidRPr="003F15F0" w:rsidRDefault="00D3403A" w:rsidP="005679ED">
                  <w:pPr>
                    <w:pStyle w:val="VPBody"/>
                    <w:rPr>
                      <w:sz w:val="22"/>
                    </w:rPr>
                  </w:pPr>
                  <w:r w:rsidRPr="003F15F0">
                    <w:rPr>
                      <w:i/>
                      <w:sz w:val="22"/>
                    </w:rPr>
                    <w:t>Lauksaimniecības datu centra Bioloģiskās lauksaimniecības reģistrs</w:t>
                  </w:r>
                </w:p>
              </w:tc>
              <w:tc>
                <w:tcPr>
                  <w:tcW w:w="1134" w:type="dxa"/>
                  <w:tcBorders>
                    <w:top w:val="single" w:sz="4" w:space="0" w:color="auto"/>
                    <w:left w:val="single" w:sz="4" w:space="0" w:color="auto"/>
                    <w:bottom w:val="single" w:sz="4" w:space="0" w:color="auto"/>
                    <w:right w:val="single" w:sz="4" w:space="0" w:color="auto"/>
                  </w:tcBorders>
                  <w:hideMark/>
                </w:tcPr>
                <w:p w14:paraId="25C0D179" w14:textId="23C5538C" w:rsidR="005679ED" w:rsidRPr="003F15F0" w:rsidRDefault="005679ED" w:rsidP="005679ED">
                  <w:pPr>
                    <w:pStyle w:val="VPBody"/>
                    <w:rPr>
                      <w:sz w:val="22"/>
                    </w:rPr>
                  </w:pPr>
                  <w:r w:rsidRPr="003F15F0">
                    <w:rPr>
                      <w:sz w:val="22"/>
                    </w:rPr>
                    <w:t>9 000</w:t>
                  </w:r>
                </w:p>
              </w:tc>
              <w:tc>
                <w:tcPr>
                  <w:tcW w:w="1096" w:type="dxa"/>
                  <w:tcBorders>
                    <w:top w:val="single" w:sz="4" w:space="0" w:color="auto"/>
                    <w:left w:val="single" w:sz="4" w:space="0" w:color="auto"/>
                    <w:bottom w:val="single" w:sz="4" w:space="0" w:color="auto"/>
                    <w:right w:val="single" w:sz="4" w:space="0" w:color="auto"/>
                  </w:tcBorders>
                  <w:hideMark/>
                </w:tcPr>
                <w:p w14:paraId="7130D982" w14:textId="000D46FC" w:rsidR="005679ED" w:rsidRPr="003F15F0" w:rsidRDefault="005679ED" w:rsidP="005679ED">
                  <w:pPr>
                    <w:pStyle w:val="VPBody"/>
                    <w:rPr>
                      <w:sz w:val="22"/>
                    </w:rPr>
                  </w:pPr>
                  <w:r w:rsidRPr="003F15F0">
                    <w:rPr>
                      <w:sz w:val="22"/>
                    </w:rPr>
                    <w:t>9 000</w:t>
                  </w:r>
                </w:p>
              </w:tc>
              <w:tc>
                <w:tcPr>
                  <w:tcW w:w="1321" w:type="dxa"/>
                  <w:tcBorders>
                    <w:top w:val="single" w:sz="4" w:space="0" w:color="auto"/>
                    <w:left w:val="single" w:sz="4" w:space="0" w:color="auto"/>
                    <w:bottom w:val="single" w:sz="4" w:space="0" w:color="auto"/>
                    <w:right w:val="single" w:sz="4" w:space="0" w:color="auto"/>
                  </w:tcBorders>
                  <w:hideMark/>
                </w:tcPr>
                <w:p w14:paraId="7A154629" w14:textId="0BBC6222" w:rsidR="005679ED" w:rsidRPr="003F15F0" w:rsidRDefault="005679ED" w:rsidP="005679ED">
                  <w:pPr>
                    <w:pStyle w:val="VPBody"/>
                    <w:rPr>
                      <w:sz w:val="22"/>
                    </w:rPr>
                  </w:pPr>
                  <w:r w:rsidRPr="003F15F0">
                    <w:rPr>
                      <w:sz w:val="22"/>
                    </w:rPr>
                    <w:t>9 000</w:t>
                  </w:r>
                </w:p>
              </w:tc>
              <w:tc>
                <w:tcPr>
                  <w:tcW w:w="1321" w:type="dxa"/>
                  <w:tcBorders>
                    <w:top w:val="single" w:sz="4" w:space="0" w:color="auto"/>
                    <w:left w:val="single" w:sz="4" w:space="0" w:color="auto"/>
                    <w:bottom w:val="single" w:sz="4" w:space="0" w:color="auto"/>
                    <w:right w:val="single" w:sz="4" w:space="0" w:color="auto"/>
                  </w:tcBorders>
                  <w:hideMark/>
                </w:tcPr>
                <w:p w14:paraId="1D318F81" w14:textId="0B209854" w:rsidR="005679ED" w:rsidRPr="003F15F0" w:rsidRDefault="005679ED" w:rsidP="005679ED">
                  <w:pPr>
                    <w:pStyle w:val="VPBody"/>
                    <w:rPr>
                      <w:sz w:val="22"/>
                    </w:rPr>
                  </w:pPr>
                  <w:r w:rsidRPr="003F15F0">
                    <w:rPr>
                      <w:sz w:val="22"/>
                    </w:rPr>
                    <w:t>27 000</w:t>
                  </w:r>
                </w:p>
              </w:tc>
            </w:tr>
          </w:tbl>
          <w:p w14:paraId="45FB5871" w14:textId="77777777" w:rsidR="009E6C24" w:rsidRPr="003F15F0" w:rsidRDefault="009E6C24" w:rsidP="009E6C24">
            <w:pPr>
              <w:pStyle w:val="VPBullet"/>
              <w:numPr>
                <w:ilvl w:val="0"/>
                <w:numId w:val="0"/>
              </w:numPr>
              <w:rPr>
                <w:sz w:val="22"/>
              </w:rPr>
            </w:pPr>
          </w:p>
          <w:p w14:paraId="27812623" w14:textId="5A8B5958" w:rsidR="00E906C4" w:rsidRDefault="00E906C4" w:rsidP="005679ED">
            <w:pPr>
              <w:pStyle w:val="VPBullet"/>
              <w:numPr>
                <w:ilvl w:val="0"/>
                <w:numId w:val="0"/>
              </w:numPr>
              <w:rPr>
                <w:sz w:val="22"/>
              </w:rPr>
            </w:pPr>
            <w:r>
              <w:rPr>
                <w:sz w:val="22"/>
              </w:rPr>
              <w:t>Uzturēšanas izmaksas pa pozīcijām iedalās:</w:t>
            </w:r>
          </w:p>
          <w:p w14:paraId="2EEF6B8C" w14:textId="45471C87" w:rsidR="00E906C4" w:rsidRDefault="00E906C4" w:rsidP="00E906C4">
            <w:pPr>
              <w:pStyle w:val="VPBullet"/>
              <w:numPr>
                <w:ilvl w:val="0"/>
                <w:numId w:val="0"/>
              </w:numPr>
              <w:spacing w:after="0" w:line="257" w:lineRule="auto"/>
              <w:rPr>
                <w:sz w:val="22"/>
              </w:rPr>
            </w:pPr>
            <w:r w:rsidRPr="003F15F0">
              <w:rPr>
                <w:i/>
                <w:sz w:val="22"/>
              </w:rPr>
              <w:t>ZM koplietošanas risinājumi</w:t>
            </w:r>
          </w:p>
          <w:p w14:paraId="401D721E" w14:textId="1DCAA8E9" w:rsidR="008C570A" w:rsidRDefault="008C570A" w:rsidP="008C570A">
            <w:pPr>
              <w:pStyle w:val="VPBullet"/>
              <w:numPr>
                <w:ilvl w:val="0"/>
                <w:numId w:val="6"/>
              </w:numPr>
              <w:rPr>
                <w:sz w:val="22"/>
              </w:rPr>
            </w:pPr>
            <w:r>
              <w:rPr>
                <w:sz w:val="22"/>
              </w:rPr>
              <w:t xml:space="preserve">IKT infrastruktūras uzturēšanas gada izmaksas, kas ietver datu centra izmaksas un serveru tehnikas nolietojuma izmaksas, kā arī iespējamo tehnisko bojājumu novēršanu – 7 500 </w:t>
            </w:r>
            <w:proofErr w:type="spellStart"/>
            <w:r w:rsidRPr="008C570A">
              <w:rPr>
                <w:i/>
                <w:iCs/>
                <w:sz w:val="22"/>
              </w:rPr>
              <w:t>euro</w:t>
            </w:r>
            <w:proofErr w:type="spellEnd"/>
            <w:r>
              <w:rPr>
                <w:sz w:val="22"/>
              </w:rPr>
              <w:t>.</w:t>
            </w:r>
          </w:p>
          <w:p w14:paraId="733DE6A2" w14:textId="77A64120" w:rsidR="00E906C4" w:rsidRPr="003F15F0" w:rsidRDefault="00E906C4" w:rsidP="008C570A">
            <w:pPr>
              <w:pStyle w:val="VPBullet"/>
              <w:numPr>
                <w:ilvl w:val="0"/>
                <w:numId w:val="6"/>
              </w:numPr>
              <w:rPr>
                <w:sz w:val="22"/>
              </w:rPr>
            </w:pPr>
            <w:r>
              <w:rPr>
                <w:sz w:val="22"/>
              </w:rPr>
              <w:t>P</w:t>
            </w:r>
            <w:r w:rsidRPr="003F15F0">
              <w:rPr>
                <w:sz w:val="22"/>
              </w:rPr>
              <w:t>rogrammatūras licences, atjauninājumi, drošības labojumi</w:t>
            </w:r>
            <w:r>
              <w:rPr>
                <w:sz w:val="22"/>
              </w:rPr>
              <w:t xml:space="preserve">, </w:t>
            </w:r>
            <w:r w:rsidRPr="00A054C4">
              <w:rPr>
                <w:sz w:val="22"/>
              </w:rPr>
              <w:t>sistēmas problēmu, kļūdu novēršanas un profilaktiskās uzturēšanas pakalpojumi</w:t>
            </w:r>
            <w:r>
              <w:rPr>
                <w:sz w:val="22"/>
              </w:rPr>
              <w:t xml:space="preserve"> (</w:t>
            </w:r>
            <w:r w:rsidR="008C570A">
              <w:rPr>
                <w:sz w:val="22"/>
              </w:rPr>
              <w:t>30</w:t>
            </w:r>
            <w:r>
              <w:rPr>
                <w:sz w:val="22"/>
              </w:rPr>
              <w:t xml:space="preserve"> cilvēkstundas mēnesī), kā arī izmaiņu pieprasījumi – pielāgojumi (</w:t>
            </w:r>
            <w:r w:rsidR="008C570A">
              <w:rPr>
                <w:sz w:val="22"/>
              </w:rPr>
              <w:t>9</w:t>
            </w:r>
            <w:r>
              <w:rPr>
                <w:sz w:val="22"/>
              </w:rPr>
              <w:t>0 cilvēkstundas mēnesī), kopā 1</w:t>
            </w:r>
            <w:r w:rsidR="008C570A">
              <w:rPr>
                <w:sz w:val="22"/>
              </w:rPr>
              <w:t>2</w:t>
            </w:r>
            <w:r>
              <w:rPr>
                <w:sz w:val="22"/>
              </w:rPr>
              <w:t xml:space="preserve">0 cilvēkstundas mēnesī jeb </w:t>
            </w:r>
            <w:r w:rsidR="008C570A">
              <w:rPr>
                <w:sz w:val="22"/>
              </w:rPr>
              <w:t>15</w:t>
            </w:r>
            <w:r>
              <w:rPr>
                <w:sz w:val="22"/>
              </w:rPr>
              <w:t xml:space="preserve"> cilvēkdienas mēnesī, gadā – </w:t>
            </w:r>
            <w:r w:rsidR="008C570A">
              <w:rPr>
                <w:sz w:val="22"/>
              </w:rPr>
              <w:t>18</w:t>
            </w:r>
            <w:r>
              <w:rPr>
                <w:sz w:val="22"/>
              </w:rPr>
              <w:t>0 cilvēkdienas (</w:t>
            </w:r>
            <w:r w:rsidR="008C570A">
              <w:rPr>
                <w:sz w:val="22"/>
              </w:rPr>
              <w:t>15</w:t>
            </w:r>
            <w:r>
              <w:rPr>
                <w:sz w:val="22"/>
              </w:rPr>
              <w:t xml:space="preserve"> cilvēkdienas mēnesī x 12 mēneši). </w:t>
            </w:r>
            <w:r w:rsidRPr="00A054C4">
              <w:rPr>
                <w:sz w:val="22"/>
              </w:rPr>
              <w:t xml:space="preserve">Pieņemot vienas cilvēkdienas likmi </w:t>
            </w:r>
            <w:r>
              <w:rPr>
                <w:sz w:val="22"/>
              </w:rPr>
              <w:t>375</w:t>
            </w:r>
            <w:r w:rsidRPr="00A054C4">
              <w:rPr>
                <w:sz w:val="22"/>
              </w:rPr>
              <w:t xml:space="preserve"> </w:t>
            </w:r>
            <w:proofErr w:type="spellStart"/>
            <w:r w:rsidRPr="00A054C4">
              <w:rPr>
                <w:i/>
                <w:iCs/>
                <w:sz w:val="22"/>
              </w:rPr>
              <w:t>euro</w:t>
            </w:r>
            <w:proofErr w:type="spellEnd"/>
            <w:r w:rsidRPr="00A054C4">
              <w:rPr>
                <w:sz w:val="22"/>
              </w:rPr>
              <w:t xml:space="preserve">, ieskaitot pievienotās vērtības nodokli, x </w:t>
            </w:r>
            <w:r w:rsidR="00F10BB3">
              <w:rPr>
                <w:sz w:val="22"/>
              </w:rPr>
              <w:t>18</w:t>
            </w:r>
            <w:r>
              <w:rPr>
                <w:sz w:val="22"/>
              </w:rPr>
              <w:t>0</w:t>
            </w:r>
            <w:r w:rsidRPr="00A054C4">
              <w:rPr>
                <w:sz w:val="22"/>
              </w:rPr>
              <w:t xml:space="preserve"> cilvēkdienas, kas gadā veido</w:t>
            </w:r>
            <w:r>
              <w:rPr>
                <w:sz w:val="22"/>
              </w:rPr>
              <w:t xml:space="preserve"> </w:t>
            </w:r>
            <w:r w:rsidR="008C570A">
              <w:rPr>
                <w:sz w:val="22"/>
              </w:rPr>
              <w:t>67</w:t>
            </w:r>
            <w:r>
              <w:rPr>
                <w:sz w:val="22"/>
              </w:rPr>
              <w:t> </w:t>
            </w:r>
            <w:r w:rsidR="008C570A">
              <w:rPr>
                <w:sz w:val="22"/>
              </w:rPr>
              <w:t>5</w:t>
            </w:r>
            <w:r>
              <w:rPr>
                <w:sz w:val="22"/>
              </w:rPr>
              <w:t xml:space="preserve">00 </w:t>
            </w:r>
            <w:proofErr w:type="spellStart"/>
            <w:r w:rsidRPr="00A054C4">
              <w:rPr>
                <w:i/>
                <w:iCs/>
                <w:sz w:val="22"/>
              </w:rPr>
              <w:t>euro</w:t>
            </w:r>
            <w:proofErr w:type="spellEnd"/>
            <w:r>
              <w:rPr>
                <w:sz w:val="22"/>
              </w:rPr>
              <w:t>.</w:t>
            </w:r>
          </w:p>
          <w:p w14:paraId="0646A5DC" w14:textId="210CFA07" w:rsidR="00E906C4" w:rsidRDefault="00E906C4" w:rsidP="005679ED">
            <w:pPr>
              <w:pStyle w:val="VPBullet"/>
              <w:numPr>
                <w:ilvl w:val="0"/>
                <w:numId w:val="0"/>
              </w:numPr>
              <w:rPr>
                <w:sz w:val="22"/>
              </w:rPr>
            </w:pPr>
            <w:r w:rsidRPr="003F15F0">
              <w:rPr>
                <w:i/>
                <w:sz w:val="22"/>
              </w:rPr>
              <w:t>Lauksaimniecības datu centra Bioloģiskās lauksaimniecības reģistrs</w:t>
            </w:r>
          </w:p>
          <w:p w14:paraId="26AD6D5B" w14:textId="212E95F5" w:rsidR="008C570A" w:rsidRDefault="008C570A" w:rsidP="008C570A">
            <w:pPr>
              <w:pStyle w:val="VPBullet"/>
              <w:numPr>
                <w:ilvl w:val="0"/>
                <w:numId w:val="7"/>
              </w:numPr>
              <w:rPr>
                <w:sz w:val="22"/>
              </w:rPr>
            </w:pPr>
            <w:r>
              <w:rPr>
                <w:sz w:val="22"/>
              </w:rPr>
              <w:t xml:space="preserve">IKT infrastruktūras uzturēšanas gada izmaksas, kas ietver datu centra izmaksas un serveru tehnikas nolietojuma izmaksas, kā arī iespējamo tehnisko bojājumu novēršanu – 1 125 </w:t>
            </w:r>
            <w:proofErr w:type="spellStart"/>
            <w:r w:rsidRPr="008C570A">
              <w:rPr>
                <w:i/>
                <w:iCs/>
                <w:sz w:val="22"/>
              </w:rPr>
              <w:t>euro</w:t>
            </w:r>
            <w:proofErr w:type="spellEnd"/>
            <w:r>
              <w:rPr>
                <w:sz w:val="22"/>
              </w:rPr>
              <w:t>.</w:t>
            </w:r>
          </w:p>
          <w:p w14:paraId="664900EA" w14:textId="2DFB2EB2" w:rsidR="008C570A" w:rsidRPr="003F15F0" w:rsidRDefault="008C570A" w:rsidP="008C570A">
            <w:pPr>
              <w:pStyle w:val="VPBullet"/>
              <w:numPr>
                <w:ilvl w:val="0"/>
                <w:numId w:val="7"/>
              </w:numPr>
              <w:rPr>
                <w:sz w:val="22"/>
              </w:rPr>
            </w:pPr>
            <w:r>
              <w:rPr>
                <w:sz w:val="22"/>
              </w:rPr>
              <w:t>P</w:t>
            </w:r>
            <w:r w:rsidRPr="003F15F0">
              <w:rPr>
                <w:sz w:val="22"/>
              </w:rPr>
              <w:t>rogrammatūras licences, atjauninājumi, drošības labojumi</w:t>
            </w:r>
            <w:r>
              <w:rPr>
                <w:sz w:val="22"/>
              </w:rPr>
              <w:t xml:space="preserve">, </w:t>
            </w:r>
            <w:r w:rsidRPr="00A054C4">
              <w:rPr>
                <w:sz w:val="22"/>
              </w:rPr>
              <w:t>sistēmas problēmu, kļūdu novēršanas un profilaktiskās uzturēšanas pakalpojumi</w:t>
            </w:r>
            <w:r>
              <w:rPr>
                <w:sz w:val="22"/>
              </w:rPr>
              <w:t xml:space="preserve"> (4 cilvēkstundas mēnesī), kā arī izmaiņu pieprasījumi – pielāgojumi (10 cilvēkstundas mēnesī), kopā 14 cilvēkstundas mēnesī jeb 1,75 cilvēkdienas mēnesī, gadā – 21 cilvēkdiena (1,75 cilvēkdienas mēnesī x 12 mēneši). </w:t>
            </w:r>
            <w:r w:rsidRPr="00A054C4">
              <w:rPr>
                <w:sz w:val="22"/>
              </w:rPr>
              <w:t xml:space="preserve">Pieņemot vienas cilvēkdienas likmi </w:t>
            </w:r>
            <w:r>
              <w:rPr>
                <w:sz w:val="22"/>
              </w:rPr>
              <w:t>375</w:t>
            </w:r>
            <w:r w:rsidRPr="00A054C4">
              <w:rPr>
                <w:sz w:val="22"/>
              </w:rPr>
              <w:t xml:space="preserve"> </w:t>
            </w:r>
            <w:proofErr w:type="spellStart"/>
            <w:r w:rsidRPr="00A054C4">
              <w:rPr>
                <w:i/>
                <w:iCs/>
                <w:sz w:val="22"/>
              </w:rPr>
              <w:t>euro</w:t>
            </w:r>
            <w:proofErr w:type="spellEnd"/>
            <w:r w:rsidRPr="00A054C4">
              <w:rPr>
                <w:sz w:val="22"/>
              </w:rPr>
              <w:t xml:space="preserve">, ieskaitot pievienotās vērtības nodokli, x </w:t>
            </w:r>
            <w:r>
              <w:rPr>
                <w:sz w:val="22"/>
              </w:rPr>
              <w:t>21</w:t>
            </w:r>
            <w:r w:rsidRPr="00A054C4">
              <w:rPr>
                <w:sz w:val="22"/>
              </w:rPr>
              <w:t xml:space="preserve"> cilvēkdiena, kas gadā veido</w:t>
            </w:r>
            <w:r>
              <w:rPr>
                <w:sz w:val="22"/>
              </w:rPr>
              <w:t xml:space="preserve"> 7 875 </w:t>
            </w:r>
            <w:proofErr w:type="spellStart"/>
            <w:r w:rsidRPr="00A054C4">
              <w:rPr>
                <w:i/>
                <w:iCs/>
                <w:sz w:val="22"/>
              </w:rPr>
              <w:t>euro</w:t>
            </w:r>
            <w:proofErr w:type="spellEnd"/>
            <w:r>
              <w:rPr>
                <w:sz w:val="22"/>
              </w:rPr>
              <w:t>.</w:t>
            </w:r>
          </w:p>
          <w:p w14:paraId="021833A5" w14:textId="77777777" w:rsidR="00E14F9E" w:rsidRPr="003F15F0" w:rsidRDefault="00E14F9E" w:rsidP="00E14F9E">
            <w:pPr>
              <w:pStyle w:val="VPBullet"/>
              <w:numPr>
                <w:ilvl w:val="0"/>
                <w:numId w:val="0"/>
              </w:numPr>
              <w:rPr>
                <w:sz w:val="22"/>
              </w:rPr>
            </w:pPr>
            <w:r w:rsidRPr="003F15F0">
              <w:rPr>
                <w:sz w:val="22"/>
              </w:rPr>
              <w:lastRenderedPageBreak/>
              <w:t>“Zemkopības ministrijas un tās padotībā esošo iestāžu informācijas un komunikācijas tehnoloģiju attīstība 2.kārta” ir neatkarīgs ERAF projekts, kura ietvaros tiks izstrādātas jaunas informācijas sistēmas un risinājumi. Gadījumos, kad projekta laikā tiks pilnveidotas jau esošās informācijas sistēmas, to uzturēšanu ZM nodrošinās no jau plānotajiem līdzekļiem. Tomēr jauno izstrādāto informācijas sistēmu uzturēšana no ZM ERAF I kārtas projekta uzturēšanas izmaksām nebūtu korekta, tādēļ šiem risinājumiem nepieciešams savs uzturēšanas finansējums.</w:t>
            </w:r>
          </w:p>
          <w:p w14:paraId="76388D6E" w14:textId="45E5CD77" w:rsidR="00480078" w:rsidRPr="003F15F0" w:rsidRDefault="00480078" w:rsidP="005679ED">
            <w:pPr>
              <w:pStyle w:val="VPBullet"/>
              <w:numPr>
                <w:ilvl w:val="0"/>
                <w:numId w:val="0"/>
              </w:numPr>
              <w:rPr>
                <w:sz w:val="22"/>
              </w:rPr>
            </w:pPr>
            <w:r w:rsidRPr="003F15F0">
              <w:rPr>
                <w:sz w:val="22"/>
              </w:rPr>
              <w:t>Pēc projekta apstiprināšanas nepieciešamo finansējumu Zemkopības ministrija normatīvajos aktos noteiktajā kārtībā pieprasīs no 74.resora „Gadskārtējā valsts budžeta izpildes procesā pārdalāmais finansējums” programmas 80.00.00 „Nesadalītais finansējums Eiropas Savienības politiku instrumentu un pārējās ārvalstu finanšu palīdzības līdzfinansēto projektu un pasākumu īstenošanai”, paredzot to Zemkopības ministrijas budžeta apakšprogrammā 62.08.00. „Izdevumi Eiropas Reģionālās attīstības fonda (ERAF) projektu un pasākumu īstenošanai (2014–2020)”.</w:t>
            </w:r>
          </w:p>
          <w:p w14:paraId="0B0F899C" w14:textId="71E2540C" w:rsidR="005C4720" w:rsidRPr="003F15F0" w:rsidRDefault="005679ED" w:rsidP="005679ED">
            <w:pPr>
              <w:pStyle w:val="VPBullet"/>
              <w:numPr>
                <w:ilvl w:val="0"/>
                <w:numId w:val="0"/>
              </w:numPr>
              <w:rPr>
                <w:sz w:val="22"/>
              </w:rPr>
            </w:pPr>
            <w:r w:rsidRPr="003F15F0">
              <w:rPr>
                <w:sz w:val="22"/>
              </w:rPr>
              <w:t xml:space="preserve">Kopumā paredzēts, ka pēc projekta pilnīgas ieviešanas projekta sociālekonomiskie un finanšu ieguvumi, sākot ar 2023. gadu, sasniegs aptuveni </w:t>
            </w:r>
            <w:r w:rsidR="009419E3" w:rsidRPr="003F15F0">
              <w:rPr>
                <w:b/>
                <w:bCs w:val="0"/>
                <w:noProof/>
                <w:sz w:val="22"/>
              </w:rPr>
              <w:t>6 m</w:t>
            </w:r>
            <w:r w:rsidR="002529DE" w:rsidRPr="003F15F0">
              <w:rPr>
                <w:b/>
                <w:bCs w:val="0"/>
                <w:noProof/>
                <w:sz w:val="22"/>
              </w:rPr>
              <w:t>i</w:t>
            </w:r>
            <w:r w:rsidR="009419E3" w:rsidRPr="003F15F0">
              <w:rPr>
                <w:b/>
                <w:bCs w:val="0"/>
                <w:noProof/>
                <w:sz w:val="22"/>
              </w:rPr>
              <w:t xml:space="preserve">lj. </w:t>
            </w:r>
            <w:r w:rsidR="002529DE" w:rsidRPr="003F15F0">
              <w:rPr>
                <w:b/>
                <w:bCs w:val="0"/>
                <w:i/>
                <w:iCs/>
                <w:noProof/>
                <w:sz w:val="22"/>
              </w:rPr>
              <w:t>euro</w:t>
            </w:r>
            <w:r w:rsidR="009419E3" w:rsidRPr="003F15F0">
              <w:rPr>
                <w:noProof/>
                <w:sz w:val="22"/>
              </w:rPr>
              <w:t xml:space="preserve"> (diskontētā vērtība), ar ekonomisko neto pašreizējo vērtību </w:t>
            </w:r>
            <w:r w:rsidR="009419E3" w:rsidRPr="003F15F0">
              <w:rPr>
                <w:b/>
                <w:bCs w:val="0"/>
                <w:noProof/>
                <w:sz w:val="22"/>
              </w:rPr>
              <w:t xml:space="preserve">5 612 603 </w:t>
            </w:r>
            <w:r w:rsidR="009F269A" w:rsidRPr="003F15F0">
              <w:rPr>
                <w:b/>
                <w:bCs w:val="0"/>
                <w:i/>
                <w:iCs/>
                <w:noProof/>
                <w:sz w:val="22"/>
              </w:rPr>
              <w:t>euro</w:t>
            </w:r>
            <w:r w:rsidR="009419E3" w:rsidRPr="003F15F0">
              <w:rPr>
                <w:noProof/>
                <w:sz w:val="22"/>
              </w:rPr>
              <w:t xml:space="preserve">. Indikatīvais projekta ieguvumu un izmaksu attiecības koeficients ir </w:t>
            </w:r>
            <w:r w:rsidR="009419E3" w:rsidRPr="003F15F0">
              <w:rPr>
                <w:b/>
                <w:noProof/>
                <w:sz w:val="22"/>
              </w:rPr>
              <w:t>2.70</w:t>
            </w:r>
            <w:r w:rsidR="009419E3" w:rsidRPr="003F15F0">
              <w:rPr>
                <w:noProof/>
                <w:sz w:val="22"/>
              </w:rPr>
              <w:t xml:space="preserve">, ekonomiskā ienesīguma norma </w:t>
            </w:r>
            <w:r w:rsidR="009419E3" w:rsidRPr="003F15F0">
              <w:rPr>
                <w:b/>
                <w:bCs w:val="0"/>
                <w:noProof/>
                <w:sz w:val="22"/>
              </w:rPr>
              <w:t>20%</w:t>
            </w:r>
            <w:r w:rsidR="009419E3" w:rsidRPr="003F15F0">
              <w:rPr>
                <w:noProof/>
                <w:sz w:val="22"/>
              </w:rPr>
              <w:t>, kas liecina par Projekta pievienoto vērtību un īstenošanas lietderīgumu.</w:t>
            </w:r>
          </w:p>
        </w:tc>
      </w:tr>
      <w:tr w:rsidR="005C4720" w:rsidRPr="003F15F0" w14:paraId="4457F017"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FFBFE4C"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lastRenderedPageBreak/>
              <w:t>6.1. detalizēts ieņēmumu aprēķins</w:t>
            </w:r>
          </w:p>
        </w:tc>
        <w:tc>
          <w:tcPr>
            <w:tcW w:w="4043" w:type="pct"/>
            <w:gridSpan w:val="7"/>
            <w:vMerge/>
            <w:tcBorders>
              <w:top w:val="outset" w:sz="6" w:space="0" w:color="auto"/>
              <w:left w:val="outset" w:sz="6" w:space="0" w:color="auto"/>
              <w:bottom w:val="outset" w:sz="6" w:space="0" w:color="auto"/>
              <w:right w:val="outset" w:sz="6" w:space="0" w:color="auto"/>
            </w:tcBorders>
            <w:vAlign w:val="center"/>
            <w:hideMark/>
          </w:tcPr>
          <w:p w14:paraId="71577CB4" w14:textId="77777777" w:rsidR="005C4720" w:rsidRPr="003F15F0" w:rsidRDefault="005C4720" w:rsidP="003503D4">
            <w:pPr>
              <w:rPr>
                <w:rFonts w:ascii="Times New Roman" w:hAnsi="Times New Roman" w:cs="Times New Roman"/>
                <w:iCs/>
                <w:noProof/>
                <w:sz w:val="20"/>
                <w:szCs w:val="20"/>
                <w:lang w:val="en-US" w:eastAsia="lv-LV"/>
              </w:rPr>
            </w:pPr>
          </w:p>
        </w:tc>
      </w:tr>
      <w:tr w:rsidR="005C4720" w:rsidRPr="003F15F0" w14:paraId="79FE2D86"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7CA26F01"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6.2. detalizēts izdevumu aprēķins</w:t>
            </w:r>
          </w:p>
        </w:tc>
        <w:tc>
          <w:tcPr>
            <w:tcW w:w="4043" w:type="pct"/>
            <w:gridSpan w:val="7"/>
            <w:vMerge/>
            <w:tcBorders>
              <w:top w:val="outset" w:sz="6" w:space="0" w:color="auto"/>
              <w:left w:val="outset" w:sz="6" w:space="0" w:color="auto"/>
              <w:bottom w:val="outset" w:sz="6" w:space="0" w:color="auto"/>
              <w:right w:val="outset" w:sz="6" w:space="0" w:color="auto"/>
            </w:tcBorders>
            <w:vAlign w:val="center"/>
            <w:hideMark/>
          </w:tcPr>
          <w:p w14:paraId="7E897298" w14:textId="77777777" w:rsidR="005C4720" w:rsidRPr="003F15F0" w:rsidRDefault="005C4720" w:rsidP="003503D4">
            <w:pPr>
              <w:rPr>
                <w:rFonts w:ascii="Times New Roman" w:hAnsi="Times New Roman" w:cs="Times New Roman"/>
                <w:iCs/>
                <w:noProof/>
                <w:sz w:val="20"/>
                <w:szCs w:val="20"/>
                <w:lang w:val="en-US" w:eastAsia="lv-LV"/>
              </w:rPr>
            </w:pPr>
          </w:p>
        </w:tc>
      </w:tr>
      <w:tr w:rsidR="005C4720" w:rsidRPr="003F15F0" w14:paraId="5D8D91ED"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72554B5"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7. Amata vietu skaita izmaiņas</w:t>
            </w:r>
          </w:p>
        </w:tc>
        <w:tc>
          <w:tcPr>
            <w:tcW w:w="4043" w:type="pct"/>
            <w:gridSpan w:val="7"/>
            <w:tcBorders>
              <w:top w:val="outset" w:sz="6" w:space="0" w:color="auto"/>
              <w:left w:val="outset" w:sz="6" w:space="0" w:color="auto"/>
              <w:bottom w:val="outset" w:sz="6" w:space="0" w:color="auto"/>
              <w:right w:val="outset" w:sz="6" w:space="0" w:color="auto"/>
            </w:tcBorders>
          </w:tcPr>
          <w:p w14:paraId="5E2F744D" w14:textId="77777777" w:rsidR="005C4720" w:rsidRPr="003F15F0" w:rsidRDefault="00BF6A3D" w:rsidP="003503D4">
            <w:pPr>
              <w:rPr>
                <w:rFonts w:ascii="Times New Roman" w:hAnsi="Times New Roman" w:cs="Times New Roman"/>
                <w:iCs/>
                <w:noProof/>
                <w:lang w:eastAsia="lv-LV"/>
              </w:rPr>
            </w:pPr>
            <w:r w:rsidRPr="003F15F0">
              <w:rPr>
                <w:rFonts w:ascii="Times New Roman" w:hAnsi="Times New Roman" w:cs="Times New Roman"/>
              </w:rPr>
              <w:t>Nav attiecināms</w:t>
            </w:r>
          </w:p>
        </w:tc>
      </w:tr>
      <w:tr w:rsidR="005C4720" w:rsidRPr="003F15F0" w14:paraId="29B9AE0A"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1B2416C7"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8. Cita informācija</w:t>
            </w:r>
          </w:p>
        </w:tc>
        <w:tc>
          <w:tcPr>
            <w:tcW w:w="4043" w:type="pct"/>
            <w:gridSpan w:val="7"/>
            <w:tcBorders>
              <w:top w:val="outset" w:sz="6" w:space="0" w:color="auto"/>
              <w:left w:val="outset" w:sz="6" w:space="0" w:color="auto"/>
              <w:bottom w:val="outset" w:sz="6" w:space="0" w:color="auto"/>
              <w:right w:val="outset" w:sz="6" w:space="0" w:color="auto"/>
            </w:tcBorders>
          </w:tcPr>
          <w:p w14:paraId="528A966D" w14:textId="36F8A613" w:rsidR="005C4720" w:rsidRPr="003F15F0" w:rsidRDefault="000E0B7E" w:rsidP="003503D4">
            <w:pPr>
              <w:jc w:val="both"/>
              <w:rPr>
                <w:rFonts w:ascii="Times New Roman" w:hAnsi="Times New Roman" w:cs="Times New Roman"/>
                <w:iCs/>
                <w:noProof/>
                <w:lang w:eastAsia="lv-LV"/>
              </w:rPr>
            </w:pPr>
            <w:r w:rsidRPr="003F15F0">
              <w:rPr>
                <w:rFonts w:ascii="Times New Roman" w:hAnsi="Times New Roman" w:cs="Times New Roman"/>
                <w:iCs/>
                <w:noProof/>
                <w:lang w:eastAsia="lv-LV"/>
              </w:rPr>
              <w:t xml:space="preserve">Projekta īstenošanai nepieciešamais valsts budžeta līdzfinansējums ir 300 000 </w:t>
            </w:r>
            <w:r w:rsidRPr="003F15F0">
              <w:rPr>
                <w:rFonts w:ascii="Times New Roman" w:hAnsi="Times New Roman" w:cs="Times New Roman"/>
                <w:i/>
                <w:noProof/>
                <w:lang w:eastAsia="lv-LV"/>
              </w:rPr>
              <w:t>euro</w:t>
            </w:r>
            <w:r w:rsidRPr="003F15F0">
              <w:rPr>
                <w:rFonts w:ascii="Times New Roman" w:hAnsi="Times New Roman" w:cs="Times New Roman"/>
                <w:iCs/>
                <w:noProof/>
                <w:lang w:eastAsia="lv-LV"/>
              </w:rPr>
              <w:t xml:space="preserve">. Projekta uzturēšanai sākot ar 2023. gadu līdz 2025. gadam papildus nepieciešamās ikgadējās uzturēšanas izmaksas ir 42 000 </w:t>
            </w:r>
            <w:r w:rsidRPr="003F15F0">
              <w:rPr>
                <w:rFonts w:ascii="Times New Roman" w:hAnsi="Times New Roman" w:cs="Times New Roman"/>
                <w:i/>
                <w:noProof/>
                <w:lang w:eastAsia="lv-LV"/>
              </w:rPr>
              <w:t>euro</w:t>
            </w:r>
            <w:r w:rsidRPr="003F15F0">
              <w:rPr>
                <w:rFonts w:ascii="Times New Roman" w:hAnsi="Times New Roman" w:cs="Times New Roman"/>
                <w:iCs/>
                <w:noProof/>
                <w:lang w:eastAsia="lv-LV"/>
              </w:rPr>
              <w:t>, kas tiks pieprasītas normatīvajos aktos noteiktajā kārtībā papildus.</w:t>
            </w:r>
          </w:p>
        </w:tc>
      </w:tr>
    </w:tbl>
    <w:p w14:paraId="53567253" w14:textId="77777777" w:rsidR="00E01020" w:rsidRDefault="00E0102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912" w:rsidRPr="00FB6912" w14:paraId="03FFA06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CB8F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IV. Tiesību akta projekta ietekme uz spēkā esošo tiesību normu sistēmu</w:t>
            </w:r>
          </w:p>
        </w:tc>
      </w:tr>
      <w:tr w:rsidR="00FB6912" w:rsidRPr="00FB6912" w14:paraId="6EF1DC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B9B217" w14:textId="4769337A" w:rsidR="001B6A66" w:rsidRPr="00FB6912" w:rsidRDefault="007C6BDB" w:rsidP="001B6A6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Rīkojuma p</w:t>
            </w:r>
            <w:r w:rsidR="001B6A66" w:rsidRPr="00FB6912">
              <w:rPr>
                <w:rFonts w:ascii="Times New Roman" w:eastAsia="Times New Roman" w:hAnsi="Times New Roman" w:cs="Times New Roman"/>
                <w:bCs/>
                <w:iCs/>
                <w:sz w:val="24"/>
                <w:szCs w:val="24"/>
                <w:lang w:eastAsia="lv-LV"/>
              </w:rPr>
              <w:t>rojekts šo jomu neskar</w:t>
            </w:r>
          </w:p>
        </w:tc>
      </w:tr>
    </w:tbl>
    <w:p w14:paraId="4FB5F96B"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912" w:rsidRPr="00FB6912" w14:paraId="76BC123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E6A98"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B6912" w:rsidRPr="00FB6912" w14:paraId="7CBC155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130539" w14:textId="29E8B36D" w:rsidR="001B6A66" w:rsidRPr="00FB6912" w:rsidRDefault="007C6BDB" w:rsidP="001B6A6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Rīkojuma p</w:t>
            </w:r>
            <w:r w:rsidRPr="00FB6912">
              <w:rPr>
                <w:rFonts w:ascii="Times New Roman" w:eastAsia="Times New Roman" w:hAnsi="Times New Roman" w:cs="Times New Roman"/>
                <w:bCs/>
                <w:iCs/>
                <w:sz w:val="24"/>
                <w:szCs w:val="24"/>
                <w:lang w:eastAsia="lv-LV"/>
              </w:rPr>
              <w:t xml:space="preserve">rojekts </w:t>
            </w:r>
            <w:r w:rsidR="001B6A66" w:rsidRPr="00FB6912">
              <w:rPr>
                <w:rFonts w:ascii="Times New Roman" w:eastAsia="Times New Roman" w:hAnsi="Times New Roman" w:cs="Times New Roman"/>
                <w:bCs/>
                <w:iCs/>
                <w:sz w:val="24"/>
                <w:szCs w:val="24"/>
                <w:lang w:eastAsia="lv-LV"/>
              </w:rPr>
              <w:t>šo jomu neskar</w:t>
            </w:r>
          </w:p>
        </w:tc>
      </w:tr>
    </w:tbl>
    <w:p w14:paraId="568B0524"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912" w:rsidRPr="00FB6912" w14:paraId="77E4F0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116D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VI. Sabiedrības līdzdalība un komunikācijas aktivitātes</w:t>
            </w:r>
          </w:p>
        </w:tc>
      </w:tr>
      <w:tr w:rsidR="00DF678E" w:rsidRPr="00FB6912" w14:paraId="644FF5E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4DD9954" w14:textId="77777777" w:rsidR="00DF678E" w:rsidRPr="00DF678E" w:rsidRDefault="000910F1" w:rsidP="000910F1">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Tā kā p</w:t>
            </w:r>
            <w:r w:rsidR="00DF678E" w:rsidRPr="00DF678E">
              <w:rPr>
                <w:rFonts w:ascii="Times New Roman" w:eastAsia="Times New Roman" w:hAnsi="Times New Roman" w:cs="Times New Roman"/>
                <w:bCs/>
                <w:iCs/>
                <w:sz w:val="24"/>
                <w:szCs w:val="24"/>
                <w:lang w:eastAsia="lv-LV"/>
              </w:rPr>
              <w:t xml:space="preserve">rojekts </w:t>
            </w:r>
            <w:r>
              <w:rPr>
                <w:rFonts w:ascii="Times New Roman" w:eastAsia="Times New Roman" w:hAnsi="Times New Roman" w:cs="Times New Roman"/>
                <w:bCs/>
                <w:iCs/>
                <w:sz w:val="24"/>
                <w:szCs w:val="24"/>
                <w:lang w:eastAsia="lv-LV"/>
              </w:rPr>
              <w:t xml:space="preserve">attiecas uz </w:t>
            </w:r>
            <w:r w:rsidR="00DD0002">
              <w:rPr>
                <w:rFonts w:ascii="Times New Roman" w:eastAsia="Times New Roman" w:hAnsi="Times New Roman" w:cs="Times New Roman"/>
                <w:bCs/>
                <w:iCs/>
                <w:sz w:val="24"/>
                <w:szCs w:val="24"/>
                <w:lang w:eastAsia="lv-LV"/>
              </w:rPr>
              <w:t xml:space="preserve">valsts pārvaldes </w:t>
            </w:r>
            <w:r>
              <w:rPr>
                <w:rFonts w:ascii="Times New Roman" w:eastAsia="Times New Roman" w:hAnsi="Times New Roman" w:cs="Times New Roman"/>
                <w:bCs/>
                <w:iCs/>
                <w:sz w:val="24"/>
                <w:szCs w:val="24"/>
                <w:lang w:eastAsia="lv-LV"/>
              </w:rPr>
              <w:t xml:space="preserve">iestāžu </w:t>
            </w:r>
            <w:r w:rsidR="00DD0002">
              <w:rPr>
                <w:rFonts w:ascii="Times New Roman" w:eastAsia="Times New Roman" w:hAnsi="Times New Roman" w:cs="Times New Roman"/>
                <w:bCs/>
                <w:iCs/>
                <w:sz w:val="24"/>
                <w:szCs w:val="24"/>
                <w:lang w:eastAsia="lv-LV"/>
              </w:rPr>
              <w:t>(labklājības nozar</w:t>
            </w:r>
            <w:r w:rsidR="00EE65B8">
              <w:rPr>
                <w:rFonts w:ascii="Times New Roman" w:eastAsia="Times New Roman" w:hAnsi="Times New Roman" w:cs="Times New Roman"/>
                <w:bCs/>
                <w:iCs/>
                <w:sz w:val="24"/>
                <w:szCs w:val="24"/>
                <w:lang w:eastAsia="lv-LV"/>
              </w:rPr>
              <w:t>es</w:t>
            </w:r>
            <w:r w:rsidR="00DD0002">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bCs/>
                <w:iCs/>
                <w:sz w:val="24"/>
                <w:szCs w:val="24"/>
                <w:lang w:eastAsia="lv-LV"/>
              </w:rPr>
              <w:t>iekšējo IKT centralizāciju un attīstīšanu, tad sabiedrības iesaiste nav nepieciešama.</w:t>
            </w:r>
          </w:p>
        </w:tc>
      </w:tr>
    </w:tbl>
    <w:p w14:paraId="6A9A205F"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5684E49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D8BAD9"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6912" w:rsidRPr="00FB6912" w14:paraId="200A8C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42FCFA"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EFE785"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D91DE51" w14:textId="57499B35" w:rsidR="00E5323B" w:rsidRPr="00FB6912" w:rsidRDefault="005F3D6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w:t>
            </w:r>
            <w:r w:rsidR="00DF678E" w:rsidRPr="00DF678E">
              <w:rPr>
                <w:rFonts w:ascii="Times New Roman" w:eastAsia="Times New Roman" w:hAnsi="Times New Roman" w:cs="Times New Roman"/>
                <w:iCs/>
                <w:sz w:val="24"/>
                <w:szCs w:val="24"/>
                <w:lang w:eastAsia="lv-LV"/>
              </w:rPr>
              <w:t>M un tās padotības iestādes</w:t>
            </w:r>
            <w:r w:rsidR="00D60112">
              <w:rPr>
                <w:rFonts w:ascii="Times New Roman" w:eastAsia="Times New Roman" w:hAnsi="Times New Roman" w:cs="Times New Roman"/>
                <w:iCs/>
                <w:sz w:val="24"/>
                <w:szCs w:val="24"/>
                <w:lang w:eastAsia="lv-LV"/>
              </w:rPr>
              <w:t>.</w:t>
            </w:r>
          </w:p>
        </w:tc>
      </w:tr>
      <w:tr w:rsidR="00FB6912" w:rsidRPr="00FB6912" w14:paraId="36B792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C7E02C"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EFDA11"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Projekta izpildes ietekme uz pārvaldes funkcijām un </w:t>
            </w:r>
            <w:r w:rsidRPr="00FB6912">
              <w:rPr>
                <w:rFonts w:ascii="Times New Roman" w:eastAsia="Times New Roman" w:hAnsi="Times New Roman" w:cs="Times New Roman"/>
                <w:iCs/>
                <w:sz w:val="24"/>
                <w:szCs w:val="24"/>
                <w:lang w:eastAsia="lv-LV"/>
              </w:rPr>
              <w:lastRenderedPageBreak/>
              <w:t>institucionālo struktūru.</w:t>
            </w:r>
            <w:r w:rsidRPr="00FB691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98D8F1A" w14:textId="77777777" w:rsidR="00E5323B" w:rsidRPr="00FB6912" w:rsidRDefault="00D60112" w:rsidP="00E5323B">
            <w:pPr>
              <w:spacing w:after="0" w:line="240" w:lineRule="auto"/>
              <w:rPr>
                <w:rFonts w:ascii="Times New Roman" w:eastAsia="Times New Roman" w:hAnsi="Times New Roman" w:cs="Times New Roman"/>
                <w:iCs/>
                <w:sz w:val="24"/>
                <w:szCs w:val="24"/>
                <w:lang w:eastAsia="lv-LV"/>
              </w:rPr>
            </w:pPr>
            <w:r w:rsidRPr="00D60112">
              <w:rPr>
                <w:rFonts w:ascii="Times New Roman" w:eastAsia="Times New Roman" w:hAnsi="Times New Roman" w:cs="Times New Roman"/>
                <w:iCs/>
                <w:sz w:val="24"/>
                <w:szCs w:val="24"/>
                <w:lang w:eastAsia="lv-LV"/>
              </w:rPr>
              <w:lastRenderedPageBreak/>
              <w:t>Jaunas institūcijas nav nepieciešams veidot, likvidēt vai reorganizēt.</w:t>
            </w:r>
          </w:p>
        </w:tc>
      </w:tr>
      <w:tr w:rsidR="00FB6912" w:rsidRPr="00FB6912" w14:paraId="004386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CA307"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7870B8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2D2E90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Nav</w:t>
            </w:r>
          </w:p>
        </w:tc>
      </w:tr>
    </w:tbl>
    <w:p w14:paraId="3998CE42" w14:textId="77777777" w:rsidR="00C25B49" w:rsidRPr="00FB6912" w:rsidRDefault="00C25B49" w:rsidP="00894C55">
      <w:pPr>
        <w:spacing w:after="0" w:line="240" w:lineRule="auto"/>
        <w:rPr>
          <w:rFonts w:ascii="Times New Roman" w:hAnsi="Times New Roman" w:cs="Times New Roman"/>
          <w:sz w:val="28"/>
          <w:szCs w:val="28"/>
        </w:rPr>
      </w:pPr>
    </w:p>
    <w:p w14:paraId="362D7FE3" w14:textId="77777777" w:rsidR="00E5323B" w:rsidRDefault="00E5323B" w:rsidP="00894C55">
      <w:pPr>
        <w:spacing w:after="0" w:line="240" w:lineRule="auto"/>
        <w:rPr>
          <w:rFonts w:ascii="Times New Roman" w:hAnsi="Times New Roman" w:cs="Times New Roman"/>
          <w:sz w:val="28"/>
          <w:szCs w:val="28"/>
        </w:rPr>
      </w:pPr>
    </w:p>
    <w:p w14:paraId="0A8FFB63" w14:textId="77777777" w:rsidR="00481D5C" w:rsidRPr="00FB6912" w:rsidRDefault="00481D5C" w:rsidP="00894C55">
      <w:pPr>
        <w:spacing w:after="0" w:line="240" w:lineRule="auto"/>
        <w:rPr>
          <w:rFonts w:ascii="Times New Roman" w:hAnsi="Times New Roman" w:cs="Times New Roman"/>
          <w:sz w:val="28"/>
          <w:szCs w:val="28"/>
        </w:rPr>
      </w:pPr>
    </w:p>
    <w:p w14:paraId="50ABC939" w14:textId="1548C21D" w:rsidR="00894C55" w:rsidRPr="00FB6912" w:rsidRDefault="005F3D6E"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Vides aizsardzības un reģionālās attīstības ministrs</w:t>
      </w:r>
      <w:r>
        <w:rPr>
          <w:rFonts w:ascii="Times New Roman" w:hAnsi="Times New Roman" w:cs="Times New Roman"/>
          <w:sz w:val="28"/>
          <w:szCs w:val="28"/>
        </w:rPr>
        <w:tab/>
      </w:r>
      <w:r>
        <w:rPr>
          <w:rFonts w:ascii="Times New Roman" w:hAnsi="Times New Roman" w:cs="Times New Roman"/>
          <w:sz w:val="28"/>
          <w:szCs w:val="28"/>
        </w:rPr>
        <w:tab/>
      </w:r>
      <w:proofErr w:type="spellStart"/>
      <w:r w:rsidR="005148BC">
        <w:rPr>
          <w:rFonts w:ascii="Times New Roman" w:hAnsi="Times New Roman" w:cs="Times New Roman"/>
          <w:sz w:val="28"/>
          <w:szCs w:val="28"/>
        </w:rPr>
        <w:t>J.Pūce</w:t>
      </w:r>
      <w:proofErr w:type="spellEnd"/>
    </w:p>
    <w:p w14:paraId="69537BC0" w14:textId="77777777" w:rsidR="00894C55" w:rsidRPr="00FB6912" w:rsidRDefault="00894C55" w:rsidP="00894C55">
      <w:pPr>
        <w:spacing w:after="0" w:line="240" w:lineRule="auto"/>
        <w:ind w:firstLine="720"/>
        <w:rPr>
          <w:rFonts w:ascii="Times New Roman" w:hAnsi="Times New Roman" w:cs="Times New Roman"/>
          <w:sz w:val="28"/>
          <w:szCs w:val="28"/>
        </w:rPr>
      </w:pPr>
    </w:p>
    <w:p w14:paraId="2D3B2E35" w14:textId="0851A374" w:rsidR="00481D5C" w:rsidRDefault="00481D5C" w:rsidP="00894C55">
      <w:pPr>
        <w:tabs>
          <w:tab w:val="left" w:pos="6237"/>
        </w:tabs>
        <w:spacing w:after="0" w:line="240" w:lineRule="auto"/>
        <w:ind w:firstLine="720"/>
        <w:rPr>
          <w:rFonts w:ascii="Times New Roman" w:hAnsi="Times New Roman" w:cs="Times New Roman"/>
          <w:sz w:val="28"/>
          <w:szCs w:val="28"/>
        </w:rPr>
      </w:pPr>
    </w:p>
    <w:p w14:paraId="3EF85B01" w14:textId="58C8023D" w:rsidR="005D2B2D" w:rsidRDefault="005D2B2D" w:rsidP="00894C55">
      <w:pPr>
        <w:tabs>
          <w:tab w:val="left" w:pos="6237"/>
        </w:tabs>
        <w:spacing w:after="0" w:line="240" w:lineRule="auto"/>
        <w:ind w:firstLine="720"/>
        <w:rPr>
          <w:rFonts w:ascii="Times New Roman" w:hAnsi="Times New Roman" w:cs="Times New Roman"/>
          <w:sz w:val="28"/>
          <w:szCs w:val="28"/>
        </w:rPr>
      </w:pPr>
    </w:p>
    <w:p w14:paraId="0C0AC5F0" w14:textId="77777777" w:rsidR="005D2B2D" w:rsidRDefault="005D2B2D" w:rsidP="00894C55">
      <w:pPr>
        <w:tabs>
          <w:tab w:val="left" w:pos="6237"/>
        </w:tabs>
        <w:spacing w:after="0" w:line="240" w:lineRule="auto"/>
        <w:ind w:firstLine="720"/>
        <w:rPr>
          <w:rFonts w:ascii="Times New Roman" w:hAnsi="Times New Roman" w:cs="Times New Roman"/>
          <w:sz w:val="28"/>
          <w:szCs w:val="28"/>
        </w:rPr>
      </w:pPr>
    </w:p>
    <w:p w14:paraId="5268666B" w14:textId="77777777" w:rsidR="00481D5C" w:rsidRDefault="00481D5C" w:rsidP="00894C55">
      <w:pPr>
        <w:tabs>
          <w:tab w:val="left" w:pos="6237"/>
        </w:tabs>
        <w:spacing w:after="0" w:line="240" w:lineRule="auto"/>
        <w:ind w:firstLine="720"/>
        <w:rPr>
          <w:rFonts w:ascii="Times New Roman" w:hAnsi="Times New Roman" w:cs="Times New Roman"/>
          <w:sz w:val="28"/>
          <w:szCs w:val="28"/>
        </w:rPr>
      </w:pPr>
    </w:p>
    <w:p w14:paraId="0A2DF56F" w14:textId="77777777" w:rsidR="00481D5C" w:rsidRPr="00FB6912" w:rsidRDefault="00481D5C" w:rsidP="00894C55">
      <w:pPr>
        <w:tabs>
          <w:tab w:val="left" w:pos="6237"/>
        </w:tabs>
        <w:spacing w:after="0" w:line="240" w:lineRule="auto"/>
        <w:ind w:firstLine="720"/>
        <w:rPr>
          <w:rFonts w:ascii="Times New Roman" w:hAnsi="Times New Roman" w:cs="Times New Roman"/>
          <w:sz w:val="28"/>
          <w:szCs w:val="28"/>
        </w:rPr>
      </w:pPr>
    </w:p>
    <w:p w14:paraId="202D5FA5" w14:textId="0CCC7EC1" w:rsidR="00894C55" w:rsidRPr="00FB6912" w:rsidRDefault="000B770E"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Kalniņa</w:t>
      </w:r>
      <w:r w:rsidR="00D133F8" w:rsidRPr="00FB6912">
        <w:rPr>
          <w:rFonts w:ascii="Times New Roman" w:hAnsi="Times New Roman" w:cs="Times New Roman"/>
          <w:sz w:val="24"/>
          <w:szCs w:val="28"/>
        </w:rPr>
        <w:t xml:space="preserve"> 670</w:t>
      </w:r>
      <w:r w:rsidR="00DD0002">
        <w:rPr>
          <w:rFonts w:ascii="Times New Roman" w:hAnsi="Times New Roman" w:cs="Times New Roman"/>
          <w:sz w:val="24"/>
          <w:szCs w:val="28"/>
        </w:rPr>
        <w:t>2</w:t>
      </w:r>
      <w:r>
        <w:rPr>
          <w:rFonts w:ascii="Times New Roman" w:hAnsi="Times New Roman" w:cs="Times New Roman"/>
          <w:sz w:val="24"/>
          <w:szCs w:val="28"/>
        </w:rPr>
        <w:t>6576</w:t>
      </w:r>
    </w:p>
    <w:p w14:paraId="07BAF8E3" w14:textId="2BE82D25" w:rsidR="00894C55" w:rsidRDefault="006A4CCF" w:rsidP="00894C55">
      <w:pPr>
        <w:tabs>
          <w:tab w:val="left" w:pos="6237"/>
        </w:tabs>
        <w:spacing w:after="0" w:line="240" w:lineRule="auto"/>
        <w:rPr>
          <w:rFonts w:ascii="Times New Roman" w:hAnsi="Times New Roman" w:cs="Times New Roman"/>
          <w:sz w:val="24"/>
          <w:szCs w:val="28"/>
        </w:rPr>
      </w:pPr>
      <w:hyperlink r:id="rId11" w:history="1">
        <w:r w:rsidR="000B770E" w:rsidRPr="0079525C">
          <w:rPr>
            <w:rStyle w:val="Hyperlink"/>
            <w:rFonts w:ascii="Times New Roman" w:hAnsi="Times New Roman" w:cs="Times New Roman"/>
            <w:sz w:val="24"/>
            <w:szCs w:val="28"/>
          </w:rPr>
          <w:t>lelda.kalnina@varam.gov.lv</w:t>
        </w:r>
      </w:hyperlink>
    </w:p>
    <w:p w14:paraId="07B80879" w14:textId="7D1B2236" w:rsidR="000B770E" w:rsidRDefault="009F269A"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Leikums </w:t>
      </w:r>
      <w:r w:rsidR="00BF184B">
        <w:rPr>
          <w:rFonts w:ascii="Times New Roman" w:hAnsi="Times New Roman" w:cs="Times New Roman"/>
          <w:sz w:val="24"/>
          <w:szCs w:val="28"/>
        </w:rPr>
        <w:t>67027065</w:t>
      </w:r>
    </w:p>
    <w:p w14:paraId="14FC64A3" w14:textId="1932D731" w:rsidR="00BF184B" w:rsidRPr="00FB6912" w:rsidRDefault="006A4CCF" w:rsidP="00894C55">
      <w:pPr>
        <w:tabs>
          <w:tab w:val="left" w:pos="6237"/>
        </w:tabs>
        <w:spacing w:after="0" w:line="240" w:lineRule="auto"/>
        <w:rPr>
          <w:rFonts w:ascii="Times New Roman" w:hAnsi="Times New Roman" w:cs="Times New Roman"/>
          <w:sz w:val="24"/>
          <w:szCs w:val="28"/>
        </w:rPr>
      </w:pPr>
      <w:hyperlink r:id="rId12" w:history="1">
        <w:r w:rsidR="00812980" w:rsidRPr="00F95C7E">
          <w:rPr>
            <w:rStyle w:val="Hyperlink"/>
            <w:rFonts w:ascii="Times New Roman" w:hAnsi="Times New Roman" w:cs="Times New Roman"/>
            <w:sz w:val="24"/>
            <w:szCs w:val="28"/>
          </w:rPr>
          <w:t>toms.leikums@zm.gov.lv</w:t>
        </w:r>
      </w:hyperlink>
      <w:r w:rsidR="00BF184B">
        <w:rPr>
          <w:rFonts w:ascii="Times New Roman" w:hAnsi="Times New Roman" w:cs="Times New Roman"/>
          <w:sz w:val="24"/>
          <w:szCs w:val="28"/>
        </w:rPr>
        <w:t xml:space="preserve"> </w:t>
      </w:r>
    </w:p>
    <w:sectPr w:rsidR="00BF184B" w:rsidRPr="00FB6912"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501CD" w14:textId="77777777" w:rsidR="006A4CCF" w:rsidRDefault="006A4CCF" w:rsidP="00894C55">
      <w:pPr>
        <w:spacing w:after="0" w:line="240" w:lineRule="auto"/>
      </w:pPr>
      <w:r>
        <w:separator/>
      </w:r>
    </w:p>
  </w:endnote>
  <w:endnote w:type="continuationSeparator" w:id="0">
    <w:p w14:paraId="649E6EEC" w14:textId="77777777" w:rsidR="006A4CCF" w:rsidRDefault="006A4CC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86F3" w14:textId="55C420B5" w:rsidR="00894C55" w:rsidRPr="00894C55" w:rsidRDefault="005148BC">
    <w:pPr>
      <w:pStyle w:val="Footer"/>
      <w:rPr>
        <w:rFonts w:ascii="Times New Roman" w:hAnsi="Times New Roman" w:cs="Times New Roman"/>
        <w:sz w:val="20"/>
        <w:szCs w:val="20"/>
      </w:rPr>
    </w:pPr>
    <w:bookmarkStart w:id="1" w:name="_Hlk47967014"/>
    <w:bookmarkStart w:id="2" w:name="_Hlk47967015"/>
    <w:r>
      <w:rPr>
        <w:rFonts w:ascii="Times New Roman" w:hAnsi="Times New Roman" w:cs="Times New Roman"/>
        <w:sz w:val="20"/>
        <w:szCs w:val="20"/>
      </w:rPr>
      <w:t>VARAM</w:t>
    </w:r>
    <w:r w:rsidR="000B770E">
      <w:rPr>
        <w:rFonts w:ascii="Times New Roman" w:hAnsi="Times New Roman" w:cs="Times New Roman"/>
        <w:sz w:val="20"/>
        <w:szCs w:val="20"/>
      </w:rPr>
      <w:t>a</w:t>
    </w:r>
    <w:r>
      <w:rPr>
        <w:rFonts w:ascii="Times New Roman" w:hAnsi="Times New Roman" w:cs="Times New Roman"/>
        <w:sz w:val="20"/>
        <w:szCs w:val="20"/>
      </w:rPr>
      <w:t>not</w:t>
    </w:r>
    <w:r w:rsidR="000B770E">
      <w:rPr>
        <w:rFonts w:ascii="Times New Roman" w:hAnsi="Times New Roman" w:cs="Times New Roman"/>
        <w:sz w:val="20"/>
        <w:szCs w:val="20"/>
      </w:rPr>
      <w:t>_MA_55.0</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F719" w14:textId="7EA09D80" w:rsidR="009A2654" w:rsidRPr="000B770E" w:rsidRDefault="000B770E" w:rsidP="000B770E">
    <w:pPr>
      <w:pStyle w:val="Footer"/>
    </w:pPr>
    <w:r w:rsidRPr="000B770E">
      <w:rPr>
        <w:rFonts w:ascii="Times New Roman" w:hAnsi="Times New Roman" w:cs="Times New Roman"/>
        <w:sz w:val="20"/>
        <w:szCs w:val="20"/>
      </w:rPr>
      <w:t>VARAManot_MA_55.0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E70B7" w14:textId="77777777" w:rsidR="006A4CCF" w:rsidRDefault="006A4CCF" w:rsidP="00894C55">
      <w:pPr>
        <w:spacing w:after="0" w:line="240" w:lineRule="auto"/>
      </w:pPr>
      <w:r>
        <w:separator/>
      </w:r>
    </w:p>
  </w:footnote>
  <w:footnote w:type="continuationSeparator" w:id="0">
    <w:p w14:paraId="2BE00980" w14:textId="77777777" w:rsidR="006A4CCF" w:rsidRDefault="006A4CC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4B7C16C" w14:textId="4EAABA5A"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665E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B71"/>
    <w:multiLevelType w:val="hybridMultilevel"/>
    <w:tmpl w:val="5412B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A76F17"/>
    <w:multiLevelType w:val="multilevel"/>
    <w:tmpl w:val="31F25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D009A3"/>
    <w:multiLevelType w:val="hybridMultilevel"/>
    <w:tmpl w:val="5412B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4F0831"/>
    <w:multiLevelType w:val="hybridMultilevel"/>
    <w:tmpl w:val="E20EBB70"/>
    <w:lvl w:ilvl="0" w:tplc="94BEABF4">
      <w:start w:val="1"/>
      <w:numFmt w:val="bullet"/>
      <w:pStyle w:val="VP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9D7A8E"/>
    <w:multiLevelType w:val="hybridMultilevel"/>
    <w:tmpl w:val="D5E678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094615"/>
    <w:multiLevelType w:val="hybridMultilevel"/>
    <w:tmpl w:val="FAE6ED3E"/>
    <w:lvl w:ilvl="0" w:tplc="FFFFFFFF">
      <w:start w:val="1"/>
      <w:numFmt w:val="decimal"/>
      <w:lvlText w:val="%1."/>
      <w:lvlJc w:val="left"/>
      <w:pPr>
        <w:ind w:left="765" w:hanging="405"/>
      </w:pPr>
      <w:rPr>
        <w:rFonts w:eastAsia="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B241AFC"/>
    <w:multiLevelType w:val="hybridMultilevel"/>
    <w:tmpl w:val="D3920EFA"/>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694"/>
    <w:rsid w:val="000312CE"/>
    <w:rsid w:val="00042300"/>
    <w:rsid w:val="00054B5B"/>
    <w:rsid w:val="00073F4E"/>
    <w:rsid w:val="00083784"/>
    <w:rsid w:val="000877C9"/>
    <w:rsid w:val="000910F1"/>
    <w:rsid w:val="000A60FB"/>
    <w:rsid w:val="000B3FFD"/>
    <w:rsid w:val="000B770E"/>
    <w:rsid w:val="000C3100"/>
    <w:rsid w:val="000E0B7E"/>
    <w:rsid w:val="000E534D"/>
    <w:rsid w:val="000E614B"/>
    <w:rsid w:val="000E6D65"/>
    <w:rsid w:val="00101569"/>
    <w:rsid w:val="0010180F"/>
    <w:rsid w:val="00115569"/>
    <w:rsid w:val="00153DCA"/>
    <w:rsid w:val="00196AAF"/>
    <w:rsid w:val="001A6860"/>
    <w:rsid w:val="001B6A66"/>
    <w:rsid w:val="001E7FFB"/>
    <w:rsid w:val="00206362"/>
    <w:rsid w:val="002139CE"/>
    <w:rsid w:val="00216863"/>
    <w:rsid w:val="00231474"/>
    <w:rsid w:val="00236A07"/>
    <w:rsid w:val="00243426"/>
    <w:rsid w:val="002529DE"/>
    <w:rsid w:val="00261841"/>
    <w:rsid w:val="002E1C05"/>
    <w:rsid w:val="00300F18"/>
    <w:rsid w:val="003019F4"/>
    <w:rsid w:val="0032137F"/>
    <w:rsid w:val="00330B4E"/>
    <w:rsid w:val="00334410"/>
    <w:rsid w:val="00337A2F"/>
    <w:rsid w:val="00375602"/>
    <w:rsid w:val="00396293"/>
    <w:rsid w:val="003A4F9D"/>
    <w:rsid w:val="003A5C2E"/>
    <w:rsid w:val="003B0BF9"/>
    <w:rsid w:val="003B3ADD"/>
    <w:rsid w:val="003E0791"/>
    <w:rsid w:val="003F03B9"/>
    <w:rsid w:val="003F15F0"/>
    <w:rsid w:val="003F28AC"/>
    <w:rsid w:val="004454F1"/>
    <w:rsid w:val="004454FE"/>
    <w:rsid w:val="00456E40"/>
    <w:rsid w:val="0047160E"/>
    <w:rsid w:val="00471F27"/>
    <w:rsid w:val="00480078"/>
    <w:rsid w:val="00481D5C"/>
    <w:rsid w:val="004B4747"/>
    <w:rsid w:val="004C1862"/>
    <w:rsid w:val="004C1F74"/>
    <w:rsid w:val="004C5949"/>
    <w:rsid w:val="004D4487"/>
    <w:rsid w:val="004E49BD"/>
    <w:rsid w:val="004F0D35"/>
    <w:rsid w:val="0050178F"/>
    <w:rsid w:val="005148BC"/>
    <w:rsid w:val="00536B2C"/>
    <w:rsid w:val="00544497"/>
    <w:rsid w:val="0055772B"/>
    <w:rsid w:val="005679ED"/>
    <w:rsid w:val="00584EE3"/>
    <w:rsid w:val="005A49A5"/>
    <w:rsid w:val="005B1445"/>
    <w:rsid w:val="005C4720"/>
    <w:rsid w:val="005D2B2D"/>
    <w:rsid w:val="005F3D6E"/>
    <w:rsid w:val="006278A0"/>
    <w:rsid w:val="00662019"/>
    <w:rsid w:val="006728B8"/>
    <w:rsid w:val="00672DB2"/>
    <w:rsid w:val="00687550"/>
    <w:rsid w:val="00693616"/>
    <w:rsid w:val="00696A35"/>
    <w:rsid w:val="006A4CCF"/>
    <w:rsid w:val="006B6A7F"/>
    <w:rsid w:val="006E1081"/>
    <w:rsid w:val="006F1B8A"/>
    <w:rsid w:val="006F7071"/>
    <w:rsid w:val="00704C96"/>
    <w:rsid w:val="00704EEA"/>
    <w:rsid w:val="007118E5"/>
    <w:rsid w:val="00715D8E"/>
    <w:rsid w:val="00720585"/>
    <w:rsid w:val="007221FF"/>
    <w:rsid w:val="00754B68"/>
    <w:rsid w:val="00761403"/>
    <w:rsid w:val="00761BDC"/>
    <w:rsid w:val="00773AF6"/>
    <w:rsid w:val="00785EFC"/>
    <w:rsid w:val="00795F71"/>
    <w:rsid w:val="007A7C48"/>
    <w:rsid w:val="007C6BDB"/>
    <w:rsid w:val="007D7E5C"/>
    <w:rsid w:val="007E08E8"/>
    <w:rsid w:val="007E73AB"/>
    <w:rsid w:val="00812980"/>
    <w:rsid w:val="00816C11"/>
    <w:rsid w:val="008172F5"/>
    <w:rsid w:val="00834DB2"/>
    <w:rsid w:val="00866F51"/>
    <w:rsid w:val="00872288"/>
    <w:rsid w:val="00877FFC"/>
    <w:rsid w:val="00882D1C"/>
    <w:rsid w:val="00894C55"/>
    <w:rsid w:val="008B3106"/>
    <w:rsid w:val="008B70E4"/>
    <w:rsid w:val="008C570A"/>
    <w:rsid w:val="009419E3"/>
    <w:rsid w:val="009724B8"/>
    <w:rsid w:val="009753F2"/>
    <w:rsid w:val="0099063E"/>
    <w:rsid w:val="0099343F"/>
    <w:rsid w:val="009A2654"/>
    <w:rsid w:val="009A34FD"/>
    <w:rsid w:val="009C0268"/>
    <w:rsid w:val="009E1AA1"/>
    <w:rsid w:val="009E474A"/>
    <w:rsid w:val="009E6C24"/>
    <w:rsid w:val="009F198B"/>
    <w:rsid w:val="009F269A"/>
    <w:rsid w:val="00A054C4"/>
    <w:rsid w:val="00A10FC3"/>
    <w:rsid w:val="00A32E1F"/>
    <w:rsid w:val="00A352C4"/>
    <w:rsid w:val="00A4056A"/>
    <w:rsid w:val="00A5436B"/>
    <w:rsid w:val="00A6073E"/>
    <w:rsid w:val="00A62066"/>
    <w:rsid w:val="00A630D9"/>
    <w:rsid w:val="00A84A4B"/>
    <w:rsid w:val="00A95971"/>
    <w:rsid w:val="00AE4CA2"/>
    <w:rsid w:val="00AE5567"/>
    <w:rsid w:val="00AE77EF"/>
    <w:rsid w:val="00B023D1"/>
    <w:rsid w:val="00B069CE"/>
    <w:rsid w:val="00B1133B"/>
    <w:rsid w:val="00B11B48"/>
    <w:rsid w:val="00B16480"/>
    <w:rsid w:val="00B2165C"/>
    <w:rsid w:val="00B27106"/>
    <w:rsid w:val="00B27679"/>
    <w:rsid w:val="00B3738A"/>
    <w:rsid w:val="00B66011"/>
    <w:rsid w:val="00B665EA"/>
    <w:rsid w:val="00B97635"/>
    <w:rsid w:val="00BA20AA"/>
    <w:rsid w:val="00BB2EA8"/>
    <w:rsid w:val="00BC12A6"/>
    <w:rsid w:val="00BC5B2C"/>
    <w:rsid w:val="00BD4425"/>
    <w:rsid w:val="00BE1CFC"/>
    <w:rsid w:val="00BF184B"/>
    <w:rsid w:val="00BF6A3D"/>
    <w:rsid w:val="00C13720"/>
    <w:rsid w:val="00C21846"/>
    <w:rsid w:val="00C2402B"/>
    <w:rsid w:val="00C25B49"/>
    <w:rsid w:val="00C268FA"/>
    <w:rsid w:val="00C42252"/>
    <w:rsid w:val="00C50261"/>
    <w:rsid w:val="00C549DE"/>
    <w:rsid w:val="00C731BF"/>
    <w:rsid w:val="00C8102B"/>
    <w:rsid w:val="00CA3B11"/>
    <w:rsid w:val="00CA67EC"/>
    <w:rsid w:val="00CB6D5B"/>
    <w:rsid w:val="00CD4D92"/>
    <w:rsid w:val="00CD526E"/>
    <w:rsid w:val="00CE2A8E"/>
    <w:rsid w:val="00CE5657"/>
    <w:rsid w:val="00D022A9"/>
    <w:rsid w:val="00D133F8"/>
    <w:rsid w:val="00D13E16"/>
    <w:rsid w:val="00D14A3E"/>
    <w:rsid w:val="00D3403A"/>
    <w:rsid w:val="00D35FE7"/>
    <w:rsid w:val="00D60112"/>
    <w:rsid w:val="00D9379E"/>
    <w:rsid w:val="00DA2061"/>
    <w:rsid w:val="00DA4817"/>
    <w:rsid w:val="00DC4F98"/>
    <w:rsid w:val="00DD0002"/>
    <w:rsid w:val="00DE2CBC"/>
    <w:rsid w:val="00DF5F7F"/>
    <w:rsid w:val="00DF678E"/>
    <w:rsid w:val="00E005DC"/>
    <w:rsid w:val="00E01020"/>
    <w:rsid w:val="00E1024D"/>
    <w:rsid w:val="00E12877"/>
    <w:rsid w:val="00E14F9E"/>
    <w:rsid w:val="00E3716B"/>
    <w:rsid w:val="00E417CA"/>
    <w:rsid w:val="00E5323B"/>
    <w:rsid w:val="00E62FFB"/>
    <w:rsid w:val="00E8749E"/>
    <w:rsid w:val="00E906C4"/>
    <w:rsid w:val="00E90C01"/>
    <w:rsid w:val="00E94E40"/>
    <w:rsid w:val="00E97CC8"/>
    <w:rsid w:val="00EA139D"/>
    <w:rsid w:val="00EA486E"/>
    <w:rsid w:val="00ED52CD"/>
    <w:rsid w:val="00EE65B8"/>
    <w:rsid w:val="00F013FA"/>
    <w:rsid w:val="00F050A3"/>
    <w:rsid w:val="00F06202"/>
    <w:rsid w:val="00F10BB3"/>
    <w:rsid w:val="00F16F28"/>
    <w:rsid w:val="00F379CB"/>
    <w:rsid w:val="00F40893"/>
    <w:rsid w:val="00F57B0C"/>
    <w:rsid w:val="00F63FD3"/>
    <w:rsid w:val="00F70F39"/>
    <w:rsid w:val="00F86DFD"/>
    <w:rsid w:val="00FA265B"/>
    <w:rsid w:val="00FA71A5"/>
    <w:rsid w:val="00FB6912"/>
    <w:rsid w:val="00FE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9545A"/>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FootnoteReference">
    <w:name w:val="footnote reference"/>
    <w:rsid w:val="000E6D65"/>
    <w:rPr>
      <w:vertAlign w:val="superscript"/>
    </w:rPr>
  </w:style>
  <w:style w:type="paragraph" w:styleId="FootnoteText">
    <w:name w:val="footnote text"/>
    <w:basedOn w:val="Normal"/>
    <w:link w:val="FootnoteTextChar"/>
    <w:rsid w:val="000E6D65"/>
    <w:pPr>
      <w:suppressAutoHyphens/>
      <w:overflowPunct w:val="0"/>
      <w:autoSpaceDE w:val="0"/>
      <w:spacing w:after="60" w:line="240" w:lineRule="auto"/>
      <w:textAlignment w:val="baseline"/>
    </w:pPr>
    <w:rPr>
      <w:rFonts w:ascii="Segoe UI" w:eastAsia="Times New Roman" w:hAnsi="Segoe UI" w:cs="Segoe UI"/>
      <w:sz w:val="18"/>
      <w:szCs w:val="24"/>
      <w:lang w:eastAsia="zh-CN"/>
    </w:rPr>
  </w:style>
  <w:style w:type="character" w:customStyle="1" w:styleId="FootnoteTextChar">
    <w:name w:val="Footnote Text Char"/>
    <w:basedOn w:val="DefaultParagraphFont"/>
    <w:link w:val="FootnoteText"/>
    <w:rsid w:val="000E6D65"/>
    <w:rPr>
      <w:rFonts w:ascii="Segoe UI" w:eastAsia="Times New Roman" w:hAnsi="Segoe UI" w:cs="Segoe UI"/>
      <w:sz w:val="18"/>
      <w:szCs w:val="24"/>
      <w:lang w:eastAsia="zh-CN"/>
    </w:rPr>
  </w:style>
  <w:style w:type="paragraph" w:styleId="ListParagraph">
    <w:name w:val="List Paragraph"/>
    <w:basedOn w:val="Normal"/>
    <w:uiPriority w:val="34"/>
    <w:qFormat/>
    <w:rsid w:val="0032137F"/>
    <w:pPr>
      <w:ind w:left="720"/>
      <w:contextualSpacing/>
    </w:pPr>
  </w:style>
  <w:style w:type="character" w:customStyle="1" w:styleId="UnresolvedMention1">
    <w:name w:val="Unresolved Mention1"/>
    <w:basedOn w:val="DefaultParagraphFont"/>
    <w:uiPriority w:val="99"/>
    <w:semiHidden/>
    <w:unhideWhenUsed/>
    <w:rsid w:val="000B770E"/>
    <w:rPr>
      <w:color w:val="605E5C"/>
      <w:shd w:val="clear" w:color="auto" w:fill="E1DFDD"/>
    </w:rPr>
  </w:style>
  <w:style w:type="paragraph" w:customStyle="1" w:styleId="VPBullet">
    <w:name w:val="VP Bullet"/>
    <w:basedOn w:val="Normal"/>
    <w:rsid w:val="005679ED"/>
    <w:pPr>
      <w:numPr>
        <w:numId w:val="5"/>
      </w:numPr>
      <w:tabs>
        <w:tab w:val="left" w:pos="0"/>
      </w:tabs>
      <w:spacing w:line="256" w:lineRule="auto"/>
      <w:jc w:val="both"/>
    </w:pPr>
    <w:rPr>
      <w:rFonts w:ascii="Times New Roman" w:hAnsi="Times New Roman" w:cs="Times New Roman"/>
      <w:bCs/>
      <w:sz w:val="24"/>
    </w:rPr>
  </w:style>
  <w:style w:type="paragraph" w:customStyle="1" w:styleId="VPBody">
    <w:name w:val="VP Body"/>
    <w:basedOn w:val="Normal"/>
    <w:qFormat/>
    <w:rsid w:val="005679ED"/>
    <w:pPr>
      <w:tabs>
        <w:tab w:val="left" w:pos="0"/>
      </w:tabs>
      <w:spacing w:line="256" w:lineRule="auto"/>
      <w:jc w:val="both"/>
    </w:pPr>
    <w:rPr>
      <w:rFonts w:ascii="Times New Roman" w:hAnsi="Times New Roman" w:cs="Times New Roman"/>
      <w:bCs/>
      <w:sz w:val="24"/>
    </w:rPr>
  </w:style>
  <w:style w:type="table" w:styleId="TableGrid">
    <w:name w:val="Table Grid"/>
    <w:basedOn w:val="TableNormal"/>
    <w:uiPriority w:val="59"/>
    <w:rsid w:val="005679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65B"/>
    <w:rPr>
      <w:sz w:val="16"/>
      <w:szCs w:val="16"/>
    </w:rPr>
  </w:style>
  <w:style w:type="paragraph" w:styleId="CommentText">
    <w:name w:val="annotation text"/>
    <w:basedOn w:val="Normal"/>
    <w:link w:val="CommentTextChar"/>
    <w:uiPriority w:val="99"/>
    <w:semiHidden/>
    <w:unhideWhenUsed/>
    <w:rsid w:val="00FA265B"/>
    <w:pPr>
      <w:spacing w:line="240" w:lineRule="auto"/>
    </w:pPr>
    <w:rPr>
      <w:sz w:val="20"/>
      <w:szCs w:val="20"/>
    </w:rPr>
  </w:style>
  <w:style w:type="character" w:customStyle="1" w:styleId="CommentTextChar">
    <w:name w:val="Comment Text Char"/>
    <w:basedOn w:val="DefaultParagraphFont"/>
    <w:link w:val="CommentText"/>
    <w:uiPriority w:val="99"/>
    <w:semiHidden/>
    <w:rsid w:val="00FA265B"/>
    <w:rPr>
      <w:sz w:val="20"/>
      <w:szCs w:val="20"/>
    </w:rPr>
  </w:style>
  <w:style w:type="paragraph" w:styleId="CommentSubject">
    <w:name w:val="annotation subject"/>
    <w:basedOn w:val="CommentText"/>
    <w:next w:val="CommentText"/>
    <w:link w:val="CommentSubjectChar"/>
    <w:uiPriority w:val="99"/>
    <w:semiHidden/>
    <w:unhideWhenUsed/>
    <w:rsid w:val="00FA265B"/>
    <w:rPr>
      <w:b/>
      <w:bCs/>
    </w:rPr>
  </w:style>
  <w:style w:type="character" w:customStyle="1" w:styleId="CommentSubjectChar">
    <w:name w:val="Comment Subject Char"/>
    <w:basedOn w:val="CommentTextChar"/>
    <w:link w:val="CommentSubject"/>
    <w:uiPriority w:val="99"/>
    <w:semiHidden/>
    <w:rsid w:val="00FA2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185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s.leikums@zm.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lda.kalnina@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939FF"/>
    <w:rsid w:val="000F2CB3"/>
    <w:rsid w:val="001132DA"/>
    <w:rsid w:val="002072F6"/>
    <w:rsid w:val="00344186"/>
    <w:rsid w:val="0046442B"/>
    <w:rsid w:val="00472F39"/>
    <w:rsid w:val="00523A63"/>
    <w:rsid w:val="006465A6"/>
    <w:rsid w:val="006841FB"/>
    <w:rsid w:val="007E3366"/>
    <w:rsid w:val="007E56E1"/>
    <w:rsid w:val="008B623B"/>
    <w:rsid w:val="008D39C9"/>
    <w:rsid w:val="008D5254"/>
    <w:rsid w:val="00956251"/>
    <w:rsid w:val="009A04F5"/>
    <w:rsid w:val="009C1B4C"/>
    <w:rsid w:val="00A647B0"/>
    <w:rsid w:val="00AD4A2F"/>
    <w:rsid w:val="00B3767C"/>
    <w:rsid w:val="00C00671"/>
    <w:rsid w:val="00C46CEC"/>
    <w:rsid w:val="00C775C8"/>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2" ma:contentTypeDescription="Izveidot jaunu dokumentu." ma:contentTypeScope="" ma:versionID="713b2321be68764099a703f4f36a5af6">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2389344d5f78010dd6cad94a6e52497"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DD53-B416-413F-B200-BF9A221C7B3B}">
  <ds:schemaRefs>
    <ds:schemaRef ds:uri="http://schemas.microsoft.com/sharepoint/v3/contenttype/forms"/>
  </ds:schemaRefs>
</ds:datastoreItem>
</file>

<file path=customXml/itemProps2.xml><?xml version="1.0" encoding="utf-8"?>
<ds:datastoreItem xmlns:ds="http://schemas.openxmlformats.org/officeDocument/2006/customXml" ds:itemID="{0A5D8285-9542-4797-AAD0-E7C07BAC9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6E989D-CD5A-4C49-A6D6-6585FF1C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6F516-E874-4FE1-9FB4-ECD60886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8295</Words>
  <Characters>4729</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MK rīkojuma projekta anotācija</vt:lpstr>
    </vt:vector>
  </TitlesOfParts>
  <Company>Vides aizsardzības un reģionālās attīstības ministrija</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dc:title>
  <dc:subject>Ministru kabineta rīkojuma “Par informācijas sabiedrības attīstības pamatnostādņu ieviešanu publiskās pārvaldes informācijas sistēmu jomā (mērķarhitektūras 55.0 versija)”  projekta sākotnējās ietekmes novērtējuma ziņojums (anotācija)</dc:subject>
  <dc:creator>Lelda Kalniņa</dc:creator>
  <dc:description>67026576, lelda.kalnina@varam.gov.lv</dc:description>
  <cp:lastModifiedBy>Lelda Kalniņa</cp:lastModifiedBy>
  <cp:revision>14</cp:revision>
  <dcterms:created xsi:type="dcterms:W3CDTF">2020-10-20T13:06:00Z</dcterms:created>
  <dcterms:modified xsi:type="dcterms:W3CDTF">2020-10-28T13:24:00Z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