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DECBB" w14:textId="77777777" w:rsidR="00894C55" w:rsidRPr="00EF09F1"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EF09F1">
        <w:rPr>
          <w:rFonts w:ascii="Times New Roman" w:eastAsia="Times New Roman" w:hAnsi="Times New Roman" w:cs="Times New Roman"/>
          <w:b/>
          <w:bCs/>
          <w:color w:val="414142"/>
          <w:sz w:val="28"/>
          <w:szCs w:val="28"/>
          <w:lang w:eastAsia="lv-LV"/>
        </w:rPr>
        <w:t xml:space="preserve">Ministru kabineta </w:t>
      </w:r>
      <w:r w:rsidR="00030F3F" w:rsidRPr="00EF09F1">
        <w:rPr>
          <w:rFonts w:ascii="Times New Roman" w:eastAsia="Times New Roman" w:hAnsi="Times New Roman" w:cs="Times New Roman"/>
          <w:b/>
          <w:bCs/>
          <w:color w:val="414142"/>
          <w:sz w:val="28"/>
          <w:szCs w:val="28"/>
          <w:lang w:eastAsia="lv-LV"/>
        </w:rPr>
        <w:t>rīkojuma projekta “Par apropriācijas pārdali”</w:t>
      </w:r>
      <w:r w:rsidR="00B72A0F" w:rsidRPr="00EF09F1">
        <w:rPr>
          <w:rFonts w:ascii="Times New Roman" w:eastAsia="Times New Roman" w:hAnsi="Times New Roman" w:cs="Times New Roman"/>
          <w:b/>
          <w:bCs/>
          <w:color w:val="414142"/>
          <w:sz w:val="28"/>
          <w:szCs w:val="28"/>
          <w:lang w:eastAsia="lv-LV"/>
        </w:rPr>
        <w:t xml:space="preserve"> sākotnējās ietekmes novērtējuma ziņojums (anotācija)</w:t>
      </w:r>
    </w:p>
    <w:p w14:paraId="33FFA118" w14:textId="77777777"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F09F1" w14:paraId="0BC867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D3E36B" w14:textId="77777777" w:rsidR="00655F2C" w:rsidRPr="00EF09F1"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EF09F1">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EF09F1" w14:paraId="69530430"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3A34DE" w14:textId="77777777" w:rsidR="00655F2C"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E0AE08C" w14:textId="77777777"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092EB9">
              <w:rPr>
                <w:rFonts w:ascii="Times New Roman" w:eastAsia="Times New Roman" w:hAnsi="Times New Roman" w:cs="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725521AA" w14:textId="2E75B25F" w:rsidR="0068694E" w:rsidRDefault="00B72A0F" w:rsidP="00167553">
            <w:pPr>
              <w:spacing w:after="0" w:line="240" w:lineRule="auto"/>
              <w:ind w:firstLine="391"/>
              <w:jc w:val="both"/>
              <w:rPr>
                <w:rFonts w:ascii="Times New Roman" w:hAnsi="Times New Roman" w:cs="Times New Roman"/>
                <w:i/>
                <w:iCs/>
                <w:sz w:val="28"/>
                <w:szCs w:val="28"/>
                <w:shd w:val="clear" w:color="auto" w:fill="FFFFFF"/>
              </w:rPr>
            </w:pPr>
            <w:r w:rsidRPr="00167553">
              <w:rPr>
                <w:rFonts w:ascii="Times New Roman" w:eastAsia="Times New Roman" w:hAnsi="Times New Roman" w:cs="Times New Roman"/>
                <w:iCs/>
                <w:sz w:val="28"/>
                <w:szCs w:val="28"/>
                <w:lang w:eastAsia="lv-LV"/>
              </w:rPr>
              <w:t>Likum</w:t>
            </w:r>
            <w:r w:rsidR="00594098">
              <w:rPr>
                <w:rFonts w:ascii="Times New Roman" w:eastAsia="Times New Roman" w:hAnsi="Times New Roman" w:cs="Times New Roman"/>
                <w:iCs/>
                <w:sz w:val="28"/>
                <w:szCs w:val="28"/>
                <w:lang w:eastAsia="lv-LV"/>
              </w:rPr>
              <w:t>a</w:t>
            </w:r>
            <w:r w:rsidRPr="00167553">
              <w:rPr>
                <w:rFonts w:ascii="Times New Roman" w:eastAsia="Times New Roman" w:hAnsi="Times New Roman" w:cs="Times New Roman"/>
                <w:iCs/>
                <w:sz w:val="28"/>
                <w:szCs w:val="28"/>
                <w:lang w:eastAsia="lv-LV"/>
              </w:rPr>
              <w:t xml:space="preserve"> par budžetu un finanšu vadību 9.panta 1</w:t>
            </w:r>
            <w:r w:rsidR="00167553" w:rsidRPr="00167553">
              <w:rPr>
                <w:rFonts w:ascii="Times New Roman" w:eastAsia="Times New Roman" w:hAnsi="Times New Roman" w:cs="Times New Roman"/>
                <w:iCs/>
                <w:sz w:val="28"/>
                <w:szCs w:val="28"/>
                <w:lang w:eastAsia="lv-LV"/>
              </w:rPr>
              <w:t>3</w:t>
            </w:r>
            <w:r w:rsidR="00167553" w:rsidRPr="00167553">
              <w:rPr>
                <w:rFonts w:ascii="Times New Roman" w:eastAsia="Times New Roman" w:hAnsi="Times New Roman" w:cs="Times New Roman"/>
                <w:iCs/>
                <w:sz w:val="28"/>
                <w:szCs w:val="28"/>
                <w:vertAlign w:val="superscript"/>
                <w:lang w:eastAsia="lv-LV"/>
              </w:rPr>
              <w:t xml:space="preserve"> 2</w:t>
            </w:r>
            <w:r w:rsidRPr="00167553">
              <w:rPr>
                <w:rFonts w:ascii="Times New Roman" w:eastAsia="Times New Roman" w:hAnsi="Times New Roman" w:cs="Times New Roman"/>
                <w:iCs/>
                <w:sz w:val="28"/>
                <w:szCs w:val="28"/>
                <w:lang w:eastAsia="lv-LV"/>
              </w:rPr>
              <w:t>.daļa</w:t>
            </w:r>
            <w:r w:rsidR="00167553" w:rsidRPr="00167553">
              <w:rPr>
                <w:rFonts w:ascii="Times New Roman" w:eastAsia="Times New Roman" w:hAnsi="Times New Roman" w:cs="Times New Roman"/>
                <w:iCs/>
                <w:sz w:val="28"/>
                <w:szCs w:val="28"/>
                <w:lang w:eastAsia="lv-LV"/>
              </w:rPr>
              <w:t>s 1.punkts</w:t>
            </w:r>
            <w:r w:rsidRPr="00167553">
              <w:rPr>
                <w:rFonts w:ascii="Times New Roman" w:eastAsia="Times New Roman" w:hAnsi="Times New Roman" w:cs="Times New Roman"/>
                <w:iCs/>
                <w:sz w:val="28"/>
                <w:szCs w:val="28"/>
                <w:lang w:eastAsia="lv-LV"/>
              </w:rPr>
              <w:t xml:space="preserve"> nosaka, ka </w:t>
            </w:r>
            <w:r w:rsidR="00167553" w:rsidRPr="00167553">
              <w:rPr>
                <w:rFonts w:ascii="Times New Roman" w:hAnsi="Times New Roman" w:cs="Times New Roman"/>
                <w:sz w:val="28"/>
                <w:szCs w:val="28"/>
                <w:shd w:val="clear" w:color="auto" w:fill="FFFFFF"/>
              </w:rPr>
              <w:t>kopējais pārdales apjoms starp pamatbudžeta programmām (apakšprogrammām) nedrīkst izraisīt katras atsevišķās programmas (apakšprogrammas) palielinājumu, kas vienlaikus pārsniegtu piecus procentus no programmai (apakšprogrammai) apstiprinātās gada apropriācijas apjoma un vērtību 100 000 </w:t>
            </w:r>
            <w:r w:rsidR="00167553" w:rsidRPr="00167553">
              <w:rPr>
                <w:rFonts w:ascii="Times New Roman" w:hAnsi="Times New Roman" w:cs="Times New Roman"/>
                <w:i/>
                <w:iCs/>
                <w:sz w:val="28"/>
                <w:szCs w:val="28"/>
                <w:shd w:val="clear" w:color="auto" w:fill="FFFFFF"/>
              </w:rPr>
              <w:t>euro.</w:t>
            </w:r>
          </w:p>
          <w:p w14:paraId="7448AC91" w14:textId="1969FD54" w:rsidR="00AE45F9" w:rsidRPr="00AE45F9" w:rsidRDefault="00AE45F9" w:rsidP="00B671FE">
            <w:pPr>
              <w:spacing w:after="0" w:line="240" w:lineRule="auto"/>
              <w:ind w:firstLine="391"/>
              <w:jc w:val="both"/>
              <w:rPr>
                <w:rFonts w:ascii="Times New Roman" w:hAnsi="Times New Roman" w:cs="Times New Roman"/>
                <w:sz w:val="28"/>
                <w:szCs w:val="28"/>
                <w:shd w:val="clear" w:color="auto" w:fill="FFFFFF"/>
              </w:rPr>
            </w:pPr>
            <w:r w:rsidRPr="00AE45F9">
              <w:rPr>
                <w:rFonts w:ascii="Times New Roman" w:hAnsi="Times New Roman" w:cs="Times New Roman"/>
                <w:sz w:val="28"/>
                <w:szCs w:val="28"/>
                <w:shd w:val="clear" w:color="auto" w:fill="FFFFFF"/>
              </w:rPr>
              <w:t>Ņemot vērā iepriekš minēto, informējam, ka atļautais kopējais pārdales apjoms tiek pārsniegts programmā 97.00.00 „</w:t>
            </w:r>
            <w:r>
              <w:t xml:space="preserve"> </w:t>
            </w:r>
            <w:r w:rsidRPr="00AE45F9">
              <w:rPr>
                <w:rFonts w:ascii="Times New Roman" w:hAnsi="Times New Roman" w:cs="Times New Roman"/>
                <w:sz w:val="28"/>
                <w:szCs w:val="28"/>
                <w:shd w:val="clear" w:color="auto" w:fill="FFFFFF"/>
              </w:rPr>
              <w:t xml:space="preserve">Nozares vadība un politikas plānošana” </w:t>
            </w:r>
            <w:r>
              <w:rPr>
                <w:rFonts w:ascii="Times New Roman" w:hAnsi="Times New Roman" w:cs="Times New Roman"/>
                <w:sz w:val="28"/>
                <w:szCs w:val="28"/>
                <w:shd w:val="clear" w:color="auto" w:fill="FFFFFF"/>
              </w:rPr>
              <w:t>3 769 406</w:t>
            </w:r>
            <w:r w:rsidRPr="00AE45F9">
              <w:rPr>
                <w:rFonts w:ascii="Times New Roman" w:hAnsi="Times New Roman" w:cs="Times New Roman"/>
                <w:sz w:val="28"/>
                <w:szCs w:val="28"/>
                <w:shd w:val="clear" w:color="auto" w:fill="FFFFFF"/>
              </w:rPr>
              <w:t xml:space="preserve"> </w:t>
            </w:r>
            <w:r w:rsidRPr="00AE45F9">
              <w:rPr>
                <w:rFonts w:ascii="Times New Roman" w:hAnsi="Times New Roman" w:cs="Times New Roman"/>
                <w:i/>
                <w:iCs/>
                <w:sz w:val="28"/>
                <w:szCs w:val="28"/>
                <w:shd w:val="clear" w:color="auto" w:fill="FFFFFF"/>
              </w:rPr>
              <w:t>euro</w:t>
            </w:r>
            <w:r w:rsidRPr="00AE45F9">
              <w:rPr>
                <w:rFonts w:ascii="Times New Roman" w:hAnsi="Times New Roman" w:cs="Times New Roman"/>
                <w:sz w:val="28"/>
                <w:szCs w:val="28"/>
                <w:shd w:val="clear" w:color="auto" w:fill="FFFFFF"/>
              </w:rPr>
              <w:t xml:space="preserve"> (apstiprinātais budžets 2020.gadam) x 5% = </w:t>
            </w:r>
            <w:r>
              <w:rPr>
                <w:rFonts w:ascii="Times New Roman" w:hAnsi="Times New Roman" w:cs="Times New Roman"/>
                <w:sz w:val="28"/>
                <w:szCs w:val="28"/>
                <w:shd w:val="clear" w:color="auto" w:fill="FFFFFF"/>
              </w:rPr>
              <w:t xml:space="preserve">  188 470</w:t>
            </w:r>
            <w:r w:rsidRPr="00AE45F9">
              <w:rPr>
                <w:rFonts w:ascii="Times New Roman" w:hAnsi="Times New Roman" w:cs="Times New Roman"/>
                <w:sz w:val="28"/>
                <w:szCs w:val="28"/>
                <w:shd w:val="clear" w:color="auto" w:fill="FFFFFF"/>
              </w:rPr>
              <w:t xml:space="preserve"> </w:t>
            </w:r>
            <w:r w:rsidRPr="00AE45F9">
              <w:rPr>
                <w:rFonts w:ascii="Times New Roman" w:hAnsi="Times New Roman" w:cs="Times New Roman"/>
                <w:i/>
                <w:iCs/>
                <w:sz w:val="28"/>
                <w:szCs w:val="28"/>
                <w:shd w:val="clear" w:color="auto" w:fill="FFFFFF"/>
              </w:rPr>
              <w:t>euro</w:t>
            </w:r>
            <w:r w:rsidRPr="00AE45F9">
              <w:rPr>
                <w:rFonts w:ascii="Times New Roman" w:hAnsi="Times New Roman" w:cs="Times New Roman"/>
                <w:sz w:val="28"/>
                <w:szCs w:val="28"/>
                <w:shd w:val="clear" w:color="auto" w:fill="FFFFFF"/>
              </w:rPr>
              <w:t xml:space="preserve">. </w:t>
            </w:r>
            <w:r w:rsidR="005360F8">
              <w:rPr>
                <w:rFonts w:ascii="Times New Roman" w:hAnsi="Times New Roman" w:cs="Times New Roman"/>
                <w:sz w:val="28"/>
                <w:szCs w:val="28"/>
                <w:shd w:val="clear" w:color="auto" w:fill="FFFFFF"/>
              </w:rPr>
              <w:t>U</w:t>
            </w:r>
            <w:r w:rsidR="005360F8" w:rsidRPr="005360F8">
              <w:rPr>
                <w:rFonts w:ascii="Times New Roman" w:hAnsi="Times New Roman" w:cs="Times New Roman"/>
                <w:sz w:val="28"/>
                <w:szCs w:val="28"/>
                <w:shd w:val="clear" w:color="auto" w:fill="FFFFFF"/>
              </w:rPr>
              <w:t xml:space="preserve">z 31.10.2020 </w:t>
            </w:r>
            <w:r w:rsidR="005360F8">
              <w:rPr>
                <w:rFonts w:ascii="Times New Roman" w:hAnsi="Times New Roman" w:cs="Times New Roman"/>
                <w:sz w:val="28"/>
                <w:szCs w:val="28"/>
                <w:shd w:val="clear" w:color="auto" w:fill="FFFFFF"/>
              </w:rPr>
              <w:t>l</w:t>
            </w:r>
            <w:r>
              <w:rPr>
                <w:rFonts w:ascii="Times New Roman" w:hAnsi="Times New Roman" w:cs="Times New Roman"/>
                <w:sz w:val="28"/>
                <w:szCs w:val="28"/>
                <w:shd w:val="clear" w:color="auto" w:fill="FFFFFF"/>
              </w:rPr>
              <w:t xml:space="preserve">īdz šim veiktās </w:t>
            </w:r>
            <w:r w:rsidR="005360F8">
              <w:rPr>
                <w:rFonts w:ascii="Times New Roman" w:hAnsi="Times New Roman" w:cs="Times New Roman"/>
                <w:sz w:val="28"/>
                <w:szCs w:val="28"/>
                <w:shd w:val="clear" w:color="auto" w:fill="FFFFFF"/>
              </w:rPr>
              <w:t xml:space="preserve">apropriācijas </w:t>
            </w:r>
            <w:r>
              <w:rPr>
                <w:rFonts w:ascii="Times New Roman" w:hAnsi="Times New Roman" w:cs="Times New Roman"/>
                <w:sz w:val="28"/>
                <w:szCs w:val="28"/>
                <w:shd w:val="clear" w:color="auto" w:fill="FFFFFF"/>
              </w:rPr>
              <w:t xml:space="preserve">pārdales </w:t>
            </w:r>
            <w:r w:rsidR="005360F8">
              <w:rPr>
                <w:rFonts w:ascii="Times New Roman" w:hAnsi="Times New Roman" w:cs="Times New Roman"/>
                <w:sz w:val="28"/>
                <w:szCs w:val="28"/>
                <w:shd w:val="clear" w:color="auto" w:fill="FFFFFF"/>
              </w:rPr>
              <w:t>kopsummā</w:t>
            </w:r>
            <w:r>
              <w:rPr>
                <w:rFonts w:ascii="Times New Roman" w:hAnsi="Times New Roman" w:cs="Times New Roman"/>
                <w:sz w:val="28"/>
                <w:szCs w:val="28"/>
                <w:shd w:val="clear" w:color="auto" w:fill="FFFFFF"/>
              </w:rPr>
              <w:t xml:space="preserve"> </w:t>
            </w:r>
            <w:r w:rsidR="00E033DF">
              <w:rPr>
                <w:rFonts w:ascii="Times New Roman" w:hAnsi="Times New Roman" w:cs="Times New Roman"/>
                <w:sz w:val="28"/>
                <w:szCs w:val="28"/>
                <w:shd w:val="clear" w:color="auto" w:fill="FFFFFF"/>
              </w:rPr>
              <w:t xml:space="preserve">veido </w:t>
            </w:r>
            <w:r>
              <w:rPr>
                <w:rFonts w:ascii="Times New Roman" w:hAnsi="Times New Roman" w:cs="Times New Roman"/>
                <w:sz w:val="28"/>
                <w:szCs w:val="28"/>
                <w:shd w:val="clear" w:color="auto" w:fill="FFFFFF"/>
              </w:rPr>
              <w:t xml:space="preserve">94 200 </w:t>
            </w:r>
            <w:r>
              <w:rPr>
                <w:rFonts w:ascii="Times New Roman" w:hAnsi="Times New Roman" w:cs="Times New Roman"/>
                <w:i/>
                <w:iCs/>
                <w:sz w:val="28"/>
                <w:szCs w:val="28"/>
                <w:shd w:val="clear" w:color="auto" w:fill="FFFFFF"/>
              </w:rPr>
              <w:t xml:space="preserve">euro </w:t>
            </w:r>
            <w:r>
              <w:rPr>
                <w:rFonts w:ascii="Times New Roman" w:hAnsi="Times New Roman" w:cs="Times New Roman"/>
                <w:sz w:val="28"/>
                <w:szCs w:val="28"/>
                <w:shd w:val="clear" w:color="auto" w:fill="FFFFFF"/>
              </w:rPr>
              <w:t xml:space="preserve">apmērā jeb </w:t>
            </w:r>
            <w:r w:rsidR="00B671FE">
              <w:rPr>
                <w:rFonts w:ascii="Times New Roman" w:hAnsi="Times New Roman" w:cs="Times New Roman"/>
                <w:sz w:val="28"/>
                <w:szCs w:val="28"/>
                <w:shd w:val="clear" w:color="auto" w:fill="FFFFFF"/>
              </w:rPr>
              <w:t xml:space="preserve">2,5%. </w:t>
            </w:r>
            <w:r w:rsidR="00B671FE" w:rsidRPr="00B671FE">
              <w:rPr>
                <w:rFonts w:ascii="Times New Roman" w:hAnsi="Times New Roman" w:cs="Times New Roman"/>
                <w:sz w:val="28"/>
                <w:szCs w:val="28"/>
                <w:shd w:val="clear" w:color="auto" w:fill="FFFFFF"/>
              </w:rPr>
              <w:t xml:space="preserve">Savukārt, nepieciešamais pārdalāmais finansējums ir </w:t>
            </w:r>
            <w:r w:rsidR="00E033DF">
              <w:rPr>
                <w:rFonts w:ascii="Times New Roman" w:hAnsi="Times New Roman" w:cs="Times New Roman"/>
                <w:sz w:val="28"/>
                <w:szCs w:val="28"/>
                <w:shd w:val="clear" w:color="auto" w:fill="FFFFFF"/>
              </w:rPr>
              <w:t xml:space="preserve">   </w:t>
            </w:r>
            <w:r w:rsidR="00B671FE" w:rsidRPr="00B671FE">
              <w:rPr>
                <w:rFonts w:ascii="Times New Roman" w:hAnsi="Times New Roman" w:cs="Times New Roman"/>
                <w:sz w:val="28"/>
                <w:szCs w:val="28"/>
                <w:shd w:val="clear" w:color="auto" w:fill="FFFFFF"/>
              </w:rPr>
              <w:t xml:space="preserve">122 450 jeb </w:t>
            </w:r>
            <w:r w:rsidR="00B671FE">
              <w:rPr>
                <w:rFonts w:ascii="Times New Roman" w:hAnsi="Times New Roman" w:cs="Times New Roman"/>
                <w:sz w:val="28"/>
                <w:szCs w:val="28"/>
                <w:shd w:val="clear" w:color="auto" w:fill="FFFFFF"/>
              </w:rPr>
              <w:t>3,2</w:t>
            </w:r>
            <w:r w:rsidR="00B671FE" w:rsidRPr="00B671FE">
              <w:rPr>
                <w:rFonts w:ascii="Times New Roman" w:hAnsi="Times New Roman" w:cs="Times New Roman"/>
                <w:sz w:val="28"/>
                <w:szCs w:val="28"/>
                <w:shd w:val="clear" w:color="auto" w:fill="FFFFFF"/>
              </w:rPr>
              <w:t xml:space="preserve">%.  </w:t>
            </w:r>
            <w:r w:rsidR="00B671FE">
              <w:rPr>
                <w:rFonts w:ascii="Times New Roman" w:hAnsi="Times New Roman" w:cs="Times New Roman"/>
                <w:sz w:val="28"/>
                <w:szCs w:val="28"/>
                <w:shd w:val="clear" w:color="auto" w:fill="FFFFFF"/>
              </w:rPr>
              <w:t xml:space="preserve">Tādējādi kopējais pārdalāmais finansējums veidos 216 650 </w:t>
            </w:r>
            <w:r w:rsidR="00B671FE">
              <w:rPr>
                <w:rFonts w:ascii="Times New Roman" w:hAnsi="Times New Roman" w:cs="Times New Roman"/>
                <w:i/>
                <w:iCs/>
                <w:sz w:val="28"/>
                <w:szCs w:val="28"/>
                <w:shd w:val="clear" w:color="auto" w:fill="FFFFFF"/>
              </w:rPr>
              <w:t xml:space="preserve">euro </w:t>
            </w:r>
            <w:r w:rsidR="00B671FE">
              <w:rPr>
                <w:rFonts w:ascii="Times New Roman" w:hAnsi="Times New Roman" w:cs="Times New Roman"/>
                <w:sz w:val="28"/>
                <w:szCs w:val="28"/>
                <w:shd w:val="clear" w:color="auto" w:fill="FFFFFF"/>
              </w:rPr>
              <w:t xml:space="preserve">apmērā jeb 5,7%. </w:t>
            </w:r>
            <w:r w:rsidRPr="00AE45F9">
              <w:rPr>
                <w:rFonts w:ascii="Times New Roman" w:hAnsi="Times New Roman" w:cs="Times New Roman"/>
                <w:sz w:val="28"/>
                <w:szCs w:val="28"/>
                <w:shd w:val="clear" w:color="auto" w:fill="FFFFFF"/>
              </w:rPr>
              <w:t xml:space="preserve">Ņemot vērā, ka apropriācijas pārdale pārsniedz 5%, nepieciešams </w:t>
            </w:r>
            <w:r w:rsidR="009F568D">
              <w:rPr>
                <w:rFonts w:ascii="Times New Roman" w:hAnsi="Times New Roman" w:cs="Times New Roman"/>
                <w:sz w:val="28"/>
                <w:szCs w:val="28"/>
                <w:shd w:val="clear" w:color="auto" w:fill="FFFFFF"/>
              </w:rPr>
              <w:t xml:space="preserve">Ministru kabineta (turpmāk – </w:t>
            </w:r>
            <w:r w:rsidRPr="00AE45F9">
              <w:rPr>
                <w:rFonts w:ascii="Times New Roman" w:hAnsi="Times New Roman" w:cs="Times New Roman"/>
                <w:sz w:val="28"/>
                <w:szCs w:val="28"/>
                <w:shd w:val="clear" w:color="auto" w:fill="FFFFFF"/>
              </w:rPr>
              <w:t>MK</w:t>
            </w:r>
            <w:r w:rsidR="009F568D">
              <w:rPr>
                <w:rFonts w:ascii="Times New Roman" w:hAnsi="Times New Roman" w:cs="Times New Roman"/>
                <w:sz w:val="28"/>
                <w:szCs w:val="28"/>
                <w:shd w:val="clear" w:color="auto" w:fill="FFFFFF"/>
              </w:rPr>
              <w:t>)</w:t>
            </w:r>
            <w:r w:rsidRPr="00AE45F9">
              <w:rPr>
                <w:rFonts w:ascii="Times New Roman" w:hAnsi="Times New Roman" w:cs="Times New Roman"/>
                <w:sz w:val="28"/>
                <w:szCs w:val="28"/>
                <w:shd w:val="clear" w:color="auto" w:fill="FFFFFF"/>
              </w:rPr>
              <w:t xml:space="preserve"> atļauja veikt apropriācijas pārdali </w:t>
            </w:r>
            <w:r w:rsidR="009F568D">
              <w:rPr>
                <w:rFonts w:ascii="Times New Roman" w:hAnsi="Times New Roman" w:cs="Times New Roman"/>
                <w:sz w:val="28"/>
                <w:szCs w:val="28"/>
                <w:shd w:val="clear" w:color="auto" w:fill="FFFFFF"/>
              </w:rPr>
              <w:t xml:space="preserve">Veselības ministrijas (turpmāk – </w:t>
            </w:r>
            <w:r w:rsidRPr="00AE45F9">
              <w:rPr>
                <w:rFonts w:ascii="Times New Roman" w:hAnsi="Times New Roman" w:cs="Times New Roman"/>
                <w:sz w:val="28"/>
                <w:szCs w:val="28"/>
                <w:shd w:val="clear" w:color="auto" w:fill="FFFFFF"/>
              </w:rPr>
              <w:t>VM</w:t>
            </w:r>
            <w:r w:rsidR="009F568D">
              <w:rPr>
                <w:rFonts w:ascii="Times New Roman" w:hAnsi="Times New Roman" w:cs="Times New Roman"/>
                <w:sz w:val="28"/>
                <w:szCs w:val="28"/>
                <w:shd w:val="clear" w:color="auto" w:fill="FFFFFF"/>
              </w:rPr>
              <w:t>)</w:t>
            </w:r>
            <w:r w:rsidRPr="00AE45F9">
              <w:rPr>
                <w:rFonts w:ascii="Times New Roman" w:hAnsi="Times New Roman" w:cs="Times New Roman"/>
                <w:sz w:val="28"/>
                <w:szCs w:val="28"/>
                <w:shd w:val="clear" w:color="auto" w:fill="FFFFFF"/>
              </w:rPr>
              <w:t xml:space="preserve"> pamatbudžeta ietvaros.</w:t>
            </w:r>
          </w:p>
          <w:p w14:paraId="46F9698C" w14:textId="50ACABF1" w:rsidR="006F13E6" w:rsidRPr="009275F2" w:rsidRDefault="00B7470E" w:rsidP="009275F2">
            <w:pPr>
              <w:spacing w:after="0" w:line="240" w:lineRule="auto"/>
              <w:ind w:firstLine="39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Ministru kabineta 20</w:t>
            </w:r>
            <w:r w:rsidR="00AB5338">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.gada</w:t>
            </w:r>
            <w:r w:rsidRPr="00B7470E">
              <w:rPr>
                <w:rFonts w:ascii="Times New Roman" w:hAnsi="Times New Roman" w:cs="Times New Roman" w:hint="cs"/>
                <w:sz w:val="28"/>
                <w:szCs w:val="28"/>
                <w:shd w:val="clear" w:color="auto" w:fill="FFFFFF"/>
              </w:rPr>
              <w:t xml:space="preserve"> </w:t>
            </w:r>
            <w:r w:rsidR="00AB5338">
              <w:rPr>
                <w:rFonts w:ascii="Times New Roman" w:hAnsi="Times New Roman" w:cs="Times New Roman"/>
                <w:sz w:val="28"/>
                <w:szCs w:val="28"/>
                <w:shd w:val="clear" w:color="auto" w:fill="FFFFFF"/>
              </w:rPr>
              <w:t>27</w:t>
            </w:r>
            <w:r w:rsidRPr="00B7470E">
              <w:rPr>
                <w:rFonts w:ascii="Times New Roman" w:hAnsi="Times New Roman" w:cs="Times New Roman" w:hint="cs"/>
                <w:sz w:val="28"/>
                <w:szCs w:val="28"/>
                <w:shd w:val="clear" w:color="auto" w:fill="FFFFFF"/>
              </w:rPr>
              <w:t>.oktobr</w:t>
            </w:r>
            <w:r>
              <w:rPr>
                <w:rFonts w:ascii="Times New Roman" w:hAnsi="Times New Roman" w:cs="Times New Roman"/>
                <w:sz w:val="28"/>
                <w:szCs w:val="28"/>
                <w:shd w:val="clear" w:color="auto" w:fill="FFFFFF"/>
              </w:rPr>
              <w:t>a</w:t>
            </w:r>
            <w:r w:rsidRPr="00B7470E">
              <w:rPr>
                <w:rFonts w:ascii="Times New Roman" w:hAnsi="Times New Roman" w:cs="Times New Roman" w:hint="cs"/>
                <w:sz w:val="28"/>
                <w:szCs w:val="28"/>
                <w:shd w:val="clear" w:color="auto" w:fill="FFFFFF"/>
              </w:rPr>
              <w:t xml:space="preserve"> </w:t>
            </w:r>
            <w:r>
              <w:rPr>
                <w:rFonts w:ascii="Times New Roman" w:hAnsi="Times New Roman" w:cs="Times New Roman"/>
                <w:sz w:val="28"/>
                <w:szCs w:val="28"/>
                <w:shd w:val="clear" w:color="auto" w:fill="FFFFFF"/>
              </w:rPr>
              <w:t>sēdē</w:t>
            </w:r>
            <w:r w:rsidRPr="00B7470E">
              <w:rPr>
                <w:rFonts w:ascii="Times New Roman" w:hAnsi="Times New Roman" w:cs="Times New Roman" w:hint="cs"/>
                <w:sz w:val="28"/>
                <w:szCs w:val="28"/>
                <w:shd w:val="clear" w:color="auto" w:fill="FFFFFF"/>
              </w:rPr>
              <w:t xml:space="preserve"> </w:t>
            </w:r>
            <w:r w:rsidRPr="00B7470E">
              <w:rPr>
                <w:rFonts w:ascii="Times New Roman" w:hAnsi="Times New Roman" w:cs="Times New Roman"/>
                <w:sz w:val="28"/>
                <w:szCs w:val="28"/>
                <w:shd w:val="clear" w:color="auto" w:fill="FFFFFF"/>
              </w:rPr>
              <w:t>izskatīt</w:t>
            </w:r>
            <w:r>
              <w:rPr>
                <w:rFonts w:ascii="Times New Roman" w:hAnsi="Times New Roman" w:cs="Times New Roman"/>
                <w:sz w:val="28"/>
                <w:szCs w:val="28"/>
                <w:shd w:val="clear" w:color="auto" w:fill="FFFFFF"/>
              </w:rPr>
              <w:t>ais</w:t>
            </w:r>
            <w:r w:rsidRPr="00B7470E">
              <w:rPr>
                <w:rFonts w:ascii="Times New Roman" w:hAnsi="Times New Roman" w:cs="Times New Roman" w:hint="cs"/>
                <w:sz w:val="28"/>
                <w:szCs w:val="28"/>
                <w:shd w:val="clear" w:color="auto" w:fill="FFFFFF"/>
              </w:rPr>
              <w:t xml:space="preserve"> </w:t>
            </w:r>
            <w:r>
              <w:rPr>
                <w:rFonts w:ascii="Times New Roman" w:hAnsi="Times New Roman" w:cs="Times New Roman"/>
                <w:sz w:val="28"/>
                <w:szCs w:val="28"/>
                <w:shd w:val="clear" w:color="auto" w:fill="FFFFFF"/>
              </w:rPr>
              <w:t>i</w:t>
            </w:r>
            <w:r w:rsidRPr="00B7470E">
              <w:rPr>
                <w:rFonts w:ascii="Times New Roman" w:hAnsi="Times New Roman" w:cs="Times New Roman" w:hint="cs"/>
                <w:sz w:val="28"/>
                <w:szCs w:val="28"/>
                <w:shd w:val="clear" w:color="auto" w:fill="FFFFFF"/>
              </w:rPr>
              <w:t>nformat</w:t>
            </w:r>
            <w:r w:rsidRPr="00B7470E">
              <w:rPr>
                <w:rFonts w:ascii="Times New Roman" w:hAnsi="Times New Roman" w:cs="Times New Roman"/>
                <w:sz w:val="28"/>
                <w:szCs w:val="28"/>
                <w:shd w:val="clear" w:color="auto" w:fill="FFFFFF"/>
              </w:rPr>
              <w:t>ī</w:t>
            </w:r>
            <w:r w:rsidRPr="00B7470E">
              <w:rPr>
                <w:rFonts w:ascii="Times New Roman" w:hAnsi="Times New Roman" w:cs="Times New Roman" w:hint="cs"/>
                <w:sz w:val="28"/>
                <w:szCs w:val="28"/>
                <w:shd w:val="clear" w:color="auto" w:fill="FFFFFF"/>
              </w:rPr>
              <w:t>va</w:t>
            </w:r>
            <w:r>
              <w:rPr>
                <w:rFonts w:ascii="Times New Roman" w:hAnsi="Times New Roman" w:cs="Times New Roman"/>
                <w:sz w:val="28"/>
                <w:szCs w:val="28"/>
                <w:shd w:val="clear" w:color="auto" w:fill="FFFFFF"/>
              </w:rPr>
              <w:t>is</w:t>
            </w:r>
            <w:r w:rsidRPr="00B7470E">
              <w:rPr>
                <w:rFonts w:ascii="Times New Roman" w:hAnsi="Times New Roman" w:cs="Times New Roman" w:hint="cs"/>
                <w:sz w:val="28"/>
                <w:szCs w:val="28"/>
                <w:shd w:val="clear" w:color="auto" w:fill="FFFFFF"/>
              </w:rPr>
              <w:t xml:space="preserve"> zi</w:t>
            </w:r>
            <w:r w:rsidRPr="00B7470E">
              <w:rPr>
                <w:rFonts w:ascii="Times New Roman" w:hAnsi="Times New Roman" w:cs="Times New Roman"/>
                <w:sz w:val="28"/>
                <w:szCs w:val="28"/>
                <w:shd w:val="clear" w:color="auto" w:fill="FFFFFF"/>
              </w:rPr>
              <w:t>ņ</w:t>
            </w:r>
            <w:r w:rsidRPr="00B7470E">
              <w:rPr>
                <w:rFonts w:ascii="Times New Roman" w:hAnsi="Times New Roman" w:cs="Times New Roman" w:hint="cs"/>
                <w:sz w:val="28"/>
                <w:szCs w:val="28"/>
                <w:shd w:val="clear" w:color="auto" w:fill="FFFFFF"/>
              </w:rPr>
              <w:t>ojum</w:t>
            </w:r>
            <w:r>
              <w:rPr>
                <w:rFonts w:ascii="Times New Roman" w:hAnsi="Times New Roman" w:cs="Times New Roman"/>
                <w:sz w:val="28"/>
                <w:szCs w:val="28"/>
                <w:shd w:val="clear" w:color="auto" w:fill="FFFFFF"/>
              </w:rPr>
              <w:t>s</w:t>
            </w:r>
            <w:r w:rsidRPr="00B7470E">
              <w:rPr>
                <w:rFonts w:ascii="Times New Roman" w:hAnsi="Times New Roman" w:cs="Times New Roman" w:hint="cs"/>
                <w:sz w:val="28"/>
                <w:szCs w:val="28"/>
                <w:shd w:val="clear" w:color="auto" w:fill="FFFFFF"/>
              </w:rPr>
              <w:t> “</w:t>
            </w:r>
            <w:r w:rsidR="00AB5338" w:rsidRPr="00AB5338">
              <w:rPr>
                <w:rFonts w:ascii="Times New Roman" w:hAnsi="Times New Roman" w:cs="Times New Roman"/>
                <w:sz w:val="28"/>
                <w:szCs w:val="28"/>
                <w:shd w:val="clear" w:color="auto" w:fill="FFFFFF"/>
              </w:rPr>
              <w:t>Par prognozēto līdzekļu neapguvi un ekonomiju izdevumiem no dotācijas no vispārējiem ieņēmumiem valsts budžeta programmās/ apakšprogrammās (pamatfunkcijām) 2020.gadā</w:t>
            </w:r>
            <w:r w:rsidRPr="00B7470E">
              <w:rPr>
                <w:rFonts w:ascii="Times New Roman" w:hAnsi="Times New Roman" w:cs="Times New Roman" w:hint="cs"/>
                <w:sz w:val="28"/>
                <w:szCs w:val="28"/>
                <w:shd w:val="clear" w:color="auto" w:fill="FFFFFF"/>
              </w:rPr>
              <w:t>”</w:t>
            </w:r>
            <w:r w:rsidR="00D31168">
              <w:rPr>
                <w:rFonts w:ascii="Times New Roman" w:hAnsi="Times New Roman" w:cs="Times New Roman"/>
                <w:sz w:val="28"/>
                <w:szCs w:val="28"/>
                <w:shd w:val="clear" w:color="auto" w:fill="FFFFFF"/>
              </w:rPr>
              <w:t xml:space="preserve"> </w:t>
            </w:r>
            <w:r w:rsidR="00D31168" w:rsidRPr="00A71829">
              <w:rPr>
                <w:rFonts w:ascii="Times New Roman" w:hAnsi="Times New Roman" w:cs="Times New Roman"/>
                <w:sz w:val="28"/>
                <w:szCs w:val="28"/>
                <w:shd w:val="clear" w:color="auto" w:fill="FFFFFF"/>
              </w:rPr>
              <w:t>(</w:t>
            </w:r>
            <w:bookmarkStart w:id="0" w:name="30"/>
            <w:r w:rsidR="00A71829" w:rsidRPr="00A71829">
              <w:rPr>
                <w:rFonts w:ascii="Times New Roman" w:hAnsi="Times New Roman" w:cs="Times New Roman"/>
                <w:sz w:val="28"/>
                <w:szCs w:val="28"/>
                <w:shd w:val="clear" w:color="auto" w:fill="FFFFFF"/>
              </w:rPr>
              <w:t>prot.Nr</w:t>
            </w:r>
            <w:r w:rsidR="00AB5338">
              <w:rPr>
                <w:rFonts w:ascii="Times New Roman" w:hAnsi="Times New Roman" w:cs="Times New Roman"/>
                <w:sz w:val="28"/>
                <w:szCs w:val="28"/>
                <w:shd w:val="clear" w:color="auto" w:fill="FFFFFF"/>
              </w:rPr>
              <w:t>.65</w:t>
            </w:r>
            <w:r w:rsidR="00A71829" w:rsidRPr="00A71829">
              <w:rPr>
                <w:rFonts w:ascii="Times New Roman" w:hAnsi="Times New Roman" w:cs="Times New Roman"/>
                <w:sz w:val="28"/>
                <w:szCs w:val="28"/>
                <w:shd w:val="clear" w:color="auto" w:fill="FFFFFF"/>
              </w:rPr>
              <w:t xml:space="preserve">, </w:t>
            </w:r>
            <w:r w:rsidR="00A71829" w:rsidRPr="00A71829">
              <w:rPr>
                <w:rFonts w:ascii="Times New Roman" w:hAnsi="Times New Roman" w:cs="Times New Roman"/>
                <w:bCs/>
                <w:sz w:val="28"/>
                <w:szCs w:val="28"/>
                <w:shd w:val="clear" w:color="auto" w:fill="FFFFFF"/>
              </w:rPr>
              <w:t>3</w:t>
            </w:r>
            <w:r w:rsidR="00AB5338">
              <w:rPr>
                <w:rFonts w:ascii="Times New Roman" w:hAnsi="Times New Roman" w:cs="Times New Roman"/>
                <w:bCs/>
                <w:sz w:val="28"/>
                <w:szCs w:val="28"/>
                <w:shd w:val="clear" w:color="auto" w:fill="FFFFFF"/>
              </w:rPr>
              <w:t>4</w:t>
            </w:r>
            <w:r w:rsidR="00A71829" w:rsidRPr="00A71829">
              <w:rPr>
                <w:rFonts w:ascii="Times New Roman" w:hAnsi="Times New Roman" w:cs="Times New Roman"/>
                <w:bCs/>
                <w:sz w:val="28"/>
                <w:szCs w:val="28"/>
                <w:shd w:val="clear" w:color="auto" w:fill="FFFFFF"/>
              </w:rPr>
              <w:t>.§</w:t>
            </w:r>
            <w:bookmarkEnd w:id="0"/>
            <w:r w:rsidR="00A71829" w:rsidRPr="00A71829">
              <w:rPr>
                <w:rFonts w:ascii="Times New Roman" w:hAnsi="Times New Roman" w:cs="Times New Roman"/>
                <w:sz w:val="28"/>
                <w:szCs w:val="28"/>
                <w:shd w:val="clear" w:color="auto" w:fill="FFFFFF"/>
              </w:rPr>
              <w:t>)</w:t>
            </w:r>
            <w:r w:rsidR="00A71829">
              <w:rPr>
                <w:rFonts w:ascii="Times New Roman" w:hAnsi="Times New Roman" w:cs="Times New Roman"/>
                <w:sz w:val="28"/>
                <w:szCs w:val="28"/>
                <w:shd w:val="clear" w:color="auto" w:fill="FFFFFF"/>
              </w:rPr>
              <w:t>.</w:t>
            </w:r>
          </w:p>
        </w:tc>
      </w:tr>
      <w:tr w:rsidR="00CD486E" w:rsidRPr="00EF09F1" w14:paraId="1E7EA3A2" w14:textId="77777777" w:rsidTr="00CA53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D48798" w14:textId="77777777"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462AA1C" w14:textId="77777777" w:rsidR="000234CA" w:rsidRPr="00092EB9" w:rsidRDefault="00CD486E" w:rsidP="00CD486E">
            <w:pPr>
              <w:spacing w:after="0" w:line="240" w:lineRule="auto"/>
              <w:rPr>
                <w:rFonts w:ascii="Times New Roman" w:eastAsia="Times New Roman" w:hAnsi="Times New Roman" w:cs="Times New Roman"/>
                <w:iCs/>
                <w:sz w:val="28"/>
                <w:szCs w:val="28"/>
                <w:lang w:eastAsia="lv-LV"/>
              </w:rPr>
            </w:pPr>
            <w:r w:rsidRPr="00092EB9">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3824D07C" w14:textId="77777777" w:rsidR="000234CA" w:rsidRPr="00EF09F1" w:rsidRDefault="000234CA" w:rsidP="000234CA">
            <w:pPr>
              <w:rPr>
                <w:rFonts w:ascii="Times New Roman" w:eastAsia="Times New Roman" w:hAnsi="Times New Roman" w:cs="Times New Roman"/>
                <w:sz w:val="28"/>
                <w:szCs w:val="28"/>
                <w:lang w:eastAsia="lv-LV"/>
              </w:rPr>
            </w:pPr>
            <w:bookmarkStart w:id="1" w:name="_GoBack"/>
            <w:bookmarkEnd w:id="1"/>
          </w:p>
          <w:p w14:paraId="775EF67E" w14:textId="77777777" w:rsidR="000234CA" w:rsidRPr="00EF09F1" w:rsidRDefault="000234CA" w:rsidP="000234CA">
            <w:pPr>
              <w:rPr>
                <w:rFonts w:ascii="Times New Roman" w:eastAsia="Times New Roman" w:hAnsi="Times New Roman" w:cs="Times New Roman"/>
                <w:sz w:val="28"/>
                <w:szCs w:val="28"/>
                <w:lang w:eastAsia="lv-LV"/>
              </w:rPr>
            </w:pPr>
          </w:p>
          <w:p w14:paraId="11232AA0" w14:textId="77777777" w:rsidR="000234CA" w:rsidRPr="00EF09F1" w:rsidRDefault="000234CA" w:rsidP="000234CA">
            <w:pPr>
              <w:rPr>
                <w:rFonts w:ascii="Times New Roman" w:eastAsia="Times New Roman" w:hAnsi="Times New Roman" w:cs="Times New Roman"/>
                <w:sz w:val="28"/>
                <w:szCs w:val="28"/>
                <w:lang w:eastAsia="lv-LV"/>
              </w:rPr>
            </w:pPr>
          </w:p>
          <w:p w14:paraId="0D26F081" w14:textId="77777777" w:rsidR="000234CA" w:rsidRPr="00EF09F1" w:rsidRDefault="000234CA" w:rsidP="000234CA">
            <w:pPr>
              <w:rPr>
                <w:rFonts w:ascii="Times New Roman" w:eastAsia="Times New Roman" w:hAnsi="Times New Roman" w:cs="Times New Roman"/>
                <w:sz w:val="28"/>
                <w:szCs w:val="28"/>
                <w:lang w:eastAsia="lv-LV"/>
              </w:rPr>
            </w:pPr>
          </w:p>
          <w:p w14:paraId="29E53711" w14:textId="77777777" w:rsidR="000234CA" w:rsidRPr="00EF09F1" w:rsidRDefault="000234CA" w:rsidP="000234CA">
            <w:pPr>
              <w:rPr>
                <w:rFonts w:ascii="Times New Roman" w:eastAsia="Times New Roman" w:hAnsi="Times New Roman" w:cs="Times New Roman"/>
                <w:sz w:val="28"/>
                <w:szCs w:val="28"/>
                <w:lang w:eastAsia="lv-LV"/>
              </w:rPr>
            </w:pPr>
          </w:p>
          <w:p w14:paraId="597E557A" w14:textId="77777777" w:rsidR="000234CA" w:rsidRPr="00EF09F1" w:rsidRDefault="000234CA" w:rsidP="000234CA">
            <w:pPr>
              <w:rPr>
                <w:rFonts w:ascii="Times New Roman" w:eastAsia="Times New Roman" w:hAnsi="Times New Roman" w:cs="Times New Roman"/>
                <w:sz w:val="28"/>
                <w:szCs w:val="28"/>
                <w:lang w:eastAsia="lv-LV"/>
              </w:rPr>
            </w:pPr>
          </w:p>
          <w:p w14:paraId="5EA1FC0A" w14:textId="77777777" w:rsidR="000234CA" w:rsidRPr="00EF09F1" w:rsidRDefault="000234CA" w:rsidP="000234CA">
            <w:pPr>
              <w:rPr>
                <w:rFonts w:ascii="Times New Roman" w:eastAsia="Times New Roman" w:hAnsi="Times New Roman" w:cs="Times New Roman"/>
                <w:sz w:val="28"/>
                <w:szCs w:val="28"/>
                <w:lang w:eastAsia="lv-LV"/>
              </w:rPr>
            </w:pPr>
          </w:p>
          <w:p w14:paraId="074EF9DB" w14:textId="77777777" w:rsidR="000234CA" w:rsidRPr="00EF09F1" w:rsidRDefault="000234CA" w:rsidP="000234CA">
            <w:pPr>
              <w:rPr>
                <w:rFonts w:ascii="Times New Roman" w:eastAsia="Times New Roman" w:hAnsi="Times New Roman" w:cs="Times New Roman"/>
                <w:sz w:val="28"/>
                <w:szCs w:val="28"/>
                <w:lang w:eastAsia="lv-LV"/>
              </w:rPr>
            </w:pPr>
          </w:p>
          <w:p w14:paraId="7BD40173" w14:textId="77777777" w:rsidR="000234CA" w:rsidRPr="00EF09F1" w:rsidRDefault="000234CA" w:rsidP="000234CA">
            <w:pPr>
              <w:rPr>
                <w:rFonts w:ascii="Times New Roman" w:eastAsia="Times New Roman" w:hAnsi="Times New Roman" w:cs="Times New Roman"/>
                <w:sz w:val="28"/>
                <w:szCs w:val="28"/>
                <w:lang w:eastAsia="lv-LV"/>
              </w:rPr>
            </w:pPr>
          </w:p>
          <w:p w14:paraId="0F489024" w14:textId="77777777" w:rsidR="000234CA" w:rsidRPr="00EF09F1" w:rsidRDefault="000234CA" w:rsidP="000234CA">
            <w:pPr>
              <w:rPr>
                <w:rFonts w:ascii="Times New Roman" w:eastAsia="Times New Roman" w:hAnsi="Times New Roman" w:cs="Times New Roman"/>
                <w:sz w:val="28"/>
                <w:szCs w:val="28"/>
                <w:lang w:eastAsia="lv-LV"/>
              </w:rPr>
            </w:pPr>
          </w:p>
          <w:p w14:paraId="6DCE7630" w14:textId="77777777" w:rsidR="000234CA" w:rsidRPr="00EF09F1" w:rsidRDefault="000234CA" w:rsidP="000234CA">
            <w:pPr>
              <w:rPr>
                <w:rFonts w:ascii="Times New Roman" w:eastAsia="Times New Roman" w:hAnsi="Times New Roman" w:cs="Times New Roman"/>
                <w:sz w:val="28"/>
                <w:szCs w:val="28"/>
                <w:lang w:eastAsia="lv-LV"/>
              </w:rPr>
            </w:pPr>
          </w:p>
          <w:p w14:paraId="249909B9" w14:textId="77777777" w:rsidR="00CD486E" w:rsidRDefault="00CD486E" w:rsidP="000234CA">
            <w:pPr>
              <w:ind w:firstLine="720"/>
              <w:rPr>
                <w:rFonts w:ascii="Times New Roman" w:eastAsia="Times New Roman" w:hAnsi="Times New Roman" w:cs="Times New Roman"/>
                <w:sz w:val="28"/>
                <w:szCs w:val="28"/>
                <w:lang w:eastAsia="lv-LV"/>
              </w:rPr>
            </w:pPr>
          </w:p>
          <w:p w14:paraId="1E16C278" w14:textId="77777777" w:rsidR="00EB2A9D" w:rsidRPr="00EB2A9D" w:rsidRDefault="00EB2A9D" w:rsidP="00EB2A9D">
            <w:pPr>
              <w:rPr>
                <w:rFonts w:ascii="Times New Roman" w:eastAsia="Times New Roman" w:hAnsi="Times New Roman" w:cs="Times New Roman"/>
                <w:sz w:val="28"/>
                <w:szCs w:val="28"/>
                <w:lang w:eastAsia="lv-LV"/>
              </w:rPr>
            </w:pPr>
          </w:p>
          <w:p w14:paraId="6A2F3B46" w14:textId="77777777" w:rsidR="00EB2A9D" w:rsidRPr="00EB2A9D" w:rsidRDefault="00EB2A9D" w:rsidP="00EB2A9D">
            <w:pPr>
              <w:rPr>
                <w:rFonts w:ascii="Times New Roman" w:eastAsia="Times New Roman" w:hAnsi="Times New Roman" w:cs="Times New Roman"/>
                <w:sz w:val="28"/>
                <w:szCs w:val="28"/>
                <w:lang w:eastAsia="lv-LV"/>
              </w:rPr>
            </w:pPr>
          </w:p>
          <w:p w14:paraId="3101E9C9" w14:textId="77777777" w:rsidR="00EB2A9D" w:rsidRPr="00EB2A9D" w:rsidRDefault="00EB2A9D" w:rsidP="00EB2A9D">
            <w:pPr>
              <w:rPr>
                <w:rFonts w:ascii="Times New Roman" w:eastAsia="Times New Roman" w:hAnsi="Times New Roman" w:cs="Times New Roman"/>
                <w:sz w:val="28"/>
                <w:szCs w:val="28"/>
                <w:lang w:eastAsia="lv-LV"/>
              </w:rPr>
            </w:pPr>
          </w:p>
        </w:tc>
        <w:tc>
          <w:tcPr>
            <w:tcW w:w="2960" w:type="pct"/>
            <w:tcBorders>
              <w:top w:val="outset" w:sz="6" w:space="0" w:color="auto"/>
              <w:left w:val="outset" w:sz="6" w:space="0" w:color="auto"/>
              <w:bottom w:val="outset" w:sz="6" w:space="0" w:color="auto"/>
              <w:right w:val="outset" w:sz="6" w:space="0" w:color="auto"/>
            </w:tcBorders>
          </w:tcPr>
          <w:p w14:paraId="1C2FA6C8" w14:textId="2996B0B8" w:rsidR="00092EB9" w:rsidRDefault="009F568D" w:rsidP="00191007">
            <w:pPr>
              <w:pStyle w:val="NormalWeb"/>
              <w:spacing w:before="0" w:beforeAutospacing="0" w:after="0" w:afterAutospacing="0"/>
              <w:ind w:firstLine="391"/>
              <w:jc w:val="both"/>
              <w:rPr>
                <w:color w:val="000000"/>
                <w:sz w:val="28"/>
                <w:szCs w:val="28"/>
                <w:shd w:val="clear" w:color="auto" w:fill="FFFFFF"/>
              </w:rPr>
            </w:pPr>
            <w:r>
              <w:rPr>
                <w:color w:val="000000"/>
                <w:sz w:val="28"/>
                <w:szCs w:val="28"/>
                <w:shd w:val="clear" w:color="auto" w:fill="FFFFFF"/>
              </w:rPr>
              <w:lastRenderedPageBreak/>
              <w:t>VM</w:t>
            </w:r>
            <w:r w:rsidR="001C2AFF" w:rsidRPr="006E12E5">
              <w:rPr>
                <w:color w:val="000000"/>
                <w:sz w:val="28"/>
                <w:szCs w:val="28"/>
                <w:shd w:val="clear" w:color="auto" w:fill="FFFFFF"/>
              </w:rPr>
              <w:t xml:space="preserve"> b</w:t>
            </w:r>
            <w:r w:rsidR="00B35718" w:rsidRPr="006E12E5">
              <w:rPr>
                <w:color w:val="000000"/>
                <w:sz w:val="28"/>
                <w:szCs w:val="28"/>
                <w:shd w:val="clear" w:color="auto" w:fill="FFFFFF"/>
              </w:rPr>
              <w:t xml:space="preserve">udžeta programmas </w:t>
            </w:r>
            <w:r w:rsidR="00AB5338">
              <w:rPr>
                <w:color w:val="000000"/>
                <w:sz w:val="28"/>
                <w:szCs w:val="28"/>
                <w:shd w:val="clear" w:color="auto" w:fill="FFFFFF"/>
              </w:rPr>
              <w:t>97</w:t>
            </w:r>
            <w:r w:rsidR="00B35718" w:rsidRPr="006E12E5">
              <w:rPr>
                <w:color w:val="000000"/>
                <w:sz w:val="28"/>
                <w:szCs w:val="28"/>
                <w:shd w:val="clear" w:color="auto" w:fill="FFFFFF"/>
              </w:rPr>
              <w:t>.00.00 “</w:t>
            </w:r>
            <w:r w:rsidR="00092EB9" w:rsidRPr="00092EB9">
              <w:rPr>
                <w:color w:val="000000"/>
                <w:sz w:val="28"/>
                <w:szCs w:val="28"/>
                <w:shd w:val="clear" w:color="auto" w:fill="FFFFFF"/>
              </w:rPr>
              <w:t>Nozares vadība un politikas plānošana</w:t>
            </w:r>
            <w:r w:rsidR="00B35718" w:rsidRPr="006E12E5">
              <w:rPr>
                <w:color w:val="000000"/>
                <w:sz w:val="28"/>
                <w:szCs w:val="28"/>
                <w:shd w:val="clear" w:color="auto" w:fill="FFFFFF"/>
              </w:rPr>
              <w:t xml:space="preserve">” mērķis ir </w:t>
            </w:r>
            <w:r w:rsidR="00092EB9" w:rsidRPr="00092EB9">
              <w:rPr>
                <w:color w:val="000000"/>
                <w:sz w:val="28"/>
                <w:szCs w:val="28"/>
                <w:shd w:val="clear" w:color="auto" w:fill="FFFFFF"/>
              </w:rPr>
              <w:t xml:space="preserve">nodrošināt saskaņotu un nepārtrauktu </w:t>
            </w:r>
            <w:r w:rsidR="00B967B2">
              <w:rPr>
                <w:color w:val="000000"/>
                <w:sz w:val="28"/>
                <w:szCs w:val="28"/>
                <w:shd w:val="clear" w:color="auto" w:fill="FFFFFF"/>
              </w:rPr>
              <w:t xml:space="preserve">VM </w:t>
            </w:r>
            <w:r w:rsidR="00092EB9" w:rsidRPr="00092EB9">
              <w:rPr>
                <w:color w:val="000000"/>
                <w:sz w:val="28"/>
                <w:szCs w:val="28"/>
                <w:shd w:val="clear" w:color="auto" w:fill="FFFFFF"/>
              </w:rPr>
              <w:t xml:space="preserve">darbību, pilnveidot iekšējā darba organizāciju, uzlabot veselības aprūpes pakalpojuma kvalitāti, lai nodrošinātu efektīvu ārstēšanas procesu un optimizētu veselības aprūpes pakalpojumu sniedzēju skaitu un </w:t>
            </w:r>
            <w:r w:rsidR="00092EB9" w:rsidRPr="00092EB9">
              <w:rPr>
                <w:color w:val="000000"/>
                <w:sz w:val="28"/>
                <w:szCs w:val="28"/>
                <w:shd w:val="clear" w:color="auto" w:fill="FFFFFF"/>
              </w:rPr>
              <w:lastRenderedPageBreak/>
              <w:t>izvietojumu, kā arī sekmēt un veicināt iedzīvotāju un vides veselību, nodrošinot efektīvas politikas izstrādi un ieviešanu ar politikas dokumentu un normatīvo aktu palīdzību, sekmīgu Latvijas interešu aizstāvību Eiropas Savienības institūcijās un starptautiskajās organizācijās, kā arī regulāru un efektīvu saikni ar sabiedrību</w:t>
            </w:r>
            <w:r w:rsidR="00B35718" w:rsidRPr="006E12E5">
              <w:rPr>
                <w:color w:val="000000"/>
                <w:sz w:val="28"/>
                <w:szCs w:val="28"/>
                <w:shd w:val="clear" w:color="auto" w:fill="FFFFFF"/>
              </w:rPr>
              <w:t xml:space="preserve">. </w:t>
            </w:r>
          </w:p>
          <w:p w14:paraId="7ABAFD5F" w14:textId="73C1E735" w:rsidR="00092EB9" w:rsidRDefault="00092EB9" w:rsidP="00191007">
            <w:pPr>
              <w:pStyle w:val="NormalWeb"/>
              <w:spacing w:before="0" w:beforeAutospacing="0" w:after="0" w:afterAutospacing="0"/>
              <w:ind w:firstLine="391"/>
              <w:jc w:val="both"/>
              <w:rPr>
                <w:color w:val="000000"/>
                <w:sz w:val="28"/>
                <w:szCs w:val="28"/>
                <w:shd w:val="clear" w:color="auto" w:fill="FFFFFF"/>
              </w:rPr>
            </w:pPr>
            <w:r>
              <w:rPr>
                <w:color w:val="000000"/>
                <w:sz w:val="28"/>
                <w:szCs w:val="28"/>
                <w:shd w:val="clear" w:color="auto" w:fill="FFFFFF"/>
              </w:rPr>
              <w:t>VM</w:t>
            </w:r>
            <w:r w:rsidRPr="00092EB9">
              <w:rPr>
                <w:color w:val="000000"/>
                <w:sz w:val="28"/>
                <w:szCs w:val="28"/>
                <w:shd w:val="clear" w:color="auto" w:fill="FFFFFF"/>
              </w:rPr>
              <w:t xml:space="preserve"> informācijas un komunikācijas tehnoloģiju iekārtu bāze nav atbilstoša, jo </w:t>
            </w:r>
            <w:r w:rsidR="00B967B2">
              <w:rPr>
                <w:color w:val="000000"/>
                <w:sz w:val="28"/>
                <w:szCs w:val="28"/>
                <w:shd w:val="clear" w:color="auto" w:fill="FFFFFF"/>
              </w:rPr>
              <w:t xml:space="preserve">ierobežota finansējuma dēļ </w:t>
            </w:r>
            <w:r w:rsidRPr="00092EB9">
              <w:rPr>
                <w:color w:val="000000"/>
                <w:sz w:val="28"/>
                <w:szCs w:val="28"/>
                <w:shd w:val="clear" w:color="auto" w:fill="FFFFFF"/>
              </w:rPr>
              <w:t xml:space="preserve">nav pienācīgi atjaunota kopš </w:t>
            </w:r>
            <w:r w:rsidR="00B967B2">
              <w:rPr>
                <w:color w:val="000000"/>
                <w:sz w:val="28"/>
                <w:szCs w:val="28"/>
                <w:shd w:val="clear" w:color="auto" w:fill="FFFFFF"/>
              </w:rPr>
              <w:t>2015.gada</w:t>
            </w:r>
            <w:r w:rsidRPr="00092EB9">
              <w:rPr>
                <w:color w:val="000000"/>
                <w:sz w:val="28"/>
                <w:szCs w:val="28"/>
                <w:shd w:val="clear" w:color="auto" w:fill="FFFFFF"/>
              </w:rPr>
              <w:t xml:space="preserve">, kas negatīvi ietekmē </w:t>
            </w:r>
            <w:r w:rsidR="00B967B2">
              <w:rPr>
                <w:color w:val="000000"/>
                <w:sz w:val="28"/>
                <w:szCs w:val="28"/>
                <w:shd w:val="clear" w:color="auto" w:fill="FFFFFF"/>
              </w:rPr>
              <w:t>VM</w:t>
            </w:r>
            <w:r w:rsidRPr="00092EB9">
              <w:rPr>
                <w:color w:val="000000"/>
                <w:sz w:val="28"/>
                <w:szCs w:val="28"/>
                <w:shd w:val="clear" w:color="auto" w:fill="FFFFFF"/>
              </w:rPr>
              <w:t xml:space="preserve"> darbību </w:t>
            </w:r>
            <w:r w:rsidR="003E2630">
              <w:rPr>
                <w:color w:val="000000"/>
                <w:sz w:val="28"/>
                <w:szCs w:val="28"/>
                <w:shd w:val="clear" w:color="auto" w:fill="FFFFFF"/>
              </w:rPr>
              <w:t>Covid-19</w:t>
            </w:r>
            <w:r w:rsidRPr="00092EB9">
              <w:rPr>
                <w:color w:val="000000"/>
                <w:sz w:val="28"/>
                <w:szCs w:val="28"/>
                <w:shd w:val="clear" w:color="auto" w:fill="FFFFFF"/>
              </w:rPr>
              <w:t xml:space="preserve"> pandēmijas periodā, kad ministrijai jānodrošina attālināta darba iespējas</w:t>
            </w:r>
            <w:r w:rsidR="00B967B2">
              <w:rPr>
                <w:color w:val="000000"/>
                <w:sz w:val="28"/>
                <w:szCs w:val="28"/>
                <w:shd w:val="clear" w:color="auto" w:fill="FFFFFF"/>
              </w:rPr>
              <w:t xml:space="preserve"> un </w:t>
            </w:r>
            <w:r w:rsidR="00B967B2" w:rsidRPr="00B967B2">
              <w:rPr>
                <w:color w:val="000000"/>
                <w:sz w:val="28"/>
                <w:szCs w:val="28"/>
                <w:shd w:val="clear" w:color="auto" w:fill="FFFFFF"/>
              </w:rPr>
              <w:t>jāveic informācijas droša un operatīva apmaiņa</w:t>
            </w:r>
            <w:r w:rsidR="00B967B2">
              <w:rPr>
                <w:color w:val="000000"/>
                <w:sz w:val="28"/>
                <w:szCs w:val="28"/>
                <w:shd w:val="clear" w:color="auto" w:fill="FFFFFF"/>
              </w:rPr>
              <w:t xml:space="preserve"> VM resora ietvaros</w:t>
            </w:r>
            <w:r w:rsidRPr="00092EB9">
              <w:rPr>
                <w:color w:val="000000"/>
                <w:sz w:val="28"/>
                <w:szCs w:val="28"/>
                <w:shd w:val="clear" w:color="auto" w:fill="FFFFFF"/>
              </w:rPr>
              <w:t>.</w:t>
            </w:r>
          </w:p>
          <w:p w14:paraId="28DCCE44" w14:textId="7687C5B4" w:rsidR="00092EB9" w:rsidRDefault="00B967B2" w:rsidP="00191007">
            <w:pPr>
              <w:pStyle w:val="NormalWeb"/>
              <w:spacing w:before="0" w:beforeAutospacing="0" w:after="0" w:afterAutospacing="0"/>
              <w:ind w:firstLine="391"/>
              <w:jc w:val="both"/>
              <w:rPr>
                <w:color w:val="000000"/>
                <w:sz w:val="28"/>
                <w:szCs w:val="28"/>
                <w:shd w:val="clear" w:color="auto" w:fill="FFFFFF"/>
              </w:rPr>
            </w:pPr>
            <w:r w:rsidRPr="00B967B2">
              <w:rPr>
                <w:color w:val="000000"/>
                <w:sz w:val="28"/>
                <w:szCs w:val="28"/>
                <w:shd w:val="clear" w:color="auto" w:fill="FFFFFF"/>
              </w:rPr>
              <w:t xml:space="preserve">Lai nodrošinātu </w:t>
            </w:r>
            <w:r>
              <w:rPr>
                <w:color w:val="000000"/>
                <w:sz w:val="28"/>
                <w:szCs w:val="28"/>
                <w:shd w:val="clear" w:color="auto" w:fill="FFFFFF"/>
              </w:rPr>
              <w:t>VM</w:t>
            </w:r>
            <w:r w:rsidRPr="00B967B2">
              <w:rPr>
                <w:color w:val="000000"/>
                <w:sz w:val="28"/>
                <w:szCs w:val="28"/>
                <w:shd w:val="clear" w:color="auto" w:fill="FFFFFF"/>
              </w:rPr>
              <w:t xml:space="preserve"> </w:t>
            </w:r>
            <w:r>
              <w:rPr>
                <w:color w:val="000000"/>
                <w:sz w:val="28"/>
                <w:szCs w:val="28"/>
                <w:shd w:val="clear" w:color="auto" w:fill="FFFFFF"/>
              </w:rPr>
              <w:t>pamat</w:t>
            </w:r>
            <w:r w:rsidRPr="00B967B2">
              <w:rPr>
                <w:color w:val="000000"/>
                <w:sz w:val="28"/>
                <w:szCs w:val="28"/>
                <w:shd w:val="clear" w:color="auto" w:fill="FFFFFF"/>
              </w:rPr>
              <w:t xml:space="preserve">funkciju izpildes  nepārtrauktību </w:t>
            </w:r>
            <w:r w:rsidR="003E2630">
              <w:rPr>
                <w:color w:val="000000"/>
                <w:sz w:val="28"/>
                <w:szCs w:val="28"/>
                <w:shd w:val="clear" w:color="auto" w:fill="FFFFFF"/>
              </w:rPr>
              <w:t>Covid-19</w:t>
            </w:r>
            <w:r w:rsidRPr="00B967B2">
              <w:rPr>
                <w:color w:val="000000"/>
                <w:sz w:val="28"/>
                <w:szCs w:val="28"/>
                <w:shd w:val="clear" w:color="auto" w:fill="FFFFFF"/>
              </w:rPr>
              <w:t xml:space="preserve"> pandēmijas laikā,  </w:t>
            </w:r>
            <w:r>
              <w:rPr>
                <w:color w:val="000000"/>
                <w:sz w:val="28"/>
                <w:szCs w:val="28"/>
                <w:shd w:val="clear" w:color="auto" w:fill="FFFFFF"/>
              </w:rPr>
              <w:t>VM</w:t>
            </w:r>
            <w:r w:rsidRPr="00B967B2">
              <w:rPr>
                <w:color w:val="000000"/>
                <w:sz w:val="28"/>
                <w:szCs w:val="28"/>
                <w:shd w:val="clear" w:color="auto" w:fill="FFFFFF"/>
              </w:rPr>
              <w:t xml:space="preserve"> ir jāspēj nodrošināt attālinātā darba iespējas, kas nav iespējams bez atbilstoša informācijas un komunikācijas tehnoloģiju materiāltehniskā nodrošinājuma.</w:t>
            </w:r>
          </w:p>
          <w:p w14:paraId="60ED2DD8" w14:textId="24F044E9" w:rsidR="00B967B2" w:rsidRDefault="003E2630" w:rsidP="00191007">
            <w:pPr>
              <w:pStyle w:val="NormalWeb"/>
              <w:spacing w:before="0" w:beforeAutospacing="0" w:after="0" w:afterAutospacing="0"/>
              <w:ind w:firstLine="391"/>
              <w:jc w:val="both"/>
              <w:rPr>
                <w:color w:val="000000"/>
                <w:sz w:val="28"/>
                <w:szCs w:val="28"/>
                <w:shd w:val="clear" w:color="auto" w:fill="FFFFFF"/>
              </w:rPr>
            </w:pPr>
            <w:r>
              <w:rPr>
                <w:color w:val="000000"/>
                <w:sz w:val="28"/>
                <w:szCs w:val="28"/>
                <w:shd w:val="clear" w:color="auto" w:fill="FFFFFF"/>
              </w:rPr>
              <w:t>Izvērtējot VM rīcībā informācijas un komunikācijas tehnoloģijas iekārtu bāzi, VM secina, ka nepieciešamais papildu finansējums veido 122 45</w:t>
            </w:r>
            <w:r w:rsidR="00C24F0A">
              <w:rPr>
                <w:color w:val="000000"/>
                <w:sz w:val="28"/>
                <w:szCs w:val="28"/>
                <w:shd w:val="clear" w:color="auto" w:fill="FFFFFF"/>
              </w:rPr>
              <w:t>8</w:t>
            </w:r>
            <w:r>
              <w:rPr>
                <w:color w:val="000000"/>
                <w:sz w:val="28"/>
                <w:szCs w:val="28"/>
                <w:shd w:val="clear" w:color="auto" w:fill="FFFFFF"/>
              </w:rPr>
              <w:t xml:space="preserve"> </w:t>
            </w:r>
            <w:r>
              <w:rPr>
                <w:i/>
                <w:iCs/>
                <w:color w:val="000000"/>
                <w:sz w:val="28"/>
                <w:szCs w:val="28"/>
                <w:shd w:val="clear" w:color="auto" w:fill="FFFFFF"/>
              </w:rPr>
              <w:t xml:space="preserve">euro </w:t>
            </w:r>
            <w:r>
              <w:rPr>
                <w:color w:val="000000"/>
                <w:sz w:val="28"/>
                <w:szCs w:val="28"/>
                <w:shd w:val="clear" w:color="auto" w:fill="FFFFFF"/>
              </w:rPr>
              <w:t>apmērā, lai VM varētu nodrošināt sekojošas iegādes pamatfunkciju veikšanai:</w:t>
            </w:r>
          </w:p>
          <w:p w14:paraId="34ABD379" w14:textId="76614336" w:rsidR="003E2630" w:rsidRDefault="003E2630" w:rsidP="003E2630">
            <w:pPr>
              <w:pStyle w:val="NormalWeb"/>
              <w:numPr>
                <w:ilvl w:val="0"/>
                <w:numId w:val="8"/>
              </w:numPr>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Portatīvo datoru iegādei 79 200 </w:t>
            </w:r>
            <w:r>
              <w:rPr>
                <w:i/>
                <w:iCs/>
                <w:color w:val="000000"/>
                <w:sz w:val="28"/>
                <w:szCs w:val="28"/>
                <w:shd w:val="clear" w:color="auto" w:fill="FFFFFF"/>
              </w:rPr>
              <w:t xml:space="preserve">euro </w:t>
            </w:r>
            <w:r>
              <w:rPr>
                <w:color w:val="000000"/>
                <w:sz w:val="28"/>
                <w:szCs w:val="28"/>
                <w:shd w:val="clear" w:color="auto" w:fill="FFFFFF"/>
              </w:rPr>
              <w:t>apmērā;</w:t>
            </w:r>
          </w:p>
          <w:p w14:paraId="48DF9A1C" w14:textId="77777777" w:rsidR="003E2630" w:rsidRDefault="003E2630" w:rsidP="003E2630">
            <w:pPr>
              <w:pStyle w:val="NormalWeb"/>
              <w:numPr>
                <w:ilvl w:val="0"/>
                <w:numId w:val="8"/>
              </w:numPr>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Stacionāro datoru iegādei 43 258 </w:t>
            </w:r>
            <w:r>
              <w:rPr>
                <w:i/>
                <w:iCs/>
                <w:color w:val="000000"/>
                <w:sz w:val="28"/>
                <w:szCs w:val="28"/>
                <w:shd w:val="clear" w:color="auto" w:fill="FFFFFF"/>
              </w:rPr>
              <w:t xml:space="preserve">euro </w:t>
            </w:r>
            <w:r>
              <w:rPr>
                <w:color w:val="000000"/>
                <w:sz w:val="28"/>
                <w:szCs w:val="28"/>
                <w:shd w:val="clear" w:color="auto" w:fill="FFFFFF"/>
              </w:rPr>
              <w:t>apmērā.</w:t>
            </w:r>
          </w:p>
          <w:p w14:paraId="0C5C6F46" w14:textId="51B88BA4" w:rsidR="003E2630" w:rsidRDefault="003E2630" w:rsidP="003E2630">
            <w:pPr>
              <w:pStyle w:val="NormalWeb"/>
              <w:spacing w:before="0" w:beforeAutospacing="0" w:after="0" w:afterAutospacing="0"/>
              <w:ind w:firstLine="391"/>
              <w:jc w:val="both"/>
              <w:rPr>
                <w:color w:val="000000"/>
                <w:sz w:val="28"/>
                <w:szCs w:val="28"/>
                <w:shd w:val="clear" w:color="auto" w:fill="FFFFFF"/>
              </w:rPr>
            </w:pPr>
            <w:r>
              <w:rPr>
                <w:color w:val="000000"/>
                <w:sz w:val="28"/>
                <w:szCs w:val="28"/>
                <w:shd w:val="clear" w:color="auto" w:fill="FFFFFF"/>
              </w:rPr>
              <w:t>Nomaiņas  rezultātā, VM darbiniekiem tiks nodrošināta attālināta darba iespējas un iespēja piedalīties attālinātajās sanāksmēs, ņemot vērā Covid-19 pandēmijas periodā.</w:t>
            </w:r>
          </w:p>
          <w:p w14:paraId="2FD1F928" w14:textId="7ABFD990" w:rsidR="003E2630" w:rsidRPr="003E2630" w:rsidRDefault="003E2630" w:rsidP="003E2630">
            <w:pPr>
              <w:pStyle w:val="NormalWeb"/>
              <w:spacing w:before="0" w:beforeAutospacing="0" w:after="0" w:afterAutospacing="0"/>
              <w:ind w:firstLine="391"/>
              <w:jc w:val="both"/>
              <w:rPr>
                <w:color w:val="000000"/>
                <w:sz w:val="28"/>
                <w:szCs w:val="28"/>
                <w:shd w:val="clear" w:color="auto" w:fill="FFFFFF"/>
              </w:rPr>
            </w:pPr>
            <w:r>
              <w:rPr>
                <w:color w:val="000000"/>
                <w:sz w:val="28"/>
                <w:szCs w:val="28"/>
                <w:shd w:val="clear" w:color="auto" w:fill="FFFFFF"/>
              </w:rPr>
              <w:t>Stacionāro datoru un portatīvo datoru iepirkums tiks veikts Elektronisko iepirkumu sistēmas e-pasūtījumu sistēmā.</w:t>
            </w:r>
          </w:p>
          <w:p w14:paraId="3E492C8A" w14:textId="77777777" w:rsidR="00AE45F9" w:rsidRDefault="00AE45F9" w:rsidP="00191007">
            <w:pPr>
              <w:pStyle w:val="NormalWeb"/>
              <w:spacing w:before="0" w:beforeAutospacing="0" w:after="0" w:afterAutospacing="0"/>
              <w:ind w:firstLine="391"/>
              <w:jc w:val="both"/>
              <w:rPr>
                <w:sz w:val="28"/>
                <w:szCs w:val="28"/>
              </w:rPr>
            </w:pPr>
          </w:p>
          <w:p w14:paraId="027BB4F0" w14:textId="0A3C348C" w:rsidR="003C0932" w:rsidRDefault="00D564B9" w:rsidP="00B35718">
            <w:pPr>
              <w:pStyle w:val="xmsonormal"/>
              <w:shd w:val="clear" w:color="auto" w:fill="FFFFFF"/>
              <w:spacing w:before="0" w:beforeAutospacing="0" w:after="0" w:afterAutospacing="0"/>
              <w:ind w:firstLine="389"/>
              <w:jc w:val="both"/>
              <w:rPr>
                <w:sz w:val="28"/>
                <w:szCs w:val="28"/>
              </w:rPr>
            </w:pPr>
            <w:r w:rsidRPr="006E12E5">
              <w:rPr>
                <w:sz w:val="28"/>
                <w:szCs w:val="28"/>
              </w:rPr>
              <w:t>Papildus nepieciešamo finansējumu</w:t>
            </w:r>
            <w:r w:rsidR="009C3052" w:rsidRPr="006E12E5">
              <w:rPr>
                <w:sz w:val="28"/>
                <w:szCs w:val="28"/>
              </w:rPr>
              <w:t xml:space="preserve"> </w:t>
            </w:r>
            <w:r w:rsidRPr="006E12E5">
              <w:rPr>
                <w:sz w:val="28"/>
                <w:szCs w:val="28"/>
              </w:rPr>
              <w:t xml:space="preserve">plānots segt no </w:t>
            </w:r>
            <w:r w:rsidR="00624538">
              <w:rPr>
                <w:sz w:val="28"/>
                <w:szCs w:val="28"/>
              </w:rPr>
              <w:t xml:space="preserve">VM </w:t>
            </w:r>
            <w:r w:rsidRPr="006E12E5">
              <w:rPr>
                <w:sz w:val="28"/>
                <w:szCs w:val="28"/>
              </w:rPr>
              <w:t xml:space="preserve">budžeta </w:t>
            </w:r>
            <w:r w:rsidR="00B671FE">
              <w:rPr>
                <w:sz w:val="28"/>
                <w:szCs w:val="28"/>
              </w:rPr>
              <w:t>apakš</w:t>
            </w:r>
            <w:r w:rsidRPr="006E12E5">
              <w:rPr>
                <w:sz w:val="28"/>
                <w:szCs w:val="28"/>
              </w:rPr>
              <w:t xml:space="preserve">programmas </w:t>
            </w:r>
            <w:r w:rsidR="00B671FE">
              <w:rPr>
                <w:sz w:val="28"/>
                <w:szCs w:val="28"/>
              </w:rPr>
              <w:t>45.01</w:t>
            </w:r>
            <w:r w:rsidR="00EB2A9D" w:rsidRPr="00EB2A9D">
              <w:rPr>
                <w:sz w:val="28"/>
                <w:szCs w:val="28"/>
              </w:rPr>
              <w:t>.00 “</w:t>
            </w:r>
            <w:r w:rsidR="00B671FE" w:rsidRPr="00B671FE">
              <w:rPr>
                <w:sz w:val="28"/>
                <w:szCs w:val="28"/>
              </w:rPr>
              <w:t>Veselības aprūpes finansējuma administrēšana un ekonomiskā novērtēšana</w:t>
            </w:r>
            <w:r w:rsidR="00EB2A9D" w:rsidRPr="00EB2A9D">
              <w:rPr>
                <w:sz w:val="28"/>
                <w:szCs w:val="28"/>
              </w:rPr>
              <w:t>”</w:t>
            </w:r>
            <w:r w:rsidRPr="006E12E5">
              <w:rPr>
                <w:sz w:val="28"/>
                <w:szCs w:val="28"/>
              </w:rPr>
              <w:t xml:space="preserve"> neizlietotā finansējuma </w:t>
            </w:r>
            <w:r w:rsidR="00624538">
              <w:rPr>
                <w:sz w:val="28"/>
                <w:szCs w:val="28"/>
              </w:rPr>
              <w:t>553 108</w:t>
            </w:r>
            <w:r w:rsidRPr="006E12E5">
              <w:rPr>
                <w:i/>
                <w:sz w:val="28"/>
                <w:szCs w:val="28"/>
              </w:rPr>
              <w:t xml:space="preserve"> euro</w:t>
            </w:r>
            <w:r w:rsidRPr="006E12E5">
              <w:rPr>
                <w:sz w:val="28"/>
                <w:szCs w:val="28"/>
              </w:rPr>
              <w:t xml:space="preserve"> apmērā</w:t>
            </w:r>
            <w:r w:rsidR="00624538">
              <w:rPr>
                <w:sz w:val="28"/>
                <w:szCs w:val="28"/>
              </w:rPr>
              <w:t xml:space="preserve">. </w:t>
            </w:r>
            <w:r w:rsidRPr="006E12E5">
              <w:rPr>
                <w:sz w:val="28"/>
                <w:szCs w:val="28"/>
              </w:rPr>
              <w:t xml:space="preserve"> </w:t>
            </w:r>
            <w:r w:rsidR="00624538">
              <w:rPr>
                <w:sz w:val="28"/>
                <w:szCs w:val="28"/>
              </w:rPr>
              <w:lastRenderedPageBreak/>
              <w:t>L</w:t>
            </w:r>
            <w:r w:rsidR="00624538" w:rsidRPr="00624538">
              <w:rPr>
                <w:sz w:val="28"/>
                <w:szCs w:val="28"/>
              </w:rPr>
              <w:t>īdzekļu ekonomija izveidojusies sakarā ar to, ka iepirkums “NVD valsts informāciju sistēmu uzturēšana izmaiņu analīze un realizācija, 12 mēnešu garantijas nodrošināšana” vēl atrodas izvērtēšan</w:t>
            </w:r>
            <w:r w:rsidR="00624538">
              <w:rPr>
                <w:sz w:val="28"/>
                <w:szCs w:val="28"/>
              </w:rPr>
              <w:t>as procesā</w:t>
            </w:r>
            <w:r w:rsidR="00624538" w:rsidRPr="00624538">
              <w:rPr>
                <w:sz w:val="28"/>
                <w:szCs w:val="28"/>
              </w:rPr>
              <w:t xml:space="preserve">. </w:t>
            </w:r>
            <w:r w:rsidR="00624538">
              <w:rPr>
                <w:sz w:val="28"/>
                <w:szCs w:val="28"/>
              </w:rPr>
              <w:t>Ņemot vērā, ka i</w:t>
            </w:r>
            <w:r w:rsidR="00624538" w:rsidRPr="00624538">
              <w:rPr>
                <w:sz w:val="28"/>
                <w:szCs w:val="28"/>
              </w:rPr>
              <w:t>epirkumā piedalās 5 pretendenti, kuru piedāvājumu izskatīšana ir darbietilpīg</w:t>
            </w:r>
            <w:r w:rsidR="00E033DF">
              <w:rPr>
                <w:sz w:val="28"/>
                <w:szCs w:val="28"/>
              </w:rPr>
              <w:t>s process</w:t>
            </w:r>
            <w:r w:rsidR="00624538">
              <w:rPr>
                <w:sz w:val="28"/>
                <w:szCs w:val="28"/>
              </w:rPr>
              <w:t>.</w:t>
            </w:r>
          </w:p>
          <w:p w14:paraId="543F6125" w14:textId="169D0B19" w:rsidR="00B967B2" w:rsidRPr="00415706" w:rsidRDefault="00B967B2" w:rsidP="00415706">
            <w:pPr>
              <w:pStyle w:val="xmsonormal"/>
              <w:shd w:val="clear" w:color="auto" w:fill="FFFFFF"/>
              <w:spacing w:before="0" w:beforeAutospacing="0" w:after="0" w:afterAutospacing="0"/>
              <w:ind w:firstLine="389"/>
              <w:jc w:val="both"/>
              <w:rPr>
                <w:iCs/>
                <w:sz w:val="28"/>
                <w:szCs w:val="28"/>
              </w:rPr>
            </w:pPr>
            <w:r w:rsidRPr="00B967B2">
              <w:rPr>
                <w:iCs/>
                <w:sz w:val="28"/>
                <w:szCs w:val="28"/>
              </w:rPr>
              <w:t>Rīkojuma projekts paredz atbalstīt apropriācijas pārdali 2020.gadam starp Veselības ministrijas budžeta apakšprogrammām</w:t>
            </w:r>
            <w:r w:rsidR="009F568D">
              <w:rPr>
                <w:iCs/>
                <w:sz w:val="28"/>
                <w:szCs w:val="28"/>
              </w:rPr>
              <w:t>/programmām</w:t>
            </w:r>
            <w:r w:rsidRPr="00B967B2">
              <w:rPr>
                <w:iCs/>
                <w:sz w:val="28"/>
                <w:szCs w:val="28"/>
              </w:rPr>
              <w:t>,</w:t>
            </w:r>
            <w:r w:rsidR="009F568D">
              <w:rPr>
                <w:iCs/>
                <w:sz w:val="28"/>
                <w:szCs w:val="28"/>
              </w:rPr>
              <w:t xml:space="preserve"> tai skaitā,</w:t>
            </w:r>
            <w:r w:rsidRPr="00B967B2">
              <w:rPr>
                <w:iCs/>
                <w:sz w:val="28"/>
                <w:szCs w:val="28"/>
              </w:rPr>
              <w:t xml:space="preserve"> no apakšprogrammas 45.01.00 “Veselības aprūpes finansējuma administrēšana un ekonomiskā novērtēšana”, samazinot dotāciju no vispārējiem ieņēmumiem un izdevumus pamatkapitālā veidošanai,  122 458 </w:t>
            </w:r>
            <w:r w:rsidRPr="00B967B2">
              <w:rPr>
                <w:i/>
                <w:sz w:val="28"/>
                <w:szCs w:val="28"/>
              </w:rPr>
              <w:t>euro</w:t>
            </w:r>
            <w:r w:rsidRPr="00B967B2">
              <w:rPr>
                <w:iCs/>
                <w:sz w:val="28"/>
                <w:szCs w:val="28"/>
              </w:rPr>
              <w:t xml:space="preserve"> apmērā  uz programmu 97.00.00 “Nozares vadība un politikas plānošana”, palielinot dotāciju no vispārējiem ieņēmumiem un izdevumus pamatkapitālā veidošanai, lai nodrošinātu Veselības ministrijas materiāli tehniskās bāzes (datortehnikas) atjaunošanu</w:t>
            </w:r>
            <w:r>
              <w:rPr>
                <w:iCs/>
                <w:sz w:val="28"/>
                <w:szCs w:val="28"/>
              </w:rPr>
              <w:t>.</w:t>
            </w:r>
          </w:p>
        </w:tc>
      </w:tr>
      <w:tr w:rsidR="00CD486E" w:rsidRPr="00EF09F1" w14:paraId="1D53C7FF"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58337F" w14:textId="77777777" w:rsidR="00CD486E" w:rsidRPr="00D91342" w:rsidRDefault="00CD486E" w:rsidP="00CD486E">
            <w:pPr>
              <w:spacing w:after="0" w:line="240" w:lineRule="auto"/>
              <w:rPr>
                <w:rFonts w:ascii="Times New Roman" w:eastAsia="Times New Roman" w:hAnsi="Times New Roman" w:cs="Times New Roman"/>
                <w:iCs/>
                <w:sz w:val="28"/>
                <w:szCs w:val="28"/>
                <w:lang w:eastAsia="lv-LV"/>
              </w:rPr>
            </w:pPr>
            <w:r w:rsidRPr="00D91342">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1BC9171" w14:textId="77777777" w:rsidR="00CD486E" w:rsidRPr="00D91342" w:rsidRDefault="00CD486E" w:rsidP="00CD486E">
            <w:pPr>
              <w:spacing w:after="0" w:line="240" w:lineRule="auto"/>
              <w:rPr>
                <w:rFonts w:ascii="Times New Roman" w:eastAsia="Times New Roman" w:hAnsi="Times New Roman" w:cs="Times New Roman"/>
                <w:iCs/>
                <w:sz w:val="28"/>
                <w:szCs w:val="28"/>
                <w:lang w:eastAsia="lv-LV"/>
              </w:rPr>
            </w:pPr>
            <w:r w:rsidRPr="00D91342">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3A244ABB" w14:textId="7BFD4286" w:rsidR="009346CE" w:rsidRPr="006E12E5" w:rsidRDefault="009F568D" w:rsidP="00EB5DED">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VM</w:t>
            </w:r>
          </w:p>
        </w:tc>
      </w:tr>
      <w:tr w:rsidR="00CD486E" w:rsidRPr="00EF09F1" w14:paraId="0B162D3A"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C46DF" w14:textId="77777777" w:rsidR="00CD486E" w:rsidRPr="00D91342" w:rsidRDefault="00CD486E" w:rsidP="00CD486E">
            <w:pPr>
              <w:spacing w:after="0" w:line="240" w:lineRule="auto"/>
              <w:rPr>
                <w:rFonts w:ascii="Times New Roman" w:eastAsia="Times New Roman" w:hAnsi="Times New Roman" w:cs="Times New Roman"/>
                <w:iCs/>
                <w:sz w:val="28"/>
                <w:szCs w:val="28"/>
                <w:lang w:eastAsia="lv-LV"/>
              </w:rPr>
            </w:pPr>
            <w:r w:rsidRPr="00D91342">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A7AC8E" w14:textId="77777777" w:rsidR="00CD486E" w:rsidRPr="00D91342" w:rsidRDefault="00CD486E" w:rsidP="00CD486E">
            <w:pPr>
              <w:spacing w:after="0" w:line="240" w:lineRule="auto"/>
              <w:rPr>
                <w:rFonts w:ascii="Times New Roman" w:eastAsia="Times New Roman" w:hAnsi="Times New Roman" w:cs="Times New Roman"/>
                <w:iCs/>
                <w:sz w:val="28"/>
                <w:szCs w:val="28"/>
                <w:lang w:eastAsia="lv-LV"/>
              </w:rPr>
            </w:pPr>
            <w:r w:rsidRPr="00D91342">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693B1BB" w14:textId="77777777" w:rsidR="00CD486E" w:rsidRPr="00EF09F1" w:rsidRDefault="00A112C8" w:rsidP="005B7969">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EF09F1">
              <w:rPr>
                <w:rFonts w:ascii="Times New Roman" w:eastAsia="Times New Roman" w:hAnsi="Times New Roman" w:cs="Times New Roman"/>
                <w:iCs/>
                <w:color w:val="000000" w:themeColor="text1"/>
                <w:sz w:val="28"/>
                <w:szCs w:val="28"/>
                <w:lang w:eastAsia="lv-LV"/>
              </w:rPr>
              <w:t>Nav</w:t>
            </w:r>
          </w:p>
        </w:tc>
      </w:tr>
    </w:tbl>
    <w:p w14:paraId="6CD1B8D3" w14:textId="77777777"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963"/>
        <w:gridCol w:w="1015"/>
        <w:gridCol w:w="1305"/>
        <w:gridCol w:w="549"/>
        <w:gridCol w:w="1167"/>
        <w:gridCol w:w="561"/>
        <w:gridCol w:w="1591"/>
        <w:gridCol w:w="1772"/>
      </w:tblGrid>
      <w:tr w:rsidR="0093616A" w:rsidRPr="00EF09F1" w14:paraId="2392ACC3" w14:textId="77777777" w:rsidTr="003707B8">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44AC5DAE" w14:textId="77777777" w:rsidR="00DD0636" w:rsidRPr="00EF09F1" w:rsidRDefault="00DD0636">
            <w:pPr>
              <w:pStyle w:val="tvhtml"/>
              <w:jc w:val="center"/>
              <w:rPr>
                <w:b/>
                <w:bCs/>
                <w:sz w:val="28"/>
                <w:szCs w:val="28"/>
              </w:rPr>
            </w:pPr>
            <w:r w:rsidRPr="00EF09F1">
              <w:rPr>
                <w:b/>
                <w:bCs/>
                <w:sz w:val="28"/>
                <w:szCs w:val="28"/>
              </w:rPr>
              <w:t>III. Tiesību akta projekta ietekme uz valsts budžetu un pašvaldību budžetiem</w:t>
            </w:r>
          </w:p>
        </w:tc>
      </w:tr>
      <w:tr w:rsidR="003707B8" w:rsidRPr="00EF09F1" w14:paraId="7C91D88D" w14:textId="77777777" w:rsidTr="00313665">
        <w:trPr>
          <w:tblCellSpacing w:w="15" w:type="dxa"/>
        </w:trPr>
        <w:tc>
          <w:tcPr>
            <w:tcW w:w="526" w:type="pct"/>
            <w:vMerge w:val="restart"/>
            <w:tcBorders>
              <w:top w:val="outset" w:sz="6" w:space="0" w:color="auto"/>
              <w:left w:val="outset" w:sz="6" w:space="0" w:color="auto"/>
              <w:bottom w:val="outset" w:sz="6" w:space="0" w:color="auto"/>
              <w:right w:val="outset" w:sz="6" w:space="0" w:color="auto"/>
            </w:tcBorders>
            <w:vAlign w:val="center"/>
            <w:hideMark/>
          </w:tcPr>
          <w:p w14:paraId="4CFA726E" w14:textId="77777777" w:rsidR="00DD0636" w:rsidRPr="00B85111" w:rsidRDefault="00DD0636">
            <w:pPr>
              <w:pStyle w:val="tvhtml"/>
              <w:jc w:val="center"/>
            </w:pPr>
            <w:r w:rsidRPr="00B85111">
              <w:t>Rādītāji</w:t>
            </w:r>
          </w:p>
        </w:tc>
        <w:tc>
          <w:tcPr>
            <w:tcW w:w="12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F04CBA4" w14:textId="746696E3" w:rsidR="00DD0636" w:rsidRPr="00B85111" w:rsidRDefault="00DD0636">
            <w:pPr>
              <w:pStyle w:val="tvhtml"/>
              <w:jc w:val="center"/>
            </w:pPr>
            <w:r w:rsidRPr="00B85111">
              <w:t>20</w:t>
            </w:r>
            <w:r w:rsidR="00AE45F9">
              <w:t>20</w:t>
            </w:r>
            <w:r w:rsidRPr="00B85111">
              <w:t>.gads</w:t>
            </w:r>
          </w:p>
        </w:tc>
        <w:tc>
          <w:tcPr>
            <w:tcW w:w="3109" w:type="pct"/>
            <w:gridSpan w:val="5"/>
            <w:tcBorders>
              <w:top w:val="outset" w:sz="6" w:space="0" w:color="auto"/>
              <w:left w:val="outset" w:sz="6" w:space="0" w:color="auto"/>
              <w:bottom w:val="outset" w:sz="6" w:space="0" w:color="auto"/>
              <w:right w:val="outset" w:sz="6" w:space="0" w:color="auto"/>
            </w:tcBorders>
            <w:vAlign w:val="center"/>
            <w:hideMark/>
          </w:tcPr>
          <w:p w14:paraId="360518B6" w14:textId="77777777" w:rsidR="00DD0636" w:rsidRPr="00B85111" w:rsidRDefault="00DD0636">
            <w:pPr>
              <w:pStyle w:val="tvhtml"/>
              <w:jc w:val="center"/>
            </w:pPr>
            <w:r w:rsidRPr="00B85111">
              <w:t>Turpmākie trīs gadi (</w:t>
            </w:r>
            <w:r w:rsidRPr="00B85111">
              <w:rPr>
                <w:i/>
                <w:iCs/>
              </w:rPr>
              <w:t>euro</w:t>
            </w:r>
            <w:r w:rsidRPr="00B85111">
              <w:t>)</w:t>
            </w:r>
          </w:p>
        </w:tc>
      </w:tr>
      <w:tr w:rsidR="003707B8" w:rsidRPr="00EF09F1" w14:paraId="6829DB94" w14:textId="77777777" w:rsidTr="00313665">
        <w:trPr>
          <w:tblCellSpacing w:w="15" w:type="dxa"/>
        </w:trPr>
        <w:tc>
          <w:tcPr>
            <w:tcW w:w="526" w:type="pct"/>
            <w:vMerge/>
            <w:tcBorders>
              <w:top w:val="outset" w:sz="6" w:space="0" w:color="auto"/>
              <w:left w:val="outset" w:sz="6" w:space="0" w:color="auto"/>
              <w:bottom w:val="outset" w:sz="6" w:space="0" w:color="auto"/>
              <w:right w:val="outset" w:sz="6" w:space="0" w:color="auto"/>
            </w:tcBorders>
            <w:vAlign w:val="center"/>
            <w:hideMark/>
          </w:tcPr>
          <w:p w14:paraId="022DA2A5" w14:textId="77777777" w:rsidR="00DD0636" w:rsidRPr="00B85111" w:rsidRDefault="00DD0636">
            <w:pPr>
              <w:rPr>
                <w:rFonts w:ascii="Times New Roman" w:eastAsia="Times New Roman" w:hAnsi="Times New Roman" w:cs="Times New Roman"/>
                <w:sz w:val="24"/>
                <w:szCs w:val="24"/>
              </w:rPr>
            </w:pPr>
          </w:p>
        </w:tc>
        <w:tc>
          <w:tcPr>
            <w:tcW w:w="1297" w:type="pct"/>
            <w:gridSpan w:val="2"/>
            <w:vMerge/>
            <w:tcBorders>
              <w:top w:val="outset" w:sz="6" w:space="0" w:color="auto"/>
              <w:left w:val="outset" w:sz="6" w:space="0" w:color="auto"/>
              <w:bottom w:val="outset" w:sz="6" w:space="0" w:color="auto"/>
              <w:right w:val="outset" w:sz="6" w:space="0" w:color="auto"/>
            </w:tcBorders>
            <w:vAlign w:val="center"/>
            <w:hideMark/>
          </w:tcPr>
          <w:p w14:paraId="2BC54C84" w14:textId="77777777" w:rsidR="00DD0636" w:rsidRPr="00B85111" w:rsidRDefault="00DD0636">
            <w:pPr>
              <w:rPr>
                <w:rFonts w:ascii="Times New Roman" w:eastAsia="Times New Roman" w:hAnsi="Times New Roman" w:cs="Times New Roman"/>
                <w:sz w:val="24"/>
                <w:szCs w:val="24"/>
              </w:rPr>
            </w:pPr>
          </w:p>
        </w:tc>
        <w:tc>
          <w:tcPr>
            <w:tcW w:w="951" w:type="pct"/>
            <w:gridSpan w:val="2"/>
            <w:tcBorders>
              <w:top w:val="outset" w:sz="6" w:space="0" w:color="auto"/>
              <w:left w:val="outset" w:sz="6" w:space="0" w:color="auto"/>
              <w:bottom w:val="outset" w:sz="6" w:space="0" w:color="auto"/>
              <w:right w:val="outset" w:sz="6" w:space="0" w:color="auto"/>
            </w:tcBorders>
            <w:vAlign w:val="center"/>
            <w:hideMark/>
          </w:tcPr>
          <w:p w14:paraId="4B151CC0" w14:textId="16C66942" w:rsidR="00DD0636" w:rsidRPr="00B85111" w:rsidRDefault="00DD0636">
            <w:pPr>
              <w:pStyle w:val="tvhtml"/>
              <w:jc w:val="center"/>
            </w:pPr>
            <w:r w:rsidRPr="00B85111">
              <w:t>20</w:t>
            </w:r>
            <w:r w:rsidR="00AE45F9">
              <w:t>21</w:t>
            </w:r>
            <w:r w:rsidRPr="00B85111">
              <w:t>.</w:t>
            </w:r>
          </w:p>
        </w:tc>
        <w:tc>
          <w:tcPr>
            <w:tcW w:w="1201" w:type="pct"/>
            <w:gridSpan w:val="2"/>
            <w:tcBorders>
              <w:top w:val="outset" w:sz="6" w:space="0" w:color="auto"/>
              <w:left w:val="outset" w:sz="6" w:space="0" w:color="auto"/>
              <w:bottom w:val="outset" w:sz="6" w:space="0" w:color="auto"/>
              <w:right w:val="outset" w:sz="6" w:space="0" w:color="auto"/>
            </w:tcBorders>
            <w:vAlign w:val="center"/>
            <w:hideMark/>
          </w:tcPr>
          <w:p w14:paraId="03FCD675" w14:textId="01BCC34D" w:rsidR="00DD0636" w:rsidRPr="00B85111" w:rsidRDefault="00DD0636">
            <w:pPr>
              <w:pStyle w:val="tvhtml"/>
              <w:jc w:val="center"/>
            </w:pPr>
            <w:r w:rsidRPr="00B85111">
              <w:t>202</w:t>
            </w:r>
            <w:r w:rsidR="00AE45F9">
              <w:t>2</w:t>
            </w:r>
            <w:r w:rsidRPr="00B85111">
              <w:t>.</w:t>
            </w:r>
          </w:p>
        </w:tc>
        <w:tc>
          <w:tcPr>
            <w:tcW w:w="923" w:type="pct"/>
            <w:tcBorders>
              <w:top w:val="outset" w:sz="6" w:space="0" w:color="auto"/>
              <w:left w:val="outset" w:sz="6" w:space="0" w:color="auto"/>
              <w:bottom w:val="outset" w:sz="6" w:space="0" w:color="auto"/>
              <w:right w:val="outset" w:sz="6" w:space="0" w:color="auto"/>
            </w:tcBorders>
            <w:vAlign w:val="center"/>
            <w:hideMark/>
          </w:tcPr>
          <w:p w14:paraId="15BBFEC7" w14:textId="407A04B9" w:rsidR="00DD0636" w:rsidRPr="00B85111" w:rsidRDefault="00DD0636">
            <w:pPr>
              <w:pStyle w:val="tvhtml"/>
              <w:jc w:val="center"/>
            </w:pPr>
            <w:r w:rsidRPr="00B85111">
              <w:t>202</w:t>
            </w:r>
            <w:r w:rsidR="00AE45F9">
              <w:t>3</w:t>
            </w:r>
            <w:r w:rsidRPr="00B85111">
              <w:t>.</w:t>
            </w:r>
          </w:p>
        </w:tc>
      </w:tr>
      <w:tr w:rsidR="005357D8" w:rsidRPr="00EF09F1" w14:paraId="692602EA" w14:textId="77777777" w:rsidTr="00313665">
        <w:trPr>
          <w:tblCellSpacing w:w="15" w:type="dxa"/>
        </w:trPr>
        <w:tc>
          <w:tcPr>
            <w:tcW w:w="526" w:type="pct"/>
            <w:vMerge/>
            <w:tcBorders>
              <w:top w:val="outset" w:sz="6" w:space="0" w:color="auto"/>
              <w:left w:val="outset" w:sz="6" w:space="0" w:color="auto"/>
              <w:bottom w:val="outset" w:sz="6" w:space="0" w:color="auto"/>
              <w:right w:val="outset" w:sz="6" w:space="0" w:color="auto"/>
            </w:tcBorders>
            <w:vAlign w:val="center"/>
            <w:hideMark/>
          </w:tcPr>
          <w:p w14:paraId="28D99AF4" w14:textId="77777777" w:rsidR="00DD0636" w:rsidRPr="00B85111" w:rsidRDefault="00DD0636">
            <w:pPr>
              <w:rPr>
                <w:rFonts w:ascii="Times New Roman" w:eastAsia="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F1A427B" w14:textId="77777777" w:rsidR="00DD0636" w:rsidRPr="00B85111" w:rsidRDefault="00DD0636">
            <w:pPr>
              <w:pStyle w:val="tvhtml"/>
              <w:jc w:val="center"/>
            </w:pPr>
            <w:r w:rsidRPr="00B85111">
              <w:t>saskaņā ar valsts budžetu kārtējam gadam</w:t>
            </w:r>
          </w:p>
        </w:tc>
        <w:tc>
          <w:tcPr>
            <w:tcW w:w="716" w:type="pct"/>
            <w:tcBorders>
              <w:top w:val="outset" w:sz="6" w:space="0" w:color="auto"/>
              <w:left w:val="outset" w:sz="6" w:space="0" w:color="auto"/>
              <w:bottom w:val="outset" w:sz="6" w:space="0" w:color="auto"/>
              <w:right w:val="outset" w:sz="6" w:space="0" w:color="auto"/>
            </w:tcBorders>
            <w:vAlign w:val="center"/>
            <w:hideMark/>
          </w:tcPr>
          <w:p w14:paraId="6D75393B" w14:textId="77777777" w:rsidR="00DD0636" w:rsidRPr="00B85111" w:rsidRDefault="00DD0636">
            <w:pPr>
              <w:pStyle w:val="tvhtml"/>
              <w:jc w:val="center"/>
            </w:pPr>
            <w:r w:rsidRPr="00B85111">
              <w:t>izmaiņas kārtējā gadā, salīdzinot ar valsts budžetu kārtējam gadam</w:t>
            </w:r>
          </w:p>
        </w:tc>
        <w:tc>
          <w:tcPr>
            <w:tcW w:w="298" w:type="pct"/>
            <w:tcBorders>
              <w:top w:val="outset" w:sz="6" w:space="0" w:color="auto"/>
              <w:left w:val="outset" w:sz="6" w:space="0" w:color="auto"/>
              <w:bottom w:val="outset" w:sz="6" w:space="0" w:color="auto"/>
              <w:right w:val="outset" w:sz="6" w:space="0" w:color="auto"/>
            </w:tcBorders>
            <w:vAlign w:val="center"/>
            <w:hideMark/>
          </w:tcPr>
          <w:p w14:paraId="45217063" w14:textId="77777777" w:rsidR="00DD0636" w:rsidRPr="00B85111" w:rsidRDefault="00DD0636">
            <w:pPr>
              <w:pStyle w:val="tvhtml"/>
              <w:jc w:val="center"/>
            </w:pPr>
            <w:r w:rsidRPr="00B85111">
              <w:t>saskaņā ar vidēja termiņa budžeta ietvaru</w:t>
            </w:r>
          </w:p>
        </w:tc>
        <w:tc>
          <w:tcPr>
            <w:tcW w:w="637" w:type="pct"/>
            <w:tcBorders>
              <w:top w:val="outset" w:sz="6" w:space="0" w:color="auto"/>
              <w:left w:val="outset" w:sz="6" w:space="0" w:color="auto"/>
              <w:bottom w:val="outset" w:sz="6" w:space="0" w:color="auto"/>
              <w:right w:val="outset" w:sz="6" w:space="0" w:color="auto"/>
            </w:tcBorders>
            <w:vAlign w:val="center"/>
            <w:hideMark/>
          </w:tcPr>
          <w:p w14:paraId="2EE16BCB" w14:textId="60F594A8" w:rsidR="00DD0636" w:rsidRPr="00B85111" w:rsidRDefault="00DD0636">
            <w:pPr>
              <w:pStyle w:val="tvhtml"/>
              <w:jc w:val="center"/>
            </w:pPr>
            <w:r w:rsidRPr="00B85111">
              <w:t xml:space="preserve">izmaiņas, salīdzinot ar vidēja termiņa budžeta ietvaru </w:t>
            </w:r>
            <w:r w:rsidR="00765341">
              <w:t>202</w:t>
            </w:r>
            <w:r w:rsidR="00AE45F9">
              <w:t>1</w:t>
            </w:r>
            <w:r w:rsidR="00765341">
              <w:t>.</w:t>
            </w:r>
            <w:r w:rsidRPr="00B85111">
              <w:t>gadam</w:t>
            </w:r>
          </w:p>
        </w:tc>
        <w:tc>
          <w:tcPr>
            <w:tcW w:w="305" w:type="pct"/>
            <w:tcBorders>
              <w:top w:val="outset" w:sz="6" w:space="0" w:color="auto"/>
              <w:left w:val="outset" w:sz="6" w:space="0" w:color="auto"/>
              <w:bottom w:val="outset" w:sz="6" w:space="0" w:color="auto"/>
              <w:right w:val="outset" w:sz="6" w:space="0" w:color="auto"/>
            </w:tcBorders>
            <w:vAlign w:val="center"/>
            <w:hideMark/>
          </w:tcPr>
          <w:p w14:paraId="18F11ED1" w14:textId="77777777" w:rsidR="00DD0636" w:rsidRPr="00B85111" w:rsidRDefault="00DD0636">
            <w:pPr>
              <w:pStyle w:val="tvhtml"/>
              <w:jc w:val="center"/>
            </w:pPr>
            <w:r w:rsidRPr="00B85111">
              <w:t>saskaņā ar vidēja termiņa budžeta ietvaru</w:t>
            </w:r>
          </w:p>
        </w:tc>
        <w:tc>
          <w:tcPr>
            <w:tcW w:w="879" w:type="pct"/>
            <w:tcBorders>
              <w:top w:val="outset" w:sz="6" w:space="0" w:color="auto"/>
              <w:left w:val="outset" w:sz="6" w:space="0" w:color="auto"/>
              <w:bottom w:val="outset" w:sz="6" w:space="0" w:color="auto"/>
              <w:right w:val="outset" w:sz="6" w:space="0" w:color="auto"/>
            </w:tcBorders>
            <w:vAlign w:val="center"/>
            <w:hideMark/>
          </w:tcPr>
          <w:p w14:paraId="75380A1F" w14:textId="7C24EE92" w:rsidR="00DD0636" w:rsidRPr="00B85111" w:rsidRDefault="00DD0636">
            <w:pPr>
              <w:pStyle w:val="tvhtml"/>
              <w:jc w:val="center"/>
            </w:pPr>
            <w:r w:rsidRPr="00B85111">
              <w:t xml:space="preserve">izmaiņas, salīdzinot ar vidēja termiņa budžeta ietvaru </w:t>
            </w:r>
            <w:r w:rsidR="00765341">
              <w:t>202</w:t>
            </w:r>
            <w:r w:rsidR="00AE45F9">
              <w:t>2</w:t>
            </w:r>
            <w:r w:rsidR="00765341">
              <w:t>.</w:t>
            </w:r>
            <w:r w:rsidRPr="00B85111">
              <w:t>gadam</w:t>
            </w:r>
          </w:p>
        </w:tc>
        <w:tc>
          <w:tcPr>
            <w:tcW w:w="923" w:type="pct"/>
            <w:tcBorders>
              <w:top w:val="outset" w:sz="6" w:space="0" w:color="auto"/>
              <w:left w:val="outset" w:sz="6" w:space="0" w:color="auto"/>
              <w:bottom w:val="outset" w:sz="6" w:space="0" w:color="auto"/>
              <w:right w:val="outset" w:sz="6" w:space="0" w:color="auto"/>
            </w:tcBorders>
            <w:vAlign w:val="center"/>
            <w:hideMark/>
          </w:tcPr>
          <w:p w14:paraId="01E92B12" w14:textId="7304F575" w:rsidR="00DD0636" w:rsidRPr="00B85111" w:rsidRDefault="00DD0636">
            <w:pPr>
              <w:pStyle w:val="tvhtml"/>
              <w:jc w:val="center"/>
            </w:pPr>
            <w:r w:rsidRPr="00B85111">
              <w:t xml:space="preserve">izmaiņas, salīdzinot ar vidēja termiņa budžeta ietvaru </w:t>
            </w:r>
            <w:r w:rsidR="00765341">
              <w:t>202</w:t>
            </w:r>
            <w:r w:rsidR="00AE45F9">
              <w:t>2</w:t>
            </w:r>
            <w:r w:rsidR="00765341">
              <w:t>.</w:t>
            </w:r>
            <w:r w:rsidRPr="00B85111">
              <w:t xml:space="preserve"> gadam</w:t>
            </w:r>
          </w:p>
        </w:tc>
      </w:tr>
      <w:tr w:rsidR="005357D8" w:rsidRPr="00EF09F1" w14:paraId="0E9729DD"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vAlign w:val="center"/>
            <w:hideMark/>
          </w:tcPr>
          <w:p w14:paraId="724ABFBF" w14:textId="77777777" w:rsidR="00DD0636" w:rsidRPr="00B85111" w:rsidRDefault="00DD0636">
            <w:pPr>
              <w:pStyle w:val="tvhtml"/>
              <w:jc w:val="center"/>
            </w:pPr>
            <w:r w:rsidRPr="00B85111">
              <w:t>1</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AAF314" w14:textId="77777777" w:rsidR="00DD0636" w:rsidRPr="00B85111" w:rsidRDefault="00DD0636">
            <w:pPr>
              <w:pStyle w:val="tvhtml"/>
              <w:jc w:val="center"/>
            </w:pPr>
            <w:r w:rsidRPr="00B85111">
              <w:t>2</w:t>
            </w:r>
          </w:p>
        </w:tc>
        <w:tc>
          <w:tcPr>
            <w:tcW w:w="716" w:type="pct"/>
            <w:tcBorders>
              <w:top w:val="outset" w:sz="6" w:space="0" w:color="auto"/>
              <w:left w:val="outset" w:sz="6" w:space="0" w:color="auto"/>
              <w:bottom w:val="outset" w:sz="6" w:space="0" w:color="auto"/>
              <w:right w:val="outset" w:sz="6" w:space="0" w:color="auto"/>
            </w:tcBorders>
            <w:vAlign w:val="center"/>
            <w:hideMark/>
          </w:tcPr>
          <w:p w14:paraId="113C274D" w14:textId="77777777" w:rsidR="00DD0636" w:rsidRPr="00B85111" w:rsidRDefault="00DD0636">
            <w:pPr>
              <w:pStyle w:val="tvhtml"/>
              <w:jc w:val="center"/>
            </w:pPr>
            <w:r w:rsidRPr="00B85111">
              <w:t>3</w:t>
            </w:r>
          </w:p>
        </w:tc>
        <w:tc>
          <w:tcPr>
            <w:tcW w:w="298" w:type="pct"/>
            <w:tcBorders>
              <w:top w:val="outset" w:sz="6" w:space="0" w:color="auto"/>
              <w:left w:val="outset" w:sz="6" w:space="0" w:color="auto"/>
              <w:bottom w:val="outset" w:sz="6" w:space="0" w:color="auto"/>
              <w:right w:val="outset" w:sz="6" w:space="0" w:color="auto"/>
            </w:tcBorders>
            <w:vAlign w:val="center"/>
            <w:hideMark/>
          </w:tcPr>
          <w:p w14:paraId="4BBC7111" w14:textId="77777777" w:rsidR="00DD0636" w:rsidRPr="00B85111" w:rsidRDefault="00DD0636">
            <w:pPr>
              <w:pStyle w:val="tvhtml"/>
              <w:jc w:val="center"/>
            </w:pPr>
            <w:r w:rsidRPr="00B85111">
              <w:t>4</w:t>
            </w:r>
          </w:p>
        </w:tc>
        <w:tc>
          <w:tcPr>
            <w:tcW w:w="637" w:type="pct"/>
            <w:tcBorders>
              <w:top w:val="outset" w:sz="6" w:space="0" w:color="auto"/>
              <w:left w:val="outset" w:sz="6" w:space="0" w:color="auto"/>
              <w:bottom w:val="outset" w:sz="6" w:space="0" w:color="auto"/>
              <w:right w:val="outset" w:sz="6" w:space="0" w:color="auto"/>
            </w:tcBorders>
            <w:vAlign w:val="center"/>
            <w:hideMark/>
          </w:tcPr>
          <w:p w14:paraId="174A6694" w14:textId="77777777" w:rsidR="00DD0636" w:rsidRPr="00B85111" w:rsidRDefault="00DD0636">
            <w:pPr>
              <w:pStyle w:val="tvhtml"/>
              <w:jc w:val="center"/>
            </w:pPr>
            <w:r w:rsidRPr="00B85111">
              <w:t>5</w:t>
            </w:r>
          </w:p>
        </w:tc>
        <w:tc>
          <w:tcPr>
            <w:tcW w:w="305" w:type="pct"/>
            <w:tcBorders>
              <w:top w:val="outset" w:sz="6" w:space="0" w:color="auto"/>
              <w:left w:val="outset" w:sz="6" w:space="0" w:color="auto"/>
              <w:bottom w:val="outset" w:sz="6" w:space="0" w:color="auto"/>
              <w:right w:val="outset" w:sz="6" w:space="0" w:color="auto"/>
            </w:tcBorders>
            <w:vAlign w:val="center"/>
            <w:hideMark/>
          </w:tcPr>
          <w:p w14:paraId="1C4E0798" w14:textId="77777777" w:rsidR="00DD0636" w:rsidRPr="00B85111" w:rsidRDefault="00DD0636">
            <w:pPr>
              <w:pStyle w:val="tvhtml"/>
              <w:jc w:val="center"/>
            </w:pPr>
            <w:r w:rsidRPr="00B85111">
              <w:t>6</w:t>
            </w:r>
          </w:p>
        </w:tc>
        <w:tc>
          <w:tcPr>
            <w:tcW w:w="879" w:type="pct"/>
            <w:tcBorders>
              <w:top w:val="outset" w:sz="6" w:space="0" w:color="auto"/>
              <w:left w:val="outset" w:sz="6" w:space="0" w:color="auto"/>
              <w:bottom w:val="outset" w:sz="6" w:space="0" w:color="auto"/>
              <w:right w:val="outset" w:sz="6" w:space="0" w:color="auto"/>
            </w:tcBorders>
            <w:vAlign w:val="center"/>
            <w:hideMark/>
          </w:tcPr>
          <w:p w14:paraId="78862529" w14:textId="77777777" w:rsidR="00DD0636" w:rsidRPr="00B85111" w:rsidRDefault="00DD0636">
            <w:pPr>
              <w:pStyle w:val="tvhtml"/>
              <w:jc w:val="center"/>
            </w:pPr>
            <w:r w:rsidRPr="00B85111">
              <w:t>7</w:t>
            </w:r>
          </w:p>
        </w:tc>
        <w:tc>
          <w:tcPr>
            <w:tcW w:w="923" w:type="pct"/>
            <w:tcBorders>
              <w:top w:val="outset" w:sz="6" w:space="0" w:color="auto"/>
              <w:left w:val="outset" w:sz="6" w:space="0" w:color="auto"/>
              <w:bottom w:val="outset" w:sz="6" w:space="0" w:color="auto"/>
              <w:right w:val="outset" w:sz="6" w:space="0" w:color="auto"/>
            </w:tcBorders>
            <w:vAlign w:val="center"/>
            <w:hideMark/>
          </w:tcPr>
          <w:p w14:paraId="4D4C9905" w14:textId="77777777" w:rsidR="00DD0636" w:rsidRPr="00B85111" w:rsidRDefault="00DD0636">
            <w:pPr>
              <w:pStyle w:val="tvhtml"/>
              <w:jc w:val="center"/>
            </w:pPr>
            <w:r w:rsidRPr="00B85111">
              <w:t>8</w:t>
            </w:r>
          </w:p>
        </w:tc>
      </w:tr>
      <w:tr w:rsidR="005357D8" w:rsidRPr="00EF09F1" w14:paraId="01E8BE49"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82DBCFB" w14:textId="77777777" w:rsidR="00B063C0" w:rsidRPr="00B85111" w:rsidRDefault="00B063C0" w:rsidP="00B063C0">
            <w:pPr>
              <w:rPr>
                <w:rFonts w:ascii="Times New Roman" w:hAnsi="Times New Roman" w:cs="Times New Roman"/>
                <w:sz w:val="24"/>
                <w:szCs w:val="24"/>
              </w:rPr>
            </w:pPr>
            <w:r w:rsidRPr="00B85111">
              <w:rPr>
                <w:rFonts w:ascii="Times New Roman" w:hAnsi="Times New Roman" w:cs="Times New Roman"/>
                <w:sz w:val="24"/>
                <w:szCs w:val="24"/>
              </w:rPr>
              <w:lastRenderedPageBreak/>
              <w:t>1. Budžeta ieņēmumi</w:t>
            </w:r>
          </w:p>
        </w:tc>
        <w:tc>
          <w:tcPr>
            <w:tcW w:w="565" w:type="pct"/>
            <w:tcBorders>
              <w:top w:val="outset" w:sz="6" w:space="0" w:color="auto"/>
              <w:left w:val="outset" w:sz="6" w:space="0" w:color="auto"/>
              <w:bottom w:val="outset" w:sz="6" w:space="0" w:color="auto"/>
              <w:right w:val="outset" w:sz="6" w:space="0" w:color="auto"/>
            </w:tcBorders>
            <w:vAlign w:val="center"/>
          </w:tcPr>
          <w:p w14:paraId="6DB7BDC6" w14:textId="5827EC98" w:rsidR="00B063C0" w:rsidRPr="005357D8" w:rsidRDefault="0014787A" w:rsidP="00B063C0">
            <w:pPr>
              <w:jc w:val="right"/>
              <w:rPr>
                <w:rFonts w:ascii="Times New Roman" w:hAnsi="Times New Roman" w:cs="Times New Roman"/>
              </w:rPr>
            </w:pPr>
            <w:r w:rsidRPr="0014787A">
              <w:rPr>
                <w:rFonts w:ascii="Times New Roman" w:hAnsi="Times New Roman" w:cs="Times New Roman"/>
              </w:rPr>
              <w:t>3 970 420</w:t>
            </w:r>
          </w:p>
        </w:tc>
        <w:tc>
          <w:tcPr>
            <w:tcW w:w="716" w:type="pct"/>
            <w:tcBorders>
              <w:top w:val="outset" w:sz="6" w:space="0" w:color="auto"/>
              <w:left w:val="outset" w:sz="6" w:space="0" w:color="auto"/>
              <w:bottom w:val="outset" w:sz="6" w:space="0" w:color="auto"/>
              <w:right w:val="outset" w:sz="6" w:space="0" w:color="auto"/>
            </w:tcBorders>
            <w:vAlign w:val="center"/>
            <w:hideMark/>
          </w:tcPr>
          <w:p w14:paraId="3CF857E8"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298" w:type="pct"/>
            <w:tcBorders>
              <w:top w:val="outset" w:sz="6" w:space="0" w:color="auto"/>
              <w:left w:val="outset" w:sz="6" w:space="0" w:color="auto"/>
              <w:bottom w:val="outset" w:sz="6" w:space="0" w:color="auto"/>
              <w:right w:val="outset" w:sz="6" w:space="0" w:color="auto"/>
            </w:tcBorders>
            <w:vAlign w:val="center"/>
            <w:hideMark/>
          </w:tcPr>
          <w:p w14:paraId="1E51263E"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2A34CC8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305" w:type="pct"/>
            <w:tcBorders>
              <w:top w:val="outset" w:sz="6" w:space="0" w:color="auto"/>
              <w:left w:val="outset" w:sz="6" w:space="0" w:color="auto"/>
              <w:bottom w:val="outset" w:sz="6" w:space="0" w:color="auto"/>
              <w:right w:val="outset" w:sz="6" w:space="0" w:color="auto"/>
            </w:tcBorders>
            <w:vAlign w:val="center"/>
            <w:hideMark/>
          </w:tcPr>
          <w:p w14:paraId="46970CC4"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2BD19E1C"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0 </w:t>
            </w:r>
          </w:p>
        </w:tc>
        <w:tc>
          <w:tcPr>
            <w:tcW w:w="923" w:type="pct"/>
            <w:tcBorders>
              <w:top w:val="outset" w:sz="6" w:space="0" w:color="auto"/>
              <w:left w:val="outset" w:sz="6" w:space="0" w:color="auto"/>
              <w:bottom w:val="outset" w:sz="6" w:space="0" w:color="auto"/>
              <w:right w:val="outset" w:sz="6" w:space="0" w:color="auto"/>
            </w:tcBorders>
            <w:vAlign w:val="center"/>
            <w:hideMark/>
          </w:tcPr>
          <w:p w14:paraId="23AB690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r>
      <w:tr w:rsidR="005357D8" w:rsidRPr="00EF09F1" w14:paraId="4BCC5D7D"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8D8A559" w14:textId="77777777" w:rsidR="0078118D" w:rsidRPr="00B85111" w:rsidRDefault="0078118D" w:rsidP="0078118D">
            <w:pPr>
              <w:rPr>
                <w:rFonts w:ascii="Times New Roman" w:hAnsi="Times New Roman" w:cs="Times New Roman"/>
                <w:sz w:val="24"/>
                <w:szCs w:val="24"/>
              </w:rPr>
            </w:pPr>
            <w:r w:rsidRPr="00B85111">
              <w:rPr>
                <w:rFonts w:ascii="Times New Roman" w:hAnsi="Times New Roman" w:cs="Times New Roman"/>
                <w:sz w:val="24"/>
                <w:szCs w:val="24"/>
              </w:rPr>
              <w:t>1.1. valsts pamatbudžets, tai skaitā ieņēmumi no maksas pakalpojumiem un citi pašu ieņēmumi</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4C3555" w14:textId="557A0DFC" w:rsidR="0078118D" w:rsidRPr="005357D8" w:rsidRDefault="00C1488C" w:rsidP="0078118D">
            <w:pPr>
              <w:jc w:val="right"/>
              <w:rPr>
                <w:rFonts w:ascii="Times New Roman" w:hAnsi="Times New Roman" w:cs="Times New Roman"/>
              </w:rPr>
            </w:pPr>
            <w:r w:rsidRPr="00C1488C">
              <w:rPr>
                <w:rFonts w:ascii="Times New Roman" w:hAnsi="Times New Roman" w:cs="Times New Roman"/>
              </w:rPr>
              <w:t>3 970 420</w:t>
            </w:r>
          </w:p>
        </w:tc>
        <w:tc>
          <w:tcPr>
            <w:tcW w:w="716" w:type="pct"/>
            <w:tcBorders>
              <w:top w:val="outset" w:sz="6" w:space="0" w:color="auto"/>
              <w:left w:val="outset" w:sz="6" w:space="0" w:color="auto"/>
              <w:bottom w:val="outset" w:sz="6" w:space="0" w:color="auto"/>
              <w:right w:val="outset" w:sz="6" w:space="0" w:color="auto"/>
            </w:tcBorders>
            <w:vAlign w:val="center"/>
            <w:hideMark/>
          </w:tcPr>
          <w:p w14:paraId="28A6BADF"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c>
          <w:tcPr>
            <w:tcW w:w="298" w:type="pct"/>
            <w:tcBorders>
              <w:top w:val="outset" w:sz="6" w:space="0" w:color="auto"/>
              <w:left w:val="outset" w:sz="6" w:space="0" w:color="auto"/>
              <w:bottom w:val="outset" w:sz="6" w:space="0" w:color="auto"/>
              <w:right w:val="outset" w:sz="6" w:space="0" w:color="auto"/>
            </w:tcBorders>
            <w:vAlign w:val="center"/>
            <w:hideMark/>
          </w:tcPr>
          <w:p w14:paraId="1F5BD14F"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20798471"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70DA9420"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0C718EDB" w14:textId="77777777" w:rsidR="0078118D" w:rsidRPr="005357D8" w:rsidRDefault="00CB4BDD" w:rsidP="007B492D">
            <w:pPr>
              <w:jc w:val="right"/>
              <w:rPr>
                <w:rFonts w:ascii="Times New Roman" w:hAnsi="Times New Roman" w:cs="Times New Roman"/>
              </w:rPr>
            </w:pPr>
            <w:r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7B822B84"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r>
      <w:tr w:rsidR="005357D8" w:rsidRPr="00EF09F1" w14:paraId="5A85B37F"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2713A42D" w14:textId="77777777" w:rsidR="00DD0636" w:rsidRPr="00B85111" w:rsidRDefault="00DD0636">
            <w:pPr>
              <w:rPr>
                <w:rFonts w:ascii="Times New Roman" w:hAnsi="Times New Roman" w:cs="Times New Roman"/>
                <w:sz w:val="24"/>
                <w:szCs w:val="24"/>
              </w:rPr>
            </w:pPr>
            <w:r w:rsidRPr="00B85111">
              <w:rPr>
                <w:rFonts w:ascii="Times New Roman" w:hAnsi="Times New Roman" w:cs="Times New Roman"/>
                <w:sz w:val="24"/>
                <w:szCs w:val="24"/>
              </w:rPr>
              <w:t>1.2. valsts speciālais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8E2A17"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63F182BB"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298" w:type="pct"/>
            <w:tcBorders>
              <w:top w:val="outset" w:sz="6" w:space="0" w:color="auto"/>
              <w:left w:val="outset" w:sz="6" w:space="0" w:color="auto"/>
              <w:bottom w:val="outset" w:sz="6" w:space="0" w:color="auto"/>
              <w:right w:val="outset" w:sz="6" w:space="0" w:color="auto"/>
            </w:tcBorders>
            <w:vAlign w:val="center"/>
            <w:hideMark/>
          </w:tcPr>
          <w:p w14:paraId="4331199F"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4DB0D2DC"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1396238E"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01DECC11"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5B47549B"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r>
      <w:tr w:rsidR="005357D8" w:rsidRPr="00EF09F1" w14:paraId="2B0EC4FD"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6440346" w14:textId="77777777" w:rsidR="00DD0636" w:rsidRPr="00B85111" w:rsidRDefault="00DD0636">
            <w:pPr>
              <w:rPr>
                <w:rFonts w:ascii="Times New Roman" w:hAnsi="Times New Roman" w:cs="Times New Roman"/>
                <w:sz w:val="24"/>
                <w:szCs w:val="24"/>
              </w:rPr>
            </w:pPr>
            <w:r w:rsidRPr="00B85111">
              <w:rPr>
                <w:rFonts w:ascii="Times New Roman" w:hAnsi="Times New Roman" w:cs="Times New Roman"/>
                <w:sz w:val="24"/>
                <w:szCs w:val="24"/>
              </w:rPr>
              <w:t>1.3. pašvaldību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3E831A"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1B383ACA"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298" w:type="pct"/>
            <w:tcBorders>
              <w:top w:val="outset" w:sz="6" w:space="0" w:color="auto"/>
              <w:left w:val="outset" w:sz="6" w:space="0" w:color="auto"/>
              <w:bottom w:val="outset" w:sz="6" w:space="0" w:color="auto"/>
              <w:right w:val="outset" w:sz="6" w:space="0" w:color="auto"/>
            </w:tcBorders>
            <w:vAlign w:val="center"/>
            <w:hideMark/>
          </w:tcPr>
          <w:p w14:paraId="57340FA7"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3496352"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305" w:type="pct"/>
            <w:tcBorders>
              <w:top w:val="outset" w:sz="6" w:space="0" w:color="auto"/>
              <w:left w:val="outset" w:sz="6" w:space="0" w:color="auto"/>
              <w:bottom w:val="outset" w:sz="6" w:space="0" w:color="auto"/>
              <w:right w:val="outset" w:sz="6" w:space="0" w:color="auto"/>
            </w:tcBorders>
            <w:vAlign w:val="center"/>
            <w:hideMark/>
          </w:tcPr>
          <w:p w14:paraId="3173F89D"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49155EE0"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53E59EED"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r>
      <w:tr w:rsidR="005357D8" w:rsidRPr="00EF09F1" w14:paraId="017AB2A9"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70A7DE0C" w14:textId="77777777" w:rsidR="00B063C0" w:rsidRPr="00B85111" w:rsidRDefault="00B063C0" w:rsidP="00B063C0">
            <w:pPr>
              <w:rPr>
                <w:rFonts w:ascii="Times New Roman" w:hAnsi="Times New Roman" w:cs="Times New Roman"/>
                <w:sz w:val="24"/>
                <w:szCs w:val="24"/>
              </w:rPr>
            </w:pPr>
            <w:r w:rsidRPr="00B85111">
              <w:rPr>
                <w:rFonts w:ascii="Times New Roman" w:hAnsi="Times New Roman" w:cs="Times New Roman"/>
                <w:sz w:val="24"/>
                <w:szCs w:val="24"/>
              </w:rPr>
              <w:t>2. Budžeta izdevumi</w:t>
            </w:r>
          </w:p>
        </w:tc>
        <w:tc>
          <w:tcPr>
            <w:tcW w:w="565" w:type="pct"/>
            <w:tcBorders>
              <w:top w:val="outset" w:sz="6" w:space="0" w:color="auto"/>
              <w:left w:val="outset" w:sz="6" w:space="0" w:color="auto"/>
              <w:bottom w:val="outset" w:sz="6" w:space="0" w:color="auto"/>
              <w:right w:val="outset" w:sz="6" w:space="0" w:color="auto"/>
            </w:tcBorders>
            <w:vAlign w:val="center"/>
          </w:tcPr>
          <w:p w14:paraId="72FE5EC7" w14:textId="730EEB2F" w:rsidR="00B063C0" w:rsidRPr="005357D8" w:rsidRDefault="0014787A" w:rsidP="00B063C0">
            <w:pPr>
              <w:jc w:val="right"/>
              <w:rPr>
                <w:rFonts w:ascii="Times New Roman" w:hAnsi="Times New Roman" w:cs="Times New Roman"/>
              </w:rPr>
            </w:pPr>
            <w:r w:rsidRPr="0014787A">
              <w:rPr>
                <w:rFonts w:ascii="Times New Roman" w:hAnsi="Times New Roman" w:cs="Times New Roman"/>
              </w:rPr>
              <w:t>3 970 420</w:t>
            </w:r>
          </w:p>
        </w:tc>
        <w:tc>
          <w:tcPr>
            <w:tcW w:w="716" w:type="pct"/>
            <w:tcBorders>
              <w:top w:val="outset" w:sz="6" w:space="0" w:color="auto"/>
              <w:left w:val="outset" w:sz="6" w:space="0" w:color="auto"/>
              <w:bottom w:val="outset" w:sz="6" w:space="0" w:color="auto"/>
              <w:right w:val="outset" w:sz="6" w:space="0" w:color="auto"/>
            </w:tcBorders>
            <w:vAlign w:val="center"/>
            <w:hideMark/>
          </w:tcPr>
          <w:p w14:paraId="2386F234" w14:textId="631F9471" w:rsidR="00B063C0" w:rsidRPr="005357D8" w:rsidRDefault="0062776A" w:rsidP="00B063C0">
            <w:pPr>
              <w:jc w:val="right"/>
              <w:rPr>
                <w:rFonts w:ascii="Times New Roman" w:hAnsi="Times New Roman" w:cs="Times New Roman"/>
              </w:rPr>
            </w:pPr>
            <w:r w:rsidRPr="005344EB">
              <w:rPr>
                <w:rFonts w:ascii="Times New Roman" w:hAnsi="Times New Roman" w:cs="Times New Roman"/>
              </w:rPr>
              <w:t>122 458</w:t>
            </w:r>
          </w:p>
        </w:tc>
        <w:tc>
          <w:tcPr>
            <w:tcW w:w="298" w:type="pct"/>
            <w:tcBorders>
              <w:top w:val="outset" w:sz="6" w:space="0" w:color="auto"/>
              <w:left w:val="outset" w:sz="6" w:space="0" w:color="auto"/>
              <w:bottom w:val="outset" w:sz="6" w:space="0" w:color="auto"/>
              <w:right w:val="outset" w:sz="6" w:space="0" w:color="auto"/>
            </w:tcBorders>
            <w:vAlign w:val="center"/>
            <w:hideMark/>
          </w:tcPr>
          <w:p w14:paraId="0B067CC0"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12EC8CA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17DC66F1" w14:textId="77777777" w:rsidR="00B063C0" w:rsidRPr="005357D8" w:rsidRDefault="00B063C0" w:rsidP="00B063C0">
            <w:pPr>
              <w:jc w:val="right"/>
              <w:rPr>
                <w:rFonts w:ascii="Times New Roman" w:hAnsi="Times New Roman" w:cs="Times New Roman"/>
                <w:b/>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7D65EC9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923" w:type="pct"/>
            <w:tcBorders>
              <w:top w:val="outset" w:sz="6" w:space="0" w:color="auto"/>
              <w:left w:val="outset" w:sz="6" w:space="0" w:color="auto"/>
              <w:bottom w:val="outset" w:sz="6" w:space="0" w:color="auto"/>
              <w:right w:val="outset" w:sz="6" w:space="0" w:color="auto"/>
            </w:tcBorders>
            <w:vAlign w:val="center"/>
            <w:hideMark/>
          </w:tcPr>
          <w:p w14:paraId="4A3229CE"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r>
      <w:tr w:rsidR="005357D8" w:rsidRPr="00EF09F1" w14:paraId="66265AAD"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B24A34F" w14:textId="77777777" w:rsidR="0078118D" w:rsidRPr="00B85111" w:rsidRDefault="0078118D" w:rsidP="0078118D">
            <w:pPr>
              <w:rPr>
                <w:rFonts w:ascii="Times New Roman" w:hAnsi="Times New Roman" w:cs="Times New Roman"/>
                <w:sz w:val="24"/>
                <w:szCs w:val="24"/>
              </w:rPr>
            </w:pPr>
            <w:r w:rsidRPr="00B85111">
              <w:rPr>
                <w:rFonts w:ascii="Times New Roman" w:hAnsi="Times New Roman" w:cs="Times New Roman"/>
                <w:sz w:val="24"/>
                <w:szCs w:val="24"/>
              </w:rPr>
              <w:t>2.1. valsts pamatbudžets</w:t>
            </w:r>
          </w:p>
        </w:tc>
        <w:tc>
          <w:tcPr>
            <w:tcW w:w="565" w:type="pct"/>
            <w:tcBorders>
              <w:top w:val="outset" w:sz="6" w:space="0" w:color="auto"/>
              <w:left w:val="outset" w:sz="6" w:space="0" w:color="auto"/>
              <w:bottom w:val="outset" w:sz="6" w:space="0" w:color="auto"/>
              <w:right w:val="outset" w:sz="6" w:space="0" w:color="auto"/>
            </w:tcBorders>
            <w:vAlign w:val="center"/>
          </w:tcPr>
          <w:p w14:paraId="2799E418" w14:textId="46BCBF61" w:rsidR="0078118D" w:rsidRPr="005357D8" w:rsidRDefault="0014787A" w:rsidP="0078118D">
            <w:pPr>
              <w:jc w:val="right"/>
              <w:rPr>
                <w:rFonts w:ascii="Times New Roman" w:hAnsi="Times New Roman" w:cs="Times New Roman"/>
              </w:rPr>
            </w:pPr>
            <w:r w:rsidRPr="0014787A">
              <w:rPr>
                <w:rFonts w:ascii="Times New Roman" w:hAnsi="Times New Roman" w:cs="Times New Roman"/>
              </w:rPr>
              <w:t>3 970 420</w:t>
            </w:r>
          </w:p>
        </w:tc>
        <w:tc>
          <w:tcPr>
            <w:tcW w:w="716" w:type="pct"/>
            <w:tcBorders>
              <w:top w:val="outset" w:sz="6" w:space="0" w:color="auto"/>
              <w:left w:val="outset" w:sz="6" w:space="0" w:color="auto"/>
              <w:bottom w:val="outset" w:sz="6" w:space="0" w:color="auto"/>
              <w:right w:val="outset" w:sz="6" w:space="0" w:color="auto"/>
            </w:tcBorders>
            <w:vAlign w:val="center"/>
            <w:hideMark/>
          </w:tcPr>
          <w:p w14:paraId="55D03C37" w14:textId="2CF2C34B" w:rsidR="0078118D" w:rsidRPr="005357D8" w:rsidRDefault="005344EB" w:rsidP="007B492D">
            <w:pPr>
              <w:jc w:val="right"/>
              <w:rPr>
                <w:rFonts w:ascii="Times New Roman" w:hAnsi="Times New Roman" w:cs="Times New Roman"/>
              </w:rPr>
            </w:pPr>
            <w:r w:rsidRPr="005344EB">
              <w:rPr>
                <w:rFonts w:ascii="Times New Roman" w:hAnsi="Times New Roman" w:cs="Times New Roman"/>
              </w:rPr>
              <w:t>122 458</w:t>
            </w:r>
          </w:p>
        </w:tc>
        <w:tc>
          <w:tcPr>
            <w:tcW w:w="298" w:type="pct"/>
            <w:tcBorders>
              <w:top w:val="outset" w:sz="6" w:space="0" w:color="auto"/>
              <w:left w:val="outset" w:sz="6" w:space="0" w:color="auto"/>
              <w:bottom w:val="outset" w:sz="6" w:space="0" w:color="auto"/>
              <w:right w:val="outset" w:sz="6" w:space="0" w:color="auto"/>
            </w:tcBorders>
            <w:vAlign w:val="center"/>
            <w:hideMark/>
          </w:tcPr>
          <w:p w14:paraId="30A2FF78"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782F713D"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4F181869"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6A6D59AC" w14:textId="77777777" w:rsidR="0078118D" w:rsidRPr="005357D8" w:rsidRDefault="0078118D" w:rsidP="0078118D">
            <w:pPr>
              <w:jc w:val="right"/>
              <w:rPr>
                <w:rFonts w:ascii="Times New Roman" w:hAnsi="Times New Roman" w:cs="Times New Roman"/>
              </w:rPr>
            </w:pPr>
            <w:r w:rsidRPr="005357D8">
              <w:rPr>
                <w:rFonts w:ascii="Times New Roman" w:hAnsi="Times New Roman" w:cs="Times New Roman"/>
              </w:rPr>
              <w:t>  </w:t>
            </w:r>
            <w:r w:rsidR="00114A25"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0015FA0C" w14:textId="77777777" w:rsidR="0078118D" w:rsidRPr="005357D8" w:rsidRDefault="0078118D" w:rsidP="0078118D">
            <w:pPr>
              <w:jc w:val="right"/>
              <w:rPr>
                <w:rFonts w:ascii="Times New Roman" w:hAnsi="Times New Roman" w:cs="Times New Roman"/>
              </w:rPr>
            </w:pPr>
            <w:r w:rsidRPr="005357D8">
              <w:rPr>
                <w:rFonts w:ascii="Times New Roman" w:hAnsi="Times New Roman" w:cs="Times New Roman"/>
              </w:rPr>
              <w:t>  </w:t>
            </w:r>
            <w:r w:rsidR="00114A25" w:rsidRPr="005357D8">
              <w:rPr>
                <w:rFonts w:ascii="Times New Roman" w:hAnsi="Times New Roman" w:cs="Times New Roman"/>
              </w:rPr>
              <w:t>0</w:t>
            </w:r>
          </w:p>
        </w:tc>
      </w:tr>
      <w:tr w:rsidR="001E242D" w:rsidRPr="00EF09F1" w14:paraId="3F98EF73"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tcPr>
          <w:p w14:paraId="16CF638B" w14:textId="3F529E58" w:rsidR="001E242D" w:rsidRPr="00B85111" w:rsidRDefault="005360F8" w:rsidP="00653FD3">
            <w:pPr>
              <w:rPr>
                <w:rFonts w:ascii="Times New Roman" w:hAnsi="Times New Roman" w:cs="Times New Roman"/>
                <w:sz w:val="24"/>
                <w:szCs w:val="24"/>
              </w:rPr>
            </w:pPr>
            <w:r>
              <w:rPr>
                <w:rFonts w:ascii="Times New Roman" w:hAnsi="Times New Roman" w:cs="Times New Roman"/>
                <w:sz w:val="24"/>
                <w:szCs w:val="24"/>
              </w:rPr>
              <w:t>97.00.00</w:t>
            </w:r>
          </w:p>
        </w:tc>
        <w:tc>
          <w:tcPr>
            <w:tcW w:w="565" w:type="pct"/>
            <w:tcBorders>
              <w:top w:val="outset" w:sz="6" w:space="0" w:color="auto"/>
              <w:left w:val="outset" w:sz="6" w:space="0" w:color="auto"/>
              <w:bottom w:val="outset" w:sz="6" w:space="0" w:color="auto"/>
              <w:right w:val="outset" w:sz="6" w:space="0" w:color="auto"/>
            </w:tcBorders>
            <w:vAlign w:val="center"/>
          </w:tcPr>
          <w:p w14:paraId="2D2A833F" w14:textId="2F1D55D1" w:rsidR="005357D8" w:rsidRPr="005357D8" w:rsidRDefault="00313665" w:rsidP="005357D8">
            <w:pPr>
              <w:jc w:val="right"/>
              <w:rPr>
                <w:rFonts w:ascii="Times New Roman" w:hAnsi="Times New Roman" w:cs="Times New Roman"/>
              </w:rPr>
            </w:pPr>
            <w:r w:rsidRPr="00313665">
              <w:rPr>
                <w:rFonts w:ascii="Times New Roman" w:hAnsi="Times New Roman" w:cs="Times New Roman"/>
              </w:rPr>
              <w:t>3 970 420</w:t>
            </w:r>
          </w:p>
        </w:tc>
        <w:tc>
          <w:tcPr>
            <w:tcW w:w="716" w:type="pct"/>
            <w:tcBorders>
              <w:top w:val="outset" w:sz="6" w:space="0" w:color="auto"/>
              <w:left w:val="outset" w:sz="6" w:space="0" w:color="auto"/>
              <w:bottom w:val="outset" w:sz="6" w:space="0" w:color="auto"/>
              <w:right w:val="outset" w:sz="6" w:space="0" w:color="auto"/>
            </w:tcBorders>
            <w:vAlign w:val="center"/>
          </w:tcPr>
          <w:p w14:paraId="52F9C0C2" w14:textId="067403C6" w:rsidR="001E242D" w:rsidRPr="005357D8" w:rsidRDefault="005360F8" w:rsidP="00653FD3">
            <w:pPr>
              <w:jc w:val="right"/>
              <w:rPr>
                <w:rFonts w:ascii="Times New Roman" w:hAnsi="Times New Roman" w:cs="Times New Roman"/>
              </w:rPr>
            </w:pPr>
            <w:r>
              <w:rPr>
                <w:rFonts w:ascii="Times New Roman" w:hAnsi="Times New Roman" w:cs="Times New Roman"/>
              </w:rPr>
              <w:t>122 458</w:t>
            </w:r>
          </w:p>
        </w:tc>
        <w:tc>
          <w:tcPr>
            <w:tcW w:w="298" w:type="pct"/>
            <w:tcBorders>
              <w:top w:val="outset" w:sz="6" w:space="0" w:color="auto"/>
              <w:left w:val="outset" w:sz="6" w:space="0" w:color="auto"/>
              <w:bottom w:val="outset" w:sz="6" w:space="0" w:color="auto"/>
              <w:right w:val="outset" w:sz="6" w:space="0" w:color="auto"/>
            </w:tcBorders>
            <w:vAlign w:val="center"/>
          </w:tcPr>
          <w:p w14:paraId="5264A725" w14:textId="2BC17E33" w:rsidR="001E242D" w:rsidRPr="005357D8" w:rsidRDefault="005360F8" w:rsidP="00653FD3">
            <w:pPr>
              <w:jc w:val="right"/>
              <w:rPr>
                <w:rFonts w:ascii="Times New Roman" w:hAnsi="Times New Roman" w:cs="Times New Roman"/>
              </w:rPr>
            </w:pPr>
            <w:r>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7A6D1A05" w14:textId="39133801" w:rsidR="001E242D" w:rsidRPr="005357D8" w:rsidRDefault="005360F8" w:rsidP="00653FD3">
            <w:pPr>
              <w:jc w:val="right"/>
              <w:rPr>
                <w:rFonts w:ascii="Times New Roman" w:hAnsi="Times New Roman" w:cs="Times New Roman"/>
              </w:rPr>
            </w:pPr>
            <w:r>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tcPr>
          <w:p w14:paraId="468C1B04" w14:textId="31585129" w:rsidR="001E242D" w:rsidRPr="005357D8" w:rsidRDefault="005360F8" w:rsidP="00653FD3">
            <w:pPr>
              <w:jc w:val="right"/>
              <w:rPr>
                <w:rFonts w:ascii="Times New Roman" w:hAnsi="Times New Roman" w:cs="Times New Roman"/>
              </w:rPr>
            </w:pPr>
            <w:r>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tcPr>
          <w:p w14:paraId="07F54332" w14:textId="242E60B9" w:rsidR="001E242D" w:rsidRPr="005357D8" w:rsidRDefault="005360F8" w:rsidP="00653FD3">
            <w:pPr>
              <w:jc w:val="right"/>
              <w:rPr>
                <w:rFonts w:ascii="Times New Roman" w:hAnsi="Times New Roman" w:cs="Times New Roman"/>
              </w:rPr>
            </w:pPr>
            <w:r>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tcPr>
          <w:p w14:paraId="671F875D" w14:textId="22414FFB" w:rsidR="001E242D" w:rsidRPr="005357D8" w:rsidRDefault="005360F8" w:rsidP="00653FD3">
            <w:pPr>
              <w:jc w:val="right"/>
              <w:rPr>
                <w:rFonts w:ascii="Times New Roman" w:hAnsi="Times New Roman" w:cs="Times New Roman"/>
              </w:rPr>
            </w:pPr>
            <w:r>
              <w:rPr>
                <w:rFonts w:ascii="Times New Roman" w:hAnsi="Times New Roman" w:cs="Times New Roman"/>
              </w:rPr>
              <w:t>0</w:t>
            </w:r>
          </w:p>
        </w:tc>
      </w:tr>
      <w:tr w:rsidR="005357D8" w:rsidRPr="00EF09F1" w14:paraId="4A7F70B2"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74F4D8A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2.2. valsts speciālais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28A60E"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716" w:type="pct"/>
            <w:tcBorders>
              <w:top w:val="outset" w:sz="6" w:space="0" w:color="auto"/>
              <w:left w:val="outset" w:sz="6" w:space="0" w:color="auto"/>
              <w:bottom w:val="outset" w:sz="6" w:space="0" w:color="auto"/>
              <w:right w:val="outset" w:sz="6" w:space="0" w:color="auto"/>
            </w:tcBorders>
            <w:vAlign w:val="center"/>
            <w:hideMark/>
          </w:tcPr>
          <w:p w14:paraId="62775F32"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98" w:type="pct"/>
            <w:tcBorders>
              <w:top w:val="outset" w:sz="6" w:space="0" w:color="auto"/>
              <w:left w:val="outset" w:sz="6" w:space="0" w:color="auto"/>
              <w:bottom w:val="outset" w:sz="6" w:space="0" w:color="auto"/>
              <w:right w:val="outset" w:sz="6" w:space="0" w:color="auto"/>
            </w:tcBorders>
            <w:vAlign w:val="center"/>
            <w:hideMark/>
          </w:tcPr>
          <w:p w14:paraId="188BE199"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495A7BA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2F46A40A"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440FDC7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2F8989FD"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r>
      <w:tr w:rsidR="005357D8" w:rsidRPr="00EF09F1" w14:paraId="458937F4"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161348F0"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lastRenderedPageBreak/>
              <w:t>2.3. pašvaldību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E1E4B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01105644"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98" w:type="pct"/>
            <w:tcBorders>
              <w:top w:val="outset" w:sz="6" w:space="0" w:color="auto"/>
              <w:left w:val="outset" w:sz="6" w:space="0" w:color="auto"/>
              <w:bottom w:val="outset" w:sz="6" w:space="0" w:color="auto"/>
              <w:right w:val="outset" w:sz="6" w:space="0" w:color="auto"/>
            </w:tcBorders>
            <w:vAlign w:val="center"/>
            <w:hideMark/>
          </w:tcPr>
          <w:p w14:paraId="6ACA261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82389A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3664E6D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57F8CD20"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7EE22A99"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r>
      <w:tr w:rsidR="005357D8" w:rsidRPr="00EF09F1" w14:paraId="007311A5"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3C34559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3. Finansiālā ietekme</w:t>
            </w:r>
          </w:p>
        </w:tc>
        <w:tc>
          <w:tcPr>
            <w:tcW w:w="565" w:type="pct"/>
            <w:tcBorders>
              <w:top w:val="outset" w:sz="6" w:space="0" w:color="auto"/>
              <w:left w:val="outset" w:sz="6" w:space="0" w:color="auto"/>
              <w:bottom w:val="outset" w:sz="6" w:space="0" w:color="auto"/>
              <w:right w:val="outset" w:sz="6" w:space="0" w:color="auto"/>
            </w:tcBorders>
            <w:vAlign w:val="center"/>
          </w:tcPr>
          <w:p w14:paraId="3EC48CC6" w14:textId="0F32BC60" w:rsidR="00653FD3" w:rsidRPr="005357D8" w:rsidRDefault="005360F8" w:rsidP="00653FD3">
            <w:pPr>
              <w:jc w:val="right"/>
              <w:rPr>
                <w:rFonts w:ascii="Times New Roman" w:hAnsi="Times New Roman" w:cs="Times New Roman"/>
              </w:rPr>
            </w:pPr>
            <w:r>
              <w:rPr>
                <w:rFonts w:ascii="Times New Roman" w:hAnsi="Times New Roman" w:cs="Times New Roman"/>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155958A1" w14:textId="57DBA61F" w:rsidR="00653FD3" w:rsidRPr="005357D8" w:rsidRDefault="00313665" w:rsidP="00653FD3">
            <w:pPr>
              <w:jc w:val="right"/>
              <w:rPr>
                <w:rFonts w:ascii="Times New Roman" w:hAnsi="Times New Roman" w:cs="Times New Roman"/>
              </w:rPr>
            </w:pPr>
            <w:r w:rsidRPr="00313665">
              <w:rPr>
                <w:rFonts w:ascii="Times New Roman" w:hAnsi="Times New Roman" w:cs="Times New Roman"/>
              </w:rPr>
              <w:t>-122 458</w:t>
            </w:r>
          </w:p>
        </w:tc>
        <w:tc>
          <w:tcPr>
            <w:tcW w:w="298" w:type="pct"/>
            <w:tcBorders>
              <w:top w:val="outset" w:sz="6" w:space="0" w:color="auto"/>
              <w:left w:val="outset" w:sz="6" w:space="0" w:color="auto"/>
              <w:bottom w:val="outset" w:sz="6" w:space="0" w:color="auto"/>
              <w:right w:val="outset" w:sz="6" w:space="0" w:color="auto"/>
            </w:tcBorders>
            <w:vAlign w:val="center"/>
            <w:hideMark/>
          </w:tcPr>
          <w:p w14:paraId="1FA9E405"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0 </w:t>
            </w:r>
          </w:p>
        </w:tc>
        <w:tc>
          <w:tcPr>
            <w:tcW w:w="637" w:type="pct"/>
            <w:tcBorders>
              <w:top w:val="outset" w:sz="6" w:space="0" w:color="auto"/>
              <w:left w:val="outset" w:sz="6" w:space="0" w:color="auto"/>
              <w:bottom w:val="outset" w:sz="6" w:space="0" w:color="auto"/>
              <w:right w:val="outset" w:sz="6" w:space="0" w:color="auto"/>
            </w:tcBorders>
            <w:vAlign w:val="center"/>
            <w:hideMark/>
          </w:tcPr>
          <w:p w14:paraId="539D4AE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305" w:type="pct"/>
            <w:tcBorders>
              <w:top w:val="outset" w:sz="6" w:space="0" w:color="auto"/>
              <w:left w:val="outset" w:sz="6" w:space="0" w:color="auto"/>
              <w:bottom w:val="outset" w:sz="6" w:space="0" w:color="auto"/>
              <w:right w:val="outset" w:sz="6" w:space="0" w:color="auto"/>
            </w:tcBorders>
            <w:vAlign w:val="center"/>
            <w:hideMark/>
          </w:tcPr>
          <w:p w14:paraId="544ED3B6"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6F1CC08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923" w:type="pct"/>
            <w:tcBorders>
              <w:top w:val="outset" w:sz="6" w:space="0" w:color="auto"/>
              <w:left w:val="outset" w:sz="6" w:space="0" w:color="auto"/>
              <w:bottom w:val="outset" w:sz="6" w:space="0" w:color="auto"/>
              <w:right w:val="outset" w:sz="6" w:space="0" w:color="auto"/>
            </w:tcBorders>
            <w:vAlign w:val="center"/>
            <w:hideMark/>
          </w:tcPr>
          <w:p w14:paraId="3D1241CC"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r>
      <w:tr w:rsidR="005357D8" w:rsidRPr="00EF09F1" w14:paraId="2FCD97C2"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97894F2"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3.1. valsts pamatbudžets</w:t>
            </w:r>
          </w:p>
        </w:tc>
        <w:tc>
          <w:tcPr>
            <w:tcW w:w="565" w:type="pct"/>
            <w:tcBorders>
              <w:top w:val="outset" w:sz="6" w:space="0" w:color="auto"/>
              <w:left w:val="outset" w:sz="6" w:space="0" w:color="auto"/>
              <w:bottom w:val="outset" w:sz="6" w:space="0" w:color="auto"/>
              <w:right w:val="outset" w:sz="6" w:space="0" w:color="auto"/>
            </w:tcBorders>
            <w:vAlign w:val="center"/>
          </w:tcPr>
          <w:p w14:paraId="01F6F5FD" w14:textId="23AB47C7" w:rsidR="00653FD3" w:rsidRPr="005357D8" w:rsidRDefault="005360F8" w:rsidP="00653FD3">
            <w:pPr>
              <w:jc w:val="right"/>
              <w:rPr>
                <w:rFonts w:ascii="Times New Roman" w:hAnsi="Times New Roman" w:cs="Times New Roman"/>
              </w:rPr>
            </w:pPr>
            <w:r>
              <w:rPr>
                <w:rFonts w:ascii="Times New Roman" w:hAnsi="Times New Roman" w:cs="Times New Roman"/>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7A47A354" w14:textId="10A2ABE6" w:rsidR="00653FD3" w:rsidRPr="005357D8" w:rsidRDefault="00313665" w:rsidP="00653FD3">
            <w:pPr>
              <w:jc w:val="right"/>
              <w:rPr>
                <w:rFonts w:ascii="Times New Roman" w:hAnsi="Times New Roman" w:cs="Times New Roman"/>
              </w:rPr>
            </w:pPr>
            <w:r w:rsidRPr="00313665">
              <w:rPr>
                <w:rFonts w:ascii="Times New Roman" w:hAnsi="Times New Roman" w:cs="Times New Roman"/>
              </w:rPr>
              <w:t>-122 458</w:t>
            </w:r>
          </w:p>
        </w:tc>
        <w:tc>
          <w:tcPr>
            <w:tcW w:w="298" w:type="pct"/>
            <w:tcBorders>
              <w:top w:val="outset" w:sz="6" w:space="0" w:color="auto"/>
              <w:left w:val="outset" w:sz="6" w:space="0" w:color="auto"/>
              <w:bottom w:val="outset" w:sz="6" w:space="0" w:color="auto"/>
              <w:right w:val="outset" w:sz="6" w:space="0" w:color="auto"/>
            </w:tcBorders>
            <w:vAlign w:val="center"/>
            <w:hideMark/>
          </w:tcPr>
          <w:p w14:paraId="2951C51B"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4103637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305" w:type="pct"/>
            <w:tcBorders>
              <w:top w:val="outset" w:sz="6" w:space="0" w:color="auto"/>
              <w:left w:val="outset" w:sz="6" w:space="0" w:color="auto"/>
              <w:bottom w:val="outset" w:sz="6" w:space="0" w:color="auto"/>
              <w:right w:val="outset" w:sz="6" w:space="0" w:color="auto"/>
            </w:tcBorders>
            <w:vAlign w:val="center"/>
            <w:hideMark/>
          </w:tcPr>
          <w:p w14:paraId="3A0BB116"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6D955F3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67208F0"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r>
      <w:tr w:rsidR="00D91342" w:rsidRPr="00EF09F1" w14:paraId="57C6AA67"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69CF21E7"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3.2. speciālais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54834B"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273DAF10"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298" w:type="pct"/>
            <w:tcBorders>
              <w:top w:val="outset" w:sz="6" w:space="0" w:color="auto"/>
              <w:left w:val="outset" w:sz="6" w:space="0" w:color="auto"/>
              <w:bottom w:val="outset" w:sz="6" w:space="0" w:color="auto"/>
              <w:right w:val="outset" w:sz="6" w:space="0" w:color="auto"/>
            </w:tcBorders>
            <w:vAlign w:val="center"/>
            <w:hideMark/>
          </w:tcPr>
          <w:p w14:paraId="0471B1FD"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18C5DABB"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05" w:type="pct"/>
            <w:tcBorders>
              <w:top w:val="outset" w:sz="6" w:space="0" w:color="auto"/>
              <w:left w:val="outset" w:sz="6" w:space="0" w:color="auto"/>
              <w:bottom w:val="outset" w:sz="6" w:space="0" w:color="auto"/>
              <w:right w:val="outset" w:sz="6" w:space="0" w:color="auto"/>
            </w:tcBorders>
            <w:vAlign w:val="center"/>
            <w:hideMark/>
          </w:tcPr>
          <w:p w14:paraId="7964E4AA"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2EA53875"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373AD29"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D91342" w:rsidRPr="00EF09F1" w14:paraId="49EF1000"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7B840735"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3.3. pašvaldību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157BA3"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3A34C799"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0 </w:t>
            </w:r>
          </w:p>
        </w:tc>
        <w:tc>
          <w:tcPr>
            <w:tcW w:w="298" w:type="pct"/>
            <w:tcBorders>
              <w:top w:val="outset" w:sz="6" w:space="0" w:color="auto"/>
              <w:left w:val="outset" w:sz="6" w:space="0" w:color="auto"/>
              <w:bottom w:val="outset" w:sz="6" w:space="0" w:color="auto"/>
              <w:right w:val="outset" w:sz="6" w:space="0" w:color="auto"/>
            </w:tcBorders>
            <w:vAlign w:val="center"/>
            <w:hideMark/>
          </w:tcPr>
          <w:p w14:paraId="15DA18F1"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AFB9FA7"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05" w:type="pct"/>
            <w:tcBorders>
              <w:top w:val="outset" w:sz="6" w:space="0" w:color="auto"/>
              <w:left w:val="outset" w:sz="6" w:space="0" w:color="auto"/>
              <w:bottom w:val="outset" w:sz="6" w:space="0" w:color="auto"/>
              <w:right w:val="outset" w:sz="6" w:space="0" w:color="auto"/>
            </w:tcBorders>
            <w:vAlign w:val="center"/>
            <w:hideMark/>
          </w:tcPr>
          <w:p w14:paraId="5228BC28"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7FC73959"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8EFFDFA"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D91342" w:rsidRPr="00EF09F1" w14:paraId="51626D2C"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7345A1F8"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4. Finanšu līdzekļi papildu izdevumu finansēšanai (kompensējošu izdevumu samazinājumu norāda ar "+" zīmi)</w:t>
            </w:r>
          </w:p>
          <w:p w14:paraId="51639C5B" w14:textId="77777777" w:rsidR="00D91342" w:rsidRPr="00B85111" w:rsidRDefault="00D91342" w:rsidP="00D91342">
            <w:pPr>
              <w:rPr>
                <w:rFonts w:ascii="Times New Roman" w:hAnsi="Times New Roman" w:cs="Times New Roman"/>
                <w:sz w:val="24"/>
                <w:szCs w:val="24"/>
              </w:rPr>
            </w:pPr>
          </w:p>
          <w:p w14:paraId="7572333C" w14:textId="77777777" w:rsidR="00D91342" w:rsidRPr="00B85111" w:rsidRDefault="00D91342" w:rsidP="00D91342">
            <w:pPr>
              <w:jc w:val="center"/>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247F61"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 </w:t>
            </w:r>
          </w:p>
        </w:tc>
        <w:tc>
          <w:tcPr>
            <w:tcW w:w="716" w:type="pct"/>
            <w:tcBorders>
              <w:top w:val="outset" w:sz="6" w:space="0" w:color="auto"/>
              <w:left w:val="outset" w:sz="6" w:space="0" w:color="auto"/>
              <w:bottom w:val="outset" w:sz="6" w:space="0" w:color="auto"/>
              <w:right w:val="outset" w:sz="6" w:space="0" w:color="auto"/>
            </w:tcBorders>
            <w:vAlign w:val="center"/>
          </w:tcPr>
          <w:p w14:paraId="48378C5F" w14:textId="5D8A662C" w:rsidR="00D91342" w:rsidRPr="00B85111" w:rsidRDefault="00C1488C" w:rsidP="00D91342">
            <w:pPr>
              <w:jc w:val="right"/>
              <w:rPr>
                <w:rFonts w:ascii="Times New Roman" w:hAnsi="Times New Roman" w:cs="Times New Roman"/>
                <w:sz w:val="24"/>
                <w:szCs w:val="24"/>
              </w:rPr>
            </w:pPr>
            <w:r w:rsidRPr="00C1488C">
              <w:rPr>
                <w:rFonts w:ascii="Times New Roman" w:hAnsi="Times New Roman" w:cs="Times New Roman"/>
                <w:sz w:val="24"/>
                <w:szCs w:val="24"/>
              </w:rPr>
              <w:t>122 458</w:t>
            </w:r>
          </w:p>
        </w:tc>
        <w:tc>
          <w:tcPr>
            <w:tcW w:w="298" w:type="pct"/>
            <w:tcBorders>
              <w:top w:val="outset" w:sz="6" w:space="0" w:color="auto"/>
              <w:left w:val="outset" w:sz="6" w:space="0" w:color="auto"/>
              <w:bottom w:val="outset" w:sz="6" w:space="0" w:color="auto"/>
              <w:right w:val="outset" w:sz="6" w:space="0" w:color="auto"/>
            </w:tcBorders>
            <w:vAlign w:val="center"/>
            <w:hideMark/>
          </w:tcPr>
          <w:p w14:paraId="1610F414"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23705565"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2788CB06"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w:t>
            </w:r>
          </w:p>
        </w:tc>
        <w:tc>
          <w:tcPr>
            <w:tcW w:w="879" w:type="pct"/>
            <w:tcBorders>
              <w:top w:val="outset" w:sz="6" w:space="0" w:color="auto"/>
              <w:left w:val="outset" w:sz="6" w:space="0" w:color="auto"/>
              <w:bottom w:val="outset" w:sz="6" w:space="0" w:color="auto"/>
              <w:right w:val="outset" w:sz="6" w:space="0" w:color="auto"/>
            </w:tcBorders>
            <w:vAlign w:val="center"/>
            <w:hideMark/>
          </w:tcPr>
          <w:p w14:paraId="45E17C06"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765FB9A9"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313665" w:rsidRPr="00EF09F1" w14:paraId="5FBA3F26"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tcPr>
          <w:p w14:paraId="79F164B0" w14:textId="507D3B1B" w:rsidR="00313665" w:rsidRPr="00B85111" w:rsidRDefault="00313665" w:rsidP="00D91342">
            <w:pPr>
              <w:rPr>
                <w:rFonts w:ascii="Times New Roman" w:hAnsi="Times New Roman" w:cs="Times New Roman"/>
                <w:sz w:val="24"/>
                <w:szCs w:val="24"/>
              </w:rPr>
            </w:pPr>
            <w:r w:rsidRPr="00313665">
              <w:rPr>
                <w:rFonts w:ascii="Times New Roman" w:hAnsi="Times New Roman" w:cs="Times New Roman"/>
                <w:sz w:val="24"/>
                <w:szCs w:val="24"/>
              </w:rPr>
              <w:t>45.01.00</w:t>
            </w:r>
          </w:p>
        </w:tc>
        <w:tc>
          <w:tcPr>
            <w:tcW w:w="565" w:type="pct"/>
            <w:tcBorders>
              <w:top w:val="outset" w:sz="6" w:space="0" w:color="auto"/>
              <w:left w:val="outset" w:sz="6" w:space="0" w:color="auto"/>
              <w:bottom w:val="outset" w:sz="6" w:space="0" w:color="auto"/>
              <w:right w:val="outset" w:sz="6" w:space="0" w:color="auto"/>
            </w:tcBorders>
            <w:vAlign w:val="center"/>
          </w:tcPr>
          <w:p w14:paraId="3CB0AD8C" w14:textId="3DC80104" w:rsidR="00313665" w:rsidRPr="00B85111" w:rsidRDefault="00313665" w:rsidP="00D91342">
            <w:pPr>
              <w:rPr>
                <w:rFonts w:ascii="Times New Roman" w:hAnsi="Times New Roman" w:cs="Times New Roman"/>
                <w:sz w:val="24"/>
                <w:szCs w:val="24"/>
              </w:rPr>
            </w:pPr>
            <w:r>
              <w:rPr>
                <w:rFonts w:ascii="Times New Roman" w:hAnsi="Times New Roman" w:cs="Times New Roman"/>
                <w:sz w:val="24"/>
                <w:szCs w:val="24"/>
              </w:rPr>
              <w:t>0</w:t>
            </w:r>
          </w:p>
        </w:tc>
        <w:tc>
          <w:tcPr>
            <w:tcW w:w="716" w:type="pct"/>
            <w:tcBorders>
              <w:top w:val="outset" w:sz="6" w:space="0" w:color="auto"/>
              <w:left w:val="outset" w:sz="6" w:space="0" w:color="auto"/>
              <w:bottom w:val="outset" w:sz="6" w:space="0" w:color="auto"/>
              <w:right w:val="outset" w:sz="6" w:space="0" w:color="auto"/>
            </w:tcBorders>
            <w:vAlign w:val="center"/>
          </w:tcPr>
          <w:p w14:paraId="60FEA634" w14:textId="4B860188" w:rsidR="00313665" w:rsidRDefault="00313665" w:rsidP="00D91342">
            <w:pPr>
              <w:jc w:val="right"/>
              <w:rPr>
                <w:rFonts w:ascii="Times New Roman" w:hAnsi="Times New Roman" w:cs="Times New Roman"/>
                <w:sz w:val="24"/>
                <w:szCs w:val="24"/>
              </w:rPr>
            </w:pPr>
            <w:r w:rsidRPr="00313665">
              <w:rPr>
                <w:rFonts w:ascii="Times New Roman" w:hAnsi="Times New Roman" w:cs="Times New Roman"/>
                <w:sz w:val="24"/>
                <w:szCs w:val="24"/>
              </w:rPr>
              <w:t>122 458</w:t>
            </w:r>
          </w:p>
        </w:tc>
        <w:tc>
          <w:tcPr>
            <w:tcW w:w="298" w:type="pct"/>
            <w:tcBorders>
              <w:top w:val="outset" w:sz="6" w:space="0" w:color="auto"/>
              <w:left w:val="outset" w:sz="6" w:space="0" w:color="auto"/>
              <w:bottom w:val="outset" w:sz="6" w:space="0" w:color="auto"/>
              <w:right w:val="outset" w:sz="6" w:space="0" w:color="auto"/>
            </w:tcBorders>
            <w:vAlign w:val="center"/>
          </w:tcPr>
          <w:p w14:paraId="243B0AA2" w14:textId="3CDBDC0E" w:rsidR="00313665" w:rsidRPr="00B85111" w:rsidRDefault="00313665" w:rsidP="00D91342">
            <w:pPr>
              <w:jc w:val="right"/>
              <w:rPr>
                <w:rFonts w:ascii="Times New Roman" w:hAnsi="Times New Roman" w:cs="Times New Roman"/>
                <w:sz w:val="24"/>
                <w:szCs w:val="24"/>
              </w:rPr>
            </w:pPr>
            <w:r>
              <w:rPr>
                <w:rFonts w:ascii="Times New Roman" w:hAnsi="Times New Roman" w:cs="Times New Roman"/>
                <w:sz w:val="24"/>
                <w:szCs w:val="24"/>
              </w:rPr>
              <w:t>0</w:t>
            </w:r>
          </w:p>
        </w:tc>
        <w:tc>
          <w:tcPr>
            <w:tcW w:w="637" w:type="pct"/>
            <w:tcBorders>
              <w:top w:val="outset" w:sz="6" w:space="0" w:color="auto"/>
              <w:left w:val="outset" w:sz="6" w:space="0" w:color="auto"/>
              <w:bottom w:val="outset" w:sz="6" w:space="0" w:color="auto"/>
              <w:right w:val="outset" w:sz="6" w:space="0" w:color="auto"/>
            </w:tcBorders>
            <w:vAlign w:val="center"/>
          </w:tcPr>
          <w:p w14:paraId="0813B85B" w14:textId="5995EA9D" w:rsidR="00313665" w:rsidRPr="00B85111" w:rsidRDefault="00313665" w:rsidP="00D91342">
            <w:pPr>
              <w:jc w:val="right"/>
              <w:rPr>
                <w:rFonts w:ascii="Times New Roman" w:hAnsi="Times New Roman" w:cs="Times New Roman"/>
                <w:sz w:val="24"/>
                <w:szCs w:val="24"/>
              </w:rPr>
            </w:pPr>
            <w:r>
              <w:rPr>
                <w:rFonts w:ascii="Times New Roman" w:hAnsi="Times New Roman" w:cs="Times New Roman"/>
                <w:sz w:val="24"/>
                <w:szCs w:val="24"/>
              </w:rPr>
              <w:t>0</w:t>
            </w:r>
          </w:p>
        </w:tc>
        <w:tc>
          <w:tcPr>
            <w:tcW w:w="305" w:type="pct"/>
            <w:tcBorders>
              <w:top w:val="outset" w:sz="6" w:space="0" w:color="auto"/>
              <w:left w:val="outset" w:sz="6" w:space="0" w:color="auto"/>
              <w:bottom w:val="outset" w:sz="6" w:space="0" w:color="auto"/>
              <w:right w:val="outset" w:sz="6" w:space="0" w:color="auto"/>
            </w:tcBorders>
            <w:vAlign w:val="center"/>
          </w:tcPr>
          <w:p w14:paraId="779423D1" w14:textId="67566798" w:rsidR="00313665" w:rsidRPr="00B85111" w:rsidRDefault="00313665" w:rsidP="00D91342">
            <w:pPr>
              <w:jc w:val="right"/>
              <w:rPr>
                <w:rFonts w:ascii="Times New Roman" w:hAnsi="Times New Roman" w:cs="Times New Roman"/>
                <w:sz w:val="24"/>
                <w:szCs w:val="24"/>
              </w:rPr>
            </w:pPr>
            <w:r>
              <w:rPr>
                <w:rFonts w:ascii="Times New Roman" w:hAnsi="Times New Roman" w:cs="Times New Roman"/>
                <w:sz w:val="24"/>
                <w:szCs w:val="24"/>
              </w:rPr>
              <w:t>0</w:t>
            </w:r>
          </w:p>
        </w:tc>
        <w:tc>
          <w:tcPr>
            <w:tcW w:w="879" w:type="pct"/>
            <w:tcBorders>
              <w:top w:val="outset" w:sz="6" w:space="0" w:color="auto"/>
              <w:left w:val="outset" w:sz="6" w:space="0" w:color="auto"/>
              <w:bottom w:val="outset" w:sz="6" w:space="0" w:color="auto"/>
              <w:right w:val="outset" w:sz="6" w:space="0" w:color="auto"/>
            </w:tcBorders>
            <w:vAlign w:val="center"/>
          </w:tcPr>
          <w:p w14:paraId="092F01F0" w14:textId="78D114E5" w:rsidR="00313665" w:rsidRPr="00B85111" w:rsidRDefault="00313665" w:rsidP="00D91342">
            <w:pPr>
              <w:jc w:val="right"/>
              <w:rPr>
                <w:rFonts w:ascii="Times New Roman" w:hAnsi="Times New Roman" w:cs="Times New Roman"/>
                <w:sz w:val="24"/>
                <w:szCs w:val="24"/>
              </w:rPr>
            </w:pPr>
            <w:r>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tcPr>
          <w:p w14:paraId="6B6A1526" w14:textId="081B9DDD" w:rsidR="00313665" w:rsidRPr="00B85111" w:rsidRDefault="00313665" w:rsidP="00D91342">
            <w:pPr>
              <w:jc w:val="right"/>
              <w:rPr>
                <w:rFonts w:ascii="Times New Roman" w:hAnsi="Times New Roman" w:cs="Times New Roman"/>
                <w:sz w:val="24"/>
                <w:szCs w:val="24"/>
              </w:rPr>
            </w:pPr>
            <w:r>
              <w:rPr>
                <w:rFonts w:ascii="Times New Roman" w:hAnsi="Times New Roman" w:cs="Times New Roman"/>
                <w:sz w:val="24"/>
                <w:szCs w:val="24"/>
              </w:rPr>
              <w:t>0</w:t>
            </w:r>
          </w:p>
        </w:tc>
      </w:tr>
      <w:tr w:rsidR="00D91342" w:rsidRPr="00EF09F1" w14:paraId="2613BF63"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480316A9"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 xml:space="preserve">5. Precizēta </w:t>
            </w:r>
            <w:r w:rsidRPr="00B85111">
              <w:rPr>
                <w:rFonts w:ascii="Times New Roman" w:hAnsi="Times New Roman" w:cs="Times New Roman"/>
                <w:sz w:val="24"/>
                <w:szCs w:val="24"/>
              </w:rPr>
              <w:lastRenderedPageBreak/>
              <w:t>finansiālā ietekme</w:t>
            </w:r>
          </w:p>
        </w:tc>
        <w:tc>
          <w:tcPr>
            <w:tcW w:w="565" w:type="pct"/>
            <w:vMerge w:val="restart"/>
            <w:tcBorders>
              <w:top w:val="outset" w:sz="6" w:space="0" w:color="auto"/>
              <w:left w:val="outset" w:sz="6" w:space="0" w:color="auto"/>
              <w:bottom w:val="outset" w:sz="6" w:space="0" w:color="auto"/>
              <w:right w:val="outset" w:sz="6" w:space="0" w:color="auto"/>
            </w:tcBorders>
            <w:vAlign w:val="center"/>
            <w:hideMark/>
          </w:tcPr>
          <w:p w14:paraId="39893DE4"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lastRenderedPageBreak/>
              <w:t> </w:t>
            </w:r>
          </w:p>
        </w:tc>
        <w:tc>
          <w:tcPr>
            <w:tcW w:w="716" w:type="pct"/>
            <w:tcBorders>
              <w:top w:val="outset" w:sz="6" w:space="0" w:color="auto"/>
              <w:left w:val="outset" w:sz="6" w:space="0" w:color="auto"/>
              <w:bottom w:val="outset" w:sz="6" w:space="0" w:color="auto"/>
              <w:right w:val="outset" w:sz="6" w:space="0" w:color="auto"/>
            </w:tcBorders>
            <w:vAlign w:val="center"/>
            <w:hideMark/>
          </w:tcPr>
          <w:p w14:paraId="61182E44"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98" w:type="pct"/>
            <w:vMerge w:val="restart"/>
            <w:tcBorders>
              <w:top w:val="outset" w:sz="6" w:space="0" w:color="auto"/>
              <w:left w:val="outset" w:sz="6" w:space="0" w:color="auto"/>
              <w:bottom w:val="outset" w:sz="6" w:space="0" w:color="auto"/>
              <w:right w:val="outset" w:sz="6" w:space="0" w:color="auto"/>
            </w:tcBorders>
            <w:vAlign w:val="center"/>
            <w:hideMark/>
          </w:tcPr>
          <w:p w14:paraId="77B3C9C1"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474FF643"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305" w:type="pct"/>
            <w:vMerge w:val="restart"/>
            <w:tcBorders>
              <w:top w:val="outset" w:sz="6" w:space="0" w:color="auto"/>
              <w:left w:val="outset" w:sz="6" w:space="0" w:color="auto"/>
              <w:bottom w:val="outset" w:sz="6" w:space="0" w:color="auto"/>
              <w:right w:val="outset" w:sz="6" w:space="0" w:color="auto"/>
            </w:tcBorders>
            <w:vAlign w:val="center"/>
            <w:hideMark/>
          </w:tcPr>
          <w:p w14:paraId="61A739A3"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 </w:t>
            </w:r>
          </w:p>
        </w:tc>
        <w:tc>
          <w:tcPr>
            <w:tcW w:w="879" w:type="pct"/>
            <w:tcBorders>
              <w:top w:val="outset" w:sz="6" w:space="0" w:color="auto"/>
              <w:left w:val="outset" w:sz="6" w:space="0" w:color="auto"/>
              <w:bottom w:val="outset" w:sz="6" w:space="0" w:color="auto"/>
              <w:right w:val="outset" w:sz="6" w:space="0" w:color="auto"/>
            </w:tcBorders>
            <w:vAlign w:val="center"/>
            <w:hideMark/>
          </w:tcPr>
          <w:p w14:paraId="675AFF20"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28FA5175"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D91342" w:rsidRPr="00EF09F1" w14:paraId="74446D8E"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EA1F02F"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5.1. valsts pamatbudžets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05883643" w14:textId="77777777" w:rsidR="00D91342" w:rsidRPr="00B85111" w:rsidRDefault="00D91342" w:rsidP="00D91342">
            <w:pPr>
              <w:rPr>
                <w:rFonts w:ascii="Times New Roman" w:eastAsia="Times New Roman" w:hAnsi="Times New Roman" w:cs="Times New Roman"/>
                <w:sz w:val="24"/>
                <w:szCs w:val="24"/>
              </w:rPr>
            </w:pPr>
          </w:p>
        </w:tc>
        <w:tc>
          <w:tcPr>
            <w:tcW w:w="716" w:type="pct"/>
            <w:tcBorders>
              <w:top w:val="outset" w:sz="6" w:space="0" w:color="auto"/>
              <w:left w:val="outset" w:sz="6" w:space="0" w:color="auto"/>
              <w:bottom w:val="outset" w:sz="6" w:space="0" w:color="auto"/>
              <w:right w:val="outset" w:sz="6" w:space="0" w:color="auto"/>
            </w:tcBorders>
            <w:vAlign w:val="center"/>
            <w:hideMark/>
          </w:tcPr>
          <w:p w14:paraId="55964D21"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98" w:type="pct"/>
            <w:vMerge/>
            <w:tcBorders>
              <w:top w:val="outset" w:sz="6" w:space="0" w:color="auto"/>
              <w:left w:val="outset" w:sz="6" w:space="0" w:color="auto"/>
              <w:bottom w:val="outset" w:sz="6" w:space="0" w:color="auto"/>
              <w:right w:val="outset" w:sz="6" w:space="0" w:color="auto"/>
            </w:tcBorders>
            <w:vAlign w:val="center"/>
            <w:hideMark/>
          </w:tcPr>
          <w:p w14:paraId="0219CBF3" w14:textId="77777777" w:rsidR="00D91342" w:rsidRPr="00B85111" w:rsidRDefault="00D91342" w:rsidP="00D91342">
            <w:pPr>
              <w:rPr>
                <w:rFonts w:ascii="Times New Roman" w:eastAsia="Times New Roman" w:hAnsi="Times New Roman" w:cs="Times New Roman"/>
                <w:sz w:val="24"/>
                <w:szCs w:val="24"/>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32B1DE67"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305" w:type="pct"/>
            <w:vMerge/>
            <w:tcBorders>
              <w:top w:val="outset" w:sz="6" w:space="0" w:color="auto"/>
              <w:left w:val="outset" w:sz="6" w:space="0" w:color="auto"/>
              <w:bottom w:val="outset" w:sz="6" w:space="0" w:color="auto"/>
              <w:right w:val="outset" w:sz="6" w:space="0" w:color="auto"/>
            </w:tcBorders>
            <w:vAlign w:val="center"/>
            <w:hideMark/>
          </w:tcPr>
          <w:p w14:paraId="6CADE6F1" w14:textId="77777777" w:rsidR="00D91342" w:rsidRPr="00B85111" w:rsidRDefault="00D91342" w:rsidP="00D91342">
            <w:pPr>
              <w:rPr>
                <w:rFonts w:ascii="Times New Roman" w:eastAsia="Times New Roman" w:hAnsi="Times New Roman" w:cs="Times New Roman"/>
                <w:sz w:val="24"/>
                <w:szCs w:val="24"/>
              </w:rPr>
            </w:pPr>
          </w:p>
        </w:tc>
        <w:tc>
          <w:tcPr>
            <w:tcW w:w="879" w:type="pct"/>
            <w:tcBorders>
              <w:top w:val="outset" w:sz="6" w:space="0" w:color="auto"/>
              <w:left w:val="outset" w:sz="6" w:space="0" w:color="auto"/>
              <w:bottom w:val="outset" w:sz="6" w:space="0" w:color="auto"/>
              <w:right w:val="outset" w:sz="6" w:space="0" w:color="auto"/>
            </w:tcBorders>
            <w:vAlign w:val="center"/>
            <w:hideMark/>
          </w:tcPr>
          <w:p w14:paraId="66818E01"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331B048"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D91342" w:rsidRPr="00EF09F1" w14:paraId="7E832961"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002BD1A8"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5.2. speciālais 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2C16D141" w14:textId="77777777" w:rsidR="00D91342" w:rsidRPr="00B85111" w:rsidRDefault="00D91342" w:rsidP="00D91342">
            <w:pPr>
              <w:rPr>
                <w:rFonts w:ascii="Times New Roman" w:eastAsia="Times New Roman" w:hAnsi="Times New Roman" w:cs="Times New Roman"/>
                <w:sz w:val="24"/>
                <w:szCs w:val="24"/>
              </w:rPr>
            </w:pPr>
          </w:p>
        </w:tc>
        <w:tc>
          <w:tcPr>
            <w:tcW w:w="716" w:type="pct"/>
            <w:tcBorders>
              <w:top w:val="outset" w:sz="6" w:space="0" w:color="auto"/>
              <w:left w:val="outset" w:sz="6" w:space="0" w:color="auto"/>
              <w:bottom w:val="outset" w:sz="6" w:space="0" w:color="auto"/>
              <w:right w:val="outset" w:sz="6" w:space="0" w:color="auto"/>
            </w:tcBorders>
            <w:vAlign w:val="center"/>
            <w:hideMark/>
          </w:tcPr>
          <w:p w14:paraId="02667F70"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98" w:type="pct"/>
            <w:vMerge/>
            <w:tcBorders>
              <w:top w:val="outset" w:sz="6" w:space="0" w:color="auto"/>
              <w:left w:val="outset" w:sz="6" w:space="0" w:color="auto"/>
              <w:bottom w:val="outset" w:sz="6" w:space="0" w:color="auto"/>
              <w:right w:val="outset" w:sz="6" w:space="0" w:color="auto"/>
            </w:tcBorders>
            <w:vAlign w:val="center"/>
            <w:hideMark/>
          </w:tcPr>
          <w:p w14:paraId="31339EDD" w14:textId="77777777" w:rsidR="00D91342" w:rsidRPr="00B85111" w:rsidRDefault="00D91342" w:rsidP="00D91342">
            <w:pPr>
              <w:jc w:val="right"/>
              <w:rPr>
                <w:rFonts w:ascii="Times New Roman" w:eastAsia="Times New Roman" w:hAnsi="Times New Roman" w:cs="Times New Roman"/>
                <w:sz w:val="24"/>
                <w:szCs w:val="24"/>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24626074"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05" w:type="pct"/>
            <w:vMerge/>
            <w:tcBorders>
              <w:top w:val="outset" w:sz="6" w:space="0" w:color="auto"/>
              <w:left w:val="outset" w:sz="6" w:space="0" w:color="auto"/>
              <w:bottom w:val="outset" w:sz="6" w:space="0" w:color="auto"/>
              <w:right w:val="outset" w:sz="6" w:space="0" w:color="auto"/>
            </w:tcBorders>
            <w:vAlign w:val="center"/>
            <w:hideMark/>
          </w:tcPr>
          <w:p w14:paraId="6D1AF64A" w14:textId="77777777" w:rsidR="00D91342" w:rsidRPr="00B85111" w:rsidRDefault="00D91342" w:rsidP="00D91342">
            <w:pPr>
              <w:jc w:val="right"/>
              <w:rPr>
                <w:rFonts w:ascii="Times New Roman" w:eastAsia="Times New Roman" w:hAnsi="Times New Roman" w:cs="Times New Roman"/>
                <w:sz w:val="24"/>
                <w:szCs w:val="24"/>
              </w:rPr>
            </w:pPr>
          </w:p>
        </w:tc>
        <w:tc>
          <w:tcPr>
            <w:tcW w:w="879" w:type="pct"/>
            <w:tcBorders>
              <w:top w:val="outset" w:sz="6" w:space="0" w:color="auto"/>
              <w:left w:val="outset" w:sz="6" w:space="0" w:color="auto"/>
              <w:bottom w:val="outset" w:sz="6" w:space="0" w:color="auto"/>
              <w:right w:val="outset" w:sz="6" w:space="0" w:color="auto"/>
            </w:tcBorders>
            <w:vAlign w:val="center"/>
            <w:hideMark/>
          </w:tcPr>
          <w:p w14:paraId="3E675EE8"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EB0C506"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r>
      <w:tr w:rsidR="00D91342" w:rsidRPr="00EF09F1" w14:paraId="7A2D018C"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08D762E8"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5.3. pašvaldību 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49FA0AB7" w14:textId="77777777" w:rsidR="00D91342" w:rsidRPr="00B85111" w:rsidRDefault="00D91342" w:rsidP="00D91342">
            <w:pPr>
              <w:rPr>
                <w:rFonts w:ascii="Times New Roman" w:eastAsia="Times New Roman" w:hAnsi="Times New Roman" w:cs="Times New Roman"/>
                <w:sz w:val="24"/>
                <w:szCs w:val="24"/>
              </w:rPr>
            </w:pPr>
          </w:p>
        </w:tc>
        <w:tc>
          <w:tcPr>
            <w:tcW w:w="716" w:type="pct"/>
            <w:tcBorders>
              <w:top w:val="outset" w:sz="6" w:space="0" w:color="auto"/>
              <w:left w:val="outset" w:sz="6" w:space="0" w:color="auto"/>
              <w:bottom w:val="outset" w:sz="6" w:space="0" w:color="auto"/>
              <w:right w:val="outset" w:sz="6" w:space="0" w:color="auto"/>
            </w:tcBorders>
            <w:vAlign w:val="center"/>
            <w:hideMark/>
          </w:tcPr>
          <w:p w14:paraId="1879DD4F"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98" w:type="pct"/>
            <w:vMerge/>
            <w:tcBorders>
              <w:top w:val="outset" w:sz="6" w:space="0" w:color="auto"/>
              <w:left w:val="outset" w:sz="6" w:space="0" w:color="auto"/>
              <w:bottom w:val="outset" w:sz="6" w:space="0" w:color="auto"/>
              <w:right w:val="outset" w:sz="6" w:space="0" w:color="auto"/>
            </w:tcBorders>
            <w:vAlign w:val="center"/>
            <w:hideMark/>
          </w:tcPr>
          <w:p w14:paraId="162BD67A" w14:textId="77777777" w:rsidR="00D91342" w:rsidRPr="00B85111" w:rsidRDefault="00D91342" w:rsidP="00D91342">
            <w:pPr>
              <w:jc w:val="right"/>
              <w:rPr>
                <w:rFonts w:ascii="Times New Roman" w:eastAsia="Times New Roman" w:hAnsi="Times New Roman" w:cs="Times New Roman"/>
                <w:sz w:val="24"/>
                <w:szCs w:val="24"/>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2ACFB155"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05" w:type="pct"/>
            <w:vMerge/>
            <w:tcBorders>
              <w:top w:val="outset" w:sz="6" w:space="0" w:color="auto"/>
              <w:left w:val="outset" w:sz="6" w:space="0" w:color="auto"/>
              <w:bottom w:val="outset" w:sz="6" w:space="0" w:color="auto"/>
              <w:right w:val="outset" w:sz="6" w:space="0" w:color="auto"/>
            </w:tcBorders>
            <w:vAlign w:val="center"/>
            <w:hideMark/>
          </w:tcPr>
          <w:p w14:paraId="7CD2C764" w14:textId="77777777" w:rsidR="00D91342" w:rsidRPr="00B85111" w:rsidRDefault="00D91342" w:rsidP="00D91342">
            <w:pPr>
              <w:jc w:val="right"/>
              <w:rPr>
                <w:rFonts w:ascii="Times New Roman" w:eastAsia="Times New Roman" w:hAnsi="Times New Roman" w:cs="Times New Roman"/>
                <w:sz w:val="24"/>
                <w:szCs w:val="24"/>
              </w:rPr>
            </w:pPr>
          </w:p>
        </w:tc>
        <w:tc>
          <w:tcPr>
            <w:tcW w:w="879" w:type="pct"/>
            <w:tcBorders>
              <w:top w:val="outset" w:sz="6" w:space="0" w:color="auto"/>
              <w:left w:val="outset" w:sz="6" w:space="0" w:color="auto"/>
              <w:bottom w:val="outset" w:sz="6" w:space="0" w:color="auto"/>
              <w:right w:val="outset" w:sz="6" w:space="0" w:color="auto"/>
            </w:tcBorders>
            <w:vAlign w:val="center"/>
            <w:hideMark/>
          </w:tcPr>
          <w:p w14:paraId="3D384C67"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923" w:type="pct"/>
            <w:tcBorders>
              <w:top w:val="outset" w:sz="6" w:space="0" w:color="auto"/>
              <w:left w:val="outset" w:sz="6" w:space="0" w:color="auto"/>
              <w:bottom w:val="outset" w:sz="6" w:space="0" w:color="auto"/>
              <w:right w:val="outset" w:sz="6" w:space="0" w:color="auto"/>
            </w:tcBorders>
            <w:vAlign w:val="center"/>
            <w:hideMark/>
          </w:tcPr>
          <w:p w14:paraId="33D7D5AC"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r>
      <w:tr w:rsidR="00D91342" w:rsidRPr="00EF09F1" w14:paraId="5E5F08E0"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2BA13E70" w14:textId="77777777" w:rsidR="00D91342" w:rsidRPr="009C3303" w:rsidRDefault="00D91342" w:rsidP="00D91342">
            <w:pPr>
              <w:rPr>
                <w:rFonts w:ascii="Times New Roman" w:hAnsi="Times New Roman" w:cs="Times New Roman"/>
                <w:sz w:val="24"/>
                <w:szCs w:val="24"/>
              </w:rPr>
            </w:pPr>
            <w:r w:rsidRPr="009C330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423" w:type="pct"/>
            <w:gridSpan w:val="7"/>
            <w:vMerge w:val="restart"/>
            <w:tcBorders>
              <w:top w:val="nil"/>
              <w:left w:val="outset" w:sz="6" w:space="0" w:color="auto"/>
              <w:bottom w:val="outset" w:sz="6" w:space="0" w:color="auto"/>
              <w:right w:val="outset" w:sz="6" w:space="0" w:color="auto"/>
            </w:tcBorders>
          </w:tcPr>
          <w:p w14:paraId="36A6622B" w14:textId="0B4AD119" w:rsidR="00D91342" w:rsidRPr="009C3303" w:rsidRDefault="00D91342" w:rsidP="00D91342">
            <w:pPr>
              <w:spacing w:after="0"/>
              <w:ind w:firstLine="263"/>
              <w:jc w:val="both"/>
              <w:rPr>
                <w:rFonts w:ascii="Times New Roman" w:hAnsi="Times New Roman" w:cs="Times New Roman"/>
                <w:sz w:val="24"/>
                <w:szCs w:val="24"/>
              </w:rPr>
            </w:pPr>
            <w:r w:rsidRPr="009C3303">
              <w:rPr>
                <w:rFonts w:ascii="Times New Roman" w:hAnsi="Times New Roman" w:cs="Times New Roman"/>
                <w:sz w:val="24"/>
                <w:szCs w:val="24"/>
              </w:rPr>
              <w:t xml:space="preserve">programma </w:t>
            </w:r>
            <w:r>
              <w:rPr>
                <w:rFonts w:ascii="Times New Roman" w:hAnsi="Times New Roman" w:cs="Times New Roman"/>
                <w:sz w:val="24"/>
                <w:szCs w:val="24"/>
              </w:rPr>
              <w:t>97.00</w:t>
            </w:r>
            <w:r w:rsidRPr="009C3303">
              <w:rPr>
                <w:rFonts w:ascii="Times New Roman" w:hAnsi="Times New Roman" w:cs="Times New Roman"/>
                <w:sz w:val="24"/>
                <w:szCs w:val="24"/>
              </w:rPr>
              <w:t>.00 “</w:t>
            </w:r>
            <w:r w:rsidRPr="004427BA">
              <w:rPr>
                <w:rFonts w:ascii="Times New Roman" w:hAnsi="Times New Roman" w:cs="Times New Roman"/>
                <w:sz w:val="24"/>
                <w:szCs w:val="24"/>
              </w:rPr>
              <w:t>Nozares vadība un politikas plānošana</w:t>
            </w:r>
            <w:r w:rsidRPr="009C3303">
              <w:rPr>
                <w:rFonts w:ascii="Times New Roman" w:hAnsi="Times New Roman" w:cs="Times New Roman"/>
                <w:sz w:val="24"/>
                <w:szCs w:val="24"/>
              </w:rPr>
              <w:t>”</w:t>
            </w:r>
          </w:p>
          <w:p w14:paraId="2810CD1C" w14:textId="1C1E890F" w:rsidR="00D91342" w:rsidRPr="009C3303" w:rsidRDefault="00D91342" w:rsidP="00D91342">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Resursi izdevumu segšanai </w:t>
            </w:r>
            <w:r>
              <w:rPr>
                <w:rFonts w:ascii="Times New Roman" w:hAnsi="Times New Roman" w:cs="Times New Roman"/>
                <w:sz w:val="24"/>
                <w:szCs w:val="24"/>
              </w:rPr>
              <w:t>3 970 420</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p>
          <w:p w14:paraId="27997B92" w14:textId="2B94269C" w:rsidR="00D91342" w:rsidRDefault="00D91342" w:rsidP="00D91342">
            <w:pPr>
              <w:spacing w:after="0"/>
              <w:ind w:right="142" w:firstLine="259"/>
              <w:jc w:val="both"/>
              <w:rPr>
                <w:rFonts w:ascii="Times New Roman" w:hAnsi="Times New Roman" w:cs="Times New Roman"/>
                <w:sz w:val="24"/>
                <w:szCs w:val="24"/>
              </w:rPr>
            </w:pPr>
            <w:r>
              <w:rPr>
                <w:rFonts w:ascii="Times New Roman" w:hAnsi="Times New Roman" w:cs="Times New Roman"/>
                <w:sz w:val="24"/>
                <w:szCs w:val="24"/>
              </w:rPr>
              <w:t xml:space="preserve">ieņēmumi no maksas pakalpojumiem 399 </w:t>
            </w:r>
            <w:r w:rsidRPr="00FC7847">
              <w:rPr>
                <w:rFonts w:ascii="Times New Roman" w:hAnsi="Times New Roman" w:cs="Times New Roman"/>
                <w:i/>
                <w:sz w:val="24"/>
                <w:szCs w:val="24"/>
              </w:rPr>
              <w:t>euro</w:t>
            </w:r>
            <w:r>
              <w:rPr>
                <w:rFonts w:ascii="Times New Roman" w:hAnsi="Times New Roman" w:cs="Times New Roman"/>
                <w:sz w:val="24"/>
                <w:szCs w:val="24"/>
              </w:rPr>
              <w:t>;</w:t>
            </w:r>
          </w:p>
          <w:p w14:paraId="6D99F3C1" w14:textId="01CF58AD" w:rsidR="00D91342" w:rsidRPr="004427BA" w:rsidRDefault="00D91342" w:rsidP="00D91342">
            <w:pPr>
              <w:spacing w:after="0"/>
              <w:ind w:right="142" w:firstLine="259"/>
              <w:jc w:val="both"/>
              <w:rPr>
                <w:rFonts w:ascii="Times New Roman" w:hAnsi="Times New Roman" w:cs="Times New Roman"/>
                <w:sz w:val="24"/>
                <w:szCs w:val="24"/>
              </w:rPr>
            </w:pPr>
            <w:r>
              <w:rPr>
                <w:rFonts w:ascii="Times New Roman" w:hAnsi="Times New Roman" w:cs="Times New Roman"/>
                <w:sz w:val="24"/>
                <w:szCs w:val="24"/>
              </w:rPr>
              <w:t xml:space="preserve">transferti 106 415 </w:t>
            </w:r>
            <w:r>
              <w:rPr>
                <w:rFonts w:ascii="Times New Roman" w:hAnsi="Times New Roman" w:cs="Times New Roman"/>
                <w:i/>
                <w:iCs/>
                <w:sz w:val="24"/>
                <w:szCs w:val="24"/>
              </w:rPr>
              <w:t>euro</w:t>
            </w:r>
            <w:r>
              <w:rPr>
                <w:rFonts w:ascii="Times New Roman" w:hAnsi="Times New Roman" w:cs="Times New Roman"/>
                <w:sz w:val="24"/>
                <w:szCs w:val="24"/>
              </w:rPr>
              <w:t>;</w:t>
            </w:r>
          </w:p>
          <w:p w14:paraId="4626660F" w14:textId="5E706D9F" w:rsidR="00D91342" w:rsidRPr="009C3303" w:rsidRDefault="00D91342" w:rsidP="00D91342">
            <w:pPr>
              <w:spacing w:after="0"/>
              <w:ind w:right="142" w:firstLine="259"/>
              <w:jc w:val="both"/>
              <w:rPr>
                <w:rFonts w:ascii="Times New Roman" w:hAnsi="Times New Roman" w:cs="Times New Roman"/>
                <w:sz w:val="24"/>
                <w:szCs w:val="24"/>
              </w:rPr>
            </w:pPr>
            <w:r w:rsidRPr="009C3303">
              <w:rPr>
                <w:rFonts w:ascii="Times New Roman" w:hAnsi="Times New Roman" w:cs="Times New Roman"/>
                <w:sz w:val="24"/>
                <w:szCs w:val="24"/>
              </w:rPr>
              <w:t xml:space="preserve">dotācija no vispārējiem ieņēmumiem </w:t>
            </w:r>
            <w:r>
              <w:rPr>
                <w:rFonts w:ascii="Times New Roman" w:hAnsi="Times New Roman" w:cs="Times New Roman"/>
                <w:sz w:val="24"/>
                <w:szCs w:val="24"/>
              </w:rPr>
              <w:t>3 863 606</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w:t>
            </w:r>
          </w:p>
          <w:p w14:paraId="4A261501" w14:textId="306B82A7" w:rsidR="00D91342" w:rsidRPr="009C3303" w:rsidRDefault="00D91342" w:rsidP="00D91342">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Izdevumi </w:t>
            </w:r>
            <w:r>
              <w:rPr>
                <w:rFonts w:ascii="Times New Roman" w:hAnsi="Times New Roman" w:cs="Times New Roman"/>
                <w:sz w:val="24"/>
                <w:szCs w:val="24"/>
              </w:rPr>
              <w:t>3 970 420</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 tai skaitā:</w:t>
            </w:r>
          </w:p>
          <w:p w14:paraId="3200B31D" w14:textId="2DF4084B" w:rsidR="00D91342" w:rsidRPr="009C3303" w:rsidRDefault="00D91342" w:rsidP="00D91342">
            <w:pPr>
              <w:spacing w:after="0"/>
              <w:ind w:left="249" w:right="142" w:firstLine="11"/>
              <w:jc w:val="both"/>
              <w:rPr>
                <w:rFonts w:ascii="Times New Roman" w:hAnsi="Times New Roman" w:cs="Times New Roman"/>
                <w:i/>
                <w:sz w:val="24"/>
                <w:szCs w:val="24"/>
              </w:rPr>
            </w:pPr>
            <w:r w:rsidRPr="009C3303">
              <w:rPr>
                <w:rFonts w:ascii="Times New Roman" w:hAnsi="Times New Roman" w:cs="Times New Roman"/>
                <w:sz w:val="24"/>
                <w:szCs w:val="24"/>
              </w:rPr>
              <w:t>uzturēšanas izdevum</w:t>
            </w:r>
            <w:r>
              <w:rPr>
                <w:rFonts w:ascii="Times New Roman" w:hAnsi="Times New Roman" w:cs="Times New Roman"/>
                <w:sz w:val="24"/>
                <w:szCs w:val="24"/>
              </w:rPr>
              <w:t>i</w:t>
            </w:r>
            <w:r w:rsidRPr="009C3303">
              <w:rPr>
                <w:rFonts w:ascii="Times New Roman" w:hAnsi="Times New Roman" w:cs="Times New Roman"/>
                <w:sz w:val="24"/>
                <w:szCs w:val="24"/>
              </w:rPr>
              <w:t xml:space="preserve"> </w:t>
            </w:r>
            <w:r>
              <w:rPr>
                <w:rFonts w:ascii="Times New Roman" w:hAnsi="Times New Roman" w:cs="Times New Roman"/>
                <w:sz w:val="24"/>
                <w:szCs w:val="24"/>
              </w:rPr>
              <w:t>3 964 851</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p>
          <w:p w14:paraId="5FE41AA7" w14:textId="09C9B907" w:rsidR="00D91342" w:rsidRDefault="00D91342" w:rsidP="00D91342">
            <w:pPr>
              <w:spacing w:after="0"/>
              <w:ind w:left="249" w:right="142" w:firstLine="11"/>
              <w:jc w:val="both"/>
              <w:rPr>
                <w:rFonts w:ascii="Times New Roman" w:hAnsi="Times New Roman" w:cs="Times New Roman"/>
                <w:i/>
                <w:iCs/>
                <w:sz w:val="24"/>
                <w:szCs w:val="24"/>
              </w:rPr>
            </w:pPr>
            <w:r>
              <w:rPr>
                <w:rFonts w:ascii="Times New Roman" w:hAnsi="Times New Roman" w:cs="Times New Roman"/>
                <w:sz w:val="24"/>
                <w:szCs w:val="24"/>
              </w:rPr>
              <w:t>k</w:t>
            </w:r>
            <w:r w:rsidRPr="009C3303">
              <w:rPr>
                <w:rFonts w:ascii="Times New Roman" w:hAnsi="Times New Roman" w:cs="Times New Roman"/>
                <w:sz w:val="24"/>
                <w:szCs w:val="24"/>
              </w:rPr>
              <w:t xml:space="preserve">apitālie izdevumi </w:t>
            </w:r>
            <w:r>
              <w:rPr>
                <w:rFonts w:ascii="Times New Roman" w:hAnsi="Times New Roman" w:cs="Times New Roman"/>
                <w:sz w:val="24"/>
                <w:szCs w:val="24"/>
              </w:rPr>
              <w:t>5 569</w:t>
            </w:r>
            <w:r w:rsidRPr="009C3303">
              <w:rPr>
                <w:rFonts w:ascii="Times New Roman" w:hAnsi="Times New Roman" w:cs="Times New Roman"/>
                <w:sz w:val="24"/>
                <w:szCs w:val="24"/>
              </w:rPr>
              <w:t xml:space="preserve"> </w:t>
            </w:r>
            <w:r w:rsidRPr="004427BA">
              <w:rPr>
                <w:rFonts w:ascii="Times New Roman" w:hAnsi="Times New Roman" w:cs="Times New Roman"/>
                <w:i/>
                <w:iCs/>
                <w:sz w:val="24"/>
                <w:szCs w:val="24"/>
              </w:rPr>
              <w:t>euro</w:t>
            </w:r>
            <w:r>
              <w:rPr>
                <w:rFonts w:ascii="Times New Roman" w:hAnsi="Times New Roman" w:cs="Times New Roman"/>
                <w:i/>
                <w:iCs/>
                <w:sz w:val="24"/>
                <w:szCs w:val="24"/>
              </w:rPr>
              <w:t>.</w:t>
            </w:r>
          </w:p>
          <w:p w14:paraId="1ACBF4F2" w14:textId="77777777" w:rsidR="00D91342" w:rsidRPr="009C3303" w:rsidRDefault="00D91342" w:rsidP="00D91342">
            <w:pPr>
              <w:spacing w:after="0"/>
              <w:ind w:left="249" w:right="142" w:firstLine="11"/>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974"/>
              <w:gridCol w:w="1701"/>
              <w:gridCol w:w="1843"/>
              <w:gridCol w:w="1842"/>
            </w:tblGrid>
            <w:tr w:rsidR="00D91342" w:rsidRPr="00A262AD" w14:paraId="6EB5041D" w14:textId="77777777" w:rsidTr="00A262AD">
              <w:tc>
                <w:tcPr>
                  <w:tcW w:w="1974" w:type="dxa"/>
                  <w:shd w:val="clear" w:color="auto" w:fill="D0CECE" w:themeFill="background2" w:themeFillShade="E6"/>
                </w:tcPr>
                <w:p w14:paraId="4AC8A74C" w14:textId="04886DBD" w:rsidR="00D91342" w:rsidRPr="00A262AD" w:rsidRDefault="00D91342" w:rsidP="00D91342">
                  <w:pPr>
                    <w:jc w:val="both"/>
                    <w:rPr>
                      <w:rFonts w:ascii="Times New Roman" w:hAnsi="Times New Roman" w:cs="Times New Roman"/>
                      <w:b/>
                      <w:bCs/>
                      <w:sz w:val="20"/>
                      <w:szCs w:val="20"/>
                    </w:rPr>
                  </w:pPr>
                  <w:r w:rsidRPr="00A262AD">
                    <w:rPr>
                      <w:rFonts w:ascii="Times New Roman" w:hAnsi="Times New Roman" w:cs="Times New Roman"/>
                      <w:b/>
                      <w:bCs/>
                      <w:sz w:val="20"/>
                      <w:szCs w:val="20"/>
                    </w:rPr>
                    <w:t>Preces nosaukums</w:t>
                  </w:r>
                </w:p>
              </w:tc>
              <w:tc>
                <w:tcPr>
                  <w:tcW w:w="1701" w:type="dxa"/>
                  <w:shd w:val="clear" w:color="auto" w:fill="D0CECE" w:themeFill="background2" w:themeFillShade="E6"/>
                </w:tcPr>
                <w:p w14:paraId="0EC6F304" w14:textId="7DFE255C" w:rsidR="00D91342" w:rsidRPr="00A262AD" w:rsidRDefault="00D91342" w:rsidP="00D91342">
                  <w:pPr>
                    <w:jc w:val="both"/>
                    <w:rPr>
                      <w:rFonts w:ascii="Times New Roman" w:hAnsi="Times New Roman" w:cs="Times New Roman"/>
                      <w:b/>
                      <w:bCs/>
                      <w:sz w:val="20"/>
                      <w:szCs w:val="20"/>
                    </w:rPr>
                  </w:pPr>
                  <w:r w:rsidRPr="00A262AD">
                    <w:rPr>
                      <w:rFonts w:ascii="Times New Roman" w:hAnsi="Times New Roman" w:cs="Times New Roman"/>
                      <w:b/>
                      <w:bCs/>
                      <w:sz w:val="20"/>
                      <w:szCs w:val="20"/>
                    </w:rPr>
                    <w:t>Daudzums (g</w:t>
                  </w:r>
                  <w:r>
                    <w:rPr>
                      <w:rFonts w:ascii="Times New Roman" w:hAnsi="Times New Roman" w:cs="Times New Roman"/>
                      <w:b/>
                      <w:bCs/>
                      <w:sz w:val="20"/>
                      <w:szCs w:val="20"/>
                    </w:rPr>
                    <w:t>a</w:t>
                  </w:r>
                  <w:r w:rsidRPr="00A262AD">
                    <w:rPr>
                      <w:rFonts w:ascii="Times New Roman" w:hAnsi="Times New Roman" w:cs="Times New Roman"/>
                      <w:b/>
                      <w:bCs/>
                      <w:sz w:val="20"/>
                      <w:szCs w:val="20"/>
                    </w:rPr>
                    <w:t>b)</w:t>
                  </w:r>
                </w:p>
              </w:tc>
              <w:tc>
                <w:tcPr>
                  <w:tcW w:w="1843" w:type="dxa"/>
                  <w:shd w:val="clear" w:color="auto" w:fill="D0CECE" w:themeFill="background2" w:themeFillShade="E6"/>
                </w:tcPr>
                <w:p w14:paraId="0165A338" w14:textId="52E4C0DA" w:rsidR="00D91342" w:rsidRPr="00A262AD" w:rsidRDefault="00D91342" w:rsidP="00D91342">
                  <w:pPr>
                    <w:jc w:val="both"/>
                    <w:rPr>
                      <w:rFonts w:ascii="Times New Roman" w:hAnsi="Times New Roman" w:cs="Times New Roman"/>
                      <w:b/>
                      <w:bCs/>
                      <w:sz w:val="20"/>
                      <w:szCs w:val="20"/>
                    </w:rPr>
                  </w:pPr>
                  <w:r w:rsidRPr="00A262AD">
                    <w:rPr>
                      <w:rFonts w:ascii="Times New Roman" w:hAnsi="Times New Roman" w:cs="Times New Roman"/>
                      <w:b/>
                      <w:bCs/>
                      <w:sz w:val="20"/>
                      <w:szCs w:val="20"/>
                    </w:rPr>
                    <w:t>Vienas vienības izmaksas (EUR)</w:t>
                  </w:r>
                </w:p>
              </w:tc>
              <w:tc>
                <w:tcPr>
                  <w:tcW w:w="1842" w:type="dxa"/>
                  <w:shd w:val="clear" w:color="auto" w:fill="D0CECE" w:themeFill="background2" w:themeFillShade="E6"/>
                </w:tcPr>
                <w:p w14:paraId="333348C0" w14:textId="2C5C5CBA" w:rsidR="00D91342" w:rsidRPr="00A262AD" w:rsidRDefault="00D91342" w:rsidP="00D91342">
                  <w:pPr>
                    <w:jc w:val="both"/>
                    <w:rPr>
                      <w:rFonts w:ascii="Times New Roman" w:hAnsi="Times New Roman" w:cs="Times New Roman"/>
                      <w:b/>
                      <w:bCs/>
                      <w:sz w:val="20"/>
                      <w:szCs w:val="20"/>
                    </w:rPr>
                  </w:pPr>
                  <w:r w:rsidRPr="00A262AD">
                    <w:rPr>
                      <w:rFonts w:ascii="Times New Roman" w:hAnsi="Times New Roman" w:cs="Times New Roman"/>
                      <w:b/>
                      <w:bCs/>
                      <w:sz w:val="20"/>
                      <w:szCs w:val="20"/>
                    </w:rPr>
                    <w:t>Kopējās izmaksas (t.sk. PVN)</w:t>
                  </w:r>
                </w:p>
              </w:tc>
            </w:tr>
            <w:tr w:rsidR="00D91342" w:rsidRPr="00A262AD" w14:paraId="417075BC" w14:textId="77777777" w:rsidTr="00A262AD">
              <w:tc>
                <w:tcPr>
                  <w:tcW w:w="1974" w:type="dxa"/>
                </w:tcPr>
                <w:p w14:paraId="316BB164" w14:textId="1FE6A3D7" w:rsidR="00D91342" w:rsidRPr="00A262AD" w:rsidRDefault="00D91342" w:rsidP="00D91342">
                  <w:pPr>
                    <w:jc w:val="both"/>
                    <w:rPr>
                      <w:rFonts w:ascii="Times New Roman" w:hAnsi="Times New Roman" w:cs="Times New Roman"/>
                      <w:sz w:val="20"/>
                      <w:szCs w:val="20"/>
                    </w:rPr>
                  </w:pPr>
                  <w:r w:rsidRPr="00A262AD">
                    <w:rPr>
                      <w:rFonts w:ascii="Times New Roman" w:hAnsi="Times New Roman" w:cs="Times New Roman"/>
                      <w:sz w:val="20"/>
                      <w:szCs w:val="20"/>
                    </w:rPr>
                    <w:t>Portatīvais dators</w:t>
                  </w:r>
                </w:p>
              </w:tc>
              <w:tc>
                <w:tcPr>
                  <w:tcW w:w="1701" w:type="dxa"/>
                </w:tcPr>
                <w:p w14:paraId="0B810FB0" w14:textId="15F15239" w:rsidR="00D91342" w:rsidRPr="00A262AD" w:rsidRDefault="00D91342" w:rsidP="00D91342">
                  <w:pPr>
                    <w:jc w:val="center"/>
                    <w:rPr>
                      <w:rFonts w:ascii="Times New Roman" w:hAnsi="Times New Roman" w:cs="Times New Roman"/>
                      <w:sz w:val="20"/>
                      <w:szCs w:val="20"/>
                    </w:rPr>
                  </w:pPr>
                  <w:r w:rsidRPr="00A262AD">
                    <w:rPr>
                      <w:rFonts w:ascii="Times New Roman" w:hAnsi="Times New Roman" w:cs="Times New Roman"/>
                      <w:sz w:val="20"/>
                      <w:szCs w:val="20"/>
                    </w:rPr>
                    <w:t>66</w:t>
                  </w:r>
                </w:p>
              </w:tc>
              <w:tc>
                <w:tcPr>
                  <w:tcW w:w="1843" w:type="dxa"/>
                </w:tcPr>
                <w:p w14:paraId="71439BEA" w14:textId="77A8A5CC" w:rsidR="00D91342" w:rsidRPr="00A262AD" w:rsidRDefault="00D91342" w:rsidP="00D91342">
                  <w:pPr>
                    <w:jc w:val="center"/>
                    <w:rPr>
                      <w:rFonts w:ascii="Times New Roman" w:hAnsi="Times New Roman" w:cs="Times New Roman"/>
                      <w:sz w:val="20"/>
                      <w:szCs w:val="20"/>
                    </w:rPr>
                  </w:pPr>
                  <w:r w:rsidRPr="00A262AD">
                    <w:rPr>
                      <w:rFonts w:ascii="Times New Roman" w:hAnsi="Times New Roman" w:cs="Times New Roman"/>
                      <w:sz w:val="20"/>
                      <w:szCs w:val="20"/>
                    </w:rPr>
                    <w:t>1 200</w:t>
                  </w:r>
                </w:p>
              </w:tc>
              <w:tc>
                <w:tcPr>
                  <w:tcW w:w="1842" w:type="dxa"/>
                </w:tcPr>
                <w:p w14:paraId="49C15D10" w14:textId="6B6E218D" w:rsidR="00D91342" w:rsidRPr="00A262AD" w:rsidRDefault="00D91342" w:rsidP="00D91342">
                  <w:pPr>
                    <w:jc w:val="center"/>
                    <w:rPr>
                      <w:rFonts w:ascii="Times New Roman" w:hAnsi="Times New Roman" w:cs="Times New Roman"/>
                      <w:sz w:val="20"/>
                      <w:szCs w:val="20"/>
                    </w:rPr>
                  </w:pPr>
                  <w:r w:rsidRPr="00A262AD">
                    <w:rPr>
                      <w:rFonts w:ascii="Times New Roman" w:hAnsi="Times New Roman" w:cs="Times New Roman"/>
                      <w:sz w:val="20"/>
                      <w:szCs w:val="20"/>
                    </w:rPr>
                    <w:t>79 200</w:t>
                  </w:r>
                </w:p>
              </w:tc>
            </w:tr>
            <w:tr w:rsidR="00D91342" w:rsidRPr="00A262AD" w14:paraId="426DCFCD" w14:textId="77777777" w:rsidTr="00A262AD">
              <w:tc>
                <w:tcPr>
                  <w:tcW w:w="1974" w:type="dxa"/>
                </w:tcPr>
                <w:p w14:paraId="12618E08" w14:textId="77996E42" w:rsidR="00D91342" w:rsidRPr="00A262AD" w:rsidRDefault="00D91342" w:rsidP="00D91342">
                  <w:pPr>
                    <w:jc w:val="both"/>
                    <w:rPr>
                      <w:rFonts w:ascii="Times New Roman" w:hAnsi="Times New Roman" w:cs="Times New Roman"/>
                      <w:sz w:val="20"/>
                      <w:szCs w:val="20"/>
                    </w:rPr>
                  </w:pPr>
                  <w:r w:rsidRPr="00A262AD">
                    <w:rPr>
                      <w:rFonts w:ascii="Times New Roman" w:hAnsi="Times New Roman" w:cs="Times New Roman"/>
                      <w:sz w:val="20"/>
                      <w:szCs w:val="20"/>
                    </w:rPr>
                    <w:t>Stacionārais dators</w:t>
                  </w:r>
                </w:p>
              </w:tc>
              <w:tc>
                <w:tcPr>
                  <w:tcW w:w="1701" w:type="dxa"/>
                </w:tcPr>
                <w:p w14:paraId="43928F7D" w14:textId="26FADD15" w:rsidR="00D91342" w:rsidRPr="00A262AD" w:rsidRDefault="00D91342" w:rsidP="00D91342">
                  <w:pPr>
                    <w:jc w:val="center"/>
                    <w:rPr>
                      <w:rFonts w:ascii="Times New Roman" w:hAnsi="Times New Roman" w:cs="Times New Roman"/>
                      <w:sz w:val="20"/>
                      <w:szCs w:val="20"/>
                    </w:rPr>
                  </w:pPr>
                  <w:r w:rsidRPr="00A262AD">
                    <w:rPr>
                      <w:rFonts w:ascii="Times New Roman" w:hAnsi="Times New Roman" w:cs="Times New Roman"/>
                      <w:sz w:val="20"/>
                      <w:szCs w:val="20"/>
                    </w:rPr>
                    <w:t>110</w:t>
                  </w:r>
                </w:p>
              </w:tc>
              <w:tc>
                <w:tcPr>
                  <w:tcW w:w="1843" w:type="dxa"/>
                </w:tcPr>
                <w:p w14:paraId="68978C4B" w14:textId="1D500269" w:rsidR="00D91342" w:rsidRPr="00A262AD" w:rsidRDefault="00D91342" w:rsidP="00D91342">
                  <w:pPr>
                    <w:jc w:val="center"/>
                    <w:rPr>
                      <w:rFonts w:ascii="Times New Roman" w:hAnsi="Times New Roman" w:cs="Times New Roman"/>
                      <w:sz w:val="20"/>
                      <w:szCs w:val="20"/>
                    </w:rPr>
                  </w:pPr>
                  <w:r w:rsidRPr="00A262AD">
                    <w:rPr>
                      <w:rFonts w:ascii="Times New Roman" w:hAnsi="Times New Roman" w:cs="Times New Roman"/>
                      <w:sz w:val="20"/>
                      <w:szCs w:val="20"/>
                    </w:rPr>
                    <w:t>393,25</w:t>
                  </w:r>
                </w:p>
              </w:tc>
              <w:tc>
                <w:tcPr>
                  <w:tcW w:w="1842" w:type="dxa"/>
                </w:tcPr>
                <w:p w14:paraId="18EE09F1" w14:textId="0FFFA7FE" w:rsidR="00D91342" w:rsidRPr="00A262AD" w:rsidRDefault="00D91342" w:rsidP="00D91342">
                  <w:pPr>
                    <w:jc w:val="center"/>
                    <w:rPr>
                      <w:rFonts w:ascii="Times New Roman" w:hAnsi="Times New Roman" w:cs="Times New Roman"/>
                      <w:sz w:val="20"/>
                      <w:szCs w:val="20"/>
                    </w:rPr>
                  </w:pPr>
                  <w:r>
                    <w:rPr>
                      <w:rFonts w:ascii="Times New Roman" w:hAnsi="Times New Roman" w:cs="Times New Roman"/>
                      <w:sz w:val="20"/>
                      <w:szCs w:val="20"/>
                    </w:rPr>
                    <w:t>43 257,50</w:t>
                  </w:r>
                </w:p>
              </w:tc>
            </w:tr>
            <w:tr w:rsidR="00D91342" w:rsidRPr="00A262AD" w14:paraId="40E03AF6" w14:textId="77777777" w:rsidTr="00A262AD">
              <w:tc>
                <w:tcPr>
                  <w:tcW w:w="1974" w:type="dxa"/>
                </w:tcPr>
                <w:p w14:paraId="770A175F" w14:textId="0A473275" w:rsidR="00D91342" w:rsidRPr="00A262AD" w:rsidRDefault="00D91342" w:rsidP="00D91342">
                  <w:pPr>
                    <w:jc w:val="right"/>
                    <w:rPr>
                      <w:rFonts w:ascii="Times New Roman" w:hAnsi="Times New Roman" w:cs="Times New Roman"/>
                      <w:b/>
                      <w:bCs/>
                      <w:sz w:val="20"/>
                      <w:szCs w:val="20"/>
                    </w:rPr>
                  </w:pPr>
                  <w:r w:rsidRPr="00A262AD">
                    <w:rPr>
                      <w:rFonts w:ascii="Times New Roman" w:hAnsi="Times New Roman" w:cs="Times New Roman"/>
                      <w:b/>
                      <w:bCs/>
                      <w:sz w:val="20"/>
                      <w:szCs w:val="20"/>
                    </w:rPr>
                    <w:t>KOPĀ:</w:t>
                  </w:r>
                </w:p>
              </w:tc>
              <w:tc>
                <w:tcPr>
                  <w:tcW w:w="1701" w:type="dxa"/>
                </w:tcPr>
                <w:p w14:paraId="592F9A43" w14:textId="77777777" w:rsidR="00D91342" w:rsidRPr="00A262AD" w:rsidRDefault="00D91342" w:rsidP="00D91342">
                  <w:pPr>
                    <w:jc w:val="both"/>
                    <w:rPr>
                      <w:rFonts w:ascii="Times New Roman" w:hAnsi="Times New Roman" w:cs="Times New Roman"/>
                      <w:sz w:val="20"/>
                      <w:szCs w:val="20"/>
                    </w:rPr>
                  </w:pPr>
                </w:p>
              </w:tc>
              <w:tc>
                <w:tcPr>
                  <w:tcW w:w="1843" w:type="dxa"/>
                </w:tcPr>
                <w:p w14:paraId="123DD4D5" w14:textId="77777777" w:rsidR="00D91342" w:rsidRPr="00A262AD" w:rsidRDefault="00D91342" w:rsidP="00D91342">
                  <w:pPr>
                    <w:jc w:val="both"/>
                    <w:rPr>
                      <w:rFonts w:ascii="Times New Roman" w:hAnsi="Times New Roman" w:cs="Times New Roman"/>
                      <w:sz w:val="20"/>
                      <w:szCs w:val="20"/>
                    </w:rPr>
                  </w:pPr>
                </w:p>
              </w:tc>
              <w:tc>
                <w:tcPr>
                  <w:tcW w:w="1842" w:type="dxa"/>
                </w:tcPr>
                <w:p w14:paraId="691AB6B5" w14:textId="49DC0B30" w:rsidR="00D91342" w:rsidRPr="00A262AD" w:rsidRDefault="00D91342" w:rsidP="00D91342">
                  <w:pPr>
                    <w:jc w:val="center"/>
                    <w:rPr>
                      <w:rFonts w:ascii="Times New Roman" w:hAnsi="Times New Roman" w:cs="Times New Roman"/>
                      <w:b/>
                      <w:bCs/>
                      <w:sz w:val="20"/>
                      <w:szCs w:val="20"/>
                    </w:rPr>
                  </w:pPr>
                  <w:r w:rsidRPr="00A262AD">
                    <w:rPr>
                      <w:rFonts w:ascii="Times New Roman" w:hAnsi="Times New Roman" w:cs="Times New Roman"/>
                      <w:b/>
                      <w:bCs/>
                      <w:sz w:val="20"/>
                      <w:szCs w:val="20"/>
                    </w:rPr>
                    <w:t>122 457,50</w:t>
                  </w:r>
                </w:p>
              </w:tc>
            </w:tr>
          </w:tbl>
          <w:p w14:paraId="73E35AF4" w14:textId="77777777" w:rsidR="00D91342" w:rsidRPr="009C3303" w:rsidRDefault="00D91342" w:rsidP="00D91342">
            <w:pPr>
              <w:spacing w:after="0"/>
              <w:jc w:val="both"/>
              <w:rPr>
                <w:rFonts w:ascii="Times New Roman" w:hAnsi="Times New Roman" w:cs="Times New Roman"/>
                <w:sz w:val="24"/>
                <w:szCs w:val="24"/>
              </w:rPr>
            </w:pPr>
          </w:p>
          <w:p w14:paraId="27540DAA" w14:textId="77777777" w:rsidR="00D91342" w:rsidRDefault="00D91342" w:rsidP="00D91342">
            <w:pPr>
              <w:pStyle w:val="BodyTextIndent"/>
              <w:tabs>
                <w:tab w:val="left" w:pos="709"/>
              </w:tabs>
              <w:ind w:firstLine="264"/>
              <w:rPr>
                <w:szCs w:val="24"/>
              </w:rPr>
            </w:pPr>
          </w:p>
          <w:p w14:paraId="09C4329F" w14:textId="7A601D32" w:rsidR="00D91342" w:rsidRDefault="00D91342" w:rsidP="00D91342">
            <w:pPr>
              <w:pStyle w:val="BodyTextIndent"/>
              <w:tabs>
                <w:tab w:val="left" w:pos="709"/>
              </w:tabs>
              <w:ind w:firstLine="264"/>
              <w:rPr>
                <w:szCs w:val="24"/>
              </w:rPr>
            </w:pPr>
            <w:r w:rsidRPr="00925067">
              <w:rPr>
                <w:szCs w:val="24"/>
              </w:rPr>
              <w:t xml:space="preserve">Rīkojuma projekts paredz atbalstīt apropriācijas pārdali 2020.gadam starp Veselības ministrijas </w:t>
            </w:r>
            <w:r w:rsidRPr="009F568D">
              <w:rPr>
                <w:szCs w:val="24"/>
              </w:rPr>
              <w:t>budžeta apakšprogrammām/programmām, tai skaitā</w:t>
            </w:r>
            <w:r w:rsidRPr="00925067">
              <w:rPr>
                <w:szCs w:val="24"/>
              </w:rPr>
              <w:t xml:space="preserve">, no apakšprogrammas 45.01.00 “Veselības aprūpes finansējuma administrēšana un ekonomiskā novērtēšana”, samazinot dotāciju no vispārējiem ieņēmumiem un izdevumus pamatkapitālā veidošanai,  122 458 </w:t>
            </w:r>
            <w:r w:rsidRPr="00D91342">
              <w:rPr>
                <w:i/>
                <w:iCs/>
                <w:szCs w:val="24"/>
              </w:rPr>
              <w:t>euro</w:t>
            </w:r>
            <w:r w:rsidRPr="00925067">
              <w:rPr>
                <w:szCs w:val="24"/>
              </w:rPr>
              <w:t xml:space="preserve"> apmērā  uz programmu 97.00.00 “Nozares vadība un politikas plānošana”, palielinot dotāciju no vispārējiem ieņēmumiem un izdevumus pamatkapitālā veidošanai, lai nodrošinātu Veselības ministrijas materiāli tehniskās bāzes (datortehnikas) atjaunošanu.</w:t>
            </w:r>
          </w:p>
          <w:p w14:paraId="51765504" w14:textId="39D1DEFF" w:rsidR="00C1488C" w:rsidRDefault="00C1488C" w:rsidP="00D91342">
            <w:pPr>
              <w:pStyle w:val="BodyTextIndent"/>
              <w:tabs>
                <w:tab w:val="left" w:pos="709"/>
              </w:tabs>
              <w:ind w:firstLine="264"/>
              <w:rPr>
                <w:szCs w:val="24"/>
              </w:rPr>
            </w:pPr>
            <w:r w:rsidRPr="00C1488C">
              <w:rPr>
                <w:szCs w:val="24"/>
              </w:rPr>
              <w:t>Veselības ministrija normatīvajos aktos noteiktajā kārtībā sagatavo</w:t>
            </w:r>
            <w:r w:rsidR="005344EB">
              <w:rPr>
                <w:szCs w:val="24"/>
              </w:rPr>
              <w:t>s</w:t>
            </w:r>
            <w:r w:rsidRPr="00C1488C">
              <w:rPr>
                <w:szCs w:val="24"/>
              </w:rPr>
              <w:t xml:space="preserve"> un iesnieg</w:t>
            </w:r>
            <w:r w:rsidR="005344EB">
              <w:rPr>
                <w:szCs w:val="24"/>
              </w:rPr>
              <w:t>s</w:t>
            </w:r>
            <w:r w:rsidRPr="00C1488C">
              <w:rPr>
                <w:szCs w:val="24"/>
              </w:rPr>
              <w:t xml:space="preserve"> Finanšu ministrijā pieprasījumu valsts budžeta apropriācijas pārdalei atbilstoši šā rīkojuma 1.punktam.</w:t>
            </w:r>
          </w:p>
          <w:p w14:paraId="48B71F38" w14:textId="4E9A9E3A" w:rsidR="00D91342" w:rsidRDefault="006C2FE3" w:rsidP="00D91342">
            <w:pPr>
              <w:pStyle w:val="BodyTextIndent"/>
              <w:tabs>
                <w:tab w:val="left" w:pos="709"/>
              </w:tabs>
              <w:ind w:firstLine="264"/>
              <w:rPr>
                <w:color w:val="000000"/>
                <w:szCs w:val="24"/>
                <w:shd w:val="clear" w:color="auto" w:fill="FFFFFF"/>
              </w:rPr>
            </w:pPr>
            <w:r w:rsidRPr="006C2FE3">
              <w:rPr>
                <w:szCs w:val="24"/>
              </w:rPr>
              <w:t>Finanšu ministr</w:t>
            </w:r>
            <w:r w:rsidR="005344EB">
              <w:rPr>
                <w:szCs w:val="24"/>
              </w:rPr>
              <w:t>s</w:t>
            </w:r>
            <w:r w:rsidRPr="006C2FE3">
              <w:rPr>
                <w:szCs w:val="24"/>
              </w:rPr>
              <w:t xml:space="preserve"> normatīvajos aktos noteiktajā kārtībā informē</w:t>
            </w:r>
            <w:r w:rsidR="005344EB">
              <w:rPr>
                <w:szCs w:val="24"/>
              </w:rPr>
              <w:t>s</w:t>
            </w:r>
            <w:r w:rsidRPr="006C2FE3">
              <w:rPr>
                <w:szCs w:val="24"/>
              </w:rPr>
              <w:t xml:space="preserve"> Saeimas Budžeta un finanšu (nodokļu) komisiju par šā rīkojuma 1.punktā minēto apropriācijas pārdali un, ja Saeimas Budžeta un finanšu (nodokļu) komisija piecu darbdienu laikā pēc attiecīgās informācijas saņemšanas </w:t>
            </w:r>
            <w:r w:rsidR="005344EB">
              <w:rPr>
                <w:szCs w:val="24"/>
              </w:rPr>
              <w:t>nebūs</w:t>
            </w:r>
            <w:r w:rsidRPr="006C2FE3">
              <w:rPr>
                <w:szCs w:val="24"/>
              </w:rPr>
              <w:t xml:space="preserve"> iebildumus, veik</w:t>
            </w:r>
            <w:r w:rsidR="005344EB">
              <w:rPr>
                <w:szCs w:val="24"/>
              </w:rPr>
              <w:t>s</w:t>
            </w:r>
            <w:r w:rsidRPr="006C2FE3">
              <w:rPr>
                <w:szCs w:val="24"/>
              </w:rPr>
              <w:t xml:space="preserve"> apropriācijas pārdali</w:t>
            </w:r>
            <w:r w:rsidR="00D91342" w:rsidRPr="00925067">
              <w:rPr>
                <w:szCs w:val="24"/>
              </w:rPr>
              <w:t>.</w:t>
            </w:r>
            <w:r w:rsidR="00D91342">
              <w:rPr>
                <w:szCs w:val="24"/>
              </w:rPr>
              <w:t xml:space="preserve"> </w:t>
            </w:r>
          </w:p>
          <w:p w14:paraId="60E9FDAB" w14:textId="77777777" w:rsidR="00D91342" w:rsidRDefault="00D91342" w:rsidP="00D91342">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13F94F2C" w14:textId="018C7F52" w:rsidR="00D91342" w:rsidRPr="00487563" w:rsidRDefault="00D91342" w:rsidP="00D91342">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Apakšprogrammā </w:t>
            </w:r>
            <w:r w:rsidRPr="00A262AD">
              <w:rPr>
                <w:rFonts w:ascii="Times New Roman" w:eastAsia="Times New Roman" w:hAnsi="Times New Roman" w:cs="Times New Roman"/>
                <w:color w:val="000000"/>
                <w:sz w:val="24"/>
                <w:szCs w:val="24"/>
                <w:lang w:eastAsia="lv-LV"/>
              </w:rPr>
              <w:t>45.01.00 “Veselības aprūpes finansējuma administrēšana un ekonomiskā novērtēšana”</w:t>
            </w:r>
            <w:r>
              <w:rPr>
                <w:rFonts w:ascii="Times New Roman" w:eastAsia="Times New Roman" w:hAnsi="Times New Roman" w:cs="Times New Roman"/>
                <w:color w:val="000000"/>
                <w:sz w:val="24"/>
                <w:szCs w:val="24"/>
                <w:lang w:eastAsia="lv-LV"/>
              </w:rPr>
              <w:t xml:space="preserve"> izveidojies līdzekļu atlikums 553 108 </w:t>
            </w:r>
            <w:r w:rsidRPr="00A262AD">
              <w:rPr>
                <w:rFonts w:ascii="Times New Roman" w:eastAsia="Times New Roman" w:hAnsi="Times New Roman" w:cs="Times New Roman"/>
                <w:i/>
                <w:iCs/>
                <w:color w:val="000000"/>
                <w:sz w:val="24"/>
                <w:szCs w:val="24"/>
                <w:lang w:eastAsia="lv-LV"/>
              </w:rPr>
              <w:t>euro</w:t>
            </w:r>
            <w:r>
              <w:rPr>
                <w:rFonts w:ascii="Times New Roman" w:eastAsia="Times New Roman" w:hAnsi="Times New Roman" w:cs="Times New Roman"/>
                <w:color w:val="000000"/>
                <w:sz w:val="24"/>
                <w:szCs w:val="24"/>
                <w:lang w:eastAsia="lv-LV"/>
              </w:rPr>
              <w:t xml:space="preserve"> apmērā tiks pārdalīts uz programmu 97.00.00 </w:t>
            </w:r>
            <w:r w:rsidRPr="00A262AD">
              <w:rPr>
                <w:rFonts w:ascii="Times New Roman" w:hAnsi="Times New Roman" w:cs="Times New Roman"/>
                <w:sz w:val="24"/>
                <w:szCs w:val="24"/>
              </w:rPr>
              <w:t>“Nozares vadība un politikas plānošana</w:t>
            </w:r>
            <w:r w:rsidRPr="009C3303">
              <w:rPr>
                <w:rFonts w:ascii="Times New Roman" w:hAnsi="Times New Roman" w:cs="Times New Roman"/>
                <w:sz w:val="24"/>
                <w:szCs w:val="24"/>
              </w:rPr>
              <w:t>”</w:t>
            </w:r>
            <w:r>
              <w:rPr>
                <w:rFonts w:ascii="Times New Roman" w:hAnsi="Times New Roman" w:cs="Times New Roman"/>
                <w:sz w:val="24"/>
                <w:szCs w:val="24"/>
              </w:rPr>
              <w:t xml:space="preserve"> 122 458 </w:t>
            </w:r>
            <w:r w:rsidRPr="00E033DF">
              <w:rPr>
                <w:rFonts w:ascii="Times New Roman" w:hAnsi="Times New Roman" w:cs="Times New Roman"/>
                <w:i/>
                <w:iCs/>
                <w:sz w:val="24"/>
                <w:szCs w:val="24"/>
              </w:rPr>
              <w:t>euro</w:t>
            </w:r>
            <w:r>
              <w:rPr>
                <w:rFonts w:ascii="Times New Roman" w:hAnsi="Times New Roman" w:cs="Times New Roman"/>
                <w:sz w:val="24"/>
                <w:szCs w:val="24"/>
              </w:rPr>
              <w:t xml:space="preserve">, ko paredz šis rīkojuma projekts un  430 650 </w:t>
            </w:r>
            <w:r w:rsidRPr="00E033DF">
              <w:rPr>
                <w:rFonts w:ascii="Times New Roman" w:hAnsi="Times New Roman" w:cs="Times New Roman"/>
                <w:i/>
                <w:iCs/>
                <w:sz w:val="24"/>
                <w:szCs w:val="24"/>
              </w:rPr>
              <w:t>euro</w:t>
            </w:r>
            <w:r>
              <w:rPr>
                <w:rFonts w:ascii="Times New Roman" w:hAnsi="Times New Roman" w:cs="Times New Roman"/>
                <w:sz w:val="24"/>
                <w:szCs w:val="24"/>
              </w:rPr>
              <w:t xml:space="preserve"> tiks pārdalīts Veselības ministrijas budžeta ietvaros uz citām Veselības ministrijas budžeta apakšprogrammām.</w:t>
            </w:r>
          </w:p>
        </w:tc>
      </w:tr>
      <w:tr w:rsidR="00D91342" w:rsidRPr="00EF09F1" w14:paraId="7285F016"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7EE4548F" w14:textId="77777777" w:rsidR="00D91342" w:rsidRPr="009C3303" w:rsidRDefault="00D91342" w:rsidP="00D91342">
            <w:pPr>
              <w:rPr>
                <w:rFonts w:ascii="Times New Roman" w:hAnsi="Times New Roman" w:cs="Times New Roman"/>
                <w:sz w:val="24"/>
                <w:szCs w:val="24"/>
              </w:rPr>
            </w:pPr>
            <w:r w:rsidRPr="009C3303">
              <w:rPr>
                <w:rFonts w:ascii="Times New Roman" w:hAnsi="Times New Roman" w:cs="Times New Roman"/>
                <w:sz w:val="24"/>
                <w:szCs w:val="24"/>
              </w:rPr>
              <w:t>6.1. detalizēts ieņēmu</w:t>
            </w:r>
            <w:r w:rsidRPr="009C3303">
              <w:rPr>
                <w:rFonts w:ascii="Times New Roman" w:hAnsi="Times New Roman" w:cs="Times New Roman"/>
                <w:sz w:val="24"/>
                <w:szCs w:val="24"/>
              </w:rPr>
              <w:lastRenderedPageBreak/>
              <w:t>mu aprēķins</w:t>
            </w:r>
          </w:p>
        </w:tc>
        <w:tc>
          <w:tcPr>
            <w:tcW w:w="4423" w:type="pct"/>
            <w:gridSpan w:val="7"/>
            <w:vMerge/>
            <w:tcBorders>
              <w:top w:val="outset" w:sz="6" w:space="0" w:color="auto"/>
              <w:left w:val="outset" w:sz="6" w:space="0" w:color="auto"/>
              <w:bottom w:val="outset" w:sz="6" w:space="0" w:color="auto"/>
              <w:right w:val="outset" w:sz="6" w:space="0" w:color="auto"/>
            </w:tcBorders>
            <w:vAlign w:val="center"/>
            <w:hideMark/>
          </w:tcPr>
          <w:p w14:paraId="188CF454" w14:textId="77777777" w:rsidR="00D91342" w:rsidRPr="00EF09F1" w:rsidRDefault="00D91342" w:rsidP="00D91342">
            <w:pPr>
              <w:rPr>
                <w:rFonts w:ascii="Times New Roman" w:eastAsia="Times New Roman" w:hAnsi="Times New Roman" w:cs="Times New Roman"/>
                <w:noProof/>
                <w:sz w:val="28"/>
                <w:szCs w:val="28"/>
              </w:rPr>
            </w:pPr>
          </w:p>
        </w:tc>
      </w:tr>
      <w:tr w:rsidR="00D91342" w:rsidRPr="00EF09F1" w14:paraId="2171D6FB"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17587754" w14:textId="77777777" w:rsidR="00D91342" w:rsidRPr="009C3303" w:rsidRDefault="00D91342" w:rsidP="00D91342">
            <w:pPr>
              <w:rPr>
                <w:rFonts w:ascii="Times New Roman" w:hAnsi="Times New Roman" w:cs="Times New Roman"/>
                <w:sz w:val="24"/>
                <w:szCs w:val="24"/>
              </w:rPr>
            </w:pPr>
            <w:r w:rsidRPr="009C3303">
              <w:rPr>
                <w:rFonts w:ascii="Times New Roman" w:hAnsi="Times New Roman" w:cs="Times New Roman"/>
                <w:sz w:val="24"/>
                <w:szCs w:val="24"/>
              </w:rPr>
              <w:t>6.2. detalizēts izdevumu aprēķins</w:t>
            </w:r>
          </w:p>
        </w:tc>
        <w:tc>
          <w:tcPr>
            <w:tcW w:w="4423" w:type="pct"/>
            <w:gridSpan w:val="7"/>
            <w:vMerge/>
            <w:tcBorders>
              <w:top w:val="outset" w:sz="6" w:space="0" w:color="auto"/>
              <w:left w:val="outset" w:sz="6" w:space="0" w:color="auto"/>
              <w:bottom w:val="outset" w:sz="6" w:space="0" w:color="auto"/>
              <w:right w:val="outset" w:sz="6" w:space="0" w:color="auto"/>
            </w:tcBorders>
            <w:vAlign w:val="center"/>
            <w:hideMark/>
          </w:tcPr>
          <w:p w14:paraId="37E68465" w14:textId="77777777" w:rsidR="00D91342" w:rsidRPr="00EF09F1" w:rsidRDefault="00D91342" w:rsidP="00D91342">
            <w:pPr>
              <w:rPr>
                <w:rFonts w:ascii="Times New Roman" w:eastAsia="Times New Roman" w:hAnsi="Times New Roman" w:cs="Times New Roman"/>
                <w:noProof/>
                <w:sz w:val="28"/>
                <w:szCs w:val="28"/>
              </w:rPr>
            </w:pPr>
          </w:p>
        </w:tc>
      </w:tr>
      <w:tr w:rsidR="00D91342" w:rsidRPr="00B85111" w14:paraId="14B743B0"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27512F2E"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7. Amata vietu skaita izmaiņas</w:t>
            </w:r>
          </w:p>
        </w:tc>
        <w:tc>
          <w:tcPr>
            <w:tcW w:w="4423" w:type="pct"/>
            <w:gridSpan w:val="7"/>
            <w:tcBorders>
              <w:top w:val="outset" w:sz="6" w:space="0" w:color="auto"/>
              <w:left w:val="outset" w:sz="6" w:space="0" w:color="auto"/>
              <w:bottom w:val="outset" w:sz="6" w:space="0" w:color="auto"/>
              <w:right w:val="outset" w:sz="6" w:space="0" w:color="auto"/>
            </w:tcBorders>
            <w:hideMark/>
          </w:tcPr>
          <w:p w14:paraId="708BC2F0" w14:textId="77777777" w:rsidR="00D91342"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Nav.</w:t>
            </w:r>
          </w:p>
          <w:p w14:paraId="3CC2591D" w14:textId="77777777" w:rsidR="00D91342" w:rsidRDefault="00D91342" w:rsidP="00D91342">
            <w:pPr>
              <w:ind w:firstLine="720"/>
              <w:rPr>
                <w:rFonts w:ascii="Times New Roman" w:hAnsi="Times New Roman" w:cs="Times New Roman"/>
                <w:sz w:val="24"/>
                <w:szCs w:val="24"/>
              </w:rPr>
            </w:pPr>
          </w:p>
          <w:p w14:paraId="06E184FB" w14:textId="77777777" w:rsidR="00D91342" w:rsidRPr="00313D51" w:rsidRDefault="00D91342" w:rsidP="00D91342">
            <w:pPr>
              <w:rPr>
                <w:rFonts w:ascii="Times New Roman" w:hAnsi="Times New Roman" w:cs="Times New Roman"/>
                <w:sz w:val="24"/>
                <w:szCs w:val="24"/>
              </w:rPr>
            </w:pPr>
          </w:p>
        </w:tc>
      </w:tr>
      <w:tr w:rsidR="00D91342" w:rsidRPr="00B85111" w14:paraId="43D08844"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5AC7ABF"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8. Cita informācija</w:t>
            </w:r>
          </w:p>
        </w:tc>
        <w:tc>
          <w:tcPr>
            <w:tcW w:w="4423" w:type="pct"/>
            <w:gridSpan w:val="7"/>
            <w:tcBorders>
              <w:top w:val="outset" w:sz="6" w:space="0" w:color="auto"/>
              <w:left w:val="outset" w:sz="6" w:space="0" w:color="auto"/>
              <w:bottom w:val="outset" w:sz="6" w:space="0" w:color="auto"/>
              <w:right w:val="outset" w:sz="6" w:space="0" w:color="auto"/>
            </w:tcBorders>
            <w:hideMark/>
          </w:tcPr>
          <w:p w14:paraId="54EDD9FC"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Nav</w:t>
            </w:r>
          </w:p>
        </w:tc>
      </w:tr>
    </w:tbl>
    <w:p w14:paraId="32086BE0" w14:textId="77777777" w:rsidR="00DD0636" w:rsidRPr="00B85111" w:rsidRDefault="00DD0636" w:rsidP="00E5323B">
      <w:pPr>
        <w:spacing w:after="0" w:line="240" w:lineRule="auto"/>
        <w:rPr>
          <w:rFonts w:ascii="Times New Roman" w:eastAsia="Times New Roman" w:hAnsi="Times New Roman" w:cs="Times New Roman"/>
          <w:iCs/>
          <w:color w:val="414142"/>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81"/>
        <w:gridCol w:w="5376"/>
      </w:tblGrid>
      <w:tr w:rsidR="00943DBE" w:rsidRPr="00943DBE" w14:paraId="31414ABE" w14:textId="77777777" w:rsidTr="00BB53A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081F3BAF" w14:textId="77777777" w:rsidR="00655F2C" w:rsidRPr="00943DBE" w:rsidRDefault="00E5323B" w:rsidP="00E5323B">
            <w:pPr>
              <w:spacing w:after="0" w:line="240" w:lineRule="auto"/>
              <w:rPr>
                <w:rFonts w:ascii="Times New Roman" w:eastAsia="Times New Roman" w:hAnsi="Times New Roman" w:cs="Times New Roman"/>
                <w:b/>
                <w:bCs/>
                <w:iCs/>
                <w:sz w:val="28"/>
                <w:szCs w:val="28"/>
                <w:lang w:eastAsia="lv-LV"/>
              </w:rPr>
            </w:pPr>
            <w:r w:rsidRPr="00943D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43DBE" w:rsidRPr="00943DBE" w14:paraId="67B75A12"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0DD2E45" w14:textId="77777777" w:rsidR="00655F2C" w:rsidRPr="00943DBE" w:rsidRDefault="00E5323B" w:rsidP="00E5323B">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044DF57" w14:textId="77777777" w:rsidR="00E5323B" w:rsidRPr="00943DBE" w:rsidRDefault="00E5323B" w:rsidP="00E5323B">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Projekta izpildē iesaistītās institūcijas</w:t>
            </w:r>
          </w:p>
        </w:tc>
        <w:tc>
          <w:tcPr>
            <w:tcW w:w="2973" w:type="pct"/>
            <w:tcBorders>
              <w:top w:val="outset" w:sz="6" w:space="0" w:color="auto"/>
              <w:left w:val="outset" w:sz="6" w:space="0" w:color="auto"/>
              <w:bottom w:val="outset" w:sz="6" w:space="0" w:color="auto"/>
              <w:right w:val="outset" w:sz="6" w:space="0" w:color="auto"/>
            </w:tcBorders>
            <w:hideMark/>
          </w:tcPr>
          <w:p w14:paraId="5D38D103" w14:textId="280BE856" w:rsidR="00E5323B" w:rsidRPr="00943DBE" w:rsidRDefault="009F568D" w:rsidP="009E408C">
            <w:pPr>
              <w:spacing w:after="0" w:line="240" w:lineRule="auto"/>
              <w:ind w:firstLine="391"/>
              <w:jc w:val="both"/>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VM</w:t>
            </w:r>
          </w:p>
        </w:tc>
      </w:tr>
      <w:tr w:rsidR="00943DBE" w:rsidRPr="00943DBE" w14:paraId="258252F1"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00759A8" w14:textId="77777777" w:rsidR="009A4FC0" w:rsidRPr="00943DBE" w:rsidRDefault="009A4FC0" w:rsidP="009A4FC0">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350731D6" w14:textId="77777777" w:rsidR="009A4FC0" w:rsidRPr="00943DBE" w:rsidRDefault="009A4FC0" w:rsidP="009A4FC0">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Projekta izpildes ietekme uz pārvaldes funkcijām un institucionālo struktūru.</w:t>
            </w:r>
            <w:r w:rsidRPr="00943DB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73" w:type="pct"/>
            <w:tcBorders>
              <w:top w:val="outset" w:sz="6" w:space="0" w:color="auto"/>
              <w:left w:val="outset" w:sz="6" w:space="0" w:color="auto"/>
              <w:bottom w:val="outset" w:sz="6" w:space="0" w:color="auto"/>
              <w:right w:val="outset" w:sz="6" w:space="0" w:color="auto"/>
            </w:tcBorders>
            <w:hideMark/>
          </w:tcPr>
          <w:p w14:paraId="700FB43C" w14:textId="0AF6E660" w:rsidR="009A4FC0" w:rsidRPr="00943DBE" w:rsidRDefault="009F568D" w:rsidP="009A4FC0">
            <w:pPr>
              <w:spacing w:after="0" w:line="240" w:lineRule="auto"/>
              <w:ind w:firstLine="391"/>
              <w:jc w:val="both"/>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MK</w:t>
            </w:r>
            <w:r w:rsidR="009A4FC0" w:rsidRPr="00943DBE">
              <w:rPr>
                <w:rFonts w:ascii="Times New Roman" w:eastAsia="Times New Roman" w:hAnsi="Times New Roman" w:cs="Times New Roman"/>
                <w:iCs/>
                <w:sz w:val="28"/>
                <w:szCs w:val="28"/>
                <w:lang w:eastAsia="lv-LV"/>
              </w:rPr>
              <w:t xml:space="preserve"> rīkojuma projekta izpild</w:t>
            </w:r>
            <w:r w:rsidR="00656FCE" w:rsidRPr="00943DBE">
              <w:rPr>
                <w:rFonts w:ascii="Times New Roman" w:eastAsia="Times New Roman" w:hAnsi="Times New Roman" w:cs="Times New Roman"/>
                <w:iCs/>
                <w:sz w:val="28"/>
                <w:szCs w:val="28"/>
                <w:lang w:eastAsia="lv-LV"/>
              </w:rPr>
              <w:t>e</w:t>
            </w:r>
            <w:r w:rsidR="009A4FC0" w:rsidRPr="00943DBE">
              <w:rPr>
                <w:rFonts w:ascii="Times New Roman" w:eastAsia="Times New Roman" w:hAnsi="Times New Roman" w:cs="Times New Roman"/>
                <w:iCs/>
                <w:sz w:val="28"/>
                <w:szCs w:val="28"/>
                <w:lang w:eastAsia="lv-LV"/>
              </w:rPr>
              <w:t xml:space="preserve"> </w:t>
            </w:r>
            <w:r w:rsidR="00656FCE" w:rsidRPr="00943DBE">
              <w:rPr>
                <w:rFonts w:ascii="Times New Roman" w:eastAsia="Times New Roman" w:hAnsi="Times New Roman" w:cs="Times New Roman"/>
                <w:iCs/>
                <w:sz w:val="28"/>
                <w:szCs w:val="28"/>
                <w:lang w:eastAsia="lv-LV"/>
              </w:rPr>
              <w:t>tiks nodrošināta</w:t>
            </w:r>
            <w:r w:rsidR="009A4FC0" w:rsidRPr="00943DBE">
              <w:rPr>
                <w:rFonts w:ascii="Times New Roman" w:eastAsia="Times New Roman" w:hAnsi="Times New Roman" w:cs="Times New Roman"/>
                <w:iCs/>
                <w:sz w:val="28"/>
                <w:szCs w:val="28"/>
                <w:lang w:eastAsia="lv-LV"/>
              </w:rPr>
              <w:t xml:space="preserve"> esošo funkciju ietvaros.</w:t>
            </w:r>
          </w:p>
        </w:tc>
      </w:tr>
      <w:tr w:rsidR="00943DBE" w:rsidRPr="00943DBE" w14:paraId="4783D7EF"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B4A5D2" w14:textId="77777777" w:rsidR="00655F2C" w:rsidRPr="00943DBE" w:rsidRDefault="00E5323B" w:rsidP="00E5323B">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44A1A98" w14:textId="77777777" w:rsidR="00E5323B" w:rsidRPr="00943DBE" w:rsidRDefault="00E5323B" w:rsidP="00E5323B">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79EB009F" w14:textId="77777777" w:rsidR="00E5323B" w:rsidRPr="00943DBE" w:rsidRDefault="002A4F2A" w:rsidP="00E5323B">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Nav</w:t>
            </w:r>
          </w:p>
        </w:tc>
      </w:tr>
    </w:tbl>
    <w:p w14:paraId="27FFD58D" w14:textId="77777777" w:rsidR="00C25B49" w:rsidRPr="00EF09F1" w:rsidRDefault="00AE0E76" w:rsidP="00894C55">
      <w:pPr>
        <w:spacing w:after="0" w:line="240" w:lineRule="auto"/>
        <w:rPr>
          <w:rFonts w:ascii="Times New Roman" w:hAnsi="Times New Roman" w:cs="Times New Roman"/>
          <w:sz w:val="28"/>
          <w:szCs w:val="28"/>
        </w:rPr>
      </w:pPr>
      <w:r w:rsidRPr="006E12E5">
        <w:rPr>
          <w:rFonts w:ascii="Times New Roman" w:hAnsi="Times New Roman" w:cs="Times New Roman"/>
          <w:i/>
          <w:color w:val="000000" w:themeColor="text1"/>
          <w:sz w:val="28"/>
          <w:szCs w:val="28"/>
        </w:rPr>
        <w:t>Anotācijas II, IV, V, VI sadaļa – projekts šīs jomas neskar.</w:t>
      </w:r>
    </w:p>
    <w:p w14:paraId="30BAF22C" w14:textId="77777777" w:rsidR="00274126" w:rsidRPr="00EF09F1" w:rsidRDefault="00274126" w:rsidP="00894C55">
      <w:pPr>
        <w:spacing w:after="0" w:line="240" w:lineRule="auto"/>
        <w:rPr>
          <w:rFonts w:ascii="Times New Roman" w:hAnsi="Times New Roman" w:cs="Times New Roman"/>
          <w:sz w:val="28"/>
          <w:szCs w:val="28"/>
        </w:rPr>
      </w:pPr>
    </w:p>
    <w:p w14:paraId="0EE952E9" w14:textId="4BBFF2EE" w:rsidR="00274126" w:rsidRPr="000C4406" w:rsidRDefault="00274126" w:rsidP="00274126">
      <w:pPr>
        <w:pStyle w:val="Bezatstarpm1"/>
        <w:rPr>
          <w:rFonts w:ascii="Times New Roman" w:hAnsi="Times New Roman"/>
          <w:sz w:val="28"/>
          <w:szCs w:val="28"/>
          <w:lang w:val="lv-LV"/>
        </w:rPr>
      </w:pPr>
      <w:r>
        <w:rPr>
          <w:rFonts w:ascii="Times New Roman" w:hAnsi="Times New Roman"/>
          <w:sz w:val="28"/>
          <w:szCs w:val="28"/>
          <w:lang w:val="lv-LV"/>
        </w:rPr>
        <w:t xml:space="preserve">Veselības ministre                                                               </w:t>
      </w:r>
      <w:r w:rsidRPr="000C4406">
        <w:rPr>
          <w:rFonts w:ascii="Times New Roman" w:hAnsi="Times New Roman"/>
          <w:sz w:val="28"/>
          <w:szCs w:val="28"/>
          <w:lang w:val="lv-LV"/>
        </w:rPr>
        <w:tab/>
      </w:r>
      <w:r>
        <w:rPr>
          <w:rFonts w:ascii="Times New Roman" w:hAnsi="Times New Roman"/>
          <w:sz w:val="28"/>
          <w:szCs w:val="28"/>
          <w:lang w:val="lv-LV"/>
        </w:rPr>
        <w:t xml:space="preserve">       </w:t>
      </w:r>
      <w:proofErr w:type="spellStart"/>
      <w:r>
        <w:rPr>
          <w:rFonts w:ascii="Times New Roman" w:hAnsi="Times New Roman"/>
          <w:sz w:val="28"/>
          <w:szCs w:val="28"/>
          <w:lang w:val="lv-LV"/>
        </w:rPr>
        <w:t>I</w:t>
      </w:r>
      <w:r w:rsidR="001B3784">
        <w:rPr>
          <w:rFonts w:ascii="Times New Roman" w:hAnsi="Times New Roman"/>
          <w:sz w:val="28"/>
          <w:szCs w:val="28"/>
          <w:lang w:val="lv-LV"/>
        </w:rPr>
        <w:t>.</w:t>
      </w:r>
      <w:r>
        <w:rPr>
          <w:rFonts w:ascii="Times New Roman" w:hAnsi="Times New Roman"/>
          <w:sz w:val="28"/>
          <w:szCs w:val="28"/>
          <w:lang w:val="lv-LV"/>
        </w:rPr>
        <w:t>Viņķele</w:t>
      </w:r>
      <w:proofErr w:type="spellEnd"/>
      <w:r>
        <w:rPr>
          <w:rFonts w:ascii="Times New Roman" w:hAnsi="Times New Roman"/>
          <w:sz w:val="28"/>
          <w:szCs w:val="28"/>
          <w:lang w:val="lv-LV"/>
        </w:rPr>
        <w:t xml:space="preserve"> </w:t>
      </w:r>
    </w:p>
    <w:p w14:paraId="281E6EB7" w14:textId="77777777" w:rsidR="00274126" w:rsidRDefault="00274126" w:rsidP="00274126">
      <w:pPr>
        <w:pStyle w:val="NoSpacing"/>
        <w:rPr>
          <w:sz w:val="28"/>
          <w:szCs w:val="28"/>
        </w:rPr>
      </w:pPr>
    </w:p>
    <w:p w14:paraId="328A338E" w14:textId="77777777" w:rsidR="00274126" w:rsidRPr="000C4406" w:rsidRDefault="00274126" w:rsidP="00274126">
      <w:pPr>
        <w:pStyle w:val="NoSpacing"/>
        <w:rPr>
          <w:sz w:val="28"/>
          <w:szCs w:val="28"/>
        </w:rPr>
      </w:pPr>
    </w:p>
    <w:p w14:paraId="7AE89697" w14:textId="6B731FDE" w:rsidR="00274126" w:rsidRPr="000C4406" w:rsidRDefault="00274126" w:rsidP="00274126">
      <w:pPr>
        <w:pStyle w:val="NoSpacing"/>
        <w:rPr>
          <w:rFonts w:eastAsia="Lucida Sans Unicode"/>
          <w:kern w:val="3"/>
          <w:sz w:val="28"/>
          <w:szCs w:val="28"/>
        </w:rPr>
      </w:pPr>
      <w:r w:rsidRPr="000C4406">
        <w:rPr>
          <w:sz w:val="28"/>
          <w:szCs w:val="28"/>
        </w:rPr>
        <w:t>Vīza: Valsts sekretār</w:t>
      </w:r>
      <w:r>
        <w:rPr>
          <w:sz w:val="28"/>
          <w:szCs w:val="28"/>
        </w:rPr>
        <w:t>e</w:t>
      </w:r>
      <w:r w:rsidRPr="000C4406">
        <w:rPr>
          <w:sz w:val="28"/>
          <w:szCs w:val="28"/>
        </w:rPr>
        <w:tab/>
      </w:r>
      <w:r w:rsidRPr="000C4406">
        <w:rPr>
          <w:sz w:val="28"/>
          <w:szCs w:val="28"/>
        </w:rPr>
        <w:tab/>
      </w:r>
      <w:r w:rsidRPr="000C4406">
        <w:rPr>
          <w:sz w:val="28"/>
          <w:szCs w:val="28"/>
        </w:rPr>
        <w:tab/>
      </w:r>
      <w:r w:rsidRPr="000C4406">
        <w:rPr>
          <w:sz w:val="28"/>
          <w:szCs w:val="28"/>
        </w:rPr>
        <w:tab/>
      </w:r>
      <w:r>
        <w:rPr>
          <w:sz w:val="28"/>
          <w:szCs w:val="28"/>
        </w:rPr>
        <w:tab/>
        <w:t>D</w:t>
      </w:r>
      <w:r w:rsidR="001B3784">
        <w:rPr>
          <w:sz w:val="28"/>
          <w:szCs w:val="28"/>
        </w:rPr>
        <w:t>.</w:t>
      </w:r>
      <w:r>
        <w:rPr>
          <w:sz w:val="28"/>
          <w:szCs w:val="28"/>
        </w:rPr>
        <w:t xml:space="preserve"> </w:t>
      </w:r>
      <w:proofErr w:type="spellStart"/>
      <w:r>
        <w:rPr>
          <w:sz w:val="28"/>
          <w:szCs w:val="28"/>
        </w:rPr>
        <w:t>Mūrmane</w:t>
      </w:r>
      <w:proofErr w:type="spellEnd"/>
      <w:r>
        <w:rPr>
          <w:sz w:val="28"/>
          <w:szCs w:val="28"/>
        </w:rPr>
        <w:t xml:space="preserve"> – </w:t>
      </w:r>
      <w:proofErr w:type="spellStart"/>
      <w:r>
        <w:rPr>
          <w:sz w:val="28"/>
          <w:szCs w:val="28"/>
        </w:rPr>
        <w:t>Umbraško</w:t>
      </w:r>
      <w:proofErr w:type="spellEnd"/>
      <w:r>
        <w:rPr>
          <w:sz w:val="28"/>
          <w:szCs w:val="28"/>
        </w:rPr>
        <w:t xml:space="preserve"> </w:t>
      </w:r>
    </w:p>
    <w:p w14:paraId="24BA6622" w14:textId="77777777" w:rsidR="00274126" w:rsidRPr="00EF09F1" w:rsidRDefault="00274126" w:rsidP="00E55E0A">
      <w:pPr>
        <w:spacing w:after="0" w:line="240" w:lineRule="auto"/>
        <w:rPr>
          <w:rFonts w:ascii="Times New Roman" w:hAnsi="Times New Roman" w:cs="Times New Roman"/>
          <w:sz w:val="28"/>
          <w:szCs w:val="28"/>
        </w:rPr>
      </w:pPr>
    </w:p>
    <w:p w14:paraId="1DECDDA7" w14:textId="77777777" w:rsidR="0067764D" w:rsidRPr="00EF09F1" w:rsidRDefault="0067764D" w:rsidP="00894C55">
      <w:pPr>
        <w:spacing w:after="0" w:line="240" w:lineRule="auto"/>
        <w:ind w:firstLine="720"/>
        <w:rPr>
          <w:rFonts w:ascii="Times New Roman" w:hAnsi="Times New Roman" w:cs="Times New Roman"/>
          <w:sz w:val="28"/>
          <w:szCs w:val="28"/>
        </w:rPr>
      </w:pPr>
    </w:p>
    <w:p w14:paraId="23000518" w14:textId="7F2DE262" w:rsidR="00894C55" w:rsidRPr="003A67A9" w:rsidRDefault="00E033DF" w:rsidP="00894C55">
      <w:pPr>
        <w:tabs>
          <w:tab w:val="left" w:pos="6237"/>
        </w:tabs>
        <w:spacing w:after="0" w:line="240" w:lineRule="auto"/>
        <w:rPr>
          <w:rFonts w:ascii="Times New Roman" w:hAnsi="Times New Roman" w:cs="Times New Roman"/>
        </w:rPr>
      </w:pPr>
      <w:r>
        <w:rPr>
          <w:rFonts w:ascii="Times New Roman" w:hAnsi="Times New Roman" w:cs="Times New Roman"/>
        </w:rPr>
        <w:t>Belovs</w:t>
      </w:r>
      <w:r w:rsidR="00D133F8" w:rsidRPr="003A67A9">
        <w:rPr>
          <w:rFonts w:ascii="Times New Roman" w:hAnsi="Times New Roman" w:cs="Times New Roman"/>
        </w:rPr>
        <w:t xml:space="preserve"> </w:t>
      </w:r>
      <w:r w:rsidR="000601C5" w:rsidRPr="003A67A9">
        <w:rPr>
          <w:rFonts w:ascii="Times New Roman" w:hAnsi="Times New Roman" w:cs="Times New Roman"/>
        </w:rPr>
        <w:t>67876</w:t>
      </w:r>
      <w:r>
        <w:rPr>
          <w:rFonts w:ascii="Times New Roman" w:hAnsi="Times New Roman" w:cs="Times New Roman"/>
        </w:rPr>
        <w:t>005</w:t>
      </w:r>
    </w:p>
    <w:p w14:paraId="52D030C0" w14:textId="0E80ED96" w:rsidR="00894C55" w:rsidRPr="003A67A9" w:rsidRDefault="00E033DF" w:rsidP="00894C55">
      <w:pPr>
        <w:tabs>
          <w:tab w:val="left" w:pos="6237"/>
        </w:tabs>
        <w:spacing w:after="0" w:line="240" w:lineRule="auto"/>
        <w:rPr>
          <w:rFonts w:ascii="Times New Roman" w:hAnsi="Times New Roman" w:cs="Times New Roman"/>
        </w:rPr>
      </w:pPr>
      <w:r>
        <w:rPr>
          <w:rFonts w:ascii="Times New Roman" w:hAnsi="Times New Roman" w:cs="Times New Roman"/>
        </w:rPr>
        <w:t>igors.belovs</w:t>
      </w:r>
      <w:r w:rsidR="00894C55" w:rsidRPr="003A67A9">
        <w:rPr>
          <w:rFonts w:ascii="Times New Roman" w:hAnsi="Times New Roman" w:cs="Times New Roman"/>
        </w:rPr>
        <w:t>@</w:t>
      </w:r>
      <w:r w:rsidR="008E0250" w:rsidRPr="003A67A9">
        <w:rPr>
          <w:rFonts w:ascii="Times New Roman" w:hAnsi="Times New Roman" w:cs="Times New Roman"/>
        </w:rPr>
        <w:t>v</w:t>
      </w:r>
      <w:r w:rsidR="00D133F8" w:rsidRPr="003A67A9">
        <w:rPr>
          <w:rFonts w:ascii="Times New Roman" w:hAnsi="Times New Roman" w:cs="Times New Roman"/>
        </w:rPr>
        <w:t>m</w:t>
      </w:r>
      <w:r w:rsidR="00894C55" w:rsidRPr="003A67A9">
        <w:rPr>
          <w:rFonts w:ascii="Times New Roman" w:hAnsi="Times New Roman" w:cs="Times New Roman"/>
        </w:rPr>
        <w:t>.gov.lv</w:t>
      </w:r>
    </w:p>
    <w:sectPr w:rsidR="00894C55" w:rsidRPr="003A67A9" w:rsidSect="00E55E0A">
      <w:headerReference w:type="default" r:id="rId7"/>
      <w:footerReference w:type="default" r:id="rId8"/>
      <w:footerReference w:type="first" r:id="rId9"/>
      <w:pgSz w:w="11906" w:h="16838"/>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0549" w14:textId="77777777" w:rsidR="00CD1697" w:rsidRDefault="00CD1697" w:rsidP="00894C55">
      <w:pPr>
        <w:spacing w:after="0" w:line="240" w:lineRule="auto"/>
      </w:pPr>
      <w:r>
        <w:separator/>
      </w:r>
    </w:p>
  </w:endnote>
  <w:endnote w:type="continuationSeparator" w:id="0">
    <w:p w14:paraId="4CE74EAD" w14:textId="77777777" w:rsidR="00CD1697" w:rsidRDefault="00CD16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C9E4" w14:textId="1C42A4A6" w:rsidR="00B92487" w:rsidRPr="00EB2A9D" w:rsidRDefault="005360F8" w:rsidP="00EB2A9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278EE">
      <w:rPr>
        <w:rFonts w:ascii="Times New Roman" w:hAnsi="Times New Roman" w:cs="Times New Roman"/>
        <w:noProof/>
        <w:sz w:val="20"/>
        <w:szCs w:val="20"/>
      </w:rPr>
      <w:t>VManot_091120_apro</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E99A" w14:textId="56360ACB" w:rsidR="00B92487" w:rsidRPr="005360F8" w:rsidRDefault="005360F8" w:rsidP="005360F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278EE">
      <w:rPr>
        <w:rFonts w:ascii="Times New Roman" w:hAnsi="Times New Roman" w:cs="Times New Roman"/>
        <w:noProof/>
        <w:sz w:val="20"/>
        <w:szCs w:val="20"/>
      </w:rPr>
      <w:t>VManot_091120_apro</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47B2A" w14:textId="77777777" w:rsidR="00CD1697" w:rsidRDefault="00CD1697" w:rsidP="00894C55">
      <w:pPr>
        <w:spacing w:after="0" w:line="240" w:lineRule="auto"/>
      </w:pPr>
      <w:r>
        <w:separator/>
      </w:r>
    </w:p>
  </w:footnote>
  <w:footnote w:type="continuationSeparator" w:id="0">
    <w:p w14:paraId="0D248222" w14:textId="77777777" w:rsidR="00CD1697" w:rsidRDefault="00CD169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073816"/>
      <w:docPartObj>
        <w:docPartGallery w:val="Page Numbers (Top of Page)"/>
        <w:docPartUnique/>
      </w:docPartObj>
    </w:sdtPr>
    <w:sdtEndPr>
      <w:rPr>
        <w:rFonts w:ascii="Times New Roman" w:hAnsi="Times New Roman" w:cs="Times New Roman"/>
        <w:noProof/>
        <w:sz w:val="24"/>
        <w:szCs w:val="20"/>
      </w:rPr>
    </w:sdtEndPr>
    <w:sdtContent>
      <w:p w14:paraId="1884D9BB" w14:textId="77777777" w:rsidR="00B92487" w:rsidRPr="00C25B49" w:rsidRDefault="00B924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53AF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C72D3"/>
    <w:multiLevelType w:val="hybridMultilevel"/>
    <w:tmpl w:val="D5AA6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DC2D7B"/>
    <w:multiLevelType w:val="hybridMultilevel"/>
    <w:tmpl w:val="F8907154"/>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3" w15:restartNumberingAfterBreak="0">
    <w:nsid w:val="467D72DE"/>
    <w:multiLevelType w:val="hybridMultilevel"/>
    <w:tmpl w:val="BFB2A64E"/>
    <w:lvl w:ilvl="0" w:tplc="64AC6FF6">
      <w:start w:val="1"/>
      <w:numFmt w:val="decimal"/>
      <w:lvlText w:val="%1)"/>
      <w:lvlJc w:val="left"/>
      <w:pPr>
        <w:ind w:left="668" w:hanging="360"/>
      </w:pPr>
      <w:rPr>
        <w:rFonts w:hint="default"/>
      </w:rPr>
    </w:lvl>
    <w:lvl w:ilvl="1" w:tplc="04260019" w:tentative="1">
      <w:start w:val="1"/>
      <w:numFmt w:val="lowerLetter"/>
      <w:lvlText w:val="%2."/>
      <w:lvlJc w:val="left"/>
      <w:pPr>
        <w:ind w:left="1388" w:hanging="360"/>
      </w:pPr>
    </w:lvl>
    <w:lvl w:ilvl="2" w:tplc="0426001B" w:tentative="1">
      <w:start w:val="1"/>
      <w:numFmt w:val="lowerRoman"/>
      <w:lvlText w:val="%3."/>
      <w:lvlJc w:val="right"/>
      <w:pPr>
        <w:ind w:left="2108" w:hanging="180"/>
      </w:pPr>
    </w:lvl>
    <w:lvl w:ilvl="3" w:tplc="0426000F" w:tentative="1">
      <w:start w:val="1"/>
      <w:numFmt w:val="decimal"/>
      <w:lvlText w:val="%4."/>
      <w:lvlJc w:val="left"/>
      <w:pPr>
        <w:ind w:left="2828" w:hanging="360"/>
      </w:pPr>
    </w:lvl>
    <w:lvl w:ilvl="4" w:tplc="04260019" w:tentative="1">
      <w:start w:val="1"/>
      <w:numFmt w:val="lowerLetter"/>
      <w:lvlText w:val="%5."/>
      <w:lvlJc w:val="left"/>
      <w:pPr>
        <w:ind w:left="3548" w:hanging="360"/>
      </w:pPr>
    </w:lvl>
    <w:lvl w:ilvl="5" w:tplc="0426001B" w:tentative="1">
      <w:start w:val="1"/>
      <w:numFmt w:val="lowerRoman"/>
      <w:lvlText w:val="%6."/>
      <w:lvlJc w:val="right"/>
      <w:pPr>
        <w:ind w:left="4268" w:hanging="180"/>
      </w:pPr>
    </w:lvl>
    <w:lvl w:ilvl="6" w:tplc="0426000F" w:tentative="1">
      <w:start w:val="1"/>
      <w:numFmt w:val="decimal"/>
      <w:lvlText w:val="%7."/>
      <w:lvlJc w:val="left"/>
      <w:pPr>
        <w:ind w:left="4988" w:hanging="360"/>
      </w:pPr>
    </w:lvl>
    <w:lvl w:ilvl="7" w:tplc="04260019" w:tentative="1">
      <w:start w:val="1"/>
      <w:numFmt w:val="lowerLetter"/>
      <w:lvlText w:val="%8."/>
      <w:lvlJc w:val="left"/>
      <w:pPr>
        <w:ind w:left="5708" w:hanging="360"/>
      </w:pPr>
    </w:lvl>
    <w:lvl w:ilvl="8" w:tplc="0426001B" w:tentative="1">
      <w:start w:val="1"/>
      <w:numFmt w:val="lowerRoman"/>
      <w:lvlText w:val="%9."/>
      <w:lvlJc w:val="right"/>
      <w:pPr>
        <w:ind w:left="6428" w:hanging="180"/>
      </w:pPr>
    </w:lvl>
  </w:abstractNum>
  <w:abstractNum w:abstractNumId="4" w15:restartNumberingAfterBreak="0">
    <w:nsid w:val="50AB6AC5"/>
    <w:multiLevelType w:val="hybridMultilevel"/>
    <w:tmpl w:val="DDBE5918"/>
    <w:lvl w:ilvl="0" w:tplc="0DF615E8">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E3128E"/>
    <w:multiLevelType w:val="hybridMultilevel"/>
    <w:tmpl w:val="1304C6DC"/>
    <w:lvl w:ilvl="0" w:tplc="E2BE0E8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840AB8"/>
    <w:multiLevelType w:val="hybridMultilevel"/>
    <w:tmpl w:val="2654EF4E"/>
    <w:lvl w:ilvl="0" w:tplc="1BC6D4CC">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3ED"/>
    <w:rsid w:val="000158FB"/>
    <w:rsid w:val="000212B3"/>
    <w:rsid w:val="000234CA"/>
    <w:rsid w:val="0002549D"/>
    <w:rsid w:val="000265BC"/>
    <w:rsid w:val="00026A1B"/>
    <w:rsid w:val="00030F3F"/>
    <w:rsid w:val="00031431"/>
    <w:rsid w:val="000429B6"/>
    <w:rsid w:val="00043D50"/>
    <w:rsid w:val="00052CEA"/>
    <w:rsid w:val="000541C7"/>
    <w:rsid w:val="00056698"/>
    <w:rsid w:val="000601C5"/>
    <w:rsid w:val="00062DE2"/>
    <w:rsid w:val="0006321C"/>
    <w:rsid w:val="00070106"/>
    <w:rsid w:val="000729DC"/>
    <w:rsid w:val="0007318E"/>
    <w:rsid w:val="00076C06"/>
    <w:rsid w:val="00077094"/>
    <w:rsid w:val="000772A3"/>
    <w:rsid w:val="00082C4B"/>
    <w:rsid w:val="000853E3"/>
    <w:rsid w:val="00087DFB"/>
    <w:rsid w:val="00092EB9"/>
    <w:rsid w:val="00093FD5"/>
    <w:rsid w:val="00097086"/>
    <w:rsid w:val="000A2E72"/>
    <w:rsid w:val="000A515A"/>
    <w:rsid w:val="000B231B"/>
    <w:rsid w:val="000B79E9"/>
    <w:rsid w:val="000C1D59"/>
    <w:rsid w:val="000D34D9"/>
    <w:rsid w:val="000D67A7"/>
    <w:rsid w:val="000F01DE"/>
    <w:rsid w:val="000F61C9"/>
    <w:rsid w:val="00100E0C"/>
    <w:rsid w:val="00101CF2"/>
    <w:rsid w:val="00113906"/>
    <w:rsid w:val="00114A25"/>
    <w:rsid w:val="00115DD9"/>
    <w:rsid w:val="00116A52"/>
    <w:rsid w:val="00134553"/>
    <w:rsid w:val="0014174B"/>
    <w:rsid w:val="00143199"/>
    <w:rsid w:val="00143FE3"/>
    <w:rsid w:val="001466AB"/>
    <w:rsid w:val="0014787A"/>
    <w:rsid w:val="00147A5D"/>
    <w:rsid w:val="001522CE"/>
    <w:rsid w:val="00153B61"/>
    <w:rsid w:val="001566EF"/>
    <w:rsid w:val="00156B33"/>
    <w:rsid w:val="00160D2F"/>
    <w:rsid w:val="00167553"/>
    <w:rsid w:val="0017126C"/>
    <w:rsid w:val="0017326B"/>
    <w:rsid w:val="001734BE"/>
    <w:rsid w:val="001840CF"/>
    <w:rsid w:val="00184FF2"/>
    <w:rsid w:val="00191007"/>
    <w:rsid w:val="00194949"/>
    <w:rsid w:val="001A12A9"/>
    <w:rsid w:val="001A4CC3"/>
    <w:rsid w:val="001A4F18"/>
    <w:rsid w:val="001A53CC"/>
    <w:rsid w:val="001A5F62"/>
    <w:rsid w:val="001B3784"/>
    <w:rsid w:val="001B59B8"/>
    <w:rsid w:val="001B7025"/>
    <w:rsid w:val="001C0259"/>
    <w:rsid w:val="001C2AFF"/>
    <w:rsid w:val="001D5BB4"/>
    <w:rsid w:val="001E242D"/>
    <w:rsid w:val="001E61BC"/>
    <w:rsid w:val="002009CF"/>
    <w:rsid w:val="00201C2F"/>
    <w:rsid w:val="00203701"/>
    <w:rsid w:val="00204872"/>
    <w:rsid w:val="002079C5"/>
    <w:rsid w:val="00217205"/>
    <w:rsid w:val="00226E46"/>
    <w:rsid w:val="0023275A"/>
    <w:rsid w:val="00235B2F"/>
    <w:rsid w:val="002404F9"/>
    <w:rsid w:val="00243426"/>
    <w:rsid w:val="00243E59"/>
    <w:rsid w:val="002518A8"/>
    <w:rsid w:val="00252F07"/>
    <w:rsid w:val="00253ABB"/>
    <w:rsid w:val="00253E51"/>
    <w:rsid w:val="002577B7"/>
    <w:rsid w:val="002624E4"/>
    <w:rsid w:val="00263980"/>
    <w:rsid w:val="002651BC"/>
    <w:rsid w:val="00274126"/>
    <w:rsid w:val="00277B0E"/>
    <w:rsid w:val="00290880"/>
    <w:rsid w:val="00293287"/>
    <w:rsid w:val="00293735"/>
    <w:rsid w:val="002A4C68"/>
    <w:rsid w:val="002A4F2A"/>
    <w:rsid w:val="002A7DFE"/>
    <w:rsid w:val="002B6F6E"/>
    <w:rsid w:val="002C2828"/>
    <w:rsid w:val="002D1680"/>
    <w:rsid w:val="002D5979"/>
    <w:rsid w:val="002D70AA"/>
    <w:rsid w:val="002E1690"/>
    <w:rsid w:val="002E1C05"/>
    <w:rsid w:val="002F45B3"/>
    <w:rsid w:val="002F5094"/>
    <w:rsid w:val="00301C6B"/>
    <w:rsid w:val="00306DF8"/>
    <w:rsid w:val="00307C30"/>
    <w:rsid w:val="0031092E"/>
    <w:rsid w:val="00313665"/>
    <w:rsid w:val="00313D51"/>
    <w:rsid w:val="0031465B"/>
    <w:rsid w:val="00314E27"/>
    <w:rsid w:val="00333136"/>
    <w:rsid w:val="0033798D"/>
    <w:rsid w:val="00352015"/>
    <w:rsid w:val="00352139"/>
    <w:rsid w:val="003537B6"/>
    <w:rsid w:val="0035400A"/>
    <w:rsid w:val="00362439"/>
    <w:rsid w:val="00362E1D"/>
    <w:rsid w:val="003643E0"/>
    <w:rsid w:val="003655D9"/>
    <w:rsid w:val="00365AFB"/>
    <w:rsid w:val="003674AF"/>
    <w:rsid w:val="003707B8"/>
    <w:rsid w:val="00370E1F"/>
    <w:rsid w:val="003743C8"/>
    <w:rsid w:val="003745BB"/>
    <w:rsid w:val="00376938"/>
    <w:rsid w:val="003778FD"/>
    <w:rsid w:val="00392E11"/>
    <w:rsid w:val="00394C00"/>
    <w:rsid w:val="003960AA"/>
    <w:rsid w:val="003A34E0"/>
    <w:rsid w:val="003A34E1"/>
    <w:rsid w:val="003A3E25"/>
    <w:rsid w:val="003A67A9"/>
    <w:rsid w:val="003B0BF9"/>
    <w:rsid w:val="003B393A"/>
    <w:rsid w:val="003B57FE"/>
    <w:rsid w:val="003B63B4"/>
    <w:rsid w:val="003B6D28"/>
    <w:rsid w:val="003C0932"/>
    <w:rsid w:val="003C4727"/>
    <w:rsid w:val="003D3E96"/>
    <w:rsid w:val="003D4587"/>
    <w:rsid w:val="003D55AA"/>
    <w:rsid w:val="003E0791"/>
    <w:rsid w:val="003E2630"/>
    <w:rsid w:val="003E2B17"/>
    <w:rsid w:val="003E4528"/>
    <w:rsid w:val="003F28AC"/>
    <w:rsid w:val="00402727"/>
    <w:rsid w:val="00402E9A"/>
    <w:rsid w:val="0040314E"/>
    <w:rsid w:val="0040719E"/>
    <w:rsid w:val="00411822"/>
    <w:rsid w:val="004129F1"/>
    <w:rsid w:val="00414787"/>
    <w:rsid w:val="00415706"/>
    <w:rsid w:val="004427BA"/>
    <w:rsid w:val="004454FE"/>
    <w:rsid w:val="00450BCD"/>
    <w:rsid w:val="00453F2D"/>
    <w:rsid w:val="00454901"/>
    <w:rsid w:val="00456E40"/>
    <w:rsid w:val="004606B8"/>
    <w:rsid w:val="004630BE"/>
    <w:rsid w:val="00471F27"/>
    <w:rsid w:val="0048631A"/>
    <w:rsid w:val="00486E33"/>
    <w:rsid w:val="00487563"/>
    <w:rsid w:val="004905C6"/>
    <w:rsid w:val="0049195E"/>
    <w:rsid w:val="00492EEE"/>
    <w:rsid w:val="004963A1"/>
    <w:rsid w:val="00496A36"/>
    <w:rsid w:val="004A049F"/>
    <w:rsid w:val="004A67F3"/>
    <w:rsid w:val="004B4ACD"/>
    <w:rsid w:val="004B54B4"/>
    <w:rsid w:val="004B7DE9"/>
    <w:rsid w:val="004C249C"/>
    <w:rsid w:val="004C3B72"/>
    <w:rsid w:val="004C5676"/>
    <w:rsid w:val="004C6D24"/>
    <w:rsid w:val="004C750B"/>
    <w:rsid w:val="004D0D78"/>
    <w:rsid w:val="004D1A6E"/>
    <w:rsid w:val="004D392F"/>
    <w:rsid w:val="004D75E5"/>
    <w:rsid w:val="004E2AA2"/>
    <w:rsid w:val="004E452A"/>
    <w:rsid w:val="004E7FB2"/>
    <w:rsid w:val="004F2279"/>
    <w:rsid w:val="004F2548"/>
    <w:rsid w:val="0050178F"/>
    <w:rsid w:val="00507686"/>
    <w:rsid w:val="00520EAB"/>
    <w:rsid w:val="00521A12"/>
    <w:rsid w:val="00524926"/>
    <w:rsid w:val="00526868"/>
    <w:rsid w:val="005344EB"/>
    <w:rsid w:val="0053544D"/>
    <w:rsid w:val="005357D8"/>
    <w:rsid w:val="005360F8"/>
    <w:rsid w:val="005378F1"/>
    <w:rsid w:val="00541408"/>
    <w:rsid w:val="00547223"/>
    <w:rsid w:val="00553997"/>
    <w:rsid w:val="00562691"/>
    <w:rsid w:val="0056793E"/>
    <w:rsid w:val="005733CE"/>
    <w:rsid w:val="005740E5"/>
    <w:rsid w:val="005741C7"/>
    <w:rsid w:val="00574DC0"/>
    <w:rsid w:val="00576A64"/>
    <w:rsid w:val="00580A92"/>
    <w:rsid w:val="005811EF"/>
    <w:rsid w:val="00582553"/>
    <w:rsid w:val="00587D23"/>
    <w:rsid w:val="00591D44"/>
    <w:rsid w:val="00594098"/>
    <w:rsid w:val="00594B9E"/>
    <w:rsid w:val="00595BD5"/>
    <w:rsid w:val="005A3DDA"/>
    <w:rsid w:val="005A50D7"/>
    <w:rsid w:val="005A67C7"/>
    <w:rsid w:val="005B16A4"/>
    <w:rsid w:val="005B4BDC"/>
    <w:rsid w:val="005B6F3F"/>
    <w:rsid w:val="005B7969"/>
    <w:rsid w:val="005C1FBE"/>
    <w:rsid w:val="005D6941"/>
    <w:rsid w:val="005D6AD7"/>
    <w:rsid w:val="005E0F97"/>
    <w:rsid w:val="005E3158"/>
    <w:rsid w:val="005E5499"/>
    <w:rsid w:val="005F79C3"/>
    <w:rsid w:val="00601A0A"/>
    <w:rsid w:val="00603233"/>
    <w:rsid w:val="00603BFF"/>
    <w:rsid w:val="00613ADA"/>
    <w:rsid w:val="006151BD"/>
    <w:rsid w:val="00624538"/>
    <w:rsid w:val="0062776A"/>
    <w:rsid w:val="00631960"/>
    <w:rsid w:val="00631BA1"/>
    <w:rsid w:val="00636D4A"/>
    <w:rsid w:val="006373A9"/>
    <w:rsid w:val="00644D87"/>
    <w:rsid w:val="00647063"/>
    <w:rsid w:val="00653FD3"/>
    <w:rsid w:val="00655F2C"/>
    <w:rsid w:val="00656FCE"/>
    <w:rsid w:val="006740EE"/>
    <w:rsid w:val="0067653C"/>
    <w:rsid w:val="0067764D"/>
    <w:rsid w:val="00680FF9"/>
    <w:rsid w:val="0068694E"/>
    <w:rsid w:val="00686BE1"/>
    <w:rsid w:val="0069593B"/>
    <w:rsid w:val="006A607B"/>
    <w:rsid w:val="006A67BC"/>
    <w:rsid w:val="006C2FE3"/>
    <w:rsid w:val="006C5C01"/>
    <w:rsid w:val="006D06AD"/>
    <w:rsid w:val="006D1A68"/>
    <w:rsid w:val="006D3741"/>
    <w:rsid w:val="006D47EB"/>
    <w:rsid w:val="006D5862"/>
    <w:rsid w:val="006E0EDF"/>
    <w:rsid w:val="006E1081"/>
    <w:rsid w:val="006E12E5"/>
    <w:rsid w:val="006E34DC"/>
    <w:rsid w:val="006F13E6"/>
    <w:rsid w:val="006F3173"/>
    <w:rsid w:val="0070259B"/>
    <w:rsid w:val="0070369F"/>
    <w:rsid w:val="00704C52"/>
    <w:rsid w:val="00706F98"/>
    <w:rsid w:val="00711F70"/>
    <w:rsid w:val="00720585"/>
    <w:rsid w:val="00721729"/>
    <w:rsid w:val="00724B77"/>
    <w:rsid w:val="00727182"/>
    <w:rsid w:val="00740D25"/>
    <w:rsid w:val="0074457D"/>
    <w:rsid w:val="007517F0"/>
    <w:rsid w:val="007526AA"/>
    <w:rsid w:val="007543A5"/>
    <w:rsid w:val="00760506"/>
    <w:rsid w:val="00761CA2"/>
    <w:rsid w:val="0076489B"/>
    <w:rsid w:val="00765341"/>
    <w:rsid w:val="007716CC"/>
    <w:rsid w:val="007733DD"/>
    <w:rsid w:val="00773AF6"/>
    <w:rsid w:val="00777301"/>
    <w:rsid w:val="0078118D"/>
    <w:rsid w:val="0078353C"/>
    <w:rsid w:val="007841C0"/>
    <w:rsid w:val="00790064"/>
    <w:rsid w:val="00791516"/>
    <w:rsid w:val="00794379"/>
    <w:rsid w:val="00795F71"/>
    <w:rsid w:val="007A4C2A"/>
    <w:rsid w:val="007A6D76"/>
    <w:rsid w:val="007B492D"/>
    <w:rsid w:val="007B73B9"/>
    <w:rsid w:val="007B74C1"/>
    <w:rsid w:val="007C3FBD"/>
    <w:rsid w:val="007C4B92"/>
    <w:rsid w:val="007D29FC"/>
    <w:rsid w:val="007D2BE0"/>
    <w:rsid w:val="007D3BD8"/>
    <w:rsid w:val="007D448D"/>
    <w:rsid w:val="007E4164"/>
    <w:rsid w:val="007E5F7A"/>
    <w:rsid w:val="007E73AB"/>
    <w:rsid w:val="007F6148"/>
    <w:rsid w:val="007F689F"/>
    <w:rsid w:val="00800CB8"/>
    <w:rsid w:val="0080309E"/>
    <w:rsid w:val="0080518C"/>
    <w:rsid w:val="008100AB"/>
    <w:rsid w:val="00813D8B"/>
    <w:rsid w:val="00816C11"/>
    <w:rsid w:val="008204EE"/>
    <w:rsid w:val="00822EB4"/>
    <w:rsid w:val="00827D6B"/>
    <w:rsid w:val="0083038B"/>
    <w:rsid w:val="008307ED"/>
    <w:rsid w:val="00833FF7"/>
    <w:rsid w:val="00835FF0"/>
    <w:rsid w:val="008576E8"/>
    <w:rsid w:val="0087408D"/>
    <w:rsid w:val="00877087"/>
    <w:rsid w:val="00881800"/>
    <w:rsid w:val="00882C61"/>
    <w:rsid w:val="008840AB"/>
    <w:rsid w:val="0088611D"/>
    <w:rsid w:val="00887D1F"/>
    <w:rsid w:val="00894C55"/>
    <w:rsid w:val="008B1143"/>
    <w:rsid w:val="008B32D8"/>
    <w:rsid w:val="008C5240"/>
    <w:rsid w:val="008D46D5"/>
    <w:rsid w:val="008E0250"/>
    <w:rsid w:val="008E090E"/>
    <w:rsid w:val="008E16E3"/>
    <w:rsid w:val="008E4D82"/>
    <w:rsid w:val="008E6030"/>
    <w:rsid w:val="008F0A29"/>
    <w:rsid w:val="00910307"/>
    <w:rsid w:val="00912DA4"/>
    <w:rsid w:val="0091639E"/>
    <w:rsid w:val="0092447B"/>
    <w:rsid w:val="00925067"/>
    <w:rsid w:val="00926E21"/>
    <w:rsid w:val="009275F2"/>
    <w:rsid w:val="009329DB"/>
    <w:rsid w:val="009346CE"/>
    <w:rsid w:val="0093616A"/>
    <w:rsid w:val="009421CD"/>
    <w:rsid w:val="00942AA8"/>
    <w:rsid w:val="00943DBE"/>
    <w:rsid w:val="00944037"/>
    <w:rsid w:val="00945CE1"/>
    <w:rsid w:val="009502C1"/>
    <w:rsid w:val="00951866"/>
    <w:rsid w:val="009537B1"/>
    <w:rsid w:val="009579A4"/>
    <w:rsid w:val="009602A9"/>
    <w:rsid w:val="00961636"/>
    <w:rsid w:val="00962F5B"/>
    <w:rsid w:val="009707AB"/>
    <w:rsid w:val="0097600A"/>
    <w:rsid w:val="009770A0"/>
    <w:rsid w:val="00980BFD"/>
    <w:rsid w:val="00983724"/>
    <w:rsid w:val="00984640"/>
    <w:rsid w:val="00987BC6"/>
    <w:rsid w:val="00991998"/>
    <w:rsid w:val="009A0185"/>
    <w:rsid w:val="009A240D"/>
    <w:rsid w:val="009A2654"/>
    <w:rsid w:val="009A4FC0"/>
    <w:rsid w:val="009A6E5C"/>
    <w:rsid w:val="009B5199"/>
    <w:rsid w:val="009C1051"/>
    <w:rsid w:val="009C3052"/>
    <w:rsid w:val="009C3303"/>
    <w:rsid w:val="009C3B20"/>
    <w:rsid w:val="009C6932"/>
    <w:rsid w:val="009C78C2"/>
    <w:rsid w:val="009D0420"/>
    <w:rsid w:val="009D1048"/>
    <w:rsid w:val="009D62F8"/>
    <w:rsid w:val="009D72C6"/>
    <w:rsid w:val="009E10E7"/>
    <w:rsid w:val="009E408C"/>
    <w:rsid w:val="009E485C"/>
    <w:rsid w:val="009E5774"/>
    <w:rsid w:val="009E7470"/>
    <w:rsid w:val="009F1F74"/>
    <w:rsid w:val="009F568D"/>
    <w:rsid w:val="009F5C59"/>
    <w:rsid w:val="009F66F7"/>
    <w:rsid w:val="00A10FC3"/>
    <w:rsid w:val="00A112C8"/>
    <w:rsid w:val="00A13319"/>
    <w:rsid w:val="00A16145"/>
    <w:rsid w:val="00A25E34"/>
    <w:rsid w:val="00A262AD"/>
    <w:rsid w:val="00A35B0D"/>
    <w:rsid w:val="00A415DE"/>
    <w:rsid w:val="00A47E52"/>
    <w:rsid w:val="00A56D83"/>
    <w:rsid w:val="00A57B9E"/>
    <w:rsid w:val="00A57D8C"/>
    <w:rsid w:val="00A6073E"/>
    <w:rsid w:val="00A6196E"/>
    <w:rsid w:val="00A71829"/>
    <w:rsid w:val="00A71DDD"/>
    <w:rsid w:val="00A82F2E"/>
    <w:rsid w:val="00A84375"/>
    <w:rsid w:val="00A912A3"/>
    <w:rsid w:val="00A9491E"/>
    <w:rsid w:val="00A96D96"/>
    <w:rsid w:val="00AA1AD5"/>
    <w:rsid w:val="00AA4589"/>
    <w:rsid w:val="00AB0D09"/>
    <w:rsid w:val="00AB3602"/>
    <w:rsid w:val="00AB5338"/>
    <w:rsid w:val="00AB67C4"/>
    <w:rsid w:val="00AC3CC2"/>
    <w:rsid w:val="00AC6282"/>
    <w:rsid w:val="00AD0204"/>
    <w:rsid w:val="00AD622C"/>
    <w:rsid w:val="00AE0E76"/>
    <w:rsid w:val="00AE3391"/>
    <w:rsid w:val="00AE45F9"/>
    <w:rsid w:val="00AE5567"/>
    <w:rsid w:val="00AF1181"/>
    <w:rsid w:val="00AF1239"/>
    <w:rsid w:val="00AF1260"/>
    <w:rsid w:val="00AF1BBC"/>
    <w:rsid w:val="00AF478C"/>
    <w:rsid w:val="00B01CBC"/>
    <w:rsid w:val="00B02BFB"/>
    <w:rsid w:val="00B063C0"/>
    <w:rsid w:val="00B15435"/>
    <w:rsid w:val="00B16480"/>
    <w:rsid w:val="00B169E0"/>
    <w:rsid w:val="00B17CBF"/>
    <w:rsid w:val="00B2165C"/>
    <w:rsid w:val="00B2308D"/>
    <w:rsid w:val="00B26BF1"/>
    <w:rsid w:val="00B32301"/>
    <w:rsid w:val="00B35718"/>
    <w:rsid w:val="00B37CD4"/>
    <w:rsid w:val="00B46320"/>
    <w:rsid w:val="00B52057"/>
    <w:rsid w:val="00B668EA"/>
    <w:rsid w:val="00B671FE"/>
    <w:rsid w:val="00B72A0F"/>
    <w:rsid w:val="00B7470E"/>
    <w:rsid w:val="00B74AE9"/>
    <w:rsid w:val="00B75DE2"/>
    <w:rsid w:val="00B85111"/>
    <w:rsid w:val="00B92487"/>
    <w:rsid w:val="00B966EA"/>
    <w:rsid w:val="00B967B2"/>
    <w:rsid w:val="00B96BA7"/>
    <w:rsid w:val="00BA20AA"/>
    <w:rsid w:val="00BA56C2"/>
    <w:rsid w:val="00BA5AB9"/>
    <w:rsid w:val="00BB53A4"/>
    <w:rsid w:val="00BB60F7"/>
    <w:rsid w:val="00BC2AB5"/>
    <w:rsid w:val="00BD4425"/>
    <w:rsid w:val="00BE2CBC"/>
    <w:rsid w:val="00BF4BA9"/>
    <w:rsid w:val="00C01BC4"/>
    <w:rsid w:val="00C06425"/>
    <w:rsid w:val="00C11AC3"/>
    <w:rsid w:val="00C1221D"/>
    <w:rsid w:val="00C1390A"/>
    <w:rsid w:val="00C1488C"/>
    <w:rsid w:val="00C14BBB"/>
    <w:rsid w:val="00C15D12"/>
    <w:rsid w:val="00C16901"/>
    <w:rsid w:val="00C22BC9"/>
    <w:rsid w:val="00C24D88"/>
    <w:rsid w:val="00C24F0A"/>
    <w:rsid w:val="00C25B49"/>
    <w:rsid w:val="00C366B5"/>
    <w:rsid w:val="00C51D10"/>
    <w:rsid w:val="00C53AF3"/>
    <w:rsid w:val="00C617E1"/>
    <w:rsid w:val="00C61A82"/>
    <w:rsid w:val="00C61F3E"/>
    <w:rsid w:val="00C66CB3"/>
    <w:rsid w:val="00C673E2"/>
    <w:rsid w:val="00C71FE7"/>
    <w:rsid w:val="00C72835"/>
    <w:rsid w:val="00C81142"/>
    <w:rsid w:val="00C82E32"/>
    <w:rsid w:val="00C82E3B"/>
    <w:rsid w:val="00C86046"/>
    <w:rsid w:val="00C8674D"/>
    <w:rsid w:val="00C93B62"/>
    <w:rsid w:val="00C96B84"/>
    <w:rsid w:val="00CA29A3"/>
    <w:rsid w:val="00CA4C5E"/>
    <w:rsid w:val="00CA53CD"/>
    <w:rsid w:val="00CB4BDD"/>
    <w:rsid w:val="00CB660B"/>
    <w:rsid w:val="00CB6C61"/>
    <w:rsid w:val="00CC0B77"/>
    <w:rsid w:val="00CC0D2D"/>
    <w:rsid w:val="00CC3A70"/>
    <w:rsid w:val="00CC5194"/>
    <w:rsid w:val="00CD1697"/>
    <w:rsid w:val="00CD486E"/>
    <w:rsid w:val="00CD7BB9"/>
    <w:rsid w:val="00CE00C1"/>
    <w:rsid w:val="00CE23D9"/>
    <w:rsid w:val="00CE4F01"/>
    <w:rsid w:val="00CE5657"/>
    <w:rsid w:val="00CE6955"/>
    <w:rsid w:val="00CE6CB6"/>
    <w:rsid w:val="00CE7531"/>
    <w:rsid w:val="00CF152E"/>
    <w:rsid w:val="00D003A8"/>
    <w:rsid w:val="00D0530F"/>
    <w:rsid w:val="00D05D39"/>
    <w:rsid w:val="00D0756F"/>
    <w:rsid w:val="00D10B6B"/>
    <w:rsid w:val="00D10F58"/>
    <w:rsid w:val="00D133F8"/>
    <w:rsid w:val="00D14A3E"/>
    <w:rsid w:val="00D20781"/>
    <w:rsid w:val="00D22E31"/>
    <w:rsid w:val="00D31168"/>
    <w:rsid w:val="00D32C0D"/>
    <w:rsid w:val="00D3572B"/>
    <w:rsid w:val="00D37801"/>
    <w:rsid w:val="00D44452"/>
    <w:rsid w:val="00D4568D"/>
    <w:rsid w:val="00D50169"/>
    <w:rsid w:val="00D564B9"/>
    <w:rsid w:val="00D573E6"/>
    <w:rsid w:val="00D71F9B"/>
    <w:rsid w:val="00D75112"/>
    <w:rsid w:val="00D76863"/>
    <w:rsid w:val="00D827F8"/>
    <w:rsid w:val="00D82E87"/>
    <w:rsid w:val="00D84A19"/>
    <w:rsid w:val="00D84E7F"/>
    <w:rsid w:val="00D9080E"/>
    <w:rsid w:val="00D91342"/>
    <w:rsid w:val="00D96880"/>
    <w:rsid w:val="00D97836"/>
    <w:rsid w:val="00D97F6D"/>
    <w:rsid w:val="00DB2788"/>
    <w:rsid w:val="00DB76FB"/>
    <w:rsid w:val="00DC2AC4"/>
    <w:rsid w:val="00DD0636"/>
    <w:rsid w:val="00DD08BE"/>
    <w:rsid w:val="00DD2D2C"/>
    <w:rsid w:val="00DE1CDF"/>
    <w:rsid w:val="00DE53CC"/>
    <w:rsid w:val="00DE6F0D"/>
    <w:rsid w:val="00DF3AD4"/>
    <w:rsid w:val="00DF60E2"/>
    <w:rsid w:val="00DF7ED8"/>
    <w:rsid w:val="00E02D5B"/>
    <w:rsid w:val="00E033DF"/>
    <w:rsid w:val="00E065B8"/>
    <w:rsid w:val="00E102F6"/>
    <w:rsid w:val="00E103E1"/>
    <w:rsid w:val="00E177E3"/>
    <w:rsid w:val="00E21684"/>
    <w:rsid w:val="00E22BD2"/>
    <w:rsid w:val="00E278EE"/>
    <w:rsid w:val="00E356DB"/>
    <w:rsid w:val="00E36875"/>
    <w:rsid w:val="00E3716B"/>
    <w:rsid w:val="00E4047A"/>
    <w:rsid w:val="00E5323B"/>
    <w:rsid w:val="00E545B2"/>
    <w:rsid w:val="00E55E0A"/>
    <w:rsid w:val="00E56248"/>
    <w:rsid w:val="00E655F7"/>
    <w:rsid w:val="00E66711"/>
    <w:rsid w:val="00E6731A"/>
    <w:rsid w:val="00E67F42"/>
    <w:rsid w:val="00E71EF5"/>
    <w:rsid w:val="00E732A8"/>
    <w:rsid w:val="00E7331A"/>
    <w:rsid w:val="00E8322E"/>
    <w:rsid w:val="00E85C5C"/>
    <w:rsid w:val="00E8749E"/>
    <w:rsid w:val="00E87F98"/>
    <w:rsid w:val="00E90C01"/>
    <w:rsid w:val="00E97688"/>
    <w:rsid w:val="00EA3AC8"/>
    <w:rsid w:val="00EA486E"/>
    <w:rsid w:val="00EA6188"/>
    <w:rsid w:val="00EB2A9D"/>
    <w:rsid w:val="00EB4F5A"/>
    <w:rsid w:val="00EB5DED"/>
    <w:rsid w:val="00EB608F"/>
    <w:rsid w:val="00EB6E05"/>
    <w:rsid w:val="00EB7DA7"/>
    <w:rsid w:val="00EC1392"/>
    <w:rsid w:val="00EC4449"/>
    <w:rsid w:val="00EC7D86"/>
    <w:rsid w:val="00ED7CEE"/>
    <w:rsid w:val="00EF09F1"/>
    <w:rsid w:val="00F02589"/>
    <w:rsid w:val="00F03F63"/>
    <w:rsid w:val="00F114B6"/>
    <w:rsid w:val="00F12D46"/>
    <w:rsid w:val="00F219FE"/>
    <w:rsid w:val="00F22689"/>
    <w:rsid w:val="00F24C79"/>
    <w:rsid w:val="00F26272"/>
    <w:rsid w:val="00F2672E"/>
    <w:rsid w:val="00F26DC0"/>
    <w:rsid w:val="00F35C41"/>
    <w:rsid w:val="00F410B4"/>
    <w:rsid w:val="00F44929"/>
    <w:rsid w:val="00F454D4"/>
    <w:rsid w:val="00F524FA"/>
    <w:rsid w:val="00F53BC1"/>
    <w:rsid w:val="00F54652"/>
    <w:rsid w:val="00F56F3B"/>
    <w:rsid w:val="00F56FE7"/>
    <w:rsid w:val="00F570B8"/>
    <w:rsid w:val="00F5769B"/>
    <w:rsid w:val="00F57B0C"/>
    <w:rsid w:val="00F61965"/>
    <w:rsid w:val="00F62CF5"/>
    <w:rsid w:val="00F6546E"/>
    <w:rsid w:val="00F739C6"/>
    <w:rsid w:val="00F77A11"/>
    <w:rsid w:val="00F807C9"/>
    <w:rsid w:val="00F82CE3"/>
    <w:rsid w:val="00F8307E"/>
    <w:rsid w:val="00F8639C"/>
    <w:rsid w:val="00F92CC7"/>
    <w:rsid w:val="00F94E33"/>
    <w:rsid w:val="00F9592A"/>
    <w:rsid w:val="00FA089A"/>
    <w:rsid w:val="00FA2260"/>
    <w:rsid w:val="00FA3B6E"/>
    <w:rsid w:val="00FB2D41"/>
    <w:rsid w:val="00FC7847"/>
    <w:rsid w:val="00FC7E71"/>
    <w:rsid w:val="00FD1173"/>
    <w:rsid w:val="00FD356E"/>
    <w:rsid w:val="00FE0986"/>
    <w:rsid w:val="00FE3366"/>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D24C6"/>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paragraph" w:styleId="NormalWeb">
    <w:name w:val="Normal (Web)"/>
    <w:basedOn w:val="Normal"/>
    <w:link w:val="NormalWebChar"/>
    <w:uiPriority w:val="99"/>
    <w:rsid w:val="007025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70259B"/>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A4FC0"/>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9A4FC0"/>
    <w:rPr>
      <w:rFonts w:ascii="Times New Roman" w:eastAsia="Times New Roman" w:hAnsi="Times New Roman" w:cs="Times New Roman"/>
      <w:sz w:val="24"/>
      <w:szCs w:val="20"/>
      <w:lang w:eastAsia="lv-LV"/>
    </w:rPr>
  </w:style>
  <w:style w:type="paragraph" w:customStyle="1" w:styleId="xmsonormal">
    <w:name w:val="x_msonormal"/>
    <w:basedOn w:val="Normal"/>
    <w:rsid w:val="00B35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274126"/>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274126"/>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274126"/>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100E0C"/>
    <w:rPr>
      <w:sz w:val="16"/>
      <w:szCs w:val="16"/>
    </w:rPr>
  </w:style>
  <w:style w:type="paragraph" w:styleId="CommentText">
    <w:name w:val="annotation text"/>
    <w:basedOn w:val="Normal"/>
    <w:link w:val="CommentTextChar"/>
    <w:uiPriority w:val="99"/>
    <w:semiHidden/>
    <w:unhideWhenUsed/>
    <w:rsid w:val="00100E0C"/>
    <w:pPr>
      <w:spacing w:line="240" w:lineRule="auto"/>
    </w:pPr>
    <w:rPr>
      <w:sz w:val="20"/>
      <w:szCs w:val="20"/>
    </w:rPr>
  </w:style>
  <w:style w:type="character" w:customStyle="1" w:styleId="CommentTextChar">
    <w:name w:val="Comment Text Char"/>
    <w:basedOn w:val="DefaultParagraphFont"/>
    <w:link w:val="CommentText"/>
    <w:uiPriority w:val="99"/>
    <w:semiHidden/>
    <w:rsid w:val="00100E0C"/>
    <w:rPr>
      <w:sz w:val="20"/>
      <w:szCs w:val="20"/>
    </w:rPr>
  </w:style>
  <w:style w:type="paragraph" w:styleId="CommentSubject">
    <w:name w:val="annotation subject"/>
    <w:basedOn w:val="CommentText"/>
    <w:next w:val="CommentText"/>
    <w:link w:val="CommentSubjectChar"/>
    <w:uiPriority w:val="99"/>
    <w:semiHidden/>
    <w:unhideWhenUsed/>
    <w:rsid w:val="00100E0C"/>
    <w:rPr>
      <w:b/>
      <w:bCs/>
    </w:rPr>
  </w:style>
  <w:style w:type="character" w:customStyle="1" w:styleId="CommentSubjectChar">
    <w:name w:val="Comment Subject Char"/>
    <w:basedOn w:val="CommentTextChar"/>
    <w:link w:val="CommentSubject"/>
    <w:uiPriority w:val="99"/>
    <w:semiHidden/>
    <w:rsid w:val="00100E0C"/>
    <w:rPr>
      <w:b/>
      <w:bCs/>
      <w:sz w:val="20"/>
      <w:szCs w:val="20"/>
    </w:rPr>
  </w:style>
  <w:style w:type="table" w:styleId="TableGrid">
    <w:name w:val="Table Grid"/>
    <w:basedOn w:val="TableNormal"/>
    <w:uiPriority w:val="39"/>
    <w:rsid w:val="00A2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5635537">
      <w:bodyDiv w:val="1"/>
      <w:marLeft w:val="0"/>
      <w:marRight w:val="0"/>
      <w:marTop w:val="0"/>
      <w:marBottom w:val="0"/>
      <w:divBdr>
        <w:top w:val="none" w:sz="0" w:space="0" w:color="auto"/>
        <w:left w:val="none" w:sz="0" w:space="0" w:color="auto"/>
        <w:bottom w:val="none" w:sz="0" w:space="0" w:color="auto"/>
        <w:right w:val="none" w:sz="0" w:space="0" w:color="auto"/>
      </w:divBdr>
    </w:div>
    <w:div w:id="449862961">
      <w:bodyDiv w:val="1"/>
      <w:marLeft w:val="0"/>
      <w:marRight w:val="0"/>
      <w:marTop w:val="0"/>
      <w:marBottom w:val="0"/>
      <w:divBdr>
        <w:top w:val="none" w:sz="0" w:space="0" w:color="auto"/>
        <w:left w:val="none" w:sz="0" w:space="0" w:color="auto"/>
        <w:bottom w:val="none" w:sz="0" w:space="0" w:color="auto"/>
        <w:right w:val="none" w:sz="0" w:space="0" w:color="auto"/>
      </w:divBdr>
    </w:div>
    <w:div w:id="9066486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8885378">
      <w:bodyDiv w:val="1"/>
      <w:marLeft w:val="0"/>
      <w:marRight w:val="0"/>
      <w:marTop w:val="0"/>
      <w:marBottom w:val="0"/>
      <w:divBdr>
        <w:top w:val="none" w:sz="0" w:space="0" w:color="auto"/>
        <w:left w:val="none" w:sz="0" w:space="0" w:color="auto"/>
        <w:bottom w:val="none" w:sz="0" w:space="0" w:color="auto"/>
        <w:right w:val="none" w:sz="0" w:space="0" w:color="auto"/>
      </w:divBdr>
    </w:div>
    <w:div w:id="18511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5877</Words>
  <Characters>3351</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67876169, Ivita.Lazdina@vm.gov.lv</dc:description>
  <cp:lastModifiedBy>Igors Belovs</cp:lastModifiedBy>
  <cp:revision>12</cp:revision>
  <cp:lastPrinted>2019-10-30T15:02:00Z</cp:lastPrinted>
  <dcterms:created xsi:type="dcterms:W3CDTF">2020-11-05T15:28:00Z</dcterms:created>
  <dcterms:modified xsi:type="dcterms:W3CDTF">2020-11-09T10:50:00Z</dcterms:modified>
</cp:coreProperties>
</file>