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0F7F" w14:textId="3CF29839" w:rsidR="00894C55" w:rsidRPr="003A46F2" w:rsidRDefault="00EC6E12" w:rsidP="00F71600">
      <w:pPr>
        <w:pStyle w:val="NoSpacing"/>
        <w:jc w:val="center"/>
        <w:rPr>
          <w:rFonts w:ascii="Times New Roman" w:hAnsi="Times New Roman" w:cs="Times New Roman"/>
          <w:b/>
          <w:sz w:val="28"/>
          <w:szCs w:val="24"/>
          <w:lang w:eastAsia="lv-LV"/>
        </w:rPr>
      </w:pPr>
      <w:r w:rsidRPr="003A46F2">
        <w:rPr>
          <w:rFonts w:ascii="Times New Roman" w:hAnsi="Times New Roman" w:cs="Times New Roman"/>
          <w:b/>
          <w:sz w:val="28"/>
          <w:szCs w:val="24"/>
          <w:lang w:eastAsia="lv-LV"/>
        </w:rPr>
        <w:t>Ministru kabineta rīkojuma projekta</w:t>
      </w:r>
      <w:r w:rsidR="0065732C" w:rsidRPr="003A46F2">
        <w:rPr>
          <w:rFonts w:ascii="Times New Roman" w:hAnsi="Times New Roman" w:cs="Times New Roman"/>
          <w:b/>
          <w:sz w:val="28"/>
          <w:szCs w:val="24"/>
          <w:lang w:eastAsia="lv-LV"/>
        </w:rPr>
        <w:t xml:space="preserve"> “</w:t>
      </w:r>
      <w:r w:rsidR="00477E09" w:rsidRPr="003A46F2">
        <w:rPr>
          <w:rFonts w:ascii="Times New Roman" w:eastAsia="Times New Roman" w:hAnsi="Times New Roman" w:cs="Times New Roman"/>
          <w:b/>
          <w:bCs/>
          <w:sz w:val="28"/>
          <w:szCs w:val="28"/>
          <w:lang w:eastAsia="lv-LV"/>
        </w:rPr>
        <w:t>Par apropriācijas palielināšanu</w:t>
      </w:r>
      <w:r w:rsidRPr="003A46F2">
        <w:rPr>
          <w:rFonts w:ascii="Times New Roman" w:hAnsi="Times New Roman" w:cs="Times New Roman"/>
          <w:b/>
          <w:sz w:val="28"/>
          <w:szCs w:val="24"/>
          <w:lang w:eastAsia="lv-LV"/>
        </w:rPr>
        <w:t xml:space="preserve">” </w:t>
      </w:r>
      <w:r w:rsidR="00894C55" w:rsidRPr="003A46F2">
        <w:rPr>
          <w:rFonts w:ascii="Times New Roman" w:hAnsi="Times New Roman" w:cs="Times New Roman"/>
          <w:b/>
          <w:sz w:val="28"/>
          <w:szCs w:val="24"/>
          <w:lang w:eastAsia="lv-LV"/>
        </w:rPr>
        <w:t>sākotnējās ietekmes novērtējuma ziņojums (anotācija)</w:t>
      </w:r>
    </w:p>
    <w:p w14:paraId="07464219" w14:textId="77777777" w:rsidR="00EC6E12" w:rsidRPr="003A46F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3A46F2" w:rsidRPr="003A46F2" w14:paraId="33FF9AB8"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D626D15" w14:textId="77777777" w:rsidR="006F193F" w:rsidRPr="003A46F2" w:rsidRDefault="006F193F" w:rsidP="006F193F">
            <w:pPr>
              <w:spacing w:before="100" w:beforeAutospacing="1" w:after="100" w:afterAutospacing="1" w:line="293" w:lineRule="atLeast"/>
              <w:jc w:val="center"/>
              <w:rPr>
                <w:b/>
                <w:bCs/>
              </w:rPr>
            </w:pPr>
            <w:r w:rsidRPr="003A46F2">
              <w:rPr>
                <w:b/>
                <w:bCs/>
              </w:rPr>
              <w:t>Tiesību akta projekta anotācijas kopsavilkums</w:t>
            </w:r>
          </w:p>
        </w:tc>
      </w:tr>
      <w:tr w:rsidR="003A46F2" w:rsidRPr="003A46F2" w14:paraId="37225C1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FDF4162" w14:textId="77777777" w:rsidR="006F193F" w:rsidRPr="003A46F2" w:rsidRDefault="006F193F" w:rsidP="006F193F">
            <w:pPr>
              <w:spacing w:before="100" w:beforeAutospacing="1" w:after="100" w:afterAutospacing="1" w:line="293" w:lineRule="atLeast"/>
            </w:pPr>
            <w:r w:rsidRPr="003A46F2">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62DC43D0" w14:textId="77777777" w:rsidR="006F193F" w:rsidRPr="003A46F2" w:rsidRDefault="006F193F" w:rsidP="006F193F">
            <w:pPr>
              <w:ind w:left="107" w:right="109"/>
              <w:jc w:val="both"/>
            </w:pPr>
            <w:r w:rsidRPr="003A46F2">
              <w:rPr>
                <w:rFonts w:eastAsiaTheme="minorHAnsi"/>
              </w:rPr>
              <w:t>Projekts šo jomu neskar.</w:t>
            </w:r>
          </w:p>
        </w:tc>
      </w:tr>
    </w:tbl>
    <w:p w14:paraId="3C342D9C" w14:textId="77777777" w:rsidR="00EC6E12" w:rsidRPr="003A46F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3A46F2" w:rsidRPr="003A46F2" w14:paraId="31BD40CD" w14:textId="77777777" w:rsidTr="0079260F">
        <w:tc>
          <w:tcPr>
            <w:tcW w:w="9356" w:type="dxa"/>
            <w:gridSpan w:val="3"/>
          </w:tcPr>
          <w:p w14:paraId="38C67D2F" w14:textId="77777777" w:rsidR="00EC6E12" w:rsidRPr="003A46F2" w:rsidRDefault="00EC6E12" w:rsidP="00EC6E12">
            <w:pPr>
              <w:pStyle w:val="NoSpacing"/>
              <w:jc w:val="center"/>
              <w:rPr>
                <w:rFonts w:ascii="Times New Roman" w:hAnsi="Times New Roman" w:cs="Times New Roman"/>
                <w:b/>
                <w:sz w:val="24"/>
                <w:szCs w:val="24"/>
                <w:lang w:eastAsia="lv-LV"/>
              </w:rPr>
            </w:pPr>
            <w:r w:rsidRPr="003A46F2">
              <w:rPr>
                <w:rFonts w:ascii="Times New Roman" w:hAnsi="Times New Roman" w:cs="Times New Roman"/>
                <w:b/>
                <w:iCs/>
                <w:sz w:val="24"/>
                <w:szCs w:val="24"/>
                <w:lang w:eastAsia="lv-LV"/>
              </w:rPr>
              <w:t>I. Tiesību akta projekta izstrādes nepieciešamība</w:t>
            </w:r>
          </w:p>
        </w:tc>
      </w:tr>
      <w:tr w:rsidR="003A46F2" w:rsidRPr="003A46F2" w14:paraId="4FFC11E1" w14:textId="77777777" w:rsidTr="0079260F">
        <w:tc>
          <w:tcPr>
            <w:tcW w:w="568" w:type="dxa"/>
          </w:tcPr>
          <w:p w14:paraId="446BD250" w14:textId="77777777" w:rsidR="00130487" w:rsidRPr="003A46F2" w:rsidRDefault="00130487" w:rsidP="00130487">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1.</w:t>
            </w:r>
          </w:p>
        </w:tc>
        <w:tc>
          <w:tcPr>
            <w:tcW w:w="1559" w:type="dxa"/>
          </w:tcPr>
          <w:p w14:paraId="777018BB" w14:textId="77777777" w:rsidR="00130487" w:rsidRPr="003A46F2" w:rsidRDefault="00130487" w:rsidP="00130487">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Pamatojums</w:t>
            </w:r>
          </w:p>
        </w:tc>
        <w:tc>
          <w:tcPr>
            <w:tcW w:w="7229" w:type="dxa"/>
          </w:tcPr>
          <w:p w14:paraId="2271BDB0" w14:textId="30421687" w:rsidR="00116F95" w:rsidRPr="003A46F2" w:rsidRDefault="0079260F" w:rsidP="00116F95">
            <w:pPr>
              <w:pStyle w:val="NoSpacing"/>
              <w:ind w:firstLine="311"/>
              <w:jc w:val="both"/>
              <w:rPr>
                <w:rFonts w:ascii="Times New Roman" w:hAnsi="Times New Roman" w:cs="Times New Roman"/>
                <w:sz w:val="24"/>
              </w:rPr>
            </w:pPr>
            <w:r w:rsidRPr="003A46F2">
              <w:rPr>
                <w:rFonts w:ascii="Times New Roman" w:hAnsi="Times New Roman" w:cs="Times New Roman"/>
                <w:sz w:val="24"/>
              </w:rPr>
              <w:t>Ministru kabineta rīkojuma projekts</w:t>
            </w:r>
            <w:r w:rsidR="00C65A4B" w:rsidRPr="003A46F2">
              <w:rPr>
                <w:rFonts w:ascii="Times New Roman" w:hAnsi="Times New Roman" w:cs="Times New Roman"/>
                <w:sz w:val="24"/>
              </w:rPr>
              <w:t xml:space="preserve"> “</w:t>
            </w:r>
            <w:r w:rsidR="001E7D97" w:rsidRPr="003A46F2">
              <w:rPr>
                <w:rFonts w:ascii="Times New Roman" w:hAnsi="Times New Roman" w:cs="Times New Roman"/>
                <w:sz w:val="24"/>
              </w:rPr>
              <w:t>Par apropriācijas palielināšanu</w:t>
            </w:r>
            <w:r w:rsidRPr="003A46F2">
              <w:rPr>
                <w:rFonts w:ascii="Times New Roman" w:hAnsi="Times New Roman" w:cs="Times New Roman"/>
                <w:sz w:val="24"/>
              </w:rPr>
              <w:t xml:space="preserve">” (turpmāk – rīkojuma projekts) izstrādāts, pamatojoties uz: </w:t>
            </w:r>
          </w:p>
          <w:p w14:paraId="7654CD0F" w14:textId="77777777" w:rsidR="001E7D97" w:rsidRPr="003A46F2" w:rsidRDefault="001E7D97" w:rsidP="001E7D97">
            <w:pPr>
              <w:pStyle w:val="ListParagraph"/>
              <w:numPr>
                <w:ilvl w:val="0"/>
                <w:numId w:val="10"/>
              </w:numPr>
              <w:jc w:val="both"/>
            </w:pPr>
            <w:r w:rsidRPr="003A46F2">
              <w:t>Likuma “Par valsts budžetu 2020.gadam” 44.panta otro un trešo daļu;</w:t>
            </w:r>
          </w:p>
          <w:p w14:paraId="76A40306" w14:textId="62F812F9" w:rsidR="001E7D97" w:rsidRPr="003A46F2" w:rsidRDefault="001E7D97" w:rsidP="001E7D97">
            <w:pPr>
              <w:pStyle w:val="ListParagraph"/>
              <w:numPr>
                <w:ilvl w:val="0"/>
                <w:numId w:val="10"/>
              </w:numPr>
              <w:jc w:val="both"/>
            </w:pPr>
            <w:r w:rsidRPr="003A46F2">
              <w:t>Ministru kabineta 2020.gada 19.februāra rīkojumu Nr.61 “Par valsts nekustamā īpašuma pārdošanu”.</w:t>
            </w:r>
          </w:p>
          <w:p w14:paraId="0086D73E" w14:textId="17F6EB0D" w:rsidR="00477E09" w:rsidRPr="003A46F2" w:rsidRDefault="00477E09" w:rsidP="00477E09">
            <w:pPr>
              <w:ind w:firstLine="391"/>
              <w:jc w:val="both"/>
              <w:rPr>
                <w:iCs/>
              </w:rPr>
            </w:pPr>
            <w:r w:rsidRPr="003A46F2">
              <w:rPr>
                <w:iCs/>
              </w:rPr>
              <w:t>Atbilstoši “</w:t>
            </w:r>
            <w:hyperlink r:id="rId8" w:tgtFrame="_blank" w:history="1">
              <w:r w:rsidRPr="003A46F2">
                <w:rPr>
                  <w:rFonts w:eastAsiaTheme="minorHAnsi"/>
                  <w:lang w:eastAsia="en-US"/>
                </w:rPr>
                <w:t>Par valsts budžetu 20</w:t>
              </w:r>
              <w:r w:rsidRPr="003A46F2">
                <w:rPr>
                  <w:rFonts w:asciiTheme="minorHAnsi" w:eastAsiaTheme="minorHAnsi" w:hAnsiTheme="minorHAnsi" w:cstheme="minorBidi"/>
                  <w:lang w:eastAsia="en-US"/>
                </w:rPr>
                <w:t>20</w:t>
              </w:r>
              <w:r w:rsidRPr="003A46F2">
                <w:rPr>
                  <w:rFonts w:eastAsiaTheme="minorHAnsi"/>
                  <w:lang w:eastAsia="en-US"/>
                </w:rPr>
                <w:t>.gadam</w:t>
              </w:r>
            </w:hyperlink>
            <w:r w:rsidRPr="003A46F2">
              <w:rPr>
                <w:rFonts w:eastAsiaTheme="minorHAnsi"/>
                <w:lang w:eastAsia="en-US"/>
              </w:rPr>
              <w:t>” </w:t>
            </w:r>
            <w:hyperlink r:id="rId9" w:anchor="p42" w:tgtFrame="_blank" w:history="1">
              <w:r w:rsidRPr="003A46F2">
                <w:rPr>
                  <w:rFonts w:eastAsiaTheme="minorHAnsi"/>
                  <w:lang w:eastAsia="en-US"/>
                </w:rPr>
                <w:t>4</w:t>
              </w:r>
              <w:r w:rsidRPr="003A46F2">
                <w:rPr>
                  <w:rFonts w:asciiTheme="minorHAnsi" w:eastAsiaTheme="minorHAnsi" w:hAnsiTheme="minorHAnsi" w:cstheme="minorBidi"/>
                  <w:lang w:eastAsia="en-US"/>
                </w:rPr>
                <w:t>4</w:t>
              </w:r>
              <w:r w:rsidRPr="003A46F2">
                <w:rPr>
                  <w:rFonts w:eastAsiaTheme="minorHAnsi"/>
                  <w:lang w:eastAsia="en-US"/>
                </w:rPr>
                <w:t>.panta</w:t>
              </w:r>
            </w:hyperlink>
            <w:r w:rsidRPr="003A46F2">
              <w:rPr>
                <w:rFonts w:eastAsiaTheme="minorHAnsi"/>
                <w:lang w:eastAsia="en-US"/>
              </w:rPr>
              <w:t> otrajā un trešajā daļā</w:t>
            </w:r>
            <w:r w:rsidRPr="003A46F2">
              <w:rPr>
                <w:iCs/>
              </w:rPr>
              <w:t xml:space="preserve"> </w:t>
            </w:r>
            <w:r w:rsidRPr="003A46F2">
              <w:rPr>
                <w:rFonts w:eastAsiaTheme="minorHAnsi"/>
                <w:lang w:eastAsia="en-US"/>
              </w:rPr>
              <w:t>noteiktajam,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 Iepriekš minēto apropriāciju atļauts piešķirt kapitālieguldījumiem vai neatliekamiem pasākumiem ar pozitīvu sociālekonomisku efektu.</w:t>
            </w:r>
          </w:p>
        </w:tc>
      </w:tr>
      <w:tr w:rsidR="003A46F2" w:rsidRPr="003A46F2" w14:paraId="0B5625C3" w14:textId="77777777" w:rsidTr="0079260F">
        <w:tc>
          <w:tcPr>
            <w:tcW w:w="568" w:type="dxa"/>
          </w:tcPr>
          <w:p w14:paraId="1446D2F6" w14:textId="77777777" w:rsidR="0079260F" w:rsidRPr="003A46F2" w:rsidRDefault="0079260F" w:rsidP="0079260F">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2.</w:t>
            </w:r>
          </w:p>
        </w:tc>
        <w:tc>
          <w:tcPr>
            <w:tcW w:w="1559" w:type="dxa"/>
          </w:tcPr>
          <w:p w14:paraId="7C17EDB9" w14:textId="77777777" w:rsidR="00152501" w:rsidRPr="003A46F2" w:rsidRDefault="0079260F" w:rsidP="0079260F">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D07C18D" w14:textId="77777777" w:rsidR="0079260F" w:rsidRPr="003A46F2" w:rsidRDefault="0079260F" w:rsidP="00152501">
            <w:pPr>
              <w:jc w:val="center"/>
            </w:pPr>
          </w:p>
          <w:p w14:paraId="6D991510" w14:textId="77777777" w:rsidR="00485E78" w:rsidRPr="003A46F2" w:rsidRDefault="00485E78" w:rsidP="00485E78"/>
          <w:p w14:paraId="24C9F4A9" w14:textId="77777777" w:rsidR="00485E78" w:rsidRPr="003A46F2" w:rsidRDefault="00485E78" w:rsidP="00485E78"/>
          <w:p w14:paraId="72BBB5F5" w14:textId="77777777" w:rsidR="00485E78" w:rsidRPr="003A46F2" w:rsidRDefault="00485E78" w:rsidP="00485E78"/>
          <w:p w14:paraId="26406B8C" w14:textId="77777777" w:rsidR="00485E78" w:rsidRPr="003A46F2" w:rsidRDefault="00485E78" w:rsidP="00485E78">
            <w:bookmarkStart w:id="0" w:name="_GoBack"/>
            <w:bookmarkEnd w:id="0"/>
          </w:p>
          <w:p w14:paraId="106A90EF" w14:textId="77777777" w:rsidR="00485E78" w:rsidRPr="003A46F2" w:rsidRDefault="00485E78" w:rsidP="00485E78"/>
          <w:p w14:paraId="6346E7B4" w14:textId="77777777" w:rsidR="00485E78" w:rsidRPr="003A46F2" w:rsidRDefault="00485E78" w:rsidP="00485E78"/>
          <w:p w14:paraId="3233DE26" w14:textId="77777777" w:rsidR="00485E78" w:rsidRPr="003A46F2" w:rsidRDefault="00485E78" w:rsidP="00485E78"/>
          <w:p w14:paraId="0ADE3804" w14:textId="77777777" w:rsidR="00485E78" w:rsidRPr="003A46F2" w:rsidRDefault="00485E78" w:rsidP="00485E78"/>
          <w:p w14:paraId="0A17ADA0" w14:textId="77777777" w:rsidR="00485E78" w:rsidRPr="003A46F2" w:rsidRDefault="00485E78" w:rsidP="00485E78"/>
          <w:p w14:paraId="496C8121" w14:textId="77777777" w:rsidR="00485E78" w:rsidRPr="003A46F2" w:rsidRDefault="00485E78" w:rsidP="00485E78"/>
          <w:p w14:paraId="62A2BD0E" w14:textId="77777777" w:rsidR="00485E78" w:rsidRPr="003A46F2" w:rsidRDefault="00485E78" w:rsidP="00485E78"/>
          <w:p w14:paraId="183BBBC6" w14:textId="77777777" w:rsidR="00485E78" w:rsidRPr="003A46F2" w:rsidRDefault="00485E78" w:rsidP="00485E78"/>
          <w:p w14:paraId="469F4DCE" w14:textId="77777777" w:rsidR="00485E78" w:rsidRPr="003A46F2" w:rsidRDefault="00485E78" w:rsidP="00485E78"/>
          <w:p w14:paraId="6878BE7C" w14:textId="77777777" w:rsidR="00485E78" w:rsidRPr="003A46F2" w:rsidRDefault="00485E78" w:rsidP="00485E78"/>
          <w:p w14:paraId="7B309567" w14:textId="77777777" w:rsidR="00485E78" w:rsidRPr="003A46F2" w:rsidRDefault="00485E78" w:rsidP="00485E78"/>
          <w:p w14:paraId="11E08203" w14:textId="77777777" w:rsidR="00485E78" w:rsidRPr="003A46F2" w:rsidRDefault="00485E78" w:rsidP="00485E78"/>
          <w:p w14:paraId="6CE86EA6" w14:textId="77777777" w:rsidR="00485E78" w:rsidRPr="003A46F2" w:rsidRDefault="00485E78" w:rsidP="00485E78"/>
          <w:p w14:paraId="2BE9D409" w14:textId="77777777" w:rsidR="00485E78" w:rsidRPr="003A46F2" w:rsidRDefault="00485E78" w:rsidP="00485E78"/>
          <w:p w14:paraId="44782F51" w14:textId="77777777" w:rsidR="00485E78" w:rsidRPr="003A46F2" w:rsidRDefault="00485E78" w:rsidP="00485E78"/>
          <w:p w14:paraId="51BC0C4B" w14:textId="77777777" w:rsidR="00485E78" w:rsidRPr="003A46F2" w:rsidRDefault="00485E78" w:rsidP="00485E78"/>
          <w:p w14:paraId="3630793B" w14:textId="77777777" w:rsidR="00485E78" w:rsidRPr="003A46F2" w:rsidRDefault="00485E78" w:rsidP="00485E78">
            <w:pPr>
              <w:jc w:val="center"/>
            </w:pPr>
          </w:p>
        </w:tc>
        <w:tc>
          <w:tcPr>
            <w:tcW w:w="7229" w:type="dxa"/>
          </w:tcPr>
          <w:p w14:paraId="32292AB8" w14:textId="10C8B982" w:rsidR="008C3A5C" w:rsidRPr="003A46F2" w:rsidRDefault="001E7D97" w:rsidP="008C3A5C">
            <w:pPr>
              <w:pStyle w:val="NormalWeb"/>
              <w:shd w:val="clear" w:color="auto" w:fill="FFFFFF"/>
              <w:spacing w:before="0" w:beforeAutospacing="0" w:after="0" w:afterAutospacing="0"/>
              <w:ind w:firstLine="301"/>
              <w:jc w:val="both"/>
            </w:pPr>
            <w:r w:rsidRPr="001E7D97">
              <w:rPr>
                <w:lang w:eastAsia="en-US"/>
              </w:rPr>
              <w:lastRenderedPageBreak/>
              <w:t>Pamatojoties uz Ministru kabineta 20</w:t>
            </w:r>
            <w:r w:rsidRPr="003A46F2">
              <w:rPr>
                <w:lang w:eastAsia="en-US"/>
              </w:rPr>
              <w:t>20</w:t>
            </w:r>
            <w:r w:rsidRPr="001E7D97">
              <w:rPr>
                <w:lang w:eastAsia="en-US"/>
              </w:rPr>
              <w:t xml:space="preserve">.gada </w:t>
            </w:r>
            <w:r w:rsidRPr="003A46F2">
              <w:rPr>
                <w:lang w:eastAsia="en-US"/>
              </w:rPr>
              <w:t>19.februāra</w:t>
            </w:r>
            <w:r w:rsidRPr="001E7D97">
              <w:rPr>
                <w:lang w:eastAsia="en-US"/>
              </w:rPr>
              <w:t xml:space="preserve"> rīkojumu Nr.</w:t>
            </w:r>
            <w:r w:rsidRPr="003A46F2">
              <w:rPr>
                <w:lang w:eastAsia="en-US"/>
              </w:rPr>
              <w:t>61</w:t>
            </w:r>
            <w:r w:rsidRPr="001E7D97">
              <w:rPr>
                <w:lang w:eastAsia="en-US"/>
              </w:rPr>
              <w:t xml:space="preserve"> “Par valsts nekustamā īpašuma pārdošanu”, </w:t>
            </w:r>
            <w:r w:rsidR="008C3A5C" w:rsidRPr="003A46F2">
              <w:rPr>
                <w:shd w:val="clear" w:color="auto" w:fill="FFFFFF"/>
              </w:rPr>
              <w:t xml:space="preserve">valsts akciju sabiedrībai “Valsts nekustamie īpašumi” (turpmāk – VNĪ) </w:t>
            </w:r>
            <w:r w:rsidRPr="001E7D97">
              <w:rPr>
                <w:lang w:eastAsia="en-US"/>
              </w:rPr>
              <w:t xml:space="preserve">tika atļauts </w:t>
            </w:r>
            <w:r w:rsidR="008C3A5C" w:rsidRPr="003A46F2">
              <w:t>pārdot izsolē šādus nekustamos īpašumus, kas ierakstīti zemesgrāmatā uz valsts vārda Veselības ministrijas personā:</w:t>
            </w:r>
          </w:p>
          <w:p w14:paraId="1A566DDA" w14:textId="77777777" w:rsidR="008C3A5C" w:rsidRPr="003A46F2" w:rsidRDefault="008C3A5C" w:rsidP="008C3A5C">
            <w:pPr>
              <w:pStyle w:val="NormalWeb"/>
              <w:shd w:val="clear" w:color="auto" w:fill="FFFFFF"/>
              <w:spacing w:before="0" w:beforeAutospacing="0" w:after="0" w:afterAutospacing="0"/>
              <w:ind w:firstLine="301"/>
              <w:jc w:val="both"/>
            </w:pPr>
            <w:r w:rsidRPr="003A46F2">
              <w:t>- nekustamo īpašumu (nekustamā īpašuma kadastra Nr. 2100 006 1403) - zemes vienību (zemes vienības kadastra apzīmējums 2100 006 1402) 3135 m</w:t>
            </w:r>
            <w:r w:rsidRPr="003A46F2">
              <w:rPr>
                <w:vertAlign w:val="superscript"/>
              </w:rPr>
              <w:t>2</w:t>
            </w:r>
            <w:r w:rsidRPr="003A46F2">
              <w:t> platībā un četras būves (būvju kadastra apzīmējumi 2100 006 1402 001, 2100 006 1402 002, 2100 006 1402 003 un 2100 006 1402 004) - 18. novembra ielā 41A, Rēzeknē;</w:t>
            </w:r>
          </w:p>
          <w:p w14:paraId="491645FB" w14:textId="77777777" w:rsidR="00D8655B" w:rsidRPr="003A46F2" w:rsidRDefault="008C3A5C" w:rsidP="00D8655B">
            <w:pPr>
              <w:pStyle w:val="NormalWeb"/>
              <w:shd w:val="clear" w:color="auto" w:fill="FFFFFF"/>
              <w:spacing w:before="0" w:beforeAutospacing="0" w:after="0" w:afterAutospacing="0"/>
              <w:ind w:firstLine="301"/>
              <w:jc w:val="both"/>
            </w:pPr>
            <w:r w:rsidRPr="003A46F2">
              <w:t>- nekustamo īpašumu (nekustamā īpašuma kadastra Nr. 2100 006 0042) - zemes vienību (zemes vienības kadastra apzīmējums 2100 006 1403) 4653 m</w:t>
            </w:r>
            <w:r w:rsidRPr="003A46F2">
              <w:rPr>
                <w:vertAlign w:val="superscript"/>
              </w:rPr>
              <w:t>2</w:t>
            </w:r>
            <w:r w:rsidRPr="003A46F2">
              <w:t> platībā un būvi (būves kadastra apzīmējums 2100 006 1403 001) - Slimnīcas ielā 2, Rēzeknē</w:t>
            </w:r>
            <w:r w:rsidR="00D8655B" w:rsidRPr="003A46F2">
              <w:t xml:space="preserve"> </w:t>
            </w:r>
          </w:p>
          <w:p w14:paraId="359AEACD" w14:textId="2154B0FB" w:rsidR="008C3A5C" w:rsidRPr="003A46F2" w:rsidRDefault="008C3A5C" w:rsidP="00D8655B">
            <w:pPr>
              <w:pStyle w:val="NormalWeb"/>
              <w:shd w:val="clear" w:color="auto" w:fill="FFFFFF"/>
              <w:spacing w:before="0" w:beforeAutospacing="0" w:after="0" w:afterAutospacing="0"/>
              <w:jc w:val="both"/>
            </w:pPr>
            <w:r w:rsidRPr="001E7D97">
              <w:t>(turpmāk – nekustamais īpašums)</w:t>
            </w:r>
            <w:r w:rsidR="00D8655B" w:rsidRPr="003A46F2">
              <w:t>.</w:t>
            </w:r>
          </w:p>
          <w:p w14:paraId="52EA878D" w14:textId="77777777" w:rsidR="008C3A5C" w:rsidRPr="003A46F2" w:rsidRDefault="008C3A5C" w:rsidP="001E7D97">
            <w:pPr>
              <w:ind w:right="119"/>
              <w:jc w:val="both"/>
              <w:rPr>
                <w:sz w:val="28"/>
                <w:szCs w:val="28"/>
                <w:lang w:eastAsia="en-US"/>
              </w:rPr>
            </w:pPr>
          </w:p>
          <w:p w14:paraId="65EE5EDE" w14:textId="47C606E6" w:rsidR="001E7D97" w:rsidRPr="003A46F2" w:rsidRDefault="001E7D97" w:rsidP="00C80B0B">
            <w:pPr>
              <w:ind w:left="120" w:right="118" w:firstLine="426"/>
              <w:jc w:val="both"/>
              <w:rPr>
                <w:lang w:eastAsia="en-US"/>
              </w:rPr>
            </w:pPr>
            <w:r w:rsidRPr="001E7D97">
              <w:rPr>
                <w:lang w:eastAsia="en-US"/>
              </w:rPr>
              <w:lastRenderedPageBreak/>
              <w:t>20</w:t>
            </w:r>
            <w:r w:rsidR="008C3A5C" w:rsidRPr="003A46F2">
              <w:rPr>
                <w:lang w:eastAsia="en-US"/>
              </w:rPr>
              <w:t>20</w:t>
            </w:r>
            <w:r w:rsidRPr="001E7D97">
              <w:rPr>
                <w:lang w:eastAsia="en-US"/>
              </w:rPr>
              <w:t xml:space="preserve">.gada </w:t>
            </w:r>
            <w:r w:rsidR="008C3A5C" w:rsidRPr="003A46F2">
              <w:rPr>
                <w:lang w:eastAsia="en-US"/>
              </w:rPr>
              <w:t>5</w:t>
            </w:r>
            <w:r w:rsidRPr="001E7D97">
              <w:rPr>
                <w:lang w:eastAsia="en-US"/>
              </w:rPr>
              <w:t>.oktobrī starp</w:t>
            </w:r>
            <w:r w:rsidR="008C3A5C" w:rsidRPr="003A46F2">
              <w:rPr>
                <w:lang w:eastAsia="en-US"/>
              </w:rPr>
              <w:t xml:space="preserve"> VNĪ</w:t>
            </w:r>
            <w:r w:rsidRPr="001E7D97">
              <w:rPr>
                <w:lang w:eastAsia="en-US"/>
              </w:rPr>
              <w:t xml:space="preserve"> un sabiedrību </w:t>
            </w:r>
            <w:r w:rsidR="008C3A5C" w:rsidRPr="003A46F2">
              <w:rPr>
                <w:lang w:eastAsia="en-US"/>
              </w:rPr>
              <w:t xml:space="preserve">ar ierobežotu atbildību (DANA) </w:t>
            </w:r>
            <w:r w:rsidR="00D8655B" w:rsidRPr="003A46F2">
              <w:rPr>
                <w:lang w:eastAsia="en-US"/>
              </w:rPr>
              <w:t xml:space="preserve">(turpmāk – pircējs) </w:t>
            </w:r>
            <w:r w:rsidRPr="001E7D97">
              <w:rPr>
                <w:lang w:eastAsia="en-US"/>
              </w:rPr>
              <w:t xml:space="preserve">tika noslēgts </w:t>
            </w:r>
            <w:r w:rsidR="0096116B">
              <w:t xml:space="preserve">nekustamā īpašuma </w:t>
            </w:r>
            <w:r w:rsidR="0096116B" w:rsidRPr="00972993">
              <w:t>(nekustamā īpašuma kadastra Nr. 2100 006 1403)</w:t>
            </w:r>
            <w:r w:rsidR="0096116B">
              <w:t xml:space="preserve">18.novembra ielā 41A, Rēzeknē, </w:t>
            </w:r>
            <w:r w:rsidRPr="001E7D97">
              <w:rPr>
                <w:lang w:eastAsia="en-US"/>
              </w:rPr>
              <w:t>Pirkuma līgums Nr.</w:t>
            </w:r>
            <w:r w:rsidR="008C3A5C" w:rsidRPr="003A46F2">
              <w:rPr>
                <w:lang w:eastAsia="en-US"/>
              </w:rPr>
              <w:t>IEN/2020/1997</w:t>
            </w:r>
            <w:r w:rsidRPr="001E7D97">
              <w:rPr>
                <w:lang w:eastAsia="en-US"/>
              </w:rPr>
              <w:t>.</w:t>
            </w:r>
            <w:r w:rsidR="008C3A5C" w:rsidRPr="003A46F2">
              <w:rPr>
                <w:lang w:eastAsia="en-US"/>
              </w:rPr>
              <w:t xml:space="preserve">  Attiecīgi nekustamais īpašums tika nodots pircējam, sastādot nodošanas- pieņamšanas aktu un sagatavohot nostiprinājuma lūgumu par īpašuma tiesību reģistrāciju Zemesgrāmatā uz pircēja vārda. </w:t>
            </w:r>
          </w:p>
          <w:p w14:paraId="2DFE5C83" w14:textId="32EE8F9C" w:rsidR="001E7D97" w:rsidRPr="001E7D97" w:rsidRDefault="001E7D97" w:rsidP="001E7D97">
            <w:pPr>
              <w:ind w:left="119" w:right="119" w:firstLine="425"/>
              <w:jc w:val="both"/>
              <w:rPr>
                <w:lang w:eastAsia="en-US"/>
              </w:rPr>
            </w:pPr>
            <w:r w:rsidRPr="001E7D97">
              <w:rPr>
                <w:lang w:eastAsia="en-US"/>
              </w:rPr>
              <w:t xml:space="preserve">Nekustamā īpašuma atsavināšanā iegūti līdzekļi </w:t>
            </w:r>
            <w:r w:rsidR="00D8655B" w:rsidRPr="003A46F2">
              <w:rPr>
                <w:lang w:eastAsia="en-US"/>
              </w:rPr>
              <w:t>71 100</w:t>
            </w:r>
            <w:r w:rsidRPr="001E7D97">
              <w:rPr>
                <w:lang w:eastAsia="en-US"/>
              </w:rPr>
              <w:t xml:space="preserve"> </w:t>
            </w:r>
            <w:r w:rsidR="00D8655B" w:rsidRPr="003A46F2">
              <w:rPr>
                <w:i/>
                <w:iCs/>
                <w:lang w:eastAsia="en-US"/>
              </w:rPr>
              <w:t>euro</w:t>
            </w:r>
            <w:r w:rsidR="00D8655B" w:rsidRPr="003A46F2">
              <w:rPr>
                <w:lang w:eastAsia="en-US"/>
              </w:rPr>
              <w:t xml:space="preserve"> </w:t>
            </w:r>
            <w:r w:rsidRPr="001E7D97">
              <w:rPr>
                <w:lang w:eastAsia="en-US"/>
              </w:rPr>
              <w:t xml:space="preserve">apmērā, no kuriem Ministru kabineta 2011.gada 1.februāra noteikumu Nr.109 “Kārtība, kādā atsavināma publiskas personas manta” 36.punktā noteiktajā kārtībā atskaitīti nekustamā īpašuma atsavināšanas izdevumi un valsts pamatbudžeta ieņēmumu kontā ieskaitīti </w:t>
            </w:r>
            <w:r w:rsidR="00D8655B" w:rsidRPr="003A46F2">
              <w:rPr>
                <w:lang w:eastAsia="en-US"/>
              </w:rPr>
              <w:t xml:space="preserve">35 550 </w:t>
            </w:r>
            <w:r w:rsidR="00D8655B" w:rsidRPr="003A46F2">
              <w:rPr>
                <w:i/>
                <w:iCs/>
                <w:lang w:eastAsia="en-US"/>
              </w:rPr>
              <w:t>euro</w:t>
            </w:r>
            <w:r w:rsidRPr="001E7D97">
              <w:rPr>
                <w:lang w:eastAsia="en-US"/>
              </w:rPr>
              <w:t>.</w:t>
            </w:r>
          </w:p>
          <w:p w14:paraId="1670D537" w14:textId="77777777" w:rsidR="003A46F2" w:rsidRPr="003A46F2" w:rsidRDefault="003A46F2" w:rsidP="001E7D97">
            <w:pPr>
              <w:jc w:val="both"/>
              <w:rPr>
                <w:rFonts w:asciiTheme="minorHAnsi" w:eastAsiaTheme="minorHAnsi" w:hAnsiTheme="minorHAnsi" w:cstheme="minorBidi"/>
                <w:sz w:val="22"/>
                <w:szCs w:val="28"/>
                <w:highlight w:val="yellow"/>
                <w:lang w:eastAsia="en-US"/>
              </w:rPr>
            </w:pPr>
          </w:p>
          <w:p w14:paraId="309C5BBC" w14:textId="02D24D2B" w:rsidR="00F97428" w:rsidRPr="003E7430" w:rsidRDefault="00C80B0B" w:rsidP="003A46F2">
            <w:pPr>
              <w:jc w:val="both"/>
              <w:rPr>
                <w:lang w:eastAsia="en-US"/>
              </w:rPr>
            </w:pPr>
            <w:r w:rsidRPr="003A46F2">
              <w:rPr>
                <w:lang w:eastAsia="en-US"/>
              </w:rPr>
              <w:t>Veselības m</w:t>
            </w:r>
            <w:r w:rsidR="001E7D97" w:rsidRPr="003A46F2">
              <w:rPr>
                <w:lang w:eastAsia="en-US"/>
              </w:rPr>
              <w:t xml:space="preserve">inistrija uzskata, ka ir lietderīgi pieņemt Ministru kabineta lēmumu </w:t>
            </w:r>
            <w:r w:rsidR="001E7D97" w:rsidRPr="003E7430">
              <w:rPr>
                <w:lang w:eastAsia="en-US"/>
              </w:rPr>
              <w:t xml:space="preserve">par apropriācijas palielināšanu </w:t>
            </w:r>
            <w:r w:rsidR="003A46F2" w:rsidRPr="003E7430">
              <w:rPr>
                <w:lang w:eastAsia="en-US"/>
              </w:rPr>
              <w:t xml:space="preserve">Veselības </w:t>
            </w:r>
            <w:r w:rsidR="001E7D97" w:rsidRPr="003E7430">
              <w:rPr>
                <w:lang w:eastAsia="en-US"/>
              </w:rPr>
              <w:t>ministrijai resursiem no dotācijas no vispārējiem ieņēmumiem un izdevumiem, piešķirt</w:t>
            </w:r>
            <w:r w:rsidR="003A46F2" w:rsidRPr="003E7430">
              <w:rPr>
                <w:lang w:eastAsia="en-US"/>
              </w:rPr>
              <w:t>ot</w:t>
            </w:r>
            <w:r w:rsidR="001E7D97" w:rsidRPr="003E7430">
              <w:rPr>
                <w:lang w:eastAsia="en-US"/>
              </w:rPr>
              <w:t xml:space="preserve"> </w:t>
            </w:r>
            <w:r w:rsidR="003A46F2" w:rsidRPr="003E7430">
              <w:rPr>
                <w:lang w:eastAsia="en-US"/>
              </w:rPr>
              <w:t>finansējumu</w:t>
            </w:r>
            <w:r w:rsidR="001E7D97" w:rsidRPr="003E7430">
              <w:rPr>
                <w:lang w:eastAsia="en-US"/>
              </w:rPr>
              <w:t xml:space="preserve"> kapitālieguldījumiem </w:t>
            </w:r>
            <w:r w:rsidR="003A46F2" w:rsidRPr="003E7430">
              <w:rPr>
                <w:lang w:eastAsia="en-US"/>
              </w:rPr>
              <w:t xml:space="preserve">Veselības </w:t>
            </w:r>
            <w:r w:rsidR="001E7D97" w:rsidRPr="003E7430">
              <w:rPr>
                <w:lang w:eastAsia="en-US"/>
              </w:rPr>
              <w:t xml:space="preserve">ministrijas </w:t>
            </w:r>
            <w:r w:rsidR="003A46F2" w:rsidRPr="003E7430">
              <w:rPr>
                <w:lang w:eastAsia="en-US"/>
              </w:rPr>
              <w:t>piederošajā īpašumā Antonijas ielā 1, Rīgā, kur atrodas Paula Stradiņa medicīnas vēstures muzejs, ņemot vērā, ka ēkā esošās elektroinstalācijas ir avārijas stāvoklī</w:t>
            </w:r>
            <w:r w:rsidR="003E7430">
              <w:rPr>
                <w:lang w:eastAsia="en-US"/>
              </w:rPr>
              <w:t xml:space="preserve"> - </w:t>
            </w:r>
            <w:r w:rsidR="003E7430">
              <w:t>sadaļņu skapji neatbilst drošības prasībām; izolācijas pretestības mērījumu rezultāti uzrāda neatbilstību drošības prasībām pusē no veiktajiem mērījumiem; galvenās ievada sadalnes elektroinstalācija ir vecāka par tās maksimālo ekspluatācijas laiku (25-35 gadi); galvenās sadalnes viens no slēdžiem silst un defekts klasificējams kā avārijas, kuru nepieciešams novērst nekavējoties; vairāki elektroinstalācijas elementi neatbilst prasībām, sevišķi siltummezglā</w:t>
            </w:r>
            <w:r w:rsidR="002E48DC">
              <w:t xml:space="preserve">, vairākās muzeja pastāvīgās ekspozīcijas zālēs, kurās elektroinstalācijas vecākas par 40 gadiem, </w:t>
            </w:r>
            <w:r w:rsidR="003E7430">
              <w:t>u.c.</w:t>
            </w:r>
          </w:p>
          <w:p w14:paraId="17FE9692" w14:textId="77777777" w:rsidR="003A46F2" w:rsidRPr="003E7430" w:rsidRDefault="00F71600" w:rsidP="003A46F2">
            <w:pPr>
              <w:shd w:val="clear" w:color="auto" w:fill="FFFFFF"/>
              <w:spacing w:before="100" w:beforeAutospacing="1" w:after="100" w:afterAutospacing="1" w:line="293" w:lineRule="atLeast"/>
              <w:ind w:firstLine="300"/>
              <w:jc w:val="both"/>
            </w:pPr>
            <w:r w:rsidRPr="003E7430">
              <w:t xml:space="preserve">Rīkojumu projekts paredz </w:t>
            </w:r>
            <w:r w:rsidR="003A46F2" w:rsidRPr="003E7430">
              <w:t>atbilstoši likuma “</w:t>
            </w:r>
            <w:hyperlink r:id="rId10" w:tgtFrame="_blank" w:history="1">
              <w:r w:rsidR="003A46F2" w:rsidRPr="003E7430">
                <w:t>Par valsts budžetu 2020. gadam</w:t>
              </w:r>
            </w:hyperlink>
            <w:r w:rsidR="003A46F2" w:rsidRPr="003E7430">
              <w:t>” </w:t>
            </w:r>
            <w:hyperlink r:id="rId11" w:anchor="p42" w:tgtFrame="_blank" w:history="1">
              <w:r w:rsidR="003A46F2" w:rsidRPr="003E7430">
                <w:t>44. panta</w:t>
              </w:r>
            </w:hyperlink>
            <w:r w:rsidR="003A46F2" w:rsidRPr="003E7430">
              <w:t xml:space="preserve"> otrajai un trešajai daļai atbalstīt apropriācijas palielināšanu Veselības ministrijai resursiem no dotācijas no vispārējiem ieņēmumiem un izdevumiem programmā 97.00.00 “Nozares vadība un politikas plānošana” 17 775 </w:t>
            </w:r>
            <w:r w:rsidR="003A46F2" w:rsidRPr="003E7430">
              <w:rPr>
                <w:i/>
                <w:iCs/>
              </w:rPr>
              <w:t>euro</w:t>
            </w:r>
            <w:r w:rsidR="003A46F2" w:rsidRPr="003E7430">
              <w:t> apmērā, lai nodrošinātu finansējumu kapitālieguldījumiem valsts nekustamajā īpašumā Antonijas ielā 1, Rīgā.</w:t>
            </w:r>
          </w:p>
          <w:p w14:paraId="02EB51F1" w14:textId="77777777" w:rsidR="003A46F2" w:rsidRPr="003A46F2" w:rsidRDefault="00F71600" w:rsidP="003A46F2">
            <w:pPr>
              <w:shd w:val="clear" w:color="auto" w:fill="FFFFFF"/>
              <w:spacing w:before="100" w:beforeAutospacing="1" w:after="100" w:afterAutospacing="1" w:line="293" w:lineRule="atLeast"/>
              <w:ind w:firstLine="300"/>
              <w:jc w:val="both"/>
              <w:rPr>
                <w:sz w:val="28"/>
                <w:szCs w:val="28"/>
              </w:rPr>
            </w:pPr>
            <w:r w:rsidRPr="003E7430">
              <w:t>Veselības ministrija normatīvajos aktos noteiktajā kārtībā sagatavo</w:t>
            </w:r>
            <w:r w:rsidR="00C80B0B" w:rsidRPr="003E7430">
              <w:t>s</w:t>
            </w:r>
            <w:r w:rsidRPr="003E7430">
              <w:t xml:space="preserve"> un iesnieg</w:t>
            </w:r>
            <w:r w:rsidR="00C80B0B" w:rsidRPr="003E7430">
              <w:t>s</w:t>
            </w:r>
            <w:r w:rsidRPr="003E7430">
              <w:t xml:space="preserve"> Finanšu ministrijā pieprasījumu</w:t>
            </w:r>
            <w:r w:rsidRPr="003A46F2">
              <w:t xml:space="preserve"> par </w:t>
            </w:r>
            <w:r w:rsidR="00C80B0B" w:rsidRPr="003A46F2">
              <w:t>rīkojuma</w:t>
            </w:r>
            <w:r w:rsidRPr="003A46F2">
              <w:t xml:space="preserve"> projektā minēto</w:t>
            </w:r>
            <w:r w:rsidR="00C80B0B" w:rsidRPr="003A46F2">
              <w:t xml:space="preserve"> </w:t>
            </w:r>
            <w:r w:rsidR="00C80B0B" w:rsidRPr="003B1FF8">
              <w:t>valsts budžeta apropriācijas palielināšanu atbilstoši rīkojuma</w:t>
            </w:r>
            <w:r w:rsidR="00C80B0B" w:rsidRPr="003A46F2">
              <w:t xml:space="preserve"> </w:t>
            </w:r>
            <w:r w:rsidR="00C80B0B" w:rsidRPr="003B1FF8">
              <w:t>1. punktam.</w:t>
            </w:r>
          </w:p>
          <w:p w14:paraId="14B1FD7B" w14:textId="4E613998" w:rsidR="004E276D" w:rsidRPr="003A46F2" w:rsidRDefault="004E276D" w:rsidP="003A46F2">
            <w:pPr>
              <w:shd w:val="clear" w:color="auto" w:fill="FFFFFF"/>
              <w:spacing w:before="100" w:beforeAutospacing="1" w:after="100" w:afterAutospacing="1" w:line="293" w:lineRule="atLeast"/>
              <w:ind w:firstLine="300"/>
              <w:jc w:val="both"/>
              <w:rPr>
                <w:sz w:val="28"/>
                <w:szCs w:val="28"/>
              </w:rPr>
            </w:pPr>
            <w:r w:rsidRPr="003A46F2">
              <w:t>Finanšu ministr</w:t>
            </w:r>
            <w:r w:rsidR="00C80B0B" w:rsidRPr="003A46F2">
              <w:t>s</w:t>
            </w:r>
            <w:r w:rsidRPr="003A46F2">
              <w:t xml:space="preserve"> normatīvajos aktos noteiktajā kārtībā informē</w:t>
            </w:r>
            <w:r w:rsidR="00C80B0B" w:rsidRPr="003A46F2">
              <w:t>s</w:t>
            </w:r>
            <w:r w:rsidRPr="003A46F2">
              <w:t xml:space="preserve"> Saeimas Budžeta un finanšu (nodokļu) komisiju par šā rīkojuma 1.punktā minēt</w:t>
            </w:r>
            <w:r w:rsidR="00C80B0B" w:rsidRPr="003A46F2">
              <w:t>o</w:t>
            </w:r>
            <w:r w:rsidRPr="003A46F2">
              <w:t xml:space="preserve"> apropriācijas </w:t>
            </w:r>
            <w:r w:rsidR="00C80B0B" w:rsidRPr="003A46F2">
              <w:t>palielināšanu</w:t>
            </w:r>
            <w:r w:rsidRPr="003A46F2">
              <w:t xml:space="preserve"> </w:t>
            </w:r>
            <w:r w:rsidR="00C80B0B" w:rsidRPr="003B1FF8">
              <w:t xml:space="preserve">un, ja Saeimas Budžeta un finanšu (nodokļu) komisija piecu darbdienu laikā pēc attiecīgās informācijas saņemšanas </w:t>
            </w:r>
            <w:r w:rsidR="00C80B0B" w:rsidRPr="003A46F2">
              <w:t>ne</w:t>
            </w:r>
            <w:r w:rsidR="00C80B0B" w:rsidRPr="003B1FF8">
              <w:t>izteik</w:t>
            </w:r>
            <w:r w:rsidR="00C80B0B" w:rsidRPr="003A46F2">
              <w:t>s</w:t>
            </w:r>
            <w:r w:rsidR="00C80B0B" w:rsidRPr="003B1FF8">
              <w:t xml:space="preserve"> iebildumus, </w:t>
            </w:r>
            <w:r w:rsidR="00C80B0B" w:rsidRPr="003A46F2">
              <w:t xml:space="preserve">Finanšu ministija </w:t>
            </w:r>
            <w:r w:rsidR="00C80B0B" w:rsidRPr="003B1FF8">
              <w:t>palielinā</w:t>
            </w:r>
            <w:r w:rsidR="00C80B0B" w:rsidRPr="003A46F2">
              <w:t>s</w:t>
            </w:r>
            <w:r w:rsidR="00C80B0B" w:rsidRPr="003B1FF8">
              <w:t xml:space="preserve"> apropriāciju.</w:t>
            </w:r>
          </w:p>
        </w:tc>
      </w:tr>
      <w:tr w:rsidR="003A46F2" w:rsidRPr="003A46F2" w14:paraId="02BBA92C" w14:textId="77777777" w:rsidTr="0079260F">
        <w:tc>
          <w:tcPr>
            <w:tcW w:w="568" w:type="dxa"/>
          </w:tcPr>
          <w:p w14:paraId="02F367A9" w14:textId="77777777" w:rsidR="00130487" w:rsidRPr="003A46F2" w:rsidRDefault="00130487" w:rsidP="00130487">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lastRenderedPageBreak/>
              <w:t>3.</w:t>
            </w:r>
          </w:p>
        </w:tc>
        <w:tc>
          <w:tcPr>
            <w:tcW w:w="1559" w:type="dxa"/>
          </w:tcPr>
          <w:p w14:paraId="4EDC6C40" w14:textId="77777777" w:rsidR="00130487" w:rsidRPr="003A46F2" w:rsidRDefault="00130487" w:rsidP="00130487">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Projekta izstrādē iesaistītās institūcijas un </w:t>
            </w:r>
            <w:r w:rsidRPr="003A46F2">
              <w:rPr>
                <w:rFonts w:ascii="Times New Roman" w:hAnsi="Times New Roman" w:cs="Times New Roman"/>
                <w:iCs/>
                <w:sz w:val="24"/>
                <w:szCs w:val="24"/>
                <w:lang w:eastAsia="lv-LV"/>
              </w:rPr>
              <w:lastRenderedPageBreak/>
              <w:t>publiskas personas kapitālsabiedrības</w:t>
            </w:r>
          </w:p>
        </w:tc>
        <w:tc>
          <w:tcPr>
            <w:tcW w:w="7229" w:type="dxa"/>
          </w:tcPr>
          <w:p w14:paraId="7931B362" w14:textId="18A60DD6" w:rsidR="00130487" w:rsidRPr="003A46F2" w:rsidRDefault="00FC7F88" w:rsidP="006335C0">
            <w:pPr>
              <w:pStyle w:val="NoSpacing"/>
              <w:jc w:val="both"/>
              <w:rPr>
                <w:rFonts w:ascii="Times New Roman" w:hAnsi="Times New Roman" w:cs="Times New Roman"/>
                <w:sz w:val="24"/>
                <w:szCs w:val="24"/>
                <w:lang w:eastAsia="lv-LV"/>
              </w:rPr>
            </w:pPr>
            <w:r w:rsidRPr="003A46F2">
              <w:rPr>
                <w:rFonts w:ascii="Times New Roman" w:hAnsi="Times New Roman" w:cs="Times New Roman"/>
                <w:sz w:val="24"/>
                <w:szCs w:val="24"/>
              </w:rPr>
              <w:lastRenderedPageBreak/>
              <w:t>Veselības ministrija</w:t>
            </w:r>
            <w:r w:rsidR="003A46F2" w:rsidRPr="003A46F2">
              <w:rPr>
                <w:rFonts w:ascii="Times New Roman" w:hAnsi="Times New Roman" w:cs="Times New Roman"/>
                <w:sz w:val="24"/>
                <w:szCs w:val="24"/>
              </w:rPr>
              <w:t>, VNĪ</w:t>
            </w:r>
          </w:p>
        </w:tc>
      </w:tr>
      <w:tr w:rsidR="003A46F2" w:rsidRPr="003A46F2" w14:paraId="4349FA17" w14:textId="77777777" w:rsidTr="0079260F">
        <w:tc>
          <w:tcPr>
            <w:tcW w:w="568" w:type="dxa"/>
          </w:tcPr>
          <w:p w14:paraId="7455A61E" w14:textId="77777777" w:rsidR="00130487" w:rsidRPr="003A46F2" w:rsidRDefault="00130487" w:rsidP="00130487">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4.</w:t>
            </w:r>
          </w:p>
        </w:tc>
        <w:tc>
          <w:tcPr>
            <w:tcW w:w="1559" w:type="dxa"/>
          </w:tcPr>
          <w:p w14:paraId="14D2C264" w14:textId="77777777" w:rsidR="00130487" w:rsidRPr="003A46F2" w:rsidRDefault="00130487" w:rsidP="00130487">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Cita informācija</w:t>
            </w:r>
          </w:p>
        </w:tc>
        <w:tc>
          <w:tcPr>
            <w:tcW w:w="7229" w:type="dxa"/>
          </w:tcPr>
          <w:p w14:paraId="747839B0" w14:textId="77777777" w:rsidR="00130487" w:rsidRPr="003A46F2" w:rsidRDefault="006335C0" w:rsidP="006335C0">
            <w:pPr>
              <w:pStyle w:val="NoSpacing"/>
              <w:jc w:val="both"/>
              <w:rPr>
                <w:rFonts w:ascii="Times New Roman" w:hAnsi="Times New Roman" w:cs="Times New Roman"/>
                <w:sz w:val="24"/>
                <w:szCs w:val="24"/>
                <w:lang w:eastAsia="lv-LV"/>
              </w:rPr>
            </w:pPr>
            <w:r w:rsidRPr="003A46F2">
              <w:rPr>
                <w:rFonts w:ascii="Times New Roman" w:hAnsi="Times New Roman" w:cs="Times New Roman"/>
                <w:sz w:val="24"/>
                <w:szCs w:val="24"/>
                <w:lang w:eastAsia="lv-LV"/>
              </w:rPr>
              <w:t>Nav</w:t>
            </w:r>
          </w:p>
        </w:tc>
      </w:tr>
    </w:tbl>
    <w:p w14:paraId="080C2697" w14:textId="77777777" w:rsidR="00EC6E12" w:rsidRPr="003A46F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3A46F2" w14:paraId="59BF7FE2" w14:textId="77777777" w:rsidTr="006936E5">
        <w:tc>
          <w:tcPr>
            <w:tcW w:w="9356" w:type="dxa"/>
          </w:tcPr>
          <w:p w14:paraId="5531275A" w14:textId="77777777" w:rsidR="00EC6E12" w:rsidRPr="003A46F2" w:rsidRDefault="00842AD1" w:rsidP="003903BF">
            <w:pPr>
              <w:pStyle w:val="NoSpacing"/>
              <w:jc w:val="center"/>
              <w:rPr>
                <w:rFonts w:ascii="Times New Roman" w:hAnsi="Times New Roman" w:cs="Times New Roman"/>
                <w:b/>
                <w:sz w:val="24"/>
                <w:szCs w:val="24"/>
                <w:lang w:eastAsia="lv-LV"/>
              </w:rPr>
            </w:pPr>
            <w:r w:rsidRPr="003A46F2">
              <w:rPr>
                <w:rFonts w:ascii="Times New Roman" w:hAnsi="Times New Roman" w:cs="Times New Roman"/>
                <w:b/>
                <w:iCs/>
                <w:sz w:val="24"/>
                <w:szCs w:val="24"/>
                <w:lang w:eastAsia="lv-LV"/>
              </w:rPr>
              <w:t>II. Tiesību akta projekta ietekme uz sabiedrību, tautsaimniecības attīstību un administratīvo slogu</w:t>
            </w:r>
          </w:p>
        </w:tc>
      </w:tr>
      <w:tr w:rsidR="003A46F2" w:rsidRPr="003A46F2" w14:paraId="07FD4CD9" w14:textId="77777777" w:rsidTr="006936E5">
        <w:tc>
          <w:tcPr>
            <w:tcW w:w="9356" w:type="dxa"/>
          </w:tcPr>
          <w:p w14:paraId="2299F94A" w14:textId="77777777" w:rsidR="00155578" w:rsidRPr="003A46F2" w:rsidRDefault="00155578" w:rsidP="003903BF">
            <w:pPr>
              <w:pStyle w:val="NoSpacing"/>
              <w:jc w:val="center"/>
              <w:rPr>
                <w:rFonts w:ascii="Times New Roman" w:hAnsi="Times New Roman" w:cs="Times New Roman"/>
                <w:b/>
                <w:iCs/>
                <w:sz w:val="24"/>
                <w:szCs w:val="24"/>
                <w:lang w:eastAsia="lv-LV"/>
              </w:rPr>
            </w:pPr>
            <w:r w:rsidRPr="003A46F2">
              <w:rPr>
                <w:rFonts w:ascii="Times New Roman" w:hAnsi="Times New Roman" w:cs="Times New Roman"/>
                <w:sz w:val="24"/>
                <w:szCs w:val="24"/>
              </w:rPr>
              <w:t>Projekts šo jomu neskar</w:t>
            </w:r>
          </w:p>
        </w:tc>
      </w:tr>
    </w:tbl>
    <w:p w14:paraId="1B79E6D1" w14:textId="77777777" w:rsidR="00842AD1" w:rsidRPr="003A46F2" w:rsidRDefault="00E5323B"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3A46F2" w:rsidRPr="003A46F2" w14:paraId="321BBCE5" w14:textId="77777777" w:rsidTr="006936E5">
        <w:tc>
          <w:tcPr>
            <w:tcW w:w="9356" w:type="dxa"/>
            <w:gridSpan w:val="8"/>
          </w:tcPr>
          <w:p w14:paraId="2E98AC6E" w14:textId="77777777" w:rsidR="00842AD1" w:rsidRPr="003A46F2" w:rsidRDefault="00842AD1" w:rsidP="00842AD1">
            <w:pPr>
              <w:pStyle w:val="NoSpacing"/>
              <w:jc w:val="center"/>
              <w:rPr>
                <w:rFonts w:ascii="Times New Roman" w:hAnsi="Times New Roman" w:cs="Times New Roman"/>
                <w:b/>
                <w:iCs/>
                <w:sz w:val="24"/>
                <w:szCs w:val="24"/>
                <w:lang w:eastAsia="lv-LV"/>
              </w:rPr>
            </w:pPr>
            <w:r w:rsidRPr="003A46F2">
              <w:rPr>
                <w:rFonts w:ascii="Times New Roman" w:hAnsi="Times New Roman" w:cs="Times New Roman"/>
                <w:b/>
                <w:iCs/>
                <w:sz w:val="24"/>
                <w:szCs w:val="24"/>
                <w:lang w:eastAsia="lv-LV"/>
              </w:rPr>
              <w:t>III. Tiesību akta projekta ietekme uz valsts budžetu un pašvaldību budžetiem</w:t>
            </w:r>
          </w:p>
        </w:tc>
      </w:tr>
      <w:tr w:rsidR="003A46F2" w:rsidRPr="003A46F2" w14:paraId="594F19DA" w14:textId="77777777" w:rsidTr="006936E5">
        <w:tc>
          <w:tcPr>
            <w:tcW w:w="1702" w:type="dxa"/>
            <w:vMerge w:val="restart"/>
          </w:tcPr>
          <w:p w14:paraId="6D2A7B39" w14:textId="77777777" w:rsidR="00842AD1" w:rsidRPr="003A46F2" w:rsidRDefault="00842AD1"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Rādītāji</w:t>
            </w:r>
          </w:p>
        </w:tc>
        <w:tc>
          <w:tcPr>
            <w:tcW w:w="2260" w:type="dxa"/>
            <w:gridSpan w:val="2"/>
            <w:vMerge w:val="restart"/>
          </w:tcPr>
          <w:p w14:paraId="11C63857" w14:textId="77777777" w:rsidR="00842AD1" w:rsidRPr="003A46F2" w:rsidRDefault="00037CA6"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20</w:t>
            </w:r>
            <w:r w:rsidR="00335899" w:rsidRPr="003A46F2">
              <w:rPr>
                <w:rFonts w:ascii="Times New Roman" w:hAnsi="Times New Roman" w:cs="Times New Roman"/>
                <w:iCs/>
                <w:sz w:val="24"/>
                <w:szCs w:val="24"/>
                <w:lang w:eastAsia="lv-LV"/>
              </w:rPr>
              <w:t>20</w:t>
            </w:r>
            <w:r w:rsidRPr="003A46F2">
              <w:rPr>
                <w:rFonts w:ascii="Times New Roman" w:hAnsi="Times New Roman" w:cs="Times New Roman"/>
                <w:iCs/>
                <w:sz w:val="24"/>
                <w:szCs w:val="24"/>
                <w:lang w:eastAsia="lv-LV"/>
              </w:rPr>
              <w:t>. gads</w:t>
            </w:r>
          </w:p>
        </w:tc>
        <w:tc>
          <w:tcPr>
            <w:tcW w:w="5394" w:type="dxa"/>
            <w:gridSpan w:val="5"/>
          </w:tcPr>
          <w:p w14:paraId="7C6C142E" w14:textId="77777777" w:rsidR="00842AD1" w:rsidRPr="003A46F2" w:rsidRDefault="00842AD1"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Turpmākie trīs gadi (</w:t>
            </w:r>
            <w:r w:rsidRPr="003A46F2">
              <w:rPr>
                <w:rFonts w:ascii="Times New Roman" w:hAnsi="Times New Roman" w:cs="Times New Roman"/>
                <w:i/>
                <w:iCs/>
                <w:sz w:val="24"/>
                <w:szCs w:val="24"/>
                <w:lang w:eastAsia="lv-LV"/>
              </w:rPr>
              <w:t>euro</w:t>
            </w:r>
            <w:r w:rsidRPr="003A46F2">
              <w:rPr>
                <w:rFonts w:ascii="Times New Roman" w:hAnsi="Times New Roman" w:cs="Times New Roman"/>
                <w:iCs/>
                <w:sz w:val="24"/>
                <w:szCs w:val="24"/>
                <w:lang w:eastAsia="lv-LV"/>
              </w:rPr>
              <w:t>)</w:t>
            </w:r>
          </w:p>
        </w:tc>
      </w:tr>
      <w:tr w:rsidR="003A46F2" w:rsidRPr="003A46F2" w14:paraId="5CDFCDDD" w14:textId="77777777" w:rsidTr="006936E5">
        <w:tc>
          <w:tcPr>
            <w:tcW w:w="1702" w:type="dxa"/>
            <w:vMerge/>
          </w:tcPr>
          <w:p w14:paraId="4A9FA4D3" w14:textId="77777777" w:rsidR="00842AD1" w:rsidRPr="003A46F2"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9830A51" w14:textId="77777777" w:rsidR="00842AD1" w:rsidRPr="003A46F2" w:rsidRDefault="00842AD1" w:rsidP="00EC6E12">
            <w:pPr>
              <w:pStyle w:val="NoSpacing"/>
              <w:rPr>
                <w:rFonts w:ascii="Times New Roman" w:hAnsi="Times New Roman" w:cs="Times New Roman"/>
                <w:iCs/>
                <w:sz w:val="24"/>
                <w:szCs w:val="24"/>
                <w:lang w:eastAsia="lv-LV"/>
              </w:rPr>
            </w:pPr>
          </w:p>
        </w:tc>
        <w:tc>
          <w:tcPr>
            <w:tcW w:w="2134" w:type="dxa"/>
            <w:gridSpan w:val="2"/>
          </w:tcPr>
          <w:p w14:paraId="632FB332" w14:textId="77777777" w:rsidR="00842AD1" w:rsidRPr="003A46F2" w:rsidRDefault="00037CA6"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20</w:t>
            </w:r>
            <w:r w:rsidR="006C12A6" w:rsidRPr="003A46F2">
              <w:rPr>
                <w:rFonts w:ascii="Times New Roman" w:hAnsi="Times New Roman" w:cs="Times New Roman"/>
                <w:iCs/>
                <w:sz w:val="24"/>
                <w:szCs w:val="24"/>
                <w:lang w:eastAsia="lv-LV"/>
              </w:rPr>
              <w:t>2</w:t>
            </w:r>
            <w:r w:rsidR="00335899" w:rsidRPr="003A46F2">
              <w:rPr>
                <w:rFonts w:ascii="Times New Roman" w:hAnsi="Times New Roman" w:cs="Times New Roman"/>
                <w:iCs/>
                <w:sz w:val="24"/>
                <w:szCs w:val="24"/>
                <w:lang w:eastAsia="lv-LV"/>
              </w:rPr>
              <w:t>1</w:t>
            </w:r>
            <w:r w:rsidRPr="003A46F2">
              <w:rPr>
                <w:rFonts w:ascii="Times New Roman" w:hAnsi="Times New Roman" w:cs="Times New Roman"/>
                <w:iCs/>
                <w:sz w:val="24"/>
                <w:szCs w:val="24"/>
                <w:lang w:eastAsia="lv-LV"/>
              </w:rPr>
              <w:t>. gads</w:t>
            </w:r>
          </w:p>
        </w:tc>
        <w:tc>
          <w:tcPr>
            <w:tcW w:w="1984" w:type="dxa"/>
            <w:gridSpan w:val="2"/>
          </w:tcPr>
          <w:p w14:paraId="37FA62FA" w14:textId="77777777" w:rsidR="00842AD1" w:rsidRPr="003A46F2" w:rsidRDefault="00037CA6"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202</w:t>
            </w:r>
            <w:r w:rsidR="00335899" w:rsidRPr="003A46F2">
              <w:rPr>
                <w:rFonts w:ascii="Times New Roman" w:hAnsi="Times New Roman" w:cs="Times New Roman"/>
                <w:iCs/>
                <w:sz w:val="24"/>
                <w:szCs w:val="24"/>
                <w:lang w:eastAsia="lv-LV"/>
              </w:rPr>
              <w:t>2</w:t>
            </w:r>
            <w:r w:rsidRPr="003A46F2">
              <w:rPr>
                <w:rFonts w:ascii="Times New Roman" w:hAnsi="Times New Roman" w:cs="Times New Roman"/>
                <w:iCs/>
                <w:sz w:val="24"/>
                <w:szCs w:val="24"/>
                <w:lang w:eastAsia="lv-LV"/>
              </w:rPr>
              <w:t>. gads</w:t>
            </w:r>
          </w:p>
        </w:tc>
        <w:tc>
          <w:tcPr>
            <w:tcW w:w="1276" w:type="dxa"/>
          </w:tcPr>
          <w:p w14:paraId="1BB3D42F" w14:textId="77777777" w:rsidR="00842AD1" w:rsidRPr="003A46F2" w:rsidRDefault="00037CA6"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202</w:t>
            </w:r>
            <w:r w:rsidR="00335899" w:rsidRPr="003A46F2">
              <w:rPr>
                <w:rFonts w:ascii="Times New Roman" w:hAnsi="Times New Roman" w:cs="Times New Roman"/>
                <w:iCs/>
                <w:sz w:val="24"/>
                <w:szCs w:val="24"/>
                <w:lang w:eastAsia="lv-LV"/>
              </w:rPr>
              <w:t>3</w:t>
            </w:r>
            <w:r w:rsidRPr="003A46F2">
              <w:rPr>
                <w:rFonts w:ascii="Times New Roman" w:hAnsi="Times New Roman" w:cs="Times New Roman"/>
                <w:iCs/>
                <w:sz w:val="24"/>
                <w:szCs w:val="24"/>
                <w:lang w:eastAsia="lv-LV"/>
              </w:rPr>
              <w:t>. gads</w:t>
            </w:r>
          </w:p>
        </w:tc>
      </w:tr>
      <w:tr w:rsidR="003A46F2" w:rsidRPr="003A46F2" w14:paraId="03BB562B" w14:textId="77777777" w:rsidTr="006936E5">
        <w:tc>
          <w:tcPr>
            <w:tcW w:w="1702" w:type="dxa"/>
            <w:vMerge/>
          </w:tcPr>
          <w:p w14:paraId="10E9795F" w14:textId="77777777" w:rsidR="00842AD1" w:rsidRPr="003A46F2" w:rsidRDefault="00842AD1" w:rsidP="00EC6E12">
            <w:pPr>
              <w:pStyle w:val="NoSpacing"/>
              <w:rPr>
                <w:rFonts w:ascii="Times New Roman" w:hAnsi="Times New Roman" w:cs="Times New Roman"/>
                <w:iCs/>
                <w:sz w:val="24"/>
                <w:szCs w:val="24"/>
                <w:lang w:eastAsia="lv-LV"/>
              </w:rPr>
            </w:pPr>
          </w:p>
        </w:tc>
        <w:tc>
          <w:tcPr>
            <w:tcW w:w="992" w:type="dxa"/>
          </w:tcPr>
          <w:p w14:paraId="67E1DC12" w14:textId="77777777" w:rsidR="00842AD1"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saskaņā ar valsts budžetu kārtējam gadam</w:t>
            </w:r>
          </w:p>
        </w:tc>
        <w:tc>
          <w:tcPr>
            <w:tcW w:w="1268" w:type="dxa"/>
          </w:tcPr>
          <w:p w14:paraId="5EC47EF8" w14:textId="77777777" w:rsidR="00842AD1"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izmaiņas kārtējā gadā, salīdzinot ar valsts budžetu kārtējam gadam</w:t>
            </w:r>
          </w:p>
        </w:tc>
        <w:tc>
          <w:tcPr>
            <w:tcW w:w="1000" w:type="dxa"/>
          </w:tcPr>
          <w:p w14:paraId="3347E788" w14:textId="77777777" w:rsidR="00842AD1"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saskaņā ar vidēja termiņa budžeta ietvaru</w:t>
            </w:r>
          </w:p>
        </w:tc>
        <w:tc>
          <w:tcPr>
            <w:tcW w:w="1134" w:type="dxa"/>
          </w:tcPr>
          <w:p w14:paraId="688A1469" w14:textId="77777777" w:rsidR="006E71F7"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izmaiņas, salīdzi</w:t>
            </w:r>
            <w:r w:rsidR="006E71F7" w:rsidRPr="003A46F2">
              <w:rPr>
                <w:rFonts w:ascii="Times New Roman" w:hAnsi="Times New Roman" w:cs="Times New Roman"/>
                <w:iCs/>
                <w:sz w:val="24"/>
                <w:szCs w:val="24"/>
                <w:lang w:eastAsia="lv-LV"/>
              </w:rPr>
              <w:t>-</w:t>
            </w:r>
          </w:p>
          <w:p w14:paraId="143DEF57" w14:textId="77777777" w:rsidR="00842AD1" w:rsidRPr="003A46F2" w:rsidRDefault="00842AD1" w:rsidP="00037C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not ar vidēja termiņa budžeta ietvaru </w:t>
            </w:r>
            <w:r w:rsidR="00037CA6" w:rsidRPr="003A46F2">
              <w:rPr>
                <w:rFonts w:ascii="Times New Roman" w:hAnsi="Times New Roman" w:cs="Times New Roman"/>
                <w:iCs/>
                <w:sz w:val="24"/>
                <w:szCs w:val="24"/>
                <w:lang w:eastAsia="lv-LV"/>
              </w:rPr>
              <w:t>20</w:t>
            </w:r>
            <w:r w:rsidR="00335899" w:rsidRPr="003A46F2">
              <w:rPr>
                <w:rFonts w:ascii="Times New Roman" w:hAnsi="Times New Roman" w:cs="Times New Roman"/>
                <w:iCs/>
                <w:sz w:val="24"/>
                <w:szCs w:val="24"/>
                <w:lang w:eastAsia="lv-LV"/>
              </w:rPr>
              <w:t>2</w:t>
            </w:r>
            <w:r w:rsidR="00C9634E" w:rsidRPr="003A46F2">
              <w:rPr>
                <w:rFonts w:ascii="Times New Roman" w:hAnsi="Times New Roman" w:cs="Times New Roman"/>
                <w:iCs/>
                <w:sz w:val="24"/>
                <w:szCs w:val="24"/>
                <w:lang w:eastAsia="lv-LV"/>
              </w:rPr>
              <w:t>1</w:t>
            </w:r>
            <w:r w:rsidR="00037CA6" w:rsidRPr="003A46F2">
              <w:rPr>
                <w:rFonts w:ascii="Times New Roman" w:hAnsi="Times New Roman" w:cs="Times New Roman"/>
                <w:iCs/>
                <w:sz w:val="24"/>
                <w:szCs w:val="24"/>
                <w:lang w:eastAsia="lv-LV"/>
              </w:rPr>
              <w:t>.</w:t>
            </w:r>
            <w:r w:rsidRPr="003A46F2">
              <w:rPr>
                <w:rFonts w:ascii="Times New Roman" w:hAnsi="Times New Roman" w:cs="Times New Roman"/>
                <w:iCs/>
                <w:sz w:val="24"/>
                <w:szCs w:val="24"/>
                <w:lang w:eastAsia="lv-LV"/>
              </w:rPr>
              <w:t xml:space="preserve"> gadam</w:t>
            </w:r>
          </w:p>
        </w:tc>
        <w:tc>
          <w:tcPr>
            <w:tcW w:w="992" w:type="dxa"/>
          </w:tcPr>
          <w:p w14:paraId="2713A55D" w14:textId="77777777" w:rsidR="00842AD1"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saskaņā ar vidēja termiņa budžeta ietvaru</w:t>
            </w:r>
          </w:p>
        </w:tc>
        <w:tc>
          <w:tcPr>
            <w:tcW w:w="992" w:type="dxa"/>
          </w:tcPr>
          <w:p w14:paraId="37BBA293" w14:textId="77777777" w:rsidR="00037CA6" w:rsidRPr="003A46F2" w:rsidRDefault="0004685C"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i</w:t>
            </w:r>
            <w:r w:rsidR="00842AD1" w:rsidRPr="003A46F2">
              <w:rPr>
                <w:rFonts w:ascii="Times New Roman" w:hAnsi="Times New Roman" w:cs="Times New Roman"/>
                <w:iCs/>
                <w:sz w:val="24"/>
                <w:szCs w:val="24"/>
                <w:lang w:eastAsia="lv-LV"/>
              </w:rPr>
              <w:t>zmai</w:t>
            </w:r>
            <w:r w:rsidR="00037CA6" w:rsidRPr="003A46F2">
              <w:rPr>
                <w:rFonts w:ascii="Times New Roman" w:hAnsi="Times New Roman" w:cs="Times New Roman"/>
                <w:iCs/>
                <w:sz w:val="24"/>
                <w:szCs w:val="24"/>
                <w:lang w:eastAsia="lv-LV"/>
              </w:rPr>
              <w:t>-</w:t>
            </w:r>
          </w:p>
          <w:p w14:paraId="3458A750" w14:textId="77777777" w:rsidR="006E71F7"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ņas, salīdzi</w:t>
            </w:r>
            <w:r w:rsidR="006E71F7" w:rsidRPr="003A46F2">
              <w:rPr>
                <w:rFonts w:ascii="Times New Roman" w:hAnsi="Times New Roman" w:cs="Times New Roman"/>
                <w:iCs/>
                <w:sz w:val="24"/>
                <w:szCs w:val="24"/>
                <w:lang w:eastAsia="lv-LV"/>
              </w:rPr>
              <w:t>-</w:t>
            </w:r>
          </w:p>
          <w:p w14:paraId="48176D99" w14:textId="77777777" w:rsidR="00842AD1" w:rsidRPr="003A46F2" w:rsidRDefault="00842AD1" w:rsidP="00037C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not ar vidēja termiņa budžeta ietvaru </w:t>
            </w:r>
            <w:r w:rsidR="00037CA6" w:rsidRPr="003A46F2">
              <w:rPr>
                <w:rFonts w:ascii="Times New Roman" w:hAnsi="Times New Roman" w:cs="Times New Roman"/>
                <w:iCs/>
                <w:sz w:val="24"/>
                <w:szCs w:val="24"/>
                <w:lang w:eastAsia="lv-LV"/>
              </w:rPr>
              <w:t>202</w:t>
            </w:r>
            <w:r w:rsidR="00C9634E" w:rsidRPr="003A46F2">
              <w:rPr>
                <w:rFonts w:ascii="Times New Roman" w:hAnsi="Times New Roman" w:cs="Times New Roman"/>
                <w:iCs/>
                <w:sz w:val="24"/>
                <w:szCs w:val="24"/>
                <w:lang w:eastAsia="lv-LV"/>
              </w:rPr>
              <w:t>2</w:t>
            </w:r>
            <w:r w:rsidR="00037CA6" w:rsidRPr="003A46F2">
              <w:rPr>
                <w:rFonts w:ascii="Times New Roman" w:hAnsi="Times New Roman" w:cs="Times New Roman"/>
                <w:iCs/>
                <w:sz w:val="24"/>
                <w:szCs w:val="24"/>
                <w:lang w:eastAsia="lv-LV"/>
              </w:rPr>
              <w:t>.</w:t>
            </w:r>
            <w:r w:rsidRPr="003A46F2">
              <w:rPr>
                <w:rFonts w:ascii="Times New Roman" w:hAnsi="Times New Roman" w:cs="Times New Roman"/>
                <w:iCs/>
                <w:sz w:val="24"/>
                <w:szCs w:val="24"/>
                <w:lang w:eastAsia="lv-LV"/>
              </w:rPr>
              <w:t xml:space="preserve"> gadam</w:t>
            </w:r>
          </w:p>
        </w:tc>
        <w:tc>
          <w:tcPr>
            <w:tcW w:w="1276" w:type="dxa"/>
          </w:tcPr>
          <w:p w14:paraId="45D44FA3" w14:textId="77777777" w:rsidR="006E71F7" w:rsidRPr="003A46F2" w:rsidRDefault="00842AD1" w:rsidP="00842AD1">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izmaiņas, salīdzi</w:t>
            </w:r>
            <w:r w:rsidR="006E71F7" w:rsidRPr="003A46F2">
              <w:rPr>
                <w:rFonts w:ascii="Times New Roman" w:hAnsi="Times New Roman" w:cs="Times New Roman"/>
                <w:iCs/>
                <w:sz w:val="24"/>
                <w:szCs w:val="24"/>
                <w:lang w:eastAsia="lv-LV"/>
              </w:rPr>
              <w:t>-</w:t>
            </w:r>
          </w:p>
          <w:p w14:paraId="7CFFFDDF" w14:textId="77777777" w:rsidR="00842AD1" w:rsidRPr="003A46F2" w:rsidRDefault="00842AD1" w:rsidP="00037C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not ar vidēja termiņa budžeta ietvaru </w:t>
            </w:r>
            <w:r w:rsidR="00037CA6" w:rsidRPr="003A46F2">
              <w:rPr>
                <w:rFonts w:ascii="Times New Roman" w:hAnsi="Times New Roman" w:cs="Times New Roman"/>
                <w:iCs/>
                <w:sz w:val="24"/>
                <w:szCs w:val="24"/>
                <w:lang w:eastAsia="lv-LV"/>
              </w:rPr>
              <w:t>202</w:t>
            </w:r>
            <w:r w:rsidR="0004685C" w:rsidRPr="003A46F2">
              <w:rPr>
                <w:rFonts w:ascii="Times New Roman" w:hAnsi="Times New Roman" w:cs="Times New Roman"/>
                <w:iCs/>
                <w:sz w:val="24"/>
                <w:szCs w:val="24"/>
                <w:lang w:eastAsia="lv-LV"/>
              </w:rPr>
              <w:t>2</w:t>
            </w:r>
            <w:r w:rsidR="00037CA6" w:rsidRPr="003A46F2">
              <w:rPr>
                <w:rFonts w:ascii="Times New Roman" w:hAnsi="Times New Roman" w:cs="Times New Roman"/>
                <w:iCs/>
                <w:sz w:val="24"/>
                <w:szCs w:val="24"/>
                <w:lang w:eastAsia="lv-LV"/>
              </w:rPr>
              <w:t>.</w:t>
            </w:r>
            <w:r w:rsidRPr="003A46F2">
              <w:rPr>
                <w:rFonts w:ascii="Times New Roman" w:hAnsi="Times New Roman" w:cs="Times New Roman"/>
                <w:iCs/>
                <w:sz w:val="24"/>
                <w:szCs w:val="24"/>
                <w:lang w:eastAsia="lv-LV"/>
              </w:rPr>
              <w:t xml:space="preserve"> gadam</w:t>
            </w:r>
          </w:p>
        </w:tc>
      </w:tr>
      <w:tr w:rsidR="003A46F2" w:rsidRPr="003A46F2" w14:paraId="7DE3C5D6" w14:textId="77777777" w:rsidTr="006936E5">
        <w:tc>
          <w:tcPr>
            <w:tcW w:w="1702" w:type="dxa"/>
            <w:vAlign w:val="center"/>
          </w:tcPr>
          <w:p w14:paraId="44E5505D"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1</w:t>
            </w:r>
          </w:p>
        </w:tc>
        <w:tc>
          <w:tcPr>
            <w:tcW w:w="992" w:type="dxa"/>
            <w:vAlign w:val="center"/>
          </w:tcPr>
          <w:p w14:paraId="2C48E816"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w:t>
            </w:r>
          </w:p>
        </w:tc>
        <w:tc>
          <w:tcPr>
            <w:tcW w:w="1268" w:type="dxa"/>
            <w:vAlign w:val="center"/>
          </w:tcPr>
          <w:p w14:paraId="03FC67D7"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3</w:t>
            </w:r>
          </w:p>
        </w:tc>
        <w:tc>
          <w:tcPr>
            <w:tcW w:w="1000" w:type="dxa"/>
            <w:vAlign w:val="center"/>
          </w:tcPr>
          <w:p w14:paraId="05286067"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4</w:t>
            </w:r>
          </w:p>
        </w:tc>
        <w:tc>
          <w:tcPr>
            <w:tcW w:w="1134" w:type="dxa"/>
            <w:vAlign w:val="center"/>
          </w:tcPr>
          <w:p w14:paraId="7906F2DB"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5</w:t>
            </w:r>
          </w:p>
        </w:tc>
        <w:tc>
          <w:tcPr>
            <w:tcW w:w="992" w:type="dxa"/>
            <w:vAlign w:val="center"/>
          </w:tcPr>
          <w:p w14:paraId="1A9FB88B"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6</w:t>
            </w:r>
          </w:p>
        </w:tc>
        <w:tc>
          <w:tcPr>
            <w:tcW w:w="992" w:type="dxa"/>
            <w:vAlign w:val="center"/>
          </w:tcPr>
          <w:p w14:paraId="7C775F12"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7</w:t>
            </w:r>
          </w:p>
        </w:tc>
        <w:tc>
          <w:tcPr>
            <w:tcW w:w="1276" w:type="dxa"/>
            <w:vAlign w:val="center"/>
          </w:tcPr>
          <w:p w14:paraId="0A8726AF" w14:textId="77777777" w:rsidR="00842AD1" w:rsidRPr="003A46F2" w:rsidRDefault="00842AD1" w:rsidP="00842AD1">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8</w:t>
            </w:r>
          </w:p>
        </w:tc>
      </w:tr>
      <w:tr w:rsidR="003A46F2" w:rsidRPr="003A46F2" w14:paraId="5771C054" w14:textId="77777777" w:rsidTr="002074A4">
        <w:tc>
          <w:tcPr>
            <w:tcW w:w="1702" w:type="dxa"/>
            <w:vAlign w:val="center"/>
          </w:tcPr>
          <w:p w14:paraId="2629A0C6" w14:textId="77777777" w:rsidR="006C12A6" w:rsidRPr="003A46F2" w:rsidRDefault="006C12A6" w:rsidP="006C12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1. Budžeta ieņēmumi</w:t>
            </w:r>
          </w:p>
        </w:tc>
        <w:tc>
          <w:tcPr>
            <w:tcW w:w="992" w:type="dxa"/>
            <w:vAlign w:val="center"/>
          </w:tcPr>
          <w:p w14:paraId="2609937D"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vAlign w:val="center"/>
          </w:tcPr>
          <w:p w14:paraId="586BE7CB" w14:textId="603DEAA2" w:rsidR="006C12A6" w:rsidRPr="003A46F2" w:rsidRDefault="00995509" w:rsidP="006C12A6">
            <w:pPr>
              <w:pStyle w:val="NoSpacing"/>
              <w:rPr>
                <w:rFonts w:ascii="Times New Roman" w:hAnsi="Times New Roman" w:cs="Times New Roman"/>
                <w:iCs/>
                <w:lang w:eastAsia="lv-LV"/>
              </w:rPr>
            </w:pPr>
            <w:r>
              <w:rPr>
                <w:rFonts w:ascii="Times New Roman" w:hAnsi="Times New Roman" w:cs="Times New Roman"/>
                <w:iCs/>
                <w:lang w:eastAsia="lv-LV"/>
              </w:rPr>
              <w:t>35 550</w:t>
            </w:r>
          </w:p>
        </w:tc>
        <w:tc>
          <w:tcPr>
            <w:tcW w:w="1000" w:type="dxa"/>
            <w:vAlign w:val="center"/>
          </w:tcPr>
          <w:p w14:paraId="3EA8383A"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5681EEF9"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51B9A17F"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59755336"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050622CD"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74048AEB" w14:textId="77777777" w:rsidTr="002074A4">
        <w:tc>
          <w:tcPr>
            <w:tcW w:w="1702" w:type="dxa"/>
            <w:vAlign w:val="center"/>
          </w:tcPr>
          <w:p w14:paraId="41EC36A6" w14:textId="77777777" w:rsidR="006C12A6" w:rsidRPr="003A46F2" w:rsidRDefault="006C12A6" w:rsidP="006C12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1DF959DF"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vAlign w:val="center"/>
          </w:tcPr>
          <w:p w14:paraId="01F97225" w14:textId="425F22FE" w:rsidR="006C12A6" w:rsidRPr="003A46F2" w:rsidRDefault="00995509" w:rsidP="006C12A6">
            <w:pPr>
              <w:pStyle w:val="NoSpacing"/>
              <w:rPr>
                <w:rFonts w:ascii="Times New Roman" w:hAnsi="Times New Roman" w:cs="Times New Roman"/>
                <w:iCs/>
                <w:lang w:eastAsia="lv-LV"/>
              </w:rPr>
            </w:pPr>
            <w:r>
              <w:rPr>
                <w:rFonts w:ascii="Times New Roman" w:hAnsi="Times New Roman" w:cs="Times New Roman"/>
                <w:iCs/>
                <w:lang w:eastAsia="lv-LV"/>
              </w:rPr>
              <w:t>35 550</w:t>
            </w:r>
          </w:p>
        </w:tc>
        <w:tc>
          <w:tcPr>
            <w:tcW w:w="1000" w:type="dxa"/>
            <w:vAlign w:val="center"/>
          </w:tcPr>
          <w:p w14:paraId="599C9669"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674310FD"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12EF9866"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0CB63668"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4551F3D8"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635274CC" w14:textId="77777777" w:rsidTr="006936E5">
        <w:tc>
          <w:tcPr>
            <w:tcW w:w="1702" w:type="dxa"/>
            <w:vAlign w:val="center"/>
          </w:tcPr>
          <w:p w14:paraId="6D525753" w14:textId="77777777" w:rsidR="006C12A6" w:rsidRPr="003A46F2" w:rsidRDefault="006C12A6" w:rsidP="006C12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1.2. valsts speciālais budžets</w:t>
            </w:r>
          </w:p>
        </w:tc>
        <w:tc>
          <w:tcPr>
            <w:tcW w:w="992" w:type="dxa"/>
            <w:vAlign w:val="center"/>
          </w:tcPr>
          <w:p w14:paraId="0AECF208"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vAlign w:val="center"/>
          </w:tcPr>
          <w:p w14:paraId="3F0DDF85"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Align w:val="center"/>
          </w:tcPr>
          <w:p w14:paraId="1244B727"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713311BB"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4F3C2679"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519CCD64"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07806294"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53D080B7" w14:textId="77777777" w:rsidTr="006936E5">
        <w:tc>
          <w:tcPr>
            <w:tcW w:w="1702" w:type="dxa"/>
            <w:vAlign w:val="center"/>
          </w:tcPr>
          <w:p w14:paraId="6D579651" w14:textId="77777777" w:rsidR="00CC0982" w:rsidRPr="003A46F2" w:rsidRDefault="00CC0982" w:rsidP="00CC0982">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1.3. pašvaldību budžets</w:t>
            </w:r>
          </w:p>
        </w:tc>
        <w:tc>
          <w:tcPr>
            <w:tcW w:w="992" w:type="dxa"/>
            <w:vAlign w:val="center"/>
          </w:tcPr>
          <w:p w14:paraId="542E83F5"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vAlign w:val="center"/>
          </w:tcPr>
          <w:p w14:paraId="17892273"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Align w:val="center"/>
          </w:tcPr>
          <w:p w14:paraId="02FB6475"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01498558"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7C8D3438"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50194278"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7417E59C" w14:textId="77777777" w:rsidR="00CC0982" w:rsidRPr="003A46F2" w:rsidRDefault="00CC0982" w:rsidP="00CC0982">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4645B82B" w14:textId="77777777" w:rsidTr="006A5DEF">
        <w:tc>
          <w:tcPr>
            <w:tcW w:w="1702" w:type="dxa"/>
            <w:vAlign w:val="center"/>
          </w:tcPr>
          <w:p w14:paraId="00E6CDD1" w14:textId="77777777" w:rsidR="006C12A6" w:rsidRPr="003A46F2" w:rsidRDefault="006C12A6" w:rsidP="006C12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 Budžeta izdevumi</w:t>
            </w:r>
          </w:p>
        </w:tc>
        <w:tc>
          <w:tcPr>
            <w:tcW w:w="992" w:type="dxa"/>
          </w:tcPr>
          <w:p w14:paraId="31727C88" w14:textId="77777777" w:rsidR="006C12A6" w:rsidRPr="003A46F2" w:rsidRDefault="006C12A6" w:rsidP="006C12A6">
            <w:pPr>
              <w:rPr>
                <w:sz w:val="22"/>
                <w:szCs w:val="22"/>
              </w:rPr>
            </w:pPr>
            <w:r w:rsidRPr="003A46F2">
              <w:rPr>
                <w:iCs/>
                <w:sz w:val="22"/>
                <w:szCs w:val="22"/>
              </w:rPr>
              <w:t>0</w:t>
            </w:r>
          </w:p>
        </w:tc>
        <w:tc>
          <w:tcPr>
            <w:tcW w:w="1268" w:type="dxa"/>
            <w:shd w:val="clear" w:color="auto" w:fill="auto"/>
            <w:vAlign w:val="center"/>
          </w:tcPr>
          <w:p w14:paraId="10202A54" w14:textId="4A0C2C1F" w:rsidR="006C12A6" w:rsidRPr="003A46F2" w:rsidRDefault="00C80B0B"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17 775</w:t>
            </w:r>
          </w:p>
        </w:tc>
        <w:tc>
          <w:tcPr>
            <w:tcW w:w="1000" w:type="dxa"/>
            <w:vAlign w:val="center"/>
          </w:tcPr>
          <w:p w14:paraId="3D048AFB"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725492B0"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318C67D1"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72779CC2"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71C5A487"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468D00DB" w14:textId="77777777" w:rsidTr="006A5DEF">
        <w:tc>
          <w:tcPr>
            <w:tcW w:w="1702" w:type="dxa"/>
            <w:vAlign w:val="center"/>
          </w:tcPr>
          <w:p w14:paraId="7BB71D76" w14:textId="77777777" w:rsidR="006C12A6" w:rsidRPr="003A46F2" w:rsidRDefault="006C12A6" w:rsidP="006C12A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2.1. valsts pamatbudžets</w:t>
            </w:r>
          </w:p>
        </w:tc>
        <w:tc>
          <w:tcPr>
            <w:tcW w:w="992" w:type="dxa"/>
          </w:tcPr>
          <w:p w14:paraId="3AF241E3" w14:textId="77777777" w:rsidR="006C12A6" w:rsidRPr="003A46F2" w:rsidRDefault="006C12A6" w:rsidP="006C12A6">
            <w:pPr>
              <w:rPr>
                <w:sz w:val="22"/>
                <w:szCs w:val="22"/>
              </w:rPr>
            </w:pPr>
            <w:r w:rsidRPr="003A46F2">
              <w:rPr>
                <w:iCs/>
                <w:sz w:val="22"/>
                <w:szCs w:val="22"/>
              </w:rPr>
              <w:t>0</w:t>
            </w:r>
          </w:p>
        </w:tc>
        <w:tc>
          <w:tcPr>
            <w:tcW w:w="1268" w:type="dxa"/>
            <w:shd w:val="clear" w:color="auto" w:fill="auto"/>
            <w:vAlign w:val="center"/>
          </w:tcPr>
          <w:p w14:paraId="7AD66B6A" w14:textId="7DF9FE7C" w:rsidR="006C12A6" w:rsidRPr="003A46F2" w:rsidRDefault="00C80B0B"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17 775</w:t>
            </w:r>
          </w:p>
        </w:tc>
        <w:tc>
          <w:tcPr>
            <w:tcW w:w="1000" w:type="dxa"/>
            <w:vAlign w:val="center"/>
          </w:tcPr>
          <w:p w14:paraId="0EE3CC6E"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54264272"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5ACFE8E1"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7525D4EE"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47669C75" w14:textId="77777777" w:rsidR="006C12A6" w:rsidRPr="003A46F2" w:rsidRDefault="006C12A6" w:rsidP="006C12A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110539F7" w14:textId="77777777" w:rsidTr="006A5DEF">
        <w:tc>
          <w:tcPr>
            <w:tcW w:w="1702" w:type="dxa"/>
            <w:vAlign w:val="center"/>
          </w:tcPr>
          <w:p w14:paraId="2A66AEEC" w14:textId="77777777" w:rsidR="00B47986" w:rsidRPr="003A46F2" w:rsidRDefault="00B47986" w:rsidP="00B4798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2.2. valsts speciālais budžets</w:t>
            </w:r>
          </w:p>
        </w:tc>
        <w:tc>
          <w:tcPr>
            <w:tcW w:w="992" w:type="dxa"/>
            <w:vAlign w:val="center"/>
          </w:tcPr>
          <w:p w14:paraId="405153A6"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shd w:val="clear" w:color="auto" w:fill="auto"/>
            <w:vAlign w:val="center"/>
          </w:tcPr>
          <w:p w14:paraId="0B02DED3"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Align w:val="center"/>
          </w:tcPr>
          <w:p w14:paraId="082AFE20"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7463D150"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3461D30A"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27E9EC8B"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54245607"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066DC2C8" w14:textId="77777777" w:rsidTr="006A5DEF">
        <w:tc>
          <w:tcPr>
            <w:tcW w:w="1702" w:type="dxa"/>
            <w:vAlign w:val="center"/>
          </w:tcPr>
          <w:p w14:paraId="108D7008" w14:textId="77777777" w:rsidR="00B47986" w:rsidRPr="003A46F2" w:rsidRDefault="00B47986" w:rsidP="00B47986">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2.3. pašvaldību budžets</w:t>
            </w:r>
          </w:p>
        </w:tc>
        <w:tc>
          <w:tcPr>
            <w:tcW w:w="992" w:type="dxa"/>
            <w:vAlign w:val="center"/>
          </w:tcPr>
          <w:p w14:paraId="1D0F9855"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shd w:val="clear" w:color="auto" w:fill="auto"/>
            <w:vAlign w:val="center"/>
          </w:tcPr>
          <w:p w14:paraId="7A53BBE8"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Align w:val="center"/>
          </w:tcPr>
          <w:p w14:paraId="795CBAF9"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757DE0DC"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7928423E"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18823B23"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572375DF" w14:textId="77777777" w:rsidR="00B47986" w:rsidRPr="003A46F2" w:rsidRDefault="00B47986" w:rsidP="00B47986">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3C1D4F5E" w14:textId="77777777" w:rsidTr="006A5DEF">
        <w:tc>
          <w:tcPr>
            <w:tcW w:w="1702" w:type="dxa"/>
            <w:vAlign w:val="center"/>
          </w:tcPr>
          <w:p w14:paraId="3BD6332C"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3. Finansiālā ietekme</w:t>
            </w:r>
          </w:p>
        </w:tc>
        <w:tc>
          <w:tcPr>
            <w:tcW w:w="992" w:type="dxa"/>
            <w:vAlign w:val="center"/>
          </w:tcPr>
          <w:p w14:paraId="2375E186"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shd w:val="clear" w:color="auto" w:fill="auto"/>
            <w:vAlign w:val="center"/>
          </w:tcPr>
          <w:p w14:paraId="7C59908B" w14:textId="1F796F13" w:rsidR="00F530FE" w:rsidRPr="003A46F2" w:rsidRDefault="00C80B0B"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17 775</w:t>
            </w:r>
          </w:p>
        </w:tc>
        <w:tc>
          <w:tcPr>
            <w:tcW w:w="1000" w:type="dxa"/>
            <w:vAlign w:val="center"/>
          </w:tcPr>
          <w:p w14:paraId="130B0D8C"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2A1380D0"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494173F1"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6F09D038"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6685F538"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30DA0EA6" w14:textId="77777777" w:rsidTr="006A5DEF">
        <w:tc>
          <w:tcPr>
            <w:tcW w:w="1702" w:type="dxa"/>
            <w:vAlign w:val="center"/>
          </w:tcPr>
          <w:p w14:paraId="4B7AA3D0"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lastRenderedPageBreak/>
              <w:t>3.1. valsts pamatbudžets</w:t>
            </w:r>
          </w:p>
        </w:tc>
        <w:tc>
          <w:tcPr>
            <w:tcW w:w="992" w:type="dxa"/>
            <w:vAlign w:val="center"/>
          </w:tcPr>
          <w:p w14:paraId="3AEB3429"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shd w:val="clear" w:color="auto" w:fill="auto"/>
            <w:vAlign w:val="center"/>
          </w:tcPr>
          <w:p w14:paraId="6C3CDB50" w14:textId="6E164F6C" w:rsidR="00F530FE" w:rsidRPr="003A46F2" w:rsidRDefault="00C80B0B"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17 775</w:t>
            </w:r>
          </w:p>
        </w:tc>
        <w:tc>
          <w:tcPr>
            <w:tcW w:w="1000" w:type="dxa"/>
            <w:vAlign w:val="center"/>
          </w:tcPr>
          <w:p w14:paraId="75B684C5"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76106B61"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6EF46524"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30D90E7D"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120DA75B"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38D0AC11" w14:textId="77777777" w:rsidTr="006A5DEF">
        <w:tc>
          <w:tcPr>
            <w:tcW w:w="1702" w:type="dxa"/>
            <w:vAlign w:val="center"/>
          </w:tcPr>
          <w:p w14:paraId="3870BFCF"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3.2. speciālais budžets</w:t>
            </w:r>
          </w:p>
        </w:tc>
        <w:tc>
          <w:tcPr>
            <w:tcW w:w="992" w:type="dxa"/>
            <w:vAlign w:val="center"/>
          </w:tcPr>
          <w:p w14:paraId="587B494E"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shd w:val="clear" w:color="auto" w:fill="auto"/>
            <w:vAlign w:val="center"/>
          </w:tcPr>
          <w:p w14:paraId="0CB81EC3"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Align w:val="center"/>
          </w:tcPr>
          <w:p w14:paraId="0E80E820"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0255B978"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2DB8D9A8"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2782CA31"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5F938135"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5F57FD97" w14:textId="77777777" w:rsidTr="006A5DEF">
        <w:tc>
          <w:tcPr>
            <w:tcW w:w="1702" w:type="dxa"/>
            <w:vAlign w:val="center"/>
          </w:tcPr>
          <w:p w14:paraId="3865CB89"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3.3. pašvaldību budžets</w:t>
            </w:r>
          </w:p>
        </w:tc>
        <w:tc>
          <w:tcPr>
            <w:tcW w:w="992" w:type="dxa"/>
            <w:vAlign w:val="center"/>
          </w:tcPr>
          <w:p w14:paraId="343E2BEC"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68" w:type="dxa"/>
            <w:shd w:val="clear" w:color="auto" w:fill="auto"/>
            <w:vAlign w:val="center"/>
          </w:tcPr>
          <w:p w14:paraId="5027DED1"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Align w:val="center"/>
          </w:tcPr>
          <w:p w14:paraId="249BC8DA"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07750D45"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308ABAC7"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552C2C4C"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1AAC4ECE"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3D411AC1" w14:textId="77777777" w:rsidTr="006A5DEF">
        <w:tc>
          <w:tcPr>
            <w:tcW w:w="1702" w:type="dxa"/>
            <w:vAlign w:val="center"/>
          </w:tcPr>
          <w:p w14:paraId="4DA87201"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522A7CA2"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X</w:t>
            </w:r>
          </w:p>
        </w:tc>
        <w:tc>
          <w:tcPr>
            <w:tcW w:w="1268" w:type="dxa"/>
            <w:shd w:val="clear" w:color="auto" w:fill="auto"/>
            <w:vAlign w:val="center"/>
          </w:tcPr>
          <w:p w14:paraId="42FC3EC0" w14:textId="22497748" w:rsidR="00F530FE" w:rsidRPr="003A46F2" w:rsidRDefault="00C80B0B" w:rsidP="00F530FE">
            <w:pPr>
              <w:pStyle w:val="NoSpacing"/>
              <w:rPr>
                <w:rFonts w:ascii="Times New Roman" w:hAnsi="Times New Roman" w:cs="Times New Roman"/>
                <w:iCs/>
                <w:lang w:eastAsia="lv-LV"/>
              </w:rPr>
            </w:pPr>
            <w:r w:rsidRPr="003A46F2">
              <w:rPr>
                <w:rFonts w:ascii="Times New Roman" w:hAnsi="Times New Roman" w:cs="Times New Roman"/>
                <w:shd w:val="clear" w:color="auto" w:fill="FFFFFF"/>
              </w:rPr>
              <w:t>0</w:t>
            </w:r>
          </w:p>
        </w:tc>
        <w:tc>
          <w:tcPr>
            <w:tcW w:w="1000" w:type="dxa"/>
            <w:vAlign w:val="center"/>
          </w:tcPr>
          <w:p w14:paraId="620014CE"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382B007F"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64BEE3EC"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0A3AC222"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0B364D53"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4C1CEF67" w14:textId="77777777" w:rsidTr="006936E5">
        <w:tc>
          <w:tcPr>
            <w:tcW w:w="1702" w:type="dxa"/>
            <w:vAlign w:val="center"/>
          </w:tcPr>
          <w:p w14:paraId="05AC4166"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5. Precizēta finansiālā ietekme</w:t>
            </w:r>
          </w:p>
        </w:tc>
        <w:tc>
          <w:tcPr>
            <w:tcW w:w="992" w:type="dxa"/>
            <w:vMerge w:val="restart"/>
            <w:vAlign w:val="center"/>
          </w:tcPr>
          <w:p w14:paraId="3C558D05"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X</w:t>
            </w:r>
          </w:p>
        </w:tc>
        <w:tc>
          <w:tcPr>
            <w:tcW w:w="1268" w:type="dxa"/>
            <w:vAlign w:val="center"/>
          </w:tcPr>
          <w:p w14:paraId="390FBDAD" w14:textId="63D5AD37" w:rsidR="00F530FE" w:rsidRPr="003A46F2" w:rsidRDefault="00C80B0B"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17 775</w:t>
            </w:r>
          </w:p>
        </w:tc>
        <w:tc>
          <w:tcPr>
            <w:tcW w:w="1000" w:type="dxa"/>
            <w:vMerge w:val="restart"/>
            <w:vAlign w:val="center"/>
          </w:tcPr>
          <w:p w14:paraId="2BEC6CEA"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134" w:type="dxa"/>
            <w:vAlign w:val="center"/>
          </w:tcPr>
          <w:p w14:paraId="281B2965"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Merge w:val="restart"/>
            <w:vAlign w:val="center"/>
          </w:tcPr>
          <w:p w14:paraId="350FE01C"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Align w:val="center"/>
          </w:tcPr>
          <w:p w14:paraId="3D155289"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760C2CBB"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22055EB7" w14:textId="77777777" w:rsidTr="006936E5">
        <w:tc>
          <w:tcPr>
            <w:tcW w:w="1702" w:type="dxa"/>
            <w:vAlign w:val="center"/>
          </w:tcPr>
          <w:p w14:paraId="0D192ACC"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5.1. valsts pamatbudžets</w:t>
            </w:r>
          </w:p>
        </w:tc>
        <w:tc>
          <w:tcPr>
            <w:tcW w:w="992" w:type="dxa"/>
            <w:vMerge/>
            <w:vAlign w:val="center"/>
          </w:tcPr>
          <w:p w14:paraId="198B8890" w14:textId="77777777" w:rsidR="00F530FE" w:rsidRPr="003A46F2" w:rsidRDefault="00F530FE" w:rsidP="00F530FE">
            <w:pPr>
              <w:pStyle w:val="NoSpacing"/>
              <w:rPr>
                <w:rFonts w:ascii="Times New Roman" w:hAnsi="Times New Roman" w:cs="Times New Roman"/>
                <w:iCs/>
                <w:lang w:eastAsia="lv-LV"/>
              </w:rPr>
            </w:pPr>
          </w:p>
        </w:tc>
        <w:tc>
          <w:tcPr>
            <w:tcW w:w="1268" w:type="dxa"/>
            <w:vAlign w:val="center"/>
          </w:tcPr>
          <w:p w14:paraId="1902B57C" w14:textId="4D8ECDFD" w:rsidR="00F530FE" w:rsidRPr="003A46F2" w:rsidRDefault="00C80B0B"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17 775</w:t>
            </w:r>
          </w:p>
        </w:tc>
        <w:tc>
          <w:tcPr>
            <w:tcW w:w="1000" w:type="dxa"/>
            <w:vMerge/>
            <w:vAlign w:val="center"/>
          </w:tcPr>
          <w:p w14:paraId="17F9203B" w14:textId="77777777" w:rsidR="00F530FE" w:rsidRPr="003A46F2" w:rsidRDefault="00F530FE" w:rsidP="00F530FE">
            <w:pPr>
              <w:pStyle w:val="NoSpacing"/>
              <w:rPr>
                <w:rFonts w:ascii="Times New Roman" w:hAnsi="Times New Roman" w:cs="Times New Roman"/>
                <w:iCs/>
                <w:lang w:eastAsia="lv-LV"/>
              </w:rPr>
            </w:pPr>
          </w:p>
        </w:tc>
        <w:tc>
          <w:tcPr>
            <w:tcW w:w="1134" w:type="dxa"/>
            <w:vAlign w:val="center"/>
          </w:tcPr>
          <w:p w14:paraId="4B56242A"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Merge/>
            <w:vAlign w:val="center"/>
          </w:tcPr>
          <w:p w14:paraId="42B649F5" w14:textId="77777777" w:rsidR="00F530FE" w:rsidRPr="003A46F2" w:rsidRDefault="00F530FE" w:rsidP="00F530FE">
            <w:pPr>
              <w:pStyle w:val="NoSpacing"/>
              <w:rPr>
                <w:rFonts w:ascii="Times New Roman" w:hAnsi="Times New Roman" w:cs="Times New Roman"/>
                <w:iCs/>
                <w:lang w:eastAsia="lv-LV"/>
              </w:rPr>
            </w:pPr>
          </w:p>
        </w:tc>
        <w:tc>
          <w:tcPr>
            <w:tcW w:w="992" w:type="dxa"/>
            <w:vAlign w:val="center"/>
          </w:tcPr>
          <w:p w14:paraId="664008A7"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4198E7E7"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4E8751D7" w14:textId="77777777" w:rsidTr="006936E5">
        <w:tc>
          <w:tcPr>
            <w:tcW w:w="1702" w:type="dxa"/>
            <w:vAlign w:val="center"/>
          </w:tcPr>
          <w:p w14:paraId="430F4522"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5.2. speciālais budžets</w:t>
            </w:r>
          </w:p>
        </w:tc>
        <w:tc>
          <w:tcPr>
            <w:tcW w:w="992" w:type="dxa"/>
            <w:vMerge/>
            <w:vAlign w:val="center"/>
          </w:tcPr>
          <w:p w14:paraId="3BDBFB19" w14:textId="77777777" w:rsidR="00F530FE" w:rsidRPr="003A46F2" w:rsidRDefault="00F530FE" w:rsidP="00F530FE">
            <w:pPr>
              <w:pStyle w:val="NoSpacing"/>
              <w:rPr>
                <w:rFonts w:ascii="Times New Roman" w:hAnsi="Times New Roman" w:cs="Times New Roman"/>
                <w:iCs/>
                <w:lang w:eastAsia="lv-LV"/>
              </w:rPr>
            </w:pPr>
          </w:p>
        </w:tc>
        <w:tc>
          <w:tcPr>
            <w:tcW w:w="1268" w:type="dxa"/>
            <w:vAlign w:val="center"/>
          </w:tcPr>
          <w:p w14:paraId="013CCE72"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Merge/>
            <w:vAlign w:val="center"/>
          </w:tcPr>
          <w:p w14:paraId="14C88F28" w14:textId="77777777" w:rsidR="00F530FE" w:rsidRPr="003A46F2" w:rsidRDefault="00F530FE" w:rsidP="00F530FE">
            <w:pPr>
              <w:pStyle w:val="NoSpacing"/>
              <w:rPr>
                <w:rFonts w:ascii="Times New Roman" w:hAnsi="Times New Roman" w:cs="Times New Roman"/>
                <w:iCs/>
                <w:lang w:eastAsia="lv-LV"/>
              </w:rPr>
            </w:pPr>
          </w:p>
        </w:tc>
        <w:tc>
          <w:tcPr>
            <w:tcW w:w="1134" w:type="dxa"/>
            <w:vAlign w:val="center"/>
          </w:tcPr>
          <w:p w14:paraId="6D28BDA8"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Merge/>
            <w:vAlign w:val="center"/>
          </w:tcPr>
          <w:p w14:paraId="4F00D05A" w14:textId="77777777" w:rsidR="00F530FE" w:rsidRPr="003A46F2" w:rsidRDefault="00F530FE" w:rsidP="00F530FE">
            <w:pPr>
              <w:pStyle w:val="NoSpacing"/>
              <w:rPr>
                <w:rFonts w:ascii="Times New Roman" w:hAnsi="Times New Roman" w:cs="Times New Roman"/>
                <w:iCs/>
                <w:lang w:eastAsia="lv-LV"/>
              </w:rPr>
            </w:pPr>
          </w:p>
        </w:tc>
        <w:tc>
          <w:tcPr>
            <w:tcW w:w="992" w:type="dxa"/>
            <w:vAlign w:val="center"/>
          </w:tcPr>
          <w:p w14:paraId="6D45E7BB"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2DD7E560"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131B6E2F" w14:textId="77777777" w:rsidTr="006936E5">
        <w:tc>
          <w:tcPr>
            <w:tcW w:w="1702" w:type="dxa"/>
            <w:vAlign w:val="center"/>
          </w:tcPr>
          <w:p w14:paraId="385B8743"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5.3. pašvaldību budžets</w:t>
            </w:r>
          </w:p>
        </w:tc>
        <w:tc>
          <w:tcPr>
            <w:tcW w:w="992" w:type="dxa"/>
            <w:vMerge/>
            <w:vAlign w:val="center"/>
          </w:tcPr>
          <w:p w14:paraId="2A60ED3B" w14:textId="77777777" w:rsidR="00F530FE" w:rsidRPr="003A46F2" w:rsidRDefault="00F530FE" w:rsidP="00F530FE">
            <w:pPr>
              <w:pStyle w:val="NoSpacing"/>
              <w:rPr>
                <w:rFonts w:ascii="Times New Roman" w:hAnsi="Times New Roman" w:cs="Times New Roman"/>
                <w:iCs/>
                <w:lang w:eastAsia="lv-LV"/>
              </w:rPr>
            </w:pPr>
          </w:p>
        </w:tc>
        <w:tc>
          <w:tcPr>
            <w:tcW w:w="1268" w:type="dxa"/>
            <w:vAlign w:val="center"/>
          </w:tcPr>
          <w:p w14:paraId="6379CCBE"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000" w:type="dxa"/>
            <w:vMerge/>
            <w:vAlign w:val="center"/>
          </w:tcPr>
          <w:p w14:paraId="52B08CD5" w14:textId="77777777" w:rsidR="00F530FE" w:rsidRPr="003A46F2" w:rsidRDefault="00F530FE" w:rsidP="00F530FE">
            <w:pPr>
              <w:pStyle w:val="NoSpacing"/>
              <w:rPr>
                <w:rFonts w:ascii="Times New Roman" w:hAnsi="Times New Roman" w:cs="Times New Roman"/>
                <w:iCs/>
                <w:lang w:eastAsia="lv-LV"/>
              </w:rPr>
            </w:pPr>
          </w:p>
        </w:tc>
        <w:tc>
          <w:tcPr>
            <w:tcW w:w="1134" w:type="dxa"/>
            <w:vAlign w:val="center"/>
          </w:tcPr>
          <w:p w14:paraId="5A17B23A"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992" w:type="dxa"/>
            <w:vMerge/>
            <w:vAlign w:val="center"/>
          </w:tcPr>
          <w:p w14:paraId="5A1D35A8" w14:textId="77777777" w:rsidR="00F530FE" w:rsidRPr="003A46F2" w:rsidRDefault="00F530FE" w:rsidP="00F530FE">
            <w:pPr>
              <w:pStyle w:val="NoSpacing"/>
              <w:rPr>
                <w:rFonts w:ascii="Times New Roman" w:hAnsi="Times New Roman" w:cs="Times New Roman"/>
                <w:iCs/>
                <w:lang w:eastAsia="lv-LV"/>
              </w:rPr>
            </w:pPr>
          </w:p>
        </w:tc>
        <w:tc>
          <w:tcPr>
            <w:tcW w:w="992" w:type="dxa"/>
            <w:vAlign w:val="center"/>
          </w:tcPr>
          <w:p w14:paraId="2DA05F06"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c>
          <w:tcPr>
            <w:tcW w:w="1276" w:type="dxa"/>
            <w:vAlign w:val="center"/>
          </w:tcPr>
          <w:p w14:paraId="7C6A3FB8" w14:textId="77777777" w:rsidR="00F530FE" w:rsidRPr="003A46F2" w:rsidRDefault="00F530FE" w:rsidP="00F530FE">
            <w:pPr>
              <w:pStyle w:val="NoSpacing"/>
              <w:rPr>
                <w:rFonts w:ascii="Times New Roman" w:hAnsi="Times New Roman" w:cs="Times New Roman"/>
                <w:iCs/>
                <w:lang w:eastAsia="lv-LV"/>
              </w:rPr>
            </w:pPr>
            <w:r w:rsidRPr="003A46F2">
              <w:rPr>
                <w:rFonts w:ascii="Times New Roman" w:hAnsi="Times New Roman" w:cs="Times New Roman"/>
                <w:iCs/>
                <w:lang w:eastAsia="lv-LV"/>
              </w:rPr>
              <w:t>0</w:t>
            </w:r>
          </w:p>
        </w:tc>
      </w:tr>
      <w:tr w:rsidR="003A46F2" w:rsidRPr="003A46F2" w14:paraId="711961B0" w14:textId="77777777" w:rsidTr="009547D2">
        <w:tc>
          <w:tcPr>
            <w:tcW w:w="1702" w:type="dxa"/>
            <w:vAlign w:val="center"/>
          </w:tcPr>
          <w:p w14:paraId="1E5EA9C3"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72414639" w14:textId="5D52FB84" w:rsidR="00DD555B" w:rsidRPr="003E7430" w:rsidRDefault="003A46F2" w:rsidP="003A46F2">
            <w:pPr>
              <w:shd w:val="clear" w:color="auto" w:fill="FFFFFF"/>
              <w:spacing w:before="100" w:beforeAutospacing="1" w:after="100" w:afterAutospacing="1" w:line="293" w:lineRule="atLeast"/>
              <w:ind w:firstLine="300"/>
              <w:jc w:val="both"/>
            </w:pPr>
            <w:r w:rsidRPr="003A46F2">
              <w:t>Rīkojumu projekts paredz a</w:t>
            </w:r>
            <w:r w:rsidRPr="003B1FF8">
              <w:t xml:space="preserve">tbilstoši likuma </w:t>
            </w:r>
            <w:r w:rsidRPr="003A46F2">
              <w:t>“</w:t>
            </w:r>
            <w:hyperlink r:id="rId12" w:tgtFrame="_blank" w:history="1">
              <w:r w:rsidRPr="003B1FF8">
                <w:t>Par valsts budžetu 20</w:t>
              </w:r>
              <w:r w:rsidRPr="003A46F2">
                <w:t>20</w:t>
              </w:r>
              <w:r w:rsidRPr="003B1FF8">
                <w:t>. gadam</w:t>
              </w:r>
            </w:hyperlink>
            <w:r w:rsidRPr="003A46F2">
              <w:t>”</w:t>
            </w:r>
            <w:r w:rsidRPr="003B1FF8">
              <w:t> </w:t>
            </w:r>
            <w:hyperlink r:id="rId13" w:anchor="p42" w:tgtFrame="_blank" w:history="1">
              <w:r w:rsidRPr="003B1FF8">
                <w:t>4</w:t>
              </w:r>
              <w:r w:rsidRPr="003A46F2">
                <w:t>4</w:t>
              </w:r>
              <w:r w:rsidRPr="003B1FF8">
                <w:t>. panta</w:t>
              </w:r>
            </w:hyperlink>
            <w:r w:rsidRPr="003B1FF8">
              <w:t xml:space="preserve"> otrajai un trešajai daļai atbalstīt apropriācijas palielināšanu </w:t>
            </w:r>
            <w:r w:rsidRPr="003A46F2">
              <w:t>Veselības</w:t>
            </w:r>
            <w:r w:rsidRPr="003B1FF8">
              <w:t xml:space="preserve"> ministrijai </w:t>
            </w:r>
            <w:r w:rsidRPr="003E7430">
              <w:t xml:space="preserve">resursiem no dotācijas no vispārējiem ieņēmumiem un izdevumiem programmā 97.00.00 “Nozares vadība un politikas plānošana” 17 775 </w:t>
            </w:r>
            <w:r w:rsidRPr="003E7430">
              <w:rPr>
                <w:i/>
                <w:iCs/>
              </w:rPr>
              <w:t>euro</w:t>
            </w:r>
            <w:r w:rsidRPr="003E7430">
              <w:t> apmērā, lai nodrošinātu finansējumu kapitālieguldījumiem valsts nekustamajā īpašumā Antonijas ielā 1, Rīgā</w:t>
            </w:r>
            <w:r w:rsidR="0096116B">
              <w:t xml:space="preserve"> </w:t>
            </w:r>
            <w:r w:rsidR="0096116B" w:rsidRPr="00972993">
              <w:t xml:space="preserve">(nekustamā īpašuma kadastra Nr. </w:t>
            </w:r>
            <w:r w:rsidR="0096116B" w:rsidRPr="0096116B">
              <w:t>01000100007</w:t>
            </w:r>
            <w:r w:rsidR="0096116B" w:rsidRPr="00972993">
              <w:t>)</w:t>
            </w:r>
            <w:r w:rsidRPr="003E7430">
              <w:t>.</w:t>
            </w:r>
          </w:p>
          <w:p w14:paraId="6049FC18" w14:textId="77777777" w:rsidR="00DD555B" w:rsidRPr="003E7430" w:rsidRDefault="00DD555B" w:rsidP="00DD555B">
            <w:pPr>
              <w:ind w:left="78" w:right="71" w:firstLine="362"/>
              <w:jc w:val="both"/>
              <w:rPr>
                <w:u w:val="single"/>
              </w:rPr>
            </w:pPr>
            <w:r w:rsidRPr="003E7430">
              <w:t>Saskaņā ar Ministru kabineta 2011.gada 1.februāra noteikumu Nr.109 “Kārtība, kādā atsavināma publiskas personas manta” 36. un 37.punktu ieņēmumu un izdevumu aprēķins: pirkuma summa (realizācijas cena) – atsavināšanas izdevumi (50% no realizācijas cenas) = atlikušo summu pārskaita budžetā.</w:t>
            </w:r>
          </w:p>
          <w:p w14:paraId="115902C2" w14:textId="446B1426" w:rsidR="00DD555B" w:rsidRPr="003E7430" w:rsidRDefault="00DD555B" w:rsidP="00DD555B">
            <w:pPr>
              <w:ind w:left="78" w:right="71" w:firstLine="362"/>
              <w:jc w:val="both"/>
              <w:rPr>
                <w:u w:val="single"/>
              </w:rPr>
            </w:pPr>
            <w:r w:rsidRPr="003E7430">
              <w:rPr>
                <w:bCs/>
                <w:lang w:eastAsia="en-US"/>
              </w:rPr>
              <w:t>Nekustamā īpašuma</w:t>
            </w:r>
            <w:r w:rsidRPr="003E7430">
              <w:rPr>
                <w:lang w:eastAsia="en-US"/>
              </w:rPr>
              <w:t xml:space="preserve"> realizācijas cena –</w:t>
            </w:r>
            <w:r w:rsidR="00F47A9F">
              <w:rPr>
                <w:lang w:eastAsia="en-US"/>
              </w:rPr>
              <w:t xml:space="preserve"> </w:t>
            </w:r>
            <w:r w:rsidRPr="003E7430">
              <w:rPr>
                <w:lang w:eastAsia="en-US"/>
              </w:rPr>
              <w:t>71</w:t>
            </w:r>
            <w:r w:rsidR="008B2B4E" w:rsidRPr="003E7430">
              <w:rPr>
                <w:lang w:eastAsia="en-US"/>
              </w:rPr>
              <w:t> </w:t>
            </w:r>
            <w:r w:rsidRPr="003E7430">
              <w:rPr>
                <w:lang w:eastAsia="en-US"/>
              </w:rPr>
              <w:t>100</w:t>
            </w:r>
            <w:r w:rsidR="008B2B4E" w:rsidRPr="003E7430">
              <w:rPr>
                <w:lang w:eastAsia="en-US"/>
              </w:rPr>
              <w:t xml:space="preserve"> </w:t>
            </w:r>
            <w:r w:rsidR="008B2B4E" w:rsidRPr="003E7430">
              <w:rPr>
                <w:i/>
                <w:iCs/>
                <w:lang w:eastAsia="en-US"/>
              </w:rPr>
              <w:t>euro</w:t>
            </w:r>
            <w:r w:rsidRPr="003E7430">
              <w:rPr>
                <w:lang w:eastAsia="en-US"/>
              </w:rPr>
              <w:t xml:space="preserve">, </w:t>
            </w:r>
            <w:r w:rsidRPr="003E7430">
              <w:rPr>
                <w:iCs/>
                <w:lang w:eastAsia="en-US"/>
              </w:rPr>
              <w:t>atsavināšanas izdevumi 35</w:t>
            </w:r>
            <w:r w:rsidR="008B2B4E" w:rsidRPr="003E7430">
              <w:rPr>
                <w:iCs/>
                <w:lang w:eastAsia="en-US"/>
              </w:rPr>
              <w:t> </w:t>
            </w:r>
            <w:r w:rsidRPr="003E7430">
              <w:rPr>
                <w:iCs/>
                <w:lang w:eastAsia="en-US"/>
              </w:rPr>
              <w:t>550</w:t>
            </w:r>
            <w:r w:rsidR="008B2B4E" w:rsidRPr="003E7430">
              <w:rPr>
                <w:iCs/>
                <w:lang w:eastAsia="en-US"/>
              </w:rPr>
              <w:t xml:space="preserve"> </w:t>
            </w:r>
            <w:r w:rsidR="008B2B4E" w:rsidRPr="003E7430">
              <w:rPr>
                <w:i/>
                <w:lang w:eastAsia="en-US"/>
              </w:rPr>
              <w:t>euro</w:t>
            </w:r>
            <w:r w:rsidRPr="003E7430">
              <w:rPr>
                <w:iCs/>
                <w:lang w:eastAsia="en-US"/>
              </w:rPr>
              <w:t xml:space="preserve">, </w:t>
            </w:r>
            <w:r w:rsidRPr="003E7430">
              <w:rPr>
                <w:lang w:eastAsia="en-US"/>
              </w:rPr>
              <w:t>nekustamā īpašuma atsavināšanā iegūtie līdzekļi, no kuriem atskaitīti atsavināšanas izdevumi</w:t>
            </w:r>
            <w:r w:rsidRPr="003E7430">
              <w:rPr>
                <w:iCs/>
                <w:lang w:eastAsia="en-US"/>
              </w:rPr>
              <w:t xml:space="preserve"> </w:t>
            </w:r>
            <w:r w:rsidRPr="003E7430">
              <w:rPr>
                <w:lang w:eastAsia="en-US"/>
              </w:rPr>
              <w:t>–</w:t>
            </w:r>
            <w:r w:rsidR="00F47A9F">
              <w:rPr>
                <w:lang w:eastAsia="en-US"/>
              </w:rPr>
              <w:t xml:space="preserve"> </w:t>
            </w:r>
            <w:r w:rsidRPr="003E7430">
              <w:rPr>
                <w:iCs/>
                <w:lang w:eastAsia="en-US"/>
              </w:rPr>
              <w:t>35</w:t>
            </w:r>
            <w:r w:rsidR="008B2B4E" w:rsidRPr="003E7430">
              <w:rPr>
                <w:iCs/>
                <w:lang w:eastAsia="en-US"/>
              </w:rPr>
              <w:t> </w:t>
            </w:r>
            <w:r w:rsidRPr="003E7430">
              <w:rPr>
                <w:iCs/>
                <w:lang w:eastAsia="en-US"/>
              </w:rPr>
              <w:t>550</w:t>
            </w:r>
            <w:r w:rsidR="008B2B4E" w:rsidRPr="003E7430">
              <w:rPr>
                <w:iCs/>
                <w:lang w:eastAsia="en-US"/>
              </w:rPr>
              <w:t xml:space="preserve"> </w:t>
            </w:r>
            <w:r w:rsidR="008B2B4E" w:rsidRPr="003E7430">
              <w:rPr>
                <w:i/>
                <w:lang w:eastAsia="en-US"/>
              </w:rPr>
              <w:t>euro</w:t>
            </w:r>
            <w:r w:rsidRPr="003E7430">
              <w:rPr>
                <w:iCs/>
                <w:lang w:eastAsia="en-US"/>
              </w:rPr>
              <w:t>.</w:t>
            </w:r>
          </w:p>
          <w:p w14:paraId="1ECB7E62" w14:textId="1798CDA5" w:rsidR="00DD555B" w:rsidRPr="003E7430" w:rsidRDefault="00DD555B" w:rsidP="00DD555B">
            <w:pPr>
              <w:ind w:left="78" w:right="71" w:firstLine="362"/>
              <w:jc w:val="both"/>
              <w:rPr>
                <w:u w:val="single"/>
              </w:rPr>
            </w:pPr>
            <w:r w:rsidRPr="003E7430">
              <w:rPr>
                <w:lang w:eastAsia="en-US"/>
              </w:rPr>
              <w:t>Valsts pamatbudžeta ieņēmumu kontā ieskait</w:t>
            </w:r>
            <w:r w:rsidRPr="003E7430">
              <w:rPr>
                <w:iCs/>
                <w:lang w:eastAsia="en-US"/>
              </w:rPr>
              <w:t>īti 35</w:t>
            </w:r>
            <w:r w:rsidR="008B2B4E" w:rsidRPr="003E7430">
              <w:rPr>
                <w:iCs/>
                <w:lang w:eastAsia="en-US"/>
              </w:rPr>
              <w:t> </w:t>
            </w:r>
            <w:r w:rsidRPr="003E7430">
              <w:rPr>
                <w:iCs/>
                <w:lang w:eastAsia="en-US"/>
              </w:rPr>
              <w:t>550</w:t>
            </w:r>
            <w:r w:rsidR="008B2B4E" w:rsidRPr="003E7430">
              <w:rPr>
                <w:iCs/>
                <w:lang w:eastAsia="en-US"/>
              </w:rPr>
              <w:t xml:space="preserve"> </w:t>
            </w:r>
            <w:r w:rsidR="008B2B4E" w:rsidRPr="003E7430">
              <w:rPr>
                <w:i/>
                <w:lang w:eastAsia="en-US"/>
              </w:rPr>
              <w:t>euro</w:t>
            </w:r>
            <w:r w:rsidRPr="003E7430">
              <w:rPr>
                <w:i/>
                <w:iCs/>
                <w:lang w:eastAsia="en-US"/>
              </w:rPr>
              <w:t xml:space="preserve">, </w:t>
            </w:r>
            <w:r w:rsidRPr="003E7430">
              <w:rPr>
                <w:iCs/>
                <w:lang w:eastAsia="en-US"/>
              </w:rPr>
              <w:t xml:space="preserve">no kuriem </w:t>
            </w:r>
            <w:r w:rsidRPr="003E7430">
              <w:rPr>
                <w:lang w:eastAsia="en-US"/>
              </w:rPr>
              <w:t xml:space="preserve">ministrijai 50 procentu apmērā </w:t>
            </w:r>
            <w:r w:rsidR="008B2B4E" w:rsidRPr="003E7430">
              <w:rPr>
                <w:lang w:eastAsia="en-US"/>
              </w:rPr>
              <w:t xml:space="preserve">(t.i. 17 775 </w:t>
            </w:r>
            <w:r w:rsidR="008B2B4E" w:rsidRPr="003E7430">
              <w:rPr>
                <w:i/>
                <w:iCs/>
                <w:lang w:eastAsia="en-US"/>
              </w:rPr>
              <w:t>euro</w:t>
            </w:r>
            <w:r w:rsidR="008B2B4E" w:rsidRPr="003E7430">
              <w:rPr>
                <w:lang w:eastAsia="en-US"/>
              </w:rPr>
              <w:t xml:space="preserve"> apmērā) </w:t>
            </w:r>
            <w:r w:rsidRPr="003E7430">
              <w:rPr>
                <w:lang w:eastAsia="en-US"/>
              </w:rPr>
              <w:t xml:space="preserve">var palielināt apropriāciju resursiem no dotācijas no </w:t>
            </w:r>
            <w:r w:rsidRPr="003E7430">
              <w:rPr>
                <w:iCs/>
                <w:lang w:eastAsia="en-US"/>
              </w:rPr>
              <w:t>vispārējiem ieņēmumiem un izdevumiem.</w:t>
            </w:r>
          </w:p>
          <w:p w14:paraId="220065D6" w14:textId="6CE9D133" w:rsidR="007F7D5A" w:rsidRDefault="00DD555B" w:rsidP="003A46F2">
            <w:pPr>
              <w:ind w:left="78" w:right="71" w:firstLine="362"/>
              <w:jc w:val="both"/>
              <w:rPr>
                <w:lang w:eastAsia="en-US"/>
              </w:rPr>
            </w:pPr>
            <w:r w:rsidRPr="003E7430">
              <w:rPr>
                <w:lang w:eastAsia="en-US"/>
              </w:rPr>
              <w:t xml:space="preserve">Līdzekļus no nekustamā īpašuma pārdošanas plānots ieguldīt kapitālieguldījumiem </w:t>
            </w:r>
            <w:r w:rsidR="003A46F2" w:rsidRPr="003E7430">
              <w:rPr>
                <w:lang w:eastAsia="en-US"/>
              </w:rPr>
              <w:t xml:space="preserve">ēkā Antonijas ielā 1, Rīgā (Veselības </w:t>
            </w:r>
            <w:r w:rsidRPr="003E7430">
              <w:rPr>
                <w:lang w:eastAsia="en-US"/>
              </w:rPr>
              <w:t xml:space="preserve">ministrijas </w:t>
            </w:r>
            <w:r w:rsidR="003A46F2" w:rsidRPr="003E7430">
              <w:rPr>
                <w:lang w:eastAsia="en-US"/>
              </w:rPr>
              <w:t>īpašums), kurā atrodas Paula Stradiņa medicīnas vēstures muzejs,  avārijas stāvoklī esošās elektroinstalācijas daļēja</w:t>
            </w:r>
            <w:r w:rsidR="00D11F9F">
              <w:rPr>
                <w:lang w:eastAsia="en-US"/>
              </w:rPr>
              <w:t>i</w:t>
            </w:r>
            <w:r w:rsidR="003A46F2" w:rsidRPr="003E7430">
              <w:rPr>
                <w:lang w:eastAsia="en-US"/>
              </w:rPr>
              <w:t xml:space="preserve"> nomaiņa</w:t>
            </w:r>
            <w:r w:rsidR="00D11F9F">
              <w:rPr>
                <w:lang w:eastAsia="en-US"/>
              </w:rPr>
              <w:t>i</w:t>
            </w:r>
            <w:r w:rsidR="00925151">
              <w:rPr>
                <w:lang w:eastAsia="en-US"/>
              </w:rPr>
              <w:t xml:space="preserve"> (pamatkapitāla veidošana EKK 5000)</w:t>
            </w:r>
            <w:r w:rsidR="003A46F2" w:rsidRPr="003E7430">
              <w:rPr>
                <w:lang w:eastAsia="en-US"/>
              </w:rPr>
              <w:t>.</w:t>
            </w:r>
          </w:p>
          <w:p w14:paraId="3BD46E00" w14:textId="0C60DC70" w:rsidR="00FB3A66" w:rsidRDefault="00FB3A66" w:rsidP="003A46F2">
            <w:pPr>
              <w:ind w:left="78" w:right="71" w:firstLine="362"/>
              <w:jc w:val="both"/>
              <w:rPr>
                <w:lang w:eastAsia="en-US"/>
              </w:rPr>
            </w:pPr>
            <w:r w:rsidRPr="00FB3A66">
              <w:rPr>
                <w:lang w:eastAsia="en-US"/>
              </w:rPr>
              <w:lastRenderedPageBreak/>
              <w:t>Provizorisko izmaksu aprēķins/piedāvājums</w:t>
            </w:r>
            <w:r>
              <w:rPr>
                <w:lang w:eastAsia="en-US"/>
              </w:rPr>
              <w:t xml:space="preserve"> </w:t>
            </w:r>
            <w:r w:rsidRPr="00FB3A66">
              <w:rPr>
                <w:lang w:eastAsia="en-US"/>
              </w:rPr>
              <w:t>Paula Stradiņa Medicīnas vēstures muzej</w:t>
            </w:r>
            <w:r>
              <w:rPr>
                <w:lang w:eastAsia="en-US"/>
              </w:rPr>
              <w:t xml:space="preserve">a, </w:t>
            </w:r>
            <w:r w:rsidRPr="00FB3A66">
              <w:rPr>
                <w:lang w:eastAsia="en-US"/>
              </w:rPr>
              <w:t>Antonijas iela 1, telpu elektroinstalācijas remont</w:t>
            </w:r>
            <w:r>
              <w:rPr>
                <w:lang w:eastAsia="en-US"/>
              </w:rPr>
              <w:t>am</w:t>
            </w:r>
            <w:r w:rsidRPr="00FB3A66">
              <w:rPr>
                <w:lang w:eastAsia="en-US"/>
              </w:rPr>
              <w:t xml:space="preserve"> un telpu apdares darb</w:t>
            </w:r>
            <w:r>
              <w:rPr>
                <w:lang w:eastAsia="en-US"/>
              </w:rPr>
              <w:t>iem</w:t>
            </w:r>
          </w:p>
          <w:tbl>
            <w:tblPr>
              <w:tblW w:w="7534" w:type="dxa"/>
              <w:tblLayout w:type="fixed"/>
              <w:tblLook w:val="04A0" w:firstRow="1" w:lastRow="0" w:firstColumn="1" w:lastColumn="0" w:noHBand="0" w:noVBand="1"/>
            </w:tblPr>
            <w:tblGrid>
              <w:gridCol w:w="472"/>
              <w:gridCol w:w="2101"/>
              <w:gridCol w:w="850"/>
              <w:gridCol w:w="709"/>
              <w:gridCol w:w="1134"/>
              <w:gridCol w:w="992"/>
              <w:gridCol w:w="1276"/>
            </w:tblGrid>
            <w:tr w:rsidR="00157AC8" w:rsidRPr="00157AC8" w14:paraId="6F582C24" w14:textId="77777777" w:rsidTr="00513F3B">
              <w:trPr>
                <w:trHeight w:val="1403"/>
              </w:trPr>
              <w:tc>
                <w:tcPr>
                  <w:tcW w:w="472" w:type="dxa"/>
                  <w:tcBorders>
                    <w:top w:val="single" w:sz="8" w:space="0" w:color="auto"/>
                    <w:left w:val="single" w:sz="8" w:space="0" w:color="auto"/>
                    <w:bottom w:val="nil"/>
                    <w:right w:val="single" w:sz="4" w:space="0" w:color="auto"/>
                  </w:tcBorders>
                  <w:shd w:val="clear" w:color="auto" w:fill="auto"/>
                  <w:noWrap/>
                  <w:textDirection w:val="btLr"/>
                  <w:vAlign w:val="center"/>
                  <w:hideMark/>
                </w:tcPr>
                <w:p w14:paraId="26D88320" w14:textId="77777777" w:rsidR="00157AC8" w:rsidRPr="00513F3B" w:rsidRDefault="00157AC8" w:rsidP="00157AC8">
                  <w:pPr>
                    <w:jc w:val="center"/>
                    <w:rPr>
                      <w:sz w:val="20"/>
                      <w:szCs w:val="20"/>
                    </w:rPr>
                  </w:pPr>
                  <w:r w:rsidRPr="00513F3B">
                    <w:rPr>
                      <w:sz w:val="20"/>
                      <w:szCs w:val="20"/>
                    </w:rPr>
                    <w:t>Nr.p.k.</w:t>
                  </w:r>
                </w:p>
              </w:tc>
              <w:tc>
                <w:tcPr>
                  <w:tcW w:w="2101" w:type="dxa"/>
                  <w:tcBorders>
                    <w:top w:val="single" w:sz="8" w:space="0" w:color="auto"/>
                    <w:left w:val="nil"/>
                    <w:bottom w:val="nil"/>
                    <w:right w:val="single" w:sz="4" w:space="0" w:color="auto"/>
                  </w:tcBorders>
                  <w:shd w:val="clear" w:color="auto" w:fill="auto"/>
                  <w:noWrap/>
                  <w:vAlign w:val="center"/>
                  <w:hideMark/>
                </w:tcPr>
                <w:p w14:paraId="5B2B271C" w14:textId="77777777" w:rsidR="00157AC8" w:rsidRPr="00513F3B" w:rsidRDefault="00157AC8" w:rsidP="00157AC8">
                  <w:pPr>
                    <w:rPr>
                      <w:sz w:val="20"/>
                      <w:szCs w:val="20"/>
                    </w:rPr>
                  </w:pPr>
                  <w:r w:rsidRPr="00513F3B">
                    <w:rPr>
                      <w:sz w:val="20"/>
                      <w:szCs w:val="20"/>
                    </w:rPr>
                    <w:t>Darba nosaukums</w:t>
                  </w:r>
                </w:p>
              </w:tc>
              <w:tc>
                <w:tcPr>
                  <w:tcW w:w="850" w:type="dxa"/>
                  <w:tcBorders>
                    <w:top w:val="single" w:sz="8" w:space="0" w:color="auto"/>
                    <w:left w:val="nil"/>
                    <w:bottom w:val="nil"/>
                    <w:right w:val="single" w:sz="4" w:space="0" w:color="auto"/>
                  </w:tcBorders>
                  <w:shd w:val="clear" w:color="auto" w:fill="auto"/>
                  <w:noWrap/>
                  <w:textDirection w:val="btLr"/>
                  <w:vAlign w:val="center"/>
                  <w:hideMark/>
                </w:tcPr>
                <w:p w14:paraId="218837C3" w14:textId="77777777" w:rsidR="00157AC8" w:rsidRPr="00513F3B" w:rsidRDefault="00157AC8" w:rsidP="00157AC8">
                  <w:pPr>
                    <w:jc w:val="center"/>
                    <w:rPr>
                      <w:sz w:val="20"/>
                      <w:szCs w:val="20"/>
                    </w:rPr>
                  </w:pPr>
                  <w:r w:rsidRPr="00513F3B">
                    <w:rPr>
                      <w:sz w:val="20"/>
                      <w:szCs w:val="20"/>
                    </w:rPr>
                    <w:t>Mērv.</w:t>
                  </w:r>
                </w:p>
              </w:tc>
              <w:tc>
                <w:tcPr>
                  <w:tcW w:w="709" w:type="dxa"/>
                  <w:tcBorders>
                    <w:top w:val="single" w:sz="8" w:space="0" w:color="auto"/>
                    <w:left w:val="nil"/>
                    <w:bottom w:val="nil"/>
                    <w:right w:val="single" w:sz="4" w:space="0" w:color="auto"/>
                  </w:tcBorders>
                  <w:shd w:val="clear" w:color="auto" w:fill="auto"/>
                  <w:noWrap/>
                  <w:textDirection w:val="btLr"/>
                  <w:vAlign w:val="center"/>
                  <w:hideMark/>
                </w:tcPr>
                <w:p w14:paraId="01CFFE79" w14:textId="77777777" w:rsidR="00157AC8" w:rsidRPr="00513F3B" w:rsidRDefault="00157AC8" w:rsidP="00157AC8">
                  <w:pPr>
                    <w:jc w:val="center"/>
                    <w:rPr>
                      <w:sz w:val="20"/>
                      <w:szCs w:val="20"/>
                    </w:rPr>
                  </w:pPr>
                  <w:r w:rsidRPr="00513F3B">
                    <w:rPr>
                      <w:sz w:val="20"/>
                      <w:szCs w:val="20"/>
                    </w:rPr>
                    <w:t>Daudz.</w:t>
                  </w:r>
                </w:p>
              </w:tc>
              <w:tc>
                <w:tcPr>
                  <w:tcW w:w="1134" w:type="dxa"/>
                  <w:tcBorders>
                    <w:top w:val="single" w:sz="8" w:space="0" w:color="auto"/>
                    <w:left w:val="nil"/>
                    <w:bottom w:val="single" w:sz="4" w:space="0" w:color="auto"/>
                    <w:right w:val="single" w:sz="4" w:space="0" w:color="auto"/>
                  </w:tcBorders>
                  <w:shd w:val="clear" w:color="auto" w:fill="auto"/>
                  <w:textDirection w:val="btLr"/>
                  <w:vAlign w:val="center"/>
                  <w:hideMark/>
                </w:tcPr>
                <w:p w14:paraId="23621823" w14:textId="77777777" w:rsidR="00157AC8" w:rsidRPr="00513F3B" w:rsidRDefault="00157AC8" w:rsidP="00157AC8">
                  <w:pPr>
                    <w:jc w:val="center"/>
                    <w:rPr>
                      <w:sz w:val="20"/>
                      <w:szCs w:val="20"/>
                    </w:rPr>
                  </w:pPr>
                  <w:r w:rsidRPr="00513F3B">
                    <w:rPr>
                      <w:sz w:val="20"/>
                      <w:szCs w:val="20"/>
                    </w:rPr>
                    <w:t>Darba alga (EUR)</w:t>
                  </w:r>
                </w:p>
              </w:tc>
              <w:tc>
                <w:tcPr>
                  <w:tcW w:w="992" w:type="dxa"/>
                  <w:tcBorders>
                    <w:top w:val="single" w:sz="8" w:space="0" w:color="auto"/>
                    <w:left w:val="nil"/>
                    <w:bottom w:val="single" w:sz="4" w:space="0" w:color="auto"/>
                    <w:right w:val="single" w:sz="4" w:space="0" w:color="auto"/>
                  </w:tcBorders>
                  <w:shd w:val="clear" w:color="auto" w:fill="auto"/>
                  <w:textDirection w:val="btLr"/>
                  <w:vAlign w:val="center"/>
                  <w:hideMark/>
                </w:tcPr>
                <w:p w14:paraId="0544C8B1" w14:textId="77777777" w:rsidR="00157AC8" w:rsidRPr="00513F3B" w:rsidRDefault="00157AC8" w:rsidP="00157AC8">
                  <w:pPr>
                    <w:jc w:val="center"/>
                    <w:rPr>
                      <w:sz w:val="20"/>
                      <w:szCs w:val="20"/>
                    </w:rPr>
                  </w:pPr>
                  <w:r w:rsidRPr="00513F3B">
                    <w:rPr>
                      <w:sz w:val="20"/>
                      <w:szCs w:val="20"/>
                    </w:rPr>
                    <w:t>Materiāli    (EUR)</w:t>
                  </w:r>
                </w:p>
              </w:tc>
              <w:tc>
                <w:tcPr>
                  <w:tcW w:w="1276" w:type="dxa"/>
                  <w:tcBorders>
                    <w:top w:val="single" w:sz="8" w:space="0" w:color="auto"/>
                    <w:left w:val="nil"/>
                    <w:bottom w:val="single" w:sz="4" w:space="0" w:color="auto"/>
                    <w:right w:val="single" w:sz="8" w:space="0" w:color="auto"/>
                  </w:tcBorders>
                  <w:shd w:val="clear" w:color="auto" w:fill="auto"/>
                  <w:textDirection w:val="btLr"/>
                  <w:vAlign w:val="center"/>
                  <w:hideMark/>
                </w:tcPr>
                <w:p w14:paraId="3AD3EDD7" w14:textId="56CE3174" w:rsidR="00157AC8" w:rsidRPr="00513F3B" w:rsidRDefault="00157AC8" w:rsidP="00157AC8">
                  <w:pPr>
                    <w:jc w:val="center"/>
                    <w:rPr>
                      <w:sz w:val="20"/>
                      <w:szCs w:val="20"/>
                    </w:rPr>
                  </w:pPr>
                  <w:r w:rsidRPr="00513F3B">
                    <w:rPr>
                      <w:sz w:val="20"/>
                      <w:szCs w:val="20"/>
                    </w:rPr>
                    <w:t>Summa        (</w:t>
                  </w:r>
                  <w:r w:rsidR="00FB3A66" w:rsidRPr="00513F3B">
                    <w:rPr>
                      <w:i/>
                      <w:iCs/>
                      <w:sz w:val="20"/>
                      <w:szCs w:val="20"/>
                    </w:rPr>
                    <w:t>euro</w:t>
                  </w:r>
                  <w:r w:rsidRPr="00513F3B">
                    <w:rPr>
                      <w:sz w:val="20"/>
                      <w:szCs w:val="20"/>
                    </w:rPr>
                    <w:t>)</w:t>
                  </w:r>
                </w:p>
              </w:tc>
            </w:tr>
            <w:tr w:rsidR="00157AC8" w:rsidRPr="00157AC8" w14:paraId="055801F2" w14:textId="77777777" w:rsidTr="00513F3B">
              <w:trPr>
                <w:trHeight w:val="347"/>
              </w:trPr>
              <w:tc>
                <w:tcPr>
                  <w:tcW w:w="47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4A25585" w14:textId="77777777" w:rsidR="00157AC8" w:rsidRPr="00157AC8" w:rsidRDefault="00157AC8" w:rsidP="00157AC8">
                  <w:pPr>
                    <w:jc w:val="center"/>
                    <w:rPr>
                      <w:color w:val="000000"/>
                      <w:sz w:val="20"/>
                      <w:szCs w:val="20"/>
                    </w:rPr>
                  </w:pPr>
                  <w:r w:rsidRPr="00157AC8">
                    <w:rPr>
                      <w:color w:val="000000"/>
                      <w:sz w:val="20"/>
                      <w:szCs w:val="20"/>
                    </w:rPr>
                    <w:t>1</w:t>
                  </w:r>
                </w:p>
              </w:tc>
              <w:tc>
                <w:tcPr>
                  <w:tcW w:w="2101" w:type="dxa"/>
                  <w:tcBorders>
                    <w:top w:val="single" w:sz="4" w:space="0" w:color="auto"/>
                    <w:left w:val="nil"/>
                    <w:bottom w:val="single" w:sz="4" w:space="0" w:color="auto"/>
                    <w:right w:val="single" w:sz="4" w:space="0" w:color="auto"/>
                  </w:tcBorders>
                  <w:shd w:val="clear" w:color="000000" w:fill="FFFFFF"/>
                  <w:vAlign w:val="center"/>
                  <w:hideMark/>
                </w:tcPr>
                <w:p w14:paraId="02B78D49" w14:textId="77777777" w:rsidR="00157AC8" w:rsidRPr="00157AC8" w:rsidRDefault="00157AC8" w:rsidP="00157AC8">
                  <w:pPr>
                    <w:rPr>
                      <w:color w:val="000000"/>
                      <w:sz w:val="20"/>
                      <w:szCs w:val="20"/>
                    </w:rPr>
                  </w:pPr>
                  <w:r w:rsidRPr="00157AC8">
                    <w:rPr>
                      <w:color w:val="000000"/>
                      <w:sz w:val="20"/>
                      <w:szCs w:val="20"/>
                    </w:rPr>
                    <w:t>Elektroapgādes tehniskais projekts (no GS līdz sadalnēm)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6B3E550" w14:textId="77777777" w:rsidR="00157AC8" w:rsidRPr="00157AC8" w:rsidRDefault="00157AC8" w:rsidP="00157AC8">
                  <w:pPr>
                    <w:jc w:val="center"/>
                    <w:rPr>
                      <w:color w:val="000000"/>
                      <w:sz w:val="20"/>
                      <w:szCs w:val="20"/>
                    </w:rPr>
                  </w:pPr>
                  <w:r w:rsidRPr="00157AC8">
                    <w:rPr>
                      <w:color w:val="000000"/>
                      <w:sz w:val="20"/>
                      <w:szCs w:val="20"/>
                    </w:rPr>
                    <w:t>kompl.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7105F5" w14:textId="77777777" w:rsidR="00157AC8" w:rsidRPr="00157AC8" w:rsidRDefault="00157AC8" w:rsidP="00157AC8">
                  <w:pPr>
                    <w:jc w:val="center"/>
                    <w:rPr>
                      <w:color w:val="000000"/>
                      <w:sz w:val="20"/>
                      <w:szCs w:val="20"/>
                    </w:rPr>
                  </w:pPr>
                  <w:r w:rsidRPr="00157AC8">
                    <w:rPr>
                      <w:color w:val="000000"/>
                      <w:sz w:val="20"/>
                      <w:szCs w:val="20"/>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0FE54F4" w14:textId="77777777" w:rsidR="00157AC8" w:rsidRPr="00157AC8" w:rsidRDefault="00157AC8" w:rsidP="00157AC8">
                  <w:pPr>
                    <w:jc w:val="center"/>
                    <w:rPr>
                      <w:sz w:val="20"/>
                      <w:szCs w:val="20"/>
                    </w:rPr>
                  </w:pPr>
                  <w:r w:rsidRPr="00157AC8">
                    <w:rPr>
                      <w:sz w:val="20"/>
                      <w:szCs w:val="20"/>
                    </w:rPr>
                    <w:t xml:space="preserve">  2 100.00 </w:t>
                  </w:r>
                </w:p>
              </w:tc>
              <w:tc>
                <w:tcPr>
                  <w:tcW w:w="992" w:type="dxa"/>
                  <w:tcBorders>
                    <w:top w:val="nil"/>
                    <w:left w:val="nil"/>
                    <w:bottom w:val="single" w:sz="4" w:space="0" w:color="auto"/>
                    <w:right w:val="single" w:sz="4" w:space="0" w:color="auto"/>
                  </w:tcBorders>
                  <w:shd w:val="clear" w:color="000000" w:fill="FFFFFF"/>
                  <w:noWrap/>
                  <w:vAlign w:val="center"/>
                  <w:hideMark/>
                </w:tcPr>
                <w:p w14:paraId="180E0363" w14:textId="77777777" w:rsidR="00157AC8" w:rsidRPr="00157AC8" w:rsidRDefault="00157AC8" w:rsidP="00157AC8">
                  <w:pPr>
                    <w:jc w:val="center"/>
                    <w:rPr>
                      <w:sz w:val="20"/>
                      <w:szCs w:val="20"/>
                    </w:rPr>
                  </w:pPr>
                  <w:r w:rsidRPr="00157AC8">
                    <w:rPr>
                      <w:sz w:val="20"/>
                      <w:szCs w:val="20"/>
                    </w:rPr>
                    <w:t>-</w:t>
                  </w:r>
                </w:p>
              </w:tc>
              <w:tc>
                <w:tcPr>
                  <w:tcW w:w="1276" w:type="dxa"/>
                  <w:tcBorders>
                    <w:top w:val="nil"/>
                    <w:left w:val="nil"/>
                    <w:bottom w:val="single" w:sz="4" w:space="0" w:color="auto"/>
                    <w:right w:val="single" w:sz="8" w:space="0" w:color="auto"/>
                  </w:tcBorders>
                  <w:shd w:val="clear" w:color="auto" w:fill="auto"/>
                  <w:noWrap/>
                  <w:vAlign w:val="center"/>
                  <w:hideMark/>
                </w:tcPr>
                <w:p w14:paraId="6CA4B245" w14:textId="77777777" w:rsidR="00157AC8" w:rsidRPr="00157AC8" w:rsidRDefault="00157AC8" w:rsidP="00157AC8">
                  <w:pPr>
                    <w:jc w:val="center"/>
                    <w:rPr>
                      <w:sz w:val="20"/>
                      <w:szCs w:val="20"/>
                    </w:rPr>
                  </w:pPr>
                  <w:r w:rsidRPr="00157AC8">
                    <w:rPr>
                      <w:sz w:val="20"/>
                      <w:szCs w:val="20"/>
                    </w:rPr>
                    <w:t xml:space="preserve">      2 100.00 </w:t>
                  </w:r>
                </w:p>
              </w:tc>
            </w:tr>
            <w:tr w:rsidR="00157AC8" w:rsidRPr="00157AC8" w14:paraId="32B6DD00" w14:textId="77777777" w:rsidTr="00513F3B">
              <w:trPr>
                <w:trHeight w:val="347"/>
              </w:trPr>
              <w:tc>
                <w:tcPr>
                  <w:tcW w:w="472" w:type="dxa"/>
                  <w:tcBorders>
                    <w:top w:val="nil"/>
                    <w:left w:val="single" w:sz="8" w:space="0" w:color="auto"/>
                    <w:bottom w:val="single" w:sz="4" w:space="0" w:color="auto"/>
                    <w:right w:val="single" w:sz="4" w:space="0" w:color="auto"/>
                  </w:tcBorders>
                  <w:shd w:val="clear" w:color="000000" w:fill="FFFFFF"/>
                  <w:vAlign w:val="center"/>
                  <w:hideMark/>
                </w:tcPr>
                <w:p w14:paraId="1C4F6494" w14:textId="77777777" w:rsidR="00157AC8" w:rsidRPr="00157AC8" w:rsidRDefault="00157AC8" w:rsidP="00157AC8">
                  <w:pPr>
                    <w:jc w:val="center"/>
                    <w:rPr>
                      <w:color w:val="000000"/>
                      <w:sz w:val="20"/>
                      <w:szCs w:val="20"/>
                    </w:rPr>
                  </w:pPr>
                  <w:r w:rsidRPr="00157AC8">
                    <w:rPr>
                      <w:color w:val="000000"/>
                      <w:sz w:val="20"/>
                      <w:szCs w:val="20"/>
                    </w:rPr>
                    <w:t>2</w:t>
                  </w:r>
                </w:p>
              </w:tc>
              <w:tc>
                <w:tcPr>
                  <w:tcW w:w="2101" w:type="dxa"/>
                  <w:tcBorders>
                    <w:top w:val="nil"/>
                    <w:left w:val="nil"/>
                    <w:bottom w:val="single" w:sz="4" w:space="0" w:color="auto"/>
                    <w:right w:val="single" w:sz="4" w:space="0" w:color="auto"/>
                  </w:tcBorders>
                  <w:shd w:val="clear" w:color="000000" w:fill="FFFFFF"/>
                  <w:vAlign w:val="center"/>
                  <w:hideMark/>
                </w:tcPr>
                <w:p w14:paraId="2CD23611" w14:textId="77777777" w:rsidR="00157AC8" w:rsidRPr="00157AC8" w:rsidRDefault="00157AC8" w:rsidP="00157AC8">
                  <w:pPr>
                    <w:rPr>
                      <w:color w:val="000000"/>
                      <w:sz w:val="20"/>
                      <w:szCs w:val="20"/>
                    </w:rPr>
                  </w:pPr>
                  <w:r w:rsidRPr="00157AC8">
                    <w:rPr>
                      <w:color w:val="000000"/>
                      <w:sz w:val="20"/>
                      <w:szCs w:val="20"/>
                    </w:rPr>
                    <w:t>Elektroiekārtu piegāde un montāža - sadalnes (GS-1, SM-1, SM-2)</w:t>
                  </w:r>
                </w:p>
              </w:tc>
              <w:tc>
                <w:tcPr>
                  <w:tcW w:w="850" w:type="dxa"/>
                  <w:tcBorders>
                    <w:top w:val="nil"/>
                    <w:left w:val="nil"/>
                    <w:bottom w:val="single" w:sz="4" w:space="0" w:color="auto"/>
                    <w:right w:val="single" w:sz="4" w:space="0" w:color="auto"/>
                  </w:tcBorders>
                  <w:shd w:val="clear" w:color="000000" w:fill="FFFFFF"/>
                  <w:vAlign w:val="center"/>
                  <w:hideMark/>
                </w:tcPr>
                <w:p w14:paraId="1770FBC7" w14:textId="77777777" w:rsidR="00157AC8" w:rsidRPr="00157AC8" w:rsidRDefault="00157AC8" w:rsidP="00157AC8">
                  <w:pPr>
                    <w:jc w:val="center"/>
                    <w:rPr>
                      <w:color w:val="000000"/>
                      <w:sz w:val="20"/>
                      <w:szCs w:val="20"/>
                    </w:rPr>
                  </w:pPr>
                  <w:r w:rsidRPr="00157AC8">
                    <w:rPr>
                      <w:color w:val="000000"/>
                      <w:sz w:val="20"/>
                      <w:szCs w:val="20"/>
                    </w:rPr>
                    <w:t>kompl.</w:t>
                  </w:r>
                </w:p>
              </w:tc>
              <w:tc>
                <w:tcPr>
                  <w:tcW w:w="709" w:type="dxa"/>
                  <w:tcBorders>
                    <w:top w:val="nil"/>
                    <w:left w:val="nil"/>
                    <w:bottom w:val="single" w:sz="4" w:space="0" w:color="auto"/>
                    <w:right w:val="single" w:sz="4" w:space="0" w:color="auto"/>
                  </w:tcBorders>
                  <w:shd w:val="clear" w:color="000000" w:fill="FFFFFF"/>
                  <w:vAlign w:val="center"/>
                  <w:hideMark/>
                </w:tcPr>
                <w:p w14:paraId="6477AD59" w14:textId="77777777" w:rsidR="00157AC8" w:rsidRPr="00157AC8" w:rsidRDefault="00157AC8" w:rsidP="00157AC8">
                  <w:pPr>
                    <w:jc w:val="center"/>
                    <w:rPr>
                      <w:color w:val="000000"/>
                      <w:sz w:val="20"/>
                      <w:szCs w:val="20"/>
                    </w:rPr>
                  </w:pPr>
                  <w:r w:rsidRPr="00157AC8">
                    <w:rPr>
                      <w:color w:val="000000"/>
                      <w:sz w:val="20"/>
                      <w:szCs w:val="20"/>
                    </w:rPr>
                    <w:t>3.00</w:t>
                  </w:r>
                </w:p>
              </w:tc>
              <w:tc>
                <w:tcPr>
                  <w:tcW w:w="1134" w:type="dxa"/>
                  <w:tcBorders>
                    <w:top w:val="nil"/>
                    <w:left w:val="nil"/>
                    <w:bottom w:val="single" w:sz="4" w:space="0" w:color="auto"/>
                    <w:right w:val="single" w:sz="4" w:space="0" w:color="auto"/>
                  </w:tcBorders>
                  <w:shd w:val="clear" w:color="000000" w:fill="FFFFFF"/>
                  <w:noWrap/>
                  <w:vAlign w:val="center"/>
                  <w:hideMark/>
                </w:tcPr>
                <w:p w14:paraId="5E42280A" w14:textId="77777777" w:rsidR="00157AC8" w:rsidRPr="00157AC8" w:rsidRDefault="00157AC8" w:rsidP="00157AC8">
                  <w:pPr>
                    <w:jc w:val="center"/>
                    <w:rPr>
                      <w:sz w:val="20"/>
                      <w:szCs w:val="20"/>
                    </w:rPr>
                  </w:pPr>
                  <w:r w:rsidRPr="00157AC8">
                    <w:rPr>
                      <w:sz w:val="20"/>
                      <w:szCs w:val="20"/>
                    </w:rPr>
                    <w:t xml:space="preserve">  1 200.00 </w:t>
                  </w:r>
                </w:p>
              </w:tc>
              <w:tc>
                <w:tcPr>
                  <w:tcW w:w="992" w:type="dxa"/>
                  <w:tcBorders>
                    <w:top w:val="nil"/>
                    <w:left w:val="nil"/>
                    <w:bottom w:val="single" w:sz="4" w:space="0" w:color="auto"/>
                    <w:right w:val="single" w:sz="4" w:space="0" w:color="auto"/>
                  </w:tcBorders>
                  <w:shd w:val="clear" w:color="000000" w:fill="FFFFFF"/>
                  <w:noWrap/>
                  <w:vAlign w:val="center"/>
                  <w:hideMark/>
                </w:tcPr>
                <w:p w14:paraId="2B06F960" w14:textId="77777777" w:rsidR="00157AC8" w:rsidRPr="00157AC8" w:rsidRDefault="00157AC8" w:rsidP="00157AC8">
                  <w:pPr>
                    <w:jc w:val="center"/>
                    <w:rPr>
                      <w:sz w:val="20"/>
                      <w:szCs w:val="20"/>
                    </w:rPr>
                  </w:pPr>
                  <w:r w:rsidRPr="00157AC8">
                    <w:rPr>
                      <w:sz w:val="20"/>
                      <w:szCs w:val="20"/>
                    </w:rPr>
                    <w:t>1020.00</w:t>
                  </w:r>
                </w:p>
              </w:tc>
              <w:tc>
                <w:tcPr>
                  <w:tcW w:w="1276" w:type="dxa"/>
                  <w:tcBorders>
                    <w:top w:val="nil"/>
                    <w:left w:val="nil"/>
                    <w:bottom w:val="single" w:sz="4" w:space="0" w:color="auto"/>
                    <w:right w:val="single" w:sz="8" w:space="0" w:color="auto"/>
                  </w:tcBorders>
                  <w:shd w:val="clear" w:color="auto" w:fill="auto"/>
                  <w:noWrap/>
                  <w:vAlign w:val="center"/>
                  <w:hideMark/>
                </w:tcPr>
                <w:p w14:paraId="4599A760" w14:textId="77777777" w:rsidR="00157AC8" w:rsidRPr="00157AC8" w:rsidRDefault="00157AC8" w:rsidP="00157AC8">
                  <w:pPr>
                    <w:jc w:val="center"/>
                    <w:rPr>
                      <w:sz w:val="20"/>
                      <w:szCs w:val="20"/>
                    </w:rPr>
                  </w:pPr>
                  <w:r w:rsidRPr="00157AC8">
                    <w:rPr>
                      <w:sz w:val="20"/>
                      <w:szCs w:val="20"/>
                    </w:rPr>
                    <w:t xml:space="preserve">      2 220.00 </w:t>
                  </w:r>
                </w:p>
              </w:tc>
            </w:tr>
            <w:tr w:rsidR="00157AC8" w:rsidRPr="00157AC8" w14:paraId="424F896D" w14:textId="77777777" w:rsidTr="00513F3B">
              <w:trPr>
                <w:trHeight w:val="347"/>
              </w:trPr>
              <w:tc>
                <w:tcPr>
                  <w:tcW w:w="472" w:type="dxa"/>
                  <w:tcBorders>
                    <w:top w:val="nil"/>
                    <w:left w:val="single" w:sz="8" w:space="0" w:color="auto"/>
                    <w:bottom w:val="single" w:sz="4" w:space="0" w:color="auto"/>
                    <w:right w:val="single" w:sz="4" w:space="0" w:color="auto"/>
                  </w:tcBorders>
                  <w:shd w:val="clear" w:color="000000" w:fill="FFFFFF"/>
                  <w:vAlign w:val="center"/>
                  <w:hideMark/>
                </w:tcPr>
                <w:p w14:paraId="2C491BA6" w14:textId="77777777" w:rsidR="00157AC8" w:rsidRPr="00157AC8" w:rsidRDefault="00157AC8" w:rsidP="00157AC8">
                  <w:pPr>
                    <w:jc w:val="center"/>
                    <w:rPr>
                      <w:color w:val="000000"/>
                      <w:sz w:val="20"/>
                      <w:szCs w:val="20"/>
                    </w:rPr>
                  </w:pPr>
                  <w:r w:rsidRPr="00157AC8">
                    <w:rPr>
                      <w:color w:val="000000"/>
                      <w:sz w:val="20"/>
                      <w:szCs w:val="20"/>
                    </w:rPr>
                    <w:t>3</w:t>
                  </w:r>
                </w:p>
              </w:tc>
              <w:tc>
                <w:tcPr>
                  <w:tcW w:w="2101" w:type="dxa"/>
                  <w:tcBorders>
                    <w:top w:val="nil"/>
                    <w:left w:val="nil"/>
                    <w:bottom w:val="single" w:sz="4" w:space="0" w:color="auto"/>
                    <w:right w:val="single" w:sz="4" w:space="0" w:color="auto"/>
                  </w:tcBorders>
                  <w:shd w:val="clear" w:color="000000" w:fill="FFFFFF"/>
                  <w:vAlign w:val="center"/>
                  <w:hideMark/>
                </w:tcPr>
                <w:p w14:paraId="0BB67032" w14:textId="77777777" w:rsidR="00157AC8" w:rsidRPr="00157AC8" w:rsidRDefault="00157AC8" w:rsidP="00157AC8">
                  <w:pPr>
                    <w:rPr>
                      <w:color w:val="000000"/>
                      <w:sz w:val="20"/>
                      <w:szCs w:val="20"/>
                    </w:rPr>
                  </w:pPr>
                  <w:r w:rsidRPr="00157AC8">
                    <w:rPr>
                      <w:color w:val="000000"/>
                      <w:sz w:val="20"/>
                      <w:szCs w:val="20"/>
                    </w:rPr>
                    <w:t>Kabeļu montāža (NYY-J 5*16mm2,  NYY-J 5*25mm2) pagrabā un stāvvadi</w:t>
                  </w:r>
                </w:p>
              </w:tc>
              <w:tc>
                <w:tcPr>
                  <w:tcW w:w="850" w:type="dxa"/>
                  <w:tcBorders>
                    <w:top w:val="nil"/>
                    <w:left w:val="nil"/>
                    <w:bottom w:val="single" w:sz="4" w:space="0" w:color="auto"/>
                    <w:right w:val="single" w:sz="4" w:space="0" w:color="auto"/>
                  </w:tcBorders>
                  <w:shd w:val="clear" w:color="000000" w:fill="FFFFFF"/>
                  <w:vAlign w:val="center"/>
                  <w:hideMark/>
                </w:tcPr>
                <w:p w14:paraId="70FAED2D" w14:textId="77777777" w:rsidR="00157AC8" w:rsidRPr="00157AC8" w:rsidRDefault="00157AC8" w:rsidP="00157AC8">
                  <w:pPr>
                    <w:jc w:val="center"/>
                    <w:rPr>
                      <w:color w:val="000000"/>
                      <w:sz w:val="20"/>
                      <w:szCs w:val="20"/>
                    </w:rPr>
                  </w:pPr>
                  <w:r w:rsidRPr="00157AC8">
                    <w:rPr>
                      <w:color w:val="000000"/>
                      <w:sz w:val="20"/>
                      <w:szCs w:val="20"/>
                    </w:rPr>
                    <w:t>kompl.</w:t>
                  </w:r>
                </w:p>
              </w:tc>
              <w:tc>
                <w:tcPr>
                  <w:tcW w:w="709" w:type="dxa"/>
                  <w:tcBorders>
                    <w:top w:val="nil"/>
                    <w:left w:val="nil"/>
                    <w:bottom w:val="single" w:sz="4" w:space="0" w:color="auto"/>
                    <w:right w:val="single" w:sz="4" w:space="0" w:color="auto"/>
                  </w:tcBorders>
                  <w:shd w:val="clear" w:color="000000" w:fill="FFFFFF"/>
                  <w:vAlign w:val="center"/>
                  <w:hideMark/>
                </w:tcPr>
                <w:p w14:paraId="6569CE55" w14:textId="77777777" w:rsidR="00157AC8" w:rsidRPr="00157AC8" w:rsidRDefault="00157AC8" w:rsidP="00157AC8">
                  <w:pPr>
                    <w:jc w:val="center"/>
                    <w:rPr>
                      <w:color w:val="000000"/>
                      <w:sz w:val="20"/>
                      <w:szCs w:val="20"/>
                    </w:rPr>
                  </w:pPr>
                  <w:r w:rsidRPr="00157AC8">
                    <w:rPr>
                      <w:color w:val="000000"/>
                      <w:sz w:val="20"/>
                      <w:szCs w:val="20"/>
                    </w:rPr>
                    <w:t>3.00</w:t>
                  </w:r>
                </w:p>
              </w:tc>
              <w:tc>
                <w:tcPr>
                  <w:tcW w:w="1134" w:type="dxa"/>
                  <w:tcBorders>
                    <w:top w:val="nil"/>
                    <w:left w:val="nil"/>
                    <w:bottom w:val="single" w:sz="4" w:space="0" w:color="auto"/>
                    <w:right w:val="single" w:sz="4" w:space="0" w:color="auto"/>
                  </w:tcBorders>
                  <w:shd w:val="clear" w:color="000000" w:fill="FFFFFF"/>
                  <w:noWrap/>
                  <w:vAlign w:val="center"/>
                  <w:hideMark/>
                </w:tcPr>
                <w:p w14:paraId="271D7DCE" w14:textId="77777777" w:rsidR="00157AC8" w:rsidRPr="00157AC8" w:rsidRDefault="00157AC8" w:rsidP="00157AC8">
                  <w:pPr>
                    <w:jc w:val="center"/>
                    <w:rPr>
                      <w:sz w:val="20"/>
                      <w:szCs w:val="20"/>
                    </w:rPr>
                  </w:pPr>
                  <w:r w:rsidRPr="00157AC8">
                    <w:rPr>
                      <w:sz w:val="20"/>
                      <w:szCs w:val="20"/>
                    </w:rPr>
                    <w:t xml:space="preserve">  3 200.00 </w:t>
                  </w:r>
                </w:p>
              </w:tc>
              <w:tc>
                <w:tcPr>
                  <w:tcW w:w="992" w:type="dxa"/>
                  <w:tcBorders>
                    <w:top w:val="nil"/>
                    <w:left w:val="nil"/>
                    <w:bottom w:val="single" w:sz="4" w:space="0" w:color="auto"/>
                    <w:right w:val="single" w:sz="4" w:space="0" w:color="auto"/>
                  </w:tcBorders>
                  <w:shd w:val="clear" w:color="000000" w:fill="FFFFFF"/>
                  <w:noWrap/>
                  <w:vAlign w:val="center"/>
                  <w:hideMark/>
                </w:tcPr>
                <w:p w14:paraId="31700308" w14:textId="77777777" w:rsidR="00157AC8" w:rsidRPr="00157AC8" w:rsidRDefault="00157AC8" w:rsidP="00157AC8">
                  <w:pPr>
                    <w:jc w:val="center"/>
                    <w:rPr>
                      <w:sz w:val="20"/>
                      <w:szCs w:val="20"/>
                    </w:rPr>
                  </w:pPr>
                  <w:r w:rsidRPr="00157AC8">
                    <w:rPr>
                      <w:sz w:val="20"/>
                      <w:szCs w:val="20"/>
                    </w:rPr>
                    <w:t>2500.00</w:t>
                  </w:r>
                </w:p>
              </w:tc>
              <w:tc>
                <w:tcPr>
                  <w:tcW w:w="1276" w:type="dxa"/>
                  <w:tcBorders>
                    <w:top w:val="nil"/>
                    <w:left w:val="nil"/>
                    <w:bottom w:val="single" w:sz="4" w:space="0" w:color="auto"/>
                    <w:right w:val="single" w:sz="8" w:space="0" w:color="auto"/>
                  </w:tcBorders>
                  <w:shd w:val="clear" w:color="auto" w:fill="auto"/>
                  <w:noWrap/>
                  <w:vAlign w:val="center"/>
                  <w:hideMark/>
                </w:tcPr>
                <w:p w14:paraId="3131106A" w14:textId="77777777" w:rsidR="00157AC8" w:rsidRPr="00157AC8" w:rsidRDefault="00157AC8" w:rsidP="00157AC8">
                  <w:pPr>
                    <w:jc w:val="center"/>
                    <w:rPr>
                      <w:sz w:val="20"/>
                      <w:szCs w:val="20"/>
                    </w:rPr>
                  </w:pPr>
                  <w:r w:rsidRPr="00157AC8">
                    <w:rPr>
                      <w:sz w:val="20"/>
                      <w:szCs w:val="20"/>
                    </w:rPr>
                    <w:t xml:space="preserve">      5 700.00 </w:t>
                  </w:r>
                </w:p>
              </w:tc>
            </w:tr>
            <w:tr w:rsidR="00157AC8" w:rsidRPr="00157AC8" w14:paraId="14E8A522" w14:textId="77777777" w:rsidTr="00513F3B">
              <w:trPr>
                <w:trHeight w:val="347"/>
              </w:trPr>
              <w:tc>
                <w:tcPr>
                  <w:tcW w:w="472" w:type="dxa"/>
                  <w:tcBorders>
                    <w:top w:val="nil"/>
                    <w:left w:val="single" w:sz="8" w:space="0" w:color="auto"/>
                    <w:bottom w:val="single" w:sz="4" w:space="0" w:color="auto"/>
                    <w:right w:val="single" w:sz="4" w:space="0" w:color="auto"/>
                  </w:tcBorders>
                  <w:shd w:val="clear" w:color="000000" w:fill="FFFFFF"/>
                  <w:vAlign w:val="center"/>
                  <w:hideMark/>
                </w:tcPr>
                <w:p w14:paraId="0057E90D" w14:textId="77777777" w:rsidR="00157AC8" w:rsidRPr="00157AC8" w:rsidRDefault="00157AC8" w:rsidP="00157AC8">
                  <w:pPr>
                    <w:jc w:val="center"/>
                    <w:rPr>
                      <w:color w:val="000000"/>
                      <w:sz w:val="20"/>
                      <w:szCs w:val="20"/>
                    </w:rPr>
                  </w:pPr>
                  <w:r w:rsidRPr="00157AC8">
                    <w:rPr>
                      <w:color w:val="000000"/>
                      <w:sz w:val="20"/>
                      <w:szCs w:val="20"/>
                    </w:rPr>
                    <w:t>4</w:t>
                  </w:r>
                </w:p>
              </w:tc>
              <w:tc>
                <w:tcPr>
                  <w:tcW w:w="2101" w:type="dxa"/>
                  <w:tcBorders>
                    <w:top w:val="nil"/>
                    <w:left w:val="nil"/>
                    <w:bottom w:val="single" w:sz="4" w:space="0" w:color="auto"/>
                    <w:right w:val="single" w:sz="4" w:space="0" w:color="auto"/>
                  </w:tcBorders>
                  <w:shd w:val="clear" w:color="000000" w:fill="FFFFFF"/>
                  <w:vAlign w:val="center"/>
                  <w:hideMark/>
                </w:tcPr>
                <w:p w14:paraId="47945204" w14:textId="77777777" w:rsidR="00157AC8" w:rsidRPr="00157AC8" w:rsidRDefault="00157AC8" w:rsidP="00157AC8">
                  <w:pPr>
                    <w:rPr>
                      <w:color w:val="000000"/>
                      <w:sz w:val="20"/>
                      <w:szCs w:val="20"/>
                    </w:rPr>
                  </w:pPr>
                  <w:r w:rsidRPr="00157AC8">
                    <w:rPr>
                      <w:color w:val="000000"/>
                      <w:sz w:val="20"/>
                      <w:szCs w:val="20"/>
                    </w:rPr>
                    <w:t>Būvdarbi pēc elektromontāžas (rievu aizdare, pelēkā apdare)</w:t>
                  </w:r>
                </w:p>
              </w:tc>
              <w:tc>
                <w:tcPr>
                  <w:tcW w:w="850" w:type="dxa"/>
                  <w:tcBorders>
                    <w:top w:val="nil"/>
                    <w:left w:val="nil"/>
                    <w:bottom w:val="single" w:sz="4" w:space="0" w:color="auto"/>
                    <w:right w:val="single" w:sz="4" w:space="0" w:color="auto"/>
                  </w:tcBorders>
                  <w:shd w:val="clear" w:color="000000" w:fill="FFFFFF"/>
                  <w:vAlign w:val="center"/>
                  <w:hideMark/>
                </w:tcPr>
                <w:p w14:paraId="201B496F" w14:textId="77777777" w:rsidR="00157AC8" w:rsidRPr="00157AC8" w:rsidRDefault="00157AC8" w:rsidP="00157AC8">
                  <w:pPr>
                    <w:jc w:val="center"/>
                    <w:rPr>
                      <w:color w:val="000000"/>
                      <w:sz w:val="20"/>
                      <w:szCs w:val="20"/>
                    </w:rPr>
                  </w:pPr>
                  <w:r w:rsidRPr="00157AC8">
                    <w:rPr>
                      <w:color w:val="000000"/>
                      <w:sz w:val="20"/>
                      <w:szCs w:val="20"/>
                    </w:rPr>
                    <w:t>kompl.</w:t>
                  </w:r>
                </w:p>
              </w:tc>
              <w:tc>
                <w:tcPr>
                  <w:tcW w:w="709" w:type="dxa"/>
                  <w:tcBorders>
                    <w:top w:val="nil"/>
                    <w:left w:val="nil"/>
                    <w:bottom w:val="single" w:sz="4" w:space="0" w:color="auto"/>
                    <w:right w:val="single" w:sz="4" w:space="0" w:color="auto"/>
                  </w:tcBorders>
                  <w:shd w:val="clear" w:color="000000" w:fill="FFFFFF"/>
                  <w:vAlign w:val="center"/>
                  <w:hideMark/>
                </w:tcPr>
                <w:p w14:paraId="51DCF15A" w14:textId="77777777" w:rsidR="00157AC8" w:rsidRPr="00157AC8" w:rsidRDefault="00157AC8" w:rsidP="00157AC8">
                  <w:pPr>
                    <w:jc w:val="center"/>
                    <w:rPr>
                      <w:color w:val="000000"/>
                      <w:sz w:val="20"/>
                      <w:szCs w:val="20"/>
                    </w:rPr>
                  </w:pPr>
                  <w:r w:rsidRPr="00157AC8">
                    <w:rPr>
                      <w:color w:val="000000"/>
                      <w:sz w:val="20"/>
                      <w:szCs w:val="20"/>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423F538" w14:textId="77777777" w:rsidR="00157AC8" w:rsidRPr="00157AC8" w:rsidRDefault="00157AC8" w:rsidP="00157AC8">
                  <w:pPr>
                    <w:jc w:val="center"/>
                    <w:rPr>
                      <w:sz w:val="20"/>
                      <w:szCs w:val="20"/>
                    </w:rPr>
                  </w:pPr>
                  <w:r w:rsidRPr="00157AC8">
                    <w:rPr>
                      <w:sz w:val="20"/>
                      <w:szCs w:val="20"/>
                    </w:rPr>
                    <w:t xml:space="preserve">  2 200.00 </w:t>
                  </w:r>
                </w:p>
              </w:tc>
              <w:tc>
                <w:tcPr>
                  <w:tcW w:w="992" w:type="dxa"/>
                  <w:tcBorders>
                    <w:top w:val="nil"/>
                    <w:left w:val="nil"/>
                    <w:bottom w:val="single" w:sz="4" w:space="0" w:color="auto"/>
                    <w:right w:val="single" w:sz="4" w:space="0" w:color="auto"/>
                  </w:tcBorders>
                  <w:shd w:val="clear" w:color="000000" w:fill="FFFFFF"/>
                  <w:noWrap/>
                  <w:vAlign w:val="center"/>
                  <w:hideMark/>
                </w:tcPr>
                <w:p w14:paraId="128331EC" w14:textId="77777777" w:rsidR="00157AC8" w:rsidRPr="00157AC8" w:rsidRDefault="00157AC8" w:rsidP="00157AC8">
                  <w:pPr>
                    <w:jc w:val="center"/>
                    <w:rPr>
                      <w:sz w:val="20"/>
                      <w:szCs w:val="20"/>
                    </w:rPr>
                  </w:pPr>
                  <w:r w:rsidRPr="00157AC8">
                    <w:rPr>
                      <w:sz w:val="20"/>
                      <w:szCs w:val="20"/>
                    </w:rPr>
                    <w:t>1400.00</w:t>
                  </w:r>
                </w:p>
              </w:tc>
              <w:tc>
                <w:tcPr>
                  <w:tcW w:w="1276" w:type="dxa"/>
                  <w:tcBorders>
                    <w:top w:val="nil"/>
                    <w:left w:val="nil"/>
                    <w:bottom w:val="single" w:sz="4" w:space="0" w:color="auto"/>
                    <w:right w:val="single" w:sz="8" w:space="0" w:color="auto"/>
                  </w:tcBorders>
                  <w:shd w:val="clear" w:color="auto" w:fill="auto"/>
                  <w:noWrap/>
                  <w:vAlign w:val="center"/>
                  <w:hideMark/>
                </w:tcPr>
                <w:p w14:paraId="4E1EF6A3" w14:textId="77777777" w:rsidR="00157AC8" w:rsidRPr="00157AC8" w:rsidRDefault="00157AC8" w:rsidP="00157AC8">
                  <w:pPr>
                    <w:jc w:val="center"/>
                    <w:rPr>
                      <w:sz w:val="20"/>
                      <w:szCs w:val="20"/>
                    </w:rPr>
                  </w:pPr>
                  <w:r w:rsidRPr="00157AC8">
                    <w:rPr>
                      <w:sz w:val="20"/>
                      <w:szCs w:val="20"/>
                    </w:rPr>
                    <w:t xml:space="preserve">      3 600.00 </w:t>
                  </w:r>
                </w:p>
              </w:tc>
            </w:tr>
            <w:tr w:rsidR="00157AC8" w:rsidRPr="00157AC8" w14:paraId="0BD94808" w14:textId="77777777" w:rsidTr="00513F3B">
              <w:trPr>
                <w:trHeight w:val="380"/>
              </w:trPr>
              <w:tc>
                <w:tcPr>
                  <w:tcW w:w="472" w:type="dxa"/>
                  <w:tcBorders>
                    <w:top w:val="nil"/>
                    <w:left w:val="single" w:sz="8" w:space="0" w:color="auto"/>
                    <w:bottom w:val="single" w:sz="8" w:space="0" w:color="auto"/>
                    <w:right w:val="single" w:sz="4" w:space="0" w:color="auto"/>
                  </w:tcBorders>
                  <w:shd w:val="clear" w:color="000000" w:fill="FFFFFF"/>
                  <w:vAlign w:val="center"/>
                  <w:hideMark/>
                </w:tcPr>
                <w:p w14:paraId="3C13BBA1" w14:textId="77777777" w:rsidR="00157AC8" w:rsidRPr="00157AC8" w:rsidRDefault="00157AC8" w:rsidP="00157AC8">
                  <w:pPr>
                    <w:jc w:val="center"/>
                    <w:rPr>
                      <w:color w:val="000000"/>
                      <w:sz w:val="20"/>
                      <w:szCs w:val="20"/>
                    </w:rPr>
                  </w:pPr>
                  <w:r w:rsidRPr="00157AC8">
                    <w:rPr>
                      <w:color w:val="000000"/>
                      <w:sz w:val="20"/>
                      <w:szCs w:val="20"/>
                    </w:rPr>
                    <w:t>5</w:t>
                  </w:r>
                </w:p>
              </w:tc>
              <w:tc>
                <w:tcPr>
                  <w:tcW w:w="2101" w:type="dxa"/>
                  <w:tcBorders>
                    <w:top w:val="nil"/>
                    <w:left w:val="nil"/>
                    <w:bottom w:val="single" w:sz="8" w:space="0" w:color="auto"/>
                    <w:right w:val="single" w:sz="4" w:space="0" w:color="auto"/>
                  </w:tcBorders>
                  <w:shd w:val="clear" w:color="000000" w:fill="FFFFFF"/>
                  <w:vAlign w:val="center"/>
                  <w:hideMark/>
                </w:tcPr>
                <w:p w14:paraId="5C11E4C1" w14:textId="77777777" w:rsidR="00157AC8" w:rsidRPr="00157AC8" w:rsidRDefault="00157AC8" w:rsidP="00157AC8">
                  <w:pPr>
                    <w:rPr>
                      <w:color w:val="000000"/>
                      <w:sz w:val="20"/>
                      <w:szCs w:val="20"/>
                    </w:rPr>
                  </w:pPr>
                  <w:r w:rsidRPr="00157AC8">
                    <w:rPr>
                      <w:color w:val="000000"/>
                      <w:sz w:val="20"/>
                      <w:szCs w:val="20"/>
                    </w:rPr>
                    <w:t>Elektromērījumi un izpildokumentācija (veiktajiem darbiem)</w:t>
                  </w:r>
                </w:p>
              </w:tc>
              <w:tc>
                <w:tcPr>
                  <w:tcW w:w="850" w:type="dxa"/>
                  <w:tcBorders>
                    <w:top w:val="nil"/>
                    <w:left w:val="nil"/>
                    <w:bottom w:val="single" w:sz="8" w:space="0" w:color="auto"/>
                    <w:right w:val="single" w:sz="4" w:space="0" w:color="auto"/>
                  </w:tcBorders>
                  <w:shd w:val="clear" w:color="000000" w:fill="FFFFFF"/>
                  <w:vAlign w:val="center"/>
                  <w:hideMark/>
                </w:tcPr>
                <w:p w14:paraId="3581B514" w14:textId="77777777" w:rsidR="00157AC8" w:rsidRPr="00157AC8" w:rsidRDefault="00157AC8" w:rsidP="00157AC8">
                  <w:pPr>
                    <w:jc w:val="center"/>
                    <w:rPr>
                      <w:color w:val="000000"/>
                      <w:sz w:val="20"/>
                      <w:szCs w:val="20"/>
                    </w:rPr>
                  </w:pPr>
                  <w:r w:rsidRPr="00157AC8">
                    <w:rPr>
                      <w:color w:val="000000"/>
                      <w:sz w:val="20"/>
                      <w:szCs w:val="20"/>
                    </w:rPr>
                    <w:t>kompl.</w:t>
                  </w:r>
                </w:p>
              </w:tc>
              <w:tc>
                <w:tcPr>
                  <w:tcW w:w="709" w:type="dxa"/>
                  <w:tcBorders>
                    <w:top w:val="nil"/>
                    <w:left w:val="nil"/>
                    <w:bottom w:val="single" w:sz="8" w:space="0" w:color="auto"/>
                    <w:right w:val="single" w:sz="4" w:space="0" w:color="auto"/>
                  </w:tcBorders>
                  <w:shd w:val="clear" w:color="000000" w:fill="FFFFFF"/>
                  <w:vAlign w:val="center"/>
                  <w:hideMark/>
                </w:tcPr>
                <w:p w14:paraId="4C0C887F" w14:textId="77777777" w:rsidR="00157AC8" w:rsidRPr="00157AC8" w:rsidRDefault="00157AC8" w:rsidP="00157AC8">
                  <w:pPr>
                    <w:jc w:val="center"/>
                    <w:rPr>
                      <w:color w:val="000000"/>
                      <w:sz w:val="20"/>
                      <w:szCs w:val="20"/>
                    </w:rPr>
                  </w:pPr>
                  <w:r w:rsidRPr="00157AC8">
                    <w:rPr>
                      <w:color w:val="000000"/>
                      <w:sz w:val="20"/>
                      <w:szCs w:val="20"/>
                    </w:rPr>
                    <w:t>1.00</w:t>
                  </w:r>
                </w:p>
              </w:tc>
              <w:tc>
                <w:tcPr>
                  <w:tcW w:w="1134" w:type="dxa"/>
                  <w:tcBorders>
                    <w:top w:val="nil"/>
                    <w:left w:val="nil"/>
                    <w:bottom w:val="single" w:sz="8" w:space="0" w:color="auto"/>
                    <w:right w:val="single" w:sz="4" w:space="0" w:color="auto"/>
                  </w:tcBorders>
                  <w:shd w:val="clear" w:color="000000" w:fill="FFFFFF"/>
                  <w:noWrap/>
                  <w:vAlign w:val="center"/>
                  <w:hideMark/>
                </w:tcPr>
                <w:p w14:paraId="17DD4DE0" w14:textId="77777777" w:rsidR="00157AC8" w:rsidRPr="00157AC8" w:rsidRDefault="00157AC8" w:rsidP="00157AC8">
                  <w:pPr>
                    <w:jc w:val="center"/>
                    <w:rPr>
                      <w:sz w:val="20"/>
                      <w:szCs w:val="20"/>
                    </w:rPr>
                  </w:pPr>
                  <w:r w:rsidRPr="00157AC8">
                    <w:rPr>
                      <w:sz w:val="20"/>
                      <w:szCs w:val="20"/>
                    </w:rPr>
                    <w:t xml:space="preserve">     500.00 </w:t>
                  </w:r>
                </w:p>
              </w:tc>
              <w:tc>
                <w:tcPr>
                  <w:tcW w:w="992" w:type="dxa"/>
                  <w:tcBorders>
                    <w:top w:val="nil"/>
                    <w:left w:val="nil"/>
                    <w:bottom w:val="single" w:sz="8" w:space="0" w:color="auto"/>
                    <w:right w:val="single" w:sz="4" w:space="0" w:color="auto"/>
                  </w:tcBorders>
                  <w:shd w:val="clear" w:color="000000" w:fill="FFFFFF"/>
                  <w:noWrap/>
                  <w:vAlign w:val="center"/>
                  <w:hideMark/>
                </w:tcPr>
                <w:p w14:paraId="200146C5" w14:textId="77777777" w:rsidR="00157AC8" w:rsidRPr="00157AC8" w:rsidRDefault="00157AC8" w:rsidP="00157AC8">
                  <w:pPr>
                    <w:jc w:val="center"/>
                    <w:rPr>
                      <w:sz w:val="20"/>
                      <w:szCs w:val="20"/>
                    </w:rPr>
                  </w:pPr>
                  <w:r w:rsidRPr="00157AC8">
                    <w:rPr>
                      <w:sz w:val="20"/>
                      <w:szCs w:val="20"/>
                    </w:rPr>
                    <w:t>-</w:t>
                  </w:r>
                </w:p>
              </w:tc>
              <w:tc>
                <w:tcPr>
                  <w:tcW w:w="1276" w:type="dxa"/>
                  <w:tcBorders>
                    <w:top w:val="nil"/>
                    <w:left w:val="nil"/>
                    <w:bottom w:val="single" w:sz="8" w:space="0" w:color="auto"/>
                    <w:right w:val="single" w:sz="8" w:space="0" w:color="auto"/>
                  </w:tcBorders>
                  <w:shd w:val="clear" w:color="auto" w:fill="auto"/>
                  <w:noWrap/>
                  <w:vAlign w:val="center"/>
                  <w:hideMark/>
                </w:tcPr>
                <w:p w14:paraId="6C04B67A" w14:textId="77777777" w:rsidR="00157AC8" w:rsidRPr="00157AC8" w:rsidRDefault="00157AC8" w:rsidP="00157AC8">
                  <w:pPr>
                    <w:jc w:val="center"/>
                    <w:rPr>
                      <w:sz w:val="20"/>
                      <w:szCs w:val="20"/>
                    </w:rPr>
                  </w:pPr>
                  <w:r w:rsidRPr="00157AC8">
                    <w:rPr>
                      <w:sz w:val="20"/>
                      <w:szCs w:val="20"/>
                    </w:rPr>
                    <w:t xml:space="preserve">         500.00 </w:t>
                  </w:r>
                </w:p>
              </w:tc>
            </w:tr>
            <w:tr w:rsidR="00157AC8" w:rsidRPr="00157AC8" w14:paraId="7D171E8D" w14:textId="77777777" w:rsidTr="00513F3B">
              <w:trPr>
                <w:trHeight w:val="206"/>
              </w:trPr>
              <w:tc>
                <w:tcPr>
                  <w:tcW w:w="472" w:type="dxa"/>
                  <w:tcBorders>
                    <w:top w:val="nil"/>
                    <w:left w:val="nil"/>
                    <w:bottom w:val="nil"/>
                    <w:right w:val="nil"/>
                  </w:tcBorders>
                  <w:shd w:val="clear" w:color="auto" w:fill="auto"/>
                  <w:vAlign w:val="center"/>
                  <w:hideMark/>
                </w:tcPr>
                <w:p w14:paraId="29AD08FD" w14:textId="77777777" w:rsidR="00157AC8" w:rsidRPr="00157AC8" w:rsidRDefault="00157AC8" w:rsidP="00157AC8">
                  <w:pPr>
                    <w:jc w:val="center"/>
                    <w:rPr>
                      <w:sz w:val="20"/>
                      <w:szCs w:val="20"/>
                    </w:rPr>
                  </w:pPr>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6E3EA095" w14:textId="77777777" w:rsidR="00157AC8" w:rsidRPr="00157AC8" w:rsidRDefault="00157AC8" w:rsidP="00157AC8">
                  <w:pPr>
                    <w:jc w:val="right"/>
                    <w:rPr>
                      <w:sz w:val="20"/>
                      <w:szCs w:val="20"/>
                    </w:rPr>
                  </w:pPr>
                  <w:r w:rsidRPr="00157AC8">
                    <w:rPr>
                      <w:sz w:val="20"/>
                      <w:szCs w:val="20"/>
                    </w:rPr>
                    <w:t>Kopā provizoriskās izmaksas:</w:t>
                  </w:r>
                </w:p>
              </w:tc>
              <w:tc>
                <w:tcPr>
                  <w:tcW w:w="850" w:type="dxa"/>
                  <w:tcBorders>
                    <w:top w:val="nil"/>
                    <w:left w:val="nil"/>
                    <w:bottom w:val="single" w:sz="4" w:space="0" w:color="auto"/>
                    <w:right w:val="single" w:sz="4" w:space="0" w:color="auto"/>
                  </w:tcBorders>
                  <w:shd w:val="clear" w:color="auto" w:fill="auto"/>
                  <w:noWrap/>
                  <w:vAlign w:val="bottom"/>
                  <w:hideMark/>
                </w:tcPr>
                <w:p w14:paraId="73A369B0" w14:textId="77777777" w:rsidR="00157AC8" w:rsidRPr="00157AC8" w:rsidRDefault="00157AC8" w:rsidP="00157AC8">
                  <w:pPr>
                    <w:rPr>
                      <w:sz w:val="20"/>
                      <w:szCs w:val="20"/>
                    </w:rPr>
                  </w:pPr>
                  <w:r w:rsidRPr="00157AC8">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F1A84FD" w14:textId="77777777" w:rsidR="00157AC8" w:rsidRPr="00157AC8" w:rsidRDefault="00157AC8" w:rsidP="00157AC8">
                  <w:pPr>
                    <w:rPr>
                      <w:sz w:val="20"/>
                      <w:szCs w:val="20"/>
                    </w:rPr>
                  </w:pPr>
                  <w:r w:rsidRPr="00157AC8">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6CC816" w14:textId="77777777" w:rsidR="00157AC8" w:rsidRPr="00157AC8" w:rsidRDefault="00157AC8" w:rsidP="00157AC8">
                  <w:pPr>
                    <w:jc w:val="center"/>
                    <w:rPr>
                      <w:sz w:val="20"/>
                      <w:szCs w:val="20"/>
                    </w:rPr>
                  </w:pPr>
                  <w:r w:rsidRPr="00157AC8">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344B63B" w14:textId="77777777" w:rsidR="00157AC8" w:rsidRPr="00157AC8" w:rsidRDefault="00157AC8" w:rsidP="00157AC8">
                  <w:pPr>
                    <w:rPr>
                      <w:sz w:val="20"/>
                      <w:szCs w:val="20"/>
                    </w:rPr>
                  </w:pPr>
                  <w:r w:rsidRPr="00157AC8">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14:paraId="3E0FBECA" w14:textId="77777777" w:rsidR="00157AC8" w:rsidRPr="00157AC8" w:rsidRDefault="00157AC8" w:rsidP="00157AC8">
                  <w:pPr>
                    <w:jc w:val="right"/>
                    <w:rPr>
                      <w:sz w:val="20"/>
                      <w:szCs w:val="20"/>
                    </w:rPr>
                  </w:pPr>
                  <w:r w:rsidRPr="00157AC8">
                    <w:rPr>
                      <w:sz w:val="20"/>
                      <w:szCs w:val="20"/>
                    </w:rPr>
                    <w:t>14120.00</w:t>
                  </w:r>
                </w:p>
              </w:tc>
            </w:tr>
            <w:tr w:rsidR="00157AC8" w:rsidRPr="00157AC8" w14:paraId="44016453" w14:textId="77777777" w:rsidTr="00513F3B">
              <w:trPr>
                <w:trHeight w:val="206"/>
              </w:trPr>
              <w:tc>
                <w:tcPr>
                  <w:tcW w:w="472" w:type="dxa"/>
                  <w:tcBorders>
                    <w:top w:val="nil"/>
                    <w:left w:val="nil"/>
                    <w:bottom w:val="nil"/>
                    <w:right w:val="nil"/>
                  </w:tcBorders>
                  <w:shd w:val="clear" w:color="auto" w:fill="auto"/>
                  <w:vAlign w:val="center"/>
                  <w:hideMark/>
                </w:tcPr>
                <w:p w14:paraId="7AFBF8E3" w14:textId="77777777" w:rsidR="00157AC8" w:rsidRPr="00157AC8" w:rsidRDefault="00157AC8" w:rsidP="00157AC8">
                  <w:pPr>
                    <w:jc w:val="right"/>
                    <w:rPr>
                      <w:sz w:val="20"/>
                      <w:szCs w:val="20"/>
                    </w:rPr>
                  </w:pPr>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2F880B6F" w14:textId="77777777" w:rsidR="00157AC8" w:rsidRPr="00157AC8" w:rsidRDefault="00157AC8" w:rsidP="00157AC8">
                  <w:pPr>
                    <w:jc w:val="right"/>
                    <w:rPr>
                      <w:sz w:val="20"/>
                      <w:szCs w:val="20"/>
                    </w:rPr>
                  </w:pPr>
                  <w:r w:rsidRPr="00157AC8">
                    <w:rPr>
                      <w:sz w:val="20"/>
                      <w:szCs w:val="20"/>
                    </w:rPr>
                    <w:t>Projektu vadības administratīvās izmaksas ( 71.21 EUR/h):</w:t>
                  </w:r>
                </w:p>
              </w:tc>
              <w:tc>
                <w:tcPr>
                  <w:tcW w:w="850" w:type="dxa"/>
                  <w:tcBorders>
                    <w:top w:val="nil"/>
                    <w:left w:val="nil"/>
                    <w:bottom w:val="single" w:sz="4" w:space="0" w:color="auto"/>
                    <w:right w:val="single" w:sz="4" w:space="0" w:color="auto"/>
                  </w:tcBorders>
                  <w:shd w:val="clear" w:color="auto" w:fill="auto"/>
                  <w:noWrap/>
                  <w:vAlign w:val="bottom"/>
                  <w:hideMark/>
                </w:tcPr>
                <w:p w14:paraId="112B7B9E" w14:textId="77777777" w:rsidR="00157AC8" w:rsidRPr="00157AC8" w:rsidRDefault="00157AC8" w:rsidP="00157AC8">
                  <w:pPr>
                    <w:jc w:val="center"/>
                    <w:rPr>
                      <w:sz w:val="20"/>
                      <w:szCs w:val="20"/>
                    </w:rPr>
                  </w:pPr>
                  <w:r w:rsidRPr="00157AC8">
                    <w:rPr>
                      <w:sz w:val="20"/>
                      <w:szCs w:val="20"/>
                    </w:rPr>
                    <w:t>h</w:t>
                  </w:r>
                </w:p>
              </w:tc>
              <w:tc>
                <w:tcPr>
                  <w:tcW w:w="709" w:type="dxa"/>
                  <w:tcBorders>
                    <w:top w:val="nil"/>
                    <w:left w:val="nil"/>
                    <w:bottom w:val="single" w:sz="4" w:space="0" w:color="auto"/>
                    <w:right w:val="single" w:sz="4" w:space="0" w:color="auto"/>
                  </w:tcBorders>
                  <w:shd w:val="clear" w:color="auto" w:fill="auto"/>
                  <w:noWrap/>
                  <w:vAlign w:val="bottom"/>
                  <w:hideMark/>
                </w:tcPr>
                <w:p w14:paraId="4C320B27" w14:textId="77777777" w:rsidR="00157AC8" w:rsidRPr="00157AC8" w:rsidRDefault="00157AC8" w:rsidP="00157AC8">
                  <w:pPr>
                    <w:jc w:val="right"/>
                    <w:rPr>
                      <w:sz w:val="20"/>
                      <w:szCs w:val="20"/>
                    </w:rPr>
                  </w:pPr>
                  <w:r w:rsidRPr="00157AC8">
                    <w:rPr>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36E2BE32" w14:textId="77777777" w:rsidR="00157AC8" w:rsidRPr="00157AC8" w:rsidRDefault="00157AC8" w:rsidP="00157AC8">
                  <w:pPr>
                    <w:jc w:val="center"/>
                    <w:rPr>
                      <w:sz w:val="20"/>
                      <w:szCs w:val="20"/>
                    </w:rPr>
                  </w:pPr>
                  <w:r w:rsidRPr="00157AC8">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3A754A3" w14:textId="77777777" w:rsidR="00157AC8" w:rsidRPr="00157AC8" w:rsidRDefault="00157AC8" w:rsidP="00157AC8">
                  <w:pPr>
                    <w:rPr>
                      <w:sz w:val="20"/>
                      <w:szCs w:val="20"/>
                    </w:rPr>
                  </w:pPr>
                  <w:r w:rsidRPr="00157AC8">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14:paraId="3566CE34" w14:textId="77777777" w:rsidR="00157AC8" w:rsidRPr="00157AC8" w:rsidRDefault="00157AC8" w:rsidP="00157AC8">
                  <w:pPr>
                    <w:jc w:val="right"/>
                    <w:rPr>
                      <w:sz w:val="20"/>
                      <w:szCs w:val="20"/>
                    </w:rPr>
                  </w:pPr>
                  <w:r w:rsidRPr="00157AC8">
                    <w:rPr>
                      <w:sz w:val="20"/>
                      <w:szCs w:val="20"/>
                    </w:rPr>
                    <w:t>569.68</w:t>
                  </w:r>
                </w:p>
              </w:tc>
            </w:tr>
            <w:tr w:rsidR="00157AC8" w:rsidRPr="00157AC8" w14:paraId="4E09567A" w14:textId="77777777" w:rsidTr="00513F3B">
              <w:trPr>
                <w:trHeight w:val="206"/>
              </w:trPr>
              <w:tc>
                <w:tcPr>
                  <w:tcW w:w="472" w:type="dxa"/>
                  <w:tcBorders>
                    <w:top w:val="nil"/>
                    <w:left w:val="nil"/>
                    <w:bottom w:val="nil"/>
                    <w:right w:val="nil"/>
                  </w:tcBorders>
                  <w:shd w:val="clear" w:color="auto" w:fill="auto"/>
                  <w:vAlign w:val="center"/>
                  <w:hideMark/>
                </w:tcPr>
                <w:p w14:paraId="0472B047" w14:textId="77777777" w:rsidR="00157AC8" w:rsidRPr="00157AC8" w:rsidRDefault="00157AC8" w:rsidP="00157AC8">
                  <w:pPr>
                    <w:jc w:val="right"/>
                    <w:rPr>
                      <w:sz w:val="20"/>
                      <w:szCs w:val="20"/>
                    </w:rPr>
                  </w:pPr>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3EE14B64" w14:textId="77777777" w:rsidR="00157AC8" w:rsidRPr="00513F3B" w:rsidRDefault="00157AC8" w:rsidP="00157AC8">
                  <w:pPr>
                    <w:jc w:val="right"/>
                    <w:rPr>
                      <w:sz w:val="20"/>
                      <w:szCs w:val="20"/>
                    </w:rPr>
                  </w:pPr>
                  <w:r w:rsidRPr="00513F3B">
                    <w:rPr>
                      <w:sz w:val="20"/>
                      <w:szCs w:val="20"/>
                    </w:rPr>
                    <w:t>Kopā bez PVN:</w:t>
                  </w:r>
                </w:p>
              </w:tc>
              <w:tc>
                <w:tcPr>
                  <w:tcW w:w="850" w:type="dxa"/>
                  <w:tcBorders>
                    <w:top w:val="nil"/>
                    <w:left w:val="nil"/>
                    <w:bottom w:val="single" w:sz="4" w:space="0" w:color="auto"/>
                    <w:right w:val="single" w:sz="4" w:space="0" w:color="auto"/>
                  </w:tcBorders>
                  <w:shd w:val="clear" w:color="auto" w:fill="auto"/>
                  <w:noWrap/>
                  <w:vAlign w:val="bottom"/>
                  <w:hideMark/>
                </w:tcPr>
                <w:p w14:paraId="64160CA0" w14:textId="77777777" w:rsidR="00157AC8" w:rsidRPr="00FB3A66" w:rsidRDefault="00157AC8" w:rsidP="00157AC8">
                  <w:pPr>
                    <w:rPr>
                      <w:sz w:val="20"/>
                      <w:szCs w:val="20"/>
                    </w:rPr>
                  </w:pPr>
                  <w:r w:rsidRPr="00FB3A6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CEF3309" w14:textId="77777777" w:rsidR="00157AC8" w:rsidRPr="00FB3A66" w:rsidRDefault="00157AC8" w:rsidP="00157AC8">
                  <w:pPr>
                    <w:rPr>
                      <w:sz w:val="20"/>
                      <w:szCs w:val="20"/>
                    </w:rPr>
                  </w:pPr>
                  <w:r w:rsidRPr="00FB3A6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85C31A" w14:textId="77777777" w:rsidR="00157AC8" w:rsidRPr="00FB3A66" w:rsidRDefault="00157AC8" w:rsidP="00157AC8">
                  <w:pPr>
                    <w:jc w:val="center"/>
                    <w:rPr>
                      <w:sz w:val="20"/>
                      <w:szCs w:val="20"/>
                    </w:rPr>
                  </w:pPr>
                  <w:r w:rsidRPr="00FB3A66">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99A8654" w14:textId="77777777" w:rsidR="00157AC8" w:rsidRPr="00FB3A66" w:rsidRDefault="00157AC8" w:rsidP="00157AC8">
                  <w:pPr>
                    <w:rPr>
                      <w:sz w:val="20"/>
                      <w:szCs w:val="20"/>
                    </w:rPr>
                  </w:pPr>
                  <w:r w:rsidRPr="00FB3A66">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14:paraId="081FFBBE" w14:textId="1C53A659" w:rsidR="00157AC8" w:rsidRPr="00FB3A66" w:rsidRDefault="00157AC8" w:rsidP="00157AC8">
                  <w:pPr>
                    <w:jc w:val="right"/>
                    <w:rPr>
                      <w:sz w:val="20"/>
                      <w:szCs w:val="20"/>
                    </w:rPr>
                  </w:pPr>
                  <w:r w:rsidRPr="00FB3A66">
                    <w:rPr>
                      <w:sz w:val="20"/>
                      <w:szCs w:val="20"/>
                    </w:rPr>
                    <w:t>14</w:t>
                  </w:r>
                  <w:r w:rsidR="00FB3A66" w:rsidRPr="00FB3A66">
                    <w:rPr>
                      <w:sz w:val="20"/>
                      <w:szCs w:val="20"/>
                    </w:rPr>
                    <w:t xml:space="preserve"> </w:t>
                  </w:r>
                  <w:r w:rsidRPr="00FB3A66">
                    <w:rPr>
                      <w:sz w:val="20"/>
                      <w:szCs w:val="20"/>
                    </w:rPr>
                    <w:t>689.68</w:t>
                  </w:r>
                </w:p>
              </w:tc>
            </w:tr>
            <w:tr w:rsidR="00157AC8" w:rsidRPr="00157AC8" w14:paraId="5CF202D6" w14:textId="77777777" w:rsidTr="00513F3B">
              <w:trPr>
                <w:trHeight w:val="206"/>
              </w:trPr>
              <w:tc>
                <w:tcPr>
                  <w:tcW w:w="472" w:type="dxa"/>
                  <w:tcBorders>
                    <w:top w:val="nil"/>
                    <w:left w:val="nil"/>
                    <w:bottom w:val="nil"/>
                    <w:right w:val="nil"/>
                  </w:tcBorders>
                  <w:shd w:val="clear" w:color="auto" w:fill="auto"/>
                  <w:noWrap/>
                  <w:vAlign w:val="bottom"/>
                  <w:hideMark/>
                </w:tcPr>
                <w:p w14:paraId="574777D6" w14:textId="77777777" w:rsidR="00157AC8" w:rsidRPr="00157AC8" w:rsidRDefault="00157AC8" w:rsidP="00157AC8">
                  <w:pPr>
                    <w:jc w:val="right"/>
                    <w:rPr>
                      <w:sz w:val="20"/>
                      <w:szCs w:val="20"/>
                    </w:rPr>
                  </w:pPr>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6BCD2DB2" w14:textId="77777777" w:rsidR="00157AC8" w:rsidRPr="00FB3A66" w:rsidRDefault="00157AC8" w:rsidP="00157AC8">
                  <w:pPr>
                    <w:jc w:val="right"/>
                    <w:rPr>
                      <w:color w:val="000000"/>
                      <w:sz w:val="20"/>
                      <w:szCs w:val="20"/>
                    </w:rPr>
                  </w:pPr>
                  <w:r w:rsidRPr="00FB3A66">
                    <w:rPr>
                      <w:color w:val="000000"/>
                      <w:sz w:val="20"/>
                      <w:szCs w:val="20"/>
                    </w:rPr>
                    <w:t>PVN 21%:</w:t>
                  </w:r>
                </w:p>
              </w:tc>
              <w:tc>
                <w:tcPr>
                  <w:tcW w:w="850" w:type="dxa"/>
                  <w:tcBorders>
                    <w:top w:val="nil"/>
                    <w:left w:val="nil"/>
                    <w:bottom w:val="single" w:sz="8" w:space="0" w:color="auto"/>
                    <w:right w:val="single" w:sz="4" w:space="0" w:color="auto"/>
                  </w:tcBorders>
                  <w:shd w:val="clear" w:color="auto" w:fill="auto"/>
                  <w:noWrap/>
                  <w:vAlign w:val="bottom"/>
                  <w:hideMark/>
                </w:tcPr>
                <w:p w14:paraId="395F0784" w14:textId="77777777" w:rsidR="00157AC8" w:rsidRPr="00513F3B" w:rsidRDefault="00157AC8" w:rsidP="00157AC8">
                  <w:pPr>
                    <w:rPr>
                      <w:i/>
                      <w:iCs/>
                      <w:sz w:val="20"/>
                      <w:szCs w:val="20"/>
                    </w:rPr>
                  </w:pPr>
                  <w:r w:rsidRPr="00513F3B">
                    <w:rPr>
                      <w:i/>
                      <w:iCs/>
                      <w:sz w:val="20"/>
                      <w:szCs w:val="20"/>
                    </w:rPr>
                    <w:t> </w:t>
                  </w:r>
                </w:p>
              </w:tc>
              <w:tc>
                <w:tcPr>
                  <w:tcW w:w="709" w:type="dxa"/>
                  <w:tcBorders>
                    <w:top w:val="nil"/>
                    <w:left w:val="nil"/>
                    <w:bottom w:val="single" w:sz="8" w:space="0" w:color="auto"/>
                    <w:right w:val="single" w:sz="4" w:space="0" w:color="auto"/>
                  </w:tcBorders>
                  <w:shd w:val="clear" w:color="auto" w:fill="auto"/>
                  <w:noWrap/>
                  <w:vAlign w:val="bottom"/>
                  <w:hideMark/>
                </w:tcPr>
                <w:p w14:paraId="0DB0248E" w14:textId="77777777" w:rsidR="00157AC8" w:rsidRPr="00FB3A66" w:rsidRDefault="00157AC8" w:rsidP="00157AC8">
                  <w:pPr>
                    <w:rPr>
                      <w:sz w:val="20"/>
                      <w:szCs w:val="20"/>
                    </w:rPr>
                  </w:pPr>
                  <w:r w:rsidRPr="00FB3A66">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97707A5" w14:textId="77777777" w:rsidR="00157AC8" w:rsidRPr="00FB3A66" w:rsidRDefault="00157AC8" w:rsidP="00157AC8">
                  <w:pPr>
                    <w:rPr>
                      <w:sz w:val="20"/>
                      <w:szCs w:val="20"/>
                    </w:rPr>
                  </w:pPr>
                  <w:r w:rsidRPr="00FB3A66">
                    <w:rPr>
                      <w:sz w:val="20"/>
                      <w:szCs w:val="20"/>
                    </w:rPr>
                    <w:t> </w:t>
                  </w:r>
                </w:p>
              </w:tc>
              <w:tc>
                <w:tcPr>
                  <w:tcW w:w="992" w:type="dxa"/>
                  <w:tcBorders>
                    <w:top w:val="nil"/>
                    <w:left w:val="nil"/>
                    <w:bottom w:val="single" w:sz="8" w:space="0" w:color="auto"/>
                    <w:right w:val="single" w:sz="4" w:space="0" w:color="auto"/>
                  </w:tcBorders>
                  <w:shd w:val="clear" w:color="auto" w:fill="auto"/>
                  <w:noWrap/>
                  <w:vAlign w:val="bottom"/>
                  <w:hideMark/>
                </w:tcPr>
                <w:p w14:paraId="266D174A" w14:textId="77777777" w:rsidR="00157AC8" w:rsidRPr="00FB3A66" w:rsidRDefault="00157AC8" w:rsidP="00157AC8">
                  <w:pPr>
                    <w:rPr>
                      <w:sz w:val="20"/>
                      <w:szCs w:val="20"/>
                    </w:rPr>
                  </w:pPr>
                  <w:r w:rsidRPr="00FB3A66">
                    <w:rPr>
                      <w:sz w:val="20"/>
                      <w:szCs w:val="20"/>
                    </w:rPr>
                    <w:t> </w:t>
                  </w:r>
                </w:p>
              </w:tc>
              <w:tc>
                <w:tcPr>
                  <w:tcW w:w="1276" w:type="dxa"/>
                  <w:tcBorders>
                    <w:top w:val="nil"/>
                    <w:left w:val="nil"/>
                    <w:bottom w:val="single" w:sz="8" w:space="0" w:color="auto"/>
                    <w:right w:val="single" w:sz="8" w:space="0" w:color="auto"/>
                  </w:tcBorders>
                  <w:shd w:val="clear" w:color="auto" w:fill="auto"/>
                  <w:noWrap/>
                  <w:vAlign w:val="bottom"/>
                  <w:hideMark/>
                </w:tcPr>
                <w:p w14:paraId="42233D43" w14:textId="50215842" w:rsidR="00157AC8" w:rsidRPr="00FB3A66" w:rsidRDefault="00157AC8" w:rsidP="00157AC8">
                  <w:pPr>
                    <w:jc w:val="right"/>
                    <w:rPr>
                      <w:sz w:val="20"/>
                      <w:szCs w:val="20"/>
                    </w:rPr>
                  </w:pPr>
                  <w:r w:rsidRPr="00FB3A66">
                    <w:rPr>
                      <w:sz w:val="20"/>
                      <w:szCs w:val="20"/>
                    </w:rPr>
                    <w:t>3</w:t>
                  </w:r>
                  <w:r w:rsidR="00FB3A66" w:rsidRPr="00FB3A66">
                    <w:rPr>
                      <w:sz w:val="20"/>
                      <w:szCs w:val="20"/>
                    </w:rPr>
                    <w:t xml:space="preserve"> </w:t>
                  </w:r>
                  <w:r w:rsidRPr="00FB3A66">
                    <w:rPr>
                      <w:sz w:val="20"/>
                      <w:szCs w:val="20"/>
                    </w:rPr>
                    <w:t>084.83</w:t>
                  </w:r>
                </w:p>
              </w:tc>
            </w:tr>
            <w:tr w:rsidR="00157AC8" w:rsidRPr="00157AC8" w14:paraId="259A4E75" w14:textId="77777777" w:rsidTr="00513F3B">
              <w:trPr>
                <w:trHeight w:val="582"/>
              </w:trPr>
              <w:tc>
                <w:tcPr>
                  <w:tcW w:w="472" w:type="dxa"/>
                  <w:tcBorders>
                    <w:top w:val="nil"/>
                    <w:left w:val="nil"/>
                    <w:bottom w:val="nil"/>
                    <w:right w:val="single" w:sz="4" w:space="0" w:color="auto"/>
                  </w:tcBorders>
                  <w:shd w:val="clear" w:color="auto" w:fill="auto"/>
                  <w:noWrap/>
                  <w:vAlign w:val="bottom"/>
                  <w:hideMark/>
                </w:tcPr>
                <w:p w14:paraId="4B63C13B" w14:textId="77777777" w:rsidR="00157AC8" w:rsidRPr="00157AC8" w:rsidRDefault="00157AC8" w:rsidP="00157AC8">
                  <w:pPr>
                    <w:jc w:val="right"/>
                    <w:rPr>
                      <w:sz w:val="20"/>
                      <w:szCs w:val="2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C714" w14:textId="78CDEC14" w:rsidR="00157AC8" w:rsidRPr="00513F3B" w:rsidRDefault="00157AC8" w:rsidP="00157AC8">
                  <w:pPr>
                    <w:jc w:val="right"/>
                    <w:rPr>
                      <w:color w:val="000000"/>
                      <w:sz w:val="20"/>
                      <w:szCs w:val="20"/>
                    </w:rPr>
                  </w:pPr>
                  <w:r w:rsidRPr="00513F3B">
                    <w:rPr>
                      <w:color w:val="000000"/>
                      <w:sz w:val="20"/>
                      <w:szCs w:val="20"/>
                    </w:rPr>
                    <w:t>Pavisam provizoriskās izmaksas</w:t>
                  </w:r>
                  <w:r w:rsidR="00FB3A66">
                    <w:rPr>
                      <w:color w:val="000000"/>
                      <w:sz w:val="20"/>
                      <w:szCs w:val="20"/>
                    </w:rPr>
                    <w:t xml:space="preserve"> kopā</w:t>
                  </w:r>
                  <w:r w:rsidRPr="00513F3B">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7EFA3183" w14:textId="77777777" w:rsidR="00157AC8" w:rsidRPr="00FB3A66" w:rsidRDefault="00157AC8" w:rsidP="00157AC8">
                  <w:pPr>
                    <w:rPr>
                      <w:sz w:val="20"/>
                      <w:szCs w:val="20"/>
                    </w:rPr>
                  </w:pPr>
                  <w:r w:rsidRPr="00FB3A6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F4A7A54" w14:textId="77777777" w:rsidR="00157AC8" w:rsidRPr="00FB3A66" w:rsidRDefault="00157AC8" w:rsidP="00157AC8">
                  <w:pPr>
                    <w:rPr>
                      <w:sz w:val="20"/>
                      <w:szCs w:val="20"/>
                    </w:rPr>
                  </w:pPr>
                  <w:r w:rsidRPr="00FB3A66">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43DF94" w14:textId="77777777" w:rsidR="00157AC8" w:rsidRPr="00FB3A66" w:rsidRDefault="00157AC8" w:rsidP="00157AC8">
                  <w:pPr>
                    <w:rPr>
                      <w:sz w:val="20"/>
                      <w:szCs w:val="20"/>
                    </w:rPr>
                  </w:pPr>
                  <w:r w:rsidRPr="00FB3A66">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1E4FC4C" w14:textId="77777777" w:rsidR="00157AC8" w:rsidRPr="00FB3A66" w:rsidRDefault="00157AC8" w:rsidP="00157AC8">
                  <w:pPr>
                    <w:rPr>
                      <w:sz w:val="20"/>
                      <w:szCs w:val="20"/>
                    </w:rPr>
                  </w:pPr>
                  <w:r w:rsidRPr="00FB3A66">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AFA6AF" w14:textId="33854FD0" w:rsidR="00157AC8" w:rsidRPr="00513F3B" w:rsidRDefault="00157AC8" w:rsidP="00157AC8">
                  <w:pPr>
                    <w:jc w:val="right"/>
                    <w:rPr>
                      <w:sz w:val="20"/>
                      <w:szCs w:val="20"/>
                    </w:rPr>
                  </w:pPr>
                  <w:r w:rsidRPr="00513F3B">
                    <w:rPr>
                      <w:sz w:val="20"/>
                      <w:szCs w:val="20"/>
                    </w:rPr>
                    <w:t>17</w:t>
                  </w:r>
                  <w:r w:rsidR="00FB3A66" w:rsidRPr="00513F3B">
                    <w:rPr>
                      <w:sz w:val="20"/>
                      <w:szCs w:val="20"/>
                    </w:rPr>
                    <w:t xml:space="preserve"> </w:t>
                  </w:r>
                  <w:r w:rsidRPr="00513F3B">
                    <w:rPr>
                      <w:sz w:val="20"/>
                      <w:szCs w:val="20"/>
                    </w:rPr>
                    <w:t>774.51</w:t>
                  </w:r>
                </w:p>
              </w:tc>
            </w:tr>
          </w:tbl>
          <w:p w14:paraId="295D086F" w14:textId="3998477E" w:rsidR="00D11F9F" w:rsidRPr="003A46F2" w:rsidRDefault="00925151" w:rsidP="00513F3B">
            <w:pPr>
              <w:ind w:right="71"/>
              <w:jc w:val="both"/>
              <w:rPr>
                <w:lang w:eastAsia="en-US"/>
              </w:rPr>
            </w:pPr>
            <w:r>
              <w:rPr>
                <w:lang w:eastAsia="en-US"/>
              </w:rPr>
              <w:t>Finansējums tiks izlietots līdz 2020.gada beigām.</w:t>
            </w:r>
          </w:p>
        </w:tc>
      </w:tr>
      <w:tr w:rsidR="003A46F2" w:rsidRPr="003A46F2" w14:paraId="7BB789AC" w14:textId="77777777" w:rsidTr="009547D2">
        <w:tc>
          <w:tcPr>
            <w:tcW w:w="1702" w:type="dxa"/>
            <w:vAlign w:val="center"/>
          </w:tcPr>
          <w:p w14:paraId="75C59532"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37F98D89" w14:textId="77777777" w:rsidR="00F530FE" w:rsidRPr="003A46F2" w:rsidRDefault="00F530FE" w:rsidP="00F530FE">
            <w:pPr>
              <w:pStyle w:val="NoSpacing"/>
              <w:rPr>
                <w:rFonts w:ascii="Times New Roman" w:hAnsi="Times New Roman" w:cs="Times New Roman"/>
                <w:iCs/>
                <w:sz w:val="24"/>
                <w:szCs w:val="24"/>
                <w:lang w:eastAsia="lv-LV"/>
              </w:rPr>
            </w:pPr>
          </w:p>
        </w:tc>
      </w:tr>
      <w:tr w:rsidR="003A46F2" w:rsidRPr="003A46F2" w14:paraId="06C252D3" w14:textId="77777777" w:rsidTr="009547D2">
        <w:tc>
          <w:tcPr>
            <w:tcW w:w="1702" w:type="dxa"/>
            <w:vAlign w:val="center"/>
          </w:tcPr>
          <w:p w14:paraId="4B298192"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25CA212" w14:textId="77777777" w:rsidR="00F530FE" w:rsidRPr="003A46F2" w:rsidRDefault="00F530FE" w:rsidP="00F530FE">
            <w:pPr>
              <w:pStyle w:val="NoSpacing"/>
              <w:rPr>
                <w:rFonts w:ascii="Times New Roman" w:hAnsi="Times New Roman" w:cs="Times New Roman"/>
                <w:iCs/>
                <w:sz w:val="24"/>
                <w:szCs w:val="24"/>
                <w:lang w:eastAsia="lv-LV"/>
              </w:rPr>
            </w:pPr>
          </w:p>
        </w:tc>
      </w:tr>
      <w:tr w:rsidR="003A46F2" w:rsidRPr="003A46F2" w14:paraId="691A3E92" w14:textId="77777777" w:rsidTr="002074A4">
        <w:tc>
          <w:tcPr>
            <w:tcW w:w="1702" w:type="dxa"/>
            <w:vAlign w:val="center"/>
          </w:tcPr>
          <w:p w14:paraId="67F02AA9"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7. Amata vietu skaita izmaiņas</w:t>
            </w:r>
          </w:p>
        </w:tc>
        <w:tc>
          <w:tcPr>
            <w:tcW w:w="7654" w:type="dxa"/>
            <w:gridSpan w:val="7"/>
            <w:vAlign w:val="center"/>
          </w:tcPr>
          <w:p w14:paraId="03A19693" w14:textId="77777777" w:rsidR="00F530FE" w:rsidRPr="003A46F2" w:rsidRDefault="00F530FE" w:rsidP="00F530FE">
            <w:pPr>
              <w:pStyle w:val="NoSpacing"/>
              <w:rPr>
                <w:rFonts w:ascii="Times New Roman" w:hAnsi="Times New Roman" w:cs="Times New Roman"/>
                <w:iCs/>
                <w:sz w:val="24"/>
                <w:szCs w:val="24"/>
                <w:lang w:eastAsia="lv-LV"/>
              </w:rPr>
            </w:pPr>
            <w:r w:rsidRPr="003A46F2">
              <w:rPr>
                <w:rFonts w:ascii="Times New Roman" w:hAnsi="Times New Roman" w:cs="Times New Roman"/>
                <w:sz w:val="24"/>
              </w:rPr>
              <w:t>Projekts šo jomu neskar.</w:t>
            </w:r>
          </w:p>
        </w:tc>
      </w:tr>
      <w:tr w:rsidR="003A46F2" w:rsidRPr="003A46F2" w14:paraId="483AEF68" w14:textId="77777777" w:rsidTr="002074A4">
        <w:tc>
          <w:tcPr>
            <w:tcW w:w="1702" w:type="dxa"/>
            <w:vAlign w:val="center"/>
          </w:tcPr>
          <w:p w14:paraId="2EDF5795" w14:textId="77777777" w:rsidR="00F530FE" w:rsidRPr="003A46F2" w:rsidRDefault="00F530FE"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8. Cita informācija</w:t>
            </w:r>
          </w:p>
        </w:tc>
        <w:tc>
          <w:tcPr>
            <w:tcW w:w="7654" w:type="dxa"/>
            <w:gridSpan w:val="7"/>
            <w:vAlign w:val="center"/>
          </w:tcPr>
          <w:p w14:paraId="492FC239" w14:textId="09B19D10" w:rsidR="00F530FE" w:rsidRPr="003A46F2" w:rsidRDefault="00DD555B" w:rsidP="00F530FE">
            <w:pPr>
              <w:pStyle w:val="NoSpacing"/>
              <w:jc w:val="both"/>
              <w:rPr>
                <w:rFonts w:ascii="Times New Roman" w:hAnsi="Times New Roman" w:cs="Times New Roman"/>
                <w:iCs/>
                <w:sz w:val="24"/>
                <w:szCs w:val="24"/>
                <w:lang w:eastAsia="lv-LV"/>
              </w:rPr>
            </w:pPr>
            <w:r w:rsidRPr="003A46F2">
              <w:rPr>
                <w:rFonts w:ascii="Times New Roman" w:hAnsi="Times New Roman" w:cs="Times New Roman"/>
                <w:sz w:val="24"/>
              </w:rPr>
              <w:t>Nav</w:t>
            </w:r>
            <w:r w:rsidR="00F530FE" w:rsidRPr="003A46F2">
              <w:rPr>
                <w:rFonts w:ascii="Times New Roman" w:hAnsi="Times New Roman" w:cs="Times New Roman"/>
                <w:sz w:val="24"/>
              </w:rPr>
              <w:t xml:space="preserve"> </w:t>
            </w:r>
          </w:p>
        </w:tc>
      </w:tr>
    </w:tbl>
    <w:p w14:paraId="17FF3570" w14:textId="77777777" w:rsidR="00E5323B" w:rsidRPr="003A46F2"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3A46F2" w14:paraId="20A771F6" w14:textId="77777777" w:rsidTr="006936E5">
        <w:tc>
          <w:tcPr>
            <w:tcW w:w="9356" w:type="dxa"/>
          </w:tcPr>
          <w:p w14:paraId="34B1B632" w14:textId="77777777" w:rsidR="007F6F87" w:rsidRPr="003A46F2" w:rsidRDefault="007F6F87" w:rsidP="003903BF">
            <w:pPr>
              <w:pStyle w:val="NoSpacing"/>
              <w:jc w:val="center"/>
              <w:rPr>
                <w:rFonts w:ascii="Times New Roman" w:hAnsi="Times New Roman" w:cs="Times New Roman"/>
                <w:b/>
                <w:sz w:val="24"/>
                <w:szCs w:val="24"/>
                <w:lang w:eastAsia="lv-LV"/>
              </w:rPr>
            </w:pPr>
            <w:r w:rsidRPr="003A46F2">
              <w:rPr>
                <w:rFonts w:ascii="Times New Roman" w:hAnsi="Times New Roman" w:cs="Times New Roman"/>
                <w:b/>
                <w:iCs/>
                <w:sz w:val="24"/>
                <w:szCs w:val="24"/>
                <w:lang w:eastAsia="lv-LV"/>
              </w:rPr>
              <w:t>IV. Tiesību akta projekta ietekme uz spēkā esošo tiesību normu sistēmu</w:t>
            </w:r>
          </w:p>
        </w:tc>
      </w:tr>
      <w:tr w:rsidR="003A46F2" w:rsidRPr="003A46F2" w14:paraId="68539A90" w14:textId="77777777" w:rsidTr="006936E5">
        <w:tc>
          <w:tcPr>
            <w:tcW w:w="9356" w:type="dxa"/>
          </w:tcPr>
          <w:p w14:paraId="52CB9D05" w14:textId="77777777" w:rsidR="007F6F87" w:rsidRPr="003A46F2" w:rsidRDefault="007F6F87" w:rsidP="003903BF">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Projekts šo jomu neskar</w:t>
            </w:r>
            <w:r w:rsidR="007272A8" w:rsidRPr="003A46F2">
              <w:rPr>
                <w:rFonts w:ascii="Times New Roman" w:hAnsi="Times New Roman" w:cs="Times New Roman"/>
                <w:sz w:val="24"/>
                <w:szCs w:val="24"/>
                <w:lang w:eastAsia="lv-LV"/>
              </w:rPr>
              <w:t>.</w:t>
            </w:r>
          </w:p>
        </w:tc>
      </w:tr>
    </w:tbl>
    <w:p w14:paraId="6A5D66AB" w14:textId="77777777" w:rsidR="007F6F87" w:rsidRPr="003A46F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3A46F2" w14:paraId="4328D2FC" w14:textId="77777777" w:rsidTr="006936E5">
        <w:tc>
          <w:tcPr>
            <w:tcW w:w="9356" w:type="dxa"/>
          </w:tcPr>
          <w:p w14:paraId="1C389E97" w14:textId="77777777" w:rsidR="007F6F87" w:rsidRPr="003A46F2" w:rsidRDefault="007F6F87" w:rsidP="003903BF">
            <w:pPr>
              <w:pStyle w:val="NoSpacing"/>
              <w:jc w:val="center"/>
              <w:rPr>
                <w:rFonts w:ascii="Times New Roman" w:hAnsi="Times New Roman" w:cs="Times New Roman"/>
                <w:b/>
                <w:sz w:val="24"/>
                <w:szCs w:val="24"/>
                <w:lang w:eastAsia="lv-LV"/>
              </w:rPr>
            </w:pPr>
            <w:r w:rsidRPr="003A46F2">
              <w:rPr>
                <w:rFonts w:ascii="Times New Roman" w:hAnsi="Times New Roman" w:cs="Times New Roman"/>
                <w:b/>
                <w:iCs/>
                <w:sz w:val="24"/>
                <w:szCs w:val="24"/>
                <w:lang w:eastAsia="lv-LV"/>
              </w:rPr>
              <w:t>V. Tiesību akta projekta atbilstība Latvijas Republikas starptautiskajām saistībām</w:t>
            </w:r>
          </w:p>
        </w:tc>
      </w:tr>
      <w:tr w:rsidR="003A46F2" w:rsidRPr="003A46F2" w14:paraId="0948B0A5" w14:textId="77777777" w:rsidTr="006936E5">
        <w:tc>
          <w:tcPr>
            <w:tcW w:w="9356" w:type="dxa"/>
          </w:tcPr>
          <w:p w14:paraId="1032D601" w14:textId="77777777" w:rsidR="007F6F87" w:rsidRPr="003A46F2" w:rsidRDefault="007F6F87" w:rsidP="003903BF">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Projekts šo jomu neskar</w:t>
            </w:r>
            <w:r w:rsidR="007272A8" w:rsidRPr="003A46F2">
              <w:rPr>
                <w:rFonts w:ascii="Times New Roman" w:hAnsi="Times New Roman" w:cs="Times New Roman"/>
                <w:sz w:val="24"/>
                <w:szCs w:val="24"/>
                <w:lang w:eastAsia="lv-LV"/>
              </w:rPr>
              <w:t>.</w:t>
            </w:r>
          </w:p>
        </w:tc>
      </w:tr>
    </w:tbl>
    <w:p w14:paraId="44AD59F8" w14:textId="77777777" w:rsidR="007F6F87" w:rsidRPr="003A46F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3A46F2" w14:paraId="3918DDEA" w14:textId="77777777" w:rsidTr="006936E5">
        <w:tc>
          <w:tcPr>
            <w:tcW w:w="9356" w:type="dxa"/>
          </w:tcPr>
          <w:p w14:paraId="4961697E" w14:textId="77777777" w:rsidR="007F6F87" w:rsidRPr="003A46F2" w:rsidRDefault="007F6F87" w:rsidP="003903BF">
            <w:pPr>
              <w:pStyle w:val="NoSpacing"/>
              <w:jc w:val="center"/>
              <w:rPr>
                <w:rFonts w:ascii="Times New Roman" w:hAnsi="Times New Roman" w:cs="Times New Roman"/>
                <w:b/>
                <w:sz w:val="24"/>
                <w:szCs w:val="24"/>
                <w:lang w:eastAsia="lv-LV"/>
              </w:rPr>
            </w:pPr>
            <w:r w:rsidRPr="003A46F2">
              <w:rPr>
                <w:rFonts w:ascii="Times New Roman" w:hAnsi="Times New Roman" w:cs="Times New Roman"/>
                <w:b/>
                <w:iCs/>
                <w:sz w:val="24"/>
                <w:szCs w:val="24"/>
                <w:lang w:eastAsia="lv-LV"/>
              </w:rPr>
              <w:t>VI. Sabiedrības līdzdalība un komunikācijas aktivitātes</w:t>
            </w:r>
          </w:p>
        </w:tc>
      </w:tr>
      <w:tr w:rsidR="003A46F2" w:rsidRPr="003A46F2" w14:paraId="2C6CED15" w14:textId="77777777" w:rsidTr="006936E5">
        <w:tc>
          <w:tcPr>
            <w:tcW w:w="9356" w:type="dxa"/>
          </w:tcPr>
          <w:p w14:paraId="0A063D5E" w14:textId="77777777" w:rsidR="007F6F87" w:rsidRPr="003A46F2" w:rsidRDefault="007F6F87" w:rsidP="003903BF">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Projekts šo jomu neskar</w:t>
            </w:r>
            <w:r w:rsidR="007272A8" w:rsidRPr="003A46F2">
              <w:rPr>
                <w:rFonts w:ascii="Times New Roman" w:hAnsi="Times New Roman" w:cs="Times New Roman"/>
                <w:sz w:val="24"/>
                <w:szCs w:val="24"/>
                <w:lang w:eastAsia="lv-LV"/>
              </w:rPr>
              <w:t>.</w:t>
            </w:r>
          </w:p>
        </w:tc>
      </w:tr>
    </w:tbl>
    <w:p w14:paraId="69CFFF5D" w14:textId="77777777" w:rsidR="007F6F87" w:rsidRPr="003A46F2" w:rsidRDefault="00E5323B"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3A46F2" w:rsidRPr="003A46F2" w14:paraId="57ABC9B8" w14:textId="77777777" w:rsidTr="006936E5">
        <w:tc>
          <w:tcPr>
            <w:tcW w:w="9356" w:type="dxa"/>
            <w:gridSpan w:val="3"/>
          </w:tcPr>
          <w:p w14:paraId="6B849096" w14:textId="77777777" w:rsidR="007F6F87" w:rsidRPr="003A46F2" w:rsidRDefault="007F6F87" w:rsidP="003903BF">
            <w:pPr>
              <w:pStyle w:val="NoSpacing"/>
              <w:jc w:val="center"/>
              <w:rPr>
                <w:rFonts w:ascii="Times New Roman" w:hAnsi="Times New Roman" w:cs="Times New Roman"/>
                <w:b/>
                <w:sz w:val="24"/>
                <w:szCs w:val="24"/>
                <w:lang w:eastAsia="lv-LV"/>
              </w:rPr>
            </w:pPr>
            <w:r w:rsidRPr="003A46F2">
              <w:rPr>
                <w:rFonts w:ascii="Times New Roman" w:hAnsi="Times New Roman" w:cs="Times New Roman"/>
                <w:b/>
                <w:iCs/>
                <w:sz w:val="24"/>
                <w:szCs w:val="24"/>
                <w:lang w:eastAsia="lv-LV"/>
              </w:rPr>
              <w:t>VII. Tiesību akta projekta izpildes nodrošināšana un tās ietekme uz institūcijām</w:t>
            </w:r>
          </w:p>
        </w:tc>
      </w:tr>
      <w:tr w:rsidR="003A46F2" w:rsidRPr="003A46F2" w14:paraId="61D5D85E" w14:textId="77777777" w:rsidTr="006936E5">
        <w:tc>
          <w:tcPr>
            <w:tcW w:w="568" w:type="dxa"/>
          </w:tcPr>
          <w:p w14:paraId="7466822A" w14:textId="77777777" w:rsidR="007F7D5A" w:rsidRPr="003A46F2" w:rsidRDefault="007F7D5A" w:rsidP="007F7D5A">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1.</w:t>
            </w:r>
          </w:p>
        </w:tc>
        <w:tc>
          <w:tcPr>
            <w:tcW w:w="3260" w:type="dxa"/>
          </w:tcPr>
          <w:p w14:paraId="1B9C7BCC" w14:textId="77777777" w:rsidR="007F7D5A" w:rsidRPr="003A46F2" w:rsidRDefault="007F7D5A" w:rsidP="007F7D5A">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Projekta izpildē iesaistītās institūcijas</w:t>
            </w:r>
          </w:p>
        </w:tc>
        <w:tc>
          <w:tcPr>
            <w:tcW w:w="5528" w:type="dxa"/>
          </w:tcPr>
          <w:p w14:paraId="5D46025F" w14:textId="48481B3F" w:rsidR="007F7D5A" w:rsidRPr="003A46F2" w:rsidRDefault="007F7D5A" w:rsidP="007F7D5A">
            <w:pPr>
              <w:jc w:val="both"/>
            </w:pPr>
            <w:r w:rsidRPr="003A46F2">
              <w:t xml:space="preserve">Veselības ministrija, </w:t>
            </w:r>
            <w:r w:rsidR="003A46F2" w:rsidRPr="003A46F2">
              <w:t>VNĪ</w:t>
            </w:r>
          </w:p>
        </w:tc>
      </w:tr>
      <w:tr w:rsidR="003A46F2" w:rsidRPr="003A46F2" w14:paraId="7431A2A7" w14:textId="77777777" w:rsidTr="006936E5">
        <w:tc>
          <w:tcPr>
            <w:tcW w:w="568" w:type="dxa"/>
          </w:tcPr>
          <w:p w14:paraId="63DA7087" w14:textId="77777777" w:rsidR="0049601C" w:rsidRPr="003A46F2" w:rsidRDefault="0049601C" w:rsidP="0049601C">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2.</w:t>
            </w:r>
          </w:p>
        </w:tc>
        <w:tc>
          <w:tcPr>
            <w:tcW w:w="3260" w:type="dxa"/>
          </w:tcPr>
          <w:p w14:paraId="4E1BD7D7" w14:textId="77777777" w:rsidR="0049601C" w:rsidRPr="003A46F2" w:rsidRDefault="0049601C" w:rsidP="0049601C">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Projekta izpildes ietekme uz pārvaldes funkcijām un </w:t>
            </w:r>
            <w:r w:rsidRPr="003A46F2">
              <w:rPr>
                <w:rFonts w:ascii="Times New Roman" w:hAnsi="Times New Roman" w:cs="Times New Roman"/>
                <w:iCs/>
                <w:sz w:val="24"/>
                <w:szCs w:val="24"/>
                <w:lang w:eastAsia="lv-LV"/>
              </w:rPr>
              <w:lastRenderedPageBreak/>
              <w:t>institucionālo struktūru.</w:t>
            </w:r>
            <w:r w:rsidRPr="003A46F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D34230E" w14:textId="77777777" w:rsidR="0049601C" w:rsidRPr="003A46F2" w:rsidRDefault="0049601C" w:rsidP="0049601C">
            <w:r w:rsidRPr="003A46F2">
              <w:lastRenderedPageBreak/>
              <w:t>Projekts šo jomu neskar.</w:t>
            </w:r>
          </w:p>
        </w:tc>
      </w:tr>
      <w:tr w:rsidR="003A46F2" w:rsidRPr="003A46F2" w14:paraId="4FB33349" w14:textId="77777777" w:rsidTr="006936E5">
        <w:tc>
          <w:tcPr>
            <w:tcW w:w="568" w:type="dxa"/>
          </w:tcPr>
          <w:p w14:paraId="2F39E751" w14:textId="77777777" w:rsidR="0049601C" w:rsidRPr="003A46F2" w:rsidRDefault="0049601C" w:rsidP="0049601C">
            <w:pPr>
              <w:pStyle w:val="NoSpacing"/>
              <w:jc w:val="center"/>
              <w:rPr>
                <w:rFonts w:ascii="Times New Roman" w:hAnsi="Times New Roman" w:cs="Times New Roman"/>
                <w:sz w:val="24"/>
                <w:szCs w:val="24"/>
                <w:lang w:eastAsia="lv-LV"/>
              </w:rPr>
            </w:pPr>
            <w:r w:rsidRPr="003A46F2">
              <w:rPr>
                <w:rFonts w:ascii="Times New Roman" w:hAnsi="Times New Roman" w:cs="Times New Roman"/>
                <w:sz w:val="24"/>
                <w:szCs w:val="24"/>
                <w:lang w:eastAsia="lv-LV"/>
              </w:rPr>
              <w:t>3.</w:t>
            </w:r>
          </w:p>
        </w:tc>
        <w:tc>
          <w:tcPr>
            <w:tcW w:w="3260" w:type="dxa"/>
          </w:tcPr>
          <w:p w14:paraId="5B6BD1A3" w14:textId="77777777" w:rsidR="0049601C" w:rsidRPr="003A46F2" w:rsidRDefault="0049601C" w:rsidP="0049601C">
            <w:pPr>
              <w:pStyle w:val="NoSpacing"/>
              <w:jc w:val="both"/>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Cita informācija</w:t>
            </w:r>
          </w:p>
        </w:tc>
        <w:tc>
          <w:tcPr>
            <w:tcW w:w="5528" w:type="dxa"/>
          </w:tcPr>
          <w:p w14:paraId="5256316E" w14:textId="77777777" w:rsidR="0049601C" w:rsidRPr="003A46F2" w:rsidRDefault="0049601C" w:rsidP="0049601C">
            <w:pPr>
              <w:pStyle w:val="NoSpacing"/>
              <w:rPr>
                <w:rFonts w:ascii="Times New Roman" w:hAnsi="Times New Roman" w:cs="Times New Roman"/>
                <w:sz w:val="24"/>
                <w:szCs w:val="24"/>
                <w:lang w:eastAsia="lv-LV"/>
              </w:rPr>
            </w:pPr>
            <w:r w:rsidRPr="003A46F2">
              <w:rPr>
                <w:rFonts w:ascii="Times New Roman" w:hAnsi="Times New Roman" w:cs="Times New Roman"/>
                <w:sz w:val="24"/>
                <w:szCs w:val="24"/>
                <w:lang w:eastAsia="lv-LV"/>
              </w:rPr>
              <w:t>Nav</w:t>
            </w:r>
          </w:p>
        </w:tc>
      </w:tr>
    </w:tbl>
    <w:p w14:paraId="28C347B2" w14:textId="77777777" w:rsidR="008B37B7" w:rsidRPr="003A46F2" w:rsidRDefault="00E5323B" w:rsidP="00EC6E12">
      <w:pPr>
        <w:pStyle w:val="NoSpacing"/>
        <w:rPr>
          <w:rFonts w:ascii="Times New Roman" w:hAnsi="Times New Roman" w:cs="Times New Roman"/>
          <w:iCs/>
          <w:sz w:val="24"/>
          <w:szCs w:val="24"/>
          <w:lang w:eastAsia="lv-LV"/>
        </w:rPr>
      </w:pPr>
      <w:r w:rsidRPr="003A46F2">
        <w:rPr>
          <w:rFonts w:ascii="Times New Roman" w:hAnsi="Times New Roman" w:cs="Times New Roman"/>
          <w:iCs/>
          <w:sz w:val="24"/>
          <w:szCs w:val="24"/>
          <w:lang w:eastAsia="lv-LV"/>
        </w:rPr>
        <w:t xml:space="preserve"> </w:t>
      </w:r>
    </w:p>
    <w:p w14:paraId="66A238C6" w14:textId="77777777" w:rsidR="008B37B7" w:rsidRPr="003A46F2" w:rsidRDefault="008B37B7" w:rsidP="00EC6E12">
      <w:pPr>
        <w:pStyle w:val="NoSpacing"/>
        <w:rPr>
          <w:rFonts w:ascii="Times New Roman" w:hAnsi="Times New Roman" w:cs="Times New Roman"/>
          <w:iCs/>
          <w:sz w:val="24"/>
          <w:szCs w:val="24"/>
          <w:lang w:eastAsia="lv-LV"/>
        </w:rPr>
      </w:pPr>
    </w:p>
    <w:p w14:paraId="7868FE36" w14:textId="77777777" w:rsidR="00DF461F" w:rsidRPr="003A46F2" w:rsidRDefault="00DC2DAF" w:rsidP="00DF461F">
      <w:pPr>
        <w:ind w:right="-765"/>
        <w:rPr>
          <w:rFonts w:eastAsia="Calibri"/>
          <w:sz w:val="28"/>
          <w:szCs w:val="28"/>
        </w:rPr>
      </w:pPr>
      <w:r w:rsidRPr="003A46F2">
        <w:rPr>
          <w:sz w:val="28"/>
          <w:szCs w:val="28"/>
        </w:rPr>
        <w:t xml:space="preserve">Veselības ministre </w:t>
      </w:r>
      <w:r w:rsidRPr="003A46F2">
        <w:rPr>
          <w:sz w:val="28"/>
          <w:szCs w:val="28"/>
        </w:rPr>
        <w:tab/>
      </w:r>
      <w:r w:rsidRPr="003A46F2">
        <w:rPr>
          <w:sz w:val="28"/>
          <w:szCs w:val="28"/>
        </w:rPr>
        <w:tab/>
      </w:r>
      <w:r w:rsidRPr="003A46F2">
        <w:rPr>
          <w:sz w:val="28"/>
          <w:szCs w:val="28"/>
        </w:rPr>
        <w:tab/>
      </w:r>
      <w:r w:rsidRPr="003A46F2">
        <w:rPr>
          <w:sz w:val="28"/>
          <w:szCs w:val="28"/>
        </w:rPr>
        <w:tab/>
      </w:r>
      <w:r w:rsidRPr="003A46F2">
        <w:rPr>
          <w:sz w:val="28"/>
          <w:szCs w:val="28"/>
        </w:rPr>
        <w:tab/>
      </w:r>
      <w:r w:rsidRPr="003A46F2">
        <w:rPr>
          <w:sz w:val="28"/>
          <w:szCs w:val="28"/>
        </w:rPr>
        <w:tab/>
      </w:r>
      <w:r w:rsidR="005826B6" w:rsidRPr="003A46F2">
        <w:rPr>
          <w:sz w:val="28"/>
          <w:szCs w:val="28"/>
        </w:rPr>
        <w:t>I</w:t>
      </w:r>
      <w:r w:rsidR="00313AD3" w:rsidRPr="003A46F2">
        <w:rPr>
          <w:sz w:val="28"/>
          <w:szCs w:val="28"/>
        </w:rPr>
        <w:t>.</w:t>
      </w:r>
      <w:r w:rsidR="005826B6" w:rsidRPr="003A46F2">
        <w:rPr>
          <w:sz w:val="28"/>
          <w:szCs w:val="28"/>
        </w:rPr>
        <w:t xml:space="preserve"> Viņķele</w:t>
      </w:r>
    </w:p>
    <w:p w14:paraId="6EED483D" w14:textId="77777777" w:rsidR="00DF461F" w:rsidRPr="003A46F2" w:rsidRDefault="00DF461F" w:rsidP="00DF461F">
      <w:pPr>
        <w:tabs>
          <w:tab w:val="left" w:pos="6237"/>
        </w:tabs>
        <w:ind w:firstLine="720"/>
        <w:rPr>
          <w:rFonts w:eastAsiaTheme="minorHAnsi"/>
          <w:sz w:val="28"/>
          <w:szCs w:val="28"/>
        </w:rPr>
      </w:pPr>
      <w:r w:rsidRPr="003A46F2">
        <w:rPr>
          <w:sz w:val="28"/>
          <w:szCs w:val="28"/>
        </w:rPr>
        <w:tab/>
      </w:r>
    </w:p>
    <w:p w14:paraId="1FF93849" w14:textId="77777777" w:rsidR="00DF461F" w:rsidRPr="003A46F2" w:rsidRDefault="00DF461F" w:rsidP="00DF461F">
      <w:pPr>
        <w:ind w:right="-765"/>
        <w:rPr>
          <w:rFonts w:eastAsia="Calibri"/>
          <w:sz w:val="28"/>
          <w:szCs w:val="28"/>
        </w:rPr>
      </w:pPr>
    </w:p>
    <w:p w14:paraId="36F10031" w14:textId="77777777" w:rsidR="00155578" w:rsidRPr="003A46F2" w:rsidRDefault="00DF461F" w:rsidP="00DF461F">
      <w:pPr>
        <w:pStyle w:val="NormalWeb"/>
        <w:spacing w:before="0" w:beforeAutospacing="0" w:after="0" w:afterAutospacing="0"/>
        <w:rPr>
          <w:sz w:val="20"/>
          <w:szCs w:val="20"/>
        </w:rPr>
      </w:pPr>
      <w:r w:rsidRPr="003A46F2">
        <w:rPr>
          <w:rFonts w:eastAsia="Calibri"/>
          <w:sz w:val="28"/>
          <w:szCs w:val="28"/>
        </w:rPr>
        <w:t>Vīza: Valsts sekretār</w:t>
      </w:r>
      <w:r w:rsidR="00340618" w:rsidRPr="003A46F2">
        <w:rPr>
          <w:rFonts w:eastAsia="Calibri"/>
          <w:sz w:val="28"/>
          <w:szCs w:val="28"/>
        </w:rPr>
        <w:t>e</w:t>
      </w:r>
      <w:r w:rsidR="00340618" w:rsidRPr="003A46F2">
        <w:rPr>
          <w:rFonts w:eastAsia="Calibri"/>
          <w:sz w:val="28"/>
          <w:szCs w:val="28"/>
        </w:rPr>
        <w:tab/>
      </w:r>
      <w:r w:rsidRPr="003A46F2">
        <w:rPr>
          <w:rFonts w:eastAsia="Calibri"/>
          <w:sz w:val="28"/>
          <w:szCs w:val="28"/>
        </w:rPr>
        <w:tab/>
      </w:r>
      <w:r w:rsidRPr="003A46F2">
        <w:rPr>
          <w:rFonts w:eastAsia="Calibri"/>
          <w:sz w:val="28"/>
          <w:szCs w:val="28"/>
        </w:rPr>
        <w:tab/>
      </w:r>
      <w:r w:rsidRPr="003A46F2">
        <w:rPr>
          <w:rFonts w:eastAsia="Calibri"/>
          <w:sz w:val="28"/>
          <w:szCs w:val="28"/>
        </w:rPr>
        <w:tab/>
      </w:r>
      <w:r w:rsidRPr="003A46F2">
        <w:rPr>
          <w:rFonts w:eastAsia="Calibri"/>
          <w:sz w:val="28"/>
          <w:szCs w:val="28"/>
        </w:rPr>
        <w:tab/>
      </w:r>
      <w:r w:rsidR="005826B6" w:rsidRPr="003A46F2">
        <w:rPr>
          <w:rFonts w:eastAsia="Calibri"/>
          <w:sz w:val="28"/>
          <w:szCs w:val="28"/>
        </w:rPr>
        <w:t>D</w:t>
      </w:r>
      <w:r w:rsidR="00313AD3" w:rsidRPr="003A46F2">
        <w:rPr>
          <w:rFonts w:eastAsia="Calibri"/>
          <w:sz w:val="28"/>
          <w:szCs w:val="28"/>
        </w:rPr>
        <w:t>.</w:t>
      </w:r>
      <w:r w:rsidR="005826B6" w:rsidRPr="003A46F2">
        <w:rPr>
          <w:rFonts w:eastAsia="Calibri"/>
          <w:sz w:val="28"/>
          <w:szCs w:val="28"/>
        </w:rPr>
        <w:t xml:space="preserve"> Mūrmane-Umbraško</w:t>
      </w:r>
    </w:p>
    <w:p w14:paraId="56A13011" w14:textId="0CB1D28C" w:rsidR="00155578" w:rsidRPr="003A46F2" w:rsidRDefault="00155578" w:rsidP="00155578">
      <w:pPr>
        <w:pStyle w:val="NormalWeb"/>
        <w:spacing w:before="0" w:beforeAutospacing="0" w:after="0" w:afterAutospacing="0"/>
        <w:rPr>
          <w:sz w:val="20"/>
          <w:szCs w:val="20"/>
        </w:rPr>
      </w:pPr>
    </w:p>
    <w:p w14:paraId="1CE6F112" w14:textId="6AF37CB8" w:rsidR="00EE3715" w:rsidRPr="003A46F2" w:rsidRDefault="00EE3715" w:rsidP="00155578">
      <w:pPr>
        <w:pStyle w:val="NormalWeb"/>
        <w:spacing w:before="0" w:beforeAutospacing="0" w:after="0" w:afterAutospacing="0"/>
        <w:rPr>
          <w:sz w:val="20"/>
          <w:szCs w:val="20"/>
        </w:rPr>
      </w:pPr>
    </w:p>
    <w:p w14:paraId="1A049203" w14:textId="3C62379C" w:rsidR="00611352" w:rsidRPr="003A46F2" w:rsidRDefault="00611352" w:rsidP="00155578">
      <w:pPr>
        <w:pStyle w:val="NormalWeb"/>
        <w:spacing w:before="0" w:beforeAutospacing="0" w:after="0" w:afterAutospacing="0"/>
        <w:rPr>
          <w:sz w:val="20"/>
          <w:szCs w:val="20"/>
        </w:rPr>
      </w:pPr>
    </w:p>
    <w:p w14:paraId="1EFC3031" w14:textId="4BD19D72" w:rsidR="00611352" w:rsidRPr="003A46F2" w:rsidRDefault="00611352" w:rsidP="00155578">
      <w:pPr>
        <w:pStyle w:val="NormalWeb"/>
        <w:spacing w:before="0" w:beforeAutospacing="0" w:after="0" w:afterAutospacing="0"/>
        <w:rPr>
          <w:sz w:val="20"/>
          <w:szCs w:val="20"/>
        </w:rPr>
      </w:pPr>
    </w:p>
    <w:p w14:paraId="4391E97E" w14:textId="4FB760C3" w:rsidR="00611352" w:rsidRPr="003A46F2" w:rsidRDefault="00611352" w:rsidP="00155578">
      <w:pPr>
        <w:pStyle w:val="NormalWeb"/>
        <w:spacing w:before="0" w:beforeAutospacing="0" w:after="0" w:afterAutospacing="0"/>
        <w:rPr>
          <w:sz w:val="20"/>
          <w:szCs w:val="20"/>
        </w:rPr>
      </w:pPr>
    </w:p>
    <w:p w14:paraId="4907F873" w14:textId="77777777" w:rsidR="00611352" w:rsidRPr="003A46F2" w:rsidRDefault="00611352" w:rsidP="00155578">
      <w:pPr>
        <w:pStyle w:val="NormalWeb"/>
        <w:spacing w:before="0" w:beforeAutospacing="0" w:after="0" w:afterAutospacing="0"/>
        <w:rPr>
          <w:sz w:val="20"/>
          <w:szCs w:val="20"/>
        </w:rPr>
      </w:pPr>
    </w:p>
    <w:p w14:paraId="00BDD4F8" w14:textId="77777777" w:rsidR="00B6729B" w:rsidRPr="003A46F2" w:rsidRDefault="00B6729B" w:rsidP="00155578">
      <w:pPr>
        <w:pStyle w:val="NormalWeb"/>
        <w:spacing w:before="0" w:beforeAutospacing="0" w:after="0" w:afterAutospacing="0"/>
      </w:pPr>
    </w:p>
    <w:p w14:paraId="0D9FEAF0" w14:textId="58132C9C" w:rsidR="00155578" w:rsidRPr="003A46F2" w:rsidRDefault="003A46F2" w:rsidP="00155578">
      <w:pPr>
        <w:pStyle w:val="NormalWeb"/>
        <w:spacing w:before="0" w:beforeAutospacing="0" w:after="0" w:afterAutospacing="0"/>
      </w:pPr>
      <w:r>
        <w:t>Kasparenko</w:t>
      </w:r>
      <w:r w:rsidR="00155578" w:rsidRPr="003A46F2">
        <w:t xml:space="preserve"> 67876</w:t>
      </w:r>
      <w:r>
        <w:t>147</w:t>
      </w:r>
    </w:p>
    <w:p w14:paraId="4B04BF8C" w14:textId="07B74837" w:rsidR="00E465CE" w:rsidRPr="003A46F2" w:rsidRDefault="005E7658">
      <w:pPr>
        <w:pStyle w:val="NormalWeb"/>
        <w:spacing w:before="0" w:beforeAutospacing="0" w:after="0" w:afterAutospacing="0"/>
      </w:pPr>
      <w:hyperlink r:id="rId14" w:history="1">
        <w:r w:rsidR="003A46F2" w:rsidRPr="00F13190">
          <w:rPr>
            <w:rStyle w:val="Hyperlink"/>
          </w:rPr>
          <w:t>Sandra.Kasparenko@vm.gov.lv</w:t>
        </w:r>
      </w:hyperlink>
    </w:p>
    <w:sectPr w:rsidR="00E465CE" w:rsidRPr="003A46F2"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70E8" w14:textId="77777777" w:rsidR="005E7658" w:rsidRDefault="005E7658" w:rsidP="00894C55">
      <w:r>
        <w:separator/>
      </w:r>
    </w:p>
  </w:endnote>
  <w:endnote w:type="continuationSeparator" w:id="0">
    <w:p w14:paraId="02D84951" w14:textId="77777777" w:rsidR="005E7658" w:rsidRDefault="005E765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0A3A" w14:textId="282F819F" w:rsidR="002074A4" w:rsidRPr="00676DA8" w:rsidRDefault="00893E26" w:rsidP="00676DA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VManot_101120</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49E0" w14:textId="638BC9E4" w:rsidR="002074A4" w:rsidRPr="00893E26" w:rsidRDefault="00893E26" w:rsidP="00893E2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VManot_101120</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326C" w14:textId="77777777" w:rsidR="005E7658" w:rsidRDefault="005E7658" w:rsidP="00894C55">
      <w:r>
        <w:separator/>
      </w:r>
    </w:p>
  </w:footnote>
  <w:footnote w:type="continuationSeparator" w:id="0">
    <w:p w14:paraId="563E474D" w14:textId="77777777" w:rsidR="005E7658" w:rsidRDefault="005E765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69EFC5"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09D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5D81"/>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453B1D72"/>
    <w:multiLevelType w:val="hybridMultilevel"/>
    <w:tmpl w:val="77929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8C5552"/>
    <w:multiLevelType w:val="hybridMultilevel"/>
    <w:tmpl w:val="086ECD0A"/>
    <w:lvl w:ilvl="0" w:tplc="0338D91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9D17E8"/>
    <w:multiLevelType w:val="hybridMultilevel"/>
    <w:tmpl w:val="910C1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1DC49F1"/>
    <w:multiLevelType w:val="hybridMultilevel"/>
    <w:tmpl w:val="CCD6C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627A3C"/>
    <w:multiLevelType w:val="multilevel"/>
    <w:tmpl w:val="563A5A4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745415FC"/>
    <w:multiLevelType w:val="hybridMultilevel"/>
    <w:tmpl w:val="0F9E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FF1"/>
    <w:rsid w:val="00050143"/>
    <w:rsid w:val="00051EE3"/>
    <w:rsid w:val="00054473"/>
    <w:rsid w:val="00055704"/>
    <w:rsid w:val="0006374D"/>
    <w:rsid w:val="00064959"/>
    <w:rsid w:val="00067B40"/>
    <w:rsid w:val="0007255D"/>
    <w:rsid w:val="000746B1"/>
    <w:rsid w:val="00076EDC"/>
    <w:rsid w:val="00080BB1"/>
    <w:rsid w:val="0008249D"/>
    <w:rsid w:val="00087E40"/>
    <w:rsid w:val="000946D7"/>
    <w:rsid w:val="00095F9A"/>
    <w:rsid w:val="000971AA"/>
    <w:rsid w:val="000A21B9"/>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A50"/>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57AC8"/>
    <w:rsid w:val="00157EB4"/>
    <w:rsid w:val="00162996"/>
    <w:rsid w:val="00177A29"/>
    <w:rsid w:val="001824D7"/>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D97"/>
    <w:rsid w:val="001E7EAF"/>
    <w:rsid w:val="001F4EA3"/>
    <w:rsid w:val="001F6AC3"/>
    <w:rsid w:val="002019D8"/>
    <w:rsid w:val="002074A4"/>
    <w:rsid w:val="002119C3"/>
    <w:rsid w:val="00220B1B"/>
    <w:rsid w:val="00223CED"/>
    <w:rsid w:val="00230841"/>
    <w:rsid w:val="0023168A"/>
    <w:rsid w:val="002355FE"/>
    <w:rsid w:val="00243426"/>
    <w:rsid w:val="00251A72"/>
    <w:rsid w:val="002549F5"/>
    <w:rsid w:val="00256091"/>
    <w:rsid w:val="00264753"/>
    <w:rsid w:val="00266162"/>
    <w:rsid w:val="002702EA"/>
    <w:rsid w:val="0027706F"/>
    <w:rsid w:val="00277A80"/>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C76F1"/>
    <w:rsid w:val="002D1E95"/>
    <w:rsid w:val="002D3F58"/>
    <w:rsid w:val="002E1C05"/>
    <w:rsid w:val="002E48DC"/>
    <w:rsid w:val="002E6CE7"/>
    <w:rsid w:val="002F2DDA"/>
    <w:rsid w:val="002F32CD"/>
    <w:rsid w:val="002F7B64"/>
    <w:rsid w:val="00303246"/>
    <w:rsid w:val="003102E6"/>
    <w:rsid w:val="00312097"/>
    <w:rsid w:val="00312466"/>
    <w:rsid w:val="00313AD3"/>
    <w:rsid w:val="003142B7"/>
    <w:rsid w:val="00315B04"/>
    <w:rsid w:val="00320014"/>
    <w:rsid w:val="003205CD"/>
    <w:rsid w:val="003243B6"/>
    <w:rsid w:val="0033371C"/>
    <w:rsid w:val="00334745"/>
    <w:rsid w:val="00335899"/>
    <w:rsid w:val="00340618"/>
    <w:rsid w:val="00340F13"/>
    <w:rsid w:val="00341D70"/>
    <w:rsid w:val="00346F00"/>
    <w:rsid w:val="00350806"/>
    <w:rsid w:val="003605E4"/>
    <w:rsid w:val="00360972"/>
    <w:rsid w:val="00361916"/>
    <w:rsid w:val="00362642"/>
    <w:rsid w:val="00362E82"/>
    <w:rsid w:val="003671CE"/>
    <w:rsid w:val="00367478"/>
    <w:rsid w:val="00367AB5"/>
    <w:rsid w:val="00367E06"/>
    <w:rsid w:val="00372ACB"/>
    <w:rsid w:val="00380C6D"/>
    <w:rsid w:val="003874BB"/>
    <w:rsid w:val="003903BF"/>
    <w:rsid w:val="003A46F2"/>
    <w:rsid w:val="003B0BF9"/>
    <w:rsid w:val="003B76AB"/>
    <w:rsid w:val="003C0235"/>
    <w:rsid w:val="003C2624"/>
    <w:rsid w:val="003C7AEA"/>
    <w:rsid w:val="003D23E3"/>
    <w:rsid w:val="003D3453"/>
    <w:rsid w:val="003D4330"/>
    <w:rsid w:val="003D6DD6"/>
    <w:rsid w:val="003E0791"/>
    <w:rsid w:val="003E0FF4"/>
    <w:rsid w:val="003E4147"/>
    <w:rsid w:val="003E7430"/>
    <w:rsid w:val="003F1D68"/>
    <w:rsid w:val="003F1F2D"/>
    <w:rsid w:val="003F28AC"/>
    <w:rsid w:val="003F66CA"/>
    <w:rsid w:val="004016A4"/>
    <w:rsid w:val="00401F30"/>
    <w:rsid w:val="00403A2F"/>
    <w:rsid w:val="0041654D"/>
    <w:rsid w:val="00417A7A"/>
    <w:rsid w:val="00420133"/>
    <w:rsid w:val="00421EB1"/>
    <w:rsid w:val="00431C39"/>
    <w:rsid w:val="0043377F"/>
    <w:rsid w:val="00435568"/>
    <w:rsid w:val="0043765E"/>
    <w:rsid w:val="004454FE"/>
    <w:rsid w:val="00451F79"/>
    <w:rsid w:val="00452463"/>
    <w:rsid w:val="00456E40"/>
    <w:rsid w:val="004622AB"/>
    <w:rsid w:val="00463B4E"/>
    <w:rsid w:val="00464944"/>
    <w:rsid w:val="00467DE3"/>
    <w:rsid w:val="00470506"/>
    <w:rsid w:val="00470591"/>
    <w:rsid w:val="00470ECD"/>
    <w:rsid w:val="00471F27"/>
    <w:rsid w:val="00475F37"/>
    <w:rsid w:val="00477E09"/>
    <w:rsid w:val="00485E78"/>
    <w:rsid w:val="0048753C"/>
    <w:rsid w:val="004875DD"/>
    <w:rsid w:val="00493BF2"/>
    <w:rsid w:val="00494F80"/>
    <w:rsid w:val="00495760"/>
    <w:rsid w:val="0049601C"/>
    <w:rsid w:val="004964B8"/>
    <w:rsid w:val="004B5A63"/>
    <w:rsid w:val="004B7149"/>
    <w:rsid w:val="004C1FE7"/>
    <w:rsid w:val="004C44A1"/>
    <w:rsid w:val="004D2294"/>
    <w:rsid w:val="004D6991"/>
    <w:rsid w:val="004D7640"/>
    <w:rsid w:val="004E0175"/>
    <w:rsid w:val="004E1BA2"/>
    <w:rsid w:val="004E259F"/>
    <w:rsid w:val="004E276D"/>
    <w:rsid w:val="004E282B"/>
    <w:rsid w:val="004E29AE"/>
    <w:rsid w:val="004F0343"/>
    <w:rsid w:val="004F7DEC"/>
    <w:rsid w:val="0050178F"/>
    <w:rsid w:val="00502D97"/>
    <w:rsid w:val="005109D3"/>
    <w:rsid w:val="00513F3B"/>
    <w:rsid w:val="005169EA"/>
    <w:rsid w:val="00520FE1"/>
    <w:rsid w:val="005242EC"/>
    <w:rsid w:val="00526ADC"/>
    <w:rsid w:val="00526E2C"/>
    <w:rsid w:val="00527D8B"/>
    <w:rsid w:val="00533206"/>
    <w:rsid w:val="005349F0"/>
    <w:rsid w:val="00535C88"/>
    <w:rsid w:val="00541371"/>
    <w:rsid w:val="00547595"/>
    <w:rsid w:val="005534E6"/>
    <w:rsid w:val="00553E16"/>
    <w:rsid w:val="00564C6B"/>
    <w:rsid w:val="0056696D"/>
    <w:rsid w:val="00566AD6"/>
    <w:rsid w:val="005728A3"/>
    <w:rsid w:val="00577052"/>
    <w:rsid w:val="005805C4"/>
    <w:rsid w:val="00580732"/>
    <w:rsid w:val="005826B6"/>
    <w:rsid w:val="00583964"/>
    <w:rsid w:val="005856D9"/>
    <w:rsid w:val="00590AE6"/>
    <w:rsid w:val="00592966"/>
    <w:rsid w:val="00594B91"/>
    <w:rsid w:val="005A0C9D"/>
    <w:rsid w:val="005B1660"/>
    <w:rsid w:val="005C5A84"/>
    <w:rsid w:val="005D34DD"/>
    <w:rsid w:val="005D54F2"/>
    <w:rsid w:val="005D68A5"/>
    <w:rsid w:val="005E0C81"/>
    <w:rsid w:val="005E25B2"/>
    <w:rsid w:val="005E2981"/>
    <w:rsid w:val="005E3D77"/>
    <w:rsid w:val="005E5FFC"/>
    <w:rsid w:val="005E7658"/>
    <w:rsid w:val="005F0566"/>
    <w:rsid w:val="005F4FE2"/>
    <w:rsid w:val="005F7BA4"/>
    <w:rsid w:val="006043EA"/>
    <w:rsid w:val="006107B7"/>
    <w:rsid w:val="00611352"/>
    <w:rsid w:val="0061155F"/>
    <w:rsid w:val="00613BBF"/>
    <w:rsid w:val="006232F5"/>
    <w:rsid w:val="00626AC5"/>
    <w:rsid w:val="00627631"/>
    <w:rsid w:val="006329A1"/>
    <w:rsid w:val="006335C0"/>
    <w:rsid w:val="00635B83"/>
    <w:rsid w:val="0064126F"/>
    <w:rsid w:val="0064127B"/>
    <w:rsid w:val="0064498B"/>
    <w:rsid w:val="00644B15"/>
    <w:rsid w:val="00646244"/>
    <w:rsid w:val="0064653C"/>
    <w:rsid w:val="00647B3D"/>
    <w:rsid w:val="00647F0D"/>
    <w:rsid w:val="0065272F"/>
    <w:rsid w:val="006538AC"/>
    <w:rsid w:val="00655F2C"/>
    <w:rsid w:val="0065732C"/>
    <w:rsid w:val="0065758B"/>
    <w:rsid w:val="00663AF4"/>
    <w:rsid w:val="0066441B"/>
    <w:rsid w:val="00665761"/>
    <w:rsid w:val="0066594E"/>
    <w:rsid w:val="0066749E"/>
    <w:rsid w:val="0067466F"/>
    <w:rsid w:val="00674E12"/>
    <w:rsid w:val="00676DA8"/>
    <w:rsid w:val="00681F74"/>
    <w:rsid w:val="006842C0"/>
    <w:rsid w:val="00685E0B"/>
    <w:rsid w:val="006936E5"/>
    <w:rsid w:val="006A31D0"/>
    <w:rsid w:val="006A3331"/>
    <w:rsid w:val="006A3A22"/>
    <w:rsid w:val="006A479C"/>
    <w:rsid w:val="006A4B9B"/>
    <w:rsid w:val="006A4BF8"/>
    <w:rsid w:val="006A5A9B"/>
    <w:rsid w:val="006A5DEF"/>
    <w:rsid w:val="006B221B"/>
    <w:rsid w:val="006B490A"/>
    <w:rsid w:val="006C0B4E"/>
    <w:rsid w:val="006C0EB5"/>
    <w:rsid w:val="006C12A6"/>
    <w:rsid w:val="006C219D"/>
    <w:rsid w:val="006C2DFF"/>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6E57"/>
    <w:rsid w:val="00717431"/>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3180"/>
    <w:rsid w:val="00795F71"/>
    <w:rsid w:val="007A0DA7"/>
    <w:rsid w:val="007A1AB4"/>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714D"/>
    <w:rsid w:val="00860032"/>
    <w:rsid w:val="00861998"/>
    <w:rsid w:val="00863DCA"/>
    <w:rsid w:val="00867737"/>
    <w:rsid w:val="00874A6E"/>
    <w:rsid w:val="00875194"/>
    <w:rsid w:val="0087595E"/>
    <w:rsid w:val="00875A9D"/>
    <w:rsid w:val="00877646"/>
    <w:rsid w:val="00880941"/>
    <w:rsid w:val="008870FC"/>
    <w:rsid w:val="00891AF0"/>
    <w:rsid w:val="00891CFD"/>
    <w:rsid w:val="00893E26"/>
    <w:rsid w:val="00894C55"/>
    <w:rsid w:val="008954E8"/>
    <w:rsid w:val="00896510"/>
    <w:rsid w:val="00896A9B"/>
    <w:rsid w:val="00896B28"/>
    <w:rsid w:val="008A66C9"/>
    <w:rsid w:val="008B2B4E"/>
    <w:rsid w:val="008B37B7"/>
    <w:rsid w:val="008C1794"/>
    <w:rsid w:val="008C2003"/>
    <w:rsid w:val="008C3A5C"/>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5151"/>
    <w:rsid w:val="0092709B"/>
    <w:rsid w:val="009271C0"/>
    <w:rsid w:val="00931C65"/>
    <w:rsid w:val="00931F74"/>
    <w:rsid w:val="009337F9"/>
    <w:rsid w:val="00934582"/>
    <w:rsid w:val="00940FC7"/>
    <w:rsid w:val="0094176A"/>
    <w:rsid w:val="00945CE6"/>
    <w:rsid w:val="009505DA"/>
    <w:rsid w:val="00950BF1"/>
    <w:rsid w:val="00950DF4"/>
    <w:rsid w:val="00952108"/>
    <w:rsid w:val="00952FE1"/>
    <w:rsid w:val="009547D2"/>
    <w:rsid w:val="00960937"/>
    <w:rsid w:val="0096116B"/>
    <w:rsid w:val="009644BB"/>
    <w:rsid w:val="00966B5F"/>
    <w:rsid w:val="00972E35"/>
    <w:rsid w:val="009740EA"/>
    <w:rsid w:val="009741D2"/>
    <w:rsid w:val="00986BC6"/>
    <w:rsid w:val="009870A7"/>
    <w:rsid w:val="009907E2"/>
    <w:rsid w:val="009936B8"/>
    <w:rsid w:val="009945F3"/>
    <w:rsid w:val="00995509"/>
    <w:rsid w:val="009A0037"/>
    <w:rsid w:val="009A0228"/>
    <w:rsid w:val="009A22AF"/>
    <w:rsid w:val="009A2654"/>
    <w:rsid w:val="009A38DD"/>
    <w:rsid w:val="009A6794"/>
    <w:rsid w:val="009B0CA2"/>
    <w:rsid w:val="009B37C5"/>
    <w:rsid w:val="009B61EE"/>
    <w:rsid w:val="009B7770"/>
    <w:rsid w:val="009C15CF"/>
    <w:rsid w:val="009E1A8B"/>
    <w:rsid w:val="009E38B2"/>
    <w:rsid w:val="009E53FF"/>
    <w:rsid w:val="009E7C81"/>
    <w:rsid w:val="009F0F42"/>
    <w:rsid w:val="009F25E7"/>
    <w:rsid w:val="009F2D30"/>
    <w:rsid w:val="00A0244D"/>
    <w:rsid w:val="00A03A77"/>
    <w:rsid w:val="00A03AB5"/>
    <w:rsid w:val="00A07BD4"/>
    <w:rsid w:val="00A10FC3"/>
    <w:rsid w:val="00A16B22"/>
    <w:rsid w:val="00A21353"/>
    <w:rsid w:val="00A2399C"/>
    <w:rsid w:val="00A25C20"/>
    <w:rsid w:val="00A25EBA"/>
    <w:rsid w:val="00A35E02"/>
    <w:rsid w:val="00A364B7"/>
    <w:rsid w:val="00A406EF"/>
    <w:rsid w:val="00A53F16"/>
    <w:rsid w:val="00A57B21"/>
    <w:rsid w:val="00A6073E"/>
    <w:rsid w:val="00A60D70"/>
    <w:rsid w:val="00A61146"/>
    <w:rsid w:val="00A65FAC"/>
    <w:rsid w:val="00A772AD"/>
    <w:rsid w:val="00A80382"/>
    <w:rsid w:val="00A80FDB"/>
    <w:rsid w:val="00A85518"/>
    <w:rsid w:val="00A92096"/>
    <w:rsid w:val="00A935DA"/>
    <w:rsid w:val="00A93640"/>
    <w:rsid w:val="00AA4209"/>
    <w:rsid w:val="00AA4648"/>
    <w:rsid w:val="00AA55ED"/>
    <w:rsid w:val="00AB35AD"/>
    <w:rsid w:val="00AB6561"/>
    <w:rsid w:val="00AC24B1"/>
    <w:rsid w:val="00AC50B8"/>
    <w:rsid w:val="00AC50CF"/>
    <w:rsid w:val="00AC5884"/>
    <w:rsid w:val="00AC58B1"/>
    <w:rsid w:val="00AD0171"/>
    <w:rsid w:val="00AD0E17"/>
    <w:rsid w:val="00AE1295"/>
    <w:rsid w:val="00AE3F78"/>
    <w:rsid w:val="00AE5567"/>
    <w:rsid w:val="00AE73AA"/>
    <w:rsid w:val="00AF1239"/>
    <w:rsid w:val="00AF3AB8"/>
    <w:rsid w:val="00AF7C42"/>
    <w:rsid w:val="00B04563"/>
    <w:rsid w:val="00B07343"/>
    <w:rsid w:val="00B1213A"/>
    <w:rsid w:val="00B130ED"/>
    <w:rsid w:val="00B15FDD"/>
    <w:rsid w:val="00B16480"/>
    <w:rsid w:val="00B2165C"/>
    <w:rsid w:val="00B22B77"/>
    <w:rsid w:val="00B24C87"/>
    <w:rsid w:val="00B2576B"/>
    <w:rsid w:val="00B25BAC"/>
    <w:rsid w:val="00B2616F"/>
    <w:rsid w:val="00B31BDD"/>
    <w:rsid w:val="00B34AB7"/>
    <w:rsid w:val="00B35F78"/>
    <w:rsid w:val="00B40D44"/>
    <w:rsid w:val="00B47986"/>
    <w:rsid w:val="00B5648E"/>
    <w:rsid w:val="00B622AD"/>
    <w:rsid w:val="00B6729B"/>
    <w:rsid w:val="00B67377"/>
    <w:rsid w:val="00B716E9"/>
    <w:rsid w:val="00B76E17"/>
    <w:rsid w:val="00B8149C"/>
    <w:rsid w:val="00B83DE2"/>
    <w:rsid w:val="00B83EC8"/>
    <w:rsid w:val="00B84835"/>
    <w:rsid w:val="00B91FC6"/>
    <w:rsid w:val="00B9226B"/>
    <w:rsid w:val="00B927DC"/>
    <w:rsid w:val="00B9393D"/>
    <w:rsid w:val="00BA104A"/>
    <w:rsid w:val="00BA20AA"/>
    <w:rsid w:val="00BA33EF"/>
    <w:rsid w:val="00BA4D7E"/>
    <w:rsid w:val="00BA7BA7"/>
    <w:rsid w:val="00BB15E3"/>
    <w:rsid w:val="00BB6937"/>
    <w:rsid w:val="00BD0B06"/>
    <w:rsid w:val="00BD3CD6"/>
    <w:rsid w:val="00BD4425"/>
    <w:rsid w:val="00BD7F5E"/>
    <w:rsid w:val="00BE7C51"/>
    <w:rsid w:val="00BE7DC1"/>
    <w:rsid w:val="00BF02AF"/>
    <w:rsid w:val="00BF2A90"/>
    <w:rsid w:val="00C0281A"/>
    <w:rsid w:val="00C02AE6"/>
    <w:rsid w:val="00C03C0C"/>
    <w:rsid w:val="00C05E15"/>
    <w:rsid w:val="00C07AF6"/>
    <w:rsid w:val="00C10270"/>
    <w:rsid w:val="00C10676"/>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8ED"/>
    <w:rsid w:val="00C47037"/>
    <w:rsid w:val="00C53849"/>
    <w:rsid w:val="00C55F33"/>
    <w:rsid w:val="00C56F75"/>
    <w:rsid w:val="00C65A4B"/>
    <w:rsid w:val="00C66852"/>
    <w:rsid w:val="00C676A2"/>
    <w:rsid w:val="00C722A3"/>
    <w:rsid w:val="00C77477"/>
    <w:rsid w:val="00C80B0B"/>
    <w:rsid w:val="00C83131"/>
    <w:rsid w:val="00C8678C"/>
    <w:rsid w:val="00C9634E"/>
    <w:rsid w:val="00CA1AEE"/>
    <w:rsid w:val="00CA747D"/>
    <w:rsid w:val="00CB0786"/>
    <w:rsid w:val="00CB1824"/>
    <w:rsid w:val="00CB19C9"/>
    <w:rsid w:val="00CB6BA4"/>
    <w:rsid w:val="00CC0982"/>
    <w:rsid w:val="00CC0D2D"/>
    <w:rsid w:val="00CC4FDB"/>
    <w:rsid w:val="00CC6EDA"/>
    <w:rsid w:val="00CC720B"/>
    <w:rsid w:val="00CD2F04"/>
    <w:rsid w:val="00CD44BF"/>
    <w:rsid w:val="00CD6F4E"/>
    <w:rsid w:val="00CE49C7"/>
    <w:rsid w:val="00CE5657"/>
    <w:rsid w:val="00CE7A73"/>
    <w:rsid w:val="00CF262B"/>
    <w:rsid w:val="00CF3D9F"/>
    <w:rsid w:val="00CF6439"/>
    <w:rsid w:val="00CF7143"/>
    <w:rsid w:val="00D01A6E"/>
    <w:rsid w:val="00D02DDA"/>
    <w:rsid w:val="00D03ADD"/>
    <w:rsid w:val="00D11F9F"/>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57CF"/>
    <w:rsid w:val="00D8655B"/>
    <w:rsid w:val="00D900BB"/>
    <w:rsid w:val="00D903DA"/>
    <w:rsid w:val="00D92E60"/>
    <w:rsid w:val="00DB079D"/>
    <w:rsid w:val="00DB1AB8"/>
    <w:rsid w:val="00DB423E"/>
    <w:rsid w:val="00DB50C9"/>
    <w:rsid w:val="00DB6C09"/>
    <w:rsid w:val="00DC09E9"/>
    <w:rsid w:val="00DC2DAF"/>
    <w:rsid w:val="00DC4012"/>
    <w:rsid w:val="00DC5AA3"/>
    <w:rsid w:val="00DC5EDB"/>
    <w:rsid w:val="00DC6B64"/>
    <w:rsid w:val="00DC7938"/>
    <w:rsid w:val="00DD4186"/>
    <w:rsid w:val="00DD555B"/>
    <w:rsid w:val="00DD5E1F"/>
    <w:rsid w:val="00DE07F2"/>
    <w:rsid w:val="00DF027E"/>
    <w:rsid w:val="00DF461F"/>
    <w:rsid w:val="00DF5C02"/>
    <w:rsid w:val="00DF68F8"/>
    <w:rsid w:val="00DF776E"/>
    <w:rsid w:val="00DF77D6"/>
    <w:rsid w:val="00E01657"/>
    <w:rsid w:val="00E04A9C"/>
    <w:rsid w:val="00E14EE8"/>
    <w:rsid w:val="00E21304"/>
    <w:rsid w:val="00E31F13"/>
    <w:rsid w:val="00E32710"/>
    <w:rsid w:val="00E3716B"/>
    <w:rsid w:val="00E374E1"/>
    <w:rsid w:val="00E4149D"/>
    <w:rsid w:val="00E45EF4"/>
    <w:rsid w:val="00E465CE"/>
    <w:rsid w:val="00E51795"/>
    <w:rsid w:val="00E5323B"/>
    <w:rsid w:val="00E53D86"/>
    <w:rsid w:val="00E560D2"/>
    <w:rsid w:val="00E570F0"/>
    <w:rsid w:val="00E66E09"/>
    <w:rsid w:val="00E67EAF"/>
    <w:rsid w:val="00E71E92"/>
    <w:rsid w:val="00E742DF"/>
    <w:rsid w:val="00E751EA"/>
    <w:rsid w:val="00E84B2A"/>
    <w:rsid w:val="00E867F1"/>
    <w:rsid w:val="00E8749E"/>
    <w:rsid w:val="00E874D8"/>
    <w:rsid w:val="00E90C01"/>
    <w:rsid w:val="00E90D0B"/>
    <w:rsid w:val="00E966C3"/>
    <w:rsid w:val="00E96DC6"/>
    <w:rsid w:val="00E97680"/>
    <w:rsid w:val="00EA0908"/>
    <w:rsid w:val="00EA130F"/>
    <w:rsid w:val="00EA486E"/>
    <w:rsid w:val="00EA5229"/>
    <w:rsid w:val="00EB17D4"/>
    <w:rsid w:val="00EB32C5"/>
    <w:rsid w:val="00EB3AFC"/>
    <w:rsid w:val="00EB49A7"/>
    <w:rsid w:val="00EC1502"/>
    <w:rsid w:val="00EC59F3"/>
    <w:rsid w:val="00EC6E12"/>
    <w:rsid w:val="00EC766A"/>
    <w:rsid w:val="00ED25EE"/>
    <w:rsid w:val="00ED2D59"/>
    <w:rsid w:val="00ED5F8C"/>
    <w:rsid w:val="00EE0AC0"/>
    <w:rsid w:val="00EE2F62"/>
    <w:rsid w:val="00EE3715"/>
    <w:rsid w:val="00EE6183"/>
    <w:rsid w:val="00EE7ECB"/>
    <w:rsid w:val="00EF3C3A"/>
    <w:rsid w:val="00F00B5E"/>
    <w:rsid w:val="00F01AE4"/>
    <w:rsid w:val="00F01E73"/>
    <w:rsid w:val="00F04C70"/>
    <w:rsid w:val="00F05142"/>
    <w:rsid w:val="00F12351"/>
    <w:rsid w:val="00F12E92"/>
    <w:rsid w:val="00F145E9"/>
    <w:rsid w:val="00F14A00"/>
    <w:rsid w:val="00F160EC"/>
    <w:rsid w:val="00F17FDC"/>
    <w:rsid w:val="00F26232"/>
    <w:rsid w:val="00F277CC"/>
    <w:rsid w:val="00F3460D"/>
    <w:rsid w:val="00F464CE"/>
    <w:rsid w:val="00F47A9F"/>
    <w:rsid w:val="00F530FE"/>
    <w:rsid w:val="00F57AC1"/>
    <w:rsid w:val="00F57B0C"/>
    <w:rsid w:val="00F679E9"/>
    <w:rsid w:val="00F67B4B"/>
    <w:rsid w:val="00F71600"/>
    <w:rsid w:val="00F72D88"/>
    <w:rsid w:val="00F77376"/>
    <w:rsid w:val="00F778E9"/>
    <w:rsid w:val="00F77F67"/>
    <w:rsid w:val="00F8145B"/>
    <w:rsid w:val="00F82318"/>
    <w:rsid w:val="00F85BFB"/>
    <w:rsid w:val="00F85DC5"/>
    <w:rsid w:val="00F87284"/>
    <w:rsid w:val="00F87CAE"/>
    <w:rsid w:val="00F95701"/>
    <w:rsid w:val="00F96ED0"/>
    <w:rsid w:val="00F97428"/>
    <w:rsid w:val="00FA2114"/>
    <w:rsid w:val="00FA5D3C"/>
    <w:rsid w:val="00FB3A66"/>
    <w:rsid w:val="00FB4965"/>
    <w:rsid w:val="00FC3FDB"/>
    <w:rsid w:val="00FC7F88"/>
    <w:rsid w:val="00FD3303"/>
    <w:rsid w:val="00FD48F3"/>
    <w:rsid w:val="00FE01C3"/>
    <w:rsid w:val="00FE5BDE"/>
    <w:rsid w:val="00FE71B1"/>
    <w:rsid w:val="00FF3A1B"/>
    <w:rsid w:val="00FF3C58"/>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B3E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1E7D97"/>
    <w:pPr>
      <w:jc w:val="both"/>
    </w:pPr>
    <w:rPr>
      <w:sz w:val="20"/>
      <w:szCs w:val="20"/>
      <w:lang w:eastAsia="en-US"/>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1E7D9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A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325375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7564372">
      <w:bodyDiv w:val="1"/>
      <w:marLeft w:val="0"/>
      <w:marRight w:val="0"/>
      <w:marTop w:val="0"/>
      <w:marBottom w:val="0"/>
      <w:divBdr>
        <w:top w:val="none" w:sz="0" w:space="0" w:color="auto"/>
        <w:left w:val="none" w:sz="0" w:space="0" w:color="auto"/>
        <w:bottom w:val="none" w:sz="0" w:space="0" w:color="auto"/>
        <w:right w:val="none" w:sz="0" w:space="0" w:color="auto"/>
      </w:divBdr>
    </w:div>
    <w:div w:id="651906779">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69889259">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0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6232-par-valsts-budzetu-2019-gadam" TargetMode="External"/><Relationship Id="rId13" Type="http://schemas.openxmlformats.org/officeDocument/2006/relationships/hyperlink" Target="https://likumi.lv/ta/id/306232-par-valsts-budzetu-2019-gad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6232-par-valsts-budzetu-2019-gad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6232-par-valsts-budzetu-2019-gad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06232-par-valsts-budzetu-2019-gad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06232-par-valsts-budzetu-2019-gadam" TargetMode="External"/><Relationship Id="rId14" Type="http://schemas.openxmlformats.org/officeDocument/2006/relationships/hyperlink" Target="mailto:Sandra.Kasparenko@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1B5F-80EF-4EF6-B2B5-16298B5B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7429</Words>
  <Characters>4236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liene.abola@vm.gov.lv</dc:creator>
  <dc:description>67876169, Ivita.Lazdina@vm.gov.lv, Nozares budžeta plānošanas departamenta_x000d_
Vecākā eksperte</dc:description>
  <cp:lastModifiedBy>Igors Belovs</cp:lastModifiedBy>
  <cp:revision>10</cp:revision>
  <cp:lastPrinted>2020-03-24T15:32:00Z</cp:lastPrinted>
  <dcterms:created xsi:type="dcterms:W3CDTF">2020-11-06T12:39:00Z</dcterms:created>
  <dcterms:modified xsi:type="dcterms:W3CDTF">2020-11-10T14:05:00Z</dcterms:modified>
</cp:coreProperties>
</file>