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81DB" w14:textId="77777777" w:rsidR="00BC4EE1" w:rsidRPr="00AD5D01" w:rsidRDefault="00BC4EE1" w:rsidP="00BC4EE1">
      <w:pPr>
        <w:pStyle w:val="naisnod"/>
        <w:spacing w:before="0" w:after="0"/>
        <w:ind w:firstLine="720"/>
        <w:rPr>
          <w:sz w:val="28"/>
          <w:szCs w:val="28"/>
        </w:rPr>
      </w:pPr>
      <w:r w:rsidRPr="00AD5D01">
        <w:rPr>
          <w:sz w:val="28"/>
          <w:szCs w:val="28"/>
        </w:rPr>
        <w:t>Izziņa par atzinumos sniegtajiem iebildumiem</w:t>
      </w:r>
    </w:p>
    <w:tbl>
      <w:tblPr>
        <w:tblW w:w="12948" w:type="dxa"/>
        <w:jc w:val="center"/>
        <w:tblLook w:val="00A0" w:firstRow="1" w:lastRow="0" w:firstColumn="1" w:lastColumn="0" w:noHBand="0" w:noVBand="0"/>
      </w:tblPr>
      <w:tblGrid>
        <w:gridCol w:w="12948"/>
      </w:tblGrid>
      <w:tr w:rsidR="00BC4EE1" w:rsidRPr="00A532C6" w14:paraId="76D3FE9C" w14:textId="77777777" w:rsidTr="00C96202">
        <w:trPr>
          <w:jc w:val="center"/>
        </w:trPr>
        <w:tc>
          <w:tcPr>
            <w:tcW w:w="12948" w:type="dxa"/>
          </w:tcPr>
          <w:p w14:paraId="7CC88326" w14:textId="11B65BD6" w:rsidR="00BC4EE1" w:rsidRDefault="00BC4EE1" w:rsidP="00C96202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C4EE1">
              <w:rPr>
                <w:b/>
                <w:sz w:val="28"/>
                <w:szCs w:val="28"/>
                <w:lang w:val="lv-LV"/>
              </w:rPr>
              <w:t xml:space="preserve">par </w:t>
            </w:r>
            <w:sdt>
              <w:sdtPr>
                <w:rPr>
                  <w:b/>
                  <w:bCs/>
                  <w:color w:val="000000" w:themeColor="text1"/>
                  <w:sz w:val="28"/>
                  <w:szCs w:val="28"/>
                </w:rPr>
                <w:id w:val="1109294832"/>
                <w:placeholder>
                  <w:docPart w:val="FCCDFF784C5B466F8D9E85B5F0454152"/>
                </w:placeholder>
              </w:sdtPr>
              <w:sdtEndPr/>
              <w:sdtContent>
                <w:r w:rsidR="005E31C2" w:rsidRPr="005E31C2">
                  <w:rPr>
                    <w:b/>
                    <w:bCs/>
                    <w:sz w:val="28"/>
                    <w:szCs w:val="28"/>
                    <w:lang w:val="lv-LV"/>
                  </w:rPr>
                  <w:t xml:space="preserve">Informatīvo ziņojumu </w:t>
                </w:r>
                <w:r w:rsidR="005E31C2" w:rsidRPr="00191C00">
                  <w:rPr>
                    <w:b/>
                    <w:bCs/>
                    <w:sz w:val="28"/>
                    <w:szCs w:val="28"/>
                    <w:lang w:val="lv-LV"/>
                  </w:rPr>
                  <w:t>par</w:t>
                </w:r>
                <w:r w:rsidR="00191C00" w:rsidRPr="00191C00">
                  <w:rPr>
                    <w:b/>
                    <w:bCs/>
                    <w:sz w:val="28"/>
                    <w:szCs w:val="28"/>
                    <w:lang w:val="lv-LV"/>
                  </w:rPr>
                  <w:t xml:space="preserve"> </w:t>
                </w:r>
                <w:r w:rsidR="00191C00" w:rsidRPr="00191C00">
                  <w:rPr>
                    <w:b/>
                    <w:bCs/>
                    <w:noProof/>
                    <w:sz w:val="28"/>
                    <w:szCs w:val="28"/>
                    <w:lang w:val="lv-LV"/>
                  </w:rPr>
                  <w:t xml:space="preserve">Eiropas Savienības </w:t>
                </w:r>
                <w:r w:rsidR="00191C00" w:rsidRPr="00191C00">
                  <w:rPr>
                    <w:b/>
                    <w:bCs/>
                    <w:sz w:val="28"/>
                    <w:szCs w:val="28"/>
                    <w:lang w:val="lv-LV"/>
                  </w:rPr>
                  <w:t>pētniecības</w:t>
                </w:r>
                <w:r w:rsidR="00191C00" w:rsidRPr="00191C00">
                  <w:rPr>
                    <w:b/>
                    <w:bCs/>
                    <w:noProof/>
                    <w:sz w:val="28"/>
                    <w:szCs w:val="28"/>
                    <w:lang w:val="lv-LV"/>
                  </w:rPr>
                  <w:t xml:space="preserve"> </w:t>
                </w:r>
                <w:r w:rsidR="00191C00" w:rsidRPr="00191C00">
                  <w:rPr>
                    <w:b/>
                    <w:bCs/>
                    <w:sz w:val="28"/>
                    <w:szCs w:val="28"/>
                    <w:lang w:val="lv-LV"/>
                  </w:rPr>
                  <w:t xml:space="preserve">un inovācijas atbalsta programmas “Apvārsnis 2020” līdzfinansētā projekta “X-eHealth: elektronsiko veselības ierakstu apmaiņa kopējā ietvarā” </w:t>
                </w:r>
                <w:r w:rsidR="005E31C2" w:rsidRPr="005E31C2">
                  <w:rPr>
                    <w:b/>
                    <w:bCs/>
                    <w:sz w:val="28"/>
                    <w:szCs w:val="28"/>
                    <w:lang w:val="lv-LV"/>
                  </w:rPr>
                  <w:t>īstenošanu</w:t>
                </w:r>
              </w:sdtContent>
            </w:sdt>
            <w:r w:rsidRPr="00BC4EE1">
              <w:rPr>
                <w:b/>
                <w:sz w:val="28"/>
                <w:szCs w:val="28"/>
                <w:lang w:val="lv-LV"/>
              </w:rPr>
              <w:t xml:space="preserve"> (VSS – </w:t>
            </w:r>
            <w:r w:rsidR="00191C00">
              <w:rPr>
                <w:b/>
                <w:sz w:val="28"/>
                <w:szCs w:val="28"/>
                <w:lang w:val="lv-LV"/>
              </w:rPr>
              <w:t>720</w:t>
            </w:r>
            <w:r w:rsidRPr="00BC4EE1">
              <w:rPr>
                <w:b/>
                <w:sz w:val="28"/>
                <w:szCs w:val="28"/>
                <w:lang w:val="lv-LV"/>
              </w:rPr>
              <w:t>)</w:t>
            </w:r>
          </w:p>
          <w:p w14:paraId="335C4BC8" w14:textId="77777777" w:rsidR="00BC4EE1" w:rsidRPr="00BC4EE1" w:rsidRDefault="00BC4EE1" w:rsidP="005E31C2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</w:tbl>
    <w:p w14:paraId="3DDBA766" w14:textId="77777777" w:rsidR="00BC4EE1" w:rsidRPr="00712B66" w:rsidRDefault="00BC4EE1" w:rsidP="00BC4EE1">
      <w:pPr>
        <w:pStyle w:val="naisf"/>
        <w:spacing w:before="0" w:after="0"/>
        <w:ind w:firstLine="0"/>
        <w:jc w:val="center"/>
        <w:rPr>
          <w:b/>
        </w:rPr>
      </w:pPr>
      <w:r>
        <w:rPr>
          <w:b/>
        </w:rPr>
        <w:t>I</w:t>
      </w:r>
      <w:r w:rsidRPr="00712B66">
        <w:rPr>
          <w:b/>
        </w:rPr>
        <w:t>. Jautājumi, par kuriem saskaņošanā vienošanās nav panākta</w:t>
      </w:r>
    </w:p>
    <w:p w14:paraId="2EB1D04B" w14:textId="77777777" w:rsidR="00BC4EE1" w:rsidRPr="00712B66" w:rsidRDefault="00BC4EE1" w:rsidP="00BC4EE1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52"/>
        <w:gridCol w:w="4252"/>
        <w:gridCol w:w="2977"/>
        <w:gridCol w:w="2459"/>
        <w:gridCol w:w="1920"/>
      </w:tblGrid>
      <w:tr w:rsidR="00BC4EE1" w14:paraId="1898A966" w14:textId="77777777" w:rsidTr="00C9620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097B9" w14:textId="77777777" w:rsidR="00BC4EE1" w:rsidRPr="00712B66" w:rsidRDefault="00BC4EE1" w:rsidP="00C96202">
            <w:pPr>
              <w:pStyle w:val="naisc"/>
              <w:spacing w:before="0" w:after="0"/>
            </w:pPr>
            <w:r w:rsidRPr="00712B66">
              <w:t>Nr. p.k.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9832E" w14:textId="77777777" w:rsidR="00BC4EE1" w:rsidRPr="00712B66" w:rsidRDefault="00BC4EE1" w:rsidP="00C96202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A2FA4" w14:textId="77777777" w:rsidR="00BC4EE1" w:rsidRPr="00712B66" w:rsidRDefault="00BC4EE1" w:rsidP="00C96202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</w:t>
            </w:r>
            <w:r>
              <w:t>,</w:t>
            </w:r>
            <w:r w:rsidRPr="00712B66">
              <w:t xml:space="preserve"> kā arī saskaņošanā papildus izteiktais iebildums par projekta konkrēto punktu (pantu)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25555" w14:textId="77777777" w:rsidR="00BC4EE1" w:rsidRPr="00712B66" w:rsidRDefault="00BC4EE1" w:rsidP="00C96202">
            <w:pPr>
              <w:pStyle w:val="naisc"/>
              <w:spacing w:before="0" w:after="0"/>
              <w:ind w:firstLine="21"/>
            </w:pPr>
            <w:r w:rsidRPr="00712B66">
              <w:t>Atbildīgās ministrijas pamatojums iebilduma noraidījumam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84E8" w14:textId="77777777" w:rsidR="00BC4EE1" w:rsidRPr="00BC4EE1" w:rsidRDefault="00BC4EE1" w:rsidP="00C96202">
            <w:pPr>
              <w:jc w:val="center"/>
              <w:rPr>
                <w:lang w:val="lv-LV"/>
              </w:rPr>
            </w:pPr>
            <w:r w:rsidRPr="00BC4EE1">
              <w:rPr>
                <w:lang w:val="lv-LV"/>
              </w:rPr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79FC3" w14:textId="77777777" w:rsidR="00BC4EE1" w:rsidRPr="00712B66" w:rsidRDefault="00BC4EE1" w:rsidP="00C96202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BC4EE1" w14:paraId="743A311F" w14:textId="77777777" w:rsidTr="00C9620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7251" w14:textId="77777777" w:rsidR="00BC4EE1" w:rsidRPr="008A36C9" w:rsidRDefault="00BC4EE1" w:rsidP="00C96202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531C" w14:textId="77777777" w:rsidR="00BC4EE1" w:rsidRPr="008A36C9" w:rsidRDefault="00BC4EE1" w:rsidP="00C9620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3029" w14:textId="77777777" w:rsidR="00BC4EE1" w:rsidRPr="008A36C9" w:rsidRDefault="00BC4EE1" w:rsidP="00C9620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90AD" w14:textId="77777777" w:rsidR="00BC4EE1" w:rsidRPr="008A36C9" w:rsidRDefault="00BC4EE1" w:rsidP="00C9620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963" w14:textId="77777777" w:rsidR="00BC4EE1" w:rsidRPr="008A36C9" w:rsidRDefault="00BC4EE1" w:rsidP="00C96202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BAAF4" w14:textId="77777777" w:rsidR="00BC4EE1" w:rsidRPr="008A36C9" w:rsidRDefault="00BC4EE1" w:rsidP="00C96202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6</w:t>
            </w:r>
          </w:p>
        </w:tc>
      </w:tr>
      <w:tr w:rsidR="00BC4EE1" w14:paraId="7B5C8118" w14:textId="77777777" w:rsidTr="00C96202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7B7456" w14:textId="77777777" w:rsidR="00BC4EE1" w:rsidRPr="00C923CB" w:rsidRDefault="00BC4EE1" w:rsidP="00C96202">
            <w:pPr>
              <w:pStyle w:val="naisc"/>
              <w:spacing w:before="0" w:after="0"/>
              <w:jc w:val="left"/>
            </w:pPr>
          </w:p>
        </w:tc>
        <w:tc>
          <w:tcPr>
            <w:tcW w:w="19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2AEDAB" w14:textId="77777777" w:rsidR="00BC4EE1" w:rsidRPr="009A7196" w:rsidRDefault="00BC4EE1" w:rsidP="00C96202">
            <w:pPr>
              <w:pStyle w:val="naisc"/>
              <w:spacing w:before="0" w:after="0"/>
              <w:ind w:firstLine="169"/>
              <w:jc w:val="both"/>
            </w:pPr>
          </w:p>
        </w:tc>
        <w:tc>
          <w:tcPr>
            <w:tcW w:w="42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EC9EA6" w14:textId="77777777" w:rsidR="00BC4EE1" w:rsidRPr="00712B66" w:rsidRDefault="00BC4EE1" w:rsidP="00C96202">
            <w:pPr>
              <w:pStyle w:val="naisc"/>
              <w:spacing w:before="0" w:after="0"/>
              <w:ind w:firstLine="175"/>
              <w:jc w:val="both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8F24DD" w14:textId="77777777" w:rsidR="00BC4EE1" w:rsidRPr="00712B66" w:rsidRDefault="00BC4EE1" w:rsidP="00C96202">
            <w:pPr>
              <w:pStyle w:val="naisc"/>
              <w:spacing w:before="0" w:after="0"/>
              <w:ind w:firstLine="720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4F8" w14:textId="77777777" w:rsidR="00BC4EE1" w:rsidRPr="00712B66" w:rsidRDefault="00BC4EE1" w:rsidP="00C96202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2A09" w14:textId="77777777" w:rsidR="00BC4EE1" w:rsidRPr="00712B66" w:rsidRDefault="00BC4EE1" w:rsidP="00C96202"/>
        </w:tc>
      </w:tr>
    </w:tbl>
    <w:p w14:paraId="26D17027" w14:textId="77777777" w:rsidR="00BC4EE1" w:rsidRPr="00712B66" w:rsidRDefault="00BC4EE1" w:rsidP="00BC4EE1">
      <w:pPr>
        <w:pStyle w:val="naisf"/>
        <w:spacing w:before="0" w:after="0"/>
        <w:ind w:firstLine="0"/>
      </w:pPr>
    </w:p>
    <w:p w14:paraId="4BC85A84" w14:textId="77777777" w:rsidR="00BC4EE1" w:rsidRPr="00712B66" w:rsidRDefault="00BC4EE1" w:rsidP="00BC4EE1">
      <w:pPr>
        <w:pStyle w:val="naisf"/>
        <w:spacing w:before="0" w:after="0"/>
        <w:ind w:firstLine="0"/>
        <w:rPr>
          <w:b/>
        </w:rPr>
      </w:pPr>
      <w:r w:rsidRPr="00712B66">
        <w:rPr>
          <w:b/>
        </w:rPr>
        <w:t>Informācija par starpministriju (starpinstitūciju) sanāksmi vai elektronisko saskaņošanu</w:t>
      </w:r>
    </w:p>
    <w:p w14:paraId="60454554" w14:textId="77777777" w:rsidR="00BC4EE1" w:rsidRPr="00712B66" w:rsidRDefault="00BC4EE1" w:rsidP="00BC4EE1">
      <w:pPr>
        <w:pStyle w:val="naisf"/>
        <w:spacing w:before="0" w:after="0"/>
        <w:ind w:firstLine="0"/>
        <w:rPr>
          <w:b/>
        </w:rPr>
      </w:pPr>
    </w:p>
    <w:tbl>
      <w:tblPr>
        <w:tblW w:w="13130" w:type="dxa"/>
        <w:tblLook w:val="00A0" w:firstRow="1" w:lastRow="0" w:firstColumn="1" w:lastColumn="0" w:noHBand="0" w:noVBand="0"/>
      </w:tblPr>
      <w:tblGrid>
        <w:gridCol w:w="6521"/>
        <w:gridCol w:w="233"/>
        <w:gridCol w:w="238"/>
        <w:gridCol w:w="644"/>
        <w:gridCol w:w="5032"/>
        <w:gridCol w:w="348"/>
        <w:gridCol w:w="114"/>
      </w:tblGrid>
      <w:tr w:rsidR="00BC4EE1" w14:paraId="78C6FF6E" w14:textId="77777777" w:rsidTr="00C96202">
        <w:trPr>
          <w:gridAfter w:val="1"/>
          <w:wAfter w:w="114" w:type="dxa"/>
          <w:trHeight w:val="307"/>
        </w:trPr>
        <w:tc>
          <w:tcPr>
            <w:tcW w:w="6521" w:type="dxa"/>
          </w:tcPr>
          <w:p w14:paraId="5C819D60" w14:textId="77777777" w:rsidR="00BC4EE1" w:rsidRPr="00712B66" w:rsidRDefault="00BC4EE1" w:rsidP="00C96202">
            <w:pPr>
              <w:pStyle w:val="naisf"/>
              <w:spacing w:before="0" w:after="0"/>
              <w:ind w:firstLine="0"/>
            </w:pPr>
            <w:r w:rsidRPr="00712B66">
              <w:t>Datums</w:t>
            </w:r>
          </w:p>
        </w:tc>
        <w:tc>
          <w:tcPr>
            <w:tcW w:w="6495" w:type="dxa"/>
            <w:gridSpan w:val="5"/>
            <w:tcBorders>
              <w:bottom w:val="single" w:sz="4" w:space="0" w:color="auto"/>
            </w:tcBorders>
          </w:tcPr>
          <w:p w14:paraId="737F615C" w14:textId="77777777" w:rsidR="00BC4EE1" w:rsidRPr="00712B66" w:rsidRDefault="00BC4EE1" w:rsidP="00C96202">
            <w:pPr>
              <w:pStyle w:val="NormalWeb"/>
              <w:spacing w:before="0" w:beforeAutospacing="0" w:after="0" w:afterAutospacing="0"/>
              <w:ind w:firstLine="720"/>
            </w:pPr>
            <w:r>
              <w:t>Starpministriju sanāksme elektroniski</w:t>
            </w:r>
          </w:p>
        </w:tc>
      </w:tr>
      <w:tr w:rsidR="00BC4EE1" w14:paraId="56C89305" w14:textId="77777777" w:rsidTr="00C96202">
        <w:trPr>
          <w:gridAfter w:val="1"/>
          <w:wAfter w:w="114" w:type="dxa"/>
          <w:trHeight w:val="307"/>
        </w:trPr>
        <w:tc>
          <w:tcPr>
            <w:tcW w:w="6521" w:type="dxa"/>
          </w:tcPr>
          <w:p w14:paraId="0542064A" w14:textId="77777777" w:rsidR="00BC4EE1" w:rsidRPr="00712B66" w:rsidRDefault="00BC4EE1" w:rsidP="00C96202">
            <w:pPr>
              <w:pStyle w:val="naisf"/>
              <w:spacing w:before="0" w:after="0"/>
              <w:ind w:firstLine="0"/>
            </w:pPr>
          </w:p>
        </w:tc>
        <w:tc>
          <w:tcPr>
            <w:tcW w:w="6495" w:type="dxa"/>
            <w:gridSpan w:val="5"/>
            <w:tcBorders>
              <w:top w:val="single" w:sz="4" w:space="0" w:color="auto"/>
            </w:tcBorders>
          </w:tcPr>
          <w:p w14:paraId="50F80AF1" w14:textId="77777777" w:rsidR="00BC4EE1" w:rsidRPr="00712B66" w:rsidRDefault="00BC4EE1" w:rsidP="00C96202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BC4EE1" w:rsidRPr="00A532C6" w14:paraId="4503B951" w14:textId="77777777" w:rsidTr="00C96202">
        <w:trPr>
          <w:gridAfter w:val="1"/>
          <w:wAfter w:w="114" w:type="dxa"/>
          <w:trHeight w:val="324"/>
        </w:trPr>
        <w:tc>
          <w:tcPr>
            <w:tcW w:w="6521" w:type="dxa"/>
          </w:tcPr>
          <w:p w14:paraId="67BD0DFE" w14:textId="77777777" w:rsidR="00BC4EE1" w:rsidRPr="00712B66" w:rsidRDefault="00BC4EE1" w:rsidP="00C96202">
            <w:pPr>
              <w:pStyle w:val="naiskr"/>
              <w:spacing w:before="0" w:after="0"/>
            </w:pPr>
            <w:r>
              <w:t>Saskaņošanas d</w:t>
            </w:r>
            <w:r w:rsidRPr="00712B66">
              <w:t>alībnieki</w:t>
            </w:r>
          </w:p>
        </w:tc>
        <w:tc>
          <w:tcPr>
            <w:tcW w:w="6495" w:type="dxa"/>
            <w:gridSpan w:val="5"/>
          </w:tcPr>
          <w:p w14:paraId="5ACEA7AF" w14:textId="4928E142" w:rsidR="00BC4EE1" w:rsidRPr="00712B66" w:rsidRDefault="00BC4EE1" w:rsidP="00C96202">
            <w:pPr>
              <w:pStyle w:val="NormalWeb"/>
              <w:spacing w:before="0" w:beforeAutospacing="0" w:after="0" w:afterAutospacing="0"/>
              <w:ind w:firstLine="34"/>
            </w:pPr>
            <w:r>
              <w:t xml:space="preserve">     Tieslietu ministrija, Finanšu ministrija, </w:t>
            </w:r>
            <w:r w:rsidR="00E47619">
              <w:t xml:space="preserve">Vides aizsardzības un reģionālās attīstības ministrija, </w:t>
            </w:r>
            <w:r>
              <w:t>Pārresoru koordinācijas centrs</w:t>
            </w:r>
            <w:r w:rsidR="00191C00">
              <w:t>, Izglītības un zinātnes ministrija, Latvijas Pašvaldību savienība un Latvijas Darba devēju konfederācija</w:t>
            </w:r>
          </w:p>
        </w:tc>
      </w:tr>
      <w:tr w:rsidR="00BC4EE1" w:rsidRPr="00A532C6" w14:paraId="251B75E2" w14:textId="77777777" w:rsidTr="00C96202">
        <w:trPr>
          <w:gridAfter w:val="1"/>
          <w:wAfter w:w="114" w:type="dxa"/>
          <w:trHeight w:val="307"/>
        </w:trPr>
        <w:tc>
          <w:tcPr>
            <w:tcW w:w="6521" w:type="dxa"/>
          </w:tcPr>
          <w:p w14:paraId="3AE942F9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649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1BB2F8A" w14:textId="77777777" w:rsidR="00BC4EE1" w:rsidRPr="00712B66" w:rsidRDefault="00BC4EE1" w:rsidP="00C96202">
            <w:pPr>
              <w:pStyle w:val="naiskr"/>
              <w:spacing w:before="0" w:after="0"/>
              <w:ind w:right="-108"/>
            </w:pPr>
          </w:p>
        </w:tc>
      </w:tr>
      <w:tr w:rsidR="00BC4EE1" w:rsidRPr="00A532C6" w14:paraId="2775B619" w14:textId="77777777" w:rsidTr="00C96202">
        <w:trPr>
          <w:gridAfter w:val="1"/>
          <w:wAfter w:w="114" w:type="dxa"/>
          <w:trHeight w:val="307"/>
        </w:trPr>
        <w:tc>
          <w:tcPr>
            <w:tcW w:w="6521" w:type="dxa"/>
          </w:tcPr>
          <w:p w14:paraId="29863426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  <w:tc>
          <w:tcPr>
            <w:tcW w:w="649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C8B4F81" w14:textId="77777777" w:rsidR="00BC4EE1" w:rsidRDefault="00BC4EE1" w:rsidP="00C96202">
            <w:pPr>
              <w:pStyle w:val="naiskr"/>
              <w:spacing w:before="0" w:after="0"/>
              <w:ind w:right="-108"/>
            </w:pPr>
          </w:p>
        </w:tc>
      </w:tr>
      <w:tr w:rsidR="00BC4EE1" w:rsidRPr="00A532C6" w14:paraId="24375DE6" w14:textId="77777777" w:rsidTr="00C96202">
        <w:trPr>
          <w:gridAfter w:val="1"/>
          <w:wAfter w:w="114" w:type="dxa"/>
          <w:trHeight w:val="324"/>
        </w:trPr>
        <w:tc>
          <w:tcPr>
            <w:tcW w:w="6521" w:type="dxa"/>
          </w:tcPr>
          <w:p w14:paraId="69D79354" w14:textId="77777777" w:rsidR="00BC4EE1" w:rsidRPr="00712B66" w:rsidRDefault="00BC4EE1" w:rsidP="00C96202">
            <w:pPr>
              <w:pStyle w:val="naiskr"/>
              <w:spacing w:before="0" w:after="0"/>
            </w:pPr>
          </w:p>
        </w:tc>
        <w:tc>
          <w:tcPr>
            <w:tcW w:w="1115" w:type="dxa"/>
            <w:gridSpan w:val="3"/>
          </w:tcPr>
          <w:p w14:paraId="0E3BEAD7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  <w:tc>
          <w:tcPr>
            <w:tcW w:w="5380" w:type="dxa"/>
            <w:gridSpan w:val="2"/>
          </w:tcPr>
          <w:p w14:paraId="2BACEE1B" w14:textId="77777777" w:rsidR="00BC4EE1" w:rsidRPr="00712B66" w:rsidRDefault="00BC4EE1" w:rsidP="00C96202">
            <w:pPr>
              <w:pStyle w:val="naiskr"/>
              <w:spacing w:before="0" w:after="0"/>
              <w:ind w:firstLine="12"/>
            </w:pPr>
          </w:p>
        </w:tc>
      </w:tr>
      <w:tr w:rsidR="00BC4EE1" w14:paraId="1602082A" w14:textId="77777777" w:rsidTr="00C96202">
        <w:trPr>
          <w:trHeight w:val="312"/>
        </w:trPr>
        <w:tc>
          <w:tcPr>
            <w:tcW w:w="6754" w:type="dxa"/>
            <w:gridSpan w:val="2"/>
          </w:tcPr>
          <w:p w14:paraId="7B19FD18" w14:textId="77777777" w:rsidR="00BC4EE1" w:rsidRPr="00712B66" w:rsidRDefault="00BC4EE1" w:rsidP="00C96202">
            <w:pPr>
              <w:pStyle w:val="naiskr"/>
              <w:spacing w:before="0" w:after="0"/>
            </w:pPr>
            <w:r>
              <w:t>Saskaņošanas d</w:t>
            </w:r>
            <w:r w:rsidRPr="00712B66">
              <w:t xml:space="preserve">alībnieki izskatīja šādu ministriju </w:t>
            </w:r>
            <w:r>
              <w:t>(c</w:t>
            </w:r>
            <w:r w:rsidRPr="00712B66">
              <w:t>itu institūciju</w:t>
            </w:r>
            <w:r>
              <w:t>)</w:t>
            </w:r>
            <w:r w:rsidRPr="00712B66">
              <w:t xml:space="preserve"> iebildumus</w:t>
            </w:r>
          </w:p>
        </w:tc>
        <w:tc>
          <w:tcPr>
            <w:tcW w:w="238" w:type="dxa"/>
          </w:tcPr>
          <w:p w14:paraId="2F0F78EE" w14:textId="77777777" w:rsidR="00BC4EE1" w:rsidRPr="00712B66" w:rsidRDefault="00BC4EE1" w:rsidP="00C96202">
            <w:pPr>
              <w:pStyle w:val="naiskr"/>
              <w:spacing w:before="0" w:after="0"/>
            </w:pPr>
          </w:p>
        </w:tc>
        <w:tc>
          <w:tcPr>
            <w:tcW w:w="6138" w:type="dxa"/>
            <w:gridSpan w:val="4"/>
            <w:vAlign w:val="bottom"/>
          </w:tcPr>
          <w:p w14:paraId="7F9F1BFF" w14:textId="1399F5E4" w:rsidR="00BC4EE1" w:rsidRPr="00712B66" w:rsidRDefault="00191C00" w:rsidP="00C96202">
            <w:pPr>
              <w:pStyle w:val="naiskr"/>
              <w:spacing w:before="0" w:after="0"/>
            </w:pPr>
            <w:r>
              <w:t>Tieslietu</w:t>
            </w:r>
            <w:r w:rsidR="00380476">
              <w:t xml:space="preserve"> ministrija</w:t>
            </w:r>
            <w:r w:rsidR="00BC4EE1">
              <w:t xml:space="preserve">  </w:t>
            </w:r>
          </w:p>
        </w:tc>
      </w:tr>
      <w:tr w:rsidR="00BC4EE1" w14:paraId="7FC6DADD" w14:textId="77777777" w:rsidTr="00C96202">
        <w:trPr>
          <w:trHeight w:val="401"/>
        </w:trPr>
        <w:tc>
          <w:tcPr>
            <w:tcW w:w="6754" w:type="dxa"/>
            <w:gridSpan w:val="2"/>
          </w:tcPr>
          <w:p w14:paraId="66FFF6EA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  <w:tc>
          <w:tcPr>
            <w:tcW w:w="637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04B0700A" w14:textId="77777777" w:rsidR="00BC4EE1" w:rsidRDefault="00BC4EE1" w:rsidP="00C96202">
            <w:pPr>
              <w:pStyle w:val="NormalWeb"/>
              <w:spacing w:before="0" w:beforeAutospacing="0" w:after="0" w:afterAutospacing="0"/>
            </w:pPr>
          </w:p>
        </w:tc>
      </w:tr>
      <w:tr w:rsidR="00BC4EE1" w14:paraId="4BC714D8" w14:textId="77777777" w:rsidTr="00C96202">
        <w:trPr>
          <w:trHeight w:val="401"/>
        </w:trPr>
        <w:tc>
          <w:tcPr>
            <w:tcW w:w="6754" w:type="dxa"/>
            <w:gridSpan w:val="2"/>
          </w:tcPr>
          <w:p w14:paraId="0AC74913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637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1A4B09E3" w14:textId="77777777" w:rsidR="00BC4EE1" w:rsidRPr="00712B66" w:rsidRDefault="00BC4EE1" w:rsidP="00C96202">
            <w:pPr>
              <w:pStyle w:val="NormalWeb"/>
              <w:spacing w:before="0" w:beforeAutospacing="0" w:after="0" w:afterAutospacing="0"/>
            </w:pPr>
          </w:p>
        </w:tc>
      </w:tr>
      <w:tr w:rsidR="00BC4EE1" w14:paraId="7E9A2528" w14:textId="77777777" w:rsidTr="00C96202">
        <w:trPr>
          <w:gridAfter w:val="2"/>
          <w:wAfter w:w="462" w:type="dxa"/>
          <w:trHeight w:val="511"/>
        </w:trPr>
        <w:tc>
          <w:tcPr>
            <w:tcW w:w="12668" w:type="dxa"/>
            <w:gridSpan w:val="5"/>
          </w:tcPr>
          <w:p w14:paraId="2F7771F8" w14:textId="77777777" w:rsidR="00BC4EE1" w:rsidRDefault="00BC4EE1" w:rsidP="00C96202">
            <w:pPr>
              <w:ind w:firstLine="720"/>
            </w:pPr>
          </w:p>
          <w:p w14:paraId="145C0639" w14:textId="77777777" w:rsidR="005E31C2" w:rsidRPr="005E31C2" w:rsidRDefault="005E31C2" w:rsidP="005E31C2"/>
          <w:p w14:paraId="296764FE" w14:textId="77777777" w:rsidR="005E31C2" w:rsidRPr="005E31C2" w:rsidRDefault="005E31C2" w:rsidP="005E31C2">
            <w:pPr>
              <w:ind w:firstLine="720"/>
            </w:pPr>
          </w:p>
        </w:tc>
      </w:tr>
      <w:tr w:rsidR="00BC4EE1" w14:paraId="135CA698" w14:textId="77777777" w:rsidTr="00C96202">
        <w:trPr>
          <w:gridAfter w:val="2"/>
          <w:wAfter w:w="462" w:type="dxa"/>
          <w:trHeight w:val="906"/>
        </w:trPr>
        <w:tc>
          <w:tcPr>
            <w:tcW w:w="6754" w:type="dxa"/>
            <w:gridSpan w:val="2"/>
          </w:tcPr>
          <w:p w14:paraId="7A907B45" w14:textId="77777777" w:rsidR="00BC4EE1" w:rsidRPr="00712B66" w:rsidRDefault="00BC4EE1" w:rsidP="00C96202">
            <w:pPr>
              <w:pStyle w:val="naiskr"/>
              <w:spacing w:before="0" w:after="0"/>
            </w:pPr>
            <w:r w:rsidRPr="00712B66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914" w:type="dxa"/>
            <w:gridSpan w:val="3"/>
          </w:tcPr>
          <w:p w14:paraId="13D5FD21" w14:textId="4E8C8C21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</w:tr>
      <w:tr w:rsidR="00BC4EE1" w14:paraId="34E563AB" w14:textId="77777777" w:rsidTr="00C96202">
        <w:trPr>
          <w:gridAfter w:val="2"/>
          <w:wAfter w:w="462" w:type="dxa"/>
          <w:trHeight w:val="312"/>
        </w:trPr>
        <w:tc>
          <w:tcPr>
            <w:tcW w:w="6754" w:type="dxa"/>
            <w:gridSpan w:val="2"/>
          </w:tcPr>
          <w:p w14:paraId="646FD342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108741A" w14:textId="77777777" w:rsidR="00BC4EE1" w:rsidRDefault="00BC4EE1" w:rsidP="00C96202">
            <w:pPr>
              <w:pStyle w:val="naiskr"/>
              <w:spacing w:before="0" w:after="0"/>
              <w:ind w:firstLine="720"/>
            </w:pPr>
          </w:p>
          <w:p w14:paraId="2C5ADD37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</w:tr>
      <w:tr w:rsidR="00BC4EE1" w14:paraId="6B8A5399" w14:textId="77777777" w:rsidTr="00C96202">
        <w:trPr>
          <w:gridAfter w:val="5"/>
          <w:wAfter w:w="6376" w:type="dxa"/>
          <w:trHeight w:val="296"/>
        </w:trPr>
        <w:tc>
          <w:tcPr>
            <w:tcW w:w="6754" w:type="dxa"/>
            <w:gridSpan w:val="2"/>
          </w:tcPr>
          <w:p w14:paraId="5F2D650C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</w:tr>
    </w:tbl>
    <w:p w14:paraId="34B61768" w14:textId="77777777" w:rsidR="00BC4EE1" w:rsidRPr="00712B66" w:rsidRDefault="00BC4EE1" w:rsidP="00BC4EE1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II. Jautājumi, par kuriem saskaņošanā vienošan</w:t>
      </w:r>
      <w:r>
        <w:rPr>
          <w:b/>
        </w:rPr>
        <w:t>ā</w:t>
      </w:r>
      <w:r w:rsidRPr="00712B66">
        <w:rPr>
          <w:b/>
        </w:rPr>
        <w:t>s ir panākta</w:t>
      </w:r>
    </w:p>
    <w:p w14:paraId="48ACD051" w14:textId="77777777" w:rsidR="00BC4EE1" w:rsidRPr="00712B66" w:rsidRDefault="00BC4EE1" w:rsidP="00BC4EE1">
      <w:pPr>
        <w:pStyle w:val="naisf"/>
        <w:spacing w:before="0" w:after="0"/>
        <w:ind w:firstLine="720"/>
      </w:pPr>
    </w:p>
    <w:tbl>
      <w:tblPr>
        <w:tblW w:w="5216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46"/>
        <w:gridCol w:w="1700"/>
        <w:gridCol w:w="4332"/>
        <w:gridCol w:w="3910"/>
        <w:gridCol w:w="2929"/>
      </w:tblGrid>
      <w:tr w:rsidR="00BC4EE1" w14:paraId="2C180DAA" w14:textId="77777777" w:rsidTr="00C96202"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07D9B" w14:textId="77777777" w:rsidR="00BC4EE1" w:rsidRPr="00712B66" w:rsidRDefault="00BC4EE1" w:rsidP="00C96202">
            <w:pPr>
              <w:pStyle w:val="naisc"/>
              <w:spacing w:before="0" w:after="0"/>
            </w:pPr>
            <w:r w:rsidRPr="00712B66">
              <w:t>Nr. p.k.</w:t>
            </w:r>
          </w:p>
        </w:tc>
        <w:tc>
          <w:tcPr>
            <w:tcW w:w="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F7667" w14:textId="77777777" w:rsidR="00BC4EE1" w:rsidRPr="00712B66" w:rsidRDefault="00BC4EE1" w:rsidP="00C96202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E381E" w14:textId="77777777" w:rsidR="00BC4EE1" w:rsidRPr="00712B66" w:rsidRDefault="00BC4EE1" w:rsidP="00C96202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BA38C" w14:textId="77777777" w:rsidR="00BC4EE1" w:rsidRPr="00712B66" w:rsidRDefault="00BC4EE1" w:rsidP="00C96202">
            <w:pPr>
              <w:pStyle w:val="naisc"/>
              <w:spacing w:before="0" w:after="0"/>
              <w:ind w:firstLine="21"/>
            </w:pPr>
            <w:r w:rsidRPr="00712B66">
              <w:t>Atbildīgās ministrijas norāde par to, ka iebildums ir ņemts vērā</w:t>
            </w:r>
            <w:r>
              <w:t>,</w:t>
            </w:r>
            <w:r w:rsidRPr="00712B66">
              <w:t xml:space="preserve"> vai informācija par saskaņošanā panākto alternatīvo risinājumu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E2B18" w14:textId="77777777" w:rsidR="00BC4EE1" w:rsidRPr="00712B66" w:rsidRDefault="00BC4EE1" w:rsidP="00C96202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BC4EE1" w14:paraId="1B84FE2F" w14:textId="77777777" w:rsidTr="00C96202"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F359" w14:textId="77777777" w:rsidR="00BC4EE1" w:rsidRPr="003B71E0" w:rsidRDefault="00BC4EE1" w:rsidP="00C96202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1</w:t>
            </w:r>
          </w:p>
        </w:tc>
        <w:tc>
          <w:tcPr>
            <w:tcW w:w="9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66D6" w14:textId="77777777" w:rsidR="00BC4EE1" w:rsidRPr="003B71E0" w:rsidRDefault="00BC4EE1" w:rsidP="00C9620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00DA" w14:textId="77777777" w:rsidR="00BC4EE1" w:rsidRPr="003B71E0" w:rsidRDefault="00BC4EE1" w:rsidP="00C9620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3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F6E41" w14:textId="77777777" w:rsidR="00BC4EE1" w:rsidRPr="003B71E0" w:rsidRDefault="00BC4EE1" w:rsidP="00C9620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5A342" w14:textId="77777777" w:rsidR="00BC4EE1" w:rsidRPr="003B71E0" w:rsidRDefault="00BC4EE1" w:rsidP="00C96202">
            <w:pPr>
              <w:jc w:val="center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5</w:t>
            </w:r>
          </w:p>
        </w:tc>
      </w:tr>
      <w:tr w:rsidR="00BC4EE1" w:rsidRPr="00A532C6" w14:paraId="666EAA5E" w14:textId="77777777" w:rsidTr="00C96202">
        <w:tc>
          <w:tcPr>
            <w:tcW w:w="19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ECC754" w14:textId="0AFC3307" w:rsidR="00BC4EE1" w:rsidRPr="001B5293" w:rsidRDefault="009D0B05" w:rsidP="00C96202">
            <w:pPr>
              <w:pStyle w:val="naisc"/>
              <w:spacing w:before="0" w:after="0"/>
              <w:jc w:val="right"/>
            </w:pPr>
            <w:r>
              <w:t>1.</w:t>
            </w:r>
          </w:p>
        </w:tc>
        <w:tc>
          <w:tcPr>
            <w:tcW w:w="92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D7A413" w14:textId="530B362A" w:rsidR="00A532C6" w:rsidRDefault="00A532C6" w:rsidP="00A532C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lv-LV"/>
              </w:rPr>
            </w:pPr>
            <w:r w:rsidRPr="008079F8">
              <w:rPr>
                <w:b/>
                <w:bCs/>
                <w:lang w:val="lv-LV"/>
              </w:rPr>
              <w:t>Informatīvā ziņojuma 2. lpp.</w:t>
            </w:r>
          </w:p>
          <w:p w14:paraId="0DBE18E3" w14:textId="67DD253A" w:rsidR="00A532C6" w:rsidRPr="008079F8" w:rsidRDefault="00A532C6" w:rsidP="00A532C6">
            <w:pPr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  <w:r>
              <w:rPr>
                <w:b/>
                <w:bCs/>
                <w:lang w:val="lv-LV"/>
              </w:rPr>
              <w:t>“</w:t>
            </w:r>
            <w:r>
              <w:rPr>
                <w:rFonts w:ascii="Courier New" w:hAnsi="Courier New" w:cs="Courier New"/>
                <w:b/>
                <w:bCs/>
                <w:lang w:val="lv-LV"/>
              </w:rPr>
              <w:t>•</w:t>
            </w:r>
            <w:r w:rsidRPr="008079F8">
              <w:t xml:space="preserve">Eiropas Parlamenta un Padomes </w:t>
            </w:r>
            <w:r w:rsidRPr="008079F8">
              <w:rPr>
                <w:lang w:eastAsia="lv-LV"/>
              </w:rPr>
              <w:t xml:space="preserve">2013. gada 11. decembris </w:t>
            </w:r>
            <w:r w:rsidRPr="008079F8">
              <w:t>Regula</w:t>
            </w:r>
            <w:r w:rsidRPr="008079F8">
              <w:rPr>
                <w:lang w:eastAsia="lv-LV"/>
              </w:rPr>
              <w:t xml:space="preserve"> (ES) Nr.1291/2013, ar ko izveido Apvārsni 2020 (2014.–2020. gads) un atceļ Lēmumu Nr. 1982/2006/EK</w:t>
            </w:r>
          </w:p>
          <w:p w14:paraId="28FCF1DE" w14:textId="565CC509" w:rsidR="00A532C6" w:rsidRDefault="00A532C6" w:rsidP="00A532C6">
            <w:pPr>
              <w:jc w:val="both"/>
              <w:rPr>
                <w:lang w:val="lv-LV"/>
              </w:rPr>
            </w:pPr>
            <w:r>
              <w:rPr>
                <w:rFonts w:ascii="Courier New" w:hAnsi="Courier New" w:cs="Courier New"/>
                <w:b/>
                <w:bCs/>
                <w:lang w:val="lv-LV"/>
              </w:rPr>
              <w:t>•</w:t>
            </w:r>
            <w:r w:rsidRPr="00A532C6">
              <w:rPr>
                <w:lang w:val="lv-LV"/>
              </w:rPr>
              <w:t xml:space="preserve">Eiropas Parlamenta un Padomes Regula (ES, Euratom) 2018/1046 (2018.gada 18. jūlijs) par finanšu noteikumiem, ko piemēro Savienības vispārējam budžetam, ar </w:t>
            </w:r>
            <w:r w:rsidRPr="00A532C6">
              <w:rPr>
                <w:lang w:val="lv-LV"/>
              </w:rPr>
              <w:lastRenderedPageBreak/>
              <w:t>kuru groza Regulas (ES) Nr.1296/2013, (ES) Nr.1301/2013, (ES) Nr.1303/2013, (ES) Nr.1304/2013, (ES) Nr.1309/2013, (ES) Nr.1316/2013, (ES) Nr.223/2014, (ES) Nr.283/2014 un Lēmumu Nr.541/2014/ES un atceļ Regulu (ES, Euratom) Nr.966/2012;</w:t>
            </w:r>
            <w:r>
              <w:rPr>
                <w:lang w:val="lv-LV"/>
              </w:rPr>
              <w:t>”</w:t>
            </w:r>
          </w:p>
          <w:p w14:paraId="7B087653" w14:textId="3508615B" w:rsidR="00A532C6" w:rsidRDefault="00A532C6" w:rsidP="00A532C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lv-LV"/>
              </w:rPr>
            </w:pPr>
            <w:r w:rsidRPr="008079F8">
              <w:rPr>
                <w:b/>
                <w:bCs/>
                <w:lang w:val="lv-LV"/>
              </w:rPr>
              <w:t xml:space="preserve">Informatīvā ziņojuma </w:t>
            </w:r>
            <w:r w:rsidR="00787AF5">
              <w:rPr>
                <w:b/>
                <w:bCs/>
                <w:lang w:val="lv-LV"/>
              </w:rPr>
              <w:t>5</w:t>
            </w:r>
            <w:bookmarkStart w:id="0" w:name="_GoBack"/>
            <w:bookmarkEnd w:id="0"/>
            <w:r>
              <w:rPr>
                <w:b/>
                <w:bCs/>
                <w:lang w:val="lv-LV"/>
              </w:rPr>
              <w:t>.</w:t>
            </w:r>
            <w:r w:rsidRPr="008079F8">
              <w:rPr>
                <w:b/>
                <w:bCs/>
                <w:lang w:val="lv-LV"/>
              </w:rPr>
              <w:t xml:space="preserve"> lpp.</w:t>
            </w:r>
          </w:p>
          <w:p w14:paraId="13795A65" w14:textId="42040385" w:rsidR="00BC4EE1" w:rsidRPr="005F7513" w:rsidRDefault="00A532C6" w:rsidP="00476DD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“</w:t>
            </w:r>
            <w:r w:rsidR="005F7513" w:rsidRPr="005F7513">
              <w:rPr>
                <w:lang w:val="lv-LV"/>
              </w:rPr>
              <w:t>Lai gan atbilstoši</w:t>
            </w:r>
            <w:r w:rsidR="005F7513" w:rsidRPr="005F7513">
              <w:rPr>
                <w:lang w:val="lv-LV" w:eastAsia="lv-LV"/>
              </w:rPr>
              <w:t xml:space="preserve"> Granta līguma 21.2.punktam avansa maksājums paredzēts 2 399 984 euro apmērā (80% apmērā no </w:t>
            </w:r>
            <w:r w:rsidR="005F7513" w:rsidRPr="005F7513">
              <w:rPr>
                <w:lang w:val="lv-LV"/>
              </w:rPr>
              <w:t>Apvārsnis 2020</w:t>
            </w:r>
            <w:r w:rsidR="005F7513" w:rsidRPr="005F7513">
              <w:rPr>
                <w:lang w:val="lv-LV" w:eastAsia="lv-LV"/>
              </w:rPr>
              <w:t xml:space="preserve"> finansējuma), saskaņā</w:t>
            </w:r>
            <w:r w:rsidR="005F7513" w:rsidRPr="005F7513">
              <w:rPr>
                <w:lang w:val="lv-LV"/>
              </w:rPr>
              <w:t xml:space="preserve"> ar Vadošā partnera sniegto informāciju plānots, ka katrs Projekta partneris Projekta ieviešanas sākumā saņems avansa maksājumu tikai 75% apmērā, ieturot garantijas summu 5% apmērā no avansa maksājuma. Līdz ar to NVD plānotā saņemamā </w:t>
            </w:r>
            <w:r w:rsidR="005F7513" w:rsidRPr="005F7513">
              <w:rPr>
                <w:lang w:val="lv-LV"/>
              </w:rPr>
              <w:lastRenderedPageBreak/>
              <w:t xml:space="preserve">avansa apmērs būs 27 281 euro, </w:t>
            </w:r>
            <w:r w:rsidR="005F7513" w:rsidRPr="005F7513">
              <w:rPr>
                <w:lang w:val="lv-LV" w:eastAsia="lv-LV"/>
              </w:rPr>
              <w:t xml:space="preserve">kas tiks ieskaitīts 2020. gada otrā pusē budžeta </w:t>
            </w:r>
            <w:r w:rsidR="005F7513" w:rsidRPr="005F7513">
              <w:rPr>
                <w:lang w:val="lv-LV"/>
              </w:rPr>
              <w:t>apakšprogrammā 70.07.00 “Citu Eiropas Kopienas projektu īstenošana”.</w:t>
            </w:r>
            <w:r>
              <w:rPr>
                <w:lang w:val="lv-LV"/>
              </w:rPr>
              <w:t>”</w:t>
            </w:r>
          </w:p>
        </w:tc>
        <w:tc>
          <w:tcPr>
            <w:tcW w:w="150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8D8552" w14:textId="3607F9DF" w:rsidR="00FB4776" w:rsidRPr="00BC4EE1" w:rsidRDefault="00476DD1" w:rsidP="00FB4776">
            <w:pPr>
              <w:widowControl w:val="0"/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lastRenderedPageBreak/>
              <w:t>Tieslietu</w:t>
            </w:r>
            <w:r w:rsidR="00FB4776" w:rsidRPr="00BC4EE1">
              <w:rPr>
                <w:b/>
                <w:bCs/>
                <w:lang w:val="lv-LV"/>
              </w:rPr>
              <w:t xml:space="preserve"> ministrija</w:t>
            </w:r>
            <w:r w:rsidR="00022627">
              <w:rPr>
                <w:b/>
                <w:bCs/>
                <w:lang w:val="lv-LV"/>
              </w:rPr>
              <w:t>s iebildums:</w:t>
            </w:r>
          </w:p>
          <w:p w14:paraId="65B8C675" w14:textId="4F299EE7" w:rsidR="009D0B05" w:rsidRPr="009D0B05" w:rsidRDefault="009D0B05" w:rsidP="009D0B05">
            <w:pPr>
              <w:ind w:right="12"/>
              <w:jc w:val="both"/>
              <w:rPr>
                <w:sz w:val="26"/>
                <w:szCs w:val="26"/>
                <w:lang w:val="lv-LV"/>
              </w:rPr>
            </w:pPr>
            <w:r w:rsidRPr="009D0B05">
              <w:rPr>
                <w:sz w:val="26"/>
                <w:szCs w:val="26"/>
                <w:lang w:val="lv-LV"/>
              </w:rPr>
              <w:t>Vēršam uzmanību, ka attiecībā uz Apvārsnis 2020 aktivitātēm ir attiecināmas un piemērojamas cita starpā arī Eiropas Parlamenta un Padomes 2013. gada 11. decembra Regulas (ES) Nr. 1290/2013,</w:t>
            </w:r>
            <w:r w:rsidRPr="009D0B05">
              <w:rPr>
                <w:color w:val="444444"/>
                <w:sz w:val="27"/>
                <w:szCs w:val="27"/>
                <w:lang w:val="lv-LV"/>
              </w:rPr>
              <w:t xml:space="preserve"> </w:t>
            </w:r>
            <w:r w:rsidRPr="009D0B05">
              <w:rPr>
                <w:sz w:val="26"/>
                <w:szCs w:val="26"/>
                <w:lang w:val="lv-LV"/>
              </w:rPr>
              <w:t xml:space="preserve">ar ko nosaka pētniecības un inovācijas pamatprogrammas "Apvārsnis 2020" (2014.–2020. gads) dalības un rezultātu izplatīšanas noteikumus un atceļ Regulu (EK) Nr. 1906/2006, (turpmāk – </w:t>
            </w:r>
            <w:bookmarkStart w:id="1" w:name="_Hlk50537831"/>
            <w:r w:rsidRPr="009D0B05">
              <w:rPr>
                <w:sz w:val="26"/>
                <w:szCs w:val="26"/>
                <w:lang w:val="lv-LV"/>
              </w:rPr>
              <w:t>regula Nr. 1290/2013</w:t>
            </w:r>
            <w:bookmarkEnd w:id="1"/>
            <w:r w:rsidRPr="009D0B05">
              <w:rPr>
                <w:sz w:val="26"/>
                <w:szCs w:val="26"/>
                <w:lang w:val="lv-LV"/>
              </w:rPr>
              <w:t xml:space="preserve">) prasības. Attiecīgi ziņojumā ietvertās informācijas pilnīgam un vispusīgam atspoguļojumam lūdzam to norādīt </w:t>
            </w:r>
            <w:r w:rsidRPr="009D0B05">
              <w:rPr>
                <w:sz w:val="26"/>
                <w:szCs w:val="26"/>
                <w:lang w:val="lv-LV"/>
              </w:rPr>
              <w:lastRenderedPageBreak/>
              <w:t>ziņojumā, nepieciešamības gadījumā precizējot ziņojumu un lēmuma projektu, kā arī lūdzam papildināt ziņojumu ar detalizētu informāciju par garantijas summas 5% apmērā no avansa maksājuma ieturēšanas pamatotību, tai skaitā norādot, vai tādējādi tiek ievērots regulas Nr. 1290/2013 38. un 39. punkts.</w:t>
            </w:r>
          </w:p>
          <w:p w14:paraId="4C1D7DCA" w14:textId="7CA25150" w:rsidR="00BC4EE1" w:rsidRPr="00BC4EE1" w:rsidRDefault="00BC4EE1" w:rsidP="00BC173A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</w:tc>
        <w:tc>
          <w:tcPr>
            <w:tcW w:w="135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D33911" w14:textId="77777777" w:rsidR="00BC4EE1" w:rsidRPr="008079F8" w:rsidRDefault="00AC619E" w:rsidP="00C96202">
            <w:pPr>
              <w:pStyle w:val="naisc"/>
              <w:spacing w:before="0" w:after="0"/>
              <w:ind w:firstLine="34"/>
              <w:jc w:val="both"/>
              <w:rPr>
                <w:b/>
              </w:rPr>
            </w:pPr>
            <w:r w:rsidRPr="008079F8">
              <w:rPr>
                <w:b/>
              </w:rPr>
              <w:lastRenderedPageBreak/>
              <w:t>Ņemts vērā</w:t>
            </w:r>
          </w:p>
          <w:p w14:paraId="26377CDE" w14:textId="61AAE65E" w:rsidR="00B80A76" w:rsidRPr="008079F8" w:rsidRDefault="00F64E95" w:rsidP="003B6FA2">
            <w:pPr>
              <w:jc w:val="both"/>
              <w:rPr>
                <w:bCs/>
                <w:color w:val="000000"/>
                <w:lang w:val="lv-LV"/>
              </w:rPr>
            </w:pPr>
            <w:r w:rsidRPr="008079F8">
              <w:rPr>
                <w:lang w:val="lv-LV"/>
              </w:rPr>
              <w:t xml:space="preserve">Atbilst </w:t>
            </w:r>
            <w:r w:rsidR="003E6D45" w:rsidRPr="008079F8">
              <w:rPr>
                <w:lang w:val="lv-LV"/>
              </w:rPr>
              <w:t>Eiropas Parlamenta un Padomes 2013. gada 11.decembra Regula</w:t>
            </w:r>
            <w:r w:rsidRPr="008079F8">
              <w:rPr>
                <w:lang w:val="lv-LV"/>
              </w:rPr>
              <w:t>s</w:t>
            </w:r>
            <w:r w:rsidR="003E6D45" w:rsidRPr="008079F8">
              <w:rPr>
                <w:lang w:val="lv-LV"/>
              </w:rPr>
              <w:t xml:space="preserve"> (ES) Nr.1290/2013,</w:t>
            </w:r>
            <w:r w:rsidR="003E6D45" w:rsidRPr="008079F8">
              <w:rPr>
                <w:color w:val="444444"/>
                <w:lang w:val="lv-LV"/>
              </w:rPr>
              <w:t xml:space="preserve"> </w:t>
            </w:r>
            <w:r w:rsidR="003E6D45" w:rsidRPr="008079F8">
              <w:rPr>
                <w:lang w:val="lv-LV"/>
              </w:rPr>
              <w:t>ar ko nosaka pētniecības un inovācijas pamatprogrammas "Apvārsnis 2020" (2014.–2020. gads) dalības un rezultātu izplatīšanas noteikumus un atceļ Regulu (EK) Nr. 1906/2006</w:t>
            </w:r>
            <w:r w:rsidRPr="008079F8">
              <w:rPr>
                <w:lang w:val="lv-LV"/>
              </w:rPr>
              <w:t xml:space="preserve"> nosacījumiem</w:t>
            </w:r>
            <w:r w:rsidR="003E6D45" w:rsidRPr="008079F8">
              <w:rPr>
                <w:lang w:val="lv-LV"/>
              </w:rPr>
              <w:t>.</w:t>
            </w:r>
          </w:p>
          <w:p w14:paraId="226F94BD" w14:textId="0D5AD612" w:rsidR="007834C1" w:rsidRPr="008079F8" w:rsidRDefault="007834C1" w:rsidP="00C96202">
            <w:pPr>
              <w:pStyle w:val="naisc"/>
              <w:spacing w:before="0" w:after="0"/>
              <w:ind w:firstLine="34"/>
              <w:jc w:val="both"/>
              <w:rPr>
                <w:bCs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38F00" w14:textId="77777777" w:rsidR="00D4709A" w:rsidRPr="008079F8" w:rsidRDefault="00D4709A" w:rsidP="00D4709A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lv-LV"/>
              </w:rPr>
            </w:pPr>
            <w:r w:rsidRPr="008079F8">
              <w:rPr>
                <w:b/>
                <w:bCs/>
                <w:lang w:val="lv-LV"/>
              </w:rPr>
              <w:t>Informatīvā ziņojuma 2. lpp.</w:t>
            </w:r>
          </w:p>
          <w:p w14:paraId="0E21D622" w14:textId="26B12532" w:rsidR="00D4709A" w:rsidRPr="008079F8" w:rsidRDefault="00D4709A" w:rsidP="00D4709A">
            <w:pPr>
              <w:pStyle w:val="ListParagraph"/>
              <w:suppressAutoHyphens/>
              <w:autoSpaceDN w:val="0"/>
              <w:ind w:lef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rFonts w:ascii="Courier New" w:hAnsi="Courier New" w:cs="Courier New"/>
                <w:b/>
                <w:bCs/>
              </w:rPr>
              <w:t>•</w:t>
            </w:r>
            <w:r w:rsidRPr="008079F8">
              <w:rPr>
                <w:sz w:val="24"/>
                <w:szCs w:val="24"/>
              </w:rPr>
              <w:t xml:space="preserve">Eiropas Parlamenta un Padomes </w:t>
            </w:r>
            <w:r w:rsidRPr="008079F8">
              <w:rPr>
                <w:sz w:val="24"/>
                <w:szCs w:val="24"/>
                <w:lang w:eastAsia="lv-LV"/>
              </w:rPr>
              <w:t xml:space="preserve">2013. gada 11. decembris </w:t>
            </w:r>
            <w:r w:rsidRPr="008079F8">
              <w:rPr>
                <w:sz w:val="24"/>
                <w:szCs w:val="24"/>
              </w:rPr>
              <w:t>Regula</w:t>
            </w:r>
            <w:r w:rsidRPr="008079F8">
              <w:rPr>
                <w:sz w:val="24"/>
                <w:szCs w:val="24"/>
                <w:lang w:eastAsia="lv-LV"/>
              </w:rPr>
              <w:t xml:space="preserve"> (ES) Nr.1291/2013, ar ko izveido Apvārsni 2020 (2014.–2020. gads) un atceļ Lēmumu Nr. 1982/2006/</w:t>
            </w:r>
            <w:r w:rsidRPr="008079F8">
              <w:rPr>
                <w:sz w:val="24"/>
                <w:szCs w:val="24"/>
              </w:rPr>
              <w:t xml:space="preserve"> Eiropas Komisija (turpmāk – Komisija);</w:t>
            </w:r>
          </w:p>
          <w:p w14:paraId="432095BE" w14:textId="74ECB3CC" w:rsidR="00D4709A" w:rsidRPr="00D4709A" w:rsidRDefault="00D4709A" w:rsidP="00D4709A">
            <w:pPr>
              <w:pStyle w:val="ListParagraph"/>
              <w:suppressAutoHyphens/>
              <w:autoSpaceDN w:val="0"/>
              <w:ind w:left="38"/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</w:rPr>
              <w:t>•</w:t>
            </w:r>
            <w:r w:rsidRPr="008079F8">
              <w:rPr>
                <w:sz w:val="24"/>
                <w:szCs w:val="24"/>
              </w:rPr>
              <w:t xml:space="preserve">Eiropas Parlamenta un Padomes 2018.gada 18. jūlija Regula (ES, Euratom) Nr.2018/1046 par finanšu noteikumiem, ko </w:t>
            </w:r>
            <w:r w:rsidRPr="008079F8">
              <w:rPr>
                <w:sz w:val="24"/>
                <w:szCs w:val="24"/>
              </w:rPr>
              <w:lastRenderedPageBreak/>
              <w:t>piemēro ES vispārējam budžetam, ar kuru groza Regulas (ES) Nr.1296/2013, (ES) Nr.1301/2013, (ES) Nr.1303/2013, (ES) Nr.1304/2013, (ES) Nr.1309/2013, (ES) Nr.1316/2013, (ES) Nr.223/2014, (ES) Nr.283/2014 un Lēmumu Nr.541/</w:t>
            </w:r>
            <w:r w:rsidRPr="00D4709A">
              <w:rPr>
                <w:sz w:val="24"/>
                <w:szCs w:val="24"/>
              </w:rPr>
              <w:t>2014/ES un atceļ Regulu (ES, Euratom) Nr.966/2012;</w:t>
            </w:r>
          </w:p>
          <w:p w14:paraId="77712CE0" w14:textId="37BA81A3" w:rsidR="00D4709A" w:rsidRPr="00D4709A" w:rsidRDefault="00D4709A" w:rsidP="008F1B6F">
            <w:pPr>
              <w:pStyle w:val="BodyText1"/>
              <w:shd w:val="clear" w:color="auto" w:fill="auto"/>
              <w:spacing w:after="0" w:line="240" w:lineRule="auto"/>
              <w:ind w:left="23" w:right="2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</w:rPr>
              <w:t>•</w:t>
            </w:r>
            <w:r w:rsidRPr="00D4709A">
              <w:rPr>
                <w:rFonts w:ascii="Times New Roman" w:hAnsi="Times New Roman" w:cs="Times New Roman"/>
                <w:sz w:val="24"/>
                <w:szCs w:val="24"/>
              </w:rPr>
              <w:t>Eiropas Parlamenta un Padomes 2013. gada 11.decembra Regula (ES) Nr.1290/2013,</w:t>
            </w:r>
            <w:r w:rsidRPr="00D470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D4709A">
              <w:rPr>
                <w:rFonts w:ascii="Times New Roman" w:hAnsi="Times New Roman" w:cs="Times New Roman"/>
                <w:sz w:val="24"/>
                <w:szCs w:val="24"/>
              </w:rPr>
              <w:t>ar ko nosaka pētniecības un inovācijas pamatprogrammas "Apvārsnis 2020" (2014.–2020. gads) dalības un rezultātu izplatīšanas noteikumus un atceļ Regulu (EK) Nr. 1906/2006.</w:t>
            </w:r>
            <w:r w:rsidRPr="00D47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09A">
              <w:rPr>
                <w:rFonts w:ascii="Times New Roman" w:hAnsi="Times New Roman" w:cs="Times New Roman"/>
                <w:sz w:val="24"/>
                <w:szCs w:val="24"/>
              </w:rPr>
              <w:t>(turpmāk - Regula Nr.1290/2013)</w:t>
            </w:r>
            <w:r w:rsidRPr="00D470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ECC8430" w14:textId="5675920F" w:rsidR="008F1B6F" w:rsidRPr="00D4709A" w:rsidRDefault="008F1B6F" w:rsidP="008F1B6F">
            <w:pPr>
              <w:pStyle w:val="BodyText1"/>
              <w:shd w:val="clear" w:color="auto" w:fill="auto"/>
              <w:spacing w:after="0" w:line="240" w:lineRule="auto"/>
              <w:ind w:left="23" w:right="2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Informatīvā ziņojuma </w:t>
            </w:r>
            <w:r w:rsidR="003B6FA2" w:rsidRPr="00D4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4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lpp.</w:t>
            </w:r>
          </w:p>
          <w:p w14:paraId="2DA9CEC8" w14:textId="365753E1" w:rsidR="002C53D2" w:rsidRPr="008079F8" w:rsidRDefault="00C67287" w:rsidP="00C67287">
            <w:pPr>
              <w:jc w:val="both"/>
              <w:rPr>
                <w:lang w:val="lv-LV"/>
              </w:rPr>
            </w:pPr>
            <w:r w:rsidRPr="00D4709A">
              <w:rPr>
                <w:lang w:val="lv-LV"/>
              </w:rPr>
              <w:t>“</w:t>
            </w:r>
            <w:r w:rsidR="005F7513" w:rsidRPr="00D4709A">
              <w:rPr>
                <w:lang w:val="lv-LV"/>
              </w:rPr>
              <w:t>Lai gan atbilstoši</w:t>
            </w:r>
            <w:r w:rsidR="005F7513" w:rsidRPr="00D4709A">
              <w:rPr>
                <w:lang w:val="lv-LV" w:eastAsia="lv-LV"/>
              </w:rPr>
              <w:t xml:space="preserve"> Granta līguma</w:t>
            </w:r>
            <w:r w:rsidR="005F7513" w:rsidRPr="008079F8">
              <w:rPr>
                <w:lang w:val="lv-LV" w:eastAsia="lv-LV"/>
              </w:rPr>
              <w:t xml:space="preserve"> 21.2.punktam avansa maksājums </w:t>
            </w:r>
            <w:r w:rsidR="005F7513" w:rsidRPr="008079F8">
              <w:rPr>
                <w:lang w:val="lv-LV" w:eastAsia="lv-LV"/>
              </w:rPr>
              <w:lastRenderedPageBreak/>
              <w:t xml:space="preserve">paredzēts 2 399 984 euro apmērā (80% apmērā no </w:t>
            </w:r>
            <w:r w:rsidR="005F7513" w:rsidRPr="008079F8">
              <w:rPr>
                <w:lang w:val="lv-LV"/>
              </w:rPr>
              <w:t>Apvārsnis 2020</w:t>
            </w:r>
            <w:r w:rsidR="005F7513" w:rsidRPr="008079F8">
              <w:rPr>
                <w:lang w:val="lv-LV" w:eastAsia="lv-LV"/>
              </w:rPr>
              <w:t xml:space="preserve"> finansējuma), saskaņā</w:t>
            </w:r>
            <w:r w:rsidR="005F7513" w:rsidRPr="008079F8">
              <w:rPr>
                <w:lang w:val="lv-LV"/>
              </w:rPr>
              <w:t xml:space="preserve"> ar Vadošā partnera sniegto informāciju plānots, ka katrs Projekta partneris Projekta ieviešanas sākumā saņems avansa maksājumu tikai 75% apmērā, ieturot garantijas summu 5% apmērā no avansa maksājuma atbilstoši Regulas Nr.1290/2013 38. un 39.pantam. Līdz ar to NVD plānotā saņemamā avansa apmērs būs 27 281 euro, </w:t>
            </w:r>
            <w:r w:rsidR="005F7513" w:rsidRPr="008079F8">
              <w:rPr>
                <w:lang w:val="lv-LV" w:eastAsia="lv-LV"/>
              </w:rPr>
              <w:t xml:space="preserve">kas tiks ieskaitīts 2020. gada otrā pusē budžeta </w:t>
            </w:r>
            <w:r w:rsidR="005F7513" w:rsidRPr="008079F8">
              <w:rPr>
                <w:lang w:val="lv-LV"/>
              </w:rPr>
              <w:t>apakšprogrammā 70.07.00 “Citu Eiropas Kopienas projektu īstenošana”.</w:t>
            </w:r>
            <w:r w:rsidRPr="008079F8">
              <w:rPr>
                <w:lang w:val="lv-LV"/>
              </w:rPr>
              <w:t>”</w:t>
            </w:r>
            <w:r w:rsidR="005F7513" w:rsidRPr="008079F8">
              <w:rPr>
                <w:lang w:val="lv-LV"/>
              </w:rPr>
              <w:t xml:space="preserve"> </w:t>
            </w:r>
          </w:p>
        </w:tc>
      </w:tr>
      <w:tr w:rsidR="00BC4EE1" w14:paraId="1616BB0F" w14:textId="77777777" w:rsidTr="00C96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377" w:type="pct"/>
        </w:trPr>
        <w:tc>
          <w:tcPr>
            <w:tcW w:w="526" w:type="pct"/>
            <w:gridSpan w:val="2"/>
          </w:tcPr>
          <w:p w14:paraId="55DDA824" w14:textId="77777777" w:rsidR="00BC4EE1" w:rsidRDefault="00BC4EE1" w:rsidP="00C96202">
            <w:pPr>
              <w:pStyle w:val="naiskr"/>
              <w:spacing w:before="0" w:after="0"/>
            </w:pPr>
          </w:p>
          <w:p w14:paraId="0E5A73F1" w14:textId="77777777" w:rsidR="00BC4EE1" w:rsidRPr="00712B66" w:rsidRDefault="00BC4EE1" w:rsidP="00C96202">
            <w:pPr>
              <w:pStyle w:val="naiskr"/>
              <w:spacing w:before="0" w:after="0"/>
            </w:pPr>
            <w:r w:rsidRPr="00712B66">
              <w:t>Atbildīgā amatpersona</w:t>
            </w:r>
          </w:p>
        </w:tc>
        <w:tc>
          <w:tcPr>
            <w:tcW w:w="2097" w:type="pct"/>
            <w:gridSpan w:val="2"/>
          </w:tcPr>
          <w:p w14:paraId="3F1EA7C3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</w:tr>
      <w:tr w:rsidR="00BC4EE1" w14:paraId="13C9E8E8" w14:textId="77777777" w:rsidTr="00C96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377" w:type="pct"/>
        </w:trPr>
        <w:tc>
          <w:tcPr>
            <w:tcW w:w="526" w:type="pct"/>
            <w:gridSpan w:val="2"/>
          </w:tcPr>
          <w:p w14:paraId="0112F26A" w14:textId="77777777" w:rsidR="00BC4EE1" w:rsidRPr="00712B66" w:rsidRDefault="00BC4EE1" w:rsidP="00C96202">
            <w:pPr>
              <w:pStyle w:val="naiskr"/>
              <w:spacing w:before="0" w:after="0"/>
              <w:ind w:firstLine="720"/>
            </w:pPr>
          </w:p>
        </w:tc>
        <w:tc>
          <w:tcPr>
            <w:tcW w:w="2097" w:type="pct"/>
            <w:gridSpan w:val="2"/>
            <w:tcBorders>
              <w:top w:val="single" w:sz="6" w:space="0" w:color="000000"/>
            </w:tcBorders>
          </w:tcPr>
          <w:p w14:paraId="4EEA7651" w14:textId="77777777" w:rsidR="00BC4EE1" w:rsidRPr="00712B66" w:rsidRDefault="00BC4EE1" w:rsidP="00C96202">
            <w:pPr>
              <w:pStyle w:val="naisc"/>
              <w:spacing w:before="0" w:after="0"/>
              <w:ind w:firstLine="720"/>
            </w:pPr>
            <w:r w:rsidRPr="00712B66">
              <w:t>(paraksts)</w:t>
            </w:r>
          </w:p>
        </w:tc>
      </w:tr>
    </w:tbl>
    <w:p w14:paraId="43F8C54D" w14:textId="77777777" w:rsidR="00BC4EE1" w:rsidRPr="00EA40F1" w:rsidRDefault="00433525" w:rsidP="00BC4EE1">
      <w:pPr>
        <w:pStyle w:val="naisf"/>
        <w:spacing w:before="0" w:after="0"/>
        <w:ind w:firstLine="0"/>
      </w:pPr>
      <w:r>
        <w:t>Agnija Barona</w:t>
      </w:r>
    </w:p>
    <w:p w14:paraId="39B5FD94" w14:textId="77777777" w:rsidR="00BC4EE1" w:rsidRPr="00EA40F1" w:rsidRDefault="00BC4EE1" w:rsidP="00BC4EE1">
      <w:pPr>
        <w:pStyle w:val="PlainText"/>
        <w:rPr>
          <w:rFonts w:ascii="Times New Roman" w:hAnsi="Times New Roman" w:cs="Times New Roman"/>
          <w:sz w:val="24"/>
          <w:szCs w:val="24"/>
          <w:lang w:val="lv-LV"/>
        </w:rPr>
      </w:pPr>
      <w:r w:rsidRPr="00EA40F1">
        <w:rPr>
          <w:rFonts w:ascii="Times New Roman" w:hAnsi="Times New Roman" w:cs="Times New Roman"/>
          <w:sz w:val="24"/>
          <w:szCs w:val="24"/>
          <w:lang w:val="lv-LV"/>
        </w:rPr>
        <w:t xml:space="preserve">Veselības ministrijas </w:t>
      </w:r>
    </w:p>
    <w:p w14:paraId="15CDF21B" w14:textId="77777777" w:rsidR="00BC4EE1" w:rsidRPr="00433525" w:rsidRDefault="00433525" w:rsidP="00433525">
      <w:pPr>
        <w:pStyle w:val="PlainText"/>
        <w:rPr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Kapitālsabiedrību un investīciju uzraudzības nodaļas vecākā referente</w:t>
      </w:r>
    </w:p>
    <w:p w14:paraId="18CDB966" w14:textId="77777777" w:rsidR="00433525" w:rsidRDefault="00BC4EE1" w:rsidP="00BC4EE1">
      <w:pPr>
        <w:pStyle w:val="naisf"/>
        <w:spacing w:before="0" w:after="0"/>
        <w:ind w:firstLine="0"/>
      </w:pPr>
      <w:r>
        <w:t>tālr. 67876</w:t>
      </w:r>
      <w:r w:rsidR="00433525">
        <w:t>158</w:t>
      </w:r>
      <w:r w:rsidRPr="00EA40F1">
        <w:t xml:space="preserve">, </w:t>
      </w:r>
    </w:p>
    <w:p w14:paraId="1D14AB7A" w14:textId="15C3962D" w:rsidR="00415E5E" w:rsidRPr="00DA14D9" w:rsidRDefault="00433525" w:rsidP="008079F8">
      <w:pPr>
        <w:pStyle w:val="naisf"/>
        <w:spacing w:before="0" w:after="0"/>
        <w:ind w:firstLine="0"/>
      </w:pPr>
      <w:r>
        <w:t>Agnija</w:t>
      </w:r>
      <w:r w:rsidR="00BC4EE1">
        <w:t>.</w:t>
      </w:r>
      <w:r>
        <w:t>Barona</w:t>
      </w:r>
      <w:r w:rsidR="00BC4EE1" w:rsidRPr="00EA40F1">
        <w:t>@vm.gov.lv</w:t>
      </w:r>
    </w:p>
    <w:sectPr w:rsidR="00415E5E" w:rsidRPr="00DA14D9" w:rsidSect="00E417FA">
      <w:headerReference w:type="default" r:id="rId8"/>
      <w:footerReference w:type="default" r:id="rId9"/>
      <w:footerReference w:type="first" r:id="rId10"/>
      <w:pgSz w:w="15840" w:h="12240" w:orient="landscape"/>
      <w:pgMar w:top="1701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95E2" w14:textId="77777777" w:rsidR="005E6956" w:rsidRDefault="005E6956" w:rsidP="004214BD">
      <w:r>
        <w:separator/>
      </w:r>
    </w:p>
  </w:endnote>
  <w:endnote w:type="continuationSeparator" w:id="0">
    <w:p w14:paraId="6AF0DB53" w14:textId="77777777" w:rsidR="005E6956" w:rsidRDefault="005E6956" w:rsidP="0042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6645" w14:textId="4A2ABC83" w:rsidR="005E6956" w:rsidRPr="00EC29AE" w:rsidRDefault="005E6956" w:rsidP="00964AF2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VM</w:t>
    </w:r>
    <w:r w:rsidR="00191C00">
      <w:rPr>
        <w:sz w:val="20"/>
        <w:szCs w:val="20"/>
        <w:lang w:val="lv-LV"/>
      </w:rPr>
      <w:t>i</w:t>
    </w:r>
    <w:r>
      <w:rPr>
        <w:sz w:val="20"/>
        <w:szCs w:val="20"/>
        <w:lang w:val="lv-LV"/>
      </w:rPr>
      <w:t>zz_</w:t>
    </w:r>
    <w:r w:rsidR="00745D33">
      <w:rPr>
        <w:sz w:val="20"/>
        <w:szCs w:val="20"/>
        <w:lang w:val="lv-LV"/>
      </w:rPr>
      <w:t>1</w:t>
    </w:r>
    <w:r w:rsidR="008079F8">
      <w:rPr>
        <w:sz w:val="20"/>
        <w:szCs w:val="20"/>
        <w:lang w:val="lv-LV"/>
      </w:rPr>
      <w:t>6</w:t>
    </w:r>
    <w:r w:rsidR="00964AF2">
      <w:rPr>
        <w:sz w:val="20"/>
        <w:szCs w:val="20"/>
        <w:lang w:val="lv-LV"/>
      </w:rPr>
      <w:t>0</w:t>
    </w:r>
    <w:r w:rsidR="00E07D15">
      <w:rPr>
        <w:sz w:val="20"/>
        <w:szCs w:val="20"/>
        <w:lang w:val="lv-LV"/>
      </w:rPr>
      <w:t>9</w:t>
    </w:r>
    <w:r w:rsidR="00964AF2">
      <w:rPr>
        <w:sz w:val="20"/>
        <w:szCs w:val="20"/>
        <w:lang w:val="lv-LV"/>
      </w:rPr>
      <w:t>20</w:t>
    </w:r>
    <w:r w:rsidRPr="00DA14D9">
      <w:rPr>
        <w:sz w:val="20"/>
        <w:szCs w:val="20"/>
        <w:lang w:val="lv-LV"/>
      </w:rPr>
      <w:t>_</w:t>
    </w:r>
    <w:r w:rsidR="00191C00">
      <w:rPr>
        <w:sz w:val="20"/>
        <w:szCs w:val="20"/>
        <w:lang w:val="lv-LV"/>
      </w:rPr>
      <w:t>H2020</w:t>
    </w:r>
    <w:r w:rsidRPr="00DA14D9">
      <w:rPr>
        <w:sz w:val="20"/>
        <w:szCs w:val="20"/>
        <w:lang w:val="lv-LV"/>
      </w:rPr>
      <w:t xml:space="preserve">; </w:t>
    </w:r>
    <w:smartTag w:uri="schemas-tilde-lv/tildestengine" w:element="veidnes">
      <w:smartTagPr>
        <w:attr w:name="baseform" w:val="izziņ|a"/>
        <w:attr w:name="id" w:val="-1"/>
        <w:attr w:name="text" w:val="IZZIŅA"/>
      </w:smartTagPr>
      <w:r w:rsidRPr="00DA14D9">
        <w:rPr>
          <w:sz w:val="20"/>
          <w:szCs w:val="20"/>
          <w:lang w:val="lv-LV"/>
        </w:rPr>
        <w:t>Izziņa</w:t>
      </w:r>
    </w:smartTag>
    <w:r w:rsidRPr="00DA14D9">
      <w:rPr>
        <w:sz w:val="20"/>
        <w:szCs w:val="20"/>
        <w:lang w:val="lv-LV"/>
      </w:rPr>
      <w:t xml:space="preserve"> par atzinumos sniegtajiem iebildumiem par </w:t>
    </w:r>
    <w:r w:rsidR="003E4BB9" w:rsidRPr="00FC6E16">
      <w:rPr>
        <w:noProof/>
        <w:sz w:val="20"/>
        <w:szCs w:val="20"/>
      </w:rPr>
      <w:t xml:space="preserve">Informatīvo ziņojumu par Eiropas Savienības </w:t>
    </w:r>
    <w:r w:rsidR="003E4BB9" w:rsidRPr="00FC6E16">
      <w:rPr>
        <w:bCs/>
        <w:sz w:val="20"/>
        <w:szCs w:val="20"/>
      </w:rPr>
      <w:t>pētniecības</w:t>
    </w:r>
    <w:r w:rsidR="003E4BB9" w:rsidRPr="00FC6E16">
      <w:rPr>
        <w:noProof/>
        <w:sz w:val="20"/>
        <w:szCs w:val="20"/>
      </w:rPr>
      <w:t xml:space="preserve"> </w:t>
    </w:r>
    <w:r w:rsidR="003E4BB9" w:rsidRPr="00FC6E16">
      <w:rPr>
        <w:bCs/>
        <w:sz w:val="20"/>
        <w:szCs w:val="20"/>
      </w:rPr>
      <w:t>un inovācijas atbalsta programmas “Apvārsnis 2020” līdzfinansētā projekta “X-eHealth: elektronsiko veselības ierakstu apmaiņa kopējā ietvarā” īstenošanu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CE2F" w14:textId="463C05D9" w:rsidR="005E6956" w:rsidRPr="00FC6E16" w:rsidRDefault="005E6956" w:rsidP="004A4928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VMIzz_</w:t>
    </w:r>
    <w:r w:rsidR="00745D33">
      <w:rPr>
        <w:sz w:val="20"/>
        <w:szCs w:val="20"/>
        <w:lang w:val="lv-LV"/>
      </w:rPr>
      <w:t>1</w:t>
    </w:r>
    <w:r w:rsidR="008079F8">
      <w:rPr>
        <w:sz w:val="20"/>
        <w:szCs w:val="20"/>
        <w:lang w:val="lv-LV"/>
      </w:rPr>
      <w:t>6</w:t>
    </w:r>
    <w:r w:rsidR="005E31C2">
      <w:rPr>
        <w:sz w:val="20"/>
        <w:szCs w:val="20"/>
        <w:lang w:val="lv-LV"/>
      </w:rPr>
      <w:t>0</w:t>
    </w:r>
    <w:r w:rsidR="00E07D15">
      <w:rPr>
        <w:sz w:val="20"/>
        <w:szCs w:val="20"/>
        <w:lang w:val="lv-LV"/>
      </w:rPr>
      <w:t>9</w:t>
    </w:r>
    <w:r w:rsidR="005E31C2">
      <w:rPr>
        <w:sz w:val="20"/>
        <w:szCs w:val="20"/>
        <w:lang w:val="lv-LV"/>
      </w:rPr>
      <w:t>20</w:t>
    </w:r>
    <w:r>
      <w:rPr>
        <w:sz w:val="20"/>
        <w:szCs w:val="20"/>
        <w:lang w:val="lv-LV"/>
      </w:rPr>
      <w:t>_</w:t>
    </w:r>
    <w:r w:rsidR="00191C00">
      <w:rPr>
        <w:sz w:val="20"/>
        <w:szCs w:val="20"/>
        <w:lang w:val="lv-LV"/>
      </w:rPr>
      <w:t>H2020</w:t>
    </w:r>
    <w:r w:rsidRPr="009D0454">
      <w:rPr>
        <w:sz w:val="20"/>
        <w:szCs w:val="20"/>
        <w:lang w:val="lv-LV"/>
      </w:rPr>
      <w:t xml:space="preserve">; </w:t>
    </w:r>
    <w:smartTag w:uri="schemas-tilde-lv/tildestengine" w:element="veidnes">
      <w:smartTagPr>
        <w:attr w:name="baseform" w:val="izziņ|a"/>
        <w:attr w:name="id" w:val="-1"/>
        <w:attr w:name="text" w:val="IZZIŅA"/>
      </w:smartTagPr>
      <w:r w:rsidRPr="00DA14D9">
        <w:rPr>
          <w:sz w:val="20"/>
          <w:szCs w:val="20"/>
          <w:lang w:val="lv-LV"/>
        </w:rPr>
        <w:t>Izziņa</w:t>
      </w:r>
    </w:smartTag>
    <w:r w:rsidRPr="00DA14D9">
      <w:rPr>
        <w:sz w:val="20"/>
        <w:szCs w:val="20"/>
        <w:lang w:val="lv-LV"/>
      </w:rPr>
      <w:t xml:space="preserve"> par </w:t>
    </w:r>
    <w:r w:rsidRPr="00FC6E16">
      <w:rPr>
        <w:sz w:val="20"/>
        <w:szCs w:val="20"/>
        <w:lang w:val="lv-LV"/>
      </w:rPr>
      <w:t xml:space="preserve">atzinumos sniegtajiem iebildumiem par </w:t>
    </w:r>
    <w:r w:rsidR="00FC6E16" w:rsidRPr="00FC6E16">
      <w:rPr>
        <w:noProof/>
        <w:sz w:val="20"/>
        <w:szCs w:val="20"/>
      </w:rPr>
      <w:t xml:space="preserve">Informatīvo ziņojumu par Eiropas Savienības </w:t>
    </w:r>
    <w:r w:rsidR="00FC6E16" w:rsidRPr="00FC6E16">
      <w:rPr>
        <w:bCs/>
        <w:sz w:val="20"/>
        <w:szCs w:val="20"/>
      </w:rPr>
      <w:t>pētniecības</w:t>
    </w:r>
    <w:r w:rsidR="00FC6E16" w:rsidRPr="00FC6E16">
      <w:rPr>
        <w:noProof/>
        <w:sz w:val="20"/>
        <w:szCs w:val="20"/>
      </w:rPr>
      <w:t xml:space="preserve"> </w:t>
    </w:r>
    <w:r w:rsidR="00FC6E16" w:rsidRPr="00FC6E16">
      <w:rPr>
        <w:bCs/>
        <w:sz w:val="20"/>
        <w:szCs w:val="20"/>
      </w:rPr>
      <w:t>un inovācijas atbalsta programmas “Apvārsnis 2020” līdzfinansētā projekta “X-eHealth: elektronsiko veselības ierakstu apmaiņa kopējā ietvarā” īstenošanu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CA6D" w14:textId="77777777" w:rsidR="005E6956" w:rsidRDefault="005E6956" w:rsidP="004214BD">
      <w:r>
        <w:separator/>
      </w:r>
    </w:p>
  </w:footnote>
  <w:footnote w:type="continuationSeparator" w:id="0">
    <w:p w14:paraId="624E9706" w14:textId="77777777" w:rsidR="005E6956" w:rsidRDefault="005E6956" w:rsidP="0042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9309" w14:textId="77777777" w:rsidR="005E6956" w:rsidRDefault="00BC23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73F">
      <w:rPr>
        <w:noProof/>
      </w:rPr>
      <w:t>8</w:t>
    </w:r>
    <w:r>
      <w:rPr>
        <w:noProof/>
      </w:rPr>
      <w:fldChar w:fldCharType="end"/>
    </w:r>
  </w:p>
  <w:p w14:paraId="787BA844" w14:textId="77777777" w:rsidR="005E6956" w:rsidRDefault="005E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B61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1C34E6"/>
    <w:multiLevelType w:val="hybridMultilevel"/>
    <w:tmpl w:val="637C1E54"/>
    <w:lvl w:ilvl="0" w:tplc="6A2E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3498D"/>
    <w:multiLevelType w:val="hybridMultilevel"/>
    <w:tmpl w:val="1E6A14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49EF"/>
    <w:multiLevelType w:val="hybridMultilevel"/>
    <w:tmpl w:val="29E23C4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C1B8A"/>
    <w:multiLevelType w:val="hybridMultilevel"/>
    <w:tmpl w:val="99FCC9FC"/>
    <w:lvl w:ilvl="0" w:tplc="4B2896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697CC9"/>
    <w:multiLevelType w:val="hybridMultilevel"/>
    <w:tmpl w:val="0A7817A2"/>
    <w:lvl w:ilvl="0" w:tplc="4F5876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642600"/>
    <w:multiLevelType w:val="hybridMultilevel"/>
    <w:tmpl w:val="AA003AC2"/>
    <w:lvl w:ilvl="0" w:tplc="042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1CB5"/>
    <w:multiLevelType w:val="hybridMultilevel"/>
    <w:tmpl w:val="04DCE7DC"/>
    <w:lvl w:ilvl="0" w:tplc="3A94C11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5132D92"/>
    <w:multiLevelType w:val="hybridMultilevel"/>
    <w:tmpl w:val="9BB63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D2334"/>
    <w:multiLevelType w:val="hybridMultilevel"/>
    <w:tmpl w:val="CE623BB6"/>
    <w:lvl w:ilvl="0" w:tplc="67083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D5970"/>
    <w:multiLevelType w:val="hybridMultilevel"/>
    <w:tmpl w:val="53DC9814"/>
    <w:lvl w:ilvl="0" w:tplc="D6CCE6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689F"/>
    <w:multiLevelType w:val="hybridMultilevel"/>
    <w:tmpl w:val="637C1E54"/>
    <w:lvl w:ilvl="0" w:tplc="6A2E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3402AE"/>
    <w:multiLevelType w:val="hybridMultilevel"/>
    <w:tmpl w:val="F85A5B66"/>
    <w:lvl w:ilvl="0" w:tplc="85409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B510B"/>
    <w:multiLevelType w:val="hybridMultilevel"/>
    <w:tmpl w:val="64EADE0C"/>
    <w:lvl w:ilvl="0" w:tplc="4B5C79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C5856"/>
    <w:multiLevelType w:val="hybridMultilevel"/>
    <w:tmpl w:val="6DA4C2C6"/>
    <w:lvl w:ilvl="0" w:tplc="04260011">
      <w:start w:val="1"/>
      <w:numFmt w:val="decimal"/>
      <w:lvlText w:val="%1)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0D4345"/>
    <w:multiLevelType w:val="hybridMultilevel"/>
    <w:tmpl w:val="F070B6BE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A42C9"/>
    <w:multiLevelType w:val="hybridMultilevel"/>
    <w:tmpl w:val="4F1404E6"/>
    <w:lvl w:ilvl="0" w:tplc="CC986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924BA"/>
    <w:multiLevelType w:val="multilevel"/>
    <w:tmpl w:val="BEDA22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C524E15"/>
    <w:multiLevelType w:val="hybridMultilevel"/>
    <w:tmpl w:val="0D641DBA"/>
    <w:lvl w:ilvl="0" w:tplc="AF54B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911EDB"/>
    <w:multiLevelType w:val="hybridMultilevel"/>
    <w:tmpl w:val="D5B643AC"/>
    <w:lvl w:ilvl="0" w:tplc="488A3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034592D"/>
    <w:multiLevelType w:val="hybridMultilevel"/>
    <w:tmpl w:val="ADBA4F14"/>
    <w:lvl w:ilvl="0" w:tplc="0260772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422426EB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2AE5245"/>
    <w:multiLevelType w:val="hybridMultilevel"/>
    <w:tmpl w:val="D8FAB1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6E2090"/>
    <w:multiLevelType w:val="singleLevel"/>
    <w:tmpl w:val="E7321C18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34C6262"/>
    <w:multiLevelType w:val="hybridMultilevel"/>
    <w:tmpl w:val="2ED6193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1">
      <w:start w:val="1"/>
      <w:numFmt w:val="decimal"/>
      <w:lvlText w:val="%2)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2C5F51"/>
    <w:multiLevelType w:val="hybridMultilevel"/>
    <w:tmpl w:val="28A00D5E"/>
    <w:lvl w:ilvl="0" w:tplc="5260A248">
      <w:start w:val="1"/>
      <w:numFmt w:val="decimal"/>
      <w:lvlText w:val="%1."/>
      <w:lvlJc w:val="left"/>
      <w:pPr>
        <w:ind w:left="1050" w:hanging="69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21A84"/>
    <w:multiLevelType w:val="multilevel"/>
    <w:tmpl w:val="08F0216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60F142D9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416ECD"/>
    <w:multiLevelType w:val="hybridMultilevel"/>
    <w:tmpl w:val="04720A0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78E7939"/>
    <w:multiLevelType w:val="hybridMultilevel"/>
    <w:tmpl w:val="BD061396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956C27"/>
    <w:multiLevelType w:val="hybridMultilevel"/>
    <w:tmpl w:val="6DFA8502"/>
    <w:lvl w:ilvl="0" w:tplc="037C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BB4555"/>
    <w:multiLevelType w:val="hybridMultilevel"/>
    <w:tmpl w:val="2ECEF662"/>
    <w:lvl w:ilvl="0" w:tplc="16DE8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A7593"/>
    <w:multiLevelType w:val="hybridMultilevel"/>
    <w:tmpl w:val="D568AD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42CFB"/>
    <w:multiLevelType w:val="multilevel"/>
    <w:tmpl w:val="B544A1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55E6265"/>
    <w:multiLevelType w:val="hybridMultilevel"/>
    <w:tmpl w:val="637C1E54"/>
    <w:lvl w:ilvl="0" w:tplc="6A2E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851F2A"/>
    <w:multiLevelType w:val="hybridMultilevel"/>
    <w:tmpl w:val="FE7EF11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26"/>
  </w:num>
  <w:num w:numId="5">
    <w:abstractNumId w:val="7"/>
  </w:num>
  <w:num w:numId="6">
    <w:abstractNumId w:val="16"/>
  </w:num>
  <w:num w:numId="7">
    <w:abstractNumId w:val="19"/>
  </w:num>
  <w:num w:numId="8">
    <w:abstractNumId w:val="6"/>
  </w:num>
  <w:num w:numId="9">
    <w:abstractNumId w:val="10"/>
  </w:num>
  <w:num w:numId="10">
    <w:abstractNumId w:val="33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0"/>
  </w:num>
  <w:num w:numId="16">
    <w:abstractNumId w:val="9"/>
  </w:num>
  <w:num w:numId="17">
    <w:abstractNumId w:val="2"/>
  </w:num>
  <w:num w:numId="18">
    <w:abstractNumId w:val="8"/>
  </w:num>
  <w:num w:numId="19">
    <w:abstractNumId w:val="25"/>
  </w:num>
  <w:num w:numId="20">
    <w:abstractNumId w:val="30"/>
  </w:num>
  <w:num w:numId="21">
    <w:abstractNumId w:val="31"/>
  </w:num>
  <w:num w:numId="22">
    <w:abstractNumId w:val="3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21"/>
  </w:num>
  <w:num w:numId="27">
    <w:abstractNumId w:val="0"/>
  </w:num>
  <w:num w:numId="28">
    <w:abstractNumId w:val="4"/>
  </w:num>
  <w:num w:numId="29">
    <w:abstractNumId w:val="35"/>
  </w:num>
  <w:num w:numId="30">
    <w:abstractNumId w:val="1"/>
  </w:num>
  <w:num w:numId="31">
    <w:abstractNumId w:val="24"/>
  </w:num>
  <w:num w:numId="32">
    <w:abstractNumId w:val="14"/>
  </w:num>
  <w:num w:numId="33">
    <w:abstractNumId w:val="11"/>
  </w:num>
  <w:num w:numId="34">
    <w:abstractNumId w:val="12"/>
  </w:num>
  <w:num w:numId="35">
    <w:abstractNumId w:val="18"/>
  </w:num>
  <w:num w:numId="36">
    <w:abstractNumId w:val="36"/>
  </w:num>
  <w:num w:numId="37">
    <w:abstractNumId w:val="3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4DC"/>
    <w:rsid w:val="00001ED7"/>
    <w:rsid w:val="00010485"/>
    <w:rsid w:val="0001252E"/>
    <w:rsid w:val="000132B9"/>
    <w:rsid w:val="000149E0"/>
    <w:rsid w:val="000151CB"/>
    <w:rsid w:val="00017023"/>
    <w:rsid w:val="00017FEF"/>
    <w:rsid w:val="0002193B"/>
    <w:rsid w:val="00022151"/>
    <w:rsid w:val="00022627"/>
    <w:rsid w:val="00023B1A"/>
    <w:rsid w:val="00023DD1"/>
    <w:rsid w:val="000242AB"/>
    <w:rsid w:val="000250EC"/>
    <w:rsid w:val="00027711"/>
    <w:rsid w:val="000329EE"/>
    <w:rsid w:val="00040CF8"/>
    <w:rsid w:val="000410BD"/>
    <w:rsid w:val="00041337"/>
    <w:rsid w:val="000427F0"/>
    <w:rsid w:val="000439EF"/>
    <w:rsid w:val="00044BF5"/>
    <w:rsid w:val="00045410"/>
    <w:rsid w:val="00046308"/>
    <w:rsid w:val="00046A11"/>
    <w:rsid w:val="00047268"/>
    <w:rsid w:val="00047E4A"/>
    <w:rsid w:val="00054784"/>
    <w:rsid w:val="0005652E"/>
    <w:rsid w:val="000566B5"/>
    <w:rsid w:val="000570C3"/>
    <w:rsid w:val="00057117"/>
    <w:rsid w:val="000604F6"/>
    <w:rsid w:val="000607C6"/>
    <w:rsid w:val="00063412"/>
    <w:rsid w:val="00064CF7"/>
    <w:rsid w:val="00065F7B"/>
    <w:rsid w:val="00067CBA"/>
    <w:rsid w:val="00071B67"/>
    <w:rsid w:val="0007242A"/>
    <w:rsid w:val="00072FE1"/>
    <w:rsid w:val="00074F1F"/>
    <w:rsid w:val="00075BE7"/>
    <w:rsid w:val="00075F62"/>
    <w:rsid w:val="00084C50"/>
    <w:rsid w:val="00086C45"/>
    <w:rsid w:val="00094153"/>
    <w:rsid w:val="00096C93"/>
    <w:rsid w:val="00096DC9"/>
    <w:rsid w:val="000970BB"/>
    <w:rsid w:val="000A09A6"/>
    <w:rsid w:val="000A0A64"/>
    <w:rsid w:val="000A0F76"/>
    <w:rsid w:val="000A0F7C"/>
    <w:rsid w:val="000A28DB"/>
    <w:rsid w:val="000A3BB1"/>
    <w:rsid w:val="000A51BC"/>
    <w:rsid w:val="000B312C"/>
    <w:rsid w:val="000B3EB2"/>
    <w:rsid w:val="000B610C"/>
    <w:rsid w:val="000C3534"/>
    <w:rsid w:val="000C3897"/>
    <w:rsid w:val="000C38F2"/>
    <w:rsid w:val="000C403D"/>
    <w:rsid w:val="000C52BA"/>
    <w:rsid w:val="000C6645"/>
    <w:rsid w:val="000D1DA5"/>
    <w:rsid w:val="000D3298"/>
    <w:rsid w:val="000D4226"/>
    <w:rsid w:val="000D431A"/>
    <w:rsid w:val="000D48D8"/>
    <w:rsid w:val="000D5C63"/>
    <w:rsid w:val="000D6374"/>
    <w:rsid w:val="000E066F"/>
    <w:rsid w:val="000E2A0C"/>
    <w:rsid w:val="000E4191"/>
    <w:rsid w:val="000E7510"/>
    <w:rsid w:val="000E7FE6"/>
    <w:rsid w:val="000F29AD"/>
    <w:rsid w:val="000F3195"/>
    <w:rsid w:val="000F4281"/>
    <w:rsid w:val="000F43C7"/>
    <w:rsid w:val="0010026F"/>
    <w:rsid w:val="0010729D"/>
    <w:rsid w:val="0010784F"/>
    <w:rsid w:val="00110419"/>
    <w:rsid w:val="00114231"/>
    <w:rsid w:val="001159F0"/>
    <w:rsid w:val="00116AD0"/>
    <w:rsid w:val="00117799"/>
    <w:rsid w:val="001178D4"/>
    <w:rsid w:val="00117BE7"/>
    <w:rsid w:val="001201F4"/>
    <w:rsid w:val="00122CF7"/>
    <w:rsid w:val="0012368D"/>
    <w:rsid w:val="0012693B"/>
    <w:rsid w:val="00127397"/>
    <w:rsid w:val="00127D17"/>
    <w:rsid w:val="00130888"/>
    <w:rsid w:val="001308D2"/>
    <w:rsid w:val="00130BD5"/>
    <w:rsid w:val="00132009"/>
    <w:rsid w:val="0013306C"/>
    <w:rsid w:val="001330CC"/>
    <w:rsid w:val="00133E48"/>
    <w:rsid w:val="001341C9"/>
    <w:rsid w:val="00134969"/>
    <w:rsid w:val="001428EA"/>
    <w:rsid w:val="00142A48"/>
    <w:rsid w:val="00142B44"/>
    <w:rsid w:val="00142FC0"/>
    <w:rsid w:val="00143BE2"/>
    <w:rsid w:val="00143FF8"/>
    <w:rsid w:val="001520CD"/>
    <w:rsid w:val="00152294"/>
    <w:rsid w:val="00152299"/>
    <w:rsid w:val="00157232"/>
    <w:rsid w:val="001638DF"/>
    <w:rsid w:val="00164EC2"/>
    <w:rsid w:val="0017270B"/>
    <w:rsid w:val="00172D7E"/>
    <w:rsid w:val="00182E61"/>
    <w:rsid w:val="00183F3C"/>
    <w:rsid w:val="00184742"/>
    <w:rsid w:val="00184F28"/>
    <w:rsid w:val="00190B4A"/>
    <w:rsid w:val="001911CC"/>
    <w:rsid w:val="00191C00"/>
    <w:rsid w:val="00193ADD"/>
    <w:rsid w:val="00195EC9"/>
    <w:rsid w:val="001A07C5"/>
    <w:rsid w:val="001A08EF"/>
    <w:rsid w:val="001A0B66"/>
    <w:rsid w:val="001A0DE7"/>
    <w:rsid w:val="001A384C"/>
    <w:rsid w:val="001A5936"/>
    <w:rsid w:val="001B01E3"/>
    <w:rsid w:val="001B0E14"/>
    <w:rsid w:val="001B1EAF"/>
    <w:rsid w:val="001B2CF4"/>
    <w:rsid w:val="001B67FB"/>
    <w:rsid w:val="001C0231"/>
    <w:rsid w:val="001C14D6"/>
    <w:rsid w:val="001C1638"/>
    <w:rsid w:val="001C1E62"/>
    <w:rsid w:val="001C2230"/>
    <w:rsid w:val="001C356E"/>
    <w:rsid w:val="001C3A83"/>
    <w:rsid w:val="001C44BB"/>
    <w:rsid w:val="001C552F"/>
    <w:rsid w:val="001C69E5"/>
    <w:rsid w:val="001C7864"/>
    <w:rsid w:val="001C7AE3"/>
    <w:rsid w:val="001C7CDB"/>
    <w:rsid w:val="001D260D"/>
    <w:rsid w:val="001D371A"/>
    <w:rsid w:val="001D58E7"/>
    <w:rsid w:val="001D5B1F"/>
    <w:rsid w:val="001D7621"/>
    <w:rsid w:val="001E1402"/>
    <w:rsid w:val="001E1FC5"/>
    <w:rsid w:val="001E208A"/>
    <w:rsid w:val="001E2F64"/>
    <w:rsid w:val="001E4106"/>
    <w:rsid w:val="001E6329"/>
    <w:rsid w:val="001E6C0A"/>
    <w:rsid w:val="001F078C"/>
    <w:rsid w:val="001F0A2D"/>
    <w:rsid w:val="001F10F2"/>
    <w:rsid w:val="001F6906"/>
    <w:rsid w:val="001F7A68"/>
    <w:rsid w:val="002045AE"/>
    <w:rsid w:val="002059CD"/>
    <w:rsid w:val="00206C9A"/>
    <w:rsid w:val="00207B85"/>
    <w:rsid w:val="00207F31"/>
    <w:rsid w:val="00210D70"/>
    <w:rsid w:val="00210F70"/>
    <w:rsid w:val="00210FA9"/>
    <w:rsid w:val="002122D9"/>
    <w:rsid w:val="002154E0"/>
    <w:rsid w:val="00215EF6"/>
    <w:rsid w:val="0022461F"/>
    <w:rsid w:val="002251DB"/>
    <w:rsid w:val="00225334"/>
    <w:rsid w:val="002310B1"/>
    <w:rsid w:val="00231433"/>
    <w:rsid w:val="00231DCB"/>
    <w:rsid w:val="00233ECF"/>
    <w:rsid w:val="002348D3"/>
    <w:rsid w:val="00235579"/>
    <w:rsid w:val="00237A6F"/>
    <w:rsid w:val="00237DCE"/>
    <w:rsid w:val="002403AE"/>
    <w:rsid w:val="00241AE2"/>
    <w:rsid w:val="00241ED5"/>
    <w:rsid w:val="00243314"/>
    <w:rsid w:val="00247589"/>
    <w:rsid w:val="00247CDA"/>
    <w:rsid w:val="002513FA"/>
    <w:rsid w:val="002516E9"/>
    <w:rsid w:val="00254FEC"/>
    <w:rsid w:val="002555BE"/>
    <w:rsid w:val="00255C81"/>
    <w:rsid w:val="00257F67"/>
    <w:rsid w:val="0026015D"/>
    <w:rsid w:val="00261619"/>
    <w:rsid w:val="00261AD2"/>
    <w:rsid w:val="0026372A"/>
    <w:rsid w:val="00264E1E"/>
    <w:rsid w:val="00265C64"/>
    <w:rsid w:val="0026611A"/>
    <w:rsid w:val="0026678D"/>
    <w:rsid w:val="00266D8E"/>
    <w:rsid w:val="002712A7"/>
    <w:rsid w:val="002718DB"/>
    <w:rsid w:val="002730D3"/>
    <w:rsid w:val="002772DE"/>
    <w:rsid w:val="002806EB"/>
    <w:rsid w:val="00284C7D"/>
    <w:rsid w:val="00290D03"/>
    <w:rsid w:val="00290E0E"/>
    <w:rsid w:val="002931C2"/>
    <w:rsid w:val="00293DC5"/>
    <w:rsid w:val="0029503B"/>
    <w:rsid w:val="00295ACB"/>
    <w:rsid w:val="002972B0"/>
    <w:rsid w:val="002A1F8E"/>
    <w:rsid w:val="002A4726"/>
    <w:rsid w:val="002A4B0F"/>
    <w:rsid w:val="002A52BE"/>
    <w:rsid w:val="002A5B36"/>
    <w:rsid w:val="002A6CAC"/>
    <w:rsid w:val="002B1BD8"/>
    <w:rsid w:val="002B2804"/>
    <w:rsid w:val="002B3133"/>
    <w:rsid w:val="002B5301"/>
    <w:rsid w:val="002B6914"/>
    <w:rsid w:val="002B716B"/>
    <w:rsid w:val="002C0619"/>
    <w:rsid w:val="002C0A44"/>
    <w:rsid w:val="002C0B36"/>
    <w:rsid w:val="002C0E69"/>
    <w:rsid w:val="002C1329"/>
    <w:rsid w:val="002C53D2"/>
    <w:rsid w:val="002C7249"/>
    <w:rsid w:val="002D3AF2"/>
    <w:rsid w:val="002D4B08"/>
    <w:rsid w:val="002D573F"/>
    <w:rsid w:val="002E16AD"/>
    <w:rsid w:val="002E2000"/>
    <w:rsid w:val="002E45A6"/>
    <w:rsid w:val="002E51CD"/>
    <w:rsid w:val="002E58AA"/>
    <w:rsid w:val="002E5BEE"/>
    <w:rsid w:val="002E62AE"/>
    <w:rsid w:val="002E6B8E"/>
    <w:rsid w:val="002F0916"/>
    <w:rsid w:val="002F1E80"/>
    <w:rsid w:val="002F2212"/>
    <w:rsid w:val="002F3C91"/>
    <w:rsid w:val="002F69FF"/>
    <w:rsid w:val="003009CF"/>
    <w:rsid w:val="00301694"/>
    <w:rsid w:val="003057F1"/>
    <w:rsid w:val="00305BB1"/>
    <w:rsid w:val="00310C20"/>
    <w:rsid w:val="0031173D"/>
    <w:rsid w:val="00314596"/>
    <w:rsid w:val="00314728"/>
    <w:rsid w:val="00314768"/>
    <w:rsid w:val="003154D4"/>
    <w:rsid w:val="00317148"/>
    <w:rsid w:val="00320DEC"/>
    <w:rsid w:val="00321398"/>
    <w:rsid w:val="00322843"/>
    <w:rsid w:val="00323CA2"/>
    <w:rsid w:val="003243A3"/>
    <w:rsid w:val="00325E73"/>
    <w:rsid w:val="00327D50"/>
    <w:rsid w:val="00330E66"/>
    <w:rsid w:val="00331835"/>
    <w:rsid w:val="00336C5D"/>
    <w:rsid w:val="00350419"/>
    <w:rsid w:val="00351C99"/>
    <w:rsid w:val="0035558B"/>
    <w:rsid w:val="00355900"/>
    <w:rsid w:val="00356C3F"/>
    <w:rsid w:val="003605D7"/>
    <w:rsid w:val="00360D4A"/>
    <w:rsid w:val="00361CDF"/>
    <w:rsid w:val="00362A74"/>
    <w:rsid w:val="00363B89"/>
    <w:rsid w:val="003643BF"/>
    <w:rsid w:val="00367D57"/>
    <w:rsid w:val="00367EC7"/>
    <w:rsid w:val="0037035F"/>
    <w:rsid w:val="00371BCF"/>
    <w:rsid w:val="00372499"/>
    <w:rsid w:val="00372BFC"/>
    <w:rsid w:val="00374F38"/>
    <w:rsid w:val="0037511D"/>
    <w:rsid w:val="003759E5"/>
    <w:rsid w:val="0037601F"/>
    <w:rsid w:val="00376495"/>
    <w:rsid w:val="00376869"/>
    <w:rsid w:val="003779B0"/>
    <w:rsid w:val="00380175"/>
    <w:rsid w:val="00380476"/>
    <w:rsid w:val="00381656"/>
    <w:rsid w:val="00386822"/>
    <w:rsid w:val="003913B2"/>
    <w:rsid w:val="003919EC"/>
    <w:rsid w:val="0039298F"/>
    <w:rsid w:val="00392C62"/>
    <w:rsid w:val="00394418"/>
    <w:rsid w:val="00396C12"/>
    <w:rsid w:val="00397CA1"/>
    <w:rsid w:val="003A0043"/>
    <w:rsid w:val="003A1C91"/>
    <w:rsid w:val="003A1EC4"/>
    <w:rsid w:val="003A32E4"/>
    <w:rsid w:val="003A5363"/>
    <w:rsid w:val="003A6C19"/>
    <w:rsid w:val="003B07BB"/>
    <w:rsid w:val="003B1CA7"/>
    <w:rsid w:val="003B2BE5"/>
    <w:rsid w:val="003B33F2"/>
    <w:rsid w:val="003B5AEF"/>
    <w:rsid w:val="003B5B79"/>
    <w:rsid w:val="003B5CCB"/>
    <w:rsid w:val="003B6FA2"/>
    <w:rsid w:val="003C4D09"/>
    <w:rsid w:val="003C5C4C"/>
    <w:rsid w:val="003C687B"/>
    <w:rsid w:val="003D11CA"/>
    <w:rsid w:val="003D38DD"/>
    <w:rsid w:val="003D43D1"/>
    <w:rsid w:val="003D5FEB"/>
    <w:rsid w:val="003D6A1C"/>
    <w:rsid w:val="003D759C"/>
    <w:rsid w:val="003D7C78"/>
    <w:rsid w:val="003E21F6"/>
    <w:rsid w:val="003E2FE0"/>
    <w:rsid w:val="003E37BC"/>
    <w:rsid w:val="003E499F"/>
    <w:rsid w:val="003E4BB9"/>
    <w:rsid w:val="003E5324"/>
    <w:rsid w:val="003E6B51"/>
    <w:rsid w:val="003E6C1D"/>
    <w:rsid w:val="003E6D45"/>
    <w:rsid w:val="003E6EE8"/>
    <w:rsid w:val="003F02DC"/>
    <w:rsid w:val="003F1699"/>
    <w:rsid w:val="003F2880"/>
    <w:rsid w:val="003F2FE0"/>
    <w:rsid w:val="003F4535"/>
    <w:rsid w:val="003F48E4"/>
    <w:rsid w:val="003F5AC2"/>
    <w:rsid w:val="003F5BCB"/>
    <w:rsid w:val="003F5ECF"/>
    <w:rsid w:val="003F6CCD"/>
    <w:rsid w:val="00403FB4"/>
    <w:rsid w:val="00404DF5"/>
    <w:rsid w:val="00406FAD"/>
    <w:rsid w:val="00407A23"/>
    <w:rsid w:val="004101A5"/>
    <w:rsid w:val="00415981"/>
    <w:rsid w:val="00415B60"/>
    <w:rsid w:val="00415E5E"/>
    <w:rsid w:val="00416A0A"/>
    <w:rsid w:val="004214BD"/>
    <w:rsid w:val="00421741"/>
    <w:rsid w:val="00422E6B"/>
    <w:rsid w:val="00423682"/>
    <w:rsid w:val="0042398C"/>
    <w:rsid w:val="00426449"/>
    <w:rsid w:val="00426A67"/>
    <w:rsid w:val="004277AD"/>
    <w:rsid w:val="0043064F"/>
    <w:rsid w:val="00430794"/>
    <w:rsid w:val="00433525"/>
    <w:rsid w:val="00436EA8"/>
    <w:rsid w:val="00437B33"/>
    <w:rsid w:val="00437C61"/>
    <w:rsid w:val="00440EEA"/>
    <w:rsid w:val="00441627"/>
    <w:rsid w:val="004416B6"/>
    <w:rsid w:val="004449BC"/>
    <w:rsid w:val="004457ED"/>
    <w:rsid w:val="004464DB"/>
    <w:rsid w:val="00447933"/>
    <w:rsid w:val="00451D07"/>
    <w:rsid w:val="00453131"/>
    <w:rsid w:val="0045746A"/>
    <w:rsid w:val="004607E4"/>
    <w:rsid w:val="00461CF9"/>
    <w:rsid w:val="0046488B"/>
    <w:rsid w:val="00464B3B"/>
    <w:rsid w:val="00464B83"/>
    <w:rsid w:val="004661D7"/>
    <w:rsid w:val="00472C6F"/>
    <w:rsid w:val="00474224"/>
    <w:rsid w:val="00476DD1"/>
    <w:rsid w:val="00480E53"/>
    <w:rsid w:val="004824B7"/>
    <w:rsid w:val="00484B59"/>
    <w:rsid w:val="00485EB4"/>
    <w:rsid w:val="004935DC"/>
    <w:rsid w:val="0049577F"/>
    <w:rsid w:val="0049660D"/>
    <w:rsid w:val="004969AF"/>
    <w:rsid w:val="00496BF1"/>
    <w:rsid w:val="004A0014"/>
    <w:rsid w:val="004A1743"/>
    <w:rsid w:val="004A30CE"/>
    <w:rsid w:val="004A4928"/>
    <w:rsid w:val="004A5411"/>
    <w:rsid w:val="004B1249"/>
    <w:rsid w:val="004B1745"/>
    <w:rsid w:val="004B3AF4"/>
    <w:rsid w:val="004B3C35"/>
    <w:rsid w:val="004B3D88"/>
    <w:rsid w:val="004B418D"/>
    <w:rsid w:val="004B546B"/>
    <w:rsid w:val="004B77EC"/>
    <w:rsid w:val="004C0203"/>
    <w:rsid w:val="004C05C9"/>
    <w:rsid w:val="004C2F45"/>
    <w:rsid w:val="004C4A89"/>
    <w:rsid w:val="004C6585"/>
    <w:rsid w:val="004D02BF"/>
    <w:rsid w:val="004D0F2E"/>
    <w:rsid w:val="004D37FD"/>
    <w:rsid w:val="004D6112"/>
    <w:rsid w:val="004D6D02"/>
    <w:rsid w:val="004E14A7"/>
    <w:rsid w:val="004E2E2D"/>
    <w:rsid w:val="004E5C09"/>
    <w:rsid w:val="004E5FE7"/>
    <w:rsid w:val="004E6167"/>
    <w:rsid w:val="004E6251"/>
    <w:rsid w:val="004E6E9A"/>
    <w:rsid w:val="004F22A7"/>
    <w:rsid w:val="004F2709"/>
    <w:rsid w:val="004F2C24"/>
    <w:rsid w:val="004F3C70"/>
    <w:rsid w:val="004F645C"/>
    <w:rsid w:val="004F7B95"/>
    <w:rsid w:val="0050265D"/>
    <w:rsid w:val="005039A3"/>
    <w:rsid w:val="00506E90"/>
    <w:rsid w:val="00511434"/>
    <w:rsid w:val="00511864"/>
    <w:rsid w:val="00513566"/>
    <w:rsid w:val="0051400E"/>
    <w:rsid w:val="00514F2F"/>
    <w:rsid w:val="00517FBB"/>
    <w:rsid w:val="005201BD"/>
    <w:rsid w:val="005203BD"/>
    <w:rsid w:val="00521E0C"/>
    <w:rsid w:val="005221E3"/>
    <w:rsid w:val="0052758F"/>
    <w:rsid w:val="005324C8"/>
    <w:rsid w:val="005324DC"/>
    <w:rsid w:val="00536072"/>
    <w:rsid w:val="00536905"/>
    <w:rsid w:val="00536DD8"/>
    <w:rsid w:val="0054025B"/>
    <w:rsid w:val="00540D18"/>
    <w:rsid w:val="00541228"/>
    <w:rsid w:val="005414FD"/>
    <w:rsid w:val="00541FC7"/>
    <w:rsid w:val="005432E0"/>
    <w:rsid w:val="00547245"/>
    <w:rsid w:val="00547955"/>
    <w:rsid w:val="00547DAA"/>
    <w:rsid w:val="005523E6"/>
    <w:rsid w:val="00554293"/>
    <w:rsid w:val="00555742"/>
    <w:rsid w:val="00563AF9"/>
    <w:rsid w:val="0056564F"/>
    <w:rsid w:val="005666B1"/>
    <w:rsid w:val="0056779A"/>
    <w:rsid w:val="00567F2E"/>
    <w:rsid w:val="00572EE0"/>
    <w:rsid w:val="00573C96"/>
    <w:rsid w:val="00574D14"/>
    <w:rsid w:val="00576AB2"/>
    <w:rsid w:val="00580797"/>
    <w:rsid w:val="0058281B"/>
    <w:rsid w:val="0058297A"/>
    <w:rsid w:val="0058328E"/>
    <w:rsid w:val="00583D29"/>
    <w:rsid w:val="00585DEB"/>
    <w:rsid w:val="005911CC"/>
    <w:rsid w:val="0059126A"/>
    <w:rsid w:val="00594BAA"/>
    <w:rsid w:val="00596F6C"/>
    <w:rsid w:val="00597DB8"/>
    <w:rsid w:val="005A0150"/>
    <w:rsid w:val="005A0CD0"/>
    <w:rsid w:val="005A0FA2"/>
    <w:rsid w:val="005A4202"/>
    <w:rsid w:val="005B357A"/>
    <w:rsid w:val="005B4108"/>
    <w:rsid w:val="005B42F0"/>
    <w:rsid w:val="005B5E5E"/>
    <w:rsid w:val="005C088E"/>
    <w:rsid w:val="005C4A26"/>
    <w:rsid w:val="005C5634"/>
    <w:rsid w:val="005D356B"/>
    <w:rsid w:val="005D3619"/>
    <w:rsid w:val="005D4215"/>
    <w:rsid w:val="005D46EB"/>
    <w:rsid w:val="005D4CE3"/>
    <w:rsid w:val="005D51C0"/>
    <w:rsid w:val="005D7E00"/>
    <w:rsid w:val="005E0362"/>
    <w:rsid w:val="005E0B52"/>
    <w:rsid w:val="005E31C2"/>
    <w:rsid w:val="005E3B03"/>
    <w:rsid w:val="005E40E5"/>
    <w:rsid w:val="005E6956"/>
    <w:rsid w:val="005E7E83"/>
    <w:rsid w:val="005F0D60"/>
    <w:rsid w:val="005F0EAF"/>
    <w:rsid w:val="005F2C2D"/>
    <w:rsid w:val="005F43DD"/>
    <w:rsid w:val="005F4C2C"/>
    <w:rsid w:val="005F735A"/>
    <w:rsid w:val="005F7513"/>
    <w:rsid w:val="00600D54"/>
    <w:rsid w:val="006012E6"/>
    <w:rsid w:val="00602230"/>
    <w:rsid w:val="00603306"/>
    <w:rsid w:val="00604275"/>
    <w:rsid w:val="006058BB"/>
    <w:rsid w:val="00606F25"/>
    <w:rsid w:val="00610F29"/>
    <w:rsid w:val="006148E1"/>
    <w:rsid w:val="00616575"/>
    <w:rsid w:val="0061793E"/>
    <w:rsid w:val="00621424"/>
    <w:rsid w:val="00621DC9"/>
    <w:rsid w:val="00623560"/>
    <w:rsid w:val="00624631"/>
    <w:rsid w:val="00625829"/>
    <w:rsid w:val="00626993"/>
    <w:rsid w:val="006276C9"/>
    <w:rsid w:val="00627814"/>
    <w:rsid w:val="00627B59"/>
    <w:rsid w:val="006345D0"/>
    <w:rsid w:val="006403FA"/>
    <w:rsid w:val="00640929"/>
    <w:rsid w:val="00646B4D"/>
    <w:rsid w:val="00646F9E"/>
    <w:rsid w:val="006474B6"/>
    <w:rsid w:val="00647FC2"/>
    <w:rsid w:val="00650021"/>
    <w:rsid w:val="006510CA"/>
    <w:rsid w:val="006516A4"/>
    <w:rsid w:val="00651C8D"/>
    <w:rsid w:val="00651F5E"/>
    <w:rsid w:val="0065272D"/>
    <w:rsid w:val="00653CD2"/>
    <w:rsid w:val="00654C58"/>
    <w:rsid w:val="0065554C"/>
    <w:rsid w:val="00657C1D"/>
    <w:rsid w:val="00663BAD"/>
    <w:rsid w:val="00664CA9"/>
    <w:rsid w:val="006656A8"/>
    <w:rsid w:val="006701E2"/>
    <w:rsid w:val="00673F50"/>
    <w:rsid w:val="006745C7"/>
    <w:rsid w:val="00674CE7"/>
    <w:rsid w:val="006776AF"/>
    <w:rsid w:val="00680085"/>
    <w:rsid w:val="0068580A"/>
    <w:rsid w:val="00687C09"/>
    <w:rsid w:val="006911B2"/>
    <w:rsid w:val="00691A0E"/>
    <w:rsid w:val="00691B67"/>
    <w:rsid w:val="0069687A"/>
    <w:rsid w:val="00696D1D"/>
    <w:rsid w:val="006A4503"/>
    <w:rsid w:val="006A512F"/>
    <w:rsid w:val="006A5E3C"/>
    <w:rsid w:val="006A70DE"/>
    <w:rsid w:val="006B16A8"/>
    <w:rsid w:val="006B18A3"/>
    <w:rsid w:val="006B207A"/>
    <w:rsid w:val="006B2836"/>
    <w:rsid w:val="006B2B9F"/>
    <w:rsid w:val="006B4E77"/>
    <w:rsid w:val="006B4F0E"/>
    <w:rsid w:val="006C3C26"/>
    <w:rsid w:val="006C5D41"/>
    <w:rsid w:val="006C683C"/>
    <w:rsid w:val="006D1E75"/>
    <w:rsid w:val="006D41E3"/>
    <w:rsid w:val="006D474E"/>
    <w:rsid w:val="006D5534"/>
    <w:rsid w:val="006D678E"/>
    <w:rsid w:val="006D71B6"/>
    <w:rsid w:val="006D7E0E"/>
    <w:rsid w:val="006E0242"/>
    <w:rsid w:val="006E0299"/>
    <w:rsid w:val="006E3695"/>
    <w:rsid w:val="006E4523"/>
    <w:rsid w:val="006E45C6"/>
    <w:rsid w:val="006E47BD"/>
    <w:rsid w:val="006E63DA"/>
    <w:rsid w:val="006E6E1F"/>
    <w:rsid w:val="006E72B7"/>
    <w:rsid w:val="006F13BB"/>
    <w:rsid w:val="006F2428"/>
    <w:rsid w:val="006F3BF4"/>
    <w:rsid w:val="006F5BCE"/>
    <w:rsid w:val="00700974"/>
    <w:rsid w:val="00700E62"/>
    <w:rsid w:val="0070702A"/>
    <w:rsid w:val="00707B09"/>
    <w:rsid w:val="00707E9F"/>
    <w:rsid w:val="00710312"/>
    <w:rsid w:val="007136C3"/>
    <w:rsid w:val="00713B05"/>
    <w:rsid w:val="00715ACC"/>
    <w:rsid w:val="00717E06"/>
    <w:rsid w:val="00720461"/>
    <w:rsid w:val="007213A9"/>
    <w:rsid w:val="00723334"/>
    <w:rsid w:val="0072333B"/>
    <w:rsid w:val="0072646E"/>
    <w:rsid w:val="007265ED"/>
    <w:rsid w:val="007273D3"/>
    <w:rsid w:val="00733908"/>
    <w:rsid w:val="00736BD0"/>
    <w:rsid w:val="00736F01"/>
    <w:rsid w:val="00741229"/>
    <w:rsid w:val="007421F2"/>
    <w:rsid w:val="00742D61"/>
    <w:rsid w:val="00745D33"/>
    <w:rsid w:val="0074718E"/>
    <w:rsid w:val="0075209E"/>
    <w:rsid w:val="007547C8"/>
    <w:rsid w:val="0075543B"/>
    <w:rsid w:val="00755831"/>
    <w:rsid w:val="0075699E"/>
    <w:rsid w:val="007570CF"/>
    <w:rsid w:val="00757FC4"/>
    <w:rsid w:val="00760BCD"/>
    <w:rsid w:val="007625EE"/>
    <w:rsid w:val="00766130"/>
    <w:rsid w:val="007718EA"/>
    <w:rsid w:val="00773F6F"/>
    <w:rsid w:val="007741E6"/>
    <w:rsid w:val="00774753"/>
    <w:rsid w:val="00777275"/>
    <w:rsid w:val="00782C0C"/>
    <w:rsid w:val="007834C1"/>
    <w:rsid w:val="00783DD1"/>
    <w:rsid w:val="00784330"/>
    <w:rsid w:val="00785510"/>
    <w:rsid w:val="00786E38"/>
    <w:rsid w:val="00787AF5"/>
    <w:rsid w:val="00793D9E"/>
    <w:rsid w:val="0079592C"/>
    <w:rsid w:val="0079799B"/>
    <w:rsid w:val="007A1623"/>
    <w:rsid w:val="007A16D1"/>
    <w:rsid w:val="007A51E3"/>
    <w:rsid w:val="007B1969"/>
    <w:rsid w:val="007B1CEA"/>
    <w:rsid w:val="007B41C4"/>
    <w:rsid w:val="007B5B0A"/>
    <w:rsid w:val="007B6231"/>
    <w:rsid w:val="007B67E8"/>
    <w:rsid w:val="007B6D85"/>
    <w:rsid w:val="007B7C44"/>
    <w:rsid w:val="007C0CC6"/>
    <w:rsid w:val="007C19B9"/>
    <w:rsid w:val="007C1D19"/>
    <w:rsid w:val="007C2162"/>
    <w:rsid w:val="007C2F02"/>
    <w:rsid w:val="007C3AD9"/>
    <w:rsid w:val="007C3D26"/>
    <w:rsid w:val="007C4FB2"/>
    <w:rsid w:val="007C79BA"/>
    <w:rsid w:val="007D3070"/>
    <w:rsid w:val="007D361A"/>
    <w:rsid w:val="007D5F36"/>
    <w:rsid w:val="007D6F97"/>
    <w:rsid w:val="007D72AE"/>
    <w:rsid w:val="007E14D2"/>
    <w:rsid w:val="007E24F7"/>
    <w:rsid w:val="007E49DC"/>
    <w:rsid w:val="007E55ED"/>
    <w:rsid w:val="007E7EF7"/>
    <w:rsid w:val="007F0D67"/>
    <w:rsid w:val="007F347C"/>
    <w:rsid w:val="007F4899"/>
    <w:rsid w:val="007F4984"/>
    <w:rsid w:val="007F650E"/>
    <w:rsid w:val="007F765A"/>
    <w:rsid w:val="008055B5"/>
    <w:rsid w:val="00807521"/>
    <w:rsid w:val="008079F8"/>
    <w:rsid w:val="008145AD"/>
    <w:rsid w:val="00814F97"/>
    <w:rsid w:val="008208B7"/>
    <w:rsid w:val="00821BD7"/>
    <w:rsid w:val="00822992"/>
    <w:rsid w:val="00823C0E"/>
    <w:rsid w:val="008279E4"/>
    <w:rsid w:val="00830D44"/>
    <w:rsid w:val="0084028B"/>
    <w:rsid w:val="008414EB"/>
    <w:rsid w:val="00841A72"/>
    <w:rsid w:val="008420EB"/>
    <w:rsid w:val="00842E94"/>
    <w:rsid w:val="00843037"/>
    <w:rsid w:val="00844153"/>
    <w:rsid w:val="00844ECD"/>
    <w:rsid w:val="00847316"/>
    <w:rsid w:val="00847A0A"/>
    <w:rsid w:val="00847AF9"/>
    <w:rsid w:val="008519D7"/>
    <w:rsid w:val="00852CC3"/>
    <w:rsid w:val="00854DB8"/>
    <w:rsid w:val="00856530"/>
    <w:rsid w:val="00862BCC"/>
    <w:rsid w:val="00863AF7"/>
    <w:rsid w:val="0086429B"/>
    <w:rsid w:val="0086628C"/>
    <w:rsid w:val="00866C3F"/>
    <w:rsid w:val="00866EB0"/>
    <w:rsid w:val="008737BB"/>
    <w:rsid w:val="00873980"/>
    <w:rsid w:val="008739A0"/>
    <w:rsid w:val="00880E60"/>
    <w:rsid w:val="00887180"/>
    <w:rsid w:val="0089131F"/>
    <w:rsid w:val="00893150"/>
    <w:rsid w:val="008932DF"/>
    <w:rsid w:val="00894F1C"/>
    <w:rsid w:val="00895036"/>
    <w:rsid w:val="00895466"/>
    <w:rsid w:val="008A136D"/>
    <w:rsid w:val="008A20F5"/>
    <w:rsid w:val="008A24BE"/>
    <w:rsid w:val="008A29A0"/>
    <w:rsid w:val="008A342C"/>
    <w:rsid w:val="008A48B0"/>
    <w:rsid w:val="008A5691"/>
    <w:rsid w:val="008B0DCE"/>
    <w:rsid w:val="008B1594"/>
    <w:rsid w:val="008B2D2F"/>
    <w:rsid w:val="008B3C9B"/>
    <w:rsid w:val="008B455F"/>
    <w:rsid w:val="008C1314"/>
    <w:rsid w:val="008C4356"/>
    <w:rsid w:val="008C6016"/>
    <w:rsid w:val="008C69C2"/>
    <w:rsid w:val="008C6A44"/>
    <w:rsid w:val="008C6DA9"/>
    <w:rsid w:val="008D15C4"/>
    <w:rsid w:val="008D3DBB"/>
    <w:rsid w:val="008D729E"/>
    <w:rsid w:val="008E042B"/>
    <w:rsid w:val="008E0CE5"/>
    <w:rsid w:val="008E2058"/>
    <w:rsid w:val="008E3993"/>
    <w:rsid w:val="008E3D91"/>
    <w:rsid w:val="008E4EC4"/>
    <w:rsid w:val="008E591A"/>
    <w:rsid w:val="008E62EA"/>
    <w:rsid w:val="008F187E"/>
    <w:rsid w:val="008F1B6F"/>
    <w:rsid w:val="008F35A0"/>
    <w:rsid w:val="008F428C"/>
    <w:rsid w:val="008F69BB"/>
    <w:rsid w:val="008F7743"/>
    <w:rsid w:val="009016B7"/>
    <w:rsid w:val="009032D8"/>
    <w:rsid w:val="00910016"/>
    <w:rsid w:val="00910576"/>
    <w:rsid w:val="009125D7"/>
    <w:rsid w:val="00914B9D"/>
    <w:rsid w:val="00915F4D"/>
    <w:rsid w:val="009170EE"/>
    <w:rsid w:val="00917245"/>
    <w:rsid w:val="009200A5"/>
    <w:rsid w:val="00920C34"/>
    <w:rsid w:val="00922F33"/>
    <w:rsid w:val="00922FE7"/>
    <w:rsid w:val="0092395F"/>
    <w:rsid w:val="00927DC2"/>
    <w:rsid w:val="00927FDF"/>
    <w:rsid w:val="00930A47"/>
    <w:rsid w:val="0093189C"/>
    <w:rsid w:val="00931997"/>
    <w:rsid w:val="00932856"/>
    <w:rsid w:val="00934736"/>
    <w:rsid w:val="0093540D"/>
    <w:rsid w:val="00935D50"/>
    <w:rsid w:val="00937E0D"/>
    <w:rsid w:val="0094090A"/>
    <w:rsid w:val="009427A7"/>
    <w:rsid w:val="0094589F"/>
    <w:rsid w:val="00947282"/>
    <w:rsid w:val="00952BFE"/>
    <w:rsid w:val="009547CB"/>
    <w:rsid w:val="0096037D"/>
    <w:rsid w:val="00964AF2"/>
    <w:rsid w:val="009654AF"/>
    <w:rsid w:val="00966578"/>
    <w:rsid w:val="009673FC"/>
    <w:rsid w:val="00971493"/>
    <w:rsid w:val="0097165B"/>
    <w:rsid w:val="00975329"/>
    <w:rsid w:val="00977D73"/>
    <w:rsid w:val="00980270"/>
    <w:rsid w:val="0098217C"/>
    <w:rsid w:val="00985BEA"/>
    <w:rsid w:val="00986672"/>
    <w:rsid w:val="00990657"/>
    <w:rsid w:val="00992427"/>
    <w:rsid w:val="00993AA1"/>
    <w:rsid w:val="00993C19"/>
    <w:rsid w:val="009A321B"/>
    <w:rsid w:val="009A489B"/>
    <w:rsid w:val="009A508B"/>
    <w:rsid w:val="009A53EF"/>
    <w:rsid w:val="009A5B9C"/>
    <w:rsid w:val="009A7B16"/>
    <w:rsid w:val="009A7BEA"/>
    <w:rsid w:val="009B219B"/>
    <w:rsid w:val="009B222A"/>
    <w:rsid w:val="009B333E"/>
    <w:rsid w:val="009B65CE"/>
    <w:rsid w:val="009B7467"/>
    <w:rsid w:val="009C2F1C"/>
    <w:rsid w:val="009C4A9B"/>
    <w:rsid w:val="009C5865"/>
    <w:rsid w:val="009C663E"/>
    <w:rsid w:val="009C667C"/>
    <w:rsid w:val="009C7688"/>
    <w:rsid w:val="009D0454"/>
    <w:rsid w:val="009D051F"/>
    <w:rsid w:val="009D0B05"/>
    <w:rsid w:val="009D1138"/>
    <w:rsid w:val="009D2FC6"/>
    <w:rsid w:val="009D3C7B"/>
    <w:rsid w:val="009D518F"/>
    <w:rsid w:val="009E0ED2"/>
    <w:rsid w:val="009E10DC"/>
    <w:rsid w:val="009E1B9F"/>
    <w:rsid w:val="009F0732"/>
    <w:rsid w:val="009F66B5"/>
    <w:rsid w:val="009F6760"/>
    <w:rsid w:val="009F7A68"/>
    <w:rsid w:val="009F7E61"/>
    <w:rsid w:val="00A028AF"/>
    <w:rsid w:val="00A0504B"/>
    <w:rsid w:val="00A05EEA"/>
    <w:rsid w:val="00A05F81"/>
    <w:rsid w:val="00A06D5E"/>
    <w:rsid w:val="00A101DF"/>
    <w:rsid w:val="00A1358B"/>
    <w:rsid w:val="00A152E2"/>
    <w:rsid w:val="00A20115"/>
    <w:rsid w:val="00A204B8"/>
    <w:rsid w:val="00A20DE7"/>
    <w:rsid w:val="00A21DB2"/>
    <w:rsid w:val="00A241F5"/>
    <w:rsid w:val="00A246F9"/>
    <w:rsid w:val="00A2509D"/>
    <w:rsid w:val="00A25783"/>
    <w:rsid w:val="00A27BDE"/>
    <w:rsid w:val="00A31A48"/>
    <w:rsid w:val="00A31AE2"/>
    <w:rsid w:val="00A33B63"/>
    <w:rsid w:val="00A3495F"/>
    <w:rsid w:val="00A34F81"/>
    <w:rsid w:val="00A359A5"/>
    <w:rsid w:val="00A359F9"/>
    <w:rsid w:val="00A35CE0"/>
    <w:rsid w:val="00A40232"/>
    <w:rsid w:val="00A409D7"/>
    <w:rsid w:val="00A43C68"/>
    <w:rsid w:val="00A44903"/>
    <w:rsid w:val="00A4529C"/>
    <w:rsid w:val="00A46027"/>
    <w:rsid w:val="00A47E08"/>
    <w:rsid w:val="00A5015F"/>
    <w:rsid w:val="00A5303D"/>
    <w:rsid w:val="00A532C6"/>
    <w:rsid w:val="00A5490D"/>
    <w:rsid w:val="00A54B4F"/>
    <w:rsid w:val="00A551B9"/>
    <w:rsid w:val="00A56B9A"/>
    <w:rsid w:val="00A57359"/>
    <w:rsid w:val="00A57716"/>
    <w:rsid w:val="00A578A9"/>
    <w:rsid w:val="00A57C35"/>
    <w:rsid w:val="00A64050"/>
    <w:rsid w:val="00A643CE"/>
    <w:rsid w:val="00A67735"/>
    <w:rsid w:val="00A70EAF"/>
    <w:rsid w:val="00A7136E"/>
    <w:rsid w:val="00A72A40"/>
    <w:rsid w:val="00A73548"/>
    <w:rsid w:val="00A73A58"/>
    <w:rsid w:val="00A752A5"/>
    <w:rsid w:val="00A75D8E"/>
    <w:rsid w:val="00A75FAA"/>
    <w:rsid w:val="00A76E2F"/>
    <w:rsid w:val="00A77C8D"/>
    <w:rsid w:val="00A80D7F"/>
    <w:rsid w:val="00A8365E"/>
    <w:rsid w:val="00A83D2F"/>
    <w:rsid w:val="00A845AB"/>
    <w:rsid w:val="00A85BB5"/>
    <w:rsid w:val="00A91ECC"/>
    <w:rsid w:val="00A92E32"/>
    <w:rsid w:val="00AA069B"/>
    <w:rsid w:val="00AA0B04"/>
    <w:rsid w:val="00AA0E67"/>
    <w:rsid w:val="00AA0ECF"/>
    <w:rsid w:val="00AA46DC"/>
    <w:rsid w:val="00AA5825"/>
    <w:rsid w:val="00AA623F"/>
    <w:rsid w:val="00AB0E08"/>
    <w:rsid w:val="00AB2E00"/>
    <w:rsid w:val="00AB5D2B"/>
    <w:rsid w:val="00AB652E"/>
    <w:rsid w:val="00AB79EB"/>
    <w:rsid w:val="00AC03CD"/>
    <w:rsid w:val="00AC1761"/>
    <w:rsid w:val="00AC20C0"/>
    <w:rsid w:val="00AC22B2"/>
    <w:rsid w:val="00AC24AA"/>
    <w:rsid w:val="00AC30D7"/>
    <w:rsid w:val="00AC619E"/>
    <w:rsid w:val="00AC73FC"/>
    <w:rsid w:val="00AD06F6"/>
    <w:rsid w:val="00AD1489"/>
    <w:rsid w:val="00AD2779"/>
    <w:rsid w:val="00AD3B36"/>
    <w:rsid w:val="00AD4D37"/>
    <w:rsid w:val="00AD63BB"/>
    <w:rsid w:val="00AD6ACD"/>
    <w:rsid w:val="00AD6BD2"/>
    <w:rsid w:val="00AE0AD2"/>
    <w:rsid w:val="00AE0F9F"/>
    <w:rsid w:val="00AE1EFB"/>
    <w:rsid w:val="00AE207C"/>
    <w:rsid w:val="00AE3D4D"/>
    <w:rsid w:val="00AE5018"/>
    <w:rsid w:val="00AE52E2"/>
    <w:rsid w:val="00AE614B"/>
    <w:rsid w:val="00AE64D7"/>
    <w:rsid w:val="00AF1228"/>
    <w:rsid w:val="00AF2D1C"/>
    <w:rsid w:val="00AF42EB"/>
    <w:rsid w:val="00AF73BB"/>
    <w:rsid w:val="00AF7B16"/>
    <w:rsid w:val="00B00F2F"/>
    <w:rsid w:val="00B0111B"/>
    <w:rsid w:val="00B01433"/>
    <w:rsid w:val="00B024CD"/>
    <w:rsid w:val="00B04210"/>
    <w:rsid w:val="00B0531B"/>
    <w:rsid w:val="00B06A76"/>
    <w:rsid w:val="00B13794"/>
    <w:rsid w:val="00B14F82"/>
    <w:rsid w:val="00B16A54"/>
    <w:rsid w:val="00B17DDF"/>
    <w:rsid w:val="00B2156F"/>
    <w:rsid w:val="00B22F63"/>
    <w:rsid w:val="00B247A7"/>
    <w:rsid w:val="00B25E9E"/>
    <w:rsid w:val="00B3182B"/>
    <w:rsid w:val="00B3413A"/>
    <w:rsid w:val="00B342D2"/>
    <w:rsid w:val="00B343C0"/>
    <w:rsid w:val="00B35DF7"/>
    <w:rsid w:val="00B36D82"/>
    <w:rsid w:val="00B376DA"/>
    <w:rsid w:val="00B40999"/>
    <w:rsid w:val="00B4540C"/>
    <w:rsid w:val="00B4584D"/>
    <w:rsid w:val="00B50E7E"/>
    <w:rsid w:val="00B51DD9"/>
    <w:rsid w:val="00B545E3"/>
    <w:rsid w:val="00B556A3"/>
    <w:rsid w:val="00B55AFA"/>
    <w:rsid w:val="00B566FE"/>
    <w:rsid w:val="00B57B0C"/>
    <w:rsid w:val="00B61F8C"/>
    <w:rsid w:val="00B62405"/>
    <w:rsid w:val="00B6369C"/>
    <w:rsid w:val="00B63F44"/>
    <w:rsid w:val="00B64929"/>
    <w:rsid w:val="00B651F5"/>
    <w:rsid w:val="00B65EB6"/>
    <w:rsid w:val="00B6647B"/>
    <w:rsid w:val="00B6701C"/>
    <w:rsid w:val="00B676DD"/>
    <w:rsid w:val="00B721E8"/>
    <w:rsid w:val="00B73D2C"/>
    <w:rsid w:val="00B74C76"/>
    <w:rsid w:val="00B7635D"/>
    <w:rsid w:val="00B766B4"/>
    <w:rsid w:val="00B80157"/>
    <w:rsid w:val="00B80327"/>
    <w:rsid w:val="00B8085D"/>
    <w:rsid w:val="00B80A76"/>
    <w:rsid w:val="00B82BD5"/>
    <w:rsid w:val="00B8343B"/>
    <w:rsid w:val="00B839F9"/>
    <w:rsid w:val="00B83D47"/>
    <w:rsid w:val="00B867BA"/>
    <w:rsid w:val="00B9025F"/>
    <w:rsid w:val="00B90E2A"/>
    <w:rsid w:val="00B91424"/>
    <w:rsid w:val="00BA1AF6"/>
    <w:rsid w:val="00BA1D0F"/>
    <w:rsid w:val="00BA1D40"/>
    <w:rsid w:val="00BA4701"/>
    <w:rsid w:val="00BA49EC"/>
    <w:rsid w:val="00BA502D"/>
    <w:rsid w:val="00BA648B"/>
    <w:rsid w:val="00BA6F65"/>
    <w:rsid w:val="00BB02CC"/>
    <w:rsid w:val="00BB10AC"/>
    <w:rsid w:val="00BB14AF"/>
    <w:rsid w:val="00BB272B"/>
    <w:rsid w:val="00BB74EB"/>
    <w:rsid w:val="00BC12E1"/>
    <w:rsid w:val="00BC173A"/>
    <w:rsid w:val="00BC186E"/>
    <w:rsid w:val="00BC2323"/>
    <w:rsid w:val="00BC344F"/>
    <w:rsid w:val="00BC495F"/>
    <w:rsid w:val="00BC4EE1"/>
    <w:rsid w:val="00BC67BC"/>
    <w:rsid w:val="00BC7753"/>
    <w:rsid w:val="00BC7C3F"/>
    <w:rsid w:val="00BD1C6C"/>
    <w:rsid w:val="00BD3459"/>
    <w:rsid w:val="00BD36AD"/>
    <w:rsid w:val="00BD44EE"/>
    <w:rsid w:val="00BE008F"/>
    <w:rsid w:val="00BE0C6A"/>
    <w:rsid w:val="00BE2137"/>
    <w:rsid w:val="00BE25E6"/>
    <w:rsid w:val="00BE2B21"/>
    <w:rsid w:val="00BE4E97"/>
    <w:rsid w:val="00BE61AB"/>
    <w:rsid w:val="00BF1D88"/>
    <w:rsid w:val="00BF3658"/>
    <w:rsid w:val="00BF4523"/>
    <w:rsid w:val="00BF5C21"/>
    <w:rsid w:val="00BF6449"/>
    <w:rsid w:val="00BF64A8"/>
    <w:rsid w:val="00BF79B6"/>
    <w:rsid w:val="00C010DF"/>
    <w:rsid w:val="00C03BB6"/>
    <w:rsid w:val="00C05708"/>
    <w:rsid w:val="00C07A18"/>
    <w:rsid w:val="00C107F2"/>
    <w:rsid w:val="00C10B54"/>
    <w:rsid w:val="00C11AE6"/>
    <w:rsid w:val="00C13D4B"/>
    <w:rsid w:val="00C13F92"/>
    <w:rsid w:val="00C20D41"/>
    <w:rsid w:val="00C234BC"/>
    <w:rsid w:val="00C25BD0"/>
    <w:rsid w:val="00C3097F"/>
    <w:rsid w:val="00C321CB"/>
    <w:rsid w:val="00C33CCA"/>
    <w:rsid w:val="00C4187B"/>
    <w:rsid w:val="00C449A7"/>
    <w:rsid w:val="00C45DB5"/>
    <w:rsid w:val="00C51535"/>
    <w:rsid w:val="00C529E9"/>
    <w:rsid w:val="00C52E20"/>
    <w:rsid w:val="00C56F34"/>
    <w:rsid w:val="00C62318"/>
    <w:rsid w:val="00C62449"/>
    <w:rsid w:val="00C627EC"/>
    <w:rsid w:val="00C64F8A"/>
    <w:rsid w:val="00C65A50"/>
    <w:rsid w:val="00C67287"/>
    <w:rsid w:val="00C67311"/>
    <w:rsid w:val="00C67590"/>
    <w:rsid w:val="00C707DA"/>
    <w:rsid w:val="00C70905"/>
    <w:rsid w:val="00C7124F"/>
    <w:rsid w:val="00C7141C"/>
    <w:rsid w:val="00C71F1E"/>
    <w:rsid w:val="00C738E7"/>
    <w:rsid w:val="00C75471"/>
    <w:rsid w:val="00C7691F"/>
    <w:rsid w:val="00C7769C"/>
    <w:rsid w:val="00C77749"/>
    <w:rsid w:val="00C80594"/>
    <w:rsid w:val="00C80D7B"/>
    <w:rsid w:val="00C80D9B"/>
    <w:rsid w:val="00C81800"/>
    <w:rsid w:val="00C820F2"/>
    <w:rsid w:val="00C85D51"/>
    <w:rsid w:val="00C8707C"/>
    <w:rsid w:val="00C947D7"/>
    <w:rsid w:val="00C96ADF"/>
    <w:rsid w:val="00CA1A0B"/>
    <w:rsid w:val="00CA26EC"/>
    <w:rsid w:val="00CA2732"/>
    <w:rsid w:val="00CA4CFA"/>
    <w:rsid w:val="00CA5DCE"/>
    <w:rsid w:val="00CA71D2"/>
    <w:rsid w:val="00CA7388"/>
    <w:rsid w:val="00CB06CF"/>
    <w:rsid w:val="00CB125D"/>
    <w:rsid w:val="00CB18F4"/>
    <w:rsid w:val="00CB1C90"/>
    <w:rsid w:val="00CB3B3A"/>
    <w:rsid w:val="00CB49FD"/>
    <w:rsid w:val="00CB7FDA"/>
    <w:rsid w:val="00CC07A4"/>
    <w:rsid w:val="00CC0C25"/>
    <w:rsid w:val="00CC26E9"/>
    <w:rsid w:val="00CC705E"/>
    <w:rsid w:val="00CD0E1B"/>
    <w:rsid w:val="00CD2244"/>
    <w:rsid w:val="00CD4577"/>
    <w:rsid w:val="00CD48F9"/>
    <w:rsid w:val="00CD4CEC"/>
    <w:rsid w:val="00CD52F8"/>
    <w:rsid w:val="00CD64B9"/>
    <w:rsid w:val="00CD64E0"/>
    <w:rsid w:val="00CD79F4"/>
    <w:rsid w:val="00CE0067"/>
    <w:rsid w:val="00CE24EC"/>
    <w:rsid w:val="00CE2CC2"/>
    <w:rsid w:val="00CE30E8"/>
    <w:rsid w:val="00CE6390"/>
    <w:rsid w:val="00CF02CA"/>
    <w:rsid w:val="00CF601A"/>
    <w:rsid w:val="00CF615F"/>
    <w:rsid w:val="00CF6FDC"/>
    <w:rsid w:val="00D039A1"/>
    <w:rsid w:val="00D05E20"/>
    <w:rsid w:val="00D1056C"/>
    <w:rsid w:val="00D12C7D"/>
    <w:rsid w:val="00D1508D"/>
    <w:rsid w:val="00D155FC"/>
    <w:rsid w:val="00D20687"/>
    <w:rsid w:val="00D22663"/>
    <w:rsid w:val="00D22794"/>
    <w:rsid w:val="00D23D74"/>
    <w:rsid w:val="00D25333"/>
    <w:rsid w:val="00D26529"/>
    <w:rsid w:val="00D27A5F"/>
    <w:rsid w:val="00D30BBE"/>
    <w:rsid w:val="00D30DEC"/>
    <w:rsid w:val="00D31255"/>
    <w:rsid w:val="00D31773"/>
    <w:rsid w:val="00D32704"/>
    <w:rsid w:val="00D32E2C"/>
    <w:rsid w:val="00D335D6"/>
    <w:rsid w:val="00D339B9"/>
    <w:rsid w:val="00D35809"/>
    <w:rsid w:val="00D35B16"/>
    <w:rsid w:val="00D3660F"/>
    <w:rsid w:val="00D37056"/>
    <w:rsid w:val="00D400C5"/>
    <w:rsid w:val="00D41198"/>
    <w:rsid w:val="00D42C98"/>
    <w:rsid w:val="00D43185"/>
    <w:rsid w:val="00D4709A"/>
    <w:rsid w:val="00D50396"/>
    <w:rsid w:val="00D53DE6"/>
    <w:rsid w:val="00D57E08"/>
    <w:rsid w:val="00D62663"/>
    <w:rsid w:val="00D62A07"/>
    <w:rsid w:val="00D63E5A"/>
    <w:rsid w:val="00D66170"/>
    <w:rsid w:val="00D6618E"/>
    <w:rsid w:val="00D673F9"/>
    <w:rsid w:val="00D67FA1"/>
    <w:rsid w:val="00D705B5"/>
    <w:rsid w:val="00D71B89"/>
    <w:rsid w:val="00D72906"/>
    <w:rsid w:val="00D72B8E"/>
    <w:rsid w:val="00D7389F"/>
    <w:rsid w:val="00D73A0D"/>
    <w:rsid w:val="00D74016"/>
    <w:rsid w:val="00D748E1"/>
    <w:rsid w:val="00D80529"/>
    <w:rsid w:val="00D812AD"/>
    <w:rsid w:val="00D90A0B"/>
    <w:rsid w:val="00D90B83"/>
    <w:rsid w:val="00D91789"/>
    <w:rsid w:val="00D91D80"/>
    <w:rsid w:val="00D92332"/>
    <w:rsid w:val="00D92459"/>
    <w:rsid w:val="00D93AFB"/>
    <w:rsid w:val="00D93F59"/>
    <w:rsid w:val="00D9456B"/>
    <w:rsid w:val="00D94B6B"/>
    <w:rsid w:val="00D95639"/>
    <w:rsid w:val="00D95E42"/>
    <w:rsid w:val="00D97BA8"/>
    <w:rsid w:val="00DA14D9"/>
    <w:rsid w:val="00DA2895"/>
    <w:rsid w:val="00DA3FEC"/>
    <w:rsid w:val="00DA44C0"/>
    <w:rsid w:val="00DA622C"/>
    <w:rsid w:val="00DB0DB6"/>
    <w:rsid w:val="00DB672C"/>
    <w:rsid w:val="00DC0197"/>
    <w:rsid w:val="00DC1B53"/>
    <w:rsid w:val="00DC1B84"/>
    <w:rsid w:val="00DC1C66"/>
    <w:rsid w:val="00DC5E0A"/>
    <w:rsid w:val="00DC5F70"/>
    <w:rsid w:val="00DC7041"/>
    <w:rsid w:val="00DC7E50"/>
    <w:rsid w:val="00DD3821"/>
    <w:rsid w:val="00DD4B0C"/>
    <w:rsid w:val="00DD5D7D"/>
    <w:rsid w:val="00DE1A41"/>
    <w:rsid w:val="00DE2B5E"/>
    <w:rsid w:val="00DE346C"/>
    <w:rsid w:val="00DE5371"/>
    <w:rsid w:val="00DF1C91"/>
    <w:rsid w:val="00DF1DA3"/>
    <w:rsid w:val="00DF47F6"/>
    <w:rsid w:val="00DF49D8"/>
    <w:rsid w:val="00E00851"/>
    <w:rsid w:val="00E02AFC"/>
    <w:rsid w:val="00E02C38"/>
    <w:rsid w:val="00E02F2E"/>
    <w:rsid w:val="00E0588A"/>
    <w:rsid w:val="00E075F4"/>
    <w:rsid w:val="00E07D15"/>
    <w:rsid w:val="00E07D6A"/>
    <w:rsid w:val="00E13EAA"/>
    <w:rsid w:val="00E141D2"/>
    <w:rsid w:val="00E16ACC"/>
    <w:rsid w:val="00E20D6C"/>
    <w:rsid w:val="00E22004"/>
    <w:rsid w:val="00E22244"/>
    <w:rsid w:val="00E2432C"/>
    <w:rsid w:val="00E26CD5"/>
    <w:rsid w:val="00E30094"/>
    <w:rsid w:val="00E318A2"/>
    <w:rsid w:val="00E35F0B"/>
    <w:rsid w:val="00E367DC"/>
    <w:rsid w:val="00E40F27"/>
    <w:rsid w:val="00E417FA"/>
    <w:rsid w:val="00E4195B"/>
    <w:rsid w:val="00E419D4"/>
    <w:rsid w:val="00E42298"/>
    <w:rsid w:val="00E43F2F"/>
    <w:rsid w:val="00E47057"/>
    <w:rsid w:val="00E47619"/>
    <w:rsid w:val="00E47ACA"/>
    <w:rsid w:val="00E50013"/>
    <w:rsid w:val="00E50C7E"/>
    <w:rsid w:val="00E517F6"/>
    <w:rsid w:val="00E578BB"/>
    <w:rsid w:val="00E5790E"/>
    <w:rsid w:val="00E57F20"/>
    <w:rsid w:val="00E60889"/>
    <w:rsid w:val="00E6136F"/>
    <w:rsid w:val="00E61D92"/>
    <w:rsid w:val="00E62B32"/>
    <w:rsid w:val="00E63A29"/>
    <w:rsid w:val="00E63EF0"/>
    <w:rsid w:val="00E656F4"/>
    <w:rsid w:val="00E65C39"/>
    <w:rsid w:val="00E671FB"/>
    <w:rsid w:val="00E7231E"/>
    <w:rsid w:val="00E72841"/>
    <w:rsid w:val="00E8031A"/>
    <w:rsid w:val="00E80E13"/>
    <w:rsid w:val="00E818EA"/>
    <w:rsid w:val="00E8201E"/>
    <w:rsid w:val="00E824C4"/>
    <w:rsid w:val="00E8263B"/>
    <w:rsid w:val="00E83EAA"/>
    <w:rsid w:val="00E864C2"/>
    <w:rsid w:val="00E90343"/>
    <w:rsid w:val="00E91135"/>
    <w:rsid w:val="00E94F09"/>
    <w:rsid w:val="00E950AD"/>
    <w:rsid w:val="00EA0954"/>
    <w:rsid w:val="00EA18CA"/>
    <w:rsid w:val="00EA27D6"/>
    <w:rsid w:val="00EA5D1F"/>
    <w:rsid w:val="00EA6276"/>
    <w:rsid w:val="00EA62E6"/>
    <w:rsid w:val="00EA725B"/>
    <w:rsid w:val="00EB0060"/>
    <w:rsid w:val="00EB20AA"/>
    <w:rsid w:val="00EB2F3A"/>
    <w:rsid w:val="00EB4BB5"/>
    <w:rsid w:val="00EC0738"/>
    <w:rsid w:val="00EC24A8"/>
    <w:rsid w:val="00EC29AE"/>
    <w:rsid w:val="00EC6909"/>
    <w:rsid w:val="00EC73DA"/>
    <w:rsid w:val="00ED44F0"/>
    <w:rsid w:val="00ED5A24"/>
    <w:rsid w:val="00ED7B12"/>
    <w:rsid w:val="00ED7D6B"/>
    <w:rsid w:val="00EE0BD5"/>
    <w:rsid w:val="00EE16D5"/>
    <w:rsid w:val="00EE1B6A"/>
    <w:rsid w:val="00EE35D9"/>
    <w:rsid w:val="00EE47B3"/>
    <w:rsid w:val="00EE79F5"/>
    <w:rsid w:val="00EF2D83"/>
    <w:rsid w:val="00EF6457"/>
    <w:rsid w:val="00EF6C09"/>
    <w:rsid w:val="00EF6E63"/>
    <w:rsid w:val="00F03335"/>
    <w:rsid w:val="00F042D3"/>
    <w:rsid w:val="00F10555"/>
    <w:rsid w:val="00F123D9"/>
    <w:rsid w:val="00F128CD"/>
    <w:rsid w:val="00F1347E"/>
    <w:rsid w:val="00F14F81"/>
    <w:rsid w:val="00F150C2"/>
    <w:rsid w:val="00F150CD"/>
    <w:rsid w:val="00F160D4"/>
    <w:rsid w:val="00F16659"/>
    <w:rsid w:val="00F17D12"/>
    <w:rsid w:val="00F2096D"/>
    <w:rsid w:val="00F21106"/>
    <w:rsid w:val="00F21CD0"/>
    <w:rsid w:val="00F26BA7"/>
    <w:rsid w:val="00F26D0F"/>
    <w:rsid w:val="00F27883"/>
    <w:rsid w:val="00F3137B"/>
    <w:rsid w:val="00F32ABD"/>
    <w:rsid w:val="00F3680E"/>
    <w:rsid w:val="00F4076E"/>
    <w:rsid w:val="00F44C2B"/>
    <w:rsid w:val="00F473D7"/>
    <w:rsid w:val="00F50457"/>
    <w:rsid w:val="00F51A26"/>
    <w:rsid w:val="00F54052"/>
    <w:rsid w:val="00F63B5C"/>
    <w:rsid w:val="00F63EAB"/>
    <w:rsid w:val="00F642A9"/>
    <w:rsid w:val="00F64E95"/>
    <w:rsid w:val="00F6606A"/>
    <w:rsid w:val="00F66BF5"/>
    <w:rsid w:val="00F71E22"/>
    <w:rsid w:val="00F72103"/>
    <w:rsid w:val="00F72BBC"/>
    <w:rsid w:val="00F7797E"/>
    <w:rsid w:val="00F81142"/>
    <w:rsid w:val="00F815AF"/>
    <w:rsid w:val="00F831C3"/>
    <w:rsid w:val="00F8387E"/>
    <w:rsid w:val="00F863D4"/>
    <w:rsid w:val="00F86EE1"/>
    <w:rsid w:val="00F935C3"/>
    <w:rsid w:val="00F95715"/>
    <w:rsid w:val="00FA0353"/>
    <w:rsid w:val="00FA0B8C"/>
    <w:rsid w:val="00FA0C1A"/>
    <w:rsid w:val="00FA1F70"/>
    <w:rsid w:val="00FA2EDD"/>
    <w:rsid w:val="00FB01C1"/>
    <w:rsid w:val="00FB056A"/>
    <w:rsid w:val="00FB2E06"/>
    <w:rsid w:val="00FB3A7C"/>
    <w:rsid w:val="00FB4776"/>
    <w:rsid w:val="00FB4F48"/>
    <w:rsid w:val="00FB578A"/>
    <w:rsid w:val="00FB59E2"/>
    <w:rsid w:val="00FB6653"/>
    <w:rsid w:val="00FC6E16"/>
    <w:rsid w:val="00FC71FD"/>
    <w:rsid w:val="00FD0AE3"/>
    <w:rsid w:val="00FD1792"/>
    <w:rsid w:val="00FD2D04"/>
    <w:rsid w:val="00FD3875"/>
    <w:rsid w:val="00FD4BBA"/>
    <w:rsid w:val="00FD51CB"/>
    <w:rsid w:val="00FE06A9"/>
    <w:rsid w:val="00FE231F"/>
    <w:rsid w:val="00FE41DC"/>
    <w:rsid w:val="00FE443D"/>
    <w:rsid w:val="00FE4D13"/>
    <w:rsid w:val="00FE561B"/>
    <w:rsid w:val="00FE5D9E"/>
    <w:rsid w:val="00FE6281"/>
    <w:rsid w:val="00FE628E"/>
    <w:rsid w:val="00FE6788"/>
    <w:rsid w:val="00FF0351"/>
    <w:rsid w:val="00FF20B4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6D3797D9"/>
  <w15:docId w15:val="{3B1B61B1-6943-448D-B575-A39839BC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,footnote tex"/>
    <w:basedOn w:val="Normal"/>
    <w:link w:val="FootnoteTextChar"/>
    <w:uiPriority w:val="99"/>
    <w:unhideWhenUsed/>
    <w:qFormat/>
    <w:rsid w:val="004214BD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ußnotentext Ursprung Char,Vēres teksts Char Char Char Char Char Char,Vēres teksts Char Char Char Char,footnote tex Char"/>
    <w:basedOn w:val="DefaultParagraphFont"/>
    <w:link w:val="FootnoteText"/>
    <w:uiPriority w:val="99"/>
    <w:rsid w:val="004214BD"/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unhideWhenUsed/>
    <w:rsid w:val="004214BD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8279E4"/>
    <w:pPr>
      <w:ind w:left="720"/>
    </w:pPr>
    <w:rPr>
      <w:sz w:val="20"/>
      <w:szCs w:val="20"/>
      <w:lang w:val="lv-LV"/>
    </w:rPr>
  </w:style>
  <w:style w:type="paragraph" w:styleId="NormalWeb">
    <w:name w:val="Normal (Web)"/>
    <w:basedOn w:val="Normal"/>
    <w:uiPriority w:val="99"/>
    <w:unhideWhenUsed/>
    <w:rsid w:val="00AE207C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rsid w:val="00046A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6A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46A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46A11"/>
    <w:rPr>
      <w:sz w:val="24"/>
      <w:szCs w:val="24"/>
      <w:lang w:val="en-US" w:eastAsia="en-US"/>
    </w:rPr>
  </w:style>
  <w:style w:type="paragraph" w:customStyle="1" w:styleId="naisf">
    <w:name w:val="naisf"/>
    <w:basedOn w:val="Normal"/>
    <w:rsid w:val="00046A11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kr">
    <w:name w:val="naiskr"/>
    <w:basedOn w:val="Normal"/>
    <w:rsid w:val="00046A11"/>
    <w:pPr>
      <w:spacing w:before="75" w:after="75"/>
    </w:pPr>
    <w:rPr>
      <w:lang w:val="lv-LV" w:eastAsia="lv-LV"/>
    </w:rPr>
  </w:style>
  <w:style w:type="character" w:styleId="Hyperlink">
    <w:name w:val="Hyperlink"/>
    <w:basedOn w:val="DefaultParagraphFont"/>
    <w:uiPriority w:val="99"/>
    <w:rsid w:val="00D312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755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43B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5E40E5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0E2A0C"/>
    <w:pPr>
      <w:spacing w:before="127"/>
      <w:jc w:val="both"/>
    </w:pPr>
  </w:style>
  <w:style w:type="paragraph" w:customStyle="1" w:styleId="xmsonormal">
    <w:name w:val="x_msonormal"/>
    <w:basedOn w:val="Normal"/>
    <w:rsid w:val="00117799"/>
    <w:pPr>
      <w:spacing w:before="100" w:beforeAutospacing="1" w:after="100" w:afterAutospacing="1"/>
    </w:pPr>
    <w:rPr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4090A"/>
    <w:rPr>
      <w:color w:val="605E5C"/>
      <w:shd w:val="clear" w:color="auto" w:fill="E1DFDD"/>
    </w:rPr>
  </w:style>
  <w:style w:type="paragraph" w:customStyle="1" w:styleId="naisnod">
    <w:name w:val="naisnod"/>
    <w:basedOn w:val="Normal"/>
    <w:uiPriority w:val="99"/>
    <w:rsid w:val="00BC4EE1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BC4EE1"/>
    <w:pPr>
      <w:spacing w:before="75" w:after="75"/>
      <w:jc w:val="center"/>
    </w:pPr>
    <w:rPr>
      <w:lang w:val="lv-LV" w:eastAsia="lv-LV"/>
    </w:rPr>
  </w:style>
  <w:style w:type="paragraph" w:styleId="PlainText">
    <w:name w:val="Plain Text"/>
    <w:basedOn w:val="Normal"/>
    <w:link w:val="PlainTextChar"/>
    <w:rsid w:val="00BC4EE1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BC4EE1"/>
    <w:rPr>
      <w:rFonts w:ascii="Courier New" w:hAnsi="Courier New" w:cs="Courier New"/>
      <w:lang w:val="en-GB" w:eastAsia="en-US"/>
    </w:rPr>
  </w:style>
  <w:style w:type="character" w:customStyle="1" w:styleId="Bodytext">
    <w:name w:val="Body text_"/>
    <w:link w:val="BodyText1"/>
    <w:rsid w:val="00BC4EE1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BC4EE1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Lucida Sans Unicode" w:eastAsia="Lucida Sans Unicode" w:hAnsi="Lucida Sans Unicode" w:cs="Lucida Sans Unicode"/>
      <w:sz w:val="19"/>
      <w:szCs w:val="19"/>
      <w:lang w:val="lv-LV" w:eastAsia="lv-LV"/>
    </w:rPr>
  </w:style>
  <w:style w:type="paragraph" w:customStyle="1" w:styleId="tv213">
    <w:name w:val="tv213"/>
    <w:basedOn w:val="Normal"/>
    <w:rsid w:val="00BC4EE1"/>
    <w:pPr>
      <w:spacing w:before="100" w:beforeAutospacing="1" w:after="100" w:afterAutospacing="1"/>
    </w:pPr>
    <w:rPr>
      <w:lang w:val="lv-LV" w:eastAsia="lv-LV"/>
    </w:rPr>
  </w:style>
  <w:style w:type="paragraph" w:styleId="BodyText0">
    <w:name w:val="Body Text"/>
    <w:basedOn w:val="Normal"/>
    <w:link w:val="BodyTextChar"/>
    <w:uiPriority w:val="99"/>
    <w:semiHidden/>
    <w:unhideWhenUsed/>
    <w:rsid w:val="00BC4EE1"/>
    <w:pPr>
      <w:spacing w:after="120"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BC4EE1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EE1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E31C2"/>
    <w:rPr>
      <w:color w:val="808080"/>
    </w:rPr>
  </w:style>
  <w:style w:type="character" w:customStyle="1" w:styleId="word">
    <w:name w:val="word"/>
    <w:basedOn w:val="DefaultParagraphFont"/>
    <w:rsid w:val="00736BD0"/>
  </w:style>
  <w:style w:type="character" w:customStyle="1" w:styleId="phrase">
    <w:name w:val="phrase"/>
    <w:basedOn w:val="DefaultParagraphFont"/>
    <w:rsid w:val="00FB4776"/>
  </w:style>
  <w:style w:type="paragraph" w:customStyle="1" w:styleId="Default">
    <w:name w:val="Default"/>
    <w:rsid w:val="00F44C2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mt-translation">
    <w:name w:val="mt-translation"/>
    <w:basedOn w:val="Normal"/>
    <w:rsid w:val="00F44C2B"/>
    <w:pPr>
      <w:spacing w:before="100" w:beforeAutospacing="1" w:after="100" w:afterAutospacing="1"/>
    </w:pPr>
    <w:rPr>
      <w:lang w:val="lv-LV" w:eastAsia="lv-LV"/>
    </w:rPr>
  </w:style>
  <w:style w:type="character" w:customStyle="1" w:styleId="tlid-translation">
    <w:name w:val="tlid-translation"/>
    <w:basedOn w:val="DefaultParagraphFont"/>
    <w:rsid w:val="00F4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7594">
      <w:bodyDiv w:val="1"/>
      <w:marLeft w:val="411"/>
      <w:marRight w:val="4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CDFF784C5B466F8D9E85B5F045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4AC1-576F-498F-B6C8-BC4A74744FE6}"/>
      </w:docPartPr>
      <w:docPartBody>
        <w:p w:rsidR="00F631A9" w:rsidRDefault="004B6950" w:rsidP="004B6950">
          <w:pPr>
            <w:pStyle w:val="FCCDFF784C5B466F8D9E85B5F0454152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50"/>
    <w:rsid w:val="004B6950"/>
    <w:rsid w:val="00F6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950"/>
    <w:rPr>
      <w:color w:val="808080"/>
    </w:rPr>
  </w:style>
  <w:style w:type="paragraph" w:customStyle="1" w:styleId="FCCDFF784C5B466F8D9E85B5F0454152">
    <w:name w:val="FCCDFF784C5B466F8D9E85B5F0454152"/>
    <w:rsid w:val="004B6950"/>
  </w:style>
  <w:style w:type="paragraph" w:customStyle="1" w:styleId="67399AABEC71495FA66EBB04C2D16D02">
    <w:name w:val="67399AABEC71495FA66EBB04C2D16D02"/>
    <w:rsid w:val="004B6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670C-66DC-4F71-BE46-E1DFFCBE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4</Pages>
  <Words>3786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Izziņa par atzinumos sniegtajiem iebildumiem</vt:lpstr>
      <vt:lpstr>Izziņa par atzinumos sniegtajiem iebildumiem</vt:lpstr>
    </vt:vector>
  </TitlesOfParts>
  <Company>LR Veselības ministrja</Company>
  <LinksUpToDate>false</LinksUpToDate>
  <CharactersWithSpaces>5934</CharactersWithSpaces>
  <SharedDoc>false</SharedDoc>
  <HLinks>
    <vt:vector size="6" baseType="variant"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mailto:Inese.Andersone@vm.gov.lv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</dc:title>
  <dc:subject>Izziņa</dc:subject>
  <dc:creator/>
  <dc:description>Budžeta un investīciju departamenta
Finanšu analīzes un investīciju koordinācijas nodaļas vecākā referente Elīna Praudiņa
Elina.Praudina@vm.gov.lv
67876045</dc:description>
  <cp:lastModifiedBy>Agnija Barona</cp:lastModifiedBy>
  <cp:revision>693</cp:revision>
  <cp:lastPrinted>2020-09-07T11:17:00Z</cp:lastPrinted>
  <dcterms:created xsi:type="dcterms:W3CDTF">2015-01-14T14:39:00Z</dcterms:created>
  <dcterms:modified xsi:type="dcterms:W3CDTF">2020-09-21T11:04:00Z</dcterms:modified>
</cp:coreProperties>
</file>