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76C68" w14:textId="77777777" w:rsidR="00146954" w:rsidRPr="00A41A3E" w:rsidRDefault="00146954" w:rsidP="006F7405">
      <w:pPr>
        <w:pStyle w:val="naislab"/>
        <w:spacing w:before="0" w:after="0"/>
        <w:jc w:val="center"/>
        <w:outlineLvl w:val="0"/>
        <w:rPr>
          <w:b/>
          <w:sz w:val="28"/>
          <w:szCs w:val="28"/>
        </w:rPr>
      </w:pPr>
      <w:r w:rsidRPr="00A41A3E">
        <w:rPr>
          <w:b/>
          <w:sz w:val="28"/>
          <w:szCs w:val="28"/>
        </w:rPr>
        <w:t>Ministru kabineta noteikumu projekta “Grozījumi Ministru kabineta 2009.</w:t>
      </w:r>
      <w:r w:rsidR="00BE5AAC">
        <w:rPr>
          <w:b/>
          <w:sz w:val="28"/>
          <w:szCs w:val="28"/>
        </w:rPr>
        <w:t> </w:t>
      </w:r>
      <w:r w:rsidRPr="00A41A3E">
        <w:rPr>
          <w:b/>
          <w:sz w:val="28"/>
          <w:szCs w:val="28"/>
        </w:rPr>
        <w:t>gada 30.</w:t>
      </w:r>
      <w:r w:rsidR="00A2028F" w:rsidRPr="00A41A3E">
        <w:rPr>
          <w:b/>
          <w:sz w:val="28"/>
          <w:szCs w:val="28"/>
        </w:rPr>
        <w:t> </w:t>
      </w:r>
      <w:r w:rsidRPr="00A41A3E">
        <w:rPr>
          <w:b/>
          <w:sz w:val="28"/>
          <w:szCs w:val="28"/>
        </w:rPr>
        <w:t>novembra noteikumos Nr. 1375 “Noteikumi par rūpnieciskās zvejas limitiem un to izmantošanas kārtību piekrastes ūdeņos””</w:t>
      </w:r>
    </w:p>
    <w:p w14:paraId="0BA699F1" w14:textId="77777777" w:rsidR="00D273DD" w:rsidRPr="00A41A3E" w:rsidRDefault="00146954" w:rsidP="006F7405">
      <w:pPr>
        <w:pStyle w:val="naislab"/>
        <w:spacing w:before="0" w:after="0"/>
        <w:jc w:val="center"/>
        <w:outlineLvl w:val="0"/>
        <w:rPr>
          <w:b/>
          <w:sz w:val="28"/>
          <w:szCs w:val="28"/>
        </w:rPr>
      </w:pPr>
      <w:r w:rsidRPr="00A41A3E">
        <w:rPr>
          <w:b/>
          <w:sz w:val="28"/>
          <w:szCs w:val="28"/>
        </w:rPr>
        <w:t>sākotnējās ietekmes novērtējuma ziņojums (anotācija)</w:t>
      </w:r>
    </w:p>
    <w:p w14:paraId="116C62F5" w14:textId="77777777" w:rsidR="007F1F1C" w:rsidRDefault="007F1F1C" w:rsidP="006F7405">
      <w:pPr>
        <w:pStyle w:val="naislab"/>
        <w:spacing w:before="0" w:after="0"/>
        <w:jc w:val="center"/>
        <w:outlineLvl w:val="0"/>
        <w:rPr>
          <w:b/>
          <w:sz w:val="16"/>
          <w:szCs w:val="16"/>
        </w:rPr>
      </w:pPr>
    </w:p>
    <w:p w14:paraId="061D1185" w14:textId="77777777" w:rsidR="00835034" w:rsidRDefault="00835034" w:rsidP="006F7405">
      <w:pPr>
        <w:pStyle w:val="naislab"/>
        <w:spacing w:before="0" w:after="0"/>
        <w:jc w:val="left"/>
        <w:outlineLvl w:val="0"/>
        <w:rPr>
          <w:b/>
          <w:sz w:val="16"/>
          <w:szCs w:val="16"/>
        </w:rPr>
      </w:pPr>
    </w:p>
    <w:tbl>
      <w:tblPr>
        <w:tblW w:w="57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95"/>
        <w:gridCol w:w="7353"/>
      </w:tblGrid>
      <w:tr w:rsidR="000577EC" w:rsidRPr="00CB27C5" w14:paraId="418CD96C" w14:textId="77777777" w:rsidTr="004C5845">
        <w:trPr>
          <w:jc w:val="center"/>
        </w:trPr>
        <w:tc>
          <w:tcPr>
            <w:tcW w:w="5000" w:type="pct"/>
            <w:gridSpan w:val="2"/>
            <w:vAlign w:val="center"/>
          </w:tcPr>
          <w:p w14:paraId="2435DDDB" w14:textId="77777777" w:rsidR="000577EC" w:rsidRPr="00CB27C5" w:rsidRDefault="000577EC" w:rsidP="006F7405">
            <w:pPr>
              <w:pStyle w:val="Parastais1"/>
              <w:jc w:val="center"/>
              <w:rPr>
                <w:b/>
                <w:bCs/>
                <w:lang w:val="lv-LV" w:eastAsia="lv-LV"/>
              </w:rPr>
            </w:pPr>
            <w:r w:rsidRPr="00CB27C5">
              <w:rPr>
                <w:b/>
                <w:bCs/>
                <w:lang w:val="lv-LV" w:eastAsia="lv-LV"/>
              </w:rPr>
              <w:t>Tiesību akta projekta anotācijas kopsavilkums</w:t>
            </w:r>
          </w:p>
        </w:tc>
      </w:tr>
      <w:tr w:rsidR="000577EC" w:rsidRPr="00CB27C5" w14:paraId="584E0322" w14:textId="77777777" w:rsidTr="004C5845">
        <w:trPr>
          <w:jc w:val="center"/>
        </w:trPr>
        <w:tc>
          <w:tcPr>
            <w:tcW w:w="1447" w:type="pct"/>
          </w:tcPr>
          <w:p w14:paraId="537DED48" w14:textId="77777777" w:rsidR="000577EC" w:rsidRPr="00030020" w:rsidRDefault="004F6B6B" w:rsidP="006F7405">
            <w:pPr>
              <w:pStyle w:val="Parastais1"/>
              <w:jc w:val="both"/>
              <w:rPr>
                <w:b/>
                <w:bCs/>
                <w:sz w:val="22"/>
                <w:szCs w:val="22"/>
                <w:lang w:val="lv-LV" w:eastAsia="lv-LV"/>
              </w:rPr>
            </w:pPr>
            <w:r w:rsidRPr="004F6B6B">
              <w:rPr>
                <w:sz w:val="22"/>
                <w:szCs w:val="22"/>
                <w:lang w:val="lv-LV"/>
              </w:rPr>
              <w:t>Mērķis, risinājums un projekta spēkā stāšanās laiks (500 zīmes bez atstarpēm)</w:t>
            </w:r>
          </w:p>
        </w:tc>
        <w:tc>
          <w:tcPr>
            <w:tcW w:w="3553" w:type="pct"/>
          </w:tcPr>
          <w:p w14:paraId="2104D653" w14:textId="4A483308" w:rsidR="000577EC" w:rsidRPr="001C2DDE" w:rsidRDefault="002B5DE9" w:rsidP="006F7405">
            <w:pPr>
              <w:pStyle w:val="Parastais1"/>
              <w:jc w:val="both"/>
              <w:rPr>
                <w:iCs/>
                <w:highlight w:val="yellow"/>
                <w:lang w:val="lv-LV"/>
              </w:rPr>
            </w:pPr>
            <w:r>
              <w:rPr>
                <w:iCs/>
                <w:lang w:val="lv-LV"/>
              </w:rPr>
              <w:t>Noteikumu p</w:t>
            </w:r>
            <w:r w:rsidR="001C2DDE" w:rsidRPr="00C4087C">
              <w:rPr>
                <w:iCs/>
                <w:lang w:val="lv-LV"/>
              </w:rPr>
              <w:t xml:space="preserve">rojekta </w:t>
            </w:r>
            <w:r w:rsidR="009472F3" w:rsidRPr="00C4087C">
              <w:rPr>
                <w:iCs/>
                <w:lang w:val="lv-LV"/>
              </w:rPr>
              <w:t xml:space="preserve">mērķis </w:t>
            </w:r>
            <w:r w:rsidR="00CA1BE4" w:rsidRPr="00C4087C">
              <w:rPr>
                <w:iCs/>
                <w:lang w:val="lv-LV"/>
              </w:rPr>
              <w:t xml:space="preserve">ir </w:t>
            </w:r>
            <w:r w:rsidR="00076519" w:rsidRPr="00C4087C">
              <w:rPr>
                <w:iCs/>
                <w:lang w:val="lv-LV"/>
              </w:rPr>
              <w:t xml:space="preserve">papildu </w:t>
            </w:r>
            <w:r w:rsidR="0018260A">
              <w:rPr>
                <w:iCs/>
                <w:lang w:val="lv-LV"/>
              </w:rPr>
              <w:t>nosacījumu</w:t>
            </w:r>
            <w:r w:rsidR="00076519" w:rsidRPr="00C4087C">
              <w:rPr>
                <w:iCs/>
                <w:lang w:val="lv-LV"/>
              </w:rPr>
              <w:t xml:space="preserve"> noteikšana pašpatēriņa zvejai</w:t>
            </w:r>
            <w:r w:rsidR="00076519">
              <w:rPr>
                <w:iCs/>
                <w:lang w:val="lv-LV"/>
              </w:rPr>
              <w:t>,</w:t>
            </w:r>
            <w:r w:rsidR="00076519" w:rsidRPr="00C4087C">
              <w:rPr>
                <w:iCs/>
                <w:lang w:val="lv-LV"/>
              </w:rPr>
              <w:t xml:space="preserve"> </w:t>
            </w:r>
            <w:r w:rsidR="00CA1BE4" w:rsidRPr="00C4087C">
              <w:rPr>
                <w:iCs/>
                <w:lang w:val="lv-LV"/>
              </w:rPr>
              <w:t xml:space="preserve">zvejas limitu izmaiņu noteikšana jūras piekrastes ūdeņos </w:t>
            </w:r>
            <w:r w:rsidR="006F7405" w:rsidRPr="00C4087C">
              <w:rPr>
                <w:iCs/>
                <w:lang w:val="lv-LV"/>
              </w:rPr>
              <w:t>Salacgrīvas novada</w:t>
            </w:r>
            <w:r w:rsidR="00705A01">
              <w:rPr>
                <w:iCs/>
                <w:lang w:val="lv-LV"/>
              </w:rPr>
              <w:t xml:space="preserve"> un Mērsraga novada</w:t>
            </w:r>
            <w:r w:rsidR="001C2DDE" w:rsidRPr="00C4087C">
              <w:rPr>
                <w:iCs/>
                <w:lang w:val="lv-LV"/>
              </w:rPr>
              <w:t xml:space="preserve"> </w:t>
            </w:r>
            <w:r w:rsidR="00705A01">
              <w:rPr>
                <w:iCs/>
                <w:lang w:val="lv-LV"/>
              </w:rPr>
              <w:t>pašvaldībām</w:t>
            </w:r>
            <w:r w:rsidR="006F7405" w:rsidRPr="00C4087C">
              <w:rPr>
                <w:iCs/>
                <w:lang w:val="lv-LV"/>
              </w:rPr>
              <w:t xml:space="preserve"> 202</w:t>
            </w:r>
            <w:r w:rsidR="001C2DDE" w:rsidRPr="00C4087C">
              <w:rPr>
                <w:iCs/>
                <w:lang w:val="lv-LV"/>
              </w:rPr>
              <w:t>1</w:t>
            </w:r>
            <w:r w:rsidR="006F7405" w:rsidRPr="00C4087C">
              <w:rPr>
                <w:iCs/>
                <w:lang w:val="lv-LV"/>
              </w:rPr>
              <w:t>.</w:t>
            </w:r>
            <w:r w:rsidR="001C2DDE" w:rsidRPr="00C4087C">
              <w:rPr>
                <w:iCs/>
                <w:lang w:val="lv-LV"/>
              </w:rPr>
              <w:t xml:space="preserve"> </w:t>
            </w:r>
            <w:r w:rsidR="006F7405" w:rsidRPr="00C4087C">
              <w:rPr>
                <w:iCs/>
                <w:lang w:val="lv-LV"/>
              </w:rPr>
              <w:t>gadam</w:t>
            </w:r>
            <w:r>
              <w:rPr>
                <w:iCs/>
                <w:lang w:val="lv-LV"/>
              </w:rPr>
              <w:t>,</w:t>
            </w:r>
            <w:r>
              <w:rPr>
                <w:rFonts w:eastAsiaTheme="minorHAnsi"/>
                <w:color w:val="000000" w:themeColor="text1"/>
                <w:lang w:val="lv-LV"/>
              </w:rPr>
              <w:t xml:space="preserve"> kā arī</w:t>
            </w:r>
            <w:r w:rsidRPr="00C4087C">
              <w:rPr>
                <w:rFonts w:eastAsiaTheme="minorHAnsi"/>
                <w:color w:val="000000" w:themeColor="text1"/>
                <w:lang w:val="lv-LV"/>
              </w:rPr>
              <w:t xml:space="preserve"> </w:t>
            </w:r>
            <w:r>
              <w:rPr>
                <w:rFonts w:eastAsiaTheme="minorHAnsi"/>
                <w:color w:val="000000" w:themeColor="text1"/>
                <w:lang w:val="lv-LV"/>
              </w:rPr>
              <w:t>administratīvi</w:t>
            </w:r>
            <w:r w:rsidRPr="00C4087C">
              <w:rPr>
                <w:rFonts w:eastAsiaTheme="minorHAnsi"/>
                <w:color w:val="000000" w:themeColor="text1"/>
                <w:lang w:val="lv-LV"/>
              </w:rPr>
              <w:t xml:space="preserve"> teritoriālo vienību</w:t>
            </w:r>
            <w:r w:rsidRPr="001C2DDE">
              <w:rPr>
                <w:rFonts w:eastAsiaTheme="minorHAnsi"/>
                <w:color w:val="000000" w:themeColor="text1"/>
                <w:lang w:val="lv-LV"/>
              </w:rPr>
              <w:t xml:space="preserve"> terminoloģija</w:t>
            </w:r>
            <w:r>
              <w:rPr>
                <w:rFonts w:eastAsiaTheme="minorHAnsi"/>
                <w:color w:val="000000" w:themeColor="text1"/>
                <w:lang w:val="lv-LV"/>
              </w:rPr>
              <w:t>s saskaņošana</w:t>
            </w:r>
            <w:r w:rsidRPr="001C2DDE">
              <w:rPr>
                <w:rFonts w:eastAsiaTheme="minorHAnsi"/>
                <w:color w:val="000000" w:themeColor="text1"/>
                <w:lang w:val="lv-LV"/>
              </w:rPr>
              <w:t xml:space="preserve"> ar Administratīvo teritoriju un apdzīvoto vietu likumā</w:t>
            </w:r>
            <w:r>
              <w:rPr>
                <w:rFonts w:eastAsiaTheme="minorHAnsi"/>
                <w:color w:val="000000" w:themeColor="text1"/>
                <w:lang w:val="lv-LV"/>
              </w:rPr>
              <w:t xml:space="preserve"> lietoto.</w:t>
            </w:r>
          </w:p>
          <w:p w14:paraId="519EE898" w14:textId="63426E7C" w:rsidR="006F7405" w:rsidRPr="00CB27C5" w:rsidRDefault="006F7405" w:rsidP="006F7405">
            <w:pPr>
              <w:pStyle w:val="Parastais1"/>
              <w:jc w:val="both"/>
              <w:rPr>
                <w:lang w:val="lv-LV"/>
              </w:rPr>
            </w:pPr>
            <w:r w:rsidRPr="00C85510">
              <w:rPr>
                <w:lang w:val="lv-LV"/>
              </w:rPr>
              <w:t>Noteikumu projektā noteikt</w:t>
            </w:r>
            <w:r w:rsidR="002162FB" w:rsidRPr="00C85510">
              <w:rPr>
                <w:lang w:val="lv-LV"/>
              </w:rPr>
              <w:t>ie</w:t>
            </w:r>
            <w:r w:rsidRPr="00C85510">
              <w:rPr>
                <w:lang w:val="lv-LV"/>
              </w:rPr>
              <w:t xml:space="preserve"> zvejas limit</w:t>
            </w:r>
            <w:r w:rsidR="002162FB" w:rsidRPr="00C85510">
              <w:rPr>
                <w:lang w:val="lv-LV"/>
              </w:rPr>
              <w:t>i</w:t>
            </w:r>
            <w:r w:rsidRPr="00C85510">
              <w:rPr>
                <w:lang w:val="lv-LV"/>
              </w:rPr>
              <w:t xml:space="preserve"> piemēro</w:t>
            </w:r>
            <w:r w:rsidR="002162FB" w:rsidRPr="00C85510">
              <w:rPr>
                <w:lang w:val="lv-LV"/>
              </w:rPr>
              <w:t>jami</w:t>
            </w:r>
            <w:r w:rsidRPr="00C85510">
              <w:rPr>
                <w:lang w:val="lv-LV"/>
              </w:rPr>
              <w:t xml:space="preserve"> no 202</w:t>
            </w:r>
            <w:r w:rsidR="001C2DDE" w:rsidRPr="00C85510">
              <w:rPr>
                <w:lang w:val="lv-LV"/>
              </w:rPr>
              <w:t>1</w:t>
            </w:r>
            <w:r w:rsidRPr="00C85510">
              <w:rPr>
                <w:lang w:val="lv-LV"/>
              </w:rPr>
              <w:t>.</w:t>
            </w:r>
            <w:r w:rsidR="00F03B70" w:rsidRPr="00C85510">
              <w:rPr>
                <w:lang w:val="lv-LV"/>
              </w:rPr>
              <w:t> </w:t>
            </w:r>
            <w:r w:rsidRPr="00C85510">
              <w:rPr>
                <w:lang w:val="lv-LV"/>
              </w:rPr>
              <w:t>gada 1.</w:t>
            </w:r>
            <w:r w:rsidR="00F03B70" w:rsidRPr="00C85510">
              <w:rPr>
                <w:lang w:val="lv-LV"/>
              </w:rPr>
              <w:t> </w:t>
            </w:r>
            <w:r w:rsidRPr="00C85510">
              <w:rPr>
                <w:lang w:val="lv-LV"/>
              </w:rPr>
              <w:t>janvāra.</w:t>
            </w:r>
          </w:p>
        </w:tc>
      </w:tr>
    </w:tbl>
    <w:p w14:paraId="43DB091E" w14:textId="77777777" w:rsidR="000577EC" w:rsidRPr="00B37027" w:rsidRDefault="000577EC" w:rsidP="006F7405">
      <w:pPr>
        <w:pStyle w:val="naislab"/>
        <w:spacing w:before="0" w:after="0"/>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14:paraId="34E08775" w14:textId="77777777" w:rsidTr="00665133">
        <w:tc>
          <w:tcPr>
            <w:tcW w:w="10338" w:type="dxa"/>
            <w:gridSpan w:val="3"/>
            <w:vAlign w:val="center"/>
          </w:tcPr>
          <w:p w14:paraId="44F98E9A" w14:textId="77777777" w:rsidR="00D42F6E" w:rsidRPr="00B3642D" w:rsidRDefault="00D42F6E" w:rsidP="006F7405">
            <w:pPr>
              <w:pStyle w:val="naisnod"/>
              <w:spacing w:before="0" w:after="0"/>
            </w:pPr>
            <w:r w:rsidRPr="00B3642D">
              <w:t>I. Tiesību akta projekta izstrādes nepieciešamība</w:t>
            </w:r>
          </w:p>
        </w:tc>
      </w:tr>
      <w:tr w:rsidR="00D42F6E" w:rsidRPr="00B3642D" w14:paraId="1B0EFDF4" w14:textId="77777777" w:rsidTr="00665133">
        <w:trPr>
          <w:trHeight w:val="630"/>
        </w:trPr>
        <w:tc>
          <w:tcPr>
            <w:tcW w:w="426" w:type="dxa"/>
          </w:tcPr>
          <w:p w14:paraId="24B9615B" w14:textId="77777777" w:rsidR="00D42F6E" w:rsidRPr="00960829" w:rsidRDefault="00D42F6E" w:rsidP="006F7405">
            <w:pPr>
              <w:pStyle w:val="naiskr"/>
              <w:spacing w:before="0" w:after="0"/>
              <w:jc w:val="center"/>
              <w:rPr>
                <w:sz w:val="22"/>
                <w:szCs w:val="22"/>
              </w:rPr>
            </w:pPr>
            <w:r w:rsidRPr="00960829">
              <w:rPr>
                <w:sz w:val="22"/>
                <w:szCs w:val="22"/>
              </w:rPr>
              <w:t>1.</w:t>
            </w:r>
          </w:p>
        </w:tc>
        <w:tc>
          <w:tcPr>
            <w:tcW w:w="2551" w:type="dxa"/>
          </w:tcPr>
          <w:p w14:paraId="76D8AF54" w14:textId="77777777" w:rsidR="00D42F6E" w:rsidRPr="00960829" w:rsidRDefault="00D42F6E" w:rsidP="006F7405">
            <w:pPr>
              <w:pStyle w:val="naiskr"/>
              <w:spacing w:before="0" w:after="0"/>
              <w:ind w:left="164"/>
              <w:rPr>
                <w:sz w:val="22"/>
                <w:szCs w:val="22"/>
              </w:rPr>
            </w:pPr>
            <w:r w:rsidRPr="00960829">
              <w:rPr>
                <w:sz w:val="22"/>
                <w:szCs w:val="22"/>
              </w:rPr>
              <w:t>Pamatojums</w:t>
            </w:r>
          </w:p>
        </w:tc>
        <w:tc>
          <w:tcPr>
            <w:tcW w:w="7361" w:type="dxa"/>
          </w:tcPr>
          <w:p w14:paraId="2B040330" w14:textId="77777777" w:rsidR="002B5DE9" w:rsidRDefault="002B5DE9" w:rsidP="009104AC">
            <w:pPr>
              <w:pStyle w:val="Bezatstarpm"/>
              <w:jc w:val="both"/>
              <w:rPr>
                <w:rFonts w:ascii="Times New Roman" w:hAnsi="Times New Roman"/>
                <w:iCs/>
                <w:sz w:val="24"/>
                <w:szCs w:val="24"/>
              </w:rPr>
            </w:pPr>
            <w:r w:rsidRPr="00422E3B">
              <w:rPr>
                <w:rFonts w:ascii="Times New Roman" w:hAnsi="Times New Roman"/>
                <w:iCs/>
                <w:sz w:val="24"/>
                <w:szCs w:val="24"/>
              </w:rPr>
              <w:t>Zvejniecības likuma 11. panta 4.</w:t>
            </w:r>
            <w:r w:rsidRPr="00422E3B">
              <w:rPr>
                <w:rFonts w:ascii="Times New Roman" w:hAnsi="Times New Roman"/>
                <w:iCs/>
                <w:sz w:val="24"/>
                <w:szCs w:val="24"/>
                <w:vertAlign w:val="superscript"/>
              </w:rPr>
              <w:t>2</w:t>
            </w:r>
            <w:r w:rsidRPr="00422E3B">
              <w:rPr>
                <w:rFonts w:ascii="Times New Roman" w:hAnsi="Times New Roman"/>
                <w:iCs/>
                <w:sz w:val="24"/>
                <w:szCs w:val="24"/>
              </w:rPr>
              <w:t xml:space="preserve"> </w:t>
            </w:r>
            <w:r>
              <w:rPr>
                <w:rFonts w:ascii="Times New Roman" w:hAnsi="Times New Roman"/>
                <w:iCs/>
                <w:sz w:val="24"/>
                <w:szCs w:val="24"/>
              </w:rPr>
              <w:t>daļa.</w:t>
            </w:r>
          </w:p>
          <w:p w14:paraId="71CB3075" w14:textId="3E77593C" w:rsidR="00076519" w:rsidRPr="00146954" w:rsidRDefault="009104AC" w:rsidP="009104AC">
            <w:pPr>
              <w:pStyle w:val="Bezatstarpm"/>
              <w:jc w:val="both"/>
              <w:rPr>
                <w:rFonts w:ascii="Times New Roman" w:hAnsi="Times New Roman"/>
                <w:iCs/>
                <w:sz w:val="24"/>
                <w:szCs w:val="24"/>
              </w:rPr>
            </w:pPr>
            <w:r w:rsidRPr="009104AC">
              <w:rPr>
                <w:rFonts w:ascii="Times New Roman" w:hAnsi="Times New Roman"/>
                <w:iCs/>
                <w:sz w:val="24"/>
                <w:szCs w:val="24"/>
              </w:rPr>
              <w:t>Administratīvo teritoriju un apdzīvoto vietu likum</w:t>
            </w:r>
            <w:r w:rsidR="002B5DE9">
              <w:rPr>
                <w:rFonts w:ascii="Times New Roman" w:hAnsi="Times New Roman"/>
                <w:iCs/>
                <w:sz w:val="24"/>
                <w:szCs w:val="24"/>
              </w:rPr>
              <w:t>s</w:t>
            </w:r>
            <w:r w:rsidRPr="009104AC">
              <w:rPr>
                <w:rFonts w:ascii="Times New Roman" w:hAnsi="Times New Roman"/>
                <w:iCs/>
                <w:sz w:val="24"/>
                <w:szCs w:val="24"/>
              </w:rPr>
              <w:t xml:space="preserve">. </w:t>
            </w:r>
          </w:p>
        </w:tc>
      </w:tr>
      <w:tr w:rsidR="00D42F6E" w:rsidRPr="00B3642D" w14:paraId="1CE7B9D1" w14:textId="77777777" w:rsidTr="00665133">
        <w:trPr>
          <w:trHeight w:val="472"/>
        </w:trPr>
        <w:tc>
          <w:tcPr>
            <w:tcW w:w="426" w:type="dxa"/>
          </w:tcPr>
          <w:p w14:paraId="29314073" w14:textId="77777777" w:rsidR="00D42F6E" w:rsidRPr="00960829" w:rsidRDefault="00D42F6E" w:rsidP="006F7405">
            <w:pPr>
              <w:pStyle w:val="naiskr"/>
              <w:spacing w:before="0" w:after="0"/>
              <w:jc w:val="center"/>
              <w:rPr>
                <w:sz w:val="22"/>
                <w:szCs w:val="22"/>
              </w:rPr>
            </w:pPr>
            <w:r w:rsidRPr="00960829">
              <w:rPr>
                <w:sz w:val="22"/>
                <w:szCs w:val="22"/>
              </w:rPr>
              <w:t>2.</w:t>
            </w:r>
          </w:p>
        </w:tc>
        <w:tc>
          <w:tcPr>
            <w:tcW w:w="2551" w:type="dxa"/>
          </w:tcPr>
          <w:p w14:paraId="61824834" w14:textId="77777777" w:rsidR="00D42F6E" w:rsidRPr="00960829" w:rsidRDefault="00D42F6E" w:rsidP="006F7405">
            <w:pPr>
              <w:tabs>
                <w:tab w:val="left" w:pos="-168"/>
              </w:tabs>
              <w:ind w:left="164" w:right="57"/>
              <w:rPr>
                <w:rFonts w:eastAsia="Calibri"/>
                <w:sz w:val="22"/>
                <w:szCs w:val="22"/>
              </w:rPr>
            </w:pPr>
            <w:r w:rsidRPr="00960829">
              <w:rPr>
                <w:rFonts w:eastAsia="Calibri"/>
                <w:sz w:val="22"/>
                <w:szCs w:val="22"/>
              </w:rPr>
              <w:t>Pašreizējā situācija un problēmas, kuru risināšanai tiesību akta projekts izstrādāts, tiesiskā regulējuma mērķis un būtība</w:t>
            </w:r>
          </w:p>
          <w:p w14:paraId="5E18D738" w14:textId="77777777" w:rsidR="00D42F6E" w:rsidRPr="00960829" w:rsidRDefault="00D42F6E" w:rsidP="006F7405">
            <w:pPr>
              <w:tabs>
                <w:tab w:val="left" w:pos="-168"/>
              </w:tabs>
              <w:ind w:left="164" w:right="57"/>
              <w:rPr>
                <w:rFonts w:eastAsia="Calibri"/>
                <w:sz w:val="22"/>
                <w:szCs w:val="22"/>
              </w:rPr>
            </w:pPr>
          </w:p>
          <w:p w14:paraId="7A05617F" w14:textId="77777777" w:rsidR="00D42F6E" w:rsidRPr="00960829" w:rsidRDefault="00D42F6E" w:rsidP="006F7405">
            <w:pPr>
              <w:pStyle w:val="naiskr"/>
              <w:tabs>
                <w:tab w:val="left" w:pos="170"/>
              </w:tabs>
              <w:spacing w:before="0" w:after="0"/>
              <w:ind w:left="164"/>
              <w:jc w:val="center"/>
              <w:rPr>
                <w:sz w:val="22"/>
                <w:szCs w:val="22"/>
              </w:rPr>
            </w:pPr>
          </w:p>
        </w:tc>
        <w:tc>
          <w:tcPr>
            <w:tcW w:w="7361" w:type="dxa"/>
          </w:tcPr>
          <w:p w14:paraId="3B7A4364" w14:textId="10AD2646" w:rsidR="000577EC" w:rsidRDefault="000577EC" w:rsidP="006F7405">
            <w:pPr>
              <w:ind w:right="55"/>
              <w:jc w:val="both"/>
              <w:rPr>
                <w:color w:val="000000"/>
              </w:rPr>
            </w:pPr>
            <w:r w:rsidRPr="00D273DD">
              <w:rPr>
                <w:color w:val="000000"/>
              </w:rPr>
              <w:t xml:space="preserve">Saskaņā ar </w:t>
            </w:r>
            <w:r w:rsidRPr="00146954">
              <w:rPr>
                <w:color w:val="000000"/>
              </w:rPr>
              <w:t>Ministru kabineta 2009. gada 30. novembra noteikum</w:t>
            </w:r>
            <w:r>
              <w:rPr>
                <w:color w:val="000000"/>
              </w:rPr>
              <w:t>u</w:t>
            </w:r>
            <w:r w:rsidRPr="00146954">
              <w:rPr>
                <w:color w:val="000000"/>
              </w:rPr>
              <w:t xml:space="preserve"> Nr. 1375 </w:t>
            </w:r>
            <w:r>
              <w:rPr>
                <w:color w:val="000000"/>
              </w:rPr>
              <w:t>“</w:t>
            </w:r>
            <w:r w:rsidRPr="00146954">
              <w:rPr>
                <w:color w:val="000000"/>
              </w:rPr>
              <w:t>Noteikumi par rūpnieciskās zvejas limitiem un to izmantoš</w:t>
            </w:r>
            <w:r w:rsidR="00895590">
              <w:rPr>
                <w:color w:val="000000"/>
              </w:rPr>
              <w:t>anas kārtību piekrastes ūdeņos”</w:t>
            </w:r>
            <w:r w:rsidRPr="00146954">
              <w:rPr>
                <w:color w:val="000000"/>
              </w:rPr>
              <w:t xml:space="preserve"> (turpmāk – noteikum</w:t>
            </w:r>
            <w:r>
              <w:rPr>
                <w:color w:val="000000"/>
              </w:rPr>
              <w:t>i</w:t>
            </w:r>
            <w:r w:rsidRPr="00146954">
              <w:rPr>
                <w:color w:val="000000"/>
              </w:rPr>
              <w:t xml:space="preserve"> Nr. 1375) 11. punkt</w:t>
            </w:r>
            <w:r>
              <w:rPr>
                <w:color w:val="000000"/>
              </w:rPr>
              <w:t>u</w:t>
            </w:r>
            <w:r w:rsidRPr="00146954">
              <w:rPr>
                <w:color w:val="000000"/>
              </w:rPr>
              <w:t xml:space="preserve"> pašvaldīb</w:t>
            </w:r>
            <w:r>
              <w:rPr>
                <w:color w:val="000000"/>
              </w:rPr>
              <w:t>as</w:t>
            </w:r>
            <w:r w:rsidRPr="00146954">
              <w:rPr>
                <w:color w:val="000000"/>
              </w:rPr>
              <w:t xml:space="preserve"> reizi gadā līdz 1.</w:t>
            </w:r>
            <w:r w:rsidR="00A2028F">
              <w:rPr>
                <w:color w:val="000000"/>
              </w:rPr>
              <w:t xml:space="preserve"> </w:t>
            </w:r>
            <w:r w:rsidRPr="00146954">
              <w:rPr>
                <w:color w:val="000000"/>
              </w:rPr>
              <w:t xml:space="preserve">jūlijam valsts zinātniskajā institūtā “Pārtikas drošības, dzīvnieku veselības un vides zinātniskais institūts “BIOR”” (turpmāk </w:t>
            </w:r>
            <w:r w:rsidR="00C9508D">
              <w:rPr>
                <w:color w:val="000000"/>
              </w:rPr>
              <w:t>–</w:t>
            </w:r>
            <w:r w:rsidRPr="00146954">
              <w:rPr>
                <w:color w:val="000000"/>
              </w:rPr>
              <w:t xml:space="preserve"> institūts</w:t>
            </w:r>
            <w:r w:rsidR="00C9508D">
              <w:rPr>
                <w:color w:val="000000"/>
              </w:rPr>
              <w:t xml:space="preserve"> “BIOR”</w:t>
            </w:r>
            <w:r w:rsidRPr="00146954">
              <w:rPr>
                <w:color w:val="000000"/>
              </w:rPr>
              <w:t xml:space="preserve">) </w:t>
            </w:r>
            <w:r>
              <w:rPr>
                <w:color w:val="000000"/>
              </w:rPr>
              <w:t xml:space="preserve">var </w:t>
            </w:r>
            <w:r w:rsidRPr="00146954">
              <w:rPr>
                <w:color w:val="000000"/>
              </w:rPr>
              <w:t xml:space="preserve">iesniegt priekšlikumus par piekrastes ūdeņos noteikto zvejas limitu izmaiņām. Institūts </w:t>
            </w:r>
            <w:r w:rsidR="00C9508D">
              <w:rPr>
                <w:color w:val="000000"/>
              </w:rPr>
              <w:t xml:space="preserve">“BIOR” </w:t>
            </w:r>
            <w:r w:rsidRPr="00146954">
              <w:rPr>
                <w:color w:val="000000"/>
              </w:rPr>
              <w:t>mēneša laikā izvērtē iesniegtos priekšlikumus un iesniedz Zemkopības ministrijā (turpmāk – ZM) zinātniski pamatotu rekomendāciju (turpmāk – rekomendācija) par pašvaldību priekšlikumiem zvejas limitu izmaiņām. ZM, ievērojot iepriekšminēto noteikumu 12. punkta prasības, apkopo institūta</w:t>
            </w:r>
            <w:r w:rsidR="00C9508D">
              <w:rPr>
                <w:color w:val="000000"/>
              </w:rPr>
              <w:t xml:space="preserve"> “BIOR”</w:t>
            </w:r>
            <w:r w:rsidRPr="00146954">
              <w:rPr>
                <w:color w:val="000000"/>
              </w:rPr>
              <w:t xml:space="preserve"> izvērtētos un atbalstītos priekšlikumus par zvejas limitu izmaiņām un iesniedz Ministru kabinetā noteikumu projektu.</w:t>
            </w:r>
          </w:p>
          <w:p w14:paraId="5C782FB7" w14:textId="3099CC9F" w:rsidR="004F6B6B" w:rsidRDefault="000B66D7" w:rsidP="006F7405">
            <w:pPr>
              <w:tabs>
                <w:tab w:val="left" w:pos="562"/>
                <w:tab w:val="left" w:pos="7083"/>
              </w:tabs>
              <w:ind w:right="137"/>
              <w:jc w:val="both"/>
              <w:rPr>
                <w:szCs w:val="22"/>
              </w:rPr>
            </w:pPr>
            <w:r w:rsidRPr="000577EC">
              <w:rPr>
                <w:szCs w:val="22"/>
              </w:rPr>
              <w:t>Saskaņā ar noteikum</w:t>
            </w:r>
            <w:r w:rsidR="002B6D2A" w:rsidRPr="000577EC">
              <w:rPr>
                <w:szCs w:val="22"/>
              </w:rPr>
              <w:t xml:space="preserve">u Nr. </w:t>
            </w:r>
            <w:r w:rsidR="00146954" w:rsidRPr="000577EC">
              <w:rPr>
                <w:szCs w:val="22"/>
              </w:rPr>
              <w:t>1375</w:t>
            </w:r>
            <w:r w:rsidRPr="000577EC">
              <w:rPr>
                <w:szCs w:val="22"/>
              </w:rPr>
              <w:t xml:space="preserve"> </w:t>
            </w:r>
            <w:r w:rsidR="00146954" w:rsidRPr="000577EC">
              <w:rPr>
                <w:szCs w:val="22"/>
              </w:rPr>
              <w:t>11</w:t>
            </w:r>
            <w:r w:rsidRPr="000577EC">
              <w:rPr>
                <w:szCs w:val="22"/>
              </w:rPr>
              <w:t>. punktu</w:t>
            </w:r>
            <w:r w:rsidR="004F6B6B" w:rsidRPr="000577EC">
              <w:rPr>
                <w:szCs w:val="22"/>
              </w:rPr>
              <w:t xml:space="preserve"> </w:t>
            </w:r>
            <w:r w:rsidR="00146954" w:rsidRPr="000577EC">
              <w:rPr>
                <w:szCs w:val="22"/>
              </w:rPr>
              <w:t>Liepājas pilsētas pašvaldība</w:t>
            </w:r>
            <w:r w:rsidR="004F6B6B">
              <w:rPr>
                <w:szCs w:val="22"/>
              </w:rPr>
              <w:t>s administrācija</w:t>
            </w:r>
            <w:r w:rsidR="00146954" w:rsidRPr="000577EC">
              <w:rPr>
                <w:szCs w:val="22"/>
              </w:rPr>
              <w:t>,</w:t>
            </w:r>
            <w:r w:rsidR="009104AC">
              <w:rPr>
                <w:szCs w:val="22"/>
              </w:rPr>
              <w:t xml:space="preserve"> Nīcas novada</w:t>
            </w:r>
            <w:r w:rsidR="009104AC" w:rsidRPr="000577EC">
              <w:rPr>
                <w:szCs w:val="22"/>
              </w:rPr>
              <w:t xml:space="preserve"> dome</w:t>
            </w:r>
            <w:r w:rsidR="00705A01">
              <w:rPr>
                <w:szCs w:val="22"/>
              </w:rPr>
              <w:t>, Mērsraga novada pašvaldība</w:t>
            </w:r>
            <w:r w:rsidR="009104AC">
              <w:rPr>
                <w:szCs w:val="22"/>
              </w:rPr>
              <w:t xml:space="preserve"> un </w:t>
            </w:r>
            <w:r w:rsidR="004F6B6B">
              <w:rPr>
                <w:szCs w:val="22"/>
              </w:rPr>
              <w:t>Salacgrīvas</w:t>
            </w:r>
            <w:r w:rsidR="00146954" w:rsidRPr="000577EC">
              <w:rPr>
                <w:szCs w:val="22"/>
              </w:rPr>
              <w:t xml:space="preserve"> novada dome </w:t>
            </w:r>
            <w:r w:rsidR="002B6D2A" w:rsidRPr="000577EC">
              <w:rPr>
                <w:szCs w:val="22"/>
              </w:rPr>
              <w:t>institūtā</w:t>
            </w:r>
            <w:r w:rsidRPr="000577EC">
              <w:rPr>
                <w:szCs w:val="22"/>
              </w:rPr>
              <w:t xml:space="preserve"> </w:t>
            </w:r>
            <w:r w:rsidR="00C9508D">
              <w:rPr>
                <w:szCs w:val="22"/>
              </w:rPr>
              <w:t xml:space="preserve">“BIOR” </w:t>
            </w:r>
            <w:r w:rsidRPr="000577EC">
              <w:rPr>
                <w:szCs w:val="22"/>
              </w:rPr>
              <w:t>iesniedz</w:t>
            </w:r>
            <w:r w:rsidR="002B6D2A" w:rsidRPr="000577EC">
              <w:rPr>
                <w:szCs w:val="22"/>
              </w:rPr>
              <w:t>a</w:t>
            </w:r>
            <w:r w:rsidRPr="000577EC">
              <w:rPr>
                <w:szCs w:val="22"/>
              </w:rPr>
              <w:t xml:space="preserve"> priekšlikumus par </w:t>
            </w:r>
            <w:r w:rsidR="00146954" w:rsidRPr="000577EC">
              <w:rPr>
                <w:szCs w:val="22"/>
              </w:rPr>
              <w:t>piekrastes</w:t>
            </w:r>
            <w:r w:rsidRPr="000577EC">
              <w:rPr>
                <w:szCs w:val="22"/>
              </w:rPr>
              <w:t xml:space="preserve"> ūdeņos noteikto zvejas limitu izmaiņām. Institūts </w:t>
            </w:r>
            <w:r w:rsidR="00C9508D">
              <w:rPr>
                <w:szCs w:val="22"/>
              </w:rPr>
              <w:t xml:space="preserve">“BIOR” </w:t>
            </w:r>
            <w:r w:rsidR="002B6D2A" w:rsidRPr="000577EC">
              <w:rPr>
                <w:szCs w:val="22"/>
              </w:rPr>
              <w:t>to</w:t>
            </w:r>
            <w:r w:rsidR="00B604FE" w:rsidRPr="000577EC">
              <w:rPr>
                <w:szCs w:val="22"/>
              </w:rPr>
              <w:t>s</w:t>
            </w:r>
            <w:r w:rsidR="002B6D2A" w:rsidRPr="000577EC">
              <w:rPr>
                <w:szCs w:val="22"/>
              </w:rPr>
              <w:t xml:space="preserve"> </w:t>
            </w:r>
            <w:r w:rsidRPr="000577EC">
              <w:rPr>
                <w:szCs w:val="22"/>
              </w:rPr>
              <w:t>izvērtē</w:t>
            </w:r>
            <w:r w:rsidR="002B6D2A" w:rsidRPr="000577EC">
              <w:rPr>
                <w:szCs w:val="22"/>
              </w:rPr>
              <w:t>ja</w:t>
            </w:r>
            <w:r w:rsidRPr="000577EC">
              <w:rPr>
                <w:szCs w:val="22"/>
              </w:rPr>
              <w:t xml:space="preserve"> un iesniedz</w:t>
            </w:r>
            <w:r w:rsidR="002B6D2A" w:rsidRPr="000577EC">
              <w:rPr>
                <w:szCs w:val="22"/>
              </w:rPr>
              <w:t>a</w:t>
            </w:r>
            <w:r w:rsidRPr="000577EC">
              <w:rPr>
                <w:szCs w:val="22"/>
              </w:rPr>
              <w:t xml:space="preserve"> ZM </w:t>
            </w:r>
            <w:r w:rsidR="002E7D20" w:rsidRPr="000577EC">
              <w:rPr>
                <w:szCs w:val="22"/>
              </w:rPr>
              <w:t>0</w:t>
            </w:r>
            <w:r w:rsidR="002E7D20">
              <w:rPr>
                <w:szCs w:val="22"/>
              </w:rPr>
              <w:t>2</w:t>
            </w:r>
            <w:r w:rsidR="002E7D20" w:rsidRPr="000577EC">
              <w:rPr>
                <w:szCs w:val="22"/>
              </w:rPr>
              <w:t>.0</w:t>
            </w:r>
            <w:r w:rsidR="002E7D20">
              <w:rPr>
                <w:szCs w:val="22"/>
              </w:rPr>
              <w:t>9</w:t>
            </w:r>
            <w:r w:rsidR="002E7D20" w:rsidRPr="000577EC">
              <w:rPr>
                <w:szCs w:val="22"/>
              </w:rPr>
              <w:t>.20</w:t>
            </w:r>
            <w:r w:rsidR="002E7D20">
              <w:rPr>
                <w:szCs w:val="22"/>
              </w:rPr>
              <w:t>20</w:t>
            </w:r>
            <w:r w:rsidR="002E7D20" w:rsidRPr="000577EC">
              <w:rPr>
                <w:szCs w:val="22"/>
              </w:rPr>
              <w:t>.</w:t>
            </w:r>
            <w:r w:rsidR="00705A01">
              <w:rPr>
                <w:szCs w:val="22"/>
              </w:rPr>
              <w:t xml:space="preserve"> un 28.10.2020.</w:t>
            </w:r>
            <w:r w:rsidR="002E7D20">
              <w:rPr>
                <w:szCs w:val="22"/>
              </w:rPr>
              <w:t xml:space="preserve"> </w:t>
            </w:r>
            <w:r w:rsidR="00146954">
              <w:t>rekomendācij</w:t>
            </w:r>
            <w:r w:rsidR="00705A01">
              <w:t>as</w:t>
            </w:r>
            <w:r w:rsidR="00146954">
              <w:t xml:space="preserve"> </w:t>
            </w:r>
            <w:r w:rsidR="00146954" w:rsidRPr="00A97B97">
              <w:t>(</w:t>
            </w:r>
            <w:r w:rsidR="00146954" w:rsidRPr="000577EC">
              <w:rPr>
                <w:szCs w:val="22"/>
              </w:rPr>
              <w:t>pieejama</w:t>
            </w:r>
            <w:r w:rsidR="00705A01">
              <w:rPr>
                <w:szCs w:val="22"/>
              </w:rPr>
              <w:t>s</w:t>
            </w:r>
            <w:r w:rsidR="00146954" w:rsidRPr="000577EC">
              <w:rPr>
                <w:szCs w:val="22"/>
              </w:rPr>
              <w:t xml:space="preserve"> ZM)</w:t>
            </w:r>
            <w:r w:rsidRPr="000577EC">
              <w:rPr>
                <w:szCs w:val="22"/>
              </w:rPr>
              <w:t>.</w:t>
            </w:r>
            <w:r w:rsidR="002E7D20">
              <w:rPr>
                <w:szCs w:val="22"/>
              </w:rPr>
              <w:t xml:space="preserve"> </w:t>
            </w:r>
            <w:r w:rsidR="00705A01" w:rsidRPr="000577EC">
              <w:rPr>
                <w:szCs w:val="22"/>
              </w:rPr>
              <w:t>0</w:t>
            </w:r>
            <w:r w:rsidR="00705A01">
              <w:rPr>
                <w:szCs w:val="22"/>
              </w:rPr>
              <w:t>2</w:t>
            </w:r>
            <w:r w:rsidR="00705A01" w:rsidRPr="000577EC">
              <w:rPr>
                <w:szCs w:val="22"/>
              </w:rPr>
              <w:t>.0</w:t>
            </w:r>
            <w:r w:rsidR="00705A01">
              <w:rPr>
                <w:szCs w:val="22"/>
              </w:rPr>
              <w:t>9</w:t>
            </w:r>
            <w:r w:rsidR="00705A01" w:rsidRPr="000577EC">
              <w:rPr>
                <w:szCs w:val="22"/>
              </w:rPr>
              <w:t>.20</w:t>
            </w:r>
            <w:r w:rsidR="00705A01">
              <w:rPr>
                <w:szCs w:val="22"/>
              </w:rPr>
              <w:t>20. iesniegtajā r</w:t>
            </w:r>
            <w:r w:rsidR="002E7D20">
              <w:rPr>
                <w:szCs w:val="22"/>
              </w:rPr>
              <w:t xml:space="preserve">ekomendācijā ir </w:t>
            </w:r>
            <w:r w:rsidR="00F12A79">
              <w:rPr>
                <w:szCs w:val="22"/>
              </w:rPr>
              <w:t xml:space="preserve">sniegta </w:t>
            </w:r>
            <w:r w:rsidR="00076519">
              <w:rPr>
                <w:szCs w:val="22"/>
              </w:rPr>
              <w:t xml:space="preserve">arī </w:t>
            </w:r>
            <w:r w:rsidR="002E7D20">
              <w:rPr>
                <w:szCs w:val="22"/>
              </w:rPr>
              <w:t>informācija un skaidrojums par pašvaldību priekšlikumiem, k</w:t>
            </w:r>
            <w:r w:rsidR="004B376D">
              <w:rPr>
                <w:szCs w:val="22"/>
              </w:rPr>
              <w:t>as</w:t>
            </w:r>
            <w:r w:rsidR="002E7D20">
              <w:rPr>
                <w:szCs w:val="22"/>
              </w:rPr>
              <w:t xml:space="preserve"> netika atbalstīti. </w:t>
            </w:r>
            <w:r w:rsidRPr="000577EC">
              <w:rPr>
                <w:szCs w:val="22"/>
              </w:rPr>
              <w:t xml:space="preserve">Institūta </w:t>
            </w:r>
            <w:r w:rsidR="00C9508D">
              <w:rPr>
                <w:szCs w:val="22"/>
              </w:rPr>
              <w:t xml:space="preserve">“BIOR” </w:t>
            </w:r>
            <w:r w:rsidR="00004273" w:rsidRPr="000577EC">
              <w:rPr>
                <w:szCs w:val="22"/>
              </w:rPr>
              <w:t>rekomendācijā</w:t>
            </w:r>
            <w:r w:rsidR="00705A01">
              <w:rPr>
                <w:szCs w:val="22"/>
              </w:rPr>
              <w:t>s</w:t>
            </w:r>
            <w:r w:rsidRPr="000577EC">
              <w:rPr>
                <w:szCs w:val="22"/>
              </w:rPr>
              <w:t xml:space="preserve"> </w:t>
            </w:r>
            <w:r w:rsidR="002C1630">
              <w:rPr>
                <w:szCs w:val="22"/>
              </w:rPr>
              <w:t>daļēji atbalstīt</w:t>
            </w:r>
            <w:r w:rsidR="00705A01">
              <w:rPr>
                <w:szCs w:val="22"/>
              </w:rPr>
              <w:t>ie</w:t>
            </w:r>
            <w:r w:rsidR="002C1630">
              <w:rPr>
                <w:szCs w:val="22"/>
              </w:rPr>
              <w:t xml:space="preserve"> </w:t>
            </w:r>
            <w:r w:rsidR="002E7D20">
              <w:rPr>
                <w:szCs w:val="22"/>
              </w:rPr>
              <w:t>Salacgrīvas novada domes</w:t>
            </w:r>
            <w:r w:rsidR="00705A01">
              <w:rPr>
                <w:szCs w:val="22"/>
              </w:rPr>
              <w:t xml:space="preserve"> un Mērsraga novada pašvaldības</w:t>
            </w:r>
            <w:r w:rsidR="004F6B6B" w:rsidRPr="004F6B6B">
              <w:rPr>
                <w:szCs w:val="22"/>
              </w:rPr>
              <w:t xml:space="preserve"> </w:t>
            </w:r>
            <w:r w:rsidR="00B604FE" w:rsidRPr="000577EC">
              <w:rPr>
                <w:szCs w:val="22"/>
              </w:rPr>
              <w:t>priekšlikum</w:t>
            </w:r>
            <w:r w:rsidR="00705A01">
              <w:rPr>
                <w:szCs w:val="22"/>
              </w:rPr>
              <w:t>i</w:t>
            </w:r>
            <w:r w:rsidR="00B604FE" w:rsidRPr="000577EC">
              <w:rPr>
                <w:szCs w:val="22"/>
              </w:rPr>
              <w:t xml:space="preserve"> </w:t>
            </w:r>
            <w:r w:rsidRPr="000577EC">
              <w:rPr>
                <w:szCs w:val="22"/>
              </w:rPr>
              <w:t>par zvejas limitu izmaiņām ir iekļaut</w:t>
            </w:r>
            <w:r w:rsidR="00705A01">
              <w:rPr>
                <w:szCs w:val="22"/>
              </w:rPr>
              <w:t>i</w:t>
            </w:r>
            <w:r w:rsidRPr="000577EC">
              <w:rPr>
                <w:szCs w:val="22"/>
              </w:rPr>
              <w:t xml:space="preserve"> sagatavotajā noteikumu projekt</w:t>
            </w:r>
            <w:r w:rsidR="000F43FB">
              <w:rPr>
                <w:szCs w:val="22"/>
              </w:rPr>
              <w:t>ā</w:t>
            </w:r>
            <w:r w:rsidR="002E7D20">
              <w:rPr>
                <w:szCs w:val="22"/>
              </w:rPr>
              <w:t>.</w:t>
            </w:r>
            <w:r w:rsidR="00C9508D">
              <w:rPr>
                <w:szCs w:val="22"/>
              </w:rPr>
              <w:t xml:space="preserve"> </w:t>
            </w:r>
            <w:r w:rsidRPr="000577EC">
              <w:rPr>
                <w:szCs w:val="22"/>
              </w:rPr>
              <w:t xml:space="preserve"> </w:t>
            </w:r>
          </w:p>
          <w:p w14:paraId="6C5AE6B2" w14:textId="2C661427" w:rsidR="002C1630" w:rsidRPr="002C1630" w:rsidRDefault="002C1630" w:rsidP="006F7405">
            <w:pPr>
              <w:tabs>
                <w:tab w:val="left" w:pos="562"/>
                <w:tab w:val="left" w:pos="7083"/>
              </w:tabs>
              <w:ind w:right="137"/>
              <w:jc w:val="both"/>
              <w:rPr>
                <w:szCs w:val="22"/>
              </w:rPr>
            </w:pPr>
            <w:r w:rsidRPr="002C1630">
              <w:rPr>
                <w:szCs w:val="22"/>
              </w:rPr>
              <w:t>Salacgrīvas novada dome</w:t>
            </w:r>
            <w:r w:rsidR="002E7D20">
              <w:rPr>
                <w:szCs w:val="22"/>
              </w:rPr>
              <w:t xml:space="preserve"> izteica</w:t>
            </w:r>
            <w:r w:rsidRPr="002C1630">
              <w:rPr>
                <w:szCs w:val="22"/>
              </w:rPr>
              <w:t xml:space="preserve"> </w:t>
            </w:r>
            <w:r>
              <w:rPr>
                <w:szCs w:val="22"/>
              </w:rPr>
              <w:t>priekšlikum</w:t>
            </w:r>
            <w:r w:rsidR="002E7D20">
              <w:rPr>
                <w:szCs w:val="22"/>
              </w:rPr>
              <w:t>u</w:t>
            </w:r>
            <w:r w:rsidRPr="002C1630">
              <w:rPr>
                <w:szCs w:val="22"/>
              </w:rPr>
              <w:t xml:space="preserve"> palielināt </w:t>
            </w:r>
            <w:r w:rsidR="002E7D20">
              <w:rPr>
                <w:szCs w:val="22"/>
              </w:rPr>
              <w:t xml:space="preserve">tai piešķirto </w:t>
            </w:r>
            <w:r w:rsidRPr="002C1630">
              <w:rPr>
                <w:szCs w:val="22"/>
              </w:rPr>
              <w:t xml:space="preserve">apaļo jūrasgrunduļu murdu limitu </w:t>
            </w:r>
            <w:r w:rsidR="002E7D20">
              <w:rPr>
                <w:szCs w:val="22"/>
              </w:rPr>
              <w:t>par 32</w:t>
            </w:r>
            <w:r w:rsidRPr="002C1630">
              <w:rPr>
                <w:szCs w:val="22"/>
              </w:rPr>
              <w:t xml:space="preserve"> murdiem</w:t>
            </w:r>
            <w:r w:rsidR="002E7D20">
              <w:rPr>
                <w:szCs w:val="22"/>
              </w:rPr>
              <w:t>, vienlaikus piedāvājot samazināt pašvaldībai iedalīto zvejas rīku skaita limitu par 10 lucīšu murdiem vai 10 zivju murdiem.</w:t>
            </w:r>
          </w:p>
          <w:p w14:paraId="4E18A7AB" w14:textId="1F4A79B7" w:rsidR="0099181F" w:rsidRDefault="002C1630" w:rsidP="00D944FA">
            <w:pPr>
              <w:tabs>
                <w:tab w:val="left" w:pos="562"/>
                <w:tab w:val="left" w:pos="7083"/>
              </w:tabs>
              <w:ind w:right="137"/>
              <w:jc w:val="both"/>
              <w:rPr>
                <w:szCs w:val="22"/>
              </w:rPr>
            </w:pPr>
            <w:r>
              <w:rPr>
                <w:szCs w:val="22"/>
              </w:rPr>
              <w:t xml:space="preserve">Institūts </w:t>
            </w:r>
            <w:r w:rsidR="00C9508D">
              <w:rPr>
                <w:szCs w:val="22"/>
              </w:rPr>
              <w:t xml:space="preserve">“BIOR” </w:t>
            </w:r>
            <w:r w:rsidR="00F12A79">
              <w:rPr>
                <w:szCs w:val="22"/>
              </w:rPr>
              <w:t xml:space="preserve">rekomendācijā </w:t>
            </w:r>
            <w:r>
              <w:rPr>
                <w:szCs w:val="22"/>
              </w:rPr>
              <w:t xml:space="preserve">norāda, ka </w:t>
            </w:r>
            <w:r w:rsidRPr="002C1630">
              <w:rPr>
                <w:szCs w:val="22"/>
              </w:rPr>
              <w:t>apaļā jūrasgrunduļa nozveja Salacgrīvas novadā 20</w:t>
            </w:r>
            <w:r w:rsidR="00D944FA">
              <w:rPr>
                <w:szCs w:val="22"/>
              </w:rPr>
              <w:t>20</w:t>
            </w:r>
            <w:r w:rsidRPr="002C1630">
              <w:rPr>
                <w:szCs w:val="22"/>
              </w:rPr>
              <w:t xml:space="preserve">. gada pirmajos </w:t>
            </w:r>
            <w:r w:rsidR="00D944FA">
              <w:rPr>
                <w:szCs w:val="22"/>
              </w:rPr>
              <w:t>sešos</w:t>
            </w:r>
            <w:r w:rsidRPr="002C1630">
              <w:rPr>
                <w:szCs w:val="22"/>
              </w:rPr>
              <w:t xml:space="preserve"> mēnešos salīdzin</w:t>
            </w:r>
            <w:r w:rsidR="00121B5C">
              <w:rPr>
                <w:szCs w:val="22"/>
              </w:rPr>
              <w:t>ājumā</w:t>
            </w:r>
            <w:r w:rsidRPr="002C1630">
              <w:rPr>
                <w:szCs w:val="22"/>
              </w:rPr>
              <w:t xml:space="preserve"> ar 201</w:t>
            </w:r>
            <w:r w:rsidR="00D944FA">
              <w:rPr>
                <w:szCs w:val="22"/>
              </w:rPr>
              <w:t>9</w:t>
            </w:r>
            <w:r w:rsidRPr="002C1630">
              <w:rPr>
                <w:szCs w:val="22"/>
              </w:rPr>
              <w:t xml:space="preserve">. gadu ir </w:t>
            </w:r>
            <w:r w:rsidR="00D944FA">
              <w:rPr>
                <w:szCs w:val="22"/>
              </w:rPr>
              <w:t>gandrīz trīskāršojusies</w:t>
            </w:r>
            <w:r w:rsidRPr="002C1630">
              <w:rPr>
                <w:szCs w:val="22"/>
              </w:rPr>
              <w:t xml:space="preserve">. Pēdējos </w:t>
            </w:r>
            <w:r w:rsidR="00D944FA">
              <w:rPr>
                <w:szCs w:val="22"/>
              </w:rPr>
              <w:t>trīs</w:t>
            </w:r>
            <w:r w:rsidRPr="002C1630">
              <w:rPr>
                <w:szCs w:val="22"/>
              </w:rPr>
              <w:t xml:space="preserve"> gados Salacgrīvas novadā vairāk nekā 9</w:t>
            </w:r>
            <w:r w:rsidR="00D944FA">
              <w:rPr>
                <w:szCs w:val="22"/>
              </w:rPr>
              <w:t>6</w:t>
            </w:r>
            <w:r w:rsidRPr="002C1630">
              <w:rPr>
                <w:szCs w:val="22"/>
              </w:rPr>
              <w:t xml:space="preserve"> % apaļā jūrasgrunduļa nozvejas tiek īstenota ar pasīviem zvejas rīkiem – lucīšu murdiem, zivju murdiem un apaļo jūrasgrunduļu </w:t>
            </w:r>
            <w:r w:rsidRPr="002C1630">
              <w:rPr>
                <w:szCs w:val="22"/>
              </w:rPr>
              <w:lastRenderedPageBreak/>
              <w:t>murdiem</w:t>
            </w:r>
            <w:r>
              <w:rPr>
                <w:szCs w:val="22"/>
              </w:rPr>
              <w:t xml:space="preserve">. </w:t>
            </w:r>
            <w:r w:rsidR="004B376D">
              <w:rPr>
                <w:szCs w:val="22"/>
              </w:rPr>
              <w:t>A</w:t>
            </w:r>
            <w:r w:rsidR="00D944FA" w:rsidRPr="00D944FA">
              <w:rPr>
                <w:szCs w:val="22"/>
              </w:rPr>
              <w:t>paļais jūrasgrundulis Salacgrīvas novadā pēdējos trīs gados ir bijusi dominējošā suga arī lucīšu murdu (vidēji 92,9 % no nozvejas) un zivju murdu (vidēji 53,2 % no nozvejas) lomos.</w:t>
            </w:r>
            <w:r w:rsidR="00D944FA">
              <w:rPr>
                <w:szCs w:val="22"/>
              </w:rPr>
              <w:t xml:space="preserve"> </w:t>
            </w:r>
            <w:r w:rsidR="004B376D">
              <w:t>Tā kā</w:t>
            </w:r>
            <w:r w:rsidR="00D944FA" w:rsidRPr="00D944FA">
              <w:rPr>
                <w:szCs w:val="22"/>
              </w:rPr>
              <w:t xml:space="preserve"> </w:t>
            </w:r>
            <w:r w:rsidR="004B376D" w:rsidRPr="00D944FA">
              <w:rPr>
                <w:szCs w:val="22"/>
              </w:rPr>
              <w:t xml:space="preserve">Salacgrīvas novadā </w:t>
            </w:r>
            <w:r w:rsidR="00D944FA" w:rsidRPr="00D944FA">
              <w:rPr>
                <w:szCs w:val="22"/>
              </w:rPr>
              <w:t>ir iespējama selektīva apaļo jūrasgrunduļu zveja</w:t>
            </w:r>
            <w:r w:rsidR="004B376D" w:rsidRPr="00D944FA">
              <w:rPr>
                <w:szCs w:val="22"/>
              </w:rPr>
              <w:t xml:space="preserve"> ar lucīšu murdu</w:t>
            </w:r>
            <w:r w:rsidR="00D944FA" w:rsidRPr="00D944FA">
              <w:rPr>
                <w:szCs w:val="22"/>
              </w:rPr>
              <w:t xml:space="preserve">, </w:t>
            </w:r>
            <w:r w:rsidR="004B376D">
              <w:rPr>
                <w:szCs w:val="22"/>
              </w:rPr>
              <w:t>i</w:t>
            </w:r>
            <w:r w:rsidR="00D944FA" w:rsidRPr="00D944FA">
              <w:rPr>
                <w:szCs w:val="22"/>
              </w:rPr>
              <w:t>nstitūts</w:t>
            </w:r>
            <w:r w:rsidR="004B376D">
              <w:rPr>
                <w:szCs w:val="22"/>
              </w:rPr>
              <w:t xml:space="preserve"> “BIOR”</w:t>
            </w:r>
            <w:r w:rsidR="00D944FA" w:rsidRPr="00D944FA">
              <w:rPr>
                <w:szCs w:val="22"/>
              </w:rPr>
              <w:t xml:space="preserve"> ierosina Salacgrīvas novadam samazināt zivju murdu skaitu, tos aizvietojot ar apaļo jūrasgrunduļu murdiem.</w:t>
            </w:r>
            <w:r w:rsidR="00D944FA">
              <w:rPr>
                <w:szCs w:val="22"/>
              </w:rPr>
              <w:t xml:space="preserve"> </w:t>
            </w:r>
            <w:r w:rsidR="00D944FA" w:rsidRPr="00D944FA">
              <w:rPr>
                <w:szCs w:val="22"/>
              </w:rPr>
              <w:t>Institūts</w:t>
            </w:r>
            <w:r w:rsidR="00D944FA">
              <w:rPr>
                <w:szCs w:val="22"/>
              </w:rPr>
              <w:t xml:space="preserve"> “BIOR”</w:t>
            </w:r>
            <w:r w:rsidR="00D944FA" w:rsidRPr="00D944FA">
              <w:rPr>
                <w:szCs w:val="22"/>
              </w:rPr>
              <w:t xml:space="preserve"> novērtē, ka attiecība citu zivju sugu piezvejā starp zivju murdu un apaļo jūrasgrunduļu murdu ir 1:4, </w:t>
            </w:r>
            <w:r w:rsidR="004B376D">
              <w:rPr>
                <w:szCs w:val="22"/>
              </w:rPr>
              <w:t>un tā</w:t>
            </w:r>
            <w:r w:rsidR="00D944FA" w:rsidRPr="00D944FA">
              <w:rPr>
                <w:szCs w:val="22"/>
              </w:rPr>
              <w:t xml:space="preserve"> nepalielinās zvejas izraisīto tradic</w:t>
            </w:r>
            <w:r w:rsidR="00705A01">
              <w:rPr>
                <w:szCs w:val="22"/>
              </w:rPr>
              <w:t>ionāl</w:t>
            </w:r>
            <w:r w:rsidR="004B376D">
              <w:rPr>
                <w:szCs w:val="22"/>
              </w:rPr>
              <w:t>o</w:t>
            </w:r>
            <w:r w:rsidR="00705A01">
              <w:rPr>
                <w:szCs w:val="22"/>
              </w:rPr>
              <w:t xml:space="preserve"> piekrastes zivju sug</w:t>
            </w:r>
            <w:r w:rsidR="004B376D">
              <w:rPr>
                <w:szCs w:val="22"/>
              </w:rPr>
              <w:t>u</w:t>
            </w:r>
            <w:r w:rsidR="004B376D" w:rsidRPr="00D944FA">
              <w:rPr>
                <w:szCs w:val="22"/>
              </w:rPr>
              <w:t xml:space="preserve"> mirstību</w:t>
            </w:r>
            <w:r w:rsidR="00705A01">
              <w:rPr>
                <w:szCs w:val="22"/>
              </w:rPr>
              <w:t>.</w:t>
            </w:r>
            <w:r w:rsidR="0099181F">
              <w:rPr>
                <w:szCs w:val="22"/>
              </w:rPr>
              <w:t xml:space="preserve"> </w:t>
            </w:r>
          </w:p>
          <w:p w14:paraId="1387D0ED" w14:textId="4F037F48" w:rsidR="00D944FA" w:rsidRDefault="0099181F" w:rsidP="00D944FA">
            <w:pPr>
              <w:tabs>
                <w:tab w:val="left" w:pos="562"/>
                <w:tab w:val="left" w:pos="7083"/>
              </w:tabs>
              <w:ind w:right="137"/>
              <w:jc w:val="both"/>
              <w:rPr>
                <w:szCs w:val="22"/>
              </w:rPr>
            </w:pPr>
            <w:r>
              <w:rPr>
                <w:szCs w:val="22"/>
              </w:rPr>
              <w:t>Pamatojoties</w:t>
            </w:r>
            <w:r w:rsidRPr="00D944FA">
              <w:rPr>
                <w:szCs w:val="22"/>
              </w:rPr>
              <w:t xml:space="preserve"> uz iepriekš minēto informāciju un ievērojot piesardzības principu, </w:t>
            </w:r>
            <w:r>
              <w:rPr>
                <w:szCs w:val="22"/>
              </w:rPr>
              <w:t>i</w:t>
            </w:r>
            <w:r w:rsidRPr="00D944FA">
              <w:rPr>
                <w:szCs w:val="22"/>
              </w:rPr>
              <w:t xml:space="preserve">nstitūts </w:t>
            </w:r>
            <w:r>
              <w:rPr>
                <w:szCs w:val="22"/>
              </w:rPr>
              <w:t xml:space="preserve">“BIOR” </w:t>
            </w:r>
            <w:r w:rsidR="004B376D">
              <w:rPr>
                <w:szCs w:val="22"/>
              </w:rPr>
              <w:t>ierosina</w:t>
            </w:r>
            <w:r w:rsidRPr="00D944FA">
              <w:rPr>
                <w:szCs w:val="22"/>
              </w:rPr>
              <w:t xml:space="preserve"> apaļo jūrasgrunduļu murdu skaitu Salacgrīvas novadā pielīdzināt Rojas novadam (kopā 10 rīk</w:t>
            </w:r>
            <w:r w:rsidR="004B376D">
              <w:rPr>
                <w:szCs w:val="22"/>
              </w:rPr>
              <w:t>u</w:t>
            </w:r>
            <w:r w:rsidRPr="00D944FA">
              <w:rPr>
                <w:szCs w:val="22"/>
              </w:rPr>
              <w:t xml:space="preserve">) un aizvietot </w:t>
            </w:r>
            <w:r w:rsidR="004B376D">
              <w:rPr>
                <w:szCs w:val="22"/>
              </w:rPr>
              <w:t>divus</w:t>
            </w:r>
            <w:r w:rsidRPr="00D944FA">
              <w:rPr>
                <w:szCs w:val="22"/>
              </w:rPr>
              <w:t xml:space="preserve"> zivju murdus ar </w:t>
            </w:r>
            <w:r w:rsidR="004B376D">
              <w:rPr>
                <w:szCs w:val="22"/>
              </w:rPr>
              <w:t>astoņiem</w:t>
            </w:r>
            <w:r w:rsidRPr="00D944FA">
              <w:rPr>
                <w:szCs w:val="22"/>
              </w:rPr>
              <w:t xml:space="preserve"> apaļo jūrasgrunduļu murdiem</w:t>
            </w:r>
            <w:r>
              <w:rPr>
                <w:szCs w:val="22"/>
              </w:rPr>
              <w:t>.</w:t>
            </w:r>
          </w:p>
          <w:p w14:paraId="1BAA9D8D" w14:textId="5436C174" w:rsidR="00705A01" w:rsidRDefault="00705A01" w:rsidP="00D944FA">
            <w:pPr>
              <w:tabs>
                <w:tab w:val="left" w:pos="562"/>
                <w:tab w:val="left" w:pos="7083"/>
              </w:tabs>
              <w:ind w:right="137"/>
              <w:jc w:val="both"/>
              <w:rPr>
                <w:szCs w:val="22"/>
              </w:rPr>
            </w:pPr>
            <w:r w:rsidRPr="00705A01">
              <w:rPr>
                <w:szCs w:val="22"/>
              </w:rPr>
              <w:t>Mērsraga novada pašvaldība</w:t>
            </w:r>
            <w:r>
              <w:rPr>
                <w:szCs w:val="22"/>
              </w:rPr>
              <w:t xml:space="preserve"> izteica priekšlikumu </w:t>
            </w:r>
            <w:r w:rsidRPr="00705A01">
              <w:rPr>
                <w:szCs w:val="22"/>
              </w:rPr>
              <w:t xml:space="preserve">samainīt divu reņģu stāvvadu zvejas limitu </w:t>
            </w:r>
            <w:r w:rsidR="004B376D">
              <w:rPr>
                <w:szCs w:val="22"/>
              </w:rPr>
              <w:t>pret</w:t>
            </w:r>
            <w:r w:rsidRPr="00705A01">
              <w:rPr>
                <w:szCs w:val="22"/>
              </w:rPr>
              <w:t xml:space="preserve"> atbilstošu skaitu reņģu tīklu un sīkzivju murdu limitu</w:t>
            </w:r>
            <w:r>
              <w:rPr>
                <w:szCs w:val="22"/>
              </w:rPr>
              <w:t>.</w:t>
            </w:r>
          </w:p>
          <w:p w14:paraId="76511E64" w14:textId="2A3FC1E3" w:rsidR="002C1630" w:rsidRDefault="00705A01" w:rsidP="00D944FA">
            <w:pPr>
              <w:tabs>
                <w:tab w:val="left" w:pos="562"/>
                <w:tab w:val="left" w:pos="7083"/>
              </w:tabs>
              <w:ind w:right="137"/>
              <w:jc w:val="both"/>
              <w:rPr>
                <w:szCs w:val="22"/>
              </w:rPr>
            </w:pPr>
            <w:r>
              <w:rPr>
                <w:szCs w:val="22"/>
              </w:rPr>
              <w:t xml:space="preserve">Institūts “BIOR” rekomendācijā norāda, ka </w:t>
            </w:r>
            <w:r w:rsidRPr="00705A01">
              <w:rPr>
                <w:szCs w:val="22"/>
              </w:rPr>
              <w:t>sīkzivju murdu nozvejā ir iespējams liels nārsta vecumu un rūpniecisko zvejas izmēru nesasniegušo zivju skaits, kā arī zuša piezveja</w:t>
            </w:r>
            <w:r>
              <w:rPr>
                <w:szCs w:val="22"/>
              </w:rPr>
              <w:t>, tādēļ i</w:t>
            </w:r>
            <w:r w:rsidRPr="00705A01">
              <w:rPr>
                <w:szCs w:val="22"/>
              </w:rPr>
              <w:t xml:space="preserve">nstitūts </w:t>
            </w:r>
            <w:r>
              <w:rPr>
                <w:szCs w:val="22"/>
              </w:rPr>
              <w:t xml:space="preserve">“BIOR” </w:t>
            </w:r>
            <w:r w:rsidRPr="00705A01">
              <w:rPr>
                <w:szCs w:val="22"/>
              </w:rPr>
              <w:t>neatbalsta reņģu stāvvadu a</w:t>
            </w:r>
            <w:r w:rsidR="0099181F">
              <w:rPr>
                <w:szCs w:val="22"/>
              </w:rPr>
              <w:t xml:space="preserve">izvietošanu ar sīkzivju murdiem, bet </w:t>
            </w:r>
            <w:r w:rsidR="0099181F" w:rsidRPr="0099181F">
              <w:rPr>
                <w:szCs w:val="22"/>
              </w:rPr>
              <w:t xml:space="preserve">atbalsta reņģu stāvvadu aizvietošanu ar reņģu tīkliem. Rīgas </w:t>
            </w:r>
            <w:r w:rsidR="0099181F">
              <w:rPr>
                <w:szCs w:val="22"/>
              </w:rPr>
              <w:t xml:space="preserve">jūras </w:t>
            </w:r>
            <w:r w:rsidR="0099181F" w:rsidRPr="0099181F">
              <w:rPr>
                <w:szCs w:val="22"/>
              </w:rPr>
              <w:t>līča rietumu piekrastē maksimālā nozveja uz vienu reņģu stāvvadu ir bijusi 16 rei</w:t>
            </w:r>
            <w:r w:rsidR="004B376D">
              <w:rPr>
                <w:szCs w:val="22"/>
              </w:rPr>
              <w:t>žu</w:t>
            </w:r>
            <w:r w:rsidR="0099181F" w:rsidRPr="0099181F">
              <w:rPr>
                <w:szCs w:val="22"/>
              </w:rPr>
              <w:t xml:space="preserve"> lielāka nekā maksimālā nozveja uz vienu reņģu tīklu</w:t>
            </w:r>
            <w:r w:rsidR="0099181F">
              <w:rPr>
                <w:szCs w:val="22"/>
              </w:rPr>
              <w:t>. Pamatojoties uz šo aprēķinu, i</w:t>
            </w:r>
            <w:r w:rsidR="0099181F" w:rsidRPr="0099181F">
              <w:rPr>
                <w:szCs w:val="22"/>
              </w:rPr>
              <w:t xml:space="preserve">nstitūts </w:t>
            </w:r>
            <w:r w:rsidR="0099181F">
              <w:rPr>
                <w:szCs w:val="22"/>
              </w:rPr>
              <w:t xml:space="preserve">“BIOR” </w:t>
            </w:r>
            <w:r w:rsidR="0099181F" w:rsidRPr="0099181F">
              <w:rPr>
                <w:szCs w:val="22"/>
              </w:rPr>
              <w:t>novērtē, ka attiecība starp reņģu stāvvadu un reņģu tīklu ir 1:16</w:t>
            </w:r>
            <w:r w:rsidR="004B376D">
              <w:rPr>
                <w:szCs w:val="22"/>
              </w:rPr>
              <w:t>,</w:t>
            </w:r>
            <w:r w:rsidR="0099181F" w:rsidRPr="0099181F">
              <w:rPr>
                <w:szCs w:val="22"/>
              </w:rPr>
              <w:t xml:space="preserve"> un ierosina aizvietot </w:t>
            </w:r>
            <w:r w:rsidR="004B376D">
              <w:rPr>
                <w:szCs w:val="22"/>
              </w:rPr>
              <w:t>divus</w:t>
            </w:r>
            <w:r w:rsidR="0099181F" w:rsidRPr="0099181F">
              <w:rPr>
                <w:szCs w:val="22"/>
              </w:rPr>
              <w:t xml:space="preserve"> reņģu stāvvadus ar 32 reņģu tīkliem</w:t>
            </w:r>
            <w:r w:rsidR="0099181F">
              <w:rPr>
                <w:szCs w:val="22"/>
              </w:rPr>
              <w:t>.</w:t>
            </w:r>
          </w:p>
          <w:p w14:paraId="769CE99F" w14:textId="63F1B1AD" w:rsidR="000B66D7" w:rsidRDefault="00960829" w:rsidP="006F7405">
            <w:pPr>
              <w:tabs>
                <w:tab w:val="left" w:pos="562"/>
                <w:tab w:val="left" w:pos="7083"/>
              </w:tabs>
              <w:ind w:right="137"/>
              <w:jc w:val="both"/>
              <w:rPr>
                <w:color w:val="000000" w:themeColor="text1"/>
              </w:rPr>
            </w:pPr>
            <w:r>
              <w:rPr>
                <w:color w:val="000000" w:themeColor="text1"/>
              </w:rPr>
              <w:t>Paredzēt</w:t>
            </w:r>
            <w:r w:rsidR="00926769">
              <w:rPr>
                <w:color w:val="000000" w:themeColor="text1"/>
              </w:rPr>
              <w:t>s</w:t>
            </w:r>
            <w:r>
              <w:rPr>
                <w:color w:val="000000" w:themeColor="text1"/>
              </w:rPr>
              <w:t>, ka m</w:t>
            </w:r>
            <w:r w:rsidR="000B66D7" w:rsidRPr="000577EC">
              <w:rPr>
                <w:color w:val="000000" w:themeColor="text1"/>
              </w:rPr>
              <w:t xml:space="preserve">ainītos zvejas limitus varēs piemērot no </w:t>
            </w:r>
            <w:r w:rsidR="002C1630" w:rsidRPr="000577EC">
              <w:rPr>
                <w:color w:val="000000" w:themeColor="text1"/>
              </w:rPr>
              <w:t>20</w:t>
            </w:r>
            <w:r w:rsidR="002C1630">
              <w:rPr>
                <w:color w:val="000000" w:themeColor="text1"/>
              </w:rPr>
              <w:t>2</w:t>
            </w:r>
            <w:r w:rsidR="00D944FA">
              <w:rPr>
                <w:color w:val="000000" w:themeColor="text1"/>
              </w:rPr>
              <w:t>1</w:t>
            </w:r>
            <w:r w:rsidR="002C1630" w:rsidRPr="000577EC">
              <w:rPr>
                <w:color w:val="000000" w:themeColor="text1"/>
              </w:rPr>
              <w:t>. gada</w:t>
            </w:r>
            <w:r w:rsidR="000B66D7" w:rsidRPr="000577EC">
              <w:rPr>
                <w:color w:val="000000" w:themeColor="text1"/>
              </w:rPr>
              <w:t xml:space="preserve"> </w:t>
            </w:r>
            <w:r w:rsidR="002C1630" w:rsidRPr="000577EC">
              <w:rPr>
                <w:color w:val="000000" w:themeColor="text1"/>
              </w:rPr>
              <w:t>1.</w:t>
            </w:r>
            <w:r w:rsidR="00F03B70">
              <w:rPr>
                <w:color w:val="000000" w:themeColor="text1"/>
              </w:rPr>
              <w:t> </w:t>
            </w:r>
            <w:r w:rsidR="002C1630" w:rsidRPr="000577EC">
              <w:rPr>
                <w:color w:val="000000" w:themeColor="text1"/>
              </w:rPr>
              <w:t>janvāra</w:t>
            </w:r>
            <w:r w:rsidR="000B66D7" w:rsidRPr="000577EC">
              <w:rPr>
                <w:color w:val="000000" w:themeColor="text1"/>
              </w:rPr>
              <w:t>.</w:t>
            </w:r>
          </w:p>
          <w:p w14:paraId="7DF09592" w14:textId="6EC2DC5A" w:rsidR="006945D1" w:rsidRDefault="006945D1" w:rsidP="006F7405">
            <w:pPr>
              <w:tabs>
                <w:tab w:val="left" w:pos="562"/>
                <w:tab w:val="left" w:pos="7083"/>
              </w:tabs>
              <w:ind w:right="137"/>
              <w:jc w:val="both"/>
              <w:rPr>
                <w:color w:val="000000" w:themeColor="text1"/>
              </w:rPr>
            </w:pPr>
            <w:r>
              <w:rPr>
                <w:color w:val="000000" w:themeColor="text1"/>
              </w:rPr>
              <w:t>P</w:t>
            </w:r>
            <w:r w:rsidRPr="006945D1">
              <w:rPr>
                <w:color w:val="000000" w:themeColor="text1"/>
              </w:rPr>
              <w:t>ašvaldība ir tiesīga daļu no</w:t>
            </w:r>
            <w:r>
              <w:rPr>
                <w:color w:val="000000" w:themeColor="text1"/>
              </w:rPr>
              <w:t xml:space="preserve"> tai esošām</w:t>
            </w:r>
            <w:r w:rsidRPr="006945D1">
              <w:rPr>
                <w:color w:val="000000" w:themeColor="text1"/>
              </w:rPr>
              <w:t xml:space="preserve"> zvejas tiesībām iznomāt pašpatēriņa zvejai fiziskajām personām, kuru deklarētā dzīvesvieta vai kurām piederošais nekustamais īpašums atrodas šīs pašvaldības administratīvajā teritorijā</w:t>
            </w:r>
            <w:r>
              <w:rPr>
                <w:color w:val="000000" w:themeColor="text1"/>
              </w:rPr>
              <w:t>.</w:t>
            </w:r>
            <w:r w:rsidR="00C364C6">
              <w:rPr>
                <w:color w:val="000000" w:themeColor="text1"/>
              </w:rPr>
              <w:t xml:space="preserve"> </w:t>
            </w:r>
            <w:r w:rsidR="00C364C6">
              <w:t>MK noteikumu Nr. 1375 8. p</w:t>
            </w:r>
            <w:r w:rsidR="003858DC">
              <w:t>unktā</w:t>
            </w:r>
            <w:r w:rsidR="00C364C6">
              <w:t xml:space="preserve"> ir noteikts, ka</w:t>
            </w:r>
            <w:r w:rsidR="004B376D">
              <w:t xml:space="preserve"> tad</w:t>
            </w:r>
            <w:r w:rsidR="00C364C6">
              <w:t>, j</w:t>
            </w:r>
            <w:r w:rsidR="00C364C6" w:rsidRPr="00C364C6">
              <w:rPr>
                <w:color w:val="000000" w:themeColor="text1"/>
              </w:rPr>
              <w:t>a, izmantojot Zvejniecības likumā noteikto komerciālajai zvejai dodamo priekšroku, komercdarbībai zvejniecībā licencēto zvejnieku iesniegtie zvejas limitu pieprasījumi sasniedz attiecīgās pašvaldības piekrastei noteikto kopējo zvejas limitu, kas vairs neļauj iedalīt zvejas limitus pašpatēriņa zvejai, pašvaldībai ir tiesības šīm vajadzībām nodalīt atsevišķu zvejas rīku vai nozvejas apjoma limita daļu, kas nepārsniedz piecus procentus no attiecīgā zvejas rīku veida</w:t>
            </w:r>
            <w:r w:rsidR="004B376D">
              <w:rPr>
                <w:color w:val="000000" w:themeColor="text1"/>
              </w:rPr>
              <w:t>,</w:t>
            </w:r>
            <w:r w:rsidR="00C364C6" w:rsidRPr="00C364C6">
              <w:rPr>
                <w:color w:val="000000" w:themeColor="text1"/>
              </w:rPr>
              <w:t xml:space="preserve"> vai ne mazāk kā vienu zvejas rīka limita vienību vai </w:t>
            </w:r>
            <w:r w:rsidR="004B376D" w:rsidRPr="00C364C6">
              <w:rPr>
                <w:color w:val="000000" w:themeColor="text1"/>
              </w:rPr>
              <w:t>ne</w:t>
            </w:r>
            <w:r w:rsidR="004B376D">
              <w:rPr>
                <w:color w:val="000000" w:themeColor="text1"/>
              </w:rPr>
              <w:t xml:space="preserve"> vairāk par</w:t>
            </w:r>
            <w:r w:rsidR="004B376D" w:rsidRPr="00C364C6">
              <w:rPr>
                <w:color w:val="000000" w:themeColor="text1"/>
              </w:rPr>
              <w:t xml:space="preserve"> </w:t>
            </w:r>
            <w:r w:rsidR="00C364C6" w:rsidRPr="00C364C6">
              <w:rPr>
                <w:color w:val="000000" w:themeColor="text1"/>
              </w:rPr>
              <w:t>piec</w:t>
            </w:r>
            <w:r w:rsidR="004B376D">
              <w:rPr>
                <w:color w:val="000000" w:themeColor="text1"/>
              </w:rPr>
              <w:t>iem</w:t>
            </w:r>
            <w:r w:rsidR="00C364C6" w:rsidRPr="00C364C6">
              <w:rPr>
                <w:color w:val="000000" w:themeColor="text1"/>
              </w:rPr>
              <w:t xml:space="preserve"> procent</w:t>
            </w:r>
            <w:r w:rsidR="004B376D">
              <w:rPr>
                <w:color w:val="000000" w:themeColor="text1"/>
              </w:rPr>
              <w:t>iem</w:t>
            </w:r>
            <w:r w:rsidR="00C364C6" w:rsidRPr="00C364C6">
              <w:rPr>
                <w:color w:val="000000" w:themeColor="text1"/>
              </w:rPr>
              <w:t xml:space="preserve"> no attiecīgās zivju sugas nozvejas apjoma kopējā limita.</w:t>
            </w:r>
            <w:r w:rsidR="00845D65">
              <w:rPr>
                <w:color w:val="000000" w:themeColor="text1"/>
              </w:rPr>
              <w:t xml:space="preserve"> </w:t>
            </w:r>
            <w:r w:rsidR="004B376D">
              <w:rPr>
                <w:color w:val="000000" w:themeColor="text1"/>
              </w:rPr>
              <w:t>Vien</w:t>
            </w:r>
            <w:r w:rsidR="009029BB">
              <w:rPr>
                <w:color w:val="000000" w:themeColor="text1"/>
              </w:rPr>
              <w:t>laik</w:t>
            </w:r>
            <w:r w:rsidR="004B376D">
              <w:rPr>
                <w:color w:val="000000" w:themeColor="text1"/>
              </w:rPr>
              <w:t>us</w:t>
            </w:r>
            <w:r w:rsidR="009029BB">
              <w:rPr>
                <w:color w:val="000000" w:themeColor="text1"/>
              </w:rPr>
              <w:t xml:space="preserve"> ir pašvaldības, kurās </w:t>
            </w:r>
            <w:r w:rsidR="009029BB" w:rsidRPr="009029BB">
              <w:rPr>
                <w:color w:val="000000" w:themeColor="text1"/>
              </w:rPr>
              <w:t xml:space="preserve">komercdarbībai zvejniecībā licencēto zvejnieku iesniegtie zvejas limitu pieprasījumi </w:t>
            </w:r>
            <w:r w:rsidR="009029BB">
              <w:rPr>
                <w:color w:val="000000" w:themeColor="text1"/>
              </w:rPr>
              <w:t>ne</w:t>
            </w:r>
            <w:r w:rsidR="009029BB" w:rsidRPr="009029BB">
              <w:rPr>
                <w:color w:val="000000" w:themeColor="text1"/>
              </w:rPr>
              <w:t>s</w:t>
            </w:r>
            <w:r w:rsidR="00845D65">
              <w:rPr>
                <w:color w:val="000000" w:themeColor="text1"/>
              </w:rPr>
              <w:t>as</w:t>
            </w:r>
            <w:r w:rsidR="009029BB" w:rsidRPr="009029BB">
              <w:rPr>
                <w:color w:val="000000" w:themeColor="text1"/>
              </w:rPr>
              <w:t>niedz attiecīgās pašvaldības piekrastei noteikto kopējo zvejas limitu</w:t>
            </w:r>
            <w:r w:rsidR="00845D65">
              <w:rPr>
                <w:color w:val="000000" w:themeColor="text1"/>
              </w:rPr>
              <w:t xml:space="preserve"> un pašpatēriņa zvejai ir</w:t>
            </w:r>
            <w:r w:rsidR="009029BB">
              <w:rPr>
                <w:color w:val="000000" w:themeColor="text1"/>
              </w:rPr>
              <w:t xml:space="preserve"> iespējams nodalīt vairāk </w:t>
            </w:r>
            <w:r w:rsidR="004B376D">
              <w:rPr>
                <w:color w:val="000000" w:themeColor="text1"/>
              </w:rPr>
              <w:t>ne</w:t>
            </w:r>
            <w:r w:rsidR="009029BB">
              <w:rPr>
                <w:color w:val="000000" w:themeColor="text1"/>
              </w:rPr>
              <w:t>k</w:t>
            </w:r>
            <w:r w:rsidR="00845D65">
              <w:rPr>
                <w:color w:val="000000" w:themeColor="text1"/>
              </w:rPr>
              <w:t>ā</w:t>
            </w:r>
            <w:r w:rsidR="009029BB">
              <w:rPr>
                <w:color w:val="000000" w:themeColor="text1"/>
              </w:rPr>
              <w:t xml:space="preserve"> 5 % no kopējā zvejas limita.</w:t>
            </w:r>
          </w:p>
          <w:p w14:paraId="24515E17" w14:textId="5A02CCE7" w:rsidR="00C364C6" w:rsidRDefault="00C364C6" w:rsidP="006F7405">
            <w:pPr>
              <w:tabs>
                <w:tab w:val="left" w:pos="562"/>
                <w:tab w:val="left" w:pos="7083"/>
              </w:tabs>
              <w:ind w:right="137"/>
              <w:jc w:val="both"/>
              <w:rPr>
                <w:color w:val="000000" w:themeColor="text1"/>
              </w:rPr>
            </w:pPr>
            <w:r>
              <w:rPr>
                <w:color w:val="000000" w:themeColor="text1"/>
              </w:rPr>
              <w:t xml:space="preserve">ZM saņēma biedrības “Latvijas Zvejnieku federācija” </w:t>
            </w:r>
            <w:r w:rsidR="00D438C7">
              <w:rPr>
                <w:color w:val="000000" w:themeColor="text1"/>
              </w:rPr>
              <w:t xml:space="preserve">(turpmāk – LZF) </w:t>
            </w:r>
            <w:r>
              <w:rPr>
                <w:color w:val="000000" w:themeColor="text1"/>
              </w:rPr>
              <w:t xml:space="preserve">rosinājumu noteikt papildu ierobežojumus pašpatēriņa zvejai jūras piekrastes ūdeņos, jo ir novērojamas situācijas, kad personas no vienas mājsaimiecības iegūst pašpatēriņa zvejas limitus un, tos apvienojot, nodarbojas ar lielāka apmēra zveju un nozvejoto zivju tirdzniecību. </w:t>
            </w:r>
            <w:r w:rsidR="004B376D">
              <w:rPr>
                <w:color w:val="000000" w:themeColor="text1"/>
              </w:rPr>
              <w:t>Grozījumi</w:t>
            </w:r>
            <w:r w:rsidR="00E92A20">
              <w:rPr>
                <w:color w:val="000000" w:themeColor="text1"/>
              </w:rPr>
              <w:t xml:space="preserve"> normatīvajā regulējumā ir nepieciešam</w:t>
            </w:r>
            <w:r w:rsidR="004B376D">
              <w:rPr>
                <w:color w:val="000000" w:themeColor="text1"/>
              </w:rPr>
              <w:t>i</w:t>
            </w:r>
            <w:r w:rsidR="00E92A20">
              <w:rPr>
                <w:color w:val="000000" w:themeColor="text1"/>
              </w:rPr>
              <w:t xml:space="preserve">, lai veicinātu </w:t>
            </w:r>
            <w:r w:rsidR="00E92A20">
              <w:rPr>
                <w:color w:val="000000" w:themeColor="text1"/>
              </w:rPr>
              <w:lastRenderedPageBreak/>
              <w:t xml:space="preserve">komerczvejas attīstību un mazinātu </w:t>
            </w:r>
            <w:r w:rsidR="00076519">
              <w:rPr>
                <w:color w:val="000000" w:themeColor="text1"/>
              </w:rPr>
              <w:t>risku</w:t>
            </w:r>
            <w:r w:rsidR="00E92A20">
              <w:rPr>
                <w:color w:val="000000" w:themeColor="text1"/>
              </w:rPr>
              <w:t xml:space="preserve"> tirgū </w:t>
            </w:r>
            <w:r w:rsidR="00076519">
              <w:rPr>
                <w:color w:val="000000" w:themeColor="text1"/>
              </w:rPr>
              <w:t xml:space="preserve">nelikumīgi </w:t>
            </w:r>
            <w:r w:rsidR="00E92A20">
              <w:rPr>
                <w:color w:val="000000" w:themeColor="text1"/>
              </w:rPr>
              <w:t>nonākt pašpatēriņa zvejā iegūtajām zivīm.</w:t>
            </w:r>
          </w:p>
          <w:p w14:paraId="0868F578" w14:textId="46EBB446" w:rsidR="00D438C7" w:rsidRDefault="00D438C7" w:rsidP="006F7405">
            <w:pPr>
              <w:tabs>
                <w:tab w:val="left" w:pos="562"/>
                <w:tab w:val="left" w:pos="7083"/>
              </w:tabs>
              <w:ind w:right="137"/>
              <w:jc w:val="both"/>
              <w:rPr>
                <w:color w:val="000000" w:themeColor="text1"/>
              </w:rPr>
            </w:pPr>
            <w:r>
              <w:rPr>
                <w:color w:val="000000" w:themeColor="text1"/>
              </w:rPr>
              <w:t>01.10.2019. ZM tika rīkota sanāksme ar piejūras pašva</w:t>
            </w:r>
            <w:r w:rsidR="003858DC">
              <w:rPr>
                <w:color w:val="000000" w:themeColor="text1"/>
              </w:rPr>
              <w:t>l</w:t>
            </w:r>
            <w:r>
              <w:rPr>
                <w:color w:val="000000" w:themeColor="text1"/>
              </w:rPr>
              <w:t xml:space="preserve">dību pārstāvju piedalīšanos, </w:t>
            </w:r>
            <w:r w:rsidR="004B376D">
              <w:rPr>
                <w:color w:val="000000" w:themeColor="text1"/>
              </w:rPr>
              <w:t>un tajā</w:t>
            </w:r>
            <w:r>
              <w:rPr>
                <w:color w:val="000000" w:themeColor="text1"/>
              </w:rPr>
              <w:t xml:space="preserve"> tika apspriest</w:t>
            </w:r>
            <w:r w:rsidR="00C4087C">
              <w:rPr>
                <w:color w:val="000000" w:themeColor="text1"/>
              </w:rPr>
              <w:t>s</w:t>
            </w:r>
            <w:r>
              <w:rPr>
                <w:color w:val="000000" w:themeColor="text1"/>
              </w:rPr>
              <w:t xml:space="preserve"> LZF ierosinājums. Sanāksmes dalībnieki piekrita LZF priekšlikumam par nepieciešamību papildus ierobežot pašpatēriņa zveju jūras piekrastes ūdeņos. Sanāksmes laikā tika panākta vienošanās </w:t>
            </w:r>
            <w:r w:rsidR="004B376D">
              <w:rPr>
                <w:color w:val="000000" w:themeColor="text1"/>
              </w:rPr>
              <w:t>par šādiem grozījumiem</w:t>
            </w:r>
            <w:r>
              <w:rPr>
                <w:color w:val="000000" w:themeColor="text1"/>
              </w:rPr>
              <w:t xml:space="preserve"> normatīvajā regulējumā:</w:t>
            </w:r>
          </w:p>
          <w:p w14:paraId="0D273CA2" w14:textId="62CF9F87" w:rsidR="00D438C7" w:rsidRDefault="00D438C7" w:rsidP="006F7405">
            <w:pPr>
              <w:tabs>
                <w:tab w:val="left" w:pos="562"/>
                <w:tab w:val="left" w:pos="7083"/>
              </w:tabs>
              <w:ind w:right="137"/>
              <w:jc w:val="both"/>
              <w:rPr>
                <w:color w:val="000000" w:themeColor="text1"/>
              </w:rPr>
            </w:pPr>
            <w:r>
              <w:rPr>
                <w:color w:val="000000" w:themeColor="text1"/>
              </w:rPr>
              <w:t>1) nepieciešams paredzēt tiesības pa</w:t>
            </w:r>
            <w:r w:rsidR="004B376D">
              <w:rPr>
                <w:color w:val="000000" w:themeColor="text1"/>
              </w:rPr>
              <w:t>š</w:t>
            </w:r>
            <w:r>
              <w:rPr>
                <w:color w:val="000000" w:themeColor="text1"/>
              </w:rPr>
              <w:t>valdībām ar saistošajiem noteikumiem noteikt kritērijus piekrastes zvejas limitēšanai vien</w:t>
            </w:r>
            <w:r w:rsidR="004B376D">
              <w:rPr>
                <w:color w:val="000000" w:themeColor="text1"/>
              </w:rPr>
              <w:t>ā</w:t>
            </w:r>
            <w:r>
              <w:rPr>
                <w:color w:val="000000" w:themeColor="text1"/>
              </w:rPr>
              <w:t xml:space="preserve"> mājsaimniecīb</w:t>
            </w:r>
            <w:r w:rsidR="004B376D">
              <w:rPr>
                <w:color w:val="000000" w:themeColor="text1"/>
              </w:rPr>
              <w:t>ā</w:t>
            </w:r>
            <w:r>
              <w:rPr>
                <w:color w:val="000000" w:themeColor="text1"/>
              </w:rPr>
              <w:t>;</w:t>
            </w:r>
          </w:p>
          <w:p w14:paraId="4AC10EA6" w14:textId="4EEE94D5" w:rsidR="00D438C7" w:rsidRDefault="00D438C7" w:rsidP="006F7405">
            <w:pPr>
              <w:tabs>
                <w:tab w:val="left" w:pos="562"/>
                <w:tab w:val="left" w:pos="7083"/>
              </w:tabs>
              <w:ind w:right="137"/>
              <w:jc w:val="both"/>
              <w:rPr>
                <w:color w:val="000000" w:themeColor="text1"/>
              </w:rPr>
            </w:pPr>
            <w:r>
              <w:rPr>
                <w:color w:val="000000" w:themeColor="text1"/>
              </w:rPr>
              <w:t>2) paredzēt, ka pašpatēriņa zvejā vienu laivu var izmantot ne vairāk kā trīs pašpatēriņa zvejnieki;</w:t>
            </w:r>
          </w:p>
          <w:p w14:paraId="228AF868" w14:textId="59A510C8" w:rsidR="00C364C6" w:rsidRDefault="00D438C7" w:rsidP="006F7405">
            <w:pPr>
              <w:tabs>
                <w:tab w:val="left" w:pos="562"/>
                <w:tab w:val="left" w:pos="7083"/>
              </w:tabs>
              <w:ind w:right="137"/>
              <w:jc w:val="both"/>
              <w:rPr>
                <w:color w:val="000000" w:themeColor="text1"/>
              </w:rPr>
            </w:pPr>
            <w:r>
              <w:rPr>
                <w:color w:val="000000" w:themeColor="text1"/>
              </w:rPr>
              <w:t>3) ja pašpatēriņa zvejai nodalītais zvejas limits pārsniez 5</w:t>
            </w:r>
            <w:r w:rsidR="00C4087C">
              <w:rPr>
                <w:color w:val="000000" w:themeColor="text1"/>
              </w:rPr>
              <w:t xml:space="preserve"> </w:t>
            </w:r>
            <w:r>
              <w:rPr>
                <w:color w:val="000000" w:themeColor="text1"/>
              </w:rPr>
              <w:t>%</w:t>
            </w:r>
            <w:r w:rsidR="00C4087C">
              <w:rPr>
                <w:color w:val="000000" w:themeColor="text1"/>
              </w:rPr>
              <w:t xml:space="preserve"> no pašvaldībai pieejamām zvejas iespējām, limita daļa, kas pārsniedz 5 %</w:t>
            </w:r>
            <w:r w:rsidR="004B376D">
              <w:rPr>
                <w:color w:val="000000" w:themeColor="text1"/>
              </w:rPr>
              <w:t>,</w:t>
            </w:r>
            <w:r w:rsidR="00C4087C">
              <w:rPr>
                <w:color w:val="000000" w:themeColor="text1"/>
              </w:rPr>
              <w:t xml:space="preserve"> ir pieejama tikai izsoles kārtībā.</w:t>
            </w:r>
          </w:p>
          <w:p w14:paraId="45B4A3FC" w14:textId="6E5AD278" w:rsidR="009052C7" w:rsidRDefault="004B376D" w:rsidP="00970D16">
            <w:pPr>
              <w:tabs>
                <w:tab w:val="left" w:pos="562"/>
                <w:tab w:val="left" w:pos="7083"/>
              </w:tabs>
              <w:ind w:right="137"/>
              <w:jc w:val="both"/>
              <w:rPr>
                <w:rFonts w:eastAsiaTheme="minorHAnsi"/>
                <w:color w:val="000000" w:themeColor="text1"/>
                <w:lang w:eastAsia="en-US"/>
              </w:rPr>
            </w:pPr>
            <w:r w:rsidRPr="00A43DEF">
              <w:rPr>
                <w:rFonts w:eastAsiaTheme="minorHAnsi"/>
                <w:color w:val="000000" w:themeColor="text1"/>
                <w:lang w:eastAsia="en-US"/>
              </w:rPr>
              <w:t>Iev</w:t>
            </w:r>
            <w:r w:rsidR="009052C7" w:rsidRPr="00A43DEF">
              <w:rPr>
                <w:rFonts w:eastAsiaTheme="minorHAnsi"/>
                <w:color w:val="000000" w:themeColor="text1"/>
                <w:lang w:eastAsia="en-US"/>
              </w:rPr>
              <w:t>ēr</w:t>
            </w:r>
            <w:r w:rsidRPr="00A43DEF">
              <w:rPr>
                <w:rFonts w:eastAsiaTheme="minorHAnsi"/>
                <w:color w:val="000000" w:themeColor="text1"/>
                <w:lang w:eastAsia="en-US"/>
              </w:rPr>
              <w:t>ojot</w:t>
            </w:r>
            <w:r w:rsidR="009052C7" w:rsidRPr="00A43DEF">
              <w:rPr>
                <w:rFonts w:eastAsiaTheme="minorHAnsi"/>
                <w:color w:val="000000" w:themeColor="text1"/>
                <w:lang w:eastAsia="en-US"/>
              </w:rPr>
              <w:t xml:space="preserve"> austrumu Baltijas mencu krājuma kritisko stāvokli, </w:t>
            </w:r>
            <w:r w:rsidRPr="00A43DEF">
              <w:rPr>
                <w:rFonts w:eastAsiaTheme="minorHAnsi"/>
                <w:color w:val="000000" w:themeColor="text1"/>
                <w:lang w:eastAsia="en-US"/>
              </w:rPr>
              <w:t xml:space="preserve">patlaban </w:t>
            </w:r>
            <w:r w:rsidR="009052C7" w:rsidRPr="00A43DEF">
              <w:rPr>
                <w:rFonts w:eastAsiaTheme="minorHAnsi"/>
                <w:color w:val="000000" w:themeColor="text1"/>
                <w:lang w:eastAsia="en-US"/>
              </w:rPr>
              <w:t xml:space="preserve">ar </w:t>
            </w:r>
            <w:r w:rsidR="00A43DEF" w:rsidRPr="00A43DEF">
              <w:rPr>
                <w:rFonts w:eastAsiaTheme="minorHAnsi"/>
                <w:color w:val="000000" w:themeColor="text1"/>
                <w:lang w:eastAsia="en-US"/>
              </w:rPr>
              <w:t xml:space="preserve"> tieši piemērojamiem Eiropas Savienības zvejniecību regulējošiem tiesību aktiem</w:t>
            </w:r>
            <w:r w:rsidR="00A43DEF">
              <w:rPr>
                <w:rFonts w:eastAsiaTheme="minorHAnsi"/>
                <w:color w:val="000000" w:themeColor="text1"/>
                <w:lang w:eastAsia="en-US"/>
              </w:rPr>
              <w:t xml:space="preserve"> </w:t>
            </w:r>
            <w:r w:rsidR="009052C7" w:rsidRPr="00A43DEF">
              <w:rPr>
                <w:rFonts w:eastAsiaTheme="minorHAnsi"/>
                <w:color w:val="000000" w:themeColor="text1"/>
                <w:lang w:eastAsia="en-US"/>
              </w:rPr>
              <w:t xml:space="preserve">ir noteikts austrumu Baltijas mencu specializētās zvejas aizliegums. </w:t>
            </w:r>
            <w:r w:rsidRPr="00A43DEF">
              <w:rPr>
                <w:rFonts w:eastAsiaTheme="minorHAnsi"/>
                <w:color w:val="000000" w:themeColor="text1"/>
                <w:lang w:eastAsia="en-US"/>
              </w:rPr>
              <w:t>Pašlaik</w:t>
            </w:r>
            <w:r w:rsidR="009052C7" w:rsidRPr="00A43DEF">
              <w:rPr>
                <w:rFonts w:eastAsiaTheme="minorHAnsi"/>
                <w:color w:val="000000" w:themeColor="text1"/>
                <w:lang w:eastAsia="en-US"/>
              </w:rPr>
              <w:t xml:space="preserve"> nav iespējams prognozēt, kad specializētā austrumu Baltijas  mencu zveja Baltijas jūrā tiks atjaunota, tādēļ nepieciešams izdarīt grozījumu noteikumos Nr.1375, nosakot, ka</w:t>
            </w:r>
            <w:r w:rsidR="009052C7" w:rsidRPr="00A43DEF">
              <w:t xml:space="preserve"> </w:t>
            </w:r>
            <w:r w:rsidR="009052C7" w:rsidRPr="00A43DEF">
              <w:rPr>
                <w:rFonts w:eastAsiaTheme="minorHAnsi"/>
                <w:color w:val="000000" w:themeColor="text1"/>
                <w:lang w:eastAsia="en-US"/>
              </w:rPr>
              <w:t>mencu nozvejas apjoma limitu komerciālajai zvejai Baltijas jūras piekrastei sadala procentuāli pa pašvaldībām tikai t</w:t>
            </w:r>
            <w:r w:rsidRPr="00A43DEF">
              <w:rPr>
                <w:rFonts w:eastAsiaTheme="minorHAnsi"/>
                <w:color w:val="000000" w:themeColor="text1"/>
                <w:lang w:eastAsia="en-US"/>
              </w:rPr>
              <w:t>ad</w:t>
            </w:r>
            <w:r w:rsidR="009052C7" w:rsidRPr="00A43DEF">
              <w:rPr>
                <w:rFonts w:eastAsiaTheme="minorHAnsi"/>
                <w:color w:val="000000" w:themeColor="text1"/>
                <w:lang w:eastAsia="en-US"/>
              </w:rPr>
              <w:t>, ja mencu specializētā zveja piekrastes ūdeņos ir atļauta.</w:t>
            </w:r>
          </w:p>
          <w:p w14:paraId="11BD0EA6" w14:textId="437AD271" w:rsidR="00114E60" w:rsidRPr="000577EC" w:rsidRDefault="004B376D" w:rsidP="00A43DEF">
            <w:pPr>
              <w:tabs>
                <w:tab w:val="left" w:pos="562"/>
                <w:tab w:val="left" w:pos="7083"/>
              </w:tabs>
              <w:ind w:right="137"/>
              <w:jc w:val="both"/>
              <w:rPr>
                <w:szCs w:val="22"/>
              </w:rPr>
            </w:pPr>
            <w:r>
              <w:rPr>
                <w:rFonts w:eastAsiaTheme="minorHAnsi"/>
                <w:color w:val="000000" w:themeColor="text1"/>
                <w:lang w:eastAsia="en-US"/>
              </w:rPr>
              <w:t>Īstenojot a</w:t>
            </w:r>
            <w:r w:rsidR="00114E60">
              <w:rPr>
                <w:rFonts w:eastAsiaTheme="minorHAnsi"/>
                <w:color w:val="000000" w:themeColor="text1"/>
                <w:lang w:eastAsia="en-US"/>
              </w:rPr>
              <w:t>dministratīvi teritoriāl</w:t>
            </w:r>
            <w:r>
              <w:rPr>
                <w:rFonts w:eastAsiaTheme="minorHAnsi"/>
                <w:color w:val="000000" w:themeColor="text1"/>
                <w:lang w:eastAsia="en-US"/>
              </w:rPr>
              <w:t>o</w:t>
            </w:r>
            <w:r w:rsidR="00114E60">
              <w:rPr>
                <w:rFonts w:eastAsiaTheme="minorHAnsi"/>
                <w:color w:val="000000" w:themeColor="text1"/>
                <w:lang w:eastAsia="en-US"/>
              </w:rPr>
              <w:t xml:space="preserve"> reform</w:t>
            </w:r>
            <w:r>
              <w:rPr>
                <w:rFonts w:eastAsiaTheme="minorHAnsi"/>
                <w:color w:val="000000" w:themeColor="text1"/>
                <w:lang w:eastAsia="en-US"/>
              </w:rPr>
              <w:t>u,</w:t>
            </w:r>
            <w:r w:rsidR="00114E60">
              <w:rPr>
                <w:rFonts w:eastAsiaTheme="minorHAnsi"/>
                <w:color w:val="000000" w:themeColor="text1"/>
                <w:lang w:eastAsia="en-US"/>
              </w:rPr>
              <w:t xml:space="preserve"> Saeima 2020. gada 10. jūnijā pieņēma Administratīvo teritoriju un apdzīvoto vietu likumu, kas stājās spēkā 2020. gada 23. jūnijā (LV, 2020, 119. nr.). Atbilstoši likumā noteiktajam jaunajam administratīvo teritoriju un novadu teritoriālajam iedalījumam nepieciešams izdarīt grozījumus </w:t>
            </w:r>
            <w:r w:rsidR="00CD36BD">
              <w:rPr>
                <w:rFonts w:eastAsiaTheme="minorHAnsi"/>
                <w:color w:val="000000" w:themeColor="text1"/>
                <w:lang w:eastAsia="en-US"/>
              </w:rPr>
              <w:t>arī noteikumos Nr.1375</w:t>
            </w:r>
            <w:r>
              <w:rPr>
                <w:rFonts w:eastAsiaTheme="minorHAnsi"/>
                <w:color w:val="000000" w:themeColor="text1"/>
                <w:lang w:eastAsia="en-US"/>
              </w:rPr>
              <w:t>,</w:t>
            </w:r>
            <w:r w:rsidR="00114E60">
              <w:rPr>
                <w:rFonts w:eastAsiaTheme="minorHAnsi"/>
                <w:color w:val="000000" w:themeColor="text1"/>
                <w:lang w:eastAsia="en-US"/>
              </w:rPr>
              <w:t xml:space="preserve"> saskaņojot </w:t>
            </w:r>
            <w:r w:rsidR="00CD36BD">
              <w:rPr>
                <w:rFonts w:eastAsiaTheme="minorHAnsi"/>
                <w:color w:val="000000" w:themeColor="text1"/>
                <w:lang w:eastAsia="en-US"/>
              </w:rPr>
              <w:t>šajos noteikumos</w:t>
            </w:r>
            <w:r w:rsidR="00114E60">
              <w:rPr>
                <w:rFonts w:eastAsiaTheme="minorHAnsi"/>
                <w:color w:val="000000" w:themeColor="text1"/>
                <w:lang w:eastAsia="en-US"/>
              </w:rPr>
              <w:t xml:space="preserve"> lietoto teritoriālo vienību terminoloģiju ar likumā noteikto.</w:t>
            </w:r>
          </w:p>
        </w:tc>
      </w:tr>
      <w:tr w:rsidR="00D42F6E" w:rsidRPr="00B3642D" w14:paraId="56397768" w14:textId="77777777" w:rsidTr="00665133">
        <w:trPr>
          <w:trHeight w:val="558"/>
        </w:trPr>
        <w:tc>
          <w:tcPr>
            <w:tcW w:w="426" w:type="dxa"/>
          </w:tcPr>
          <w:p w14:paraId="00D053A8" w14:textId="77777777" w:rsidR="00D42F6E" w:rsidRPr="00960829" w:rsidRDefault="00D42F6E" w:rsidP="006F7405">
            <w:pPr>
              <w:pStyle w:val="naiskr"/>
              <w:spacing w:before="0" w:after="0"/>
              <w:jc w:val="center"/>
              <w:rPr>
                <w:sz w:val="22"/>
                <w:szCs w:val="22"/>
              </w:rPr>
            </w:pPr>
            <w:r w:rsidRPr="00960829">
              <w:rPr>
                <w:sz w:val="22"/>
                <w:szCs w:val="22"/>
              </w:rPr>
              <w:lastRenderedPageBreak/>
              <w:t>3.</w:t>
            </w:r>
          </w:p>
        </w:tc>
        <w:tc>
          <w:tcPr>
            <w:tcW w:w="2551" w:type="dxa"/>
          </w:tcPr>
          <w:p w14:paraId="53260782" w14:textId="77777777" w:rsidR="00D42F6E" w:rsidRPr="00960829" w:rsidRDefault="00230DA0" w:rsidP="006F7405">
            <w:pPr>
              <w:pStyle w:val="naiskr"/>
              <w:spacing w:before="0" w:after="0"/>
              <w:ind w:left="164"/>
              <w:rPr>
                <w:sz w:val="22"/>
                <w:szCs w:val="22"/>
              </w:rPr>
            </w:pPr>
            <w:r w:rsidRPr="00960829">
              <w:rPr>
                <w:sz w:val="22"/>
                <w:szCs w:val="22"/>
              </w:rPr>
              <w:t>Projekta izstrādē iesaistītās institūcijas un publiskas personas kapitālsabiedrības</w:t>
            </w:r>
          </w:p>
        </w:tc>
        <w:tc>
          <w:tcPr>
            <w:tcW w:w="7361" w:type="dxa"/>
          </w:tcPr>
          <w:p w14:paraId="74FAD7E6" w14:textId="59E81955" w:rsidR="00D42F6E" w:rsidRPr="00B3642D" w:rsidRDefault="000B66D7" w:rsidP="006F7405">
            <w:pPr>
              <w:pStyle w:val="naiskr"/>
              <w:spacing w:before="0" w:after="0"/>
              <w:ind w:right="81"/>
              <w:jc w:val="both"/>
            </w:pPr>
            <w:r w:rsidRPr="000B66D7">
              <w:t>Institūts</w:t>
            </w:r>
            <w:r w:rsidR="00C9508D">
              <w:t xml:space="preserve"> “BIOR”</w:t>
            </w:r>
            <w:r w:rsidRPr="000B66D7">
              <w:t xml:space="preserve">, ZM, </w:t>
            </w:r>
            <w:r w:rsidR="00D944FA">
              <w:t>pašvaldības</w:t>
            </w:r>
          </w:p>
        </w:tc>
      </w:tr>
      <w:tr w:rsidR="00D42F6E" w:rsidRPr="00B3642D" w14:paraId="2BEC7B8C" w14:textId="77777777" w:rsidTr="00665133">
        <w:trPr>
          <w:trHeight w:val="384"/>
        </w:trPr>
        <w:tc>
          <w:tcPr>
            <w:tcW w:w="426" w:type="dxa"/>
          </w:tcPr>
          <w:p w14:paraId="75A6BD80" w14:textId="77777777" w:rsidR="00D42F6E" w:rsidRPr="00960829" w:rsidRDefault="00D42F6E" w:rsidP="006F7405">
            <w:pPr>
              <w:pStyle w:val="naiskr"/>
              <w:spacing w:before="0" w:after="0"/>
              <w:jc w:val="center"/>
              <w:rPr>
                <w:sz w:val="22"/>
                <w:szCs w:val="22"/>
              </w:rPr>
            </w:pPr>
            <w:r w:rsidRPr="00960829">
              <w:rPr>
                <w:sz w:val="22"/>
                <w:szCs w:val="22"/>
              </w:rPr>
              <w:t>4.</w:t>
            </w:r>
          </w:p>
        </w:tc>
        <w:tc>
          <w:tcPr>
            <w:tcW w:w="2551" w:type="dxa"/>
          </w:tcPr>
          <w:p w14:paraId="18C0C6D9" w14:textId="77777777" w:rsidR="00D42F6E" w:rsidRPr="00960829" w:rsidRDefault="00D42F6E" w:rsidP="006F7405">
            <w:pPr>
              <w:pStyle w:val="naiskr"/>
              <w:spacing w:before="0" w:after="0"/>
              <w:rPr>
                <w:sz w:val="22"/>
                <w:szCs w:val="22"/>
              </w:rPr>
            </w:pPr>
            <w:r w:rsidRPr="00960829">
              <w:rPr>
                <w:sz w:val="22"/>
                <w:szCs w:val="22"/>
              </w:rPr>
              <w:t>Cita informācija</w:t>
            </w:r>
          </w:p>
        </w:tc>
        <w:tc>
          <w:tcPr>
            <w:tcW w:w="7361" w:type="dxa"/>
          </w:tcPr>
          <w:p w14:paraId="36992350" w14:textId="77777777" w:rsidR="00D42F6E" w:rsidRPr="00B3642D" w:rsidRDefault="00D42F6E" w:rsidP="006F7405">
            <w:pPr>
              <w:jc w:val="both"/>
            </w:pPr>
            <w:r w:rsidRPr="00B3642D">
              <w:t>Nav</w:t>
            </w:r>
            <w:r w:rsidR="004C7C02">
              <w:t>.</w:t>
            </w:r>
          </w:p>
        </w:tc>
      </w:tr>
    </w:tbl>
    <w:p w14:paraId="2A4C6847" w14:textId="77777777" w:rsidR="0082484A" w:rsidRPr="00B3642D" w:rsidRDefault="0082484A" w:rsidP="006F7405">
      <w:pPr>
        <w:pStyle w:val="naisf"/>
        <w:spacing w:before="0" w:after="0"/>
        <w:ind w:firstLine="0"/>
        <w:rPr>
          <w:sz w:val="16"/>
          <w:szCs w:val="16"/>
        </w:rPr>
      </w:pPr>
    </w:p>
    <w:tbl>
      <w:tblPr>
        <w:tblStyle w:val="Reatabula"/>
        <w:tblW w:w="10343" w:type="dxa"/>
        <w:jc w:val="center"/>
        <w:tblLook w:val="04A0" w:firstRow="1" w:lastRow="0" w:firstColumn="1" w:lastColumn="0" w:noHBand="0" w:noVBand="1"/>
      </w:tblPr>
      <w:tblGrid>
        <w:gridCol w:w="396"/>
        <w:gridCol w:w="2658"/>
        <w:gridCol w:w="7289"/>
      </w:tblGrid>
      <w:tr w:rsidR="0082484A" w:rsidRPr="00B3642D" w14:paraId="29FDFBE3" w14:textId="77777777" w:rsidTr="00735D9B">
        <w:trPr>
          <w:jc w:val="center"/>
        </w:trPr>
        <w:tc>
          <w:tcPr>
            <w:tcW w:w="10343" w:type="dxa"/>
            <w:gridSpan w:val="3"/>
          </w:tcPr>
          <w:p w14:paraId="50492B08" w14:textId="77777777" w:rsidR="0082484A" w:rsidRPr="00B3642D" w:rsidRDefault="0082484A" w:rsidP="006F7405">
            <w:pPr>
              <w:ind w:right="57"/>
              <w:jc w:val="center"/>
              <w:rPr>
                <w:rFonts w:eastAsia="Calibri"/>
                <w:b/>
              </w:rPr>
            </w:pPr>
            <w:r w:rsidRPr="00B3642D">
              <w:rPr>
                <w:b/>
                <w:bCs/>
              </w:rPr>
              <w:t>II. Tiesību akta projekta ietekme uz sabiedrību</w:t>
            </w:r>
            <w:r w:rsidRPr="00B3642D">
              <w:rPr>
                <w:rFonts w:eastAsia="Calibri"/>
                <w:b/>
              </w:rPr>
              <w:t>, tautsaimniecības attīstību</w:t>
            </w:r>
          </w:p>
          <w:p w14:paraId="2204B770" w14:textId="77777777" w:rsidR="0082484A" w:rsidRPr="00DE51A9" w:rsidRDefault="0082484A" w:rsidP="006F7405">
            <w:pPr>
              <w:pStyle w:val="naisf"/>
              <w:spacing w:before="0" w:after="0"/>
              <w:ind w:firstLine="0"/>
              <w:jc w:val="center"/>
              <w:rPr>
                <w:b/>
              </w:rPr>
            </w:pPr>
            <w:r w:rsidRPr="00DE51A9">
              <w:rPr>
                <w:rFonts w:eastAsia="Calibri"/>
                <w:b/>
                <w:lang w:eastAsia="en-US"/>
              </w:rPr>
              <w:t>un administratīvo slogu</w:t>
            </w:r>
          </w:p>
        </w:tc>
      </w:tr>
      <w:tr w:rsidR="0082484A" w:rsidRPr="00B3642D" w14:paraId="38B315FE" w14:textId="77777777" w:rsidTr="00735D9B">
        <w:trPr>
          <w:jc w:val="center"/>
        </w:trPr>
        <w:tc>
          <w:tcPr>
            <w:tcW w:w="396" w:type="dxa"/>
          </w:tcPr>
          <w:p w14:paraId="0FB4EFC9" w14:textId="77777777" w:rsidR="0082484A" w:rsidRPr="00960829" w:rsidRDefault="0082484A" w:rsidP="006F7405">
            <w:pPr>
              <w:pStyle w:val="naisf"/>
              <w:spacing w:before="0" w:after="0"/>
              <w:ind w:firstLine="0"/>
              <w:rPr>
                <w:sz w:val="22"/>
                <w:szCs w:val="22"/>
              </w:rPr>
            </w:pPr>
            <w:r w:rsidRPr="00960829">
              <w:rPr>
                <w:sz w:val="22"/>
                <w:szCs w:val="22"/>
              </w:rPr>
              <w:t>1.</w:t>
            </w:r>
          </w:p>
        </w:tc>
        <w:tc>
          <w:tcPr>
            <w:tcW w:w="2658" w:type="dxa"/>
          </w:tcPr>
          <w:p w14:paraId="2B5FADF7" w14:textId="77777777" w:rsidR="009F38AE" w:rsidRPr="00960829" w:rsidRDefault="0082484A" w:rsidP="006F7405">
            <w:pPr>
              <w:pStyle w:val="naisf"/>
              <w:spacing w:before="0" w:after="0"/>
              <w:ind w:firstLine="0"/>
              <w:rPr>
                <w:sz w:val="22"/>
                <w:szCs w:val="22"/>
              </w:rPr>
            </w:pPr>
            <w:r w:rsidRPr="00960829">
              <w:rPr>
                <w:sz w:val="22"/>
                <w:szCs w:val="22"/>
              </w:rPr>
              <w:t>Sabiedrības mērķgrupa</w:t>
            </w:r>
            <w:r w:rsidR="00D16F90" w:rsidRPr="00960829">
              <w:rPr>
                <w:sz w:val="22"/>
                <w:szCs w:val="22"/>
              </w:rPr>
              <w:t>s</w:t>
            </w:r>
            <w:r w:rsidRPr="00960829">
              <w:rPr>
                <w:sz w:val="22"/>
                <w:szCs w:val="22"/>
              </w:rPr>
              <w:t>, kuras tiesiskais regulējums ietekmē vai varētu ietekmēt</w:t>
            </w:r>
          </w:p>
        </w:tc>
        <w:tc>
          <w:tcPr>
            <w:tcW w:w="7289" w:type="dxa"/>
          </w:tcPr>
          <w:p w14:paraId="22F1FE3C" w14:textId="3820BB61" w:rsidR="0082484A" w:rsidRPr="003D14EB" w:rsidRDefault="000B66D7" w:rsidP="006F7405">
            <w:pPr>
              <w:pStyle w:val="naisf"/>
              <w:spacing w:before="0" w:after="0"/>
              <w:ind w:firstLine="0"/>
              <w:rPr>
                <w:szCs w:val="22"/>
              </w:rPr>
            </w:pPr>
            <w:r w:rsidRPr="000B66D7">
              <w:rPr>
                <w:szCs w:val="22"/>
              </w:rPr>
              <w:t xml:space="preserve">Noteikumu projekts ietekmēs </w:t>
            </w:r>
            <w:r w:rsidR="00910147">
              <w:rPr>
                <w:szCs w:val="22"/>
              </w:rPr>
              <w:t>pašvaldības</w:t>
            </w:r>
            <w:r w:rsidRPr="000B66D7">
              <w:rPr>
                <w:szCs w:val="22"/>
              </w:rPr>
              <w:t>, kas iedala rūpnieciskās zvejas limitus zvejniekiem, Valsts vides dienest</w:t>
            </w:r>
            <w:r w:rsidR="000577EC">
              <w:rPr>
                <w:szCs w:val="22"/>
              </w:rPr>
              <w:t>u</w:t>
            </w:r>
            <w:r w:rsidRPr="000B66D7">
              <w:rPr>
                <w:szCs w:val="22"/>
              </w:rPr>
              <w:t xml:space="preserve">, kas izsniedz zvejas atļaujas un kontrolē zvejas darbības, kā arī zvejniekus, kas zvejo </w:t>
            </w:r>
            <w:r w:rsidR="00910147">
              <w:rPr>
                <w:szCs w:val="22"/>
              </w:rPr>
              <w:t>Salacgrīvas novada</w:t>
            </w:r>
            <w:r w:rsidR="00171254">
              <w:rPr>
                <w:szCs w:val="22"/>
              </w:rPr>
              <w:t xml:space="preserve"> un Mērsraga novada</w:t>
            </w:r>
            <w:r w:rsidR="00536E02">
              <w:rPr>
                <w:szCs w:val="22"/>
              </w:rPr>
              <w:t xml:space="preserve"> pašvaldīb</w:t>
            </w:r>
            <w:r w:rsidR="00171254">
              <w:rPr>
                <w:szCs w:val="22"/>
              </w:rPr>
              <w:t>u</w:t>
            </w:r>
            <w:r w:rsidR="00536E02">
              <w:rPr>
                <w:szCs w:val="22"/>
              </w:rPr>
              <w:t xml:space="preserve"> administratīv</w:t>
            </w:r>
            <w:r w:rsidR="00910147">
              <w:rPr>
                <w:szCs w:val="22"/>
              </w:rPr>
              <w:t>ās</w:t>
            </w:r>
            <w:r w:rsidR="00536E02">
              <w:rPr>
                <w:szCs w:val="22"/>
              </w:rPr>
              <w:t xml:space="preserve"> teritorij</w:t>
            </w:r>
            <w:r w:rsidR="00910147">
              <w:rPr>
                <w:szCs w:val="22"/>
              </w:rPr>
              <w:t>as</w:t>
            </w:r>
            <w:r w:rsidR="00536E02">
              <w:rPr>
                <w:szCs w:val="22"/>
              </w:rPr>
              <w:t xml:space="preserve"> jūras piekrastes ūdeņos</w:t>
            </w:r>
            <w:r w:rsidR="00C4087C">
              <w:rPr>
                <w:szCs w:val="22"/>
              </w:rPr>
              <w:t xml:space="preserve"> un pašpatēriņa zvejniekus.</w:t>
            </w:r>
          </w:p>
        </w:tc>
      </w:tr>
      <w:tr w:rsidR="0082484A" w:rsidRPr="00B3642D" w14:paraId="51A0A306" w14:textId="77777777" w:rsidTr="00735D9B">
        <w:trPr>
          <w:jc w:val="center"/>
        </w:trPr>
        <w:tc>
          <w:tcPr>
            <w:tcW w:w="396" w:type="dxa"/>
          </w:tcPr>
          <w:p w14:paraId="495F9514" w14:textId="77777777" w:rsidR="0082484A" w:rsidRPr="00960829" w:rsidRDefault="0082484A" w:rsidP="006F7405">
            <w:pPr>
              <w:pStyle w:val="naisf"/>
              <w:spacing w:before="0" w:after="0"/>
              <w:ind w:firstLine="0"/>
              <w:rPr>
                <w:sz w:val="22"/>
                <w:szCs w:val="22"/>
              </w:rPr>
            </w:pPr>
            <w:r w:rsidRPr="00960829">
              <w:rPr>
                <w:sz w:val="22"/>
                <w:szCs w:val="22"/>
              </w:rPr>
              <w:t>2.</w:t>
            </w:r>
          </w:p>
        </w:tc>
        <w:tc>
          <w:tcPr>
            <w:tcW w:w="2658" w:type="dxa"/>
          </w:tcPr>
          <w:p w14:paraId="72E6F801" w14:textId="77777777" w:rsidR="0082484A" w:rsidRPr="00960829" w:rsidRDefault="0082484A" w:rsidP="006F7405">
            <w:pPr>
              <w:pStyle w:val="naisf"/>
              <w:spacing w:before="0" w:after="0"/>
              <w:ind w:firstLine="0"/>
              <w:rPr>
                <w:sz w:val="22"/>
                <w:szCs w:val="22"/>
              </w:rPr>
            </w:pPr>
            <w:r w:rsidRPr="00960829">
              <w:rPr>
                <w:sz w:val="22"/>
                <w:szCs w:val="22"/>
              </w:rPr>
              <w:t>Tiesiskā regulējuma ietekme uz tautsaimniecību un administratīvo slogu</w:t>
            </w:r>
          </w:p>
        </w:tc>
        <w:tc>
          <w:tcPr>
            <w:tcW w:w="7289" w:type="dxa"/>
          </w:tcPr>
          <w:p w14:paraId="21C5331B" w14:textId="77777777" w:rsidR="000B66D7" w:rsidRPr="000B66D7" w:rsidRDefault="000B66D7" w:rsidP="006F7405">
            <w:pPr>
              <w:jc w:val="both"/>
              <w:rPr>
                <w:szCs w:val="22"/>
              </w:rPr>
            </w:pPr>
            <w:r w:rsidRPr="000B66D7">
              <w:rPr>
                <w:szCs w:val="22"/>
              </w:rPr>
              <w:t xml:space="preserve">Tiesiskais regulējums būtiski neietekmēs tautsaimniecības vai uzņēmējdarbības makroekonomiskos rādītājus. </w:t>
            </w:r>
          </w:p>
          <w:p w14:paraId="25464649" w14:textId="77777777" w:rsidR="000B66D7" w:rsidRPr="000B66D7" w:rsidRDefault="000B66D7" w:rsidP="006F7405">
            <w:pPr>
              <w:jc w:val="both"/>
              <w:rPr>
                <w:szCs w:val="22"/>
              </w:rPr>
            </w:pPr>
            <w:r w:rsidRPr="000B66D7">
              <w:rPr>
                <w:szCs w:val="22"/>
              </w:rPr>
              <w:t>Administratīvais slogs nemainās. Sabiedrības grupām un institūcijām projekta tiesiskais regulējums nemaina tiesības un pienākumus, ne arī veicamās darbības.</w:t>
            </w:r>
          </w:p>
          <w:p w14:paraId="14033032" w14:textId="77777777" w:rsidR="000B66D7" w:rsidRPr="000B66D7" w:rsidRDefault="00A2028F" w:rsidP="006F7405">
            <w:pPr>
              <w:jc w:val="both"/>
              <w:rPr>
                <w:szCs w:val="22"/>
              </w:rPr>
            </w:pPr>
            <w:r>
              <w:rPr>
                <w:szCs w:val="22"/>
              </w:rPr>
              <w:t>Tā kā p</w:t>
            </w:r>
            <w:r w:rsidR="000B66D7" w:rsidRPr="000B66D7">
              <w:rPr>
                <w:szCs w:val="22"/>
              </w:rPr>
              <w:t xml:space="preserve">ašpatēriņa zvejnieki saskaņā ar Zvejniecības likumu nedrīkst </w:t>
            </w:r>
            <w:r w:rsidR="00BE5AAC">
              <w:rPr>
                <w:szCs w:val="22"/>
              </w:rPr>
              <w:t>nodarboties ar</w:t>
            </w:r>
            <w:r w:rsidR="000B66D7" w:rsidRPr="000B66D7">
              <w:rPr>
                <w:szCs w:val="22"/>
              </w:rPr>
              <w:t xml:space="preserve"> komercdarbību</w:t>
            </w:r>
            <w:r>
              <w:rPr>
                <w:szCs w:val="22"/>
              </w:rPr>
              <w:t>, tie</w:t>
            </w:r>
            <w:r w:rsidR="000B66D7" w:rsidRPr="000B66D7">
              <w:rPr>
                <w:szCs w:val="22"/>
              </w:rPr>
              <w:t xml:space="preserve"> negūst ienākumus no zvejas, tāpēc tiem nerodas arī zaudējumi.</w:t>
            </w:r>
          </w:p>
          <w:p w14:paraId="595CA130" w14:textId="77777777" w:rsidR="009A2025" w:rsidRPr="00A1481E" w:rsidRDefault="00B47868" w:rsidP="006F7405">
            <w:pPr>
              <w:jc w:val="both"/>
              <w:rPr>
                <w:szCs w:val="22"/>
              </w:rPr>
            </w:pPr>
            <w:r>
              <w:rPr>
                <w:szCs w:val="22"/>
              </w:rPr>
              <w:lastRenderedPageBreak/>
              <w:t xml:space="preserve">Noteikumu projekts </w:t>
            </w:r>
            <w:r w:rsidR="00A1481E">
              <w:rPr>
                <w:szCs w:val="22"/>
              </w:rPr>
              <w:t xml:space="preserve">finansiāli nenozīmīgi ietekmēs piekrastes komerczvejniekus. Palielinoties apaļā jūrasgrunduļa zvejas iespējām, </w:t>
            </w:r>
            <w:r w:rsidR="002641D3">
              <w:rPr>
                <w:szCs w:val="22"/>
              </w:rPr>
              <w:t>iespējams,</w:t>
            </w:r>
            <w:r w:rsidR="00A1481E">
              <w:rPr>
                <w:szCs w:val="22"/>
              </w:rPr>
              <w:t xml:space="preserve"> p</w:t>
            </w:r>
            <w:r w:rsidR="00A2028F">
              <w:rPr>
                <w:szCs w:val="22"/>
              </w:rPr>
              <w:t>alielināsies arī</w:t>
            </w:r>
            <w:r w:rsidR="00A1481E">
              <w:rPr>
                <w:szCs w:val="22"/>
              </w:rPr>
              <w:t xml:space="preserve"> zvejnieku ienākumi no šo zivju pārdošanas.</w:t>
            </w:r>
          </w:p>
        </w:tc>
      </w:tr>
      <w:tr w:rsidR="0082484A" w:rsidRPr="00B3642D" w14:paraId="6DE47864" w14:textId="77777777" w:rsidTr="00735D9B">
        <w:trPr>
          <w:jc w:val="center"/>
        </w:trPr>
        <w:tc>
          <w:tcPr>
            <w:tcW w:w="396" w:type="dxa"/>
          </w:tcPr>
          <w:p w14:paraId="1A9B0F4C" w14:textId="77777777" w:rsidR="0082484A" w:rsidRPr="00960829" w:rsidRDefault="0082484A" w:rsidP="006F7405">
            <w:pPr>
              <w:pStyle w:val="naisf"/>
              <w:spacing w:before="0" w:after="0"/>
              <w:ind w:firstLine="0"/>
              <w:rPr>
                <w:sz w:val="22"/>
                <w:szCs w:val="22"/>
              </w:rPr>
            </w:pPr>
            <w:r w:rsidRPr="00960829">
              <w:rPr>
                <w:sz w:val="22"/>
                <w:szCs w:val="22"/>
              </w:rPr>
              <w:lastRenderedPageBreak/>
              <w:t>3.</w:t>
            </w:r>
          </w:p>
        </w:tc>
        <w:tc>
          <w:tcPr>
            <w:tcW w:w="2658" w:type="dxa"/>
          </w:tcPr>
          <w:p w14:paraId="49A6A296" w14:textId="77777777" w:rsidR="009F38AE" w:rsidRPr="00960829" w:rsidRDefault="0082484A" w:rsidP="006F7405">
            <w:pPr>
              <w:pStyle w:val="naisf"/>
              <w:spacing w:before="0" w:after="0"/>
              <w:ind w:firstLine="0"/>
              <w:rPr>
                <w:sz w:val="22"/>
                <w:szCs w:val="22"/>
              </w:rPr>
            </w:pPr>
            <w:r w:rsidRPr="00960829">
              <w:rPr>
                <w:sz w:val="22"/>
                <w:szCs w:val="22"/>
              </w:rPr>
              <w:t>Administratīvo izmaksu monetārs novērtējums</w:t>
            </w:r>
          </w:p>
        </w:tc>
        <w:tc>
          <w:tcPr>
            <w:tcW w:w="7289" w:type="dxa"/>
          </w:tcPr>
          <w:p w14:paraId="18B83561" w14:textId="77777777" w:rsidR="00615B31" w:rsidRPr="00B3642D" w:rsidRDefault="0082484A" w:rsidP="006F7405">
            <w:pPr>
              <w:pStyle w:val="naisf"/>
              <w:spacing w:before="0" w:after="0"/>
              <w:ind w:firstLine="0"/>
            </w:pPr>
            <w:r w:rsidRPr="00F20147">
              <w:t>Projekts šo jomu neskar</w:t>
            </w:r>
            <w:r w:rsidR="004C7C02">
              <w:t>.</w:t>
            </w:r>
            <w:r w:rsidR="006D497F" w:rsidRPr="00F20147">
              <w:t xml:space="preserve"> </w:t>
            </w:r>
          </w:p>
        </w:tc>
      </w:tr>
      <w:tr w:rsidR="000350D0" w:rsidRPr="00B3642D" w14:paraId="2CCEE729" w14:textId="77777777" w:rsidTr="00735D9B">
        <w:trPr>
          <w:jc w:val="center"/>
        </w:trPr>
        <w:tc>
          <w:tcPr>
            <w:tcW w:w="396" w:type="dxa"/>
          </w:tcPr>
          <w:p w14:paraId="70EB9055" w14:textId="77777777" w:rsidR="000350D0" w:rsidRPr="00960829" w:rsidRDefault="000350D0" w:rsidP="006F7405">
            <w:pPr>
              <w:pStyle w:val="naisf"/>
              <w:spacing w:before="0" w:after="0"/>
              <w:ind w:firstLine="0"/>
              <w:rPr>
                <w:sz w:val="22"/>
                <w:szCs w:val="22"/>
              </w:rPr>
            </w:pPr>
            <w:r w:rsidRPr="00960829">
              <w:rPr>
                <w:color w:val="414142"/>
                <w:sz w:val="22"/>
                <w:szCs w:val="22"/>
              </w:rPr>
              <w:t>4.</w:t>
            </w:r>
          </w:p>
        </w:tc>
        <w:tc>
          <w:tcPr>
            <w:tcW w:w="2658" w:type="dxa"/>
          </w:tcPr>
          <w:p w14:paraId="180CFE66" w14:textId="77777777" w:rsidR="009F38AE" w:rsidRPr="00960829" w:rsidRDefault="000350D0" w:rsidP="006F7405">
            <w:pPr>
              <w:pStyle w:val="naisf"/>
              <w:spacing w:before="0" w:after="0"/>
              <w:ind w:firstLine="0"/>
              <w:rPr>
                <w:sz w:val="22"/>
                <w:szCs w:val="22"/>
              </w:rPr>
            </w:pPr>
            <w:r w:rsidRPr="00960829">
              <w:rPr>
                <w:sz w:val="22"/>
                <w:szCs w:val="22"/>
              </w:rPr>
              <w:t>Atbilstības izmaksu monetārs novērtējums</w:t>
            </w:r>
          </w:p>
        </w:tc>
        <w:tc>
          <w:tcPr>
            <w:tcW w:w="7289" w:type="dxa"/>
          </w:tcPr>
          <w:p w14:paraId="458849B9" w14:textId="77777777" w:rsidR="00F20147" w:rsidRPr="00F20147" w:rsidRDefault="00F20147" w:rsidP="006F7405">
            <w:pPr>
              <w:pStyle w:val="naisf"/>
              <w:spacing w:before="0" w:after="0"/>
              <w:ind w:firstLine="0"/>
            </w:pPr>
            <w:r w:rsidRPr="00F20147">
              <w:t>Projekts šo jomu neskar</w:t>
            </w:r>
            <w:r w:rsidR="004C7C02">
              <w:t>.</w:t>
            </w:r>
            <w:r w:rsidRPr="00F20147">
              <w:t xml:space="preserve"> </w:t>
            </w:r>
          </w:p>
          <w:p w14:paraId="188120AA" w14:textId="77777777" w:rsidR="000350D0" w:rsidRPr="006D497F" w:rsidRDefault="000350D0" w:rsidP="006F7405">
            <w:pPr>
              <w:pStyle w:val="naisf"/>
              <w:spacing w:before="0" w:after="0"/>
              <w:ind w:firstLine="0"/>
              <w:rPr>
                <w:highlight w:val="yellow"/>
              </w:rPr>
            </w:pPr>
          </w:p>
        </w:tc>
      </w:tr>
      <w:tr w:rsidR="0082484A" w:rsidRPr="00B3642D" w14:paraId="44A0165B" w14:textId="77777777" w:rsidTr="00735D9B">
        <w:trPr>
          <w:jc w:val="center"/>
        </w:trPr>
        <w:tc>
          <w:tcPr>
            <w:tcW w:w="396" w:type="dxa"/>
          </w:tcPr>
          <w:p w14:paraId="1886DBBA" w14:textId="77777777" w:rsidR="0082484A" w:rsidRPr="00960829" w:rsidRDefault="00D16F90" w:rsidP="006F7405">
            <w:pPr>
              <w:pStyle w:val="naisf"/>
              <w:spacing w:before="0" w:after="0"/>
              <w:ind w:firstLine="0"/>
              <w:rPr>
                <w:sz w:val="22"/>
                <w:szCs w:val="22"/>
              </w:rPr>
            </w:pPr>
            <w:r w:rsidRPr="00960829">
              <w:rPr>
                <w:sz w:val="22"/>
                <w:szCs w:val="22"/>
              </w:rPr>
              <w:t>5</w:t>
            </w:r>
            <w:r w:rsidR="0082484A" w:rsidRPr="00960829">
              <w:rPr>
                <w:sz w:val="22"/>
                <w:szCs w:val="22"/>
              </w:rPr>
              <w:t>.</w:t>
            </w:r>
          </w:p>
        </w:tc>
        <w:tc>
          <w:tcPr>
            <w:tcW w:w="2658" w:type="dxa"/>
          </w:tcPr>
          <w:p w14:paraId="08A81B28" w14:textId="77777777" w:rsidR="009F38AE" w:rsidRPr="00960829" w:rsidRDefault="0082484A" w:rsidP="006F7405">
            <w:pPr>
              <w:pStyle w:val="naisf"/>
              <w:spacing w:before="0" w:after="0"/>
              <w:ind w:firstLine="0"/>
              <w:rPr>
                <w:sz w:val="22"/>
                <w:szCs w:val="22"/>
              </w:rPr>
            </w:pPr>
            <w:r w:rsidRPr="00960829">
              <w:rPr>
                <w:sz w:val="22"/>
                <w:szCs w:val="22"/>
              </w:rPr>
              <w:t>Cita informācija</w:t>
            </w:r>
          </w:p>
        </w:tc>
        <w:tc>
          <w:tcPr>
            <w:tcW w:w="7289" w:type="dxa"/>
          </w:tcPr>
          <w:p w14:paraId="342683EE" w14:textId="77777777" w:rsidR="0082484A" w:rsidRPr="00B3642D" w:rsidRDefault="0082484A" w:rsidP="006F7405">
            <w:pPr>
              <w:pStyle w:val="naisf"/>
              <w:spacing w:before="0" w:after="0"/>
              <w:ind w:firstLine="0"/>
            </w:pPr>
            <w:r w:rsidRPr="00B3642D">
              <w:t>Nav</w:t>
            </w:r>
            <w:r w:rsidR="004C7C02">
              <w:t>.</w:t>
            </w:r>
          </w:p>
        </w:tc>
      </w:tr>
    </w:tbl>
    <w:p w14:paraId="4C86732E" w14:textId="77777777" w:rsidR="00D16F90" w:rsidRDefault="00D16F90" w:rsidP="006F7405">
      <w:pPr>
        <w:pStyle w:val="naisf"/>
        <w:spacing w:before="0" w:after="0"/>
        <w:ind w:firstLine="0"/>
        <w:rPr>
          <w:sz w:val="16"/>
          <w:szCs w:val="16"/>
        </w:rPr>
      </w:pPr>
    </w:p>
    <w:p w14:paraId="5CFD888C" w14:textId="77777777" w:rsidR="000F43FB" w:rsidRDefault="000F43FB" w:rsidP="006F7405">
      <w:pPr>
        <w:pStyle w:val="naisf"/>
        <w:spacing w:before="0" w:after="0"/>
        <w:ind w:firstLine="0"/>
        <w:rPr>
          <w:sz w:val="16"/>
          <w:szCs w:val="16"/>
        </w:rPr>
      </w:pPr>
    </w:p>
    <w:tbl>
      <w:tblPr>
        <w:tblW w:w="5714" w:type="pct"/>
        <w:jc w:val="center"/>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86"/>
        <w:gridCol w:w="908"/>
        <w:gridCol w:w="917"/>
        <w:gridCol w:w="902"/>
        <w:gridCol w:w="1142"/>
        <w:gridCol w:w="909"/>
        <w:gridCol w:w="1142"/>
        <w:gridCol w:w="1142"/>
      </w:tblGrid>
      <w:tr w:rsidR="007C6DC9" w:rsidRPr="008D7E3C" w14:paraId="24AF0D36" w14:textId="77777777" w:rsidTr="004C5845">
        <w:trPr>
          <w:jc w:val="center"/>
        </w:trPr>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6C3EBA" w14:textId="77777777" w:rsidR="007C6DC9" w:rsidRPr="008D7E3C" w:rsidRDefault="007C6DC9" w:rsidP="006F7405">
            <w:pPr>
              <w:jc w:val="center"/>
              <w:rPr>
                <w:b/>
                <w:bCs/>
              </w:rPr>
            </w:pPr>
            <w:r w:rsidRPr="008D7E3C">
              <w:rPr>
                <w:b/>
                <w:bCs/>
              </w:rPr>
              <w:t xml:space="preserve">III. </w:t>
            </w:r>
            <w:r w:rsidRPr="00C85510">
              <w:rPr>
                <w:b/>
                <w:bCs/>
              </w:rPr>
              <w:t>Tiesību akta projekta ietekme uz valsts budžetu un pašvaldību budžetiem</w:t>
            </w:r>
          </w:p>
        </w:tc>
      </w:tr>
      <w:tr w:rsidR="007C6DC9" w:rsidRPr="008D7E3C" w14:paraId="3696A932" w14:textId="77777777" w:rsidTr="007C6DC9">
        <w:trPr>
          <w:jc w:val="center"/>
        </w:trPr>
        <w:tc>
          <w:tcPr>
            <w:tcW w:w="158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A8776" w14:textId="77777777" w:rsidR="007C6DC9" w:rsidRPr="008D7E3C" w:rsidRDefault="007C6DC9" w:rsidP="006F7405">
            <w:pPr>
              <w:jc w:val="center"/>
              <w:rPr>
                <w:sz w:val="22"/>
                <w:szCs w:val="22"/>
              </w:rPr>
            </w:pPr>
            <w:r w:rsidRPr="008D7E3C">
              <w:rPr>
                <w:sz w:val="22"/>
                <w:szCs w:val="22"/>
              </w:rPr>
              <w:t>Rādītāji</w:t>
            </w:r>
          </w:p>
        </w:tc>
        <w:tc>
          <w:tcPr>
            <w:tcW w:w="882"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BB892" w14:textId="4F2F7EE8" w:rsidR="007C6DC9" w:rsidRPr="008D7E3C" w:rsidRDefault="007C6DC9" w:rsidP="006F7405">
            <w:pPr>
              <w:jc w:val="center"/>
              <w:rPr>
                <w:sz w:val="22"/>
                <w:szCs w:val="22"/>
              </w:rPr>
            </w:pPr>
            <w:r w:rsidRPr="008D7E3C">
              <w:rPr>
                <w:sz w:val="22"/>
                <w:szCs w:val="22"/>
              </w:rPr>
              <w:t>20</w:t>
            </w:r>
            <w:r w:rsidR="00367006">
              <w:rPr>
                <w:sz w:val="22"/>
                <w:szCs w:val="22"/>
              </w:rPr>
              <w:t>20</w:t>
            </w:r>
            <w:r w:rsidRPr="008D7E3C">
              <w:rPr>
                <w:sz w:val="22"/>
                <w:szCs w:val="22"/>
              </w:rPr>
              <w:t>.gads</w:t>
            </w:r>
          </w:p>
        </w:tc>
        <w:tc>
          <w:tcPr>
            <w:tcW w:w="2530"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498CD" w14:textId="77777777" w:rsidR="007C6DC9" w:rsidRPr="008D7E3C" w:rsidRDefault="007C6DC9" w:rsidP="006F7405">
            <w:pPr>
              <w:jc w:val="center"/>
              <w:rPr>
                <w:sz w:val="22"/>
                <w:szCs w:val="22"/>
              </w:rPr>
            </w:pPr>
            <w:r w:rsidRPr="008D7E3C">
              <w:rPr>
                <w:sz w:val="22"/>
                <w:szCs w:val="22"/>
              </w:rPr>
              <w:t>Turpmākie trīs gadi (</w:t>
            </w:r>
            <w:r w:rsidRPr="008D7E3C">
              <w:rPr>
                <w:i/>
                <w:iCs/>
                <w:sz w:val="22"/>
                <w:szCs w:val="22"/>
              </w:rPr>
              <w:t>euro</w:t>
            </w:r>
            <w:r w:rsidRPr="008D7E3C">
              <w:rPr>
                <w:sz w:val="22"/>
                <w:szCs w:val="22"/>
              </w:rPr>
              <w:t>)</w:t>
            </w:r>
          </w:p>
        </w:tc>
      </w:tr>
      <w:tr w:rsidR="007C6DC9" w:rsidRPr="008D7E3C" w14:paraId="5EAA05C9" w14:textId="77777777"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E5A9E5" w14:textId="77777777" w:rsidR="007C6DC9" w:rsidRPr="008D7E3C" w:rsidRDefault="007C6DC9" w:rsidP="006F7405">
            <w:pPr>
              <w:rPr>
                <w:sz w:val="22"/>
                <w:szCs w:val="22"/>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B3A204" w14:textId="77777777" w:rsidR="007C6DC9" w:rsidRPr="008D7E3C" w:rsidRDefault="007C6DC9" w:rsidP="006F7405">
            <w:pPr>
              <w:rPr>
                <w:sz w:val="22"/>
                <w:szCs w:val="22"/>
              </w:rPr>
            </w:pPr>
          </w:p>
        </w:tc>
        <w:tc>
          <w:tcPr>
            <w:tcW w:w="988"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5B358B" w14:textId="49E59929" w:rsidR="007C6DC9" w:rsidRPr="008D7E3C" w:rsidRDefault="007C6DC9" w:rsidP="006F7405">
            <w:pPr>
              <w:jc w:val="center"/>
              <w:rPr>
                <w:sz w:val="22"/>
                <w:szCs w:val="22"/>
              </w:rPr>
            </w:pPr>
            <w:r w:rsidRPr="008D7E3C">
              <w:rPr>
                <w:sz w:val="22"/>
                <w:szCs w:val="22"/>
              </w:rPr>
              <w:t>20</w:t>
            </w:r>
            <w:r w:rsidR="004C5845">
              <w:rPr>
                <w:sz w:val="22"/>
                <w:szCs w:val="22"/>
              </w:rPr>
              <w:t>2</w:t>
            </w:r>
            <w:r w:rsidR="00367006">
              <w:rPr>
                <w:sz w:val="22"/>
                <w:szCs w:val="22"/>
              </w:rPr>
              <w:t>1</w:t>
            </w:r>
          </w:p>
        </w:tc>
        <w:tc>
          <w:tcPr>
            <w:tcW w:w="991"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1D0EA" w14:textId="6FDDF1E6" w:rsidR="007C6DC9" w:rsidRPr="008D7E3C" w:rsidRDefault="007C6DC9" w:rsidP="006F7405">
            <w:pPr>
              <w:jc w:val="center"/>
              <w:rPr>
                <w:sz w:val="22"/>
                <w:szCs w:val="22"/>
              </w:rPr>
            </w:pPr>
            <w:r w:rsidRPr="008D7E3C">
              <w:rPr>
                <w:sz w:val="22"/>
                <w:szCs w:val="22"/>
              </w:rPr>
              <w:t>202</w:t>
            </w:r>
            <w:r w:rsidR="00367006">
              <w:rPr>
                <w:sz w:val="22"/>
                <w:szCs w:val="22"/>
              </w:rPr>
              <w:t>2</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87C6B" w14:textId="04B4AA13" w:rsidR="007C6DC9" w:rsidRPr="008D7E3C" w:rsidRDefault="007C6DC9" w:rsidP="006F7405">
            <w:pPr>
              <w:jc w:val="center"/>
              <w:rPr>
                <w:sz w:val="22"/>
                <w:szCs w:val="22"/>
              </w:rPr>
            </w:pPr>
            <w:r w:rsidRPr="008D7E3C">
              <w:rPr>
                <w:sz w:val="22"/>
                <w:szCs w:val="22"/>
              </w:rPr>
              <w:t>202</w:t>
            </w:r>
            <w:r w:rsidR="00367006">
              <w:rPr>
                <w:sz w:val="22"/>
                <w:szCs w:val="22"/>
              </w:rPr>
              <w:t>3</w:t>
            </w:r>
          </w:p>
        </w:tc>
      </w:tr>
      <w:tr w:rsidR="007C6DC9" w:rsidRPr="008D7E3C" w14:paraId="225B1EAD" w14:textId="77777777" w:rsidTr="007C6DC9">
        <w:trPr>
          <w:jc w:val="center"/>
        </w:trPr>
        <w:tc>
          <w:tcPr>
            <w:tcW w:w="158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ACE608" w14:textId="77777777" w:rsidR="007C6DC9" w:rsidRPr="008D7E3C" w:rsidRDefault="007C6DC9" w:rsidP="006F7405">
            <w:pPr>
              <w:rPr>
                <w:sz w:val="22"/>
                <w:szCs w:val="22"/>
              </w:rPr>
            </w:pP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019DF7" w14:textId="77777777" w:rsidR="007C6DC9" w:rsidRPr="008D7E3C" w:rsidRDefault="007C6DC9" w:rsidP="006F7405">
            <w:pPr>
              <w:jc w:val="center"/>
              <w:rPr>
                <w:sz w:val="22"/>
                <w:szCs w:val="22"/>
              </w:rPr>
            </w:pPr>
            <w:r w:rsidRPr="008D7E3C">
              <w:rPr>
                <w:sz w:val="22"/>
                <w:szCs w:val="22"/>
              </w:rPr>
              <w:t>saskaņā ar valsts budžetu kārtējam gadam</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15FD80" w14:textId="77777777" w:rsidR="007C6DC9" w:rsidRPr="008D7E3C" w:rsidRDefault="007C6DC9" w:rsidP="006F7405">
            <w:pPr>
              <w:jc w:val="center"/>
              <w:rPr>
                <w:sz w:val="22"/>
                <w:szCs w:val="22"/>
              </w:rPr>
            </w:pPr>
            <w:r w:rsidRPr="008D7E3C">
              <w:rPr>
                <w:sz w:val="22"/>
                <w:szCs w:val="22"/>
              </w:rPr>
              <w:t>izmaiņas kārtējā gadā, salīdzinot ar valsts budžetu kārtējam gadam</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AD937" w14:textId="77777777" w:rsidR="007C6DC9" w:rsidRPr="008D7E3C" w:rsidRDefault="007C6DC9" w:rsidP="006F7405">
            <w:pPr>
              <w:jc w:val="center"/>
              <w:rPr>
                <w:sz w:val="22"/>
                <w:szCs w:val="22"/>
              </w:rPr>
            </w:pPr>
            <w:r w:rsidRPr="008D7E3C">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5BD1EB" w14:textId="3596E262" w:rsidR="007C6DC9" w:rsidRPr="00840329" w:rsidRDefault="007C6DC9" w:rsidP="006F7405">
            <w:pPr>
              <w:jc w:val="center"/>
              <w:rPr>
                <w:sz w:val="22"/>
                <w:szCs w:val="22"/>
              </w:rPr>
            </w:pPr>
            <w:r w:rsidRPr="00840329">
              <w:rPr>
                <w:sz w:val="22"/>
                <w:szCs w:val="22"/>
              </w:rPr>
              <w:t>izmaiņas, salīdzinot ar vidēja termiņa budžeta ietvaru 20</w:t>
            </w:r>
            <w:r w:rsidR="004C5845" w:rsidRPr="00840329">
              <w:rPr>
                <w:sz w:val="22"/>
                <w:szCs w:val="22"/>
              </w:rPr>
              <w:t>2</w:t>
            </w:r>
            <w:r w:rsidR="00840329" w:rsidRPr="00840329">
              <w:rPr>
                <w:sz w:val="22"/>
                <w:szCs w:val="22"/>
              </w:rPr>
              <w:t>1</w:t>
            </w:r>
            <w:r w:rsidRPr="00840329">
              <w:rPr>
                <w:sz w:val="22"/>
                <w:szCs w:val="22"/>
              </w:rPr>
              <w:t>.gadam</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911463" w14:textId="77777777" w:rsidR="007C6DC9" w:rsidRPr="00840329" w:rsidRDefault="007C6DC9" w:rsidP="006F7405">
            <w:pPr>
              <w:jc w:val="center"/>
              <w:rPr>
                <w:sz w:val="22"/>
                <w:szCs w:val="22"/>
              </w:rPr>
            </w:pPr>
            <w:r w:rsidRPr="00840329">
              <w:rPr>
                <w:sz w:val="22"/>
                <w:szCs w:val="22"/>
              </w:rPr>
              <w:t>saskaņā ar vidēja termiņa budžeta ietvaru</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80902" w14:textId="21AECD40" w:rsidR="007C6DC9" w:rsidRPr="00840329" w:rsidRDefault="007C6DC9" w:rsidP="006F7405">
            <w:pPr>
              <w:jc w:val="center"/>
              <w:rPr>
                <w:sz w:val="22"/>
                <w:szCs w:val="22"/>
              </w:rPr>
            </w:pPr>
            <w:r w:rsidRPr="00840329">
              <w:rPr>
                <w:sz w:val="22"/>
                <w:szCs w:val="22"/>
              </w:rPr>
              <w:t>izmaiņas, salīdzinot ar vidēja termiņa budžeta ietvaru 202</w:t>
            </w:r>
            <w:r w:rsidR="00840329" w:rsidRPr="00840329">
              <w:rPr>
                <w:sz w:val="22"/>
                <w:szCs w:val="22"/>
              </w:rPr>
              <w:t>2</w:t>
            </w:r>
            <w:r w:rsidRPr="00840329">
              <w:rPr>
                <w:sz w:val="22"/>
                <w:szCs w:val="22"/>
              </w:rPr>
              <w:t>.gadam</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0E72EA" w14:textId="357EF51A" w:rsidR="007C6DC9" w:rsidRPr="00840329" w:rsidRDefault="007C6DC9" w:rsidP="006F7405">
            <w:pPr>
              <w:jc w:val="center"/>
              <w:rPr>
                <w:sz w:val="22"/>
                <w:szCs w:val="22"/>
              </w:rPr>
            </w:pPr>
            <w:r w:rsidRPr="00840329">
              <w:rPr>
                <w:sz w:val="22"/>
                <w:szCs w:val="22"/>
              </w:rPr>
              <w:t>izmaiņas, salīdzinot ar vidēja termiņa budžeta ietvaru 202</w:t>
            </w:r>
            <w:r w:rsidR="00840329" w:rsidRPr="00840329">
              <w:rPr>
                <w:sz w:val="22"/>
                <w:szCs w:val="22"/>
              </w:rPr>
              <w:t>2</w:t>
            </w:r>
            <w:r w:rsidRPr="00840329">
              <w:rPr>
                <w:sz w:val="22"/>
                <w:szCs w:val="22"/>
              </w:rPr>
              <w:t>.gadam</w:t>
            </w:r>
          </w:p>
        </w:tc>
      </w:tr>
      <w:tr w:rsidR="007C6DC9" w:rsidRPr="008D7E3C" w14:paraId="6881700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B49803" w14:textId="77777777" w:rsidR="007C6DC9" w:rsidRPr="008D7E3C" w:rsidRDefault="007C6DC9" w:rsidP="006F7405">
            <w:pPr>
              <w:jc w:val="center"/>
            </w:pPr>
            <w:r w:rsidRPr="008D7E3C">
              <w:t>1</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385CCE" w14:textId="77777777" w:rsidR="007C6DC9" w:rsidRPr="008D7E3C" w:rsidRDefault="007C6DC9" w:rsidP="006F7405">
            <w:pPr>
              <w:jc w:val="center"/>
            </w:pPr>
            <w:r w:rsidRPr="008D7E3C">
              <w:t>2</w:t>
            </w:r>
          </w:p>
        </w:tc>
        <w:tc>
          <w:tcPr>
            <w:tcW w:w="4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4D2563" w14:textId="77777777" w:rsidR="007C6DC9" w:rsidRPr="008D7E3C" w:rsidRDefault="007C6DC9" w:rsidP="006F7405">
            <w:pPr>
              <w:jc w:val="center"/>
            </w:pPr>
            <w:r w:rsidRPr="008D7E3C">
              <w:t>3</w:t>
            </w:r>
          </w:p>
        </w:tc>
        <w:tc>
          <w:tcPr>
            <w:tcW w:w="4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02154" w14:textId="77777777" w:rsidR="007C6DC9" w:rsidRPr="008D7E3C" w:rsidRDefault="007C6DC9" w:rsidP="006F7405">
            <w:pPr>
              <w:jc w:val="center"/>
            </w:pPr>
            <w:r w:rsidRPr="008D7E3C">
              <w:t>4</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B6F9A" w14:textId="77777777" w:rsidR="007C6DC9" w:rsidRPr="008D7E3C" w:rsidRDefault="007C6DC9" w:rsidP="006F7405">
            <w:pPr>
              <w:jc w:val="center"/>
            </w:pPr>
            <w:r w:rsidRPr="008D7E3C">
              <w:t>5</w:t>
            </w:r>
          </w:p>
        </w:tc>
        <w:tc>
          <w:tcPr>
            <w:tcW w:w="43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6549DA" w14:textId="77777777" w:rsidR="007C6DC9" w:rsidRPr="008D7E3C" w:rsidRDefault="007C6DC9" w:rsidP="006F7405">
            <w:pPr>
              <w:jc w:val="center"/>
            </w:pPr>
            <w:r w:rsidRPr="008D7E3C">
              <w:t>6</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CF010B" w14:textId="77777777" w:rsidR="007C6DC9" w:rsidRPr="008D7E3C" w:rsidRDefault="007C6DC9" w:rsidP="006F7405">
            <w:pPr>
              <w:jc w:val="center"/>
            </w:pPr>
            <w:r w:rsidRPr="008D7E3C">
              <w:t>7</w:t>
            </w:r>
          </w:p>
        </w:tc>
        <w:tc>
          <w:tcPr>
            <w:tcW w:w="5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67DC75" w14:textId="77777777" w:rsidR="007C6DC9" w:rsidRPr="008D7E3C" w:rsidRDefault="007C6DC9" w:rsidP="006F7405">
            <w:pPr>
              <w:jc w:val="center"/>
            </w:pPr>
            <w:r w:rsidRPr="008D7E3C">
              <w:t>8</w:t>
            </w:r>
          </w:p>
        </w:tc>
      </w:tr>
      <w:tr w:rsidR="007C6DC9" w:rsidRPr="008D7E3C" w14:paraId="2A31AD79"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8B4DD72" w14:textId="77777777" w:rsidR="007C6DC9" w:rsidRPr="008D7E3C" w:rsidRDefault="007C6DC9" w:rsidP="006F7405">
            <w:pPr>
              <w:rPr>
                <w:sz w:val="22"/>
                <w:szCs w:val="22"/>
              </w:rPr>
            </w:pPr>
            <w:r w:rsidRPr="008D7E3C">
              <w:rPr>
                <w:sz w:val="22"/>
                <w:szCs w:val="22"/>
              </w:rPr>
              <w:t>1. Budžeta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DA02AC4" w14:textId="77777777" w:rsidR="007C6DC9" w:rsidRPr="00C85510" w:rsidRDefault="007C6DC9" w:rsidP="006F7405">
            <w:pPr>
              <w:jc w:val="center"/>
            </w:pPr>
            <w:r w:rsidRPr="00C85510">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4957E90" w14:textId="77777777" w:rsidR="007C6DC9" w:rsidRPr="00C85510" w:rsidRDefault="007C6DC9" w:rsidP="006F7405">
            <w:pPr>
              <w:jc w:val="center"/>
            </w:pPr>
            <w:r w:rsidRPr="00C85510">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56254097" w14:textId="77777777" w:rsidR="007C6DC9" w:rsidRPr="008D7E3C" w:rsidRDefault="007C6DC9"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2BB85F" w14:textId="473B3F11" w:rsidR="007C6DC9" w:rsidRPr="008D7E3C" w:rsidRDefault="00840329" w:rsidP="00FC6FF6">
            <w:pPr>
              <w:jc w:val="center"/>
            </w:pPr>
            <w:r>
              <w:t>-</w:t>
            </w:r>
            <w:r w:rsidR="00FC6FF6">
              <w:t>228</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E4CF459" w14:textId="77777777" w:rsidR="007C6DC9" w:rsidRPr="008D7E3C" w:rsidRDefault="007C6DC9"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946BA1A" w14:textId="325994AA" w:rsidR="007C6DC9" w:rsidRPr="008D7E3C" w:rsidRDefault="00840329" w:rsidP="00FC6FF6">
            <w:pPr>
              <w:jc w:val="center"/>
            </w:pPr>
            <w:r>
              <w:t>-</w:t>
            </w:r>
            <w:r w:rsidR="00FC6FF6">
              <w:t>228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95E1AA9" w14:textId="18976715" w:rsidR="007C6DC9" w:rsidRPr="008D7E3C" w:rsidRDefault="00840329" w:rsidP="00FC6FF6">
            <w:pPr>
              <w:jc w:val="center"/>
            </w:pPr>
            <w:r>
              <w:t>-</w:t>
            </w:r>
            <w:r w:rsidR="00FC6FF6">
              <w:t>228</w:t>
            </w:r>
          </w:p>
        </w:tc>
      </w:tr>
      <w:tr w:rsidR="007C6DC9" w:rsidRPr="008D7E3C" w14:paraId="67ABA70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ED8B9F9" w14:textId="77777777" w:rsidR="007C6DC9" w:rsidRPr="008D7E3C" w:rsidRDefault="007C6DC9" w:rsidP="006F7405">
            <w:pPr>
              <w:rPr>
                <w:sz w:val="22"/>
                <w:szCs w:val="22"/>
              </w:rPr>
            </w:pPr>
            <w:r w:rsidRPr="008D7E3C">
              <w:rPr>
                <w:sz w:val="22"/>
                <w:szCs w:val="22"/>
              </w:rPr>
              <w:t>1.1. valsts pamatbudžets, tai skaitā ieņēmumi no maksas pakalpojumiem un citi pašu ieņēmumi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B635614" w14:textId="77777777" w:rsidR="007C6DC9" w:rsidRPr="008D7E3C" w:rsidRDefault="007C6DC9" w:rsidP="006F7405">
            <w:pPr>
              <w:jc w:val="center"/>
            </w:pPr>
            <w:r w:rsidRPr="008D7E3C">
              <w:t>255 000</w:t>
            </w:r>
          </w:p>
          <w:p w14:paraId="5CEA2830" w14:textId="77777777" w:rsidR="007C6DC9" w:rsidRPr="008D7E3C" w:rsidRDefault="007C6DC9"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E149B12"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178DCF05" w14:textId="77777777" w:rsidR="007C6DC9" w:rsidRPr="008D7E3C" w:rsidRDefault="007C6DC9" w:rsidP="006F7405">
            <w:pPr>
              <w:jc w:val="center"/>
            </w:pPr>
            <w:r w:rsidRPr="008D7E3C">
              <w:t>255 000</w:t>
            </w:r>
          </w:p>
          <w:p w14:paraId="364B9F40" w14:textId="77777777" w:rsidR="007C6DC9" w:rsidRPr="008D7E3C" w:rsidRDefault="007C6DC9" w:rsidP="006F740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E292914" w14:textId="65B4D510" w:rsidR="007C6DC9" w:rsidRPr="008D7E3C" w:rsidRDefault="00840329" w:rsidP="00FC6FF6">
            <w:pPr>
              <w:jc w:val="center"/>
            </w:pPr>
            <w:r>
              <w:t>-</w:t>
            </w:r>
            <w:r w:rsidR="00FC6FF6">
              <w:t>68</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C199B09" w14:textId="77777777" w:rsidR="007C6DC9" w:rsidRPr="008D7E3C" w:rsidRDefault="007C6DC9" w:rsidP="006F7405">
            <w:pPr>
              <w:jc w:val="center"/>
            </w:pPr>
            <w:r w:rsidRPr="008D7E3C">
              <w:t>255 000</w:t>
            </w:r>
          </w:p>
          <w:p w14:paraId="5D5DA001" w14:textId="77777777" w:rsidR="007C6DC9" w:rsidRPr="008D7E3C" w:rsidRDefault="007C6DC9" w:rsidP="006F7405">
            <w:pPr>
              <w:jc w:val="center"/>
            </w:pP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BD02A3E" w14:textId="3498F2B5" w:rsidR="007C6DC9" w:rsidRPr="008D7E3C" w:rsidRDefault="00840329" w:rsidP="00FC6FF6">
            <w:pPr>
              <w:jc w:val="center"/>
            </w:pPr>
            <w:r>
              <w:t>-</w:t>
            </w:r>
            <w:r w:rsidR="00FC6FF6">
              <w:t>68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BF16B3C" w14:textId="0A56E1C3" w:rsidR="007C6DC9" w:rsidRPr="008D7E3C" w:rsidRDefault="00840329" w:rsidP="00FC6FF6">
            <w:pPr>
              <w:jc w:val="center"/>
            </w:pPr>
            <w:r>
              <w:t>-</w:t>
            </w:r>
            <w:r w:rsidR="00FC6FF6">
              <w:t>68</w:t>
            </w:r>
          </w:p>
        </w:tc>
      </w:tr>
      <w:tr w:rsidR="007C6DC9" w:rsidRPr="008D7E3C" w14:paraId="35AE1668"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F3477C9" w14:textId="77777777" w:rsidR="007C6DC9" w:rsidRPr="008D7E3C" w:rsidRDefault="007C6DC9" w:rsidP="006F7405">
            <w:pPr>
              <w:rPr>
                <w:sz w:val="22"/>
                <w:szCs w:val="22"/>
              </w:rPr>
            </w:pPr>
            <w:r w:rsidRPr="008D7E3C">
              <w:rPr>
                <w:sz w:val="22"/>
                <w:szCs w:val="22"/>
              </w:rPr>
              <w:t>1.2.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AE44098" w14:textId="77777777" w:rsidR="007C6DC9" w:rsidRPr="008D7E3C" w:rsidRDefault="007C6DC9"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18EFA9D"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5310205"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427615F" w14:textId="77777777" w:rsidR="007C6DC9" w:rsidRPr="008D7E3C" w:rsidRDefault="007C6DC9"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15CF3981"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9DDC1FC"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B67BC42" w14:textId="77777777" w:rsidR="007C6DC9" w:rsidRPr="008D7E3C" w:rsidRDefault="007C6DC9" w:rsidP="006F7405">
            <w:pPr>
              <w:jc w:val="center"/>
            </w:pPr>
            <w:r w:rsidRPr="008D7E3C">
              <w:t>0</w:t>
            </w:r>
          </w:p>
        </w:tc>
      </w:tr>
      <w:tr w:rsidR="007C6DC9" w:rsidRPr="008D7E3C" w14:paraId="0EFB27C1"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729E52DE" w14:textId="77777777" w:rsidR="007C6DC9" w:rsidRPr="008D7E3C" w:rsidRDefault="007C6DC9" w:rsidP="006F7405">
            <w:pPr>
              <w:rPr>
                <w:sz w:val="22"/>
                <w:szCs w:val="22"/>
              </w:rPr>
            </w:pPr>
            <w:r w:rsidRPr="008D7E3C">
              <w:rPr>
                <w:sz w:val="22"/>
                <w:szCs w:val="22"/>
              </w:rPr>
              <w:t>1.3.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EDE0C9A" w14:textId="77777777" w:rsidR="007C6DC9" w:rsidRPr="008D7E3C" w:rsidRDefault="007C6DC9" w:rsidP="006F7405">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79656D2"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D8D9F31" w14:textId="77777777" w:rsidR="007C6DC9" w:rsidRPr="008D7E3C" w:rsidRDefault="007C6DC9"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D20D9AB" w14:textId="3B142B5C" w:rsidR="007C6DC9" w:rsidRPr="008D7E3C" w:rsidRDefault="00840329" w:rsidP="00FC6FF6">
            <w:pPr>
              <w:jc w:val="center"/>
            </w:pPr>
            <w:r>
              <w:t>-</w:t>
            </w:r>
            <w:r w:rsidR="00FC6FF6">
              <w:t>160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04B37CF" w14:textId="77777777" w:rsidR="007C6DC9" w:rsidRPr="008D7E3C" w:rsidRDefault="007C6DC9"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0A8CD01" w14:textId="64F4966C" w:rsidR="007C6DC9" w:rsidRPr="008D7E3C" w:rsidRDefault="00840329" w:rsidP="00FC6FF6">
            <w:pPr>
              <w:jc w:val="center"/>
            </w:pPr>
            <w:r>
              <w:t>-</w:t>
            </w:r>
            <w:r w:rsidR="00FC6FF6">
              <w:t>160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6CD59D0" w14:textId="2E539541" w:rsidR="007C6DC9" w:rsidRPr="008D7E3C" w:rsidRDefault="00840329" w:rsidP="00FC6FF6">
            <w:pPr>
              <w:jc w:val="center"/>
            </w:pPr>
            <w:r>
              <w:t>-</w:t>
            </w:r>
            <w:r w:rsidR="00FC6FF6">
              <w:t>160</w:t>
            </w:r>
          </w:p>
        </w:tc>
      </w:tr>
      <w:tr w:rsidR="009E5887" w:rsidRPr="008D7E3C" w14:paraId="2ACBAF98"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430CA83" w14:textId="77777777" w:rsidR="009E5887" w:rsidRPr="008D7E3C" w:rsidRDefault="009E5887" w:rsidP="006F7405">
            <w:pPr>
              <w:rPr>
                <w:sz w:val="22"/>
                <w:szCs w:val="22"/>
              </w:rPr>
            </w:pPr>
            <w:r w:rsidRPr="008D7E3C">
              <w:rPr>
                <w:sz w:val="22"/>
                <w:szCs w:val="22"/>
              </w:rPr>
              <w:t>2. Budžeta izdevumi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ED5F4A7" w14:textId="77777777" w:rsidR="009E5887" w:rsidRPr="008D7E3C" w:rsidRDefault="009E5887" w:rsidP="006F7405">
            <w:pPr>
              <w:jc w:val="center"/>
            </w:pPr>
            <w:r w:rsidRPr="008D7E3C">
              <w:t>850 000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2117AE8B"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248FD859" w14:textId="77777777" w:rsidR="009E5887" w:rsidRPr="008D7E3C" w:rsidRDefault="009E5887"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D6B9D9B"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48A23E4" w14:textId="77777777" w:rsidR="009E5887" w:rsidRPr="008D7E3C" w:rsidRDefault="009E5887" w:rsidP="006F7405">
            <w:pPr>
              <w:jc w:val="center"/>
            </w:pPr>
            <w:r w:rsidRPr="008D7E3C">
              <w:t>850 000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8FC0D7"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FE5B7DE" w14:textId="77777777" w:rsidR="009E5887" w:rsidRPr="008D7E3C" w:rsidRDefault="009E5887" w:rsidP="006F7405">
            <w:pPr>
              <w:jc w:val="center"/>
            </w:pPr>
            <w:r w:rsidRPr="008D7E3C">
              <w:t>0</w:t>
            </w:r>
          </w:p>
        </w:tc>
      </w:tr>
      <w:tr w:rsidR="009E5887" w:rsidRPr="008D7E3C" w14:paraId="04CBEA8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31C1C14" w14:textId="77777777" w:rsidR="009E5887" w:rsidRPr="008D7E3C" w:rsidRDefault="009E5887" w:rsidP="006F7405">
            <w:pPr>
              <w:rPr>
                <w:sz w:val="22"/>
                <w:szCs w:val="22"/>
              </w:rPr>
            </w:pPr>
            <w:r w:rsidRPr="008D7E3C">
              <w:rPr>
                <w:sz w:val="22"/>
                <w:szCs w:val="22"/>
              </w:rPr>
              <w:t>2.1.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86E1E81" w14:textId="77777777" w:rsidR="009E5887" w:rsidRPr="008D7E3C" w:rsidRDefault="009E5887" w:rsidP="006F7405">
            <w:pPr>
              <w:jc w:val="center"/>
            </w:pPr>
            <w:r w:rsidRPr="008D7E3C">
              <w:t>255 000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39522A4"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B5EB702" w14:textId="77777777" w:rsidR="009E5887" w:rsidRPr="008D7E3C" w:rsidRDefault="009E5887" w:rsidP="006F7405">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B9FA1DE"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61188D6" w14:textId="77777777" w:rsidR="009E5887" w:rsidRPr="008D7E3C" w:rsidRDefault="009E5887" w:rsidP="006F7405">
            <w:pPr>
              <w:jc w:val="center"/>
            </w:pPr>
            <w:r w:rsidRPr="008D7E3C">
              <w:t>255 000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9BB1C48"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A38EC3E" w14:textId="77777777" w:rsidR="009E5887" w:rsidRPr="008D7E3C" w:rsidRDefault="009E5887" w:rsidP="006F7405">
            <w:pPr>
              <w:jc w:val="center"/>
            </w:pPr>
            <w:r w:rsidRPr="008D7E3C">
              <w:t>0</w:t>
            </w:r>
          </w:p>
        </w:tc>
      </w:tr>
      <w:tr w:rsidR="009E5887" w:rsidRPr="008D7E3C" w14:paraId="3E65BABE"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1DF20FDF" w14:textId="77777777" w:rsidR="009E5887" w:rsidRPr="008D7E3C" w:rsidRDefault="009E5887" w:rsidP="006F7405">
            <w:pPr>
              <w:rPr>
                <w:sz w:val="22"/>
                <w:szCs w:val="22"/>
              </w:rPr>
            </w:pPr>
            <w:r w:rsidRPr="008D7E3C">
              <w:rPr>
                <w:sz w:val="22"/>
                <w:szCs w:val="22"/>
              </w:rPr>
              <w:t>2.2. valsts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A57A005" w14:textId="77777777" w:rsidR="009E5887" w:rsidRPr="008D7E3C" w:rsidRDefault="009E588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EA2E0FE"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099E4FD0"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9688262"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95E9655"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CBA2594"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C406B6B" w14:textId="77777777" w:rsidR="009E5887" w:rsidRPr="008D7E3C" w:rsidRDefault="009E5887" w:rsidP="006F7405">
            <w:pPr>
              <w:jc w:val="center"/>
            </w:pPr>
            <w:r w:rsidRPr="008D7E3C">
              <w:t>0</w:t>
            </w:r>
          </w:p>
        </w:tc>
      </w:tr>
      <w:tr w:rsidR="009E5887" w:rsidRPr="008D7E3C" w14:paraId="61F75F20"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FB9E0D1" w14:textId="77777777" w:rsidR="009E5887" w:rsidRPr="008D7E3C" w:rsidRDefault="009E5887" w:rsidP="006F7405">
            <w:pPr>
              <w:rPr>
                <w:sz w:val="22"/>
                <w:szCs w:val="22"/>
              </w:rPr>
            </w:pPr>
            <w:r w:rsidRPr="008D7E3C">
              <w:rPr>
                <w:sz w:val="22"/>
                <w:szCs w:val="22"/>
              </w:rPr>
              <w:t>2.3.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8F28AF0" w14:textId="77777777" w:rsidR="009E5887" w:rsidRPr="008D7E3C" w:rsidRDefault="009E5887" w:rsidP="006F7405">
            <w:pPr>
              <w:jc w:val="center"/>
            </w:pPr>
            <w:r w:rsidRPr="008D7E3C">
              <w:t>595 000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BC9114D" w14:textId="77777777" w:rsidR="009E5887" w:rsidRPr="008D7E3C" w:rsidRDefault="009E588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BA9710B" w14:textId="77777777" w:rsidR="009E5887" w:rsidRPr="008D7E3C" w:rsidRDefault="009E5887"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E628411" w14:textId="77777777" w:rsidR="009E5887" w:rsidRPr="008D7E3C" w:rsidRDefault="009E588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54716E8B" w14:textId="77777777" w:rsidR="009E5887" w:rsidRPr="008D7E3C" w:rsidRDefault="009E5887" w:rsidP="006F7405">
            <w:pPr>
              <w:jc w:val="center"/>
            </w:pPr>
            <w:r w:rsidRPr="008D7E3C">
              <w:t>595 000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AAB9C4" w14:textId="77777777" w:rsidR="009E5887" w:rsidRPr="008D7E3C" w:rsidRDefault="009E588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6A563EE" w14:textId="77777777" w:rsidR="009E5887" w:rsidRPr="008D7E3C" w:rsidRDefault="009E5887" w:rsidP="006F7405">
            <w:pPr>
              <w:jc w:val="center"/>
            </w:pPr>
            <w:r w:rsidRPr="008D7E3C">
              <w:t>0</w:t>
            </w:r>
          </w:p>
        </w:tc>
      </w:tr>
      <w:tr w:rsidR="00FC6FF6" w:rsidRPr="008D7E3C" w14:paraId="3C09A5D6"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A093B45" w14:textId="77777777" w:rsidR="00FC6FF6" w:rsidRPr="008D7E3C" w:rsidRDefault="00FC6FF6" w:rsidP="00FC6FF6">
            <w:pPr>
              <w:rPr>
                <w:sz w:val="22"/>
                <w:szCs w:val="22"/>
              </w:rPr>
            </w:pPr>
            <w:r w:rsidRPr="008D7E3C">
              <w:rPr>
                <w:sz w:val="22"/>
                <w:szCs w:val="22"/>
              </w:rPr>
              <w:t>3. Finansiālā ietekme</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F33AE70" w14:textId="77777777" w:rsidR="00FC6FF6" w:rsidRPr="008D7E3C" w:rsidRDefault="00FC6FF6" w:rsidP="00FC6FF6">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7CB7FFDC" w14:textId="77777777" w:rsidR="00FC6FF6" w:rsidRPr="008D7E3C" w:rsidRDefault="00FC6FF6" w:rsidP="00FC6FF6">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9DFA0D2" w14:textId="77777777" w:rsidR="00FC6FF6" w:rsidRPr="008D7E3C" w:rsidRDefault="00FC6FF6" w:rsidP="00FC6FF6">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329628B" w14:textId="3F5DD983" w:rsidR="00FC6FF6" w:rsidRPr="008D7E3C" w:rsidRDefault="00FC6FF6" w:rsidP="00FC6FF6">
            <w:pPr>
              <w:jc w:val="center"/>
            </w:pPr>
            <w:r>
              <w:t>-228</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5B6488F" w14:textId="77777777" w:rsidR="00FC6FF6" w:rsidRPr="008D7E3C" w:rsidRDefault="00FC6FF6" w:rsidP="00FC6FF6">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0A7C86" w14:textId="5591FCCA" w:rsidR="00FC6FF6" w:rsidRPr="008D7E3C" w:rsidRDefault="00FC6FF6" w:rsidP="00FC6FF6">
            <w:pPr>
              <w:jc w:val="center"/>
            </w:pPr>
            <w:r>
              <w:t>-228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6581425" w14:textId="33D9A45F" w:rsidR="00FC6FF6" w:rsidRPr="008D7E3C" w:rsidRDefault="00FC6FF6" w:rsidP="00FC6FF6">
            <w:pPr>
              <w:jc w:val="center"/>
            </w:pPr>
            <w:r>
              <w:t>-228</w:t>
            </w:r>
          </w:p>
        </w:tc>
      </w:tr>
      <w:tr w:rsidR="00FC6FF6" w:rsidRPr="008D7E3C" w14:paraId="1EBE84DA"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92BC6C7" w14:textId="77777777" w:rsidR="00FC6FF6" w:rsidRPr="008D7E3C" w:rsidRDefault="00FC6FF6" w:rsidP="00FC6FF6">
            <w:pPr>
              <w:rPr>
                <w:sz w:val="22"/>
                <w:szCs w:val="22"/>
              </w:rPr>
            </w:pPr>
            <w:r w:rsidRPr="008D7E3C">
              <w:rPr>
                <w:sz w:val="22"/>
                <w:szCs w:val="22"/>
              </w:rPr>
              <w:t>3.1. valsts pamatbudžets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F75976E" w14:textId="77777777" w:rsidR="00FC6FF6" w:rsidRPr="008D7E3C" w:rsidRDefault="00FC6FF6" w:rsidP="00FC6FF6">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D3F60AD" w14:textId="77777777" w:rsidR="00FC6FF6" w:rsidRPr="008D7E3C" w:rsidRDefault="00FC6FF6" w:rsidP="00FC6FF6">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636CC7A7" w14:textId="77777777" w:rsidR="00FC6FF6" w:rsidRPr="008D7E3C" w:rsidRDefault="00FC6FF6" w:rsidP="00FC6FF6">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F3446B4" w14:textId="36307EBE" w:rsidR="00FC6FF6" w:rsidRPr="008D7E3C" w:rsidRDefault="00FC6FF6" w:rsidP="00FC6FF6">
            <w:pPr>
              <w:jc w:val="center"/>
            </w:pPr>
            <w:r>
              <w:t>-68</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73895CF3" w14:textId="77777777" w:rsidR="00FC6FF6" w:rsidRPr="008D7E3C" w:rsidRDefault="00FC6FF6" w:rsidP="00FC6FF6">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7BFD640" w14:textId="5CB967B8" w:rsidR="00FC6FF6" w:rsidRPr="008D7E3C" w:rsidRDefault="00FC6FF6" w:rsidP="00FC6FF6">
            <w:pPr>
              <w:jc w:val="center"/>
            </w:pPr>
            <w:r>
              <w:t>-68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58B5EBF" w14:textId="36C3EC0B" w:rsidR="00FC6FF6" w:rsidRPr="008D7E3C" w:rsidRDefault="00FC6FF6" w:rsidP="00FC6FF6">
            <w:pPr>
              <w:jc w:val="center"/>
            </w:pPr>
            <w:r>
              <w:t>-68</w:t>
            </w:r>
          </w:p>
        </w:tc>
      </w:tr>
      <w:tr w:rsidR="00CC68C7" w:rsidRPr="008D7E3C" w14:paraId="3163A2E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DFB7345" w14:textId="77777777" w:rsidR="00CC68C7" w:rsidRPr="008D7E3C" w:rsidRDefault="00CC68C7" w:rsidP="006F7405">
            <w:pPr>
              <w:rPr>
                <w:sz w:val="22"/>
                <w:szCs w:val="22"/>
              </w:rPr>
            </w:pPr>
            <w:r w:rsidRPr="008D7E3C">
              <w:rPr>
                <w:sz w:val="22"/>
                <w:szCs w:val="22"/>
              </w:rPr>
              <w:t>3.2. speciālais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0281C9E7" w14:textId="77777777" w:rsidR="00CC68C7" w:rsidRPr="008D7E3C" w:rsidRDefault="00CC68C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82B605C" w14:textId="77777777" w:rsidR="00CC68C7" w:rsidRPr="008D7E3C" w:rsidRDefault="00CC68C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31C812A"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7940DA3" w14:textId="77777777" w:rsidR="00CC68C7" w:rsidRPr="008D7E3C" w:rsidRDefault="00CC68C7"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45DBF6D6"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2995AAB"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0380D50" w14:textId="77777777" w:rsidR="00CC68C7" w:rsidRPr="008D7E3C" w:rsidRDefault="00CC68C7" w:rsidP="006F7405">
            <w:pPr>
              <w:jc w:val="center"/>
            </w:pPr>
            <w:r w:rsidRPr="008D7E3C">
              <w:t>0</w:t>
            </w:r>
          </w:p>
        </w:tc>
      </w:tr>
      <w:tr w:rsidR="00CC68C7" w:rsidRPr="008D7E3C" w14:paraId="20CB8706"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566E81D1" w14:textId="77777777" w:rsidR="00CC68C7" w:rsidRPr="008D7E3C" w:rsidRDefault="00CC68C7" w:rsidP="006F7405">
            <w:pPr>
              <w:rPr>
                <w:sz w:val="22"/>
                <w:szCs w:val="22"/>
              </w:rPr>
            </w:pPr>
            <w:r w:rsidRPr="008D7E3C">
              <w:rPr>
                <w:sz w:val="22"/>
                <w:szCs w:val="22"/>
              </w:rPr>
              <w:t>3.3. pašvaldību budžets</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8770458" w14:textId="77777777" w:rsidR="00CC68C7" w:rsidRPr="008D7E3C" w:rsidRDefault="00CC68C7"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38EE8082" w14:textId="77777777" w:rsidR="00CC68C7" w:rsidRPr="008D7E3C" w:rsidRDefault="00CC68C7"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30C4BB37"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64F0B78" w14:textId="7CAA1B14" w:rsidR="00CC68C7" w:rsidRPr="008D7E3C" w:rsidRDefault="00FC6FF6" w:rsidP="006F7405">
            <w:pPr>
              <w:jc w:val="center"/>
            </w:pPr>
            <w:r>
              <w:t>-160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2177AFF2"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7A596FB" w14:textId="1DD0A7C1" w:rsidR="00CC68C7" w:rsidRPr="008D7E3C" w:rsidRDefault="00FC6FF6" w:rsidP="006F7405">
            <w:pPr>
              <w:jc w:val="center"/>
            </w:pPr>
            <w:r>
              <w:t>-16</w:t>
            </w:r>
            <w:r w:rsidR="00840329">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769DDA45" w14:textId="526A7EA2" w:rsidR="00CC68C7" w:rsidRPr="008D7E3C" w:rsidRDefault="00FC6FF6" w:rsidP="006F7405">
            <w:pPr>
              <w:jc w:val="center"/>
            </w:pPr>
            <w:r>
              <w:t>-16</w:t>
            </w:r>
            <w:r w:rsidR="00840329">
              <w:t>0</w:t>
            </w:r>
          </w:p>
        </w:tc>
      </w:tr>
      <w:tr w:rsidR="007C6DC9" w:rsidRPr="008D7E3C" w14:paraId="265342E8"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B07B1B2" w14:textId="77777777" w:rsidR="007C6DC9" w:rsidRPr="008D7E3C" w:rsidRDefault="007C6DC9" w:rsidP="006F7405">
            <w:pPr>
              <w:rPr>
                <w:sz w:val="22"/>
                <w:szCs w:val="22"/>
              </w:rPr>
            </w:pPr>
            <w:r w:rsidRPr="008D7E3C">
              <w:rPr>
                <w:sz w:val="22"/>
                <w:szCs w:val="22"/>
              </w:rPr>
              <w:t>4. Finanšu līdzekļi papildu izdevumu finansēšanai (kompensējošu izdevumu samazinājumu norāda ar "+" zīmi)</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3138BC34" w14:textId="77777777" w:rsidR="007C6DC9" w:rsidRPr="008D7E3C" w:rsidRDefault="007C6DC9" w:rsidP="006F7405">
            <w:pPr>
              <w:jc w:val="center"/>
            </w:pPr>
            <w:r w:rsidRPr="008D7E3C">
              <w:t>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898D5C1" w14:textId="77777777" w:rsidR="007C6DC9" w:rsidRPr="008D7E3C" w:rsidRDefault="007C6DC9" w:rsidP="006F7405">
            <w:pPr>
              <w:jc w:val="center"/>
            </w:pPr>
            <w:r w:rsidRPr="008D7E3C">
              <w:t>0</w:t>
            </w:r>
          </w:p>
        </w:tc>
        <w:tc>
          <w:tcPr>
            <w:tcW w:w="436" w:type="pct"/>
            <w:tcBorders>
              <w:top w:val="outset" w:sz="6" w:space="0" w:color="414142"/>
              <w:left w:val="outset" w:sz="6" w:space="0" w:color="414142"/>
              <w:bottom w:val="outset" w:sz="6" w:space="0" w:color="414142"/>
              <w:right w:val="outset" w:sz="6" w:space="0" w:color="414142"/>
            </w:tcBorders>
            <w:shd w:val="clear" w:color="auto" w:fill="FFFFFF"/>
            <w:hideMark/>
          </w:tcPr>
          <w:p w14:paraId="4A4D362A"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F23B610" w14:textId="77777777" w:rsidR="007C6DC9" w:rsidRPr="008D7E3C" w:rsidRDefault="007C6DC9" w:rsidP="006F7405">
            <w:pPr>
              <w:jc w:val="center"/>
            </w:pPr>
            <w:r w:rsidRPr="008D7E3C">
              <w:t>0</w:t>
            </w:r>
          </w:p>
        </w:tc>
        <w:tc>
          <w:tcPr>
            <w:tcW w:w="439" w:type="pct"/>
            <w:tcBorders>
              <w:top w:val="outset" w:sz="6" w:space="0" w:color="414142"/>
              <w:left w:val="outset" w:sz="6" w:space="0" w:color="414142"/>
              <w:bottom w:val="outset" w:sz="6" w:space="0" w:color="414142"/>
              <w:right w:val="outset" w:sz="6" w:space="0" w:color="414142"/>
            </w:tcBorders>
            <w:shd w:val="clear" w:color="auto" w:fill="FFFFFF"/>
            <w:hideMark/>
          </w:tcPr>
          <w:p w14:paraId="680C3E41"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8BD3787" w14:textId="77777777" w:rsidR="007C6DC9" w:rsidRPr="008D7E3C" w:rsidRDefault="007C6DC9"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E080FCE" w14:textId="77777777" w:rsidR="007C6DC9" w:rsidRPr="008D7E3C" w:rsidRDefault="007C6DC9" w:rsidP="006F7405">
            <w:pPr>
              <w:jc w:val="center"/>
            </w:pPr>
            <w:r w:rsidRPr="008D7E3C">
              <w:t>0</w:t>
            </w:r>
          </w:p>
        </w:tc>
      </w:tr>
      <w:tr w:rsidR="00FC6FF6" w:rsidRPr="008D7E3C" w14:paraId="318F5AF0"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33A756D" w14:textId="77777777" w:rsidR="00FC6FF6" w:rsidRPr="008D7E3C" w:rsidRDefault="00FC6FF6" w:rsidP="00FC6FF6">
            <w:pPr>
              <w:rPr>
                <w:sz w:val="22"/>
                <w:szCs w:val="22"/>
              </w:rPr>
            </w:pPr>
            <w:r w:rsidRPr="008D7E3C">
              <w:rPr>
                <w:sz w:val="22"/>
                <w:szCs w:val="22"/>
              </w:rPr>
              <w:t>5. Precizēta finansiālā ietekme</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4B7CACF" w14:textId="77777777" w:rsidR="00FC6FF6" w:rsidRPr="008D7E3C" w:rsidRDefault="00FC6FF6" w:rsidP="00FC6FF6">
            <w:pPr>
              <w:jc w:val="center"/>
            </w:pPr>
          </w:p>
          <w:p w14:paraId="29EC5CD7" w14:textId="77777777" w:rsidR="00FC6FF6" w:rsidRPr="008D7E3C" w:rsidRDefault="00FC6FF6" w:rsidP="00FC6FF6">
            <w:pPr>
              <w:jc w:val="center"/>
            </w:pPr>
            <w:r w:rsidRPr="008D7E3C">
              <w:t>X</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B25E53" w14:textId="77777777" w:rsidR="00FC6FF6" w:rsidRPr="008D7E3C" w:rsidRDefault="00FC6FF6" w:rsidP="00FC6FF6">
            <w:pPr>
              <w:jc w:val="center"/>
            </w:pPr>
            <w:r w:rsidRPr="008D7E3C">
              <w:t>0</w:t>
            </w:r>
          </w:p>
        </w:tc>
        <w:tc>
          <w:tcPr>
            <w:tcW w:w="436"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4D9752A" w14:textId="77777777" w:rsidR="00FC6FF6" w:rsidRPr="008D7E3C" w:rsidRDefault="00FC6FF6" w:rsidP="00FC6FF6">
            <w:pPr>
              <w:jc w:val="center"/>
            </w:pPr>
          </w:p>
          <w:p w14:paraId="15708C06" w14:textId="77777777" w:rsidR="00FC6FF6" w:rsidRPr="008D7E3C" w:rsidRDefault="00FC6FF6" w:rsidP="00FC6FF6">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9B88BC3" w14:textId="56668A2F" w:rsidR="00FC6FF6" w:rsidRPr="008D7E3C" w:rsidRDefault="00FC6FF6" w:rsidP="00FC6FF6">
            <w:pPr>
              <w:jc w:val="center"/>
            </w:pPr>
            <w:r>
              <w:t>-228</w:t>
            </w:r>
          </w:p>
        </w:tc>
        <w:tc>
          <w:tcPr>
            <w:tcW w:w="43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57D6798D" w14:textId="77777777" w:rsidR="00FC6FF6" w:rsidRPr="008D7E3C" w:rsidRDefault="00FC6FF6" w:rsidP="00FC6FF6">
            <w:pPr>
              <w:jc w:val="center"/>
            </w:pPr>
          </w:p>
          <w:p w14:paraId="5A01FB86" w14:textId="77777777" w:rsidR="00FC6FF6" w:rsidRPr="008D7E3C" w:rsidRDefault="00FC6FF6" w:rsidP="00FC6FF6">
            <w:pPr>
              <w:jc w:val="center"/>
            </w:pPr>
            <w:r w:rsidRPr="008D7E3C">
              <w:t>X</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91B33B3" w14:textId="18AFF141" w:rsidR="00FC6FF6" w:rsidRPr="008D7E3C" w:rsidRDefault="00FC6FF6" w:rsidP="00FC6FF6">
            <w:pPr>
              <w:jc w:val="center"/>
            </w:pPr>
            <w:r>
              <w:t>-228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39B22B5" w14:textId="75950323" w:rsidR="00FC6FF6" w:rsidRPr="008D7E3C" w:rsidRDefault="00FC6FF6" w:rsidP="00FC6FF6">
            <w:pPr>
              <w:jc w:val="center"/>
            </w:pPr>
            <w:r>
              <w:t>-228</w:t>
            </w:r>
          </w:p>
        </w:tc>
      </w:tr>
      <w:tr w:rsidR="00FC6FF6" w:rsidRPr="008D7E3C" w14:paraId="5668AC7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63A07337" w14:textId="77777777" w:rsidR="00FC6FF6" w:rsidRPr="008D7E3C" w:rsidRDefault="00FC6FF6" w:rsidP="00FC6FF6">
            <w:pPr>
              <w:rPr>
                <w:sz w:val="22"/>
                <w:szCs w:val="22"/>
              </w:rPr>
            </w:pPr>
            <w:r w:rsidRPr="008D7E3C">
              <w:rPr>
                <w:sz w:val="22"/>
                <w:szCs w:val="22"/>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D70F081" w14:textId="77777777" w:rsidR="00FC6FF6" w:rsidRPr="008D7E3C" w:rsidRDefault="00FC6FF6" w:rsidP="00FC6FF6">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0C75171" w14:textId="77777777" w:rsidR="00FC6FF6" w:rsidRPr="008D7E3C" w:rsidRDefault="00FC6FF6" w:rsidP="00FC6FF6">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C27F4" w14:textId="77777777" w:rsidR="00FC6FF6" w:rsidRPr="008D7E3C" w:rsidRDefault="00FC6FF6" w:rsidP="00FC6FF6"/>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0E5958F" w14:textId="67411E2F" w:rsidR="00FC6FF6" w:rsidRPr="008D7E3C" w:rsidRDefault="00FC6FF6" w:rsidP="00FC6FF6">
            <w:pPr>
              <w:jc w:val="center"/>
            </w:pPr>
            <w:r>
              <w:t>-68</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22A7413A" w14:textId="77777777" w:rsidR="00FC6FF6" w:rsidRPr="008D7E3C" w:rsidRDefault="00FC6FF6" w:rsidP="00FC6FF6"/>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057E2358" w14:textId="5D36C837" w:rsidR="00FC6FF6" w:rsidRPr="008D7E3C" w:rsidRDefault="00FC6FF6" w:rsidP="00FC6FF6">
            <w:pPr>
              <w:jc w:val="center"/>
            </w:pPr>
            <w:r>
              <w:t>-68</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531E8F34" w14:textId="33F69B43" w:rsidR="00FC6FF6" w:rsidRPr="008D7E3C" w:rsidRDefault="00FC6FF6" w:rsidP="00FC6FF6">
            <w:pPr>
              <w:jc w:val="center"/>
            </w:pPr>
            <w:r>
              <w:t>-68</w:t>
            </w:r>
          </w:p>
        </w:tc>
      </w:tr>
      <w:tr w:rsidR="00CC68C7" w:rsidRPr="008D7E3C" w14:paraId="3A64B2A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08ADEEC9" w14:textId="77777777" w:rsidR="00CC68C7" w:rsidRPr="008D7E3C" w:rsidRDefault="00CC68C7" w:rsidP="006F7405">
            <w:pPr>
              <w:rPr>
                <w:sz w:val="22"/>
                <w:szCs w:val="22"/>
              </w:rPr>
            </w:pPr>
            <w:r w:rsidRPr="008D7E3C">
              <w:rPr>
                <w:sz w:val="22"/>
                <w:szCs w:val="22"/>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3AE516A" w14:textId="77777777" w:rsidR="00CC68C7" w:rsidRPr="008D7E3C" w:rsidRDefault="00CC68C7"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2176126C"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AD7494"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1E5E2636"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1CECB44B"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3FCD7072" w14:textId="77777777" w:rsidR="00CC68C7" w:rsidRPr="008D7E3C" w:rsidRDefault="00CC68C7" w:rsidP="006F7405">
            <w:pPr>
              <w:jc w:val="center"/>
            </w:pPr>
            <w:r w:rsidRPr="008D7E3C">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475F9F07" w14:textId="77777777" w:rsidR="00CC68C7" w:rsidRPr="008D7E3C" w:rsidRDefault="00CC68C7" w:rsidP="006F7405">
            <w:pPr>
              <w:jc w:val="center"/>
            </w:pPr>
            <w:r w:rsidRPr="008D7E3C">
              <w:t>0</w:t>
            </w:r>
          </w:p>
        </w:tc>
      </w:tr>
      <w:tr w:rsidR="00CC68C7" w:rsidRPr="008D7E3C" w14:paraId="5A31EFA1"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427563D" w14:textId="77777777" w:rsidR="00CC68C7" w:rsidRPr="008D7E3C" w:rsidRDefault="00CC68C7" w:rsidP="006F7405">
            <w:pPr>
              <w:rPr>
                <w:sz w:val="22"/>
                <w:szCs w:val="22"/>
              </w:rPr>
            </w:pPr>
            <w:r w:rsidRPr="008D7E3C">
              <w:rPr>
                <w:sz w:val="22"/>
                <w:szCs w:val="22"/>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34242F43" w14:textId="77777777" w:rsidR="00CC68C7" w:rsidRPr="008D7E3C" w:rsidRDefault="00CC68C7" w:rsidP="006F7405">
            <w:pPr>
              <w:jc w:val="center"/>
            </w:pP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B35F3A8" w14:textId="77777777" w:rsidR="00CC68C7" w:rsidRPr="008D7E3C" w:rsidRDefault="00CC68C7" w:rsidP="006F7405">
            <w:pPr>
              <w:jc w:val="center"/>
            </w:pPr>
            <w:r w:rsidRPr="008D7E3C">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15777"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D152534" w14:textId="302AA2D4" w:rsidR="00CC68C7" w:rsidRPr="008D7E3C" w:rsidRDefault="00FC6FF6" w:rsidP="006F7405">
            <w:pPr>
              <w:jc w:val="center"/>
            </w:pPr>
            <w:r>
              <w:t>-16</w:t>
            </w:r>
            <w:r w:rsidR="00840329">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hideMark/>
          </w:tcPr>
          <w:p w14:paraId="5F4125D6" w14:textId="77777777" w:rsidR="00CC68C7" w:rsidRPr="008D7E3C" w:rsidRDefault="00CC68C7" w:rsidP="006F7405"/>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61557CF3" w14:textId="4ABB0705" w:rsidR="00CC68C7" w:rsidRPr="008D7E3C" w:rsidRDefault="00FC6FF6" w:rsidP="006F7405">
            <w:pPr>
              <w:jc w:val="center"/>
            </w:pPr>
            <w:r>
              <w:t>-16</w:t>
            </w:r>
            <w:r w:rsidR="00840329">
              <w:t>0</w:t>
            </w:r>
          </w:p>
        </w:tc>
        <w:tc>
          <w:tcPr>
            <w:tcW w:w="552" w:type="pct"/>
            <w:tcBorders>
              <w:top w:val="outset" w:sz="6" w:space="0" w:color="414142"/>
              <w:left w:val="outset" w:sz="6" w:space="0" w:color="414142"/>
              <w:bottom w:val="outset" w:sz="6" w:space="0" w:color="414142"/>
              <w:right w:val="outset" w:sz="6" w:space="0" w:color="414142"/>
            </w:tcBorders>
            <w:shd w:val="clear" w:color="auto" w:fill="FFFFFF"/>
            <w:hideMark/>
          </w:tcPr>
          <w:p w14:paraId="27A759EF" w14:textId="33598F5A" w:rsidR="00CC68C7" w:rsidRPr="008D7E3C" w:rsidRDefault="00FC6FF6" w:rsidP="006F7405">
            <w:pPr>
              <w:jc w:val="center"/>
            </w:pPr>
            <w:r>
              <w:t>-16</w:t>
            </w:r>
            <w:r w:rsidR="00840329">
              <w:t>0</w:t>
            </w:r>
          </w:p>
        </w:tc>
      </w:tr>
      <w:tr w:rsidR="007C6DC9" w:rsidRPr="008D7E3C" w14:paraId="77B6ACB5"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48C2CA1B" w14:textId="77777777" w:rsidR="007C6DC9" w:rsidRPr="008D7E3C" w:rsidRDefault="007C6DC9" w:rsidP="006F7405">
            <w:pPr>
              <w:rPr>
                <w:sz w:val="22"/>
                <w:szCs w:val="22"/>
              </w:rPr>
            </w:pPr>
            <w:r w:rsidRPr="008D7E3C">
              <w:rPr>
                <w:sz w:val="22"/>
                <w:szCs w:val="22"/>
              </w:rPr>
              <w:t xml:space="preserve">6. Detalizēts ieņēmumu un izdevumu aprēķins (ja </w:t>
            </w:r>
            <w:r w:rsidRPr="008D7E3C">
              <w:rPr>
                <w:sz w:val="22"/>
                <w:szCs w:val="22"/>
              </w:rPr>
              <w:lastRenderedPageBreak/>
              <w:t>nepieciešams, detalizētu ieņēmumu un izdevumu aprēķinu var pievienot anotācijas pielikumā)</w:t>
            </w:r>
          </w:p>
        </w:tc>
        <w:tc>
          <w:tcPr>
            <w:tcW w:w="341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046BF" w14:textId="77777777" w:rsidR="007C6DC9" w:rsidRDefault="007C6DC9" w:rsidP="006F7405">
            <w:pPr>
              <w:jc w:val="both"/>
            </w:pPr>
            <w:r>
              <w:lastRenderedPageBreak/>
              <w:t>Ministru kabineta 2009. gada 11. augusta noteikumu Nr. 918 “Noteikumi par ūdenstilpju un rūpnieciskās zvejas tiesību nomu un zvejas tiesību izmantošanas kārtību” (turpmāk – MK noteikumi Nr. 918) 2.</w:t>
            </w:r>
            <w:r w:rsidRPr="00F82363">
              <w:rPr>
                <w:vertAlign w:val="superscript"/>
              </w:rPr>
              <w:t>1</w:t>
            </w:r>
            <w:r>
              <w:t xml:space="preserve"> pielikumā ir noteikta pamatmaksa par rūpnieciskās zvejas tiesību nomu un zvejas tiesību izmantošanu.</w:t>
            </w:r>
          </w:p>
          <w:p w14:paraId="1836FE88" w14:textId="77777777" w:rsidR="007C6DC9" w:rsidRDefault="007C6DC9" w:rsidP="006F7405">
            <w:pPr>
              <w:jc w:val="both"/>
            </w:pPr>
            <w:r>
              <w:t>Ievērojot MK noteikumos Nr. 918 noteikto zvejas rīku limitu pamatmaksu, noteikumu projektā ietvertie grozījumi radīs nenozīmīgu finansiālu ietekmi uz valsts un pašvaldību budžeta ieņēmumiem no zvejas tiesību rūpnieciskās izmantošanas (zvejas limiti).</w:t>
            </w:r>
          </w:p>
          <w:p w14:paraId="10CF65AD" w14:textId="77777777" w:rsidR="002B1F16" w:rsidRDefault="002B1F16" w:rsidP="006F7405">
            <w:pPr>
              <w:jc w:val="both"/>
            </w:pPr>
            <w:r>
              <w:t>Noteikumu projektā:</w:t>
            </w:r>
          </w:p>
          <w:p w14:paraId="5BBF80DB" w14:textId="29976F7B" w:rsidR="00FC6FF6" w:rsidRDefault="002B1F16" w:rsidP="0036540F">
            <w:pPr>
              <w:pStyle w:val="Sarakstarindkopa"/>
              <w:numPr>
                <w:ilvl w:val="0"/>
                <w:numId w:val="21"/>
              </w:numPr>
              <w:jc w:val="both"/>
            </w:pPr>
            <w:r>
              <w:t>paredzēts samazināt zivju murdu</w:t>
            </w:r>
            <w:r w:rsidR="007C6DC9">
              <w:t xml:space="preserve"> limitu par </w:t>
            </w:r>
            <w:r w:rsidR="00367006">
              <w:t>2</w:t>
            </w:r>
            <w:r w:rsidR="007C6DC9">
              <w:t xml:space="preserve"> gab. </w:t>
            </w:r>
            <w:r>
              <w:t>V</w:t>
            </w:r>
            <w:r w:rsidR="007C6DC9">
              <w:t>al</w:t>
            </w:r>
            <w:r w:rsidR="00FC6FF6">
              <w:t>sts un pašvaldību budžetā</w:t>
            </w:r>
            <w:r w:rsidR="007C6DC9">
              <w:t xml:space="preserve"> </w:t>
            </w:r>
            <w:r w:rsidR="00FC6FF6">
              <w:t xml:space="preserve">kopumā </w:t>
            </w:r>
            <w:r w:rsidR="007C6DC9">
              <w:t>samazinās</w:t>
            </w:r>
            <w:r>
              <w:t>ies</w:t>
            </w:r>
            <w:r w:rsidR="007C6DC9">
              <w:t xml:space="preserve"> ienākum</w:t>
            </w:r>
            <w:r>
              <w:t>i</w:t>
            </w:r>
            <w:r w:rsidR="007C6DC9">
              <w:t xml:space="preserve"> par </w:t>
            </w:r>
            <w:r w:rsidR="00367006">
              <w:t>170,74</w:t>
            </w:r>
            <w:r w:rsidR="00121B5C">
              <w:t> </w:t>
            </w:r>
            <w:r w:rsidR="007C6DC9">
              <w:t>EUR (</w:t>
            </w:r>
            <w:r w:rsidR="00367006">
              <w:t>2</w:t>
            </w:r>
            <w:r w:rsidR="007C6DC9">
              <w:t xml:space="preserve"> x </w:t>
            </w:r>
            <w:r>
              <w:t>85,37 EUR);</w:t>
            </w:r>
          </w:p>
          <w:p w14:paraId="1A735C1D" w14:textId="1EA8DFC5" w:rsidR="002B1F16" w:rsidRDefault="002B1F16" w:rsidP="006F7405">
            <w:pPr>
              <w:pStyle w:val="Sarakstarindkopa"/>
              <w:numPr>
                <w:ilvl w:val="0"/>
                <w:numId w:val="21"/>
              </w:numPr>
              <w:jc w:val="both"/>
            </w:pPr>
            <w:r>
              <w:t xml:space="preserve">paredzēts palielināt kopējo apaļo jūrasgrunduļu murdu limitu par </w:t>
            </w:r>
            <w:r w:rsidR="00367006">
              <w:t>8</w:t>
            </w:r>
            <w:r>
              <w:t xml:space="preserve"> gab</w:t>
            </w:r>
            <w:r w:rsidR="004B376D">
              <w:t>.</w:t>
            </w:r>
            <w:r>
              <w:t xml:space="preserve">, bet nomas maksa par </w:t>
            </w:r>
            <w:r w:rsidR="00FC6FF6">
              <w:t>šo rīku limitu netiek piemērota;</w:t>
            </w:r>
          </w:p>
          <w:p w14:paraId="0695BF0D" w14:textId="56C6D2D3" w:rsidR="00FC6FF6" w:rsidRDefault="00FC6FF6" w:rsidP="006F7405">
            <w:pPr>
              <w:pStyle w:val="Sarakstarindkopa"/>
              <w:numPr>
                <w:ilvl w:val="0"/>
                <w:numId w:val="21"/>
              </w:numPr>
              <w:jc w:val="both"/>
            </w:pPr>
            <w:r>
              <w:t>paredzēts samazināt reņģu stāvvadu limitu par 2 gab. Valsts un pašvaldību budžetā kopumā samazināsies ienākumi par 284,58 EUR (2 x 142,29 EUR);</w:t>
            </w:r>
          </w:p>
          <w:p w14:paraId="2492D54D" w14:textId="6F06BD4A" w:rsidR="00FC6FF6" w:rsidRDefault="00FC6FF6" w:rsidP="006F7405">
            <w:pPr>
              <w:pStyle w:val="Sarakstarindkopa"/>
              <w:numPr>
                <w:ilvl w:val="0"/>
                <w:numId w:val="21"/>
              </w:numPr>
              <w:jc w:val="both"/>
            </w:pPr>
            <w:r>
              <w:t>paredzēts palielināt kopējo reņģu tīklu limitu par 32 gab. Valsts un pašvaldību budžetā kopumā palielināsies ienākumi par 227,52 EUR (32 x 7,11 EUR).</w:t>
            </w:r>
          </w:p>
          <w:p w14:paraId="56A18C3E" w14:textId="1B320B0B" w:rsidR="002B1F16" w:rsidRDefault="002B1F16" w:rsidP="006F7405">
            <w:pPr>
              <w:jc w:val="both"/>
            </w:pPr>
            <w:r>
              <w:t xml:space="preserve">Kopējā noteikumu projekta ietekme uz valsts un pašvaldību </w:t>
            </w:r>
            <w:r w:rsidR="00367006">
              <w:t xml:space="preserve">budžetu </w:t>
            </w:r>
            <w:r>
              <w:t xml:space="preserve">būs </w:t>
            </w:r>
            <w:r w:rsidR="00367006">
              <w:t>negatīvā</w:t>
            </w:r>
            <w:r w:rsidR="0002350E">
              <w:t xml:space="preserve"> izteiksmē, jo </w:t>
            </w:r>
            <w:r w:rsidR="00367006">
              <w:t>samazināsies</w:t>
            </w:r>
            <w:r w:rsidR="0002350E">
              <w:t xml:space="preserve"> kopējie ieņēmumi </w:t>
            </w:r>
            <w:r w:rsidR="00367006">
              <w:t xml:space="preserve">par </w:t>
            </w:r>
            <w:r w:rsidR="00FC6FF6">
              <w:t>227,80</w:t>
            </w:r>
            <w:r w:rsidR="0002350E">
              <w:t xml:space="preserve"> EUR.</w:t>
            </w:r>
          </w:p>
          <w:p w14:paraId="0E8DF9D9" w14:textId="77777777" w:rsidR="007C6DC9" w:rsidRPr="008D7E3C" w:rsidRDefault="007C6DC9" w:rsidP="006F7405">
            <w:pPr>
              <w:jc w:val="both"/>
            </w:pPr>
            <w:r>
              <w:t>Saskaņā ar MK noteikumu Nr. 918 96. punktu pašvaldībai paliek 70 % ieņēmumu no zvejas tiesību nomas, bet 30 % tiek ieskaitīti valsts budžetā.</w:t>
            </w:r>
          </w:p>
        </w:tc>
      </w:tr>
      <w:tr w:rsidR="007C6DC9" w:rsidRPr="008D7E3C" w14:paraId="55E49443"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60C8268" w14:textId="77777777" w:rsidR="007C6DC9" w:rsidRPr="008D7E3C" w:rsidRDefault="007C6DC9" w:rsidP="006F7405">
            <w:pPr>
              <w:rPr>
                <w:sz w:val="22"/>
                <w:szCs w:val="22"/>
              </w:rPr>
            </w:pPr>
            <w:r w:rsidRPr="008D7E3C">
              <w:rPr>
                <w:sz w:val="22"/>
                <w:szCs w:val="22"/>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3A3EE" w14:textId="77777777" w:rsidR="007C6DC9" w:rsidRPr="008D7E3C" w:rsidRDefault="007C6DC9" w:rsidP="006F7405"/>
        </w:tc>
      </w:tr>
      <w:tr w:rsidR="007C6DC9" w:rsidRPr="008D7E3C" w14:paraId="7C20D276"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3D18AE06" w14:textId="77777777" w:rsidR="007C6DC9" w:rsidRPr="008D7E3C" w:rsidRDefault="007C6DC9" w:rsidP="006F7405">
            <w:pPr>
              <w:rPr>
                <w:sz w:val="22"/>
                <w:szCs w:val="22"/>
              </w:rPr>
            </w:pPr>
            <w:r w:rsidRPr="008D7E3C">
              <w:rPr>
                <w:sz w:val="22"/>
                <w:szCs w:val="22"/>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D8F44B" w14:textId="77777777" w:rsidR="007C6DC9" w:rsidRPr="008D7E3C" w:rsidRDefault="007C6DC9" w:rsidP="006F7405"/>
        </w:tc>
      </w:tr>
      <w:tr w:rsidR="007C6DC9" w:rsidRPr="008D7E3C" w14:paraId="03671C0F"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1236E464" w14:textId="77777777" w:rsidR="007C6DC9" w:rsidRPr="008D7E3C" w:rsidRDefault="007C6DC9" w:rsidP="006F7405">
            <w:pPr>
              <w:rPr>
                <w:sz w:val="22"/>
                <w:szCs w:val="22"/>
              </w:rPr>
            </w:pPr>
            <w:r w:rsidRPr="008D7E3C">
              <w:rPr>
                <w:sz w:val="22"/>
                <w:szCs w:val="22"/>
              </w:rPr>
              <w:t>7. Amata vietu skaita izmaiņas</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EE49CFA" w14:textId="77777777" w:rsidR="007C6DC9" w:rsidRPr="008D7E3C" w:rsidRDefault="007C6DC9" w:rsidP="006F7405">
            <w:r w:rsidRPr="008D7E3C">
              <w:t>Nav.</w:t>
            </w:r>
          </w:p>
        </w:tc>
      </w:tr>
      <w:tr w:rsidR="007C6DC9" w:rsidRPr="008D7E3C" w14:paraId="6DC677DC" w14:textId="77777777" w:rsidTr="007C6DC9">
        <w:trPr>
          <w:jc w:val="center"/>
        </w:trPr>
        <w:tc>
          <w:tcPr>
            <w:tcW w:w="1588" w:type="pct"/>
            <w:tcBorders>
              <w:top w:val="outset" w:sz="6" w:space="0" w:color="414142"/>
              <w:left w:val="outset" w:sz="6" w:space="0" w:color="414142"/>
              <w:bottom w:val="outset" w:sz="6" w:space="0" w:color="414142"/>
              <w:right w:val="outset" w:sz="6" w:space="0" w:color="414142"/>
            </w:tcBorders>
            <w:shd w:val="clear" w:color="auto" w:fill="FFFFFF"/>
            <w:hideMark/>
          </w:tcPr>
          <w:p w14:paraId="25AC1AE1" w14:textId="77777777" w:rsidR="007C6DC9" w:rsidRPr="008D7E3C" w:rsidRDefault="007C6DC9" w:rsidP="006F7405">
            <w:pPr>
              <w:rPr>
                <w:sz w:val="22"/>
                <w:szCs w:val="22"/>
              </w:rPr>
            </w:pPr>
            <w:r w:rsidRPr="008D7E3C">
              <w:rPr>
                <w:sz w:val="22"/>
                <w:szCs w:val="22"/>
              </w:rPr>
              <w:t>8. Cita informācija</w:t>
            </w:r>
          </w:p>
        </w:tc>
        <w:tc>
          <w:tcPr>
            <w:tcW w:w="341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69002C1" w14:textId="77777777" w:rsidR="007C6DC9" w:rsidRPr="008D7E3C" w:rsidRDefault="007C6DC9" w:rsidP="006F7405">
            <w:r w:rsidRPr="008D7E3C">
              <w:t>Nav.</w:t>
            </w:r>
          </w:p>
        </w:tc>
      </w:tr>
    </w:tbl>
    <w:p w14:paraId="71F11347" w14:textId="77777777" w:rsidR="007C6DC9" w:rsidRDefault="007C6DC9" w:rsidP="006F7405">
      <w:pPr>
        <w:pStyle w:val="naisf"/>
        <w:spacing w:before="0" w:after="0"/>
        <w:ind w:firstLine="0"/>
        <w:rPr>
          <w:sz w:val="16"/>
          <w:szCs w:val="16"/>
        </w:rPr>
      </w:pPr>
    </w:p>
    <w:p w14:paraId="487D7B69" w14:textId="77777777" w:rsidR="000B66D7" w:rsidRPr="00B3642D" w:rsidRDefault="000B66D7" w:rsidP="006F7405">
      <w:pPr>
        <w:pStyle w:val="naisf"/>
        <w:spacing w:before="0" w:after="0"/>
        <w:ind w:firstLine="0"/>
        <w:rPr>
          <w:sz w:val="16"/>
          <w:szCs w:val="16"/>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664DA7" w:rsidRPr="00ED68B9" w14:paraId="0612C8B5"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10F44549" w14:textId="77777777" w:rsidR="00664DA7" w:rsidRPr="00ED68B9" w:rsidRDefault="00664DA7" w:rsidP="006F7405">
            <w:pPr>
              <w:jc w:val="center"/>
              <w:rPr>
                <w:b/>
                <w:bCs/>
              </w:rPr>
            </w:pPr>
            <w:r w:rsidRPr="00ED68B9">
              <w:rPr>
                <w:b/>
                <w:bCs/>
              </w:rPr>
              <w:t>IV. Tiesību akta projekta ietekme uz spēkā esošo tiesību normu sistēmu</w:t>
            </w:r>
          </w:p>
        </w:tc>
      </w:tr>
      <w:tr w:rsidR="00664DA7" w:rsidRPr="00ED68B9" w14:paraId="39BCB555" w14:textId="77777777" w:rsidTr="00735D9B">
        <w:trPr>
          <w:trHeight w:val="212"/>
          <w:jc w:val="center"/>
        </w:trPr>
        <w:tc>
          <w:tcPr>
            <w:tcW w:w="10343" w:type="dxa"/>
            <w:tcBorders>
              <w:top w:val="single" w:sz="4" w:space="0" w:color="auto"/>
              <w:left w:val="single" w:sz="4" w:space="0" w:color="auto"/>
              <w:bottom w:val="single" w:sz="4" w:space="0" w:color="auto"/>
              <w:right w:val="single" w:sz="4" w:space="0" w:color="auto"/>
            </w:tcBorders>
            <w:hideMark/>
          </w:tcPr>
          <w:p w14:paraId="19AA6A4C" w14:textId="77777777" w:rsidR="00664DA7" w:rsidRPr="00ED68B9" w:rsidRDefault="00664DA7" w:rsidP="006F7405">
            <w:pPr>
              <w:jc w:val="center"/>
              <w:rPr>
                <w:bCs/>
              </w:rPr>
            </w:pPr>
            <w:r w:rsidRPr="00ED68B9">
              <w:rPr>
                <w:bCs/>
              </w:rPr>
              <w:t>Projekts šo jomu neskar.</w:t>
            </w:r>
          </w:p>
        </w:tc>
      </w:tr>
    </w:tbl>
    <w:p w14:paraId="178561E9" w14:textId="77777777" w:rsidR="00D16F90" w:rsidRPr="00B3642D" w:rsidRDefault="00D16F90" w:rsidP="006F7405">
      <w:pPr>
        <w:pStyle w:val="naisc"/>
        <w:spacing w:before="0" w:after="0"/>
        <w:jc w:val="both"/>
        <w:rPr>
          <w:bCs/>
          <w:i/>
        </w:rPr>
      </w:pPr>
    </w:p>
    <w:tbl>
      <w:tblPr>
        <w:tblW w:w="571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341"/>
      </w:tblGrid>
      <w:tr w:rsidR="00F8075E" w:rsidRPr="00B3642D" w14:paraId="5EF98579" w14:textId="77777777" w:rsidTr="00735D9B">
        <w:trPr>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309EDED" w14:textId="77777777" w:rsidR="00F8075E" w:rsidRPr="00B3642D" w:rsidRDefault="00F8075E" w:rsidP="006F7405">
            <w:pPr>
              <w:jc w:val="center"/>
              <w:rPr>
                <w:b/>
                <w:bCs/>
              </w:rPr>
            </w:pPr>
            <w:r w:rsidRPr="00B3642D">
              <w:rPr>
                <w:b/>
                <w:bCs/>
              </w:rPr>
              <w:t>V. Tiesību akta projekta atbilstība Latvijas Republikas starptautiskajām saistībām</w:t>
            </w:r>
          </w:p>
        </w:tc>
      </w:tr>
      <w:tr w:rsidR="00DD02C2" w:rsidRPr="00ED68B9" w14:paraId="12F13DF9" w14:textId="77777777" w:rsidTr="0073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jc w:val="center"/>
        </w:trPr>
        <w:tc>
          <w:tcPr>
            <w:tcW w:w="5000" w:type="pct"/>
            <w:tcBorders>
              <w:top w:val="single" w:sz="4" w:space="0" w:color="auto"/>
              <w:left w:val="single" w:sz="4" w:space="0" w:color="auto"/>
              <w:bottom w:val="single" w:sz="4" w:space="0" w:color="auto"/>
              <w:right w:val="single" w:sz="4" w:space="0" w:color="auto"/>
            </w:tcBorders>
            <w:hideMark/>
          </w:tcPr>
          <w:p w14:paraId="25824DD9" w14:textId="77777777" w:rsidR="00DD02C2" w:rsidRPr="00ED68B9" w:rsidRDefault="00DD02C2" w:rsidP="006F7405">
            <w:pPr>
              <w:jc w:val="center"/>
              <w:rPr>
                <w:bCs/>
              </w:rPr>
            </w:pPr>
            <w:r w:rsidRPr="00ED68B9">
              <w:rPr>
                <w:bCs/>
              </w:rPr>
              <w:t>Projekts šo jomu neskar.</w:t>
            </w:r>
          </w:p>
        </w:tc>
      </w:tr>
    </w:tbl>
    <w:p w14:paraId="4BE33F84" w14:textId="77777777" w:rsidR="00E42037" w:rsidRPr="00B3642D" w:rsidRDefault="00E42037" w:rsidP="006F7405">
      <w:pPr>
        <w:pStyle w:val="naisc"/>
        <w:spacing w:before="0" w:after="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2804"/>
        <w:gridCol w:w="7229"/>
      </w:tblGrid>
      <w:tr w:rsidR="00D42F6E" w:rsidRPr="00FF7627" w14:paraId="28E6DC6A" w14:textId="77777777" w:rsidTr="00735D9B">
        <w:trPr>
          <w:jc w:val="center"/>
        </w:trPr>
        <w:tc>
          <w:tcPr>
            <w:tcW w:w="10343" w:type="dxa"/>
            <w:gridSpan w:val="3"/>
          </w:tcPr>
          <w:p w14:paraId="68087E6C" w14:textId="77777777" w:rsidR="00D42F6E" w:rsidRPr="00FF7627" w:rsidRDefault="00D42F6E" w:rsidP="006F7405">
            <w:pPr>
              <w:pStyle w:val="naisnod"/>
              <w:spacing w:before="0" w:after="0"/>
              <w:ind w:left="57" w:right="57"/>
            </w:pPr>
            <w:r w:rsidRPr="00FF7627">
              <w:t>VI. Sabiedrības līdzdalība un komunikācijas aktivitātes</w:t>
            </w:r>
          </w:p>
        </w:tc>
      </w:tr>
      <w:tr w:rsidR="00D42F6E" w:rsidRPr="00FF7627" w14:paraId="7FE94C97" w14:textId="77777777" w:rsidTr="00343D5C">
        <w:trPr>
          <w:trHeight w:val="553"/>
          <w:jc w:val="center"/>
        </w:trPr>
        <w:tc>
          <w:tcPr>
            <w:tcW w:w="310" w:type="dxa"/>
          </w:tcPr>
          <w:p w14:paraId="3BA2868E" w14:textId="77777777" w:rsidR="00D42F6E" w:rsidRPr="00960829" w:rsidRDefault="00D42F6E" w:rsidP="006F7405">
            <w:pPr>
              <w:pStyle w:val="naiskr"/>
              <w:spacing w:before="0" w:after="0"/>
              <w:ind w:left="57" w:right="57"/>
              <w:rPr>
                <w:bCs/>
                <w:sz w:val="22"/>
                <w:szCs w:val="22"/>
              </w:rPr>
            </w:pPr>
            <w:r w:rsidRPr="00960829">
              <w:rPr>
                <w:bCs/>
                <w:sz w:val="22"/>
                <w:szCs w:val="22"/>
              </w:rPr>
              <w:t>1.</w:t>
            </w:r>
          </w:p>
        </w:tc>
        <w:tc>
          <w:tcPr>
            <w:tcW w:w="2804" w:type="dxa"/>
          </w:tcPr>
          <w:p w14:paraId="6510CA54" w14:textId="77777777" w:rsidR="00D42F6E" w:rsidRPr="00960829" w:rsidRDefault="00D42F6E" w:rsidP="006F7405">
            <w:pPr>
              <w:rPr>
                <w:sz w:val="22"/>
                <w:szCs w:val="22"/>
              </w:rPr>
            </w:pPr>
            <w:r w:rsidRPr="00960829">
              <w:rPr>
                <w:sz w:val="22"/>
                <w:szCs w:val="22"/>
              </w:rPr>
              <w:t>Plānotās sabiedrības līdzdalības un komunikācijas aktivitātes saistībā ar projektu</w:t>
            </w:r>
          </w:p>
        </w:tc>
        <w:tc>
          <w:tcPr>
            <w:tcW w:w="7229" w:type="dxa"/>
          </w:tcPr>
          <w:p w14:paraId="5552EF50" w14:textId="5C981000" w:rsidR="000B66D7" w:rsidRDefault="005B30BD" w:rsidP="00C4087C">
            <w:pPr>
              <w:ind w:right="142"/>
              <w:jc w:val="both"/>
            </w:pPr>
            <w:r w:rsidRPr="005B30BD">
              <w:t xml:space="preserve">Atbilstoši Ministru kabineta 2009. gada 25. augusta noteikumiem Nr. 970 “Sabiedrības līdzdalības kārtība attīstības plānošanas procesā”, lai informētu sabiedrību par projektu un dotu iespēju izteikt viedokli, projekts pirms tā iesniegšanas Valsts sekretāru sanāksmē tika ievietots Zemkopības ministrijas un Ministru kabineta tīmekļvietnē </w:t>
            </w:r>
          </w:p>
          <w:p w14:paraId="242022F1" w14:textId="607FB63D" w:rsidR="000345B6" w:rsidRPr="00FF7627" w:rsidRDefault="00DB034C" w:rsidP="00C4087C">
            <w:pPr>
              <w:ind w:right="142"/>
              <w:jc w:val="both"/>
            </w:pPr>
            <w:hyperlink r:id="rId8" w:history="1">
              <w:r w:rsidR="000345B6" w:rsidRPr="000A4243">
                <w:rPr>
                  <w:rStyle w:val="Hipersaite"/>
                </w:rPr>
                <w:t>https://www.zm.gov.lv/zemkopibas-ministrija/apspriesanas/-grozijumi-ministru-kabineta-2009-gada-30-novembra-noteikumos-nr-1375-?id=971</w:t>
              </w:r>
            </w:hyperlink>
            <w:r w:rsidR="000345B6">
              <w:t xml:space="preserve"> </w:t>
            </w:r>
            <w:r w:rsidR="000345B6" w:rsidRPr="000345B6">
              <w:t xml:space="preserve">no </w:t>
            </w:r>
            <w:r w:rsidR="000345B6">
              <w:t>30</w:t>
            </w:r>
            <w:r w:rsidR="000345B6" w:rsidRPr="000345B6">
              <w:t>.10.2020. līdz 1</w:t>
            </w:r>
            <w:r w:rsidR="000345B6">
              <w:t>2</w:t>
            </w:r>
            <w:r w:rsidR="000345B6" w:rsidRPr="000345B6">
              <w:t>.11.2020</w:t>
            </w:r>
            <w:r w:rsidR="000345B6">
              <w:t>.</w:t>
            </w:r>
          </w:p>
        </w:tc>
      </w:tr>
      <w:tr w:rsidR="00D42F6E" w:rsidRPr="00FF7627" w14:paraId="032761B7" w14:textId="77777777" w:rsidTr="00343D5C">
        <w:trPr>
          <w:trHeight w:val="339"/>
          <w:jc w:val="center"/>
        </w:trPr>
        <w:tc>
          <w:tcPr>
            <w:tcW w:w="310" w:type="dxa"/>
          </w:tcPr>
          <w:p w14:paraId="342C4347" w14:textId="77777777" w:rsidR="00D42F6E" w:rsidRPr="00960829" w:rsidRDefault="00D42F6E" w:rsidP="006F7405">
            <w:pPr>
              <w:pStyle w:val="naiskr"/>
              <w:spacing w:before="0" w:after="0"/>
              <w:ind w:left="57" w:right="57"/>
              <w:rPr>
                <w:bCs/>
                <w:sz w:val="22"/>
                <w:szCs w:val="22"/>
              </w:rPr>
            </w:pPr>
            <w:r w:rsidRPr="00960829">
              <w:rPr>
                <w:bCs/>
                <w:sz w:val="22"/>
                <w:szCs w:val="22"/>
              </w:rPr>
              <w:t>2.</w:t>
            </w:r>
          </w:p>
        </w:tc>
        <w:tc>
          <w:tcPr>
            <w:tcW w:w="2804" w:type="dxa"/>
          </w:tcPr>
          <w:p w14:paraId="211DCF8A" w14:textId="77777777" w:rsidR="00D42F6E" w:rsidRPr="00960829" w:rsidRDefault="00D42F6E" w:rsidP="006F7405">
            <w:pPr>
              <w:pStyle w:val="naiskr"/>
              <w:spacing w:before="0" w:after="0"/>
              <w:ind w:left="57" w:right="57"/>
              <w:rPr>
                <w:sz w:val="22"/>
                <w:szCs w:val="22"/>
              </w:rPr>
            </w:pPr>
            <w:r w:rsidRPr="00960829">
              <w:rPr>
                <w:sz w:val="22"/>
                <w:szCs w:val="22"/>
              </w:rPr>
              <w:t>Sabiedrības līdzdalība projekta izstrādē</w:t>
            </w:r>
          </w:p>
        </w:tc>
        <w:tc>
          <w:tcPr>
            <w:tcW w:w="7229" w:type="dxa"/>
          </w:tcPr>
          <w:p w14:paraId="5B130158" w14:textId="00D91C92" w:rsidR="00B64D78" w:rsidRPr="00FF7627" w:rsidRDefault="00435520">
            <w:pPr>
              <w:ind w:right="142"/>
              <w:jc w:val="both"/>
            </w:pPr>
            <w:r>
              <w:t>Noteikumu p</w:t>
            </w:r>
            <w:r w:rsidR="005B30BD">
              <w:t>rojekta izstrādes gaitā notikušas konsultācijas ar biedrību “Latvijas Zvejnieku federācija” (21.05.2019.) un pašvaldībām, kuru administratīvās teritorijas robežojas ar jūru (01.10.2019.).</w:t>
            </w:r>
            <w:r w:rsidR="00D10C73">
              <w:t xml:space="preserve"> </w:t>
            </w:r>
            <w:r w:rsidR="00B64D78">
              <w:t>Noteikumu projekts sabiedr</w:t>
            </w:r>
            <w:r w:rsidR="00D10C73">
              <w:t>ības</w:t>
            </w:r>
            <w:r w:rsidR="00B64D78">
              <w:t xml:space="preserve"> </w:t>
            </w:r>
            <w:r w:rsidR="00D10C73">
              <w:t>līdzdalībai no 30</w:t>
            </w:r>
            <w:r w:rsidR="00D10C73" w:rsidRPr="005A0E95">
              <w:t>.10.2020. līdz 1</w:t>
            </w:r>
            <w:r w:rsidR="00D10C73">
              <w:t>2</w:t>
            </w:r>
            <w:r w:rsidR="00D10C73" w:rsidRPr="005A0E95">
              <w:t>.11.2020</w:t>
            </w:r>
            <w:r w:rsidR="00D10C73">
              <w:t xml:space="preserve">. </w:t>
            </w:r>
            <w:r w:rsidR="00B64D78">
              <w:t>tika ievietots</w:t>
            </w:r>
            <w:r w:rsidR="003F697C">
              <w:t xml:space="preserve"> Zemkopības ministrijas </w:t>
            </w:r>
            <w:r w:rsidR="00121B5C">
              <w:t>tīmekļvietnē</w:t>
            </w:r>
            <w:r w:rsidR="00B64D78">
              <w:t xml:space="preserve"> </w:t>
            </w:r>
            <w:r w:rsidR="00B64D78" w:rsidRPr="00A26A80">
              <w:t>www.zm.gov.lv</w:t>
            </w:r>
            <w:r w:rsidR="00A26A80">
              <w:t xml:space="preserve">, kā arī </w:t>
            </w:r>
            <w:r w:rsidR="00B8447A">
              <w:t xml:space="preserve">Valsts kancelejas </w:t>
            </w:r>
            <w:r w:rsidR="00121B5C">
              <w:t>tīmekļvietnē</w:t>
            </w:r>
            <w:r w:rsidR="00A26A80">
              <w:t xml:space="preserve"> www.mk.gov.lv</w:t>
            </w:r>
            <w:r w:rsidR="00A26A80" w:rsidRPr="00A26A80">
              <w:t>.</w:t>
            </w:r>
            <w:r w:rsidR="00B64D78">
              <w:t xml:space="preserve"> </w:t>
            </w:r>
          </w:p>
        </w:tc>
      </w:tr>
      <w:tr w:rsidR="00D42F6E" w:rsidRPr="00FF7627" w14:paraId="5620B4C4" w14:textId="77777777" w:rsidTr="00343D5C">
        <w:trPr>
          <w:trHeight w:val="375"/>
          <w:jc w:val="center"/>
        </w:trPr>
        <w:tc>
          <w:tcPr>
            <w:tcW w:w="310" w:type="dxa"/>
          </w:tcPr>
          <w:p w14:paraId="18DC6DAB" w14:textId="77777777" w:rsidR="00D42F6E" w:rsidRPr="00960829" w:rsidRDefault="00D42F6E" w:rsidP="006F7405">
            <w:pPr>
              <w:pStyle w:val="naiskr"/>
              <w:spacing w:before="0" w:after="0"/>
              <w:ind w:left="57" w:right="57"/>
              <w:rPr>
                <w:bCs/>
                <w:sz w:val="22"/>
                <w:szCs w:val="22"/>
              </w:rPr>
            </w:pPr>
            <w:r w:rsidRPr="00960829">
              <w:rPr>
                <w:bCs/>
                <w:sz w:val="22"/>
                <w:szCs w:val="22"/>
              </w:rPr>
              <w:lastRenderedPageBreak/>
              <w:t>3.</w:t>
            </w:r>
          </w:p>
        </w:tc>
        <w:tc>
          <w:tcPr>
            <w:tcW w:w="2804" w:type="dxa"/>
          </w:tcPr>
          <w:p w14:paraId="5B67F7D6" w14:textId="77777777" w:rsidR="00D42F6E" w:rsidRPr="00960829" w:rsidRDefault="00D42F6E" w:rsidP="006F7405">
            <w:pPr>
              <w:pStyle w:val="naiskr"/>
              <w:spacing w:before="0" w:after="0"/>
              <w:ind w:left="57" w:right="57"/>
              <w:rPr>
                <w:sz w:val="22"/>
                <w:szCs w:val="22"/>
              </w:rPr>
            </w:pPr>
            <w:r w:rsidRPr="00960829">
              <w:rPr>
                <w:sz w:val="22"/>
                <w:szCs w:val="22"/>
              </w:rPr>
              <w:t>Sabiedrības līdzdalības rezultāti</w:t>
            </w:r>
          </w:p>
        </w:tc>
        <w:tc>
          <w:tcPr>
            <w:tcW w:w="7229" w:type="dxa"/>
          </w:tcPr>
          <w:p w14:paraId="54D6F4E1" w14:textId="1CC22647" w:rsidR="000F43FB" w:rsidRDefault="000F43FB" w:rsidP="000F43FB">
            <w:pPr>
              <w:pStyle w:val="naiskr"/>
              <w:spacing w:before="0" w:after="0"/>
              <w:ind w:right="142"/>
              <w:jc w:val="both"/>
              <w:rPr>
                <w:iCs/>
              </w:rPr>
            </w:pPr>
            <w:r>
              <w:rPr>
                <w:iCs/>
              </w:rPr>
              <w:t>Par sabiedr</w:t>
            </w:r>
            <w:r w:rsidR="005B30BD">
              <w:rPr>
                <w:iCs/>
              </w:rPr>
              <w:t>ības līdzdalībai</w:t>
            </w:r>
            <w:r>
              <w:rPr>
                <w:iCs/>
              </w:rPr>
              <w:t xml:space="preserve"> </w:t>
            </w:r>
            <w:r w:rsidR="008A5F3D" w:rsidRPr="00A26A80">
              <w:rPr>
                <w:iCs/>
              </w:rPr>
              <w:t>www.zm.gov.lv</w:t>
            </w:r>
            <w:r w:rsidR="008A5F3D">
              <w:rPr>
                <w:iCs/>
              </w:rPr>
              <w:t xml:space="preserve"> un </w:t>
            </w:r>
            <w:r w:rsidR="008A5F3D" w:rsidRPr="00A26A80">
              <w:rPr>
                <w:iCs/>
              </w:rPr>
              <w:t>www.mk.gov.lv</w:t>
            </w:r>
            <w:r w:rsidR="008A5F3D">
              <w:rPr>
                <w:iCs/>
              </w:rPr>
              <w:t xml:space="preserve"> </w:t>
            </w:r>
            <w:r w:rsidR="00D91E58">
              <w:rPr>
                <w:iCs/>
              </w:rPr>
              <w:t>i</w:t>
            </w:r>
            <w:r>
              <w:rPr>
                <w:iCs/>
              </w:rPr>
              <w:t>evietoto n</w:t>
            </w:r>
            <w:r w:rsidRPr="000F43FB">
              <w:rPr>
                <w:iCs/>
              </w:rPr>
              <w:t>oteikumu projekt</w:t>
            </w:r>
            <w:r>
              <w:rPr>
                <w:iCs/>
              </w:rPr>
              <w:t xml:space="preserve">u iebildumi vai priekšlikumi </w:t>
            </w:r>
            <w:r w:rsidR="008A5F3D">
              <w:rPr>
                <w:iCs/>
              </w:rPr>
              <w:t>netika saņemti.</w:t>
            </w:r>
          </w:p>
          <w:p w14:paraId="1EC06649" w14:textId="351163B6" w:rsidR="00435520" w:rsidRPr="00735D9B" w:rsidRDefault="00435520" w:rsidP="000F43FB">
            <w:pPr>
              <w:pStyle w:val="naiskr"/>
              <w:spacing w:before="0" w:after="0"/>
              <w:ind w:right="142"/>
              <w:jc w:val="both"/>
              <w:rPr>
                <w:iCs/>
              </w:rPr>
            </w:pPr>
            <w:r>
              <w:rPr>
                <w:iCs/>
              </w:rPr>
              <w:t>B</w:t>
            </w:r>
            <w:r w:rsidRPr="00435520">
              <w:rPr>
                <w:iCs/>
              </w:rPr>
              <w:t>iedrīb</w:t>
            </w:r>
            <w:r>
              <w:rPr>
                <w:iCs/>
              </w:rPr>
              <w:t>as</w:t>
            </w:r>
            <w:r w:rsidRPr="00435520">
              <w:rPr>
                <w:iCs/>
              </w:rPr>
              <w:t xml:space="preserve"> “Latvijas Zvejnieku federācija”</w:t>
            </w:r>
            <w:r>
              <w:rPr>
                <w:iCs/>
              </w:rPr>
              <w:t xml:space="preserve"> priekšlikumi ņemti vērā.</w:t>
            </w:r>
          </w:p>
        </w:tc>
      </w:tr>
      <w:tr w:rsidR="00D42F6E" w:rsidRPr="00FF7627" w14:paraId="35425989" w14:textId="77777777" w:rsidTr="00343D5C">
        <w:trPr>
          <w:trHeight w:val="343"/>
          <w:jc w:val="center"/>
        </w:trPr>
        <w:tc>
          <w:tcPr>
            <w:tcW w:w="310" w:type="dxa"/>
          </w:tcPr>
          <w:p w14:paraId="3FC3B086" w14:textId="77777777" w:rsidR="00D42F6E" w:rsidRPr="00960829" w:rsidRDefault="00D42F6E" w:rsidP="006F7405">
            <w:pPr>
              <w:pStyle w:val="naiskr"/>
              <w:spacing w:before="0" w:after="0"/>
              <w:ind w:left="57" w:right="57"/>
              <w:rPr>
                <w:bCs/>
                <w:sz w:val="22"/>
                <w:szCs w:val="22"/>
              </w:rPr>
            </w:pPr>
            <w:r w:rsidRPr="00960829">
              <w:rPr>
                <w:bCs/>
                <w:sz w:val="22"/>
                <w:szCs w:val="22"/>
              </w:rPr>
              <w:t>4.</w:t>
            </w:r>
          </w:p>
        </w:tc>
        <w:tc>
          <w:tcPr>
            <w:tcW w:w="2804" w:type="dxa"/>
          </w:tcPr>
          <w:p w14:paraId="5157DF0B" w14:textId="77777777" w:rsidR="00D42F6E" w:rsidRPr="00960829" w:rsidRDefault="00D42F6E" w:rsidP="006F7405">
            <w:pPr>
              <w:pStyle w:val="naiskr"/>
              <w:spacing w:before="0" w:after="0"/>
              <w:ind w:left="57" w:right="57"/>
              <w:rPr>
                <w:sz w:val="22"/>
                <w:szCs w:val="22"/>
              </w:rPr>
            </w:pPr>
            <w:r w:rsidRPr="00960829">
              <w:rPr>
                <w:sz w:val="22"/>
                <w:szCs w:val="22"/>
              </w:rPr>
              <w:t>Cita informācija</w:t>
            </w:r>
          </w:p>
        </w:tc>
        <w:tc>
          <w:tcPr>
            <w:tcW w:w="7229" w:type="dxa"/>
          </w:tcPr>
          <w:p w14:paraId="33148516" w14:textId="77777777" w:rsidR="00D42F6E" w:rsidRPr="00ED0C2A" w:rsidRDefault="00D42F6E" w:rsidP="006F7405">
            <w:pPr>
              <w:pStyle w:val="naiskr"/>
              <w:spacing w:before="0" w:after="0"/>
              <w:ind w:left="57" w:right="57"/>
              <w:jc w:val="both"/>
            </w:pPr>
            <w:r w:rsidRPr="00ED0C2A">
              <w:t>Nav.</w:t>
            </w:r>
          </w:p>
        </w:tc>
      </w:tr>
    </w:tbl>
    <w:p w14:paraId="4D71AD9E" w14:textId="77777777" w:rsidR="005073F4" w:rsidRPr="00B3642D" w:rsidRDefault="005073F4" w:rsidP="006F7405">
      <w:pPr>
        <w:pStyle w:val="naisc"/>
        <w:spacing w:before="0" w:after="0"/>
        <w:ind w:firstLine="720"/>
        <w:jc w:val="both"/>
        <w:rPr>
          <w:bCs/>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2740"/>
        <w:gridCol w:w="7229"/>
      </w:tblGrid>
      <w:tr w:rsidR="00D42F6E" w:rsidRPr="00B3642D" w14:paraId="3150767B" w14:textId="77777777" w:rsidTr="00343D5C">
        <w:trPr>
          <w:jc w:val="center"/>
        </w:trPr>
        <w:tc>
          <w:tcPr>
            <w:tcW w:w="10343" w:type="dxa"/>
            <w:gridSpan w:val="3"/>
            <w:tcBorders>
              <w:top w:val="single" w:sz="4" w:space="0" w:color="auto"/>
            </w:tcBorders>
          </w:tcPr>
          <w:p w14:paraId="1D1E5FDE" w14:textId="77777777" w:rsidR="00D42F6E" w:rsidRPr="00B3642D" w:rsidRDefault="00D42F6E" w:rsidP="006F7405">
            <w:pPr>
              <w:pStyle w:val="naisnod"/>
              <w:spacing w:before="0" w:after="0"/>
              <w:ind w:left="57" w:right="57"/>
            </w:pPr>
            <w:r w:rsidRPr="00B3642D">
              <w:t>VII. Tiesību akta projekta izpildes nodrošināšana un tās ietekme uz institūcijām</w:t>
            </w:r>
          </w:p>
        </w:tc>
      </w:tr>
      <w:tr w:rsidR="00D42F6E" w:rsidRPr="00B3642D" w14:paraId="1DA16AD1" w14:textId="77777777" w:rsidTr="0002350E">
        <w:trPr>
          <w:trHeight w:val="427"/>
          <w:jc w:val="center"/>
        </w:trPr>
        <w:tc>
          <w:tcPr>
            <w:tcW w:w="374" w:type="dxa"/>
          </w:tcPr>
          <w:p w14:paraId="76DE1450" w14:textId="77777777" w:rsidR="00D42F6E" w:rsidRPr="00960829" w:rsidRDefault="00D42F6E" w:rsidP="006F7405">
            <w:pPr>
              <w:pStyle w:val="naisnod"/>
              <w:spacing w:before="0" w:after="0"/>
              <w:ind w:left="57" w:right="57"/>
              <w:jc w:val="left"/>
              <w:rPr>
                <w:b w:val="0"/>
                <w:sz w:val="22"/>
                <w:szCs w:val="22"/>
              </w:rPr>
            </w:pPr>
            <w:r w:rsidRPr="00960829">
              <w:rPr>
                <w:b w:val="0"/>
                <w:sz w:val="22"/>
                <w:szCs w:val="22"/>
              </w:rPr>
              <w:t>1.</w:t>
            </w:r>
          </w:p>
        </w:tc>
        <w:tc>
          <w:tcPr>
            <w:tcW w:w="2740" w:type="dxa"/>
          </w:tcPr>
          <w:p w14:paraId="40BE33C7" w14:textId="77777777" w:rsidR="00D42F6E" w:rsidRPr="00960829" w:rsidRDefault="00D42F6E" w:rsidP="006F7405">
            <w:pPr>
              <w:pStyle w:val="naisf"/>
              <w:spacing w:before="0" w:after="0"/>
              <w:ind w:left="57" w:right="57" w:firstLine="0"/>
              <w:jc w:val="left"/>
              <w:rPr>
                <w:sz w:val="22"/>
                <w:szCs w:val="22"/>
              </w:rPr>
            </w:pPr>
            <w:r w:rsidRPr="00960829">
              <w:rPr>
                <w:sz w:val="22"/>
                <w:szCs w:val="22"/>
              </w:rPr>
              <w:t xml:space="preserve">Projekta izpildē iesaistītās institūcijas </w:t>
            </w:r>
          </w:p>
        </w:tc>
        <w:tc>
          <w:tcPr>
            <w:tcW w:w="7229" w:type="dxa"/>
          </w:tcPr>
          <w:p w14:paraId="5BD536BA" w14:textId="77777777" w:rsidR="00D42F6E" w:rsidRPr="00B3642D" w:rsidRDefault="005E3FA2" w:rsidP="006F7405">
            <w:pPr>
              <w:pStyle w:val="naisnod"/>
              <w:spacing w:before="0" w:after="0"/>
              <w:ind w:left="57" w:right="57"/>
              <w:jc w:val="both"/>
              <w:rPr>
                <w:b w:val="0"/>
              </w:rPr>
            </w:pPr>
            <w:r w:rsidRPr="005E3FA2">
              <w:rPr>
                <w:b w:val="0"/>
              </w:rPr>
              <w:t>Novadu un pilsētu pašvaldības, kuru administratīvās teritorij</w:t>
            </w:r>
            <w:r w:rsidR="002641D3">
              <w:rPr>
                <w:b w:val="0"/>
              </w:rPr>
              <w:t>as</w:t>
            </w:r>
            <w:r w:rsidRPr="005E3FA2">
              <w:rPr>
                <w:b w:val="0"/>
              </w:rPr>
              <w:t xml:space="preserve"> </w:t>
            </w:r>
            <w:r w:rsidR="002641D3">
              <w:rPr>
                <w:b w:val="0"/>
              </w:rPr>
              <w:t>robežojas ar jūras piekrastes ūdeņiem</w:t>
            </w:r>
            <w:r w:rsidRPr="005E3FA2">
              <w:rPr>
                <w:b w:val="0"/>
              </w:rPr>
              <w:t>, kā arī Valsts vides dienests.</w:t>
            </w:r>
          </w:p>
        </w:tc>
      </w:tr>
      <w:tr w:rsidR="00D42F6E" w:rsidRPr="00B3642D" w14:paraId="43254981" w14:textId="77777777" w:rsidTr="0002350E">
        <w:trPr>
          <w:trHeight w:val="463"/>
          <w:jc w:val="center"/>
        </w:trPr>
        <w:tc>
          <w:tcPr>
            <w:tcW w:w="374" w:type="dxa"/>
          </w:tcPr>
          <w:p w14:paraId="548BA752" w14:textId="77777777" w:rsidR="00D42F6E" w:rsidRPr="00960829" w:rsidRDefault="00D42F6E" w:rsidP="006F7405">
            <w:pPr>
              <w:pStyle w:val="naisnod"/>
              <w:spacing w:before="0" w:after="0"/>
              <w:ind w:left="57" w:right="57"/>
              <w:jc w:val="left"/>
              <w:rPr>
                <w:b w:val="0"/>
                <w:sz w:val="22"/>
                <w:szCs w:val="22"/>
              </w:rPr>
            </w:pPr>
            <w:r w:rsidRPr="00960829">
              <w:rPr>
                <w:b w:val="0"/>
                <w:sz w:val="22"/>
                <w:szCs w:val="22"/>
              </w:rPr>
              <w:t>2.</w:t>
            </w:r>
          </w:p>
        </w:tc>
        <w:tc>
          <w:tcPr>
            <w:tcW w:w="2740" w:type="dxa"/>
          </w:tcPr>
          <w:p w14:paraId="0C9ED500" w14:textId="77777777" w:rsidR="00D42F6E" w:rsidRPr="00960829" w:rsidRDefault="00D42F6E" w:rsidP="006F7405">
            <w:pPr>
              <w:rPr>
                <w:rFonts w:eastAsia="Calibri"/>
                <w:sz w:val="22"/>
                <w:szCs w:val="22"/>
                <w:lang w:eastAsia="en-US"/>
              </w:rPr>
            </w:pPr>
            <w:r w:rsidRPr="00960829">
              <w:rPr>
                <w:rFonts w:eastAsia="Calibri"/>
                <w:sz w:val="22"/>
                <w:szCs w:val="22"/>
                <w:lang w:eastAsia="en-US"/>
              </w:rPr>
              <w:t xml:space="preserve">Projekta izpildes ietekme uz pārvaldes funkcijām un institucionālo struktūru. </w:t>
            </w:r>
          </w:p>
          <w:p w14:paraId="445E1D2B" w14:textId="77777777" w:rsidR="009F38AE" w:rsidRPr="00960829" w:rsidRDefault="00D42F6E" w:rsidP="006F7405">
            <w:pPr>
              <w:pStyle w:val="naisf"/>
              <w:spacing w:before="0" w:after="0"/>
              <w:ind w:left="57" w:right="57" w:firstLine="0"/>
              <w:jc w:val="left"/>
              <w:rPr>
                <w:rFonts w:eastAsia="Calibri"/>
                <w:sz w:val="22"/>
                <w:szCs w:val="22"/>
                <w:lang w:eastAsia="en-US"/>
              </w:rPr>
            </w:pPr>
            <w:r w:rsidRPr="00960829">
              <w:rPr>
                <w:rFonts w:eastAsia="Calibri"/>
                <w:sz w:val="22"/>
                <w:szCs w:val="22"/>
                <w:lang w:eastAsia="en-US"/>
              </w:rPr>
              <w:t>Jaunu institūciju izveide, esošu institūciju likvidācija vai reorganizācija, to ietekme uz institūcijas cilvēkresursiem</w:t>
            </w:r>
          </w:p>
        </w:tc>
        <w:tc>
          <w:tcPr>
            <w:tcW w:w="7229" w:type="dxa"/>
          </w:tcPr>
          <w:p w14:paraId="6991CEFD" w14:textId="77777777" w:rsidR="00FF115F" w:rsidRPr="00B3642D" w:rsidRDefault="00BC4DAE" w:rsidP="006F7405">
            <w:pPr>
              <w:ind w:right="57"/>
              <w:jc w:val="both"/>
              <w:rPr>
                <w:bCs/>
                <w:iCs/>
              </w:rPr>
            </w:pPr>
            <w:r>
              <w:rPr>
                <w:color w:val="000000"/>
              </w:rPr>
              <w:t>S</w:t>
            </w:r>
            <w:r w:rsidRPr="004833FF">
              <w:rPr>
                <w:color w:val="000000"/>
              </w:rPr>
              <w:t xml:space="preserve">aistībā ar 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14:paraId="19BEADFC" w14:textId="77777777" w:rsidR="00D42F6E" w:rsidRPr="00A95ADA" w:rsidRDefault="00343D5C" w:rsidP="006F7405">
            <w:pPr>
              <w:pStyle w:val="Bezatstarpm"/>
              <w:jc w:val="both"/>
              <w:rPr>
                <w:rFonts w:ascii="Times New Roman" w:hAnsi="Times New Roman"/>
                <w:sz w:val="24"/>
                <w:szCs w:val="24"/>
              </w:rPr>
            </w:pPr>
            <w:r>
              <w:rPr>
                <w:rFonts w:ascii="Times New Roman" w:hAnsi="Times New Roman"/>
                <w:sz w:val="24"/>
                <w:szCs w:val="24"/>
              </w:rPr>
              <w:t>P</w:t>
            </w:r>
            <w:r w:rsidR="00792050" w:rsidRPr="00A95ADA">
              <w:rPr>
                <w:rFonts w:ascii="Times New Roman" w:hAnsi="Times New Roman"/>
                <w:sz w:val="24"/>
                <w:szCs w:val="24"/>
              </w:rPr>
              <w:t>rojekta izpilde neietekmēs institūcijām pieejamos cilvēkresursus.</w:t>
            </w:r>
          </w:p>
        </w:tc>
      </w:tr>
      <w:tr w:rsidR="00D42F6E" w:rsidRPr="00BE302B" w14:paraId="4813DC92" w14:textId="77777777" w:rsidTr="0002350E">
        <w:trPr>
          <w:trHeight w:val="211"/>
          <w:jc w:val="center"/>
        </w:trPr>
        <w:tc>
          <w:tcPr>
            <w:tcW w:w="374" w:type="dxa"/>
          </w:tcPr>
          <w:p w14:paraId="0881B31B" w14:textId="77777777" w:rsidR="00D42F6E" w:rsidRPr="00960829" w:rsidRDefault="00D42F6E" w:rsidP="006F7405">
            <w:pPr>
              <w:pStyle w:val="naiskr"/>
              <w:spacing w:before="0" w:after="0"/>
              <w:ind w:left="57" w:right="57"/>
              <w:rPr>
                <w:sz w:val="22"/>
                <w:szCs w:val="22"/>
              </w:rPr>
            </w:pPr>
            <w:r w:rsidRPr="00960829">
              <w:rPr>
                <w:sz w:val="22"/>
                <w:szCs w:val="22"/>
              </w:rPr>
              <w:t>3.</w:t>
            </w:r>
          </w:p>
        </w:tc>
        <w:tc>
          <w:tcPr>
            <w:tcW w:w="2740" w:type="dxa"/>
          </w:tcPr>
          <w:p w14:paraId="72C0D318" w14:textId="77777777" w:rsidR="00D42F6E" w:rsidRPr="00960829" w:rsidRDefault="00D42F6E" w:rsidP="006F7405">
            <w:pPr>
              <w:pStyle w:val="naiskr"/>
              <w:spacing w:before="0" w:after="0"/>
              <w:ind w:left="57" w:right="57"/>
              <w:rPr>
                <w:sz w:val="22"/>
                <w:szCs w:val="22"/>
              </w:rPr>
            </w:pPr>
            <w:r w:rsidRPr="00960829">
              <w:rPr>
                <w:sz w:val="22"/>
                <w:szCs w:val="22"/>
              </w:rPr>
              <w:t>Cita informācija</w:t>
            </w:r>
          </w:p>
        </w:tc>
        <w:tc>
          <w:tcPr>
            <w:tcW w:w="7229" w:type="dxa"/>
          </w:tcPr>
          <w:p w14:paraId="6A6F3A13" w14:textId="4D9B878C" w:rsidR="00D42F6E" w:rsidRPr="00E50BEA" w:rsidRDefault="00D42F6E" w:rsidP="006F7405">
            <w:pPr>
              <w:pStyle w:val="naiskr"/>
              <w:spacing w:before="0" w:after="0"/>
              <w:ind w:left="57" w:right="57"/>
              <w:rPr>
                <w:szCs w:val="22"/>
              </w:rPr>
            </w:pPr>
          </w:p>
        </w:tc>
      </w:tr>
    </w:tbl>
    <w:p w14:paraId="3D019592" w14:textId="77777777" w:rsidR="00D42F6E" w:rsidRPr="00B3642D" w:rsidRDefault="00D42F6E" w:rsidP="006F7405">
      <w:pPr>
        <w:rPr>
          <w:sz w:val="28"/>
          <w:szCs w:val="28"/>
        </w:rPr>
      </w:pPr>
    </w:p>
    <w:p w14:paraId="00D3D54A" w14:textId="77777777" w:rsidR="00960829" w:rsidRDefault="00960829" w:rsidP="006F7405">
      <w:pPr>
        <w:tabs>
          <w:tab w:val="left" w:pos="6237"/>
        </w:tabs>
        <w:ind w:firstLine="720"/>
      </w:pPr>
    </w:p>
    <w:p w14:paraId="59AA23CA" w14:textId="77777777" w:rsidR="00960829" w:rsidRDefault="00960829" w:rsidP="006F7405">
      <w:pPr>
        <w:tabs>
          <w:tab w:val="left" w:pos="6237"/>
        </w:tabs>
        <w:ind w:firstLine="720"/>
      </w:pPr>
    </w:p>
    <w:p w14:paraId="6F2BE727" w14:textId="560B2B06" w:rsidR="00FF115F" w:rsidRPr="00A87F03" w:rsidRDefault="00102D9D" w:rsidP="00102D9D">
      <w:pPr>
        <w:rPr>
          <w:sz w:val="28"/>
          <w:szCs w:val="28"/>
        </w:rPr>
      </w:pPr>
      <w:r>
        <w:rPr>
          <w:sz w:val="28"/>
          <w:szCs w:val="28"/>
        </w:rPr>
        <w:tab/>
      </w:r>
      <w:bookmarkStart w:id="0" w:name="_GoBack"/>
      <w:bookmarkEnd w:id="0"/>
      <w:r w:rsidR="00FF115F" w:rsidRPr="00A87F03">
        <w:rPr>
          <w:sz w:val="28"/>
          <w:szCs w:val="28"/>
        </w:rPr>
        <w:t>Zemkopības ministrs</w:t>
      </w:r>
      <w:r w:rsidR="00FF115F" w:rsidRPr="00A87F03">
        <w:rPr>
          <w:sz w:val="28"/>
          <w:szCs w:val="28"/>
        </w:rPr>
        <w:tab/>
      </w:r>
      <w:r w:rsidR="00C75BAE" w:rsidRPr="00A87F03">
        <w:rPr>
          <w:sz w:val="28"/>
          <w:szCs w:val="28"/>
        </w:rPr>
        <w:tab/>
      </w:r>
      <w:r w:rsidR="00C75BAE" w:rsidRPr="00A87F03">
        <w:rPr>
          <w:sz w:val="28"/>
          <w:szCs w:val="28"/>
        </w:rPr>
        <w:tab/>
      </w:r>
      <w:r>
        <w:rPr>
          <w:sz w:val="28"/>
          <w:szCs w:val="28"/>
        </w:rPr>
        <w:tab/>
      </w:r>
      <w:r>
        <w:rPr>
          <w:sz w:val="28"/>
          <w:szCs w:val="28"/>
        </w:rPr>
        <w:tab/>
      </w:r>
      <w:r>
        <w:rPr>
          <w:sz w:val="28"/>
          <w:szCs w:val="28"/>
        </w:rPr>
        <w:tab/>
      </w:r>
      <w:r w:rsidR="004F6B6B" w:rsidRPr="004F6B6B">
        <w:rPr>
          <w:sz w:val="28"/>
          <w:szCs w:val="28"/>
        </w:rPr>
        <w:t>K. Gerhards</w:t>
      </w:r>
    </w:p>
    <w:p w14:paraId="024FC89F" w14:textId="77777777" w:rsidR="003F112B" w:rsidRDefault="003F112B" w:rsidP="006F7405">
      <w:pPr>
        <w:tabs>
          <w:tab w:val="left" w:pos="6237"/>
        </w:tabs>
        <w:ind w:firstLine="720"/>
      </w:pPr>
    </w:p>
    <w:p w14:paraId="6479AA46" w14:textId="77777777" w:rsidR="00EF1FBB" w:rsidRDefault="00EF1FBB" w:rsidP="006F7405">
      <w:pPr>
        <w:tabs>
          <w:tab w:val="left" w:pos="6237"/>
        </w:tabs>
      </w:pPr>
      <w:bookmarkStart w:id="1" w:name="_Hlk500403611"/>
    </w:p>
    <w:p w14:paraId="770B2C26" w14:textId="06DAE9B3" w:rsidR="00EF1FBB" w:rsidRDefault="00EF1FBB" w:rsidP="006F7405">
      <w:pPr>
        <w:tabs>
          <w:tab w:val="left" w:pos="6237"/>
        </w:tabs>
      </w:pPr>
    </w:p>
    <w:p w14:paraId="1744242A" w14:textId="2C2C2934" w:rsidR="00DB034C" w:rsidRDefault="00DB034C" w:rsidP="006F7405">
      <w:pPr>
        <w:tabs>
          <w:tab w:val="left" w:pos="6237"/>
        </w:tabs>
      </w:pPr>
    </w:p>
    <w:p w14:paraId="35358533" w14:textId="6143B46E" w:rsidR="00DB034C" w:rsidRDefault="00DB034C" w:rsidP="006F7405">
      <w:pPr>
        <w:tabs>
          <w:tab w:val="left" w:pos="6237"/>
        </w:tabs>
      </w:pPr>
    </w:p>
    <w:p w14:paraId="7D6DB94F" w14:textId="756B1005" w:rsidR="00DB034C" w:rsidRDefault="00DB034C" w:rsidP="006F7405">
      <w:pPr>
        <w:tabs>
          <w:tab w:val="left" w:pos="6237"/>
        </w:tabs>
      </w:pPr>
    </w:p>
    <w:p w14:paraId="275287A1" w14:textId="2429F00D" w:rsidR="00DB034C" w:rsidRDefault="00DB034C" w:rsidP="006F7405">
      <w:pPr>
        <w:tabs>
          <w:tab w:val="left" w:pos="6237"/>
        </w:tabs>
      </w:pPr>
    </w:p>
    <w:p w14:paraId="77EADDEA" w14:textId="085046E2" w:rsidR="00DB034C" w:rsidRDefault="00DB034C" w:rsidP="006F7405">
      <w:pPr>
        <w:tabs>
          <w:tab w:val="left" w:pos="6237"/>
        </w:tabs>
      </w:pPr>
    </w:p>
    <w:p w14:paraId="0ABBFCBC" w14:textId="68DB675A" w:rsidR="00DB034C" w:rsidRDefault="00DB034C" w:rsidP="006F7405">
      <w:pPr>
        <w:tabs>
          <w:tab w:val="left" w:pos="6237"/>
        </w:tabs>
      </w:pPr>
    </w:p>
    <w:p w14:paraId="4418C43B" w14:textId="052CF1CA" w:rsidR="00DB034C" w:rsidRDefault="00DB034C" w:rsidP="006F7405">
      <w:pPr>
        <w:tabs>
          <w:tab w:val="left" w:pos="6237"/>
        </w:tabs>
      </w:pPr>
    </w:p>
    <w:p w14:paraId="28448A82" w14:textId="68825293" w:rsidR="00DB034C" w:rsidRDefault="00DB034C" w:rsidP="006F7405">
      <w:pPr>
        <w:tabs>
          <w:tab w:val="left" w:pos="6237"/>
        </w:tabs>
      </w:pPr>
    </w:p>
    <w:p w14:paraId="6AA6B7D4" w14:textId="18E72579" w:rsidR="00DB034C" w:rsidRDefault="00DB034C" w:rsidP="006F7405">
      <w:pPr>
        <w:tabs>
          <w:tab w:val="left" w:pos="6237"/>
        </w:tabs>
      </w:pPr>
    </w:p>
    <w:p w14:paraId="7695442F" w14:textId="5765A5E0" w:rsidR="00DB034C" w:rsidRDefault="00DB034C" w:rsidP="006F7405">
      <w:pPr>
        <w:tabs>
          <w:tab w:val="left" w:pos="6237"/>
        </w:tabs>
      </w:pPr>
    </w:p>
    <w:p w14:paraId="7199644E" w14:textId="24A9EDB0" w:rsidR="00DB034C" w:rsidRDefault="00DB034C" w:rsidP="006F7405">
      <w:pPr>
        <w:tabs>
          <w:tab w:val="left" w:pos="6237"/>
        </w:tabs>
      </w:pPr>
    </w:p>
    <w:p w14:paraId="26103B67" w14:textId="57C39650" w:rsidR="00DB034C" w:rsidRDefault="00DB034C" w:rsidP="006F7405">
      <w:pPr>
        <w:tabs>
          <w:tab w:val="left" w:pos="6237"/>
        </w:tabs>
      </w:pPr>
    </w:p>
    <w:p w14:paraId="056A683D" w14:textId="5E2D9239" w:rsidR="00DB034C" w:rsidRDefault="00DB034C" w:rsidP="006F7405">
      <w:pPr>
        <w:tabs>
          <w:tab w:val="left" w:pos="6237"/>
        </w:tabs>
      </w:pPr>
    </w:p>
    <w:p w14:paraId="154F790A" w14:textId="24E3306D" w:rsidR="00DB034C" w:rsidRDefault="00DB034C" w:rsidP="006F7405">
      <w:pPr>
        <w:tabs>
          <w:tab w:val="left" w:pos="6237"/>
        </w:tabs>
      </w:pPr>
    </w:p>
    <w:p w14:paraId="3AC59D7D" w14:textId="4A37A0B9" w:rsidR="00DB034C" w:rsidRDefault="00DB034C" w:rsidP="006F7405">
      <w:pPr>
        <w:tabs>
          <w:tab w:val="left" w:pos="6237"/>
        </w:tabs>
      </w:pPr>
    </w:p>
    <w:p w14:paraId="531DAAA7" w14:textId="3428B384" w:rsidR="00DB034C" w:rsidRDefault="00DB034C" w:rsidP="006F7405">
      <w:pPr>
        <w:tabs>
          <w:tab w:val="left" w:pos="6237"/>
        </w:tabs>
      </w:pPr>
    </w:p>
    <w:p w14:paraId="187BA98B" w14:textId="5B240420" w:rsidR="00DB034C" w:rsidRDefault="00DB034C" w:rsidP="006F7405">
      <w:pPr>
        <w:tabs>
          <w:tab w:val="left" w:pos="6237"/>
        </w:tabs>
      </w:pPr>
    </w:p>
    <w:p w14:paraId="0FBF162C" w14:textId="30C24198" w:rsidR="00DB034C" w:rsidRDefault="00DB034C" w:rsidP="006F7405">
      <w:pPr>
        <w:tabs>
          <w:tab w:val="left" w:pos="6237"/>
        </w:tabs>
      </w:pPr>
    </w:p>
    <w:p w14:paraId="275B331F" w14:textId="70C4EA00" w:rsidR="00DB034C" w:rsidRDefault="00DB034C" w:rsidP="006F7405">
      <w:pPr>
        <w:tabs>
          <w:tab w:val="left" w:pos="6237"/>
        </w:tabs>
      </w:pPr>
    </w:p>
    <w:p w14:paraId="4D51F59D" w14:textId="5C486C5D" w:rsidR="00DB034C" w:rsidRDefault="00DB034C" w:rsidP="006F7405">
      <w:pPr>
        <w:tabs>
          <w:tab w:val="left" w:pos="6237"/>
        </w:tabs>
      </w:pPr>
    </w:p>
    <w:p w14:paraId="296A015D" w14:textId="77777777" w:rsidR="00DB034C" w:rsidRDefault="00DB034C" w:rsidP="006F7405">
      <w:pPr>
        <w:tabs>
          <w:tab w:val="left" w:pos="6237"/>
        </w:tabs>
      </w:pPr>
    </w:p>
    <w:p w14:paraId="3EF33D99" w14:textId="77777777" w:rsidR="00EF1FBB" w:rsidRDefault="00EF1FBB" w:rsidP="006F7405">
      <w:pPr>
        <w:tabs>
          <w:tab w:val="left" w:pos="6237"/>
        </w:tabs>
      </w:pPr>
    </w:p>
    <w:p w14:paraId="4C90120D" w14:textId="77777777" w:rsidR="00EF1FBB" w:rsidRDefault="00EF1FBB" w:rsidP="006F7405">
      <w:pPr>
        <w:tabs>
          <w:tab w:val="left" w:pos="6237"/>
        </w:tabs>
      </w:pPr>
    </w:p>
    <w:p w14:paraId="0F47B737" w14:textId="442518D3" w:rsidR="00FF115F" w:rsidRPr="00DB034C" w:rsidRDefault="00367006" w:rsidP="006F7405">
      <w:pPr>
        <w:tabs>
          <w:tab w:val="left" w:pos="6237"/>
        </w:tabs>
      </w:pPr>
      <w:r w:rsidRPr="00DB034C">
        <w:t>Rutkovska</w:t>
      </w:r>
      <w:r w:rsidR="00F21C68" w:rsidRPr="00DB034C">
        <w:t xml:space="preserve"> </w:t>
      </w:r>
      <w:r w:rsidR="00FF115F" w:rsidRPr="00DB034C">
        <w:t>67027</w:t>
      </w:r>
      <w:r w:rsidRPr="00DB034C">
        <w:t>108</w:t>
      </w:r>
    </w:p>
    <w:p w14:paraId="4D4C5F91" w14:textId="782312B3" w:rsidR="00FF115F" w:rsidRPr="00DB034C" w:rsidRDefault="00DB034C" w:rsidP="006F7405">
      <w:pPr>
        <w:tabs>
          <w:tab w:val="left" w:pos="6237"/>
        </w:tabs>
      </w:pPr>
      <w:hyperlink r:id="rId9" w:history="1">
        <w:r w:rsidR="00367006" w:rsidRPr="00DB034C">
          <w:rPr>
            <w:rStyle w:val="Hipersaite"/>
          </w:rPr>
          <w:t>Ilze.Rutkovska@zm.gov.lv</w:t>
        </w:r>
      </w:hyperlink>
      <w:r w:rsidR="00FF115F" w:rsidRPr="00DB034C">
        <w:t xml:space="preserve"> </w:t>
      </w:r>
      <w:bookmarkEnd w:id="1"/>
    </w:p>
    <w:sectPr w:rsidR="00FF115F" w:rsidRPr="00DB034C" w:rsidSect="00EF1FBB">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A040E" w14:textId="77777777" w:rsidR="0064438A" w:rsidRDefault="0064438A">
      <w:r>
        <w:separator/>
      </w:r>
    </w:p>
  </w:endnote>
  <w:endnote w:type="continuationSeparator" w:id="0">
    <w:p w14:paraId="1E1CF3DD" w14:textId="77777777" w:rsidR="0064438A" w:rsidRDefault="00644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4FF3B" w14:textId="0E2E58D1" w:rsidR="004C5845" w:rsidRPr="00DB034C" w:rsidRDefault="00DB034C" w:rsidP="00DB034C">
    <w:pPr>
      <w:pStyle w:val="Kjene"/>
    </w:pPr>
    <w:r w:rsidRPr="00DB034C">
      <w:rPr>
        <w:sz w:val="20"/>
        <w:szCs w:val="20"/>
      </w:rPr>
      <w:t>ZManot_171120_grpiekrlim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E6009" w14:textId="1675B876" w:rsidR="004C5845" w:rsidRPr="00DB034C" w:rsidRDefault="00DB034C" w:rsidP="00DB034C">
    <w:pPr>
      <w:pStyle w:val="Kjene"/>
    </w:pPr>
    <w:r w:rsidRPr="00DB034C">
      <w:rPr>
        <w:sz w:val="20"/>
        <w:szCs w:val="20"/>
      </w:rPr>
      <w:t>ZManot_171120_grpiekrlim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68042" w14:textId="77777777" w:rsidR="0064438A" w:rsidRDefault="0064438A">
      <w:r>
        <w:separator/>
      </w:r>
    </w:p>
  </w:footnote>
  <w:footnote w:type="continuationSeparator" w:id="0">
    <w:p w14:paraId="544B5B23" w14:textId="77777777" w:rsidR="0064438A" w:rsidRDefault="00644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2C6C" w14:textId="77777777" w:rsidR="004C5845" w:rsidRDefault="004C5845"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FE3F08C" w14:textId="77777777" w:rsidR="004C5845" w:rsidRDefault="004C584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39C0" w14:textId="64764496" w:rsidR="004C5845" w:rsidRDefault="004C5845"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4B376D">
      <w:rPr>
        <w:rStyle w:val="Lappusesnumurs"/>
        <w:noProof/>
      </w:rPr>
      <w:t>6</w:t>
    </w:r>
    <w:r>
      <w:rPr>
        <w:rStyle w:val="Lappusesnumurs"/>
      </w:rPr>
      <w:fldChar w:fldCharType="end"/>
    </w:r>
  </w:p>
  <w:p w14:paraId="5493556A" w14:textId="77777777" w:rsidR="004C5845" w:rsidRDefault="004C584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146794B"/>
    <w:multiLevelType w:val="hybridMultilevel"/>
    <w:tmpl w:val="0FCED2F2"/>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1"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6"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602E1CCB"/>
    <w:multiLevelType w:val="hybridMultilevel"/>
    <w:tmpl w:val="B65A46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4"/>
  </w:num>
  <w:num w:numId="3">
    <w:abstractNumId w:val="19"/>
  </w:num>
  <w:num w:numId="4">
    <w:abstractNumId w:val="0"/>
  </w:num>
  <w:num w:numId="5">
    <w:abstractNumId w:val="4"/>
  </w:num>
  <w:num w:numId="6">
    <w:abstractNumId w:val="5"/>
  </w:num>
  <w:num w:numId="7">
    <w:abstractNumId w:val="13"/>
  </w:num>
  <w:num w:numId="8">
    <w:abstractNumId w:val="2"/>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3"/>
  </w:num>
  <w:num w:numId="13">
    <w:abstractNumId w:val="11"/>
  </w:num>
  <w:num w:numId="14">
    <w:abstractNumId w:val="20"/>
  </w:num>
  <w:num w:numId="15">
    <w:abstractNumId w:val="9"/>
  </w:num>
  <w:num w:numId="16">
    <w:abstractNumId w:val="8"/>
  </w:num>
  <w:num w:numId="17">
    <w:abstractNumId w:val="1"/>
  </w:num>
  <w:num w:numId="18">
    <w:abstractNumId w:val="7"/>
  </w:num>
  <w:num w:numId="19">
    <w:abstractNumId w:val="12"/>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F6E"/>
    <w:rsid w:val="00001CED"/>
    <w:rsid w:val="00003C42"/>
    <w:rsid w:val="00004273"/>
    <w:rsid w:val="00005376"/>
    <w:rsid w:val="000150FD"/>
    <w:rsid w:val="0002350E"/>
    <w:rsid w:val="00025FF8"/>
    <w:rsid w:val="00026252"/>
    <w:rsid w:val="00034552"/>
    <w:rsid w:val="000345B6"/>
    <w:rsid w:val="000350D0"/>
    <w:rsid w:val="000474F1"/>
    <w:rsid w:val="00050598"/>
    <w:rsid w:val="00052DFA"/>
    <w:rsid w:val="000577EC"/>
    <w:rsid w:val="000735D2"/>
    <w:rsid w:val="00076519"/>
    <w:rsid w:val="00090935"/>
    <w:rsid w:val="00096430"/>
    <w:rsid w:val="00096EF3"/>
    <w:rsid w:val="0009728B"/>
    <w:rsid w:val="000A20CA"/>
    <w:rsid w:val="000A671A"/>
    <w:rsid w:val="000B3B9A"/>
    <w:rsid w:val="000B66D7"/>
    <w:rsid w:val="000C1423"/>
    <w:rsid w:val="000C397F"/>
    <w:rsid w:val="000D2B78"/>
    <w:rsid w:val="000D5EE6"/>
    <w:rsid w:val="000D724F"/>
    <w:rsid w:val="000E73A0"/>
    <w:rsid w:val="000F0F95"/>
    <w:rsid w:val="000F43FB"/>
    <w:rsid w:val="000F688A"/>
    <w:rsid w:val="0010226D"/>
    <w:rsid w:val="00102D9D"/>
    <w:rsid w:val="00104E33"/>
    <w:rsid w:val="00107AB0"/>
    <w:rsid w:val="00107BA0"/>
    <w:rsid w:val="0011330D"/>
    <w:rsid w:val="00114E60"/>
    <w:rsid w:val="00117C55"/>
    <w:rsid w:val="00121771"/>
    <w:rsid w:val="00121B5C"/>
    <w:rsid w:val="00126D93"/>
    <w:rsid w:val="00130ECA"/>
    <w:rsid w:val="00133106"/>
    <w:rsid w:val="00136BB2"/>
    <w:rsid w:val="0014219B"/>
    <w:rsid w:val="001466FB"/>
    <w:rsid w:val="00146954"/>
    <w:rsid w:val="001469EA"/>
    <w:rsid w:val="00147710"/>
    <w:rsid w:val="001551BB"/>
    <w:rsid w:val="00161569"/>
    <w:rsid w:val="001632C7"/>
    <w:rsid w:val="00171254"/>
    <w:rsid w:val="0018260A"/>
    <w:rsid w:val="001879E9"/>
    <w:rsid w:val="00190320"/>
    <w:rsid w:val="0019227E"/>
    <w:rsid w:val="00195907"/>
    <w:rsid w:val="001A2A9A"/>
    <w:rsid w:val="001A2DB3"/>
    <w:rsid w:val="001A2EDE"/>
    <w:rsid w:val="001A4168"/>
    <w:rsid w:val="001A4894"/>
    <w:rsid w:val="001B3E56"/>
    <w:rsid w:val="001C2DDE"/>
    <w:rsid w:val="001C40F4"/>
    <w:rsid w:val="001C4C71"/>
    <w:rsid w:val="001D4554"/>
    <w:rsid w:val="001D50B1"/>
    <w:rsid w:val="001D7523"/>
    <w:rsid w:val="001E2B61"/>
    <w:rsid w:val="001E7597"/>
    <w:rsid w:val="001F5281"/>
    <w:rsid w:val="0020784B"/>
    <w:rsid w:val="002162FB"/>
    <w:rsid w:val="00226F48"/>
    <w:rsid w:val="00230DA0"/>
    <w:rsid w:val="002369A5"/>
    <w:rsid w:val="002428F2"/>
    <w:rsid w:val="002442C8"/>
    <w:rsid w:val="002443C7"/>
    <w:rsid w:val="002471FB"/>
    <w:rsid w:val="00256F58"/>
    <w:rsid w:val="002641D3"/>
    <w:rsid w:val="002645F6"/>
    <w:rsid w:val="00266CC9"/>
    <w:rsid w:val="00267204"/>
    <w:rsid w:val="002755F2"/>
    <w:rsid w:val="0028528E"/>
    <w:rsid w:val="00285A0F"/>
    <w:rsid w:val="002A36DD"/>
    <w:rsid w:val="002B1F16"/>
    <w:rsid w:val="002B26BC"/>
    <w:rsid w:val="002B2A1F"/>
    <w:rsid w:val="002B3674"/>
    <w:rsid w:val="002B40FD"/>
    <w:rsid w:val="002B4D86"/>
    <w:rsid w:val="002B5405"/>
    <w:rsid w:val="002B5662"/>
    <w:rsid w:val="002B5DE9"/>
    <w:rsid w:val="002B6485"/>
    <w:rsid w:val="002B6D2A"/>
    <w:rsid w:val="002C1630"/>
    <w:rsid w:val="002D57A2"/>
    <w:rsid w:val="002E3800"/>
    <w:rsid w:val="002E7D20"/>
    <w:rsid w:val="002F05F0"/>
    <w:rsid w:val="002F6189"/>
    <w:rsid w:val="003073D6"/>
    <w:rsid w:val="00317C38"/>
    <w:rsid w:val="00322216"/>
    <w:rsid w:val="00326177"/>
    <w:rsid w:val="00331C8D"/>
    <w:rsid w:val="003324F3"/>
    <w:rsid w:val="0033487E"/>
    <w:rsid w:val="003374A5"/>
    <w:rsid w:val="00342BF7"/>
    <w:rsid w:val="003435FD"/>
    <w:rsid w:val="00343D5C"/>
    <w:rsid w:val="00344509"/>
    <w:rsid w:val="00352202"/>
    <w:rsid w:val="003526C8"/>
    <w:rsid w:val="003640B4"/>
    <w:rsid w:val="00367006"/>
    <w:rsid w:val="00370156"/>
    <w:rsid w:val="0037762B"/>
    <w:rsid w:val="00382E39"/>
    <w:rsid w:val="00382FE9"/>
    <w:rsid w:val="003858DC"/>
    <w:rsid w:val="00385F35"/>
    <w:rsid w:val="00391E43"/>
    <w:rsid w:val="00397F45"/>
    <w:rsid w:val="003A136C"/>
    <w:rsid w:val="003A218D"/>
    <w:rsid w:val="003A2802"/>
    <w:rsid w:val="003A466F"/>
    <w:rsid w:val="003B55F7"/>
    <w:rsid w:val="003C23E3"/>
    <w:rsid w:val="003C5E95"/>
    <w:rsid w:val="003D14EB"/>
    <w:rsid w:val="003D2C4F"/>
    <w:rsid w:val="003D301E"/>
    <w:rsid w:val="003D4070"/>
    <w:rsid w:val="003E5F8F"/>
    <w:rsid w:val="003F0950"/>
    <w:rsid w:val="003F112B"/>
    <w:rsid w:val="003F1B58"/>
    <w:rsid w:val="003F59ED"/>
    <w:rsid w:val="003F697C"/>
    <w:rsid w:val="0040052E"/>
    <w:rsid w:val="004133D5"/>
    <w:rsid w:val="004144A5"/>
    <w:rsid w:val="00414A3E"/>
    <w:rsid w:val="004156A4"/>
    <w:rsid w:val="004253CE"/>
    <w:rsid w:val="0042691F"/>
    <w:rsid w:val="004308B8"/>
    <w:rsid w:val="0043346B"/>
    <w:rsid w:val="00434C4A"/>
    <w:rsid w:val="00435520"/>
    <w:rsid w:val="00436791"/>
    <w:rsid w:val="00437609"/>
    <w:rsid w:val="00442DEC"/>
    <w:rsid w:val="004517E5"/>
    <w:rsid w:val="00453DAC"/>
    <w:rsid w:val="00463B0E"/>
    <w:rsid w:val="00481E8B"/>
    <w:rsid w:val="0048328F"/>
    <w:rsid w:val="0048484C"/>
    <w:rsid w:val="0049307E"/>
    <w:rsid w:val="004A385E"/>
    <w:rsid w:val="004A6849"/>
    <w:rsid w:val="004B376D"/>
    <w:rsid w:val="004C2E8F"/>
    <w:rsid w:val="004C3C10"/>
    <w:rsid w:val="004C4B9D"/>
    <w:rsid w:val="004C5845"/>
    <w:rsid w:val="004C7C02"/>
    <w:rsid w:val="004D2147"/>
    <w:rsid w:val="004D4254"/>
    <w:rsid w:val="004E6573"/>
    <w:rsid w:val="004F006B"/>
    <w:rsid w:val="004F4E5C"/>
    <w:rsid w:val="004F6B6B"/>
    <w:rsid w:val="00505AA6"/>
    <w:rsid w:val="005073F4"/>
    <w:rsid w:val="0051134C"/>
    <w:rsid w:val="005140F4"/>
    <w:rsid w:val="00517791"/>
    <w:rsid w:val="00522382"/>
    <w:rsid w:val="005274C0"/>
    <w:rsid w:val="00536E02"/>
    <w:rsid w:val="00541D6A"/>
    <w:rsid w:val="0054567A"/>
    <w:rsid w:val="00550AC1"/>
    <w:rsid w:val="00551AD6"/>
    <w:rsid w:val="005731FC"/>
    <w:rsid w:val="0057360A"/>
    <w:rsid w:val="005752D0"/>
    <w:rsid w:val="00591417"/>
    <w:rsid w:val="00595F40"/>
    <w:rsid w:val="005A0E95"/>
    <w:rsid w:val="005A3BBD"/>
    <w:rsid w:val="005B048D"/>
    <w:rsid w:val="005B0D08"/>
    <w:rsid w:val="005B30BD"/>
    <w:rsid w:val="005B459B"/>
    <w:rsid w:val="005B595C"/>
    <w:rsid w:val="005C3C1C"/>
    <w:rsid w:val="005C5594"/>
    <w:rsid w:val="005D7DEB"/>
    <w:rsid w:val="005E28DF"/>
    <w:rsid w:val="005E3FA2"/>
    <w:rsid w:val="005E5794"/>
    <w:rsid w:val="005E705C"/>
    <w:rsid w:val="005F1F6F"/>
    <w:rsid w:val="005F644D"/>
    <w:rsid w:val="006023C9"/>
    <w:rsid w:val="0060496A"/>
    <w:rsid w:val="00605786"/>
    <w:rsid w:val="00615B31"/>
    <w:rsid w:val="006352F4"/>
    <w:rsid w:val="0064438A"/>
    <w:rsid w:val="006526A4"/>
    <w:rsid w:val="00653D9E"/>
    <w:rsid w:val="00657A74"/>
    <w:rsid w:val="00664AC8"/>
    <w:rsid w:val="00664DA7"/>
    <w:rsid w:val="00665133"/>
    <w:rsid w:val="006722DA"/>
    <w:rsid w:val="006822D3"/>
    <w:rsid w:val="006945D1"/>
    <w:rsid w:val="006A00AC"/>
    <w:rsid w:val="006A02E7"/>
    <w:rsid w:val="006A0621"/>
    <w:rsid w:val="006A481A"/>
    <w:rsid w:val="006B73DC"/>
    <w:rsid w:val="006B7A4E"/>
    <w:rsid w:val="006C641B"/>
    <w:rsid w:val="006D497F"/>
    <w:rsid w:val="006F24F7"/>
    <w:rsid w:val="006F7405"/>
    <w:rsid w:val="007028BF"/>
    <w:rsid w:val="0070498F"/>
    <w:rsid w:val="00704AF6"/>
    <w:rsid w:val="00705A01"/>
    <w:rsid w:val="007272C8"/>
    <w:rsid w:val="00731647"/>
    <w:rsid w:val="00735D9B"/>
    <w:rsid w:val="00735F01"/>
    <w:rsid w:val="00737E27"/>
    <w:rsid w:val="00741163"/>
    <w:rsid w:val="007503C4"/>
    <w:rsid w:val="0075325D"/>
    <w:rsid w:val="007578DA"/>
    <w:rsid w:val="00761083"/>
    <w:rsid w:val="007671B8"/>
    <w:rsid w:val="007767A9"/>
    <w:rsid w:val="00792050"/>
    <w:rsid w:val="00797584"/>
    <w:rsid w:val="007A32A1"/>
    <w:rsid w:val="007B371E"/>
    <w:rsid w:val="007B4783"/>
    <w:rsid w:val="007C06E7"/>
    <w:rsid w:val="007C2A8B"/>
    <w:rsid w:val="007C4499"/>
    <w:rsid w:val="007C53B0"/>
    <w:rsid w:val="007C6368"/>
    <w:rsid w:val="007C6DC9"/>
    <w:rsid w:val="007D577B"/>
    <w:rsid w:val="007E49E4"/>
    <w:rsid w:val="007E7D3E"/>
    <w:rsid w:val="007F1F1C"/>
    <w:rsid w:val="007F2548"/>
    <w:rsid w:val="007F550B"/>
    <w:rsid w:val="00803131"/>
    <w:rsid w:val="0080353D"/>
    <w:rsid w:val="00807DC1"/>
    <w:rsid w:val="00815D0E"/>
    <w:rsid w:val="0082484A"/>
    <w:rsid w:val="00830EAA"/>
    <w:rsid w:val="00832D8F"/>
    <w:rsid w:val="00835034"/>
    <w:rsid w:val="00836E43"/>
    <w:rsid w:val="00840329"/>
    <w:rsid w:val="00845D65"/>
    <w:rsid w:val="00851E5F"/>
    <w:rsid w:val="0085209E"/>
    <w:rsid w:val="00857E18"/>
    <w:rsid w:val="0086557C"/>
    <w:rsid w:val="00867973"/>
    <w:rsid w:val="00876144"/>
    <w:rsid w:val="0087722B"/>
    <w:rsid w:val="008777C1"/>
    <w:rsid w:val="00894D6A"/>
    <w:rsid w:val="0089520A"/>
    <w:rsid w:val="00895590"/>
    <w:rsid w:val="008A5F3D"/>
    <w:rsid w:val="008C6D7D"/>
    <w:rsid w:val="008D2A61"/>
    <w:rsid w:val="008D2F56"/>
    <w:rsid w:val="008E39AE"/>
    <w:rsid w:val="008F2C7D"/>
    <w:rsid w:val="009029BB"/>
    <w:rsid w:val="0090337A"/>
    <w:rsid w:val="009052C7"/>
    <w:rsid w:val="00906E4E"/>
    <w:rsid w:val="00910147"/>
    <w:rsid w:val="009104AC"/>
    <w:rsid w:val="00916544"/>
    <w:rsid w:val="009167C1"/>
    <w:rsid w:val="00926769"/>
    <w:rsid w:val="009305DB"/>
    <w:rsid w:val="00931ECF"/>
    <w:rsid w:val="009472F3"/>
    <w:rsid w:val="00953811"/>
    <w:rsid w:val="00960829"/>
    <w:rsid w:val="00970D16"/>
    <w:rsid w:val="009732FC"/>
    <w:rsid w:val="009850F9"/>
    <w:rsid w:val="0099181F"/>
    <w:rsid w:val="009974CA"/>
    <w:rsid w:val="009A022A"/>
    <w:rsid w:val="009A2025"/>
    <w:rsid w:val="009A5E5C"/>
    <w:rsid w:val="009A6109"/>
    <w:rsid w:val="009B4FAF"/>
    <w:rsid w:val="009B7D4D"/>
    <w:rsid w:val="009C0E6E"/>
    <w:rsid w:val="009C56ED"/>
    <w:rsid w:val="009D07E9"/>
    <w:rsid w:val="009D3B4B"/>
    <w:rsid w:val="009E0E35"/>
    <w:rsid w:val="009E1655"/>
    <w:rsid w:val="009E2BB4"/>
    <w:rsid w:val="009E4000"/>
    <w:rsid w:val="009E5887"/>
    <w:rsid w:val="009F2494"/>
    <w:rsid w:val="009F38AE"/>
    <w:rsid w:val="00A076CA"/>
    <w:rsid w:val="00A1481E"/>
    <w:rsid w:val="00A171AD"/>
    <w:rsid w:val="00A2028F"/>
    <w:rsid w:val="00A240CC"/>
    <w:rsid w:val="00A26A80"/>
    <w:rsid w:val="00A27AEF"/>
    <w:rsid w:val="00A30E6C"/>
    <w:rsid w:val="00A41A3E"/>
    <w:rsid w:val="00A43DEF"/>
    <w:rsid w:val="00A50F49"/>
    <w:rsid w:val="00A54BFD"/>
    <w:rsid w:val="00A55886"/>
    <w:rsid w:val="00A622D2"/>
    <w:rsid w:val="00A82DEC"/>
    <w:rsid w:val="00A84A1B"/>
    <w:rsid w:val="00A87F03"/>
    <w:rsid w:val="00A948D3"/>
    <w:rsid w:val="00A95ADA"/>
    <w:rsid w:val="00A97B97"/>
    <w:rsid w:val="00AA02F3"/>
    <w:rsid w:val="00AA154B"/>
    <w:rsid w:val="00AA192E"/>
    <w:rsid w:val="00AA4ACF"/>
    <w:rsid w:val="00AA60AD"/>
    <w:rsid w:val="00AA7733"/>
    <w:rsid w:val="00AB3C5A"/>
    <w:rsid w:val="00AB3DA5"/>
    <w:rsid w:val="00AB7E64"/>
    <w:rsid w:val="00AC13F9"/>
    <w:rsid w:val="00AC16F8"/>
    <w:rsid w:val="00AC2977"/>
    <w:rsid w:val="00AC5237"/>
    <w:rsid w:val="00AD161F"/>
    <w:rsid w:val="00AE0C12"/>
    <w:rsid w:val="00AE6AEC"/>
    <w:rsid w:val="00AF3F28"/>
    <w:rsid w:val="00B00642"/>
    <w:rsid w:val="00B0147E"/>
    <w:rsid w:val="00B1320F"/>
    <w:rsid w:val="00B154D3"/>
    <w:rsid w:val="00B266EF"/>
    <w:rsid w:val="00B30C5D"/>
    <w:rsid w:val="00B339A0"/>
    <w:rsid w:val="00B33C19"/>
    <w:rsid w:val="00B3642D"/>
    <w:rsid w:val="00B37027"/>
    <w:rsid w:val="00B37CF6"/>
    <w:rsid w:val="00B40C94"/>
    <w:rsid w:val="00B432A4"/>
    <w:rsid w:val="00B46A8E"/>
    <w:rsid w:val="00B47868"/>
    <w:rsid w:val="00B52502"/>
    <w:rsid w:val="00B56DDA"/>
    <w:rsid w:val="00B604ED"/>
    <w:rsid w:val="00B604FE"/>
    <w:rsid w:val="00B639C4"/>
    <w:rsid w:val="00B642F5"/>
    <w:rsid w:val="00B64D78"/>
    <w:rsid w:val="00B70D92"/>
    <w:rsid w:val="00B7654E"/>
    <w:rsid w:val="00B809AB"/>
    <w:rsid w:val="00B823E1"/>
    <w:rsid w:val="00B8447A"/>
    <w:rsid w:val="00B84B35"/>
    <w:rsid w:val="00B94C63"/>
    <w:rsid w:val="00B95433"/>
    <w:rsid w:val="00BA11BC"/>
    <w:rsid w:val="00BA79F5"/>
    <w:rsid w:val="00BB08AD"/>
    <w:rsid w:val="00BB39D2"/>
    <w:rsid w:val="00BB3E35"/>
    <w:rsid w:val="00BB7C6C"/>
    <w:rsid w:val="00BC4DAE"/>
    <w:rsid w:val="00BC51A5"/>
    <w:rsid w:val="00BD365A"/>
    <w:rsid w:val="00BD43D1"/>
    <w:rsid w:val="00BD5DFD"/>
    <w:rsid w:val="00BE302B"/>
    <w:rsid w:val="00BE59DF"/>
    <w:rsid w:val="00BE5AAC"/>
    <w:rsid w:val="00BE6005"/>
    <w:rsid w:val="00BF1618"/>
    <w:rsid w:val="00BF425D"/>
    <w:rsid w:val="00BF45D4"/>
    <w:rsid w:val="00C0284D"/>
    <w:rsid w:val="00C13B86"/>
    <w:rsid w:val="00C13CB2"/>
    <w:rsid w:val="00C14AEA"/>
    <w:rsid w:val="00C26096"/>
    <w:rsid w:val="00C357B8"/>
    <w:rsid w:val="00C3648A"/>
    <w:rsid w:val="00C364C6"/>
    <w:rsid w:val="00C4087C"/>
    <w:rsid w:val="00C42294"/>
    <w:rsid w:val="00C42A79"/>
    <w:rsid w:val="00C447EC"/>
    <w:rsid w:val="00C64A54"/>
    <w:rsid w:val="00C71869"/>
    <w:rsid w:val="00C75BAE"/>
    <w:rsid w:val="00C81C09"/>
    <w:rsid w:val="00C81FCF"/>
    <w:rsid w:val="00C830D6"/>
    <w:rsid w:val="00C83496"/>
    <w:rsid w:val="00C83647"/>
    <w:rsid w:val="00C85510"/>
    <w:rsid w:val="00C85FBC"/>
    <w:rsid w:val="00C93094"/>
    <w:rsid w:val="00C9508D"/>
    <w:rsid w:val="00CA16D8"/>
    <w:rsid w:val="00CA1BE4"/>
    <w:rsid w:val="00CA2273"/>
    <w:rsid w:val="00CA7F4C"/>
    <w:rsid w:val="00CB108D"/>
    <w:rsid w:val="00CB1AA4"/>
    <w:rsid w:val="00CC08B7"/>
    <w:rsid w:val="00CC2D3C"/>
    <w:rsid w:val="00CC36D6"/>
    <w:rsid w:val="00CC68C7"/>
    <w:rsid w:val="00CD0006"/>
    <w:rsid w:val="00CD36BD"/>
    <w:rsid w:val="00CD7326"/>
    <w:rsid w:val="00CE0E21"/>
    <w:rsid w:val="00CE0FFB"/>
    <w:rsid w:val="00CE35BF"/>
    <w:rsid w:val="00D00287"/>
    <w:rsid w:val="00D01A13"/>
    <w:rsid w:val="00D0215A"/>
    <w:rsid w:val="00D04FB3"/>
    <w:rsid w:val="00D0550A"/>
    <w:rsid w:val="00D07D7E"/>
    <w:rsid w:val="00D10C73"/>
    <w:rsid w:val="00D16F90"/>
    <w:rsid w:val="00D20988"/>
    <w:rsid w:val="00D24306"/>
    <w:rsid w:val="00D2650F"/>
    <w:rsid w:val="00D273DD"/>
    <w:rsid w:val="00D317A9"/>
    <w:rsid w:val="00D42020"/>
    <w:rsid w:val="00D42F6E"/>
    <w:rsid w:val="00D438C7"/>
    <w:rsid w:val="00D52AF4"/>
    <w:rsid w:val="00D646A9"/>
    <w:rsid w:val="00D6670A"/>
    <w:rsid w:val="00D67890"/>
    <w:rsid w:val="00D7054C"/>
    <w:rsid w:val="00D71E16"/>
    <w:rsid w:val="00D71EBA"/>
    <w:rsid w:val="00D82E41"/>
    <w:rsid w:val="00D91E58"/>
    <w:rsid w:val="00D944FA"/>
    <w:rsid w:val="00DA1271"/>
    <w:rsid w:val="00DA2513"/>
    <w:rsid w:val="00DB034C"/>
    <w:rsid w:val="00DB2250"/>
    <w:rsid w:val="00DB5678"/>
    <w:rsid w:val="00DC1C68"/>
    <w:rsid w:val="00DC2C24"/>
    <w:rsid w:val="00DC542A"/>
    <w:rsid w:val="00DC74D4"/>
    <w:rsid w:val="00DD02C2"/>
    <w:rsid w:val="00DE4FF3"/>
    <w:rsid w:val="00DE51A9"/>
    <w:rsid w:val="00DE7866"/>
    <w:rsid w:val="00DF5972"/>
    <w:rsid w:val="00DF5B17"/>
    <w:rsid w:val="00DF5D71"/>
    <w:rsid w:val="00E01135"/>
    <w:rsid w:val="00E05598"/>
    <w:rsid w:val="00E063C6"/>
    <w:rsid w:val="00E136CB"/>
    <w:rsid w:val="00E14513"/>
    <w:rsid w:val="00E156F9"/>
    <w:rsid w:val="00E16EB5"/>
    <w:rsid w:val="00E17C0F"/>
    <w:rsid w:val="00E22F49"/>
    <w:rsid w:val="00E41BC8"/>
    <w:rsid w:val="00E42037"/>
    <w:rsid w:val="00E4426A"/>
    <w:rsid w:val="00E44D8D"/>
    <w:rsid w:val="00E50BEA"/>
    <w:rsid w:val="00E522C7"/>
    <w:rsid w:val="00E56C7A"/>
    <w:rsid w:val="00E7090D"/>
    <w:rsid w:val="00E81C80"/>
    <w:rsid w:val="00E87B62"/>
    <w:rsid w:val="00E92A20"/>
    <w:rsid w:val="00E92EF0"/>
    <w:rsid w:val="00E93FA5"/>
    <w:rsid w:val="00E95672"/>
    <w:rsid w:val="00EA26D0"/>
    <w:rsid w:val="00EB0027"/>
    <w:rsid w:val="00EB4A7F"/>
    <w:rsid w:val="00EB505C"/>
    <w:rsid w:val="00EB6B0B"/>
    <w:rsid w:val="00EC083B"/>
    <w:rsid w:val="00EC3C3A"/>
    <w:rsid w:val="00ED0C2A"/>
    <w:rsid w:val="00ED68B9"/>
    <w:rsid w:val="00EE4B8C"/>
    <w:rsid w:val="00EE6AD2"/>
    <w:rsid w:val="00EF1FBB"/>
    <w:rsid w:val="00F0338F"/>
    <w:rsid w:val="00F03B70"/>
    <w:rsid w:val="00F075DF"/>
    <w:rsid w:val="00F128E2"/>
    <w:rsid w:val="00F12A79"/>
    <w:rsid w:val="00F1559C"/>
    <w:rsid w:val="00F1746C"/>
    <w:rsid w:val="00F17A54"/>
    <w:rsid w:val="00F20147"/>
    <w:rsid w:val="00F207BD"/>
    <w:rsid w:val="00F21C68"/>
    <w:rsid w:val="00F32867"/>
    <w:rsid w:val="00F3375D"/>
    <w:rsid w:val="00F41A9C"/>
    <w:rsid w:val="00F501C7"/>
    <w:rsid w:val="00F54110"/>
    <w:rsid w:val="00F55B49"/>
    <w:rsid w:val="00F63C76"/>
    <w:rsid w:val="00F705E2"/>
    <w:rsid w:val="00F7150E"/>
    <w:rsid w:val="00F72CD8"/>
    <w:rsid w:val="00F8075E"/>
    <w:rsid w:val="00F82363"/>
    <w:rsid w:val="00F8722C"/>
    <w:rsid w:val="00F90CD9"/>
    <w:rsid w:val="00FA0514"/>
    <w:rsid w:val="00FA232D"/>
    <w:rsid w:val="00FB1DAE"/>
    <w:rsid w:val="00FB321E"/>
    <w:rsid w:val="00FB3D4A"/>
    <w:rsid w:val="00FB7D1F"/>
    <w:rsid w:val="00FC6FF6"/>
    <w:rsid w:val="00FD2F3D"/>
    <w:rsid w:val="00FD5829"/>
    <w:rsid w:val="00FE250A"/>
    <w:rsid w:val="00FE2818"/>
    <w:rsid w:val="00FE6B64"/>
    <w:rsid w:val="00FF115F"/>
    <w:rsid w:val="00FF2600"/>
    <w:rsid w:val="00FF30CB"/>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9F8A1"/>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uiPriority w:val="99"/>
    <w:rsid w:val="00D42F6E"/>
    <w:rPr>
      <w:sz w:val="20"/>
      <w:szCs w:val="20"/>
    </w:rPr>
  </w:style>
  <w:style w:type="character" w:customStyle="1" w:styleId="KomentratekstsRakstz">
    <w:name w:val="Komentāra teksts Rakstz."/>
    <w:basedOn w:val="Noklusjumarindkopasfonts"/>
    <w:link w:val="Komentrateksts"/>
    <w:uiPriority w:val="99"/>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rsid w:val="000577EC"/>
    <w:pPr>
      <w:spacing w:after="0" w:line="240" w:lineRule="auto"/>
    </w:pPr>
    <w:rPr>
      <w:rFonts w:ascii="Times New Roman" w:eastAsia="Times New Roman" w:hAnsi="Times New Roman" w:cs="Times New Roman"/>
      <w:sz w:val="24"/>
      <w:szCs w:val="24"/>
      <w:lang w:val="en-GB"/>
    </w:rPr>
  </w:style>
  <w:style w:type="character" w:customStyle="1" w:styleId="UnresolvedMention1">
    <w:name w:val="Unresolved Mention1"/>
    <w:basedOn w:val="Noklusjumarindkopasfonts"/>
    <w:uiPriority w:val="99"/>
    <w:semiHidden/>
    <w:unhideWhenUsed/>
    <w:rsid w:val="00C83496"/>
    <w:rPr>
      <w:color w:val="605E5C"/>
      <w:shd w:val="clear" w:color="auto" w:fill="E1DFDD"/>
    </w:rPr>
  </w:style>
  <w:style w:type="paragraph" w:customStyle="1" w:styleId="Bezatstarpm1">
    <w:name w:val="Bez atstarpēm1"/>
    <w:basedOn w:val="Parasts"/>
    <w:uiPriority w:val="1"/>
    <w:rsid w:val="00C9508D"/>
    <w:rPr>
      <w:rFonts w:ascii="Calibri" w:eastAsiaTheme="minorHAnsi" w:hAnsi="Calibri" w:cs="Calibri"/>
      <w:sz w:val="22"/>
      <w:szCs w:val="22"/>
      <w:lang w:eastAsia="en-US"/>
    </w:rPr>
  </w:style>
  <w:style w:type="character" w:customStyle="1" w:styleId="UnresolvedMention2">
    <w:name w:val="Unresolved Mention2"/>
    <w:basedOn w:val="Noklusjumarindkopasfonts"/>
    <w:uiPriority w:val="99"/>
    <w:semiHidden/>
    <w:unhideWhenUsed/>
    <w:rsid w:val="00034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32">
      <w:bodyDiv w:val="1"/>
      <w:marLeft w:val="0"/>
      <w:marRight w:val="0"/>
      <w:marTop w:val="0"/>
      <w:marBottom w:val="0"/>
      <w:divBdr>
        <w:top w:val="none" w:sz="0" w:space="0" w:color="auto"/>
        <w:left w:val="none" w:sz="0" w:space="0" w:color="auto"/>
        <w:bottom w:val="none" w:sz="0" w:space="0" w:color="auto"/>
        <w:right w:val="none" w:sz="0" w:space="0" w:color="auto"/>
      </w:divBdr>
    </w:div>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576592519">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grozijumi-ministru-kabineta-2009-gada-30-novembra-noteikumos-nr-1375-?id=9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Rutkovsk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C0A0C-3C64-447B-A939-8FA13A8E4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10071</Words>
  <Characters>5741</Characters>
  <Application>Microsoft Office Word</Application>
  <DocSecurity>0</DocSecurity>
  <Lines>47</Lines>
  <Paragraphs>31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Par Ministru kabineta noteikumu projektu</vt:lpstr>
    </vt:vector>
  </TitlesOfParts>
  <Company>Zemkopības Ministrija</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30. novembra noteikumos Nr. 1375 "Noteikumi par rūpnieciskās zvejas limitiem un to izmantošanas kārtību piekrastes ūdeņos</dc:title>
  <dc:subject>Anotācija</dc:subject>
  <dc:creator>Ilze Rutkovska</dc:creator>
  <dc:description>Ilze Rutkovska, tālr. 67027108, e- pasts: Ilze.Rutkovska@zm.gov.lv</dc:description>
  <cp:lastModifiedBy>Sanita Papinova</cp:lastModifiedBy>
  <cp:revision>3</cp:revision>
  <cp:lastPrinted>2019-10-08T06:45:00Z</cp:lastPrinted>
  <dcterms:created xsi:type="dcterms:W3CDTF">2020-11-17T12:33:00Z</dcterms:created>
  <dcterms:modified xsi:type="dcterms:W3CDTF">2020-11-17T12:58:00Z</dcterms:modified>
</cp:coreProperties>
</file>