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24E0CFDC" w:rsidR="001D64A6" w:rsidRPr="00B104F5" w:rsidRDefault="0052594D" w:rsidP="00B104F5">
      <w:pPr>
        <w:jc w:val="center"/>
        <w:rPr>
          <w:rFonts w:eastAsia="Calibri"/>
          <w:b/>
          <w:lang w:eastAsia="en-US"/>
        </w:rPr>
      </w:pPr>
      <w:r w:rsidRPr="00871719">
        <w:rPr>
          <w:b/>
          <w:bCs/>
        </w:rPr>
        <w:t xml:space="preserve">Ministru kabineta noteikumu </w:t>
      </w:r>
      <w:r w:rsidR="001D64A6" w:rsidRPr="00871719">
        <w:rPr>
          <w:b/>
          <w:bCs/>
        </w:rPr>
        <w:t xml:space="preserve">projekta </w:t>
      </w:r>
      <w:r w:rsidR="001233CF">
        <w:rPr>
          <w:b/>
        </w:rPr>
        <w:t>“</w:t>
      </w:r>
      <w:r w:rsidR="00B104F5" w:rsidRPr="00B104F5">
        <w:rPr>
          <w:rFonts w:eastAsia="Calibri"/>
          <w:b/>
          <w:lang w:eastAsia="en-US"/>
        </w:rPr>
        <w:t xml:space="preserve">Grozījumi Ministru kabineta </w:t>
      </w:r>
      <w:bookmarkStart w:id="0" w:name="_Hlk11633236"/>
      <w:r w:rsidR="00B104F5" w:rsidRPr="00B104F5">
        <w:rPr>
          <w:rFonts w:eastAsia="Calibri"/>
          <w:b/>
          <w:lang w:eastAsia="en-US"/>
        </w:rPr>
        <w:t xml:space="preserve">2016. gada </w:t>
      </w:r>
      <w:r w:rsidR="00B104F5">
        <w:rPr>
          <w:rFonts w:eastAsia="Calibri"/>
          <w:b/>
          <w:lang w:eastAsia="en-US"/>
        </w:rPr>
        <w:t>23. </w:t>
      </w:r>
      <w:r w:rsidR="00B104F5" w:rsidRPr="00B104F5">
        <w:rPr>
          <w:rFonts w:eastAsia="Calibri"/>
          <w:b/>
          <w:lang w:eastAsia="en-US"/>
        </w:rPr>
        <w:t>februāra noteikumos Nr. 108</w:t>
      </w:r>
      <w:r w:rsidR="00B104F5">
        <w:rPr>
          <w:rFonts w:eastAsia="Calibri"/>
          <w:b/>
          <w:lang w:eastAsia="en-US"/>
        </w:rPr>
        <w:t xml:space="preserve"> </w:t>
      </w:r>
      <w:r w:rsidR="00B104F5" w:rsidRPr="00B104F5">
        <w:rPr>
          <w:rFonts w:eastAsia="Calibri"/>
          <w:b/>
          <w:lang w:eastAsia="en-US"/>
        </w:rPr>
        <w:t>“Kārtība, kādā ārvalstu karakuģi ienāk un uzturas Latvijas Republikas teritoriālajā jūrā, iekšējos ūdeņos un ostās un iziet no tām”</w:t>
      </w:r>
      <w:bookmarkEnd w:id="0"/>
      <w:r w:rsidR="001233CF">
        <w:rPr>
          <w:b/>
        </w:rPr>
        <w:t xml:space="preserve">” </w:t>
      </w:r>
      <w:r w:rsidR="001D64A6"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EC62C7F" w14:textId="6AFC282A" w:rsidR="009F13DD" w:rsidRDefault="009F13DD" w:rsidP="00215C2F">
            <w:pPr>
              <w:jc w:val="both"/>
            </w:pPr>
            <w:r w:rsidRPr="009F13DD">
              <w:t>Ministru kabineta noteikumu projekta “Grozījumi Ministru kabineta 2016.</w:t>
            </w:r>
            <w:r w:rsidR="000E54D9">
              <w:t> </w:t>
            </w:r>
            <w:r w:rsidRPr="009F13DD">
              <w:t>gada 23.</w:t>
            </w:r>
            <w:r w:rsidR="000E54D9">
              <w:t> </w:t>
            </w:r>
            <w:r w:rsidRPr="009F13DD">
              <w:t>februāra noteikumos Nr.</w:t>
            </w:r>
            <w:r w:rsidR="000E54D9">
              <w:t> </w:t>
            </w:r>
            <w:r w:rsidRPr="009F13DD">
              <w:t xml:space="preserve">108 “Kārtība, kādā ārvalstu karakuģi ienāk un uzturas Latvijas Republikas teritoriālajā jūrā, iekšējos ūdeņos un ostās un iziet no tām””  </w:t>
            </w:r>
            <w:r>
              <w:t xml:space="preserve">mērķis ir atvieglot </w:t>
            </w:r>
            <w:r w:rsidR="00B4539D">
              <w:t xml:space="preserve">NATO un </w:t>
            </w:r>
            <w:r w:rsidR="00F51EEA">
              <w:t xml:space="preserve">Eiropas Savienības dalībvalstu karakuģu ienākšanas procesu </w:t>
            </w:r>
            <w:r w:rsidR="0043050E" w:rsidRPr="0043050E">
              <w:t>Latvijas Republikas teritoriālajā jūrā, iekšējos ūdeņos un ostās</w:t>
            </w:r>
            <w:r w:rsidR="0043050E">
              <w:t>, turpmāk tiem atceļot diplomātiskās atļaujas kārtošanas formalitātes.</w:t>
            </w:r>
          </w:p>
          <w:p w14:paraId="4CF1B6F8" w14:textId="46FC668B" w:rsidR="00A43184" w:rsidRPr="00871719" w:rsidRDefault="009F13DD" w:rsidP="00C76E94">
            <w:pPr>
              <w:jc w:val="both"/>
            </w:pPr>
            <w:r w:rsidRPr="00871719">
              <w:t>Noteikumu projekta spēkā stāšanās paredzēta normatīvajos aktos noteiktajā vispārējā kārtībā.</w:t>
            </w:r>
            <w:r w:rsidR="00C76E94">
              <w:t xml:space="preserve"> </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7D4C915C" w14:textId="6505A4ED" w:rsidR="00116F13" w:rsidRPr="00BA555A" w:rsidRDefault="00116F13" w:rsidP="00116F13">
            <w:pPr>
              <w:jc w:val="both"/>
              <w:rPr>
                <w:bCs/>
              </w:rPr>
            </w:pPr>
            <w:r w:rsidRPr="00116F13">
              <w:rPr>
                <w:bCs/>
              </w:rPr>
              <w:t>Aizsardzības ministrijas iniciatīva</w:t>
            </w:r>
            <w:r>
              <w:rPr>
                <w:bCs/>
              </w:rPr>
              <w:t>.</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7541C657" w14:textId="3DBF0DE8" w:rsidR="00116F13" w:rsidRDefault="00116F13" w:rsidP="00116F13">
            <w:pPr>
              <w:jc w:val="both"/>
            </w:pPr>
            <w:r w:rsidRPr="00A8298E">
              <w:rPr>
                <w:bCs/>
              </w:rPr>
              <w:t>Ministru kabineta noteikumu projekt</w:t>
            </w:r>
            <w:r w:rsidR="000E54D9">
              <w:rPr>
                <w:bCs/>
              </w:rPr>
              <w:t>s</w:t>
            </w:r>
            <w:r w:rsidRPr="00A8298E">
              <w:rPr>
                <w:bCs/>
              </w:rPr>
              <w:t xml:space="preserve"> “Grozījumi Ministru kabineta 2016.</w:t>
            </w:r>
            <w:r w:rsidR="000E54D9">
              <w:rPr>
                <w:bCs/>
              </w:rPr>
              <w:t> </w:t>
            </w:r>
            <w:r w:rsidRPr="00A8298E">
              <w:rPr>
                <w:bCs/>
              </w:rPr>
              <w:t>gada 23.</w:t>
            </w:r>
            <w:r w:rsidR="000E54D9">
              <w:rPr>
                <w:bCs/>
              </w:rPr>
              <w:t> </w:t>
            </w:r>
            <w:r w:rsidRPr="00A8298E">
              <w:rPr>
                <w:bCs/>
              </w:rPr>
              <w:t>februāra noteikumos Nr.</w:t>
            </w:r>
            <w:r w:rsidR="000E54D9">
              <w:rPr>
                <w:bCs/>
              </w:rPr>
              <w:t> </w:t>
            </w:r>
            <w:r w:rsidRPr="00A8298E">
              <w:rPr>
                <w:bCs/>
              </w:rPr>
              <w:t xml:space="preserve">108 “Kārtība, kādā ārvalstu karakuģi ienāk un uzturas Latvijas Republikas teritoriālajā jūrā, iekšējos ūdeņos un ostās un iziet no tām”” </w:t>
            </w:r>
            <w:r>
              <w:t xml:space="preserve"> </w:t>
            </w:r>
            <w:r w:rsidRPr="001233CF">
              <w:t>(t</w:t>
            </w:r>
            <w:r w:rsidRPr="00871719">
              <w:t>urpmāk – Noteikumu projekts) izstrādāts</w:t>
            </w:r>
            <w:r>
              <w:t xml:space="preserve"> pēc Aizsardzības ministrijas iniciatīvas, </w:t>
            </w:r>
            <w:r w:rsidR="000E54D9">
              <w:t xml:space="preserve">lai </w:t>
            </w:r>
            <w:r>
              <w:t>efektivizēt</w:t>
            </w:r>
            <w:r w:rsidR="000E54D9">
              <w:t>u</w:t>
            </w:r>
            <w:r>
              <w:t xml:space="preserve"> esošo tiesisko regulējumu, mazināt</w:t>
            </w:r>
            <w:r w:rsidR="000E54D9">
              <w:t>u</w:t>
            </w:r>
            <w:r>
              <w:t xml:space="preserve"> birokrātisko slogu iesaistītajām institūcijām un veicināt</w:t>
            </w:r>
            <w:r w:rsidR="000E54D9">
              <w:t>u</w:t>
            </w:r>
            <w:r>
              <w:t xml:space="preserve"> militāro mobilitāti. </w:t>
            </w:r>
          </w:p>
          <w:p w14:paraId="7762E9DE" w14:textId="57A95CE3" w:rsidR="00116F13" w:rsidRPr="00871719" w:rsidRDefault="00116F13" w:rsidP="00116F13">
            <w:pPr>
              <w:jc w:val="both"/>
            </w:pPr>
            <w:r w:rsidRPr="00871719">
              <w:t>Noteikumu projekta izstrād</w:t>
            </w:r>
            <w:r w:rsidR="000E54D9">
              <w:t xml:space="preserve">i nosaka </w:t>
            </w:r>
            <w:r w:rsidRPr="00871719">
              <w:t>nepieciešam</w:t>
            </w:r>
            <w:r w:rsidR="000E54D9">
              <w:t xml:space="preserve">ība </w:t>
            </w:r>
            <w:r w:rsidRPr="009D6BA0">
              <w:t>atvieglot</w:t>
            </w:r>
            <w:r>
              <w:t xml:space="preserve"> </w:t>
            </w:r>
            <w:r w:rsidR="00633722">
              <w:rPr>
                <w:color w:val="000000"/>
              </w:rPr>
              <w:t xml:space="preserve"> Ziemeļatlantijas līguma organizācijas (turpmāk arī – </w:t>
            </w:r>
            <w:r w:rsidR="00633722" w:rsidRPr="00B8785E">
              <w:rPr>
                <w:color w:val="000000"/>
              </w:rPr>
              <w:t>NATO</w:t>
            </w:r>
            <w:r w:rsidR="00633722">
              <w:rPr>
                <w:color w:val="000000"/>
              </w:rPr>
              <w:t>)</w:t>
            </w:r>
            <w:r>
              <w:t xml:space="preserve"> un</w:t>
            </w:r>
            <w:r w:rsidRPr="009D6BA0">
              <w:t xml:space="preserve"> Eiropas Savienības</w:t>
            </w:r>
            <w:r w:rsidR="00633722">
              <w:t xml:space="preserve"> (turpmāk arī - ES) </w:t>
            </w:r>
            <w:r w:rsidRPr="009D6BA0">
              <w:t>dalībvalstu karakuģu ienākšanas procesu Latvijas Republikas teritoriālajā</w:t>
            </w:r>
            <w:r>
              <w:t xml:space="preserve"> jūrā, iekšējos ūdeņos un ostās. </w:t>
            </w:r>
          </w:p>
          <w:p w14:paraId="2B788272" w14:textId="5A070A0E" w:rsidR="00116F13" w:rsidRDefault="00116F13" w:rsidP="00FD09EF">
            <w:pPr>
              <w:jc w:val="both"/>
              <w:rPr>
                <w:color w:val="000000"/>
              </w:rPr>
            </w:pPr>
          </w:p>
          <w:p w14:paraId="74687F89" w14:textId="4369BD8B" w:rsidR="00B75DFD" w:rsidRDefault="00B8785E" w:rsidP="00FD09EF">
            <w:pPr>
              <w:jc w:val="both"/>
              <w:rPr>
                <w:color w:val="000000"/>
              </w:rPr>
            </w:pPr>
            <w:r>
              <w:rPr>
                <w:color w:val="000000"/>
              </w:rPr>
              <w:t xml:space="preserve">Ministru kabineta </w:t>
            </w:r>
            <w:r w:rsidR="00116F13" w:rsidRPr="00B8785E">
              <w:rPr>
                <w:color w:val="000000"/>
              </w:rPr>
              <w:t>2016.</w:t>
            </w:r>
            <w:r w:rsidR="000E54D9">
              <w:rPr>
                <w:color w:val="000000"/>
              </w:rPr>
              <w:t> </w:t>
            </w:r>
            <w:r w:rsidR="00116F13" w:rsidRPr="00B8785E">
              <w:rPr>
                <w:color w:val="000000"/>
              </w:rPr>
              <w:t>gada 23.</w:t>
            </w:r>
            <w:r w:rsidR="000E54D9">
              <w:rPr>
                <w:color w:val="000000"/>
              </w:rPr>
              <w:t> </w:t>
            </w:r>
            <w:r w:rsidR="00116F13" w:rsidRPr="00B8785E">
              <w:rPr>
                <w:color w:val="000000"/>
              </w:rPr>
              <w:t>f</w:t>
            </w:r>
            <w:r w:rsidR="00116F13">
              <w:rPr>
                <w:color w:val="000000"/>
              </w:rPr>
              <w:t xml:space="preserve">ebruāra </w:t>
            </w:r>
            <w:r>
              <w:rPr>
                <w:color w:val="000000"/>
              </w:rPr>
              <w:t>noteikumi</w:t>
            </w:r>
            <w:r w:rsidRPr="00B8785E">
              <w:rPr>
                <w:color w:val="000000"/>
              </w:rPr>
              <w:t xml:space="preserve"> Nr.</w:t>
            </w:r>
            <w:r w:rsidR="000E54D9">
              <w:rPr>
                <w:color w:val="000000"/>
              </w:rPr>
              <w:t> </w:t>
            </w:r>
            <w:r w:rsidRPr="00B8785E">
              <w:rPr>
                <w:color w:val="000000"/>
              </w:rPr>
              <w:t xml:space="preserve">108 “Kārtība, kādā ārvalstu karakuģi ienāk un uzturas Latvijas Republikas teritoriālajā jūrā, iekšējos ūdeņos un ostās un iziet no tām” </w:t>
            </w:r>
            <w:r w:rsidR="00E07840">
              <w:rPr>
                <w:color w:val="000000"/>
              </w:rPr>
              <w:t xml:space="preserve">(turpmāk arī </w:t>
            </w:r>
            <w:r w:rsidR="000E54D9">
              <w:rPr>
                <w:color w:val="000000"/>
              </w:rPr>
              <w:t xml:space="preserve">– </w:t>
            </w:r>
            <w:r w:rsidR="00E07840">
              <w:rPr>
                <w:color w:val="000000"/>
              </w:rPr>
              <w:t xml:space="preserve">noteikumi) </w:t>
            </w:r>
            <w:r w:rsidR="00116F13">
              <w:rPr>
                <w:color w:val="000000"/>
              </w:rPr>
              <w:t>nosaka</w:t>
            </w:r>
            <w:r w:rsidRPr="00B8785E">
              <w:rPr>
                <w:color w:val="000000"/>
              </w:rPr>
              <w:t xml:space="preserve"> </w:t>
            </w:r>
            <w:r w:rsidR="00633722">
              <w:rPr>
                <w:color w:val="000000"/>
              </w:rPr>
              <w:t xml:space="preserve">NATO </w:t>
            </w:r>
            <w:r>
              <w:rPr>
                <w:color w:val="000000"/>
              </w:rPr>
              <w:t>dalībvalstu</w:t>
            </w:r>
            <w:r w:rsidRPr="00B8785E">
              <w:rPr>
                <w:color w:val="000000"/>
              </w:rPr>
              <w:t xml:space="preserve"> karakuģu ienākšanu </w:t>
            </w:r>
            <w:r w:rsidR="00B82696">
              <w:rPr>
                <w:color w:val="000000"/>
              </w:rPr>
              <w:t xml:space="preserve">uz </w:t>
            </w:r>
            <w:r w:rsidRPr="00B8785E">
              <w:rPr>
                <w:color w:val="000000"/>
              </w:rPr>
              <w:t>mācīb</w:t>
            </w:r>
            <w:r w:rsidR="00B82696">
              <w:rPr>
                <w:color w:val="000000"/>
              </w:rPr>
              <w:t>ām</w:t>
            </w:r>
            <w:r w:rsidRPr="00B8785E">
              <w:rPr>
                <w:color w:val="000000"/>
              </w:rPr>
              <w:t xml:space="preserve"> un manevr</w:t>
            </w:r>
            <w:r w:rsidR="00B82696">
              <w:rPr>
                <w:color w:val="000000"/>
              </w:rPr>
              <w:t>iem</w:t>
            </w:r>
            <w:r w:rsidR="00FB64CD">
              <w:rPr>
                <w:color w:val="000000"/>
              </w:rPr>
              <w:t xml:space="preserve">, pastiprinot </w:t>
            </w:r>
            <w:r w:rsidRPr="00B8785E">
              <w:rPr>
                <w:color w:val="000000"/>
              </w:rPr>
              <w:t>valsts drošības un aizsardzības spēj</w:t>
            </w:r>
            <w:r w:rsidR="000E54D9">
              <w:rPr>
                <w:color w:val="000000"/>
              </w:rPr>
              <w:t xml:space="preserve">as </w:t>
            </w:r>
            <w:r w:rsidRPr="00B8785E">
              <w:rPr>
                <w:color w:val="000000"/>
              </w:rPr>
              <w:t>miera laikā</w:t>
            </w:r>
            <w:r w:rsidR="00116F13">
              <w:rPr>
                <w:color w:val="000000"/>
              </w:rPr>
              <w:t xml:space="preserve">. </w:t>
            </w:r>
            <w:r w:rsidRPr="00B8785E">
              <w:rPr>
                <w:color w:val="000000"/>
              </w:rPr>
              <w:t xml:space="preserve"> </w:t>
            </w:r>
          </w:p>
          <w:p w14:paraId="525EA7C8" w14:textId="77777777" w:rsidR="000E54D9" w:rsidRDefault="00116F13" w:rsidP="00FD09EF">
            <w:pPr>
              <w:jc w:val="both"/>
              <w:rPr>
                <w:color w:val="000000"/>
              </w:rPr>
            </w:pPr>
            <w:r>
              <w:rPr>
                <w:color w:val="000000"/>
              </w:rPr>
              <w:t>Noteikumi nosaka, ka</w:t>
            </w:r>
            <w:r w:rsidR="00B8785E" w:rsidRPr="00B8785E">
              <w:rPr>
                <w:color w:val="000000"/>
              </w:rPr>
              <w:t xml:space="preserve"> NATO un NATO dalībvalstu karakuģiem diplomātiskā atļauja ienākšanai Latvijas Republikas teritoriālajā jūrā, iekšējos ūdeņos un ostās nav nepieciešama. Tā kā par militāro mācību organizēšanu Latvijas Republikas teritoriālajā jūrā atkarībā no iesaistīto spēku lieluma lēmumu pieņem Ministru kabinets vai aizsardzības ministrs un politiskā līmenī atbalsts šo kuģu ienākšanai jau ir izteikts, šobrīd papildus nepieciešams saskaņot tikai tehnisko informāciju. </w:t>
            </w:r>
          </w:p>
          <w:p w14:paraId="685946C3" w14:textId="303EEBCC" w:rsidR="0043050E" w:rsidRDefault="00B8785E" w:rsidP="00FD09EF">
            <w:pPr>
              <w:jc w:val="both"/>
              <w:rPr>
                <w:color w:val="000000"/>
              </w:rPr>
            </w:pPr>
            <w:r w:rsidRPr="00B8785E">
              <w:rPr>
                <w:color w:val="000000"/>
              </w:rPr>
              <w:t xml:space="preserve">Minētās izmaiņas Ministru kabineta noteikumos jau ir samazinājušas birokrātisko slogu Ārlietu ministrijai, Aizsardzības ministrijai, Vides aizsardzības un reģionālās attīstības ministrijai </w:t>
            </w:r>
            <w:r w:rsidRPr="00B8785E">
              <w:rPr>
                <w:color w:val="000000"/>
              </w:rPr>
              <w:lastRenderedPageBreak/>
              <w:t>un Nacionālajiem bruņotajiem spēkiem. Aizsardzības ministrija saskata</w:t>
            </w:r>
            <w:r w:rsidR="00FB64CD">
              <w:rPr>
                <w:color w:val="000000"/>
              </w:rPr>
              <w:t xml:space="preserve"> </w:t>
            </w:r>
            <w:r w:rsidRPr="00B8785E">
              <w:rPr>
                <w:color w:val="000000"/>
              </w:rPr>
              <w:t>iespējas turpināt iesākto birokrātiskā sloga samazināšan</w:t>
            </w:r>
            <w:r w:rsidR="000E54D9">
              <w:rPr>
                <w:color w:val="000000"/>
              </w:rPr>
              <w:t>u</w:t>
            </w:r>
            <w:r w:rsidRPr="00B8785E">
              <w:rPr>
                <w:color w:val="000000"/>
              </w:rPr>
              <w:t xml:space="preserve"> un dokumentu aprites optimizēš</w:t>
            </w:r>
            <w:r w:rsidR="00FD09EF">
              <w:rPr>
                <w:color w:val="000000"/>
              </w:rPr>
              <w:t>an</w:t>
            </w:r>
            <w:r w:rsidR="000E54D9">
              <w:rPr>
                <w:color w:val="000000"/>
              </w:rPr>
              <w:t>u</w:t>
            </w:r>
            <w:r w:rsidR="00FD09EF">
              <w:rPr>
                <w:color w:val="000000"/>
              </w:rPr>
              <w:t xml:space="preserve">, paplašinot nosacījumu loku. </w:t>
            </w:r>
            <w:r w:rsidR="0043050E">
              <w:rPr>
                <w:color w:val="000000"/>
              </w:rPr>
              <w:t xml:space="preserve">Turklāt, </w:t>
            </w:r>
            <w:r w:rsidR="000E54D9">
              <w:rPr>
                <w:color w:val="000000"/>
              </w:rPr>
              <w:t xml:space="preserve">attīstot </w:t>
            </w:r>
            <w:r w:rsidR="00570511">
              <w:rPr>
                <w:color w:val="000000"/>
              </w:rPr>
              <w:t>militār</w:t>
            </w:r>
            <w:r w:rsidR="000E54D9">
              <w:rPr>
                <w:color w:val="000000"/>
              </w:rPr>
              <w:t>o</w:t>
            </w:r>
            <w:r w:rsidR="00570511">
              <w:rPr>
                <w:color w:val="000000"/>
              </w:rPr>
              <w:t xml:space="preserve"> mobilitāt</w:t>
            </w:r>
            <w:r w:rsidR="000E54D9">
              <w:rPr>
                <w:color w:val="000000"/>
              </w:rPr>
              <w:t xml:space="preserve">i, </w:t>
            </w:r>
            <w:r w:rsidR="00570511">
              <w:rPr>
                <w:color w:val="000000"/>
              </w:rPr>
              <w:t xml:space="preserve">NATO un </w:t>
            </w:r>
            <w:r w:rsidR="00633722">
              <w:rPr>
                <w:color w:val="000000"/>
              </w:rPr>
              <w:t>ES</w:t>
            </w:r>
            <w:r w:rsidR="00570511">
              <w:rPr>
                <w:color w:val="000000"/>
              </w:rPr>
              <w:t xml:space="preserve"> līmenī tiek aktualizēti jautājumi saistībā ar birokrātisko procedūru sakārtošanu, kas ļautu attīstī</w:t>
            </w:r>
            <w:r w:rsidR="00570511" w:rsidRPr="00570511">
              <w:rPr>
                <w:color w:val="000000"/>
              </w:rPr>
              <w:t>t spējas nogādāt militāro tehniku, personālu un materiāltehniskos līdze</w:t>
            </w:r>
            <w:r w:rsidR="009D6BA0">
              <w:rPr>
                <w:color w:val="000000"/>
              </w:rPr>
              <w:t>kļus vajadzīgajā vietā un laikā, vienkāršojot un harmonizējot tam nepieciešamās procedūras.</w:t>
            </w:r>
          </w:p>
          <w:p w14:paraId="16271E50" w14:textId="77777777" w:rsidR="00633722" w:rsidRDefault="00FD09EF" w:rsidP="00540069">
            <w:pPr>
              <w:jc w:val="both"/>
              <w:rPr>
                <w:color w:val="000000"/>
              </w:rPr>
            </w:pPr>
            <w:r>
              <w:rPr>
                <w:color w:val="000000"/>
              </w:rPr>
              <w:t>Tādējādi</w:t>
            </w:r>
            <w:r w:rsidR="000E54D9">
              <w:t xml:space="preserve"> </w:t>
            </w:r>
            <w:r w:rsidRPr="00FD09EF">
              <w:rPr>
                <w:color w:val="000000"/>
              </w:rPr>
              <w:t xml:space="preserve">Aizsardzības ministrija, </w:t>
            </w:r>
            <w:r w:rsidR="007136E3">
              <w:rPr>
                <w:color w:val="000000"/>
              </w:rPr>
              <w:t>analizējot</w:t>
            </w:r>
            <w:r w:rsidR="007136E3" w:rsidRPr="00FD09EF">
              <w:rPr>
                <w:color w:val="000000"/>
              </w:rPr>
              <w:t xml:space="preserve"> </w:t>
            </w:r>
            <w:r w:rsidRPr="00FD09EF">
              <w:rPr>
                <w:color w:val="000000"/>
              </w:rPr>
              <w:t xml:space="preserve">pēdējo gadu NATO un </w:t>
            </w:r>
            <w:r w:rsidR="00633722">
              <w:rPr>
                <w:color w:val="000000"/>
              </w:rPr>
              <w:t>ES</w:t>
            </w:r>
            <w:r w:rsidR="0036489D">
              <w:rPr>
                <w:color w:val="000000"/>
              </w:rPr>
              <w:t xml:space="preserve"> dalībvalstu</w:t>
            </w:r>
            <w:r w:rsidRPr="00FD09EF">
              <w:rPr>
                <w:color w:val="000000"/>
              </w:rPr>
              <w:t xml:space="preserve"> karakuģu ienākšanas Latvijas Republikas teritoriālajos ūdeņos procesus</w:t>
            </w:r>
            <w:r w:rsidR="007136E3">
              <w:rPr>
                <w:color w:val="000000"/>
              </w:rPr>
              <w:t>, kā arī</w:t>
            </w:r>
            <w:r w:rsidRPr="00FD09EF">
              <w:rPr>
                <w:color w:val="000000"/>
              </w:rPr>
              <w:t xml:space="preserve"> NATO un Eiropas Savienības prasības militārās mobilitātes jomā, ir izstrādājusi</w:t>
            </w:r>
            <w:r>
              <w:rPr>
                <w:color w:val="000000"/>
              </w:rPr>
              <w:t xml:space="preserve"> Noteikumu projektu, </w:t>
            </w:r>
            <w:r w:rsidR="000E54D9">
              <w:rPr>
                <w:color w:val="000000"/>
              </w:rPr>
              <w:t xml:space="preserve">kas atvieglos </w:t>
            </w:r>
            <w:r w:rsidR="00AA2F58">
              <w:rPr>
                <w:color w:val="000000"/>
              </w:rPr>
              <w:t xml:space="preserve">arī </w:t>
            </w:r>
            <w:r w:rsidR="00633722">
              <w:rPr>
                <w:color w:val="000000"/>
              </w:rPr>
              <w:t>ES</w:t>
            </w:r>
            <w:r w:rsidR="0036489D">
              <w:rPr>
                <w:color w:val="000000"/>
              </w:rPr>
              <w:t xml:space="preserve"> dalībvalstu</w:t>
            </w:r>
            <w:r w:rsidR="00AA2F58" w:rsidRPr="00B8785E">
              <w:rPr>
                <w:color w:val="000000"/>
              </w:rPr>
              <w:t xml:space="preserve"> karakuģ</w:t>
            </w:r>
            <w:r w:rsidR="00AA2F58">
              <w:rPr>
                <w:color w:val="000000"/>
              </w:rPr>
              <w:t xml:space="preserve">u </w:t>
            </w:r>
            <w:r w:rsidRPr="00B8785E">
              <w:rPr>
                <w:color w:val="000000"/>
              </w:rPr>
              <w:t>ienākšan</w:t>
            </w:r>
            <w:r>
              <w:rPr>
                <w:color w:val="000000"/>
              </w:rPr>
              <w:t>u</w:t>
            </w:r>
            <w:r w:rsidRPr="00B8785E">
              <w:rPr>
                <w:color w:val="000000"/>
              </w:rPr>
              <w:t xml:space="preserve"> Latvijas Republikas teritoriālajā jū</w:t>
            </w:r>
            <w:r>
              <w:rPr>
                <w:color w:val="000000"/>
              </w:rPr>
              <w:t>rā, iekšējos ūdeņos un ostās</w:t>
            </w:r>
            <w:r w:rsidR="00AA2F58">
              <w:rPr>
                <w:color w:val="000000"/>
              </w:rPr>
              <w:t>.</w:t>
            </w:r>
          </w:p>
          <w:p w14:paraId="233A4ED6" w14:textId="2D0439B8" w:rsidR="00C565DA" w:rsidRDefault="00FD09EF" w:rsidP="00540069">
            <w:pPr>
              <w:jc w:val="both"/>
              <w:rPr>
                <w:color w:val="000000"/>
              </w:rPr>
            </w:pPr>
            <w:r>
              <w:rPr>
                <w:color w:val="000000"/>
              </w:rPr>
              <w:t xml:space="preserve"> </w:t>
            </w:r>
          </w:p>
          <w:p w14:paraId="7539DF67" w14:textId="75D8CAB7" w:rsidR="00D96EFF" w:rsidRDefault="00146FE4" w:rsidP="00FE162F">
            <w:pPr>
              <w:jc w:val="both"/>
            </w:pPr>
            <w:r w:rsidRPr="00146FE4">
              <w:rPr>
                <w:rFonts w:eastAsia="Calibri"/>
                <w:lang w:eastAsia="en-US"/>
              </w:rPr>
              <w:t>Noteikumu projekts ir izstrādāts, pamatojoties uz 2019.</w:t>
            </w:r>
            <w:r w:rsidR="00AA2F58">
              <w:rPr>
                <w:rFonts w:eastAsia="Calibri"/>
                <w:lang w:eastAsia="en-US"/>
              </w:rPr>
              <w:t> </w:t>
            </w:r>
            <w:r w:rsidRPr="00146FE4">
              <w:rPr>
                <w:rFonts w:eastAsia="Calibri"/>
                <w:lang w:eastAsia="en-US"/>
              </w:rPr>
              <w:t>gada 5. jūlij</w:t>
            </w:r>
            <w:r w:rsidR="00AA2F58">
              <w:rPr>
                <w:rFonts w:eastAsia="Calibri"/>
                <w:lang w:eastAsia="en-US"/>
              </w:rPr>
              <w:t xml:space="preserve">a </w:t>
            </w:r>
            <w:r w:rsidRPr="00146FE4">
              <w:rPr>
                <w:rFonts w:eastAsia="Calibri"/>
                <w:lang w:eastAsia="en-US"/>
              </w:rPr>
              <w:t>Aizsardzības ministrijas, Ārlietu ministrijas, Satiksmes ministrijas, Nacionālo bruņoto spēku un Latvijas Jūras administrācijas pārstāvj</w:t>
            </w:r>
            <w:r w:rsidR="00AA2F58">
              <w:rPr>
                <w:rFonts w:eastAsia="Calibri"/>
                <w:lang w:eastAsia="en-US"/>
              </w:rPr>
              <w:t>u</w:t>
            </w:r>
            <w:r w:rsidRPr="00146FE4">
              <w:rPr>
                <w:rFonts w:eastAsia="Calibri"/>
                <w:lang w:eastAsia="en-US"/>
              </w:rPr>
              <w:t xml:space="preserve"> </w:t>
            </w:r>
            <w:r w:rsidR="00AA2F58">
              <w:rPr>
                <w:rFonts w:eastAsia="Calibri"/>
                <w:lang w:eastAsia="en-US"/>
              </w:rPr>
              <w:t xml:space="preserve">tikšanos </w:t>
            </w:r>
            <w:r w:rsidRPr="00146FE4">
              <w:rPr>
                <w:rFonts w:eastAsia="Calibri"/>
                <w:lang w:eastAsia="en-US"/>
              </w:rPr>
              <w:t xml:space="preserve">par NATO dalībvalstu karakuģu reisu atzinumu sniegšanas procesu, kuras </w:t>
            </w:r>
            <w:r w:rsidR="00AA2F58">
              <w:rPr>
                <w:rFonts w:eastAsia="Calibri"/>
                <w:lang w:eastAsia="en-US"/>
              </w:rPr>
              <w:t xml:space="preserve">laikā </w:t>
            </w:r>
            <w:r w:rsidRPr="00146FE4">
              <w:rPr>
                <w:rFonts w:eastAsia="Calibri"/>
                <w:lang w:eastAsia="en-US"/>
              </w:rPr>
              <w:t xml:space="preserve">tika panākta konceptuāla vienošanās par atvieglotu kārtību ne tikai NATO, bet arī </w:t>
            </w:r>
            <w:r w:rsidR="00633722">
              <w:rPr>
                <w:rFonts w:eastAsia="Calibri"/>
                <w:lang w:eastAsia="en-US"/>
              </w:rPr>
              <w:t>ES</w:t>
            </w:r>
            <w:r w:rsidRPr="00146FE4">
              <w:rPr>
                <w:rFonts w:eastAsia="Calibri"/>
                <w:lang w:eastAsia="en-US"/>
              </w:rPr>
              <w:t xml:space="preserve"> dalībvalstu karakuģiem, kuriem diplomātiskā atļauja ienākšanai Latvijas Republikas teritoriālajā jūrā, iekšējos ūdeņos un ostās </w:t>
            </w:r>
            <w:r w:rsidR="00FB64CD">
              <w:rPr>
                <w:rFonts w:eastAsia="Calibri"/>
                <w:lang w:eastAsia="en-US"/>
              </w:rPr>
              <w:t xml:space="preserve">minētajā gadījumā </w:t>
            </w:r>
            <w:r w:rsidRPr="00146FE4">
              <w:rPr>
                <w:rFonts w:eastAsia="Calibri"/>
                <w:lang w:eastAsia="en-US"/>
              </w:rPr>
              <w:t>nebūtu nepieciešama</w:t>
            </w:r>
            <w:r>
              <w:rPr>
                <w:rFonts w:eastAsia="Calibri"/>
                <w:lang w:eastAsia="en-US"/>
              </w:rPr>
              <w:t xml:space="preserve">. </w:t>
            </w:r>
            <w:r w:rsidR="00FE162F">
              <w:t xml:space="preserve"> </w:t>
            </w:r>
          </w:p>
          <w:p w14:paraId="2ECCFD53" w14:textId="77777777" w:rsidR="003B5F80" w:rsidRDefault="00E31038" w:rsidP="00FE162F">
            <w:pPr>
              <w:jc w:val="both"/>
              <w:rPr>
                <w:rFonts w:eastAsia="Calibri"/>
                <w:lang w:eastAsia="en-US"/>
              </w:rPr>
            </w:pPr>
            <w:r>
              <w:rPr>
                <w:rFonts w:eastAsia="Calibri"/>
                <w:lang w:eastAsia="en-US"/>
              </w:rPr>
              <w:t>Jaunais n</w:t>
            </w:r>
            <w:r w:rsidR="00FE162F" w:rsidRPr="00FE162F">
              <w:rPr>
                <w:rFonts w:eastAsia="Calibri"/>
                <w:lang w:eastAsia="en-US"/>
              </w:rPr>
              <w:t xml:space="preserve">oteikumu projekts </w:t>
            </w:r>
            <w:r w:rsidR="00FB64CD">
              <w:rPr>
                <w:rFonts w:eastAsia="Calibri"/>
                <w:lang w:eastAsia="en-US"/>
              </w:rPr>
              <w:t xml:space="preserve">mazinās </w:t>
            </w:r>
            <w:r w:rsidR="00AA2F58">
              <w:rPr>
                <w:rFonts w:eastAsia="Calibri"/>
                <w:lang w:eastAsia="en-US"/>
              </w:rPr>
              <w:t xml:space="preserve">institūciju </w:t>
            </w:r>
            <w:r w:rsidR="00FE162F" w:rsidRPr="00FE162F">
              <w:rPr>
                <w:rFonts w:eastAsia="Calibri"/>
                <w:lang w:eastAsia="en-US"/>
              </w:rPr>
              <w:t>birokrātisko slogu un optimizē</w:t>
            </w:r>
            <w:r w:rsidR="00FB64CD">
              <w:rPr>
                <w:rFonts w:eastAsia="Calibri"/>
                <w:lang w:eastAsia="en-US"/>
              </w:rPr>
              <w:t>s</w:t>
            </w:r>
            <w:r w:rsidR="00540069">
              <w:rPr>
                <w:rFonts w:eastAsia="Calibri"/>
                <w:lang w:eastAsia="en-US"/>
              </w:rPr>
              <w:t xml:space="preserve"> </w:t>
            </w:r>
            <w:r w:rsidR="00FE162F" w:rsidRPr="00FE162F">
              <w:rPr>
                <w:rFonts w:eastAsia="Calibri"/>
                <w:lang w:eastAsia="en-US"/>
              </w:rPr>
              <w:t>dokumentu apriti, paātrinot lēmuma pieņemšanu.  Jaunā kārtība samazinās birokrātisko slogu Ārlietu minist</w:t>
            </w:r>
            <w:r w:rsidR="00FE162F">
              <w:rPr>
                <w:rFonts w:eastAsia="Calibri"/>
                <w:lang w:eastAsia="en-US"/>
              </w:rPr>
              <w:t>rijai, Aizsardzības ministrijai un Nacionālajiem bruņotajiem sp</w:t>
            </w:r>
            <w:r w:rsidR="00E07840">
              <w:rPr>
                <w:rFonts w:eastAsia="Calibri"/>
                <w:lang w:eastAsia="en-US"/>
              </w:rPr>
              <w:t>ēkiem.</w:t>
            </w:r>
            <w:r w:rsidR="0040342B">
              <w:rPr>
                <w:rFonts w:eastAsia="Calibri"/>
                <w:lang w:eastAsia="en-US"/>
              </w:rPr>
              <w:t xml:space="preserve"> </w:t>
            </w:r>
          </w:p>
          <w:p w14:paraId="600849EB" w14:textId="77777777" w:rsidR="003B5F80" w:rsidRDefault="003B5F80" w:rsidP="00FE162F">
            <w:pPr>
              <w:jc w:val="both"/>
              <w:rPr>
                <w:rFonts w:eastAsia="Calibri"/>
                <w:lang w:eastAsia="en-US"/>
              </w:rPr>
            </w:pPr>
          </w:p>
          <w:p w14:paraId="28620617" w14:textId="728B50F7" w:rsidR="0040342B" w:rsidRDefault="0040342B" w:rsidP="00FE162F">
            <w:pPr>
              <w:jc w:val="both"/>
              <w:rPr>
                <w:rFonts w:eastAsia="Calibri"/>
                <w:lang w:eastAsia="en-US"/>
              </w:rPr>
            </w:pPr>
            <w:r>
              <w:rPr>
                <w:rFonts w:eastAsia="Calibri"/>
                <w:lang w:eastAsia="en-US"/>
              </w:rPr>
              <w:t xml:space="preserve">Tādējādi noteikumu projekts paredz papildināt noteikumu 3.punktu ar teikumu šādā redakcijā: </w:t>
            </w:r>
            <w:r w:rsidRPr="0040342B">
              <w:rPr>
                <w:rFonts w:eastAsia="Calibri"/>
                <w:lang w:eastAsia="en-US"/>
              </w:rPr>
              <w:t>“NATO un Eiropas Savienības (turpmāk – ES) dalībvalstu karakuģiem Ārlietu ministrijas ienākšanas atļauja Latvijas Republikas teritoriālajā jūrā, iekšējos ūdeņos un ostās nav nepieciešama”.</w:t>
            </w:r>
            <w:r>
              <w:rPr>
                <w:rFonts w:eastAsia="Calibri"/>
                <w:lang w:eastAsia="en-US"/>
              </w:rPr>
              <w:t xml:space="preserve"> Līdz ar to noteikumu projektā ir iekļauts p</w:t>
            </w:r>
            <w:r w:rsidR="00457FD2">
              <w:rPr>
                <w:rFonts w:eastAsia="Calibri"/>
                <w:lang w:eastAsia="en-US"/>
              </w:rPr>
              <w:t>unkts</w:t>
            </w:r>
            <w:r>
              <w:rPr>
                <w:rFonts w:eastAsia="Calibri"/>
                <w:lang w:eastAsia="en-US"/>
              </w:rPr>
              <w:t xml:space="preserve"> par II</w:t>
            </w:r>
            <w:r w:rsidR="00797E66">
              <w:rPr>
                <w:rFonts w:eastAsia="Calibri"/>
                <w:lang w:eastAsia="en-US"/>
              </w:rPr>
              <w:t>.</w:t>
            </w:r>
            <w:r>
              <w:rPr>
                <w:rFonts w:eastAsia="Calibri"/>
                <w:lang w:eastAsia="en-US"/>
              </w:rPr>
              <w:t xml:space="preserve"> nodaļas izteikšanu šādā redakcijā:  “II.</w:t>
            </w:r>
            <w:r>
              <w:rPr>
                <w:rFonts w:eastAsia="Calibri"/>
              </w:rPr>
              <w:t> </w:t>
            </w:r>
            <w:r w:rsidRPr="0040342B">
              <w:rPr>
                <w:rFonts w:eastAsia="Calibri"/>
                <w:lang w:eastAsia="en-US"/>
              </w:rPr>
              <w:t>Ārvalstu karakuģu</w:t>
            </w:r>
            <w:r w:rsidRPr="00D02521">
              <w:rPr>
                <w:rFonts w:eastAsia="Calibri"/>
                <w:lang w:eastAsia="en-US"/>
              </w:rPr>
              <w:t>, izņemot NATO un ES dalībvalstu karakuģu, ienākšana</w:t>
            </w:r>
            <w:r w:rsidR="00D0485F" w:rsidRPr="00D02521">
              <w:rPr>
                <w:rFonts w:eastAsia="Calibri"/>
                <w:lang w:eastAsia="en-US"/>
              </w:rPr>
              <w:t xml:space="preserve"> un iziešana</w:t>
            </w:r>
            <w:r w:rsidRPr="00D02521">
              <w:rPr>
                <w:rFonts w:eastAsia="Calibri"/>
                <w:lang w:eastAsia="en-US"/>
              </w:rPr>
              <w:t>”</w:t>
            </w:r>
            <w:r w:rsidR="00457FD2" w:rsidRPr="00D02521">
              <w:rPr>
                <w:rFonts w:eastAsia="Calibri"/>
                <w:lang w:eastAsia="en-US"/>
              </w:rPr>
              <w:t xml:space="preserve"> un punkts pa</w:t>
            </w:r>
            <w:r w:rsidR="00D96EFF" w:rsidRPr="00D02521">
              <w:rPr>
                <w:rFonts w:eastAsia="Calibri"/>
                <w:lang w:eastAsia="en-US"/>
              </w:rPr>
              <w:t>r IV</w:t>
            </w:r>
            <w:r w:rsidR="003B5F80">
              <w:rPr>
                <w:rFonts w:eastAsia="Calibri"/>
                <w:lang w:eastAsia="en-US"/>
              </w:rPr>
              <w:t>.</w:t>
            </w:r>
            <w:r w:rsidR="00D96EFF" w:rsidRPr="00D02521">
              <w:rPr>
                <w:rFonts w:eastAsia="Calibri"/>
                <w:lang w:eastAsia="en-US"/>
              </w:rPr>
              <w:t xml:space="preserve"> nodaļas izteikšanu šādā redakcijā: “</w:t>
            </w:r>
            <w:r w:rsidR="00D96EFF" w:rsidRPr="00D02521">
              <w:t xml:space="preserve"> </w:t>
            </w:r>
            <w:r w:rsidR="00D96EFF" w:rsidRPr="00D02521">
              <w:rPr>
                <w:rFonts w:eastAsia="Calibri"/>
                <w:lang w:eastAsia="en-US"/>
              </w:rPr>
              <w:t>IV. NATO un ES dalībvalstu karakuģu ienākšana</w:t>
            </w:r>
            <w:r w:rsidR="008029AC" w:rsidRPr="00D02521">
              <w:rPr>
                <w:rFonts w:eastAsia="Calibri"/>
                <w:lang w:eastAsia="en-US"/>
              </w:rPr>
              <w:t xml:space="preserve"> </w:t>
            </w:r>
            <w:r w:rsidR="008029AC" w:rsidRPr="00D02521">
              <w:t xml:space="preserve"> </w:t>
            </w:r>
            <w:r w:rsidR="00D0485F" w:rsidRPr="00D02521">
              <w:rPr>
                <w:rFonts w:eastAsia="Calibri"/>
                <w:lang w:eastAsia="en-US"/>
              </w:rPr>
              <w:t>un iziešana</w:t>
            </w:r>
            <w:r w:rsidR="00D96EFF" w:rsidRPr="00D02521">
              <w:rPr>
                <w:rFonts w:eastAsia="Calibri"/>
                <w:lang w:eastAsia="en-US"/>
              </w:rPr>
              <w:t xml:space="preserve">”. </w:t>
            </w:r>
          </w:p>
          <w:p w14:paraId="65AE0DA3" w14:textId="77777777" w:rsidR="003B5F80" w:rsidRPr="00D02521" w:rsidRDefault="003B5F80" w:rsidP="00FE162F">
            <w:pPr>
              <w:jc w:val="both"/>
              <w:rPr>
                <w:rFonts w:eastAsia="Calibri"/>
                <w:lang w:eastAsia="en-US"/>
              </w:rPr>
            </w:pPr>
          </w:p>
          <w:p w14:paraId="798B477C" w14:textId="4363A9B0" w:rsidR="00D96EFF" w:rsidRDefault="00695EAB" w:rsidP="00E94B56">
            <w:pPr>
              <w:jc w:val="both"/>
              <w:rPr>
                <w:rFonts w:eastAsia="Calibri"/>
                <w:lang w:eastAsia="en-US"/>
              </w:rPr>
            </w:pPr>
            <w:r>
              <w:rPr>
                <w:rFonts w:eastAsia="Calibri"/>
                <w:lang w:eastAsia="en-US"/>
              </w:rPr>
              <w:t>Noteikumu projektā ietvertie grozījumi II</w:t>
            </w:r>
            <w:r w:rsidR="00797E66">
              <w:rPr>
                <w:rFonts w:eastAsia="Calibri"/>
                <w:lang w:eastAsia="en-US"/>
              </w:rPr>
              <w:t>.</w:t>
            </w:r>
            <w:r>
              <w:rPr>
                <w:rFonts w:eastAsia="Calibri"/>
                <w:lang w:eastAsia="en-US"/>
              </w:rPr>
              <w:t xml:space="preserve"> nodaļas 7., 8.</w:t>
            </w:r>
            <w:r w:rsidR="00797E66">
              <w:rPr>
                <w:rFonts w:eastAsia="Calibri"/>
                <w:lang w:eastAsia="en-US"/>
              </w:rPr>
              <w:t xml:space="preserve"> un</w:t>
            </w:r>
            <w:r>
              <w:rPr>
                <w:rFonts w:eastAsia="Calibri"/>
                <w:lang w:eastAsia="en-US"/>
              </w:rPr>
              <w:t xml:space="preserve"> 9.. punkt</w:t>
            </w:r>
            <w:r w:rsidR="00797E66">
              <w:rPr>
                <w:rFonts w:eastAsia="Calibri"/>
                <w:lang w:eastAsia="en-US"/>
              </w:rPr>
              <w:t>ā</w:t>
            </w:r>
            <w:r w:rsidR="00673A3B">
              <w:rPr>
                <w:rFonts w:eastAsia="Calibri"/>
                <w:lang w:eastAsia="en-US"/>
              </w:rPr>
              <w:t>, kā arī IV. nodaļas 27.,28</w:t>
            </w:r>
            <w:r w:rsidR="003B5F80">
              <w:rPr>
                <w:rFonts w:eastAsia="Calibri"/>
                <w:lang w:eastAsia="en-US"/>
              </w:rPr>
              <w:t>. un 29.</w:t>
            </w:r>
            <w:r w:rsidR="00673A3B">
              <w:rPr>
                <w:rFonts w:eastAsia="Calibri"/>
                <w:lang w:eastAsia="en-US"/>
              </w:rPr>
              <w:t>. punkt</w:t>
            </w:r>
            <w:r w:rsidR="003B5F80">
              <w:rPr>
                <w:rFonts w:eastAsia="Calibri"/>
                <w:lang w:eastAsia="en-US"/>
              </w:rPr>
              <w:t>ā</w:t>
            </w:r>
            <w:r>
              <w:rPr>
                <w:rFonts w:eastAsia="Calibri"/>
                <w:lang w:eastAsia="en-US"/>
              </w:rPr>
              <w:t xml:space="preserve"> </w:t>
            </w:r>
            <w:r w:rsidR="00356D04">
              <w:rPr>
                <w:rFonts w:eastAsia="Calibri"/>
                <w:lang w:eastAsia="en-US"/>
              </w:rPr>
              <w:t>paredz tos pielāgot noteikumu projekta mērķim</w:t>
            </w:r>
            <w:r w:rsidR="00356D04" w:rsidRPr="00356D04">
              <w:rPr>
                <w:rFonts w:eastAsia="Calibri"/>
                <w:lang w:eastAsia="en-US"/>
              </w:rPr>
              <w:t xml:space="preserve">, ka NATO un </w:t>
            </w:r>
            <w:r w:rsidR="00356D04">
              <w:rPr>
                <w:rFonts w:eastAsia="Calibri"/>
                <w:lang w:eastAsia="en-US"/>
              </w:rPr>
              <w:t>ES</w:t>
            </w:r>
            <w:r w:rsidR="00356D04" w:rsidRPr="00356D04">
              <w:rPr>
                <w:rFonts w:eastAsia="Calibri"/>
                <w:lang w:eastAsia="en-US"/>
              </w:rPr>
              <w:t xml:space="preserve"> dalībvalstu karakuģiem Ārlietu ministrijas ienākšanas atļauja Latvijas Republikas teritoriālajā jūrā, iekšējos ūdeņos un ostās nav nepieciešama.</w:t>
            </w:r>
            <w:r w:rsidR="00673A3B">
              <w:rPr>
                <w:rFonts w:eastAsia="Calibri"/>
                <w:lang w:eastAsia="en-US"/>
              </w:rPr>
              <w:t xml:space="preserve"> Tādējādi </w:t>
            </w:r>
            <w:r w:rsidR="00673A3B" w:rsidRPr="00673A3B">
              <w:rPr>
                <w:rFonts w:eastAsia="Calibri"/>
                <w:lang w:eastAsia="en-US"/>
              </w:rPr>
              <w:t>NATO u</w:t>
            </w:r>
            <w:r w:rsidR="00673A3B">
              <w:rPr>
                <w:rFonts w:eastAsia="Calibri"/>
                <w:lang w:eastAsia="en-US"/>
              </w:rPr>
              <w:t>n ES dalībvalstu karakuģu ienākšanas process kļūs vienkāršotāks</w:t>
            </w:r>
            <w:r w:rsidR="00AC54D5">
              <w:rPr>
                <w:rFonts w:eastAsia="Calibri"/>
                <w:lang w:eastAsia="en-US"/>
              </w:rPr>
              <w:t>, jo nebūs nepieciešama diplomātiskās atļaujas iegūšana</w:t>
            </w:r>
            <w:r w:rsidR="00E94B56">
              <w:rPr>
                <w:rFonts w:eastAsia="Calibri"/>
                <w:lang w:eastAsia="en-US"/>
              </w:rPr>
              <w:t xml:space="preserve">. </w:t>
            </w:r>
            <w:r w:rsidR="00E94B56">
              <w:t xml:space="preserve"> </w:t>
            </w:r>
            <w:r w:rsidR="00E94B56" w:rsidRPr="00E94B56">
              <w:rPr>
                <w:rFonts w:eastAsia="Calibri"/>
                <w:lang w:eastAsia="en-US"/>
              </w:rPr>
              <w:t xml:space="preserve">Lai nodrošinātu tehniskās informācijas apriti, tiek noteikts, ka  NATO un </w:t>
            </w:r>
            <w:r w:rsidR="00E94B56">
              <w:rPr>
                <w:rFonts w:eastAsia="Calibri"/>
                <w:lang w:eastAsia="en-US"/>
              </w:rPr>
              <w:t>ES</w:t>
            </w:r>
            <w:r w:rsidR="00E94B56" w:rsidRPr="00E94B56">
              <w:rPr>
                <w:rFonts w:eastAsia="Calibri"/>
                <w:lang w:eastAsia="en-US"/>
              </w:rPr>
              <w:t xml:space="preserve"> dalībvalstu karakuģa komandieris vai karakuģu grupas komandieris, vai viņa pilnvarots pārstāvis 30 dienas iepriekš, bet ne vēlāk kā 48 stundas </w:t>
            </w:r>
            <w:r w:rsidR="00E94B56" w:rsidRPr="00E94B56">
              <w:rPr>
                <w:rFonts w:eastAsia="Calibri"/>
                <w:lang w:eastAsia="en-US"/>
              </w:rPr>
              <w:lastRenderedPageBreak/>
              <w:t xml:space="preserve">pirms kuģa reisa elektroniski iesniedz Nacionālajiem bruņotajiem spēkiem informāciju par NATO un </w:t>
            </w:r>
            <w:r w:rsidR="00E94B56">
              <w:rPr>
                <w:rFonts w:eastAsia="Calibri"/>
                <w:lang w:eastAsia="en-US"/>
              </w:rPr>
              <w:t>ES</w:t>
            </w:r>
            <w:r w:rsidR="00E94B56" w:rsidRPr="00E94B56">
              <w:rPr>
                <w:rFonts w:eastAsia="Calibri"/>
                <w:lang w:eastAsia="en-US"/>
              </w:rPr>
              <w:t xml:space="preserve"> dalībvalstu karakuģa ienākšanu Latvijas teritoriālajā jūrā vai Latvijas ostās un nepieciešamo uzņemošās valsts atbalstu. </w:t>
            </w:r>
            <w:r w:rsidR="00AC54D5">
              <w:rPr>
                <w:rFonts w:eastAsia="Calibri"/>
                <w:lang w:eastAsia="en-US"/>
              </w:rPr>
              <w:t xml:space="preserve">Iesniedzamā informācija ir apkopota </w:t>
            </w:r>
            <w:r w:rsidR="00E94B56">
              <w:rPr>
                <w:rFonts w:eastAsia="Calibri"/>
                <w:lang w:eastAsia="en-US"/>
              </w:rPr>
              <w:t xml:space="preserve"> (sadarbībā ar Jūras spēkiem) </w:t>
            </w:r>
            <w:r w:rsidR="00AC54D5">
              <w:rPr>
                <w:rFonts w:eastAsia="Calibri"/>
                <w:lang w:eastAsia="en-US"/>
              </w:rPr>
              <w:t>anketas veidā pielikumā, ar ko tiks  papildināti noteikumi.</w:t>
            </w:r>
            <w:r w:rsidR="008029AC">
              <w:rPr>
                <w:rFonts w:eastAsia="Calibri"/>
                <w:lang w:eastAsia="en-US"/>
              </w:rPr>
              <w:t xml:space="preserve"> Savukārt </w:t>
            </w:r>
            <w:r w:rsidR="008029AC">
              <w:t xml:space="preserve"> </w:t>
            </w:r>
            <w:r w:rsidR="008029AC">
              <w:rPr>
                <w:rFonts w:eastAsia="Calibri"/>
                <w:lang w:eastAsia="en-US"/>
              </w:rPr>
              <w:t>ā</w:t>
            </w:r>
            <w:r w:rsidR="008029AC" w:rsidRPr="008029AC">
              <w:rPr>
                <w:rFonts w:eastAsia="Calibri"/>
                <w:lang w:eastAsia="en-US"/>
              </w:rPr>
              <w:t xml:space="preserve">rvalstu karakuģu, </w:t>
            </w:r>
            <w:r w:rsidR="008029AC">
              <w:rPr>
                <w:rFonts w:eastAsia="Calibri"/>
                <w:lang w:eastAsia="en-US"/>
              </w:rPr>
              <w:t>kas nav NATO un ES dalībvalstu karakuģi</w:t>
            </w:r>
            <w:r w:rsidR="008029AC" w:rsidRPr="008029AC">
              <w:rPr>
                <w:rFonts w:eastAsia="Calibri"/>
                <w:lang w:eastAsia="en-US"/>
              </w:rPr>
              <w:t>, ienākšana</w:t>
            </w:r>
            <w:r w:rsidR="008029AC">
              <w:rPr>
                <w:rFonts w:eastAsia="Calibri"/>
                <w:lang w:eastAsia="en-US"/>
              </w:rPr>
              <w:t>s atļauju saskaņošanas process paliek nemainīgs un</w:t>
            </w:r>
            <w:r w:rsidR="008029AC">
              <w:t xml:space="preserve"> </w:t>
            </w:r>
            <w:r w:rsidR="008029AC" w:rsidRPr="008029AC">
              <w:rPr>
                <w:rFonts w:eastAsia="Calibri"/>
                <w:lang w:eastAsia="en-US"/>
              </w:rPr>
              <w:t>par pieņemto lēmumu  Ārlietu ministrija diplomātiskā ceļā rakstiski informē ienā</w:t>
            </w:r>
            <w:r w:rsidR="008029AC">
              <w:rPr>
                <w:rFonts w:eastAsia="Calibri"/>
                <w:lang w:eastAsia="en-US"/>
              </w:rPr>
              <w:t>kšanas atļaujas pieprasītāju</w:t>
            </w:r>
            <w:r w:rsidR="00D02521">
              <w:rPr>
                <w:rFonts w:eastAsia="Calibri"/>
                <w:lang w:eastAsia="en-US"/>
              </w:rPr>
              <w:t xml:space="preserve"> un </w:t>
            </w:r>
            <w:r w:rsidR="008029AC" w:rsidRPr="008029AC">
              <w:rPr>
                <w:rFonts w:eastAsia="Calibri"/>
                <w:lang w:eastAsia="en-US"/>
              </w:rPr>
              <w:t>Nacionālos bruņotos spēkus</w:t>
            </w:r>
            <w:r w:rsidR="00D02521">
              <w:rPr>
                <w:rFonts w:eastAsia="Calibri"/>
                <w:lang w:eastAsia="en-US"/>
              </w:rPr>
              <w:t>.</w:t>
            </w:r>
            <w:r w:rsidR="008029AC">
              <w:rPr>
                <w:rFonts w:eastAsia="Calibri"/>
                <w:lang w:eastAsia="en-US"/>
              </w:rPr>
              <w:t>.</w:t>
            </w:r>
          </w:p>
          <w:p w14:paraId="5103883E" w14:textId="77777777" w:rsidR="00AC54D5" w:rsidRDefault="00AC54D5" w:rsidP="00BA555A">
            <w:pPr>
              <w:jc w:val="both"/>
              <w:rPr>
                <w:rFonts w:eastAsia="Calibri"/>
                <w:lang w:eastAsia="en-US"/>
              </w:rPr>
            </w:pPr>
          </w:p>
          <w:p w14:paraId="4305433F" w14:textId="724B93AD" w:rsidR="00D96EFF" w:rsidRDefault="00C21777" w:rsidP="00BA555A">
            <w:pPr>
              <w:jc w:val="both"/>
              <w:rPr>
                <w:rFonts w:eastAsia="Calibri"/>
                <w:lang w:eastAsia="en-US"/>
              </w:rPr>
            </w:pPr>
            <w:r>
              <w:rPr>
                <w:rFonts w:eastAsia="Calibri"/>
                <w:lang w:eastAsia="en-US"/>
              </w:rPr>
              <w:t>Noteikumu 15. punkts paredz, ka ā</w:t>
            </w:r>
            <w:r w:rsidRPr="00C21777">
              <w:rPr>
                <w:rFonts w:eastAsia="Calibri"/>
                <w:lang w:eastAsia="en-US"/>
              </w:rPr>
              <w:t xml:space="preserve">rvalsts karakuģi ostas ārējā reidā vai citā iepriekš saskaņotā vietā sagaida Nacionālo bruņoto spēku karakuģis (izņemot gadījumu, ja ārvalsts karakuģis veic miermīlīgu </w:t>
            </w:r>
            <w:proofErr w:type="spellStart"/>
            <w:r w:rsidRPr="00C21777">
              <w:rPr>
                <w:rFonts w:eastAsia="Calibri"/>
                <w:lang w:eastAsia="en-US"/>
              </w:rPr>
              <w:t>caurbraucienu</w:t>
            </w:r>
            <w:proofErr w:type="spellEnd"/>
            <w:r w:rsidRPr="00C21777">
              <w:rPr>
                <w:rFonts w:eastAsia="Calibri"/>
                <w:lang w:eastAsia="en-US"/>
              </w:rPr>
              <w:t>) un sadarbības virsnieks.</w:t>
            </w:r>
            <w:r>
              <w:rPr>
                <w:rFonts w:eastAsia="Calibri"/>
                <w:lang w:eastAsia="en-US"/>
              </w:rPr>
              <w:t xml:space="preserve"> </w:t>
            </w:r>
            <w:r w:rsidR="00974ED6">
              <w:rPr>
                <w:rFonts w:eastAsia="Calibri"/>
                <w:lang w:eastAsia="en-US"/>
              </w:rPr>
              <w:t>Noteikumu projekts  paredz</w:t>
            </w:r>
            <w:r w:rsidR="00D96EFF">
              <w:rPr>
                <w:rFonts w:eastAsia="Calibri"/>
                <w:lang w:eastAsia="en-US"/>
              </w:rPr>
              <w:t xml:space="preserve"> papildināt </w:t>
            </w:r>
            <w:r w:rsidR="00974ED6" w:rsidRPr="00974ED6">
              <w:rPr>
                <w:rFonts w:eastAsia="Calibri"/>
                <w:lang w:eastAsia="en-US"/>
              </w:rPr>
              <w:t xml:space="preserve"> </w:t>
            </w:r>
            <w:r>
              <w:rPr>
                <w:rFonts w:eastAsia="Calibri"/>
                <w:lang w:eastAsia="en-US"/>
              </w:rPr>
              <w:t xml:space="preserve">noteikumu </w:t>
            </w:r>
            <w:r w:rsidR="00D96EFF">
              <w:rPr>
                <w:rFonts w:eastAsia="Calibri"/>
                <w:lang w:eastAsia="en-US"/>
              </w:rPr>
              <w:t>15. punktu</w:t>
            </w:r>
            <w:r w:rsidR="00D96EFF">
              <w:t xml:space="preserve"> </w:t>
            </w:r>
            <w:r w:rsidR="00D96EFF" w:rsidRPr="00D96EFF">
              <w:rPr>
                <w:rFonts w:eastAsia="Calibri"/>
                <w:lang w:eastAsia="en-US"/>
              </w:rPr>
              <w:t xml:space="preserve">aiz vārdiem </w:t>
            </w:r>
            <w:r w:rsidR="00D96EFF">
              <w:rPr>
                <w:rFonts w:eastAsia="Calibri"/>
                <w:lang w:eastAsia="en-US"/>
              </w:rPr>
              <w:t>“saskaņotā veidā” ar vārdiem “</w:t>
            </w:r>
            <w:r w:rsidR="00D96EFF" w:rsidRPr="00D96EFF">
              <w:rPr>
                <w:rFonts w:eastAsia="Calibri"/>
                <w:lang w:eastAsia="en-US"/>
              </w:rPr>
              <w:t>ja nepieciešams</w:t>
            </w:r>
            <w:r w:rsidR="00D96EFF">
              <w:rPr>
                <w:rFonts w:eastAsia="Calibri"/>
                <w:lang w:eastAsia="en-US"/>
              </w:rPr>
              <w:t xml:space="preserve">”, </w:t>
            </w:r>
            <w:r w:rsidR="00D96EFF">
              <w:t xml:space="preserve"> </w:t>
            </w:r>
            <w:r w:rsidR="00D96EFF" w:rsidRPr="00D96EFF">
              <w:rPr>
                <w:rFonts w:eastAsia="Calibri"/>
                <w:lang w:eastAsia="en-US"/>
              </w:rPr>
              <w:t>pamatojoties uz to, ka attiecīga sagaidīšana ārvalsts karakuģiem nav obligāta un tiek noteikta, ja iesaistītās puses  to iepriekš saskaņo.</w:t>
            </w:r>
          </w:p>
          <w:p w14:paraId="513D7306" w14:textId="361159C2" w:rsidR="009778ED" w:rsidRDefault="009778ED" w:rsidP="00BA555A">
            <w:pPr>
              <w:jc w:val="both"/>
              <w:rPr>
                <w:rFonts w:eastAsia="Calibri"/>
                <w:lang w:eastAsia="en-US"/>
              </w:rPr>
            </w:pPr>
          </w:p>
          <w:p w14:paraId="2E557998" w14:textId="528142F2" w:rsidR="009778ED" w:rsidRPr="009778ED" w:rsidRDefault="009778ED" w:rsidP="00E94B56">
            <w:pPr>
              <w:jc w:val="both"/>
              <w:rPr>
                <w:rFonts w:eastAsia="Calibri"/>
                <w:lang w:eastAsia="en-US"/>
              </w:rPr>
            </w:pP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31931B1D" w:rsidR="007E22B9" w:rsidRPr="00871719" w:rsidRDefault="004176F8" w:rsidP="00E94B56">
            <w:pPr>
              <w:pStyle w:val="naiskr"/>
              <w:spacing w:before="0" w:after="0"/>
              <w:jc w:val="both"/>
            </w:pPr>
            <w:r>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8E0FDF">
              <w:t>, Ārlietu ministrija</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71825D55" w14:textId="5635ABC9" w:rsidR="0058508C" w:rsidRDefault="003D1ED4" w:rsidP="0058508C">
            <w:pPr>
              <w:jc w:val="both"/>
            </w:pPr>
            <w:r w:rsidRPr="003D1ED4">
              <w:t xml:space="preserve">ANO Jūras tiesību konvencijas </w:t>
            </w:r>
            <w:r w:rsidRPr="003D1ED4">
              <w:rPr>
                <w:bCs/>
              </w:rPr>
              <w:t>32. pants</w:t>
            </w:r>
            <w:r w:rsidRPr="003D1ED4">
              <w:t xml:space="preserve"> nosaka</w:t>
            </w:r>
            <w:r w:rsidRPr="003D1ED4">
              <w:rPr>
                <w:b/>
                <w:bCs/>
              </w:rPr>
              <w:t xml:space="preserve"> </w:t>
            </w:r>
            <w:r w:rsidRPr="003D1ED4">
              <w:rPr>
                <w:bCs/>
              </w:rPr>
              <w:t>karakuģu</w:t>
            </w:r>
            <w:r w:rsidRPr="003D1ED4">
              <w:rPr>
                <w:b/>
                <w:bCs/>
              </w:rPr>
              <w:t xml:space="preserve"> </w:t>
            </w:r>
            <w:r w:rsidRPr="003D1ED4">
              <w:t>vai citu nekomerciālos nolūkos izmantotu valsts kuģu</w:t>
            </w:r>
            <w:r w:rsidRPr="003D1ED4">
              <w:rPr>
                <w:b/>
                <w:bCs/>
              </w:rPr>
              <w:t xml:space="preserve"> </w:t>
            </w:r>
            <w:r w:rsidRPr="003D1ED4">
              <w:rPr>
                <w:bCs/>
              </w:rPr>
              <w:t>imunitāti.</w:t>
            </w:r>
            <w:r w:rsidRPr="003D1ED4">
              <w:rPr>
                <w:b/>
                <w:bCs/>
              </w:rPr>
              <w:t xml:space="preserve"> </w:t>
            </w:r>
            <w:r w:rsidRPr="003D1ED4">
              <w:t>Tas nozīmē, ka karakuģi bauda suverēno imunitāti un ne policija, ne ostu dienesti, ne citi dienesti nav tiesīgi uzkāpt uz karakuģa bez karakuģa komandiera atļaujas. ANO Jūras tiesību konvencija ir starptautiskais tiesību akts, kas attiecas uz visiem subjektiem, kas ir iesaistīti kuģošanā. Saskaņā ar ANO Jūras tiesību konvenciju karakuģis ir speciālais subjekts.</w:t>
            </w:r>
          </w:p>
          <w:p w14:paraId="183F1E52" w14:textId="77777777" w:rsidR="003D1ED4" w:rsidRDefault="003D1ED4" w:rsidP="0058508C">
            <w:pPr>
              <w:jc w:val="both"/>
            </w:pPr>
          </w:p>
          <w:p w14:paraId="697D34AD" w14:textId="77777777" w:rsidR="003D1ED4" w:rsidRDefault="003D1ED4" w:rsidP="0058508C">
            <w:pPr>
              <w:jc w:val="both"/>
            </w:pPr>
            <w:r>
              <w:t xml:space="preserve">Izstrādātā kārtība neattiecas uz valsts apdraudējuma situācijām, ko nosaka </w:t>
            </w:r>
            <w:r w:rsidRPr="00CD5A57">
              <w:t xml:space="preserve"> atsevišķa kārtība</w:t>
            </w:r>
            <w:r>
              <w:t>,</w:t>
            </w:r>
            <w:r w:rsidRPr="00CD5A57">
              <w:t xml:space="preserve"> </w:t>
            </w:r>
            <w:r>
              <w:t xml:space="preserve">kādā </w:t>
            </w:r>
            <w:r w:rsidRPr="00CD5A57">
              <w:t>Valsts robežsardze un Nacionālie bruņotie spēki sadarbojas un apmainās ar informāciju valsts apdraudējuma gadījumā</w:t>
            </w:r>
            <w:r>
              <w:rPr>
                <w:rStyle w:val="FootnoteReference"/>
              </w:rPr>
              <w:footnoteReference w:id="1"/>
            </w:r>
            <w:r w:rsidRPr="00CD5A57">
              <w:t>.  Tāpat saskaņā ar likumu “Par ārkārtējo situāciju un izņēmuma stāvokli” Ministru kabinetam ir tiesības likuma noteiktajā kārtībā lēmumā par ārkārtējo situāciju vai izņēmuma stā</w:t>
            </w:r>
            <w:r>
              <w:t xml:space="preserve">vokli atsevišķi noteikt kārtību, </w:t>
            </w:r>
            <w:r w:rsidRPr="00CD5A57">
              <w:t>kā</w:t>
            </w:r>
            <w:r>
              <w:t>dā</w:t>
            </w:r>
            <w:r w:rsidRPr="00CD5A57">
              <w:t xml:space="preserve"> saskaņojama NATO</w:t>
            </w:r>
            <w:r>
              <w:t xml:space="preserve"> un ES </w:t>
            </w:r>
            <w:r w:rsidRPr="00CD5A57">
              <w:t xml:space="preserve"> spēkos ietilpstošo personu ierašanās Latvijas Republikas teritorijā.</w:t>
            </w:r>
          </w:p>
          <w:p w14:paraId="29E827B0" w14:textId="77777777" w:rsidR="003D1ED4" w:rsidRDefault="003D1ED4" w:rsidP="0058508C">
            <w:pPr>
              <w:jc w:val="both"/>
            </w:pPr>
          </w:p>
          <w:p w14:paraId="4A5C79E7" w14:textId="764F9A0E" w:rsidR="003D1ED4" w:rsidRPr="00FC3D53" w:rsidRDefault="00FC3D53" w:rsidP="00871A23">
            <w:pPr>
              <w:pStyle w:val="NormalWeb"/>
              <w:rPr>
                <w:lang w:val="lv-LV"/>
              </w:rPr>
            </w:pPr>
            <w:r w:rsidRPr="00FC3D53">
              <w:rPr>
                <w:lang w:val="lv-LV"/>
              </w:rPr>
              <w:lastRenderedPageBreak/>
              <w:t xml:space="preserve">Savukārt NATO bruņoto spēku </w:t>
            </w:r>
            <w:r w:rsidR="00871A23">
              <w:rPr>
                <w:lang w:val="lv-LV"/>
              </w:rPr>
              <w:t xml:space="preserve">ārējās </w:t>
            </w:r>
            <w:r w:rsidRPr="00FC3D53">
              <w:rPr>
                <w:lang w:val="lv-LV"/>
              </w:rPr>
              <w:t>robež</w:t>
            </w:r>
            <w:r w:rsidR="00871A23">
              <w:rPr>
                <w:lang w:val="lv-LV"/>
              </w:rPr>
              <w:t>as</w:t>
            </w:r>
            <w:r w:rsidRPr="00FC3D53">
              <w:rPr>
                <w:lang w:val="lv-LV"/>
              </w:rPr>
              <w:t xml:space="preserve"> šķērso</w:t>
            </w:r>
            <w:r w:rsidR="00871A23">
              <w:rPr>
                <w:lang w:val="lv-LV"/>
              </w:rPr>
              <w:t>šana</w:t>
            </w:r>
            <w:r w:rsidRPr="00FC3D53">
              <w:rPr>
                <w:lang w:val="lv-LV"/>
              </w:rPr>
              <w:t xml:space="preserve"> ārpus robežšķērsošanas vietām</w:t>
            </w:r>
            <w:r w:rsidR="00871A23">
              <w:rPr>
                <w:lang w:val="lv-LV"/>
              </w:rPr>
              <w:t xml:space="preserve"> notiek</w:t>
            </w:r>
            <w:r w:rsidRPr="00FC3D53">
              <w:rPr>
                <w:lang w:val="lv-LV"/>
              </w:rPr>
              <w:t xml:space="preserve"> </w:t>
            </w:r>
            <w:r w:rsidR="00BA0265">
              <w:rPr>
                <w:lang w:val="lv-LV"/>
              </w:rPr>
              <w:t>saskaņā ar</w:t>
            </w:r>
            <w:r w:rsidRPr="00FC3D53">
              <w:rPr>
                <w:lang w:val="lv-LV"/>
              </w:rPr>
              <w:t xml:space="preserve"> Latvijas Republikas valsts robežas likum</w:t>
            </w:r>
            <w:r w:rsidR="00871A23">
              <w:rPr>
                <w:lang w:val="lv-LV"/>
              </w:rPr>
              <w:t>a</w:t>
            </w:r>
            <w:r w:rsidRPr="00FC3D53">
              <w:rPr>
                <w:lang w:val="lv-LV"/>
              </w:rPr>
              <w:t>10. pant</w:t>
            </w:r>
            <w:r w:rsidR="00871A23">
              <w:rPr>
                <w:lang w:val="lv-LV"/>
              </w:rPr>
              <w:t>a</w:t>
            </w:r>
            <w:r w:rsidRPr="00FC3D53">
              <w:rPr>
                <w:lang w:val="lv-LV"/>
              </w:rPr>
              <w:t xml:space="preserve"> 6.</w:t>
            </w:r>
            <w:r w:rsidRPr="00FC3D53">
              <w:rPr>
                <w:vertAlign w:val="superscript"/>
                <w:lang w:val="lv-LV"/>
              </w:rPr>
              <w:t>1</w:t>
            </w:r>
            <w:r w:rsidRPr="00FC3D53">
              <w:rPr>
                <w:lang w:val="lv-LV"/>
              </w:rPr>
              <w:t xml:space="preserve"> daļ</w:t>
            </w:r>
            <w:r w:rsidR="00871A23">
              <w:rPr>
                <w:lang w:val="lv-LV"/>
              </w:rPr>
              <w:t>ā</w:t>
            </w:r>
            <w:r>
              <w:rPr>
                <w:rStyle w:val="FootnoteReference"/>
              </w:rPr>
              <w:footnoteReference w:id="2"/>
            </w:r>
            <w:r w:rsidR="00871A23">
              <w:rPr>
                <w:lang w:val="lv-LV"/>
              </w:rPr>
              <w:t xml:space="preserve"> noteikto kārtību</w:t>
            </w:r>
            <w:r w:rsidRPr="00FC3D53">
              <w:rPr>
                <w:lang w:val="lv-LV"/>
              </w:rPr>
              <w:t>.</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FE162F">
            <w:pPr>
              <w:spacing w:line="276" w:lineRule="auto"/>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FE162F">
            <w:pPr>
              <w:spacing w:line="276" w:lineRule="auto"/>
              <w:jc w:val="both"/>
              <w:rPr>
                <w:lang w:eastAsia="en-US"/>
              </w:rPr>
            </w:pPr>
            <w:r w:rsidRPr="00FE162F">
              <w:rPr>
                <w:lang w:eastAsia="en-US"/>
              </w:rPr>
              <w:t>Sabiedrības mērķgrupas,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4E5922E4" w:rsidR="009F13DD" w:rsidRPr="00FE162F" w:rsidRDefault="00FE162F" w:rsidP="00E94B56">
            <w:pPr>
              <w:spacing w:line="276" w:lineRule="auto"/>
              <w:ind w:left="57"/>
              <w:jc w:val="both"/>
              <w:rPr>
                <w:lang w:eastAsia="en-US"/>
              </w:rPr>
            </w:pPr>
            <w:r w:rsidRPr="00FE162F">
              <w:rPr>
                <w:lang w:eastAsia="en-US"/>
              </w:rPr>
              <w:t xml:space="preserve">Noteikumu projekta tiesiskais regulējums attiecināms uz Aizsardzības ministriju, Ārlietu ministriju, </w:t>
            </w:r>
            <w:r>
              <w:rPr>
                <w:lang w:eastAsia="en-US"/>
              </w:rPr>
              <w:t>Nacionālajiem bruņotajiem spēkiem</w:t>
            </w:r>
            <w:r w:rsidR="00BA555A">
              <w:rPr>
                <w:lang w:eastAsia="en-US"/>
              </w:rPr>
              <w:t>,</w:t>
            </w:r>
            <w:r w:rsidR="00871A23">
              <w:rPr>
                <w:lang w:eastAsia="en-US"/>
              </w:rPr>
              <w:t xml:space="preserve"> </w:t>
            </w:r>
            <w:r w:rsidR="00BA555A">
              <w:rPr>
                <w:lang w:eastAsia="en-US"/>
              </w:rPr>
              <w:t xml:space="preserve"> kā arī personām, </w:t>
            </w:r>
            <w:r w:rsidR="00BA555A" w:rsidRPr="00BA555A">
              <w:rPr>
                <w:lang w:eastAsia="en-US"/>
              </w:rPr>
              <w:t xml:space="preserve">kurām </w:t>
            </w:r>
            <w:r w:rsidR="00A71B4F">
              <w:rPr>
                <w:lang w:eastAsia="en-US"/>
              </w:rPr>
              <w:t xml:space="preserve">iepriekš </w:t>
            </w:r>
            <w:r w:rsidR="00BA555A" w:rsidRPr="00BA555A">
              <w:rPr>
                <w:lang w:eastAsia="en-US"/>
              </w:rPr>
              <w:t>bija pienākums prasī</w:t>
            </w:r>
            <w:r w:rsidR="00BA555A">
              <w:rPr>
                <w:lang w:eastAsia="en-US"/>
              </w:rPr>
              <w:t xml:space="preserve">t </w:t>
            </w:r>
            <w:r w:rsidR="00E94B56">
              <w:rPr>
                <w:lang w:eastAsia="en-US"/>
              </w:rPr>
              <w:t xml:space="preserve">diplomātisko </w:t>
            </w:r>
            <w:r w:rsidR="00BA555A">
              <w:rPr>
                <w:lang w:eastAsia="en-US"/>
              </w:rPr>
              <w:t xml:space="preserve">atļauju </w:t>
            </w:r>
            <w:r w:rsidR="00E94B56">
              <w:rPr>
                <w:lang w:eastAsia="en-US"/>
              </w:rPr>
              <w:t>ES</w:t>
            </w:r>
            <w:r w:rsidR="00BA555A">
              <w:rPr>
                <w:lang w:eastAsia="en-US"/>
              </w:rPr>
              <w:t xml:space="preserve"> </w:t>
            </w:r>
            <w:r w:rsidR="0036489D">
              <w:rPr>
                <w:lang w:eastAsia="en-US"/>
              </w:rPr>
              <w:t xml:space="preserve">dalībvalstu </w:t>
            </w:r>
            <w:r w:rsidR="00BA555A">
              <w:rPr>
                <w:lang w:eastAsia="en-US"/>
              </w:rPr>
              <w:t>karakuģa ienākšanai Latvijas teritoriālajos ūdeņos</w:t>
            </w:r>
            <w:r w:rsidR="00A71B4F">
              <w:rPr>
                <w:lang w:eastAsia="en-US"/>
              </w:rPr>
              <w:t>.</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9F13DD">
            <w:pPr>
              <w:spacing w:line="276" w:lineRule="auto"/>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FE162F">
            <w:pPr>
              <w:widowControl w:val="0"/>
              <w:spacing w:line="276" w:lineRule="auto"/>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6A64ADBE" w14:textId="0C8FBBB8" w:rsidR="00FE162F" w:rsidRDefault="00FE162F" w:rsidP="00FE162F">
            <w:pPr>
              <w:spacing w:line="276" w:lineRule="auto"/>
              <w:jc w:val="both"/>
            </w:pPr>
            <w:r w:rsidRPr="00FE162F">
              <w:t>Tiesiskais regulējums samazina administratīvo slogu Ārlietu ministrijai</w:t>
            </w:r>
            <w:r w:rsidR="00A71B4F">
              <w:t>,</w:t>
            </w:r>
            <w:r>
              <w:t xml:space="preserve"> </w:t>
            </w:r>
            <w:r w:rsidRPr="00FE162F">
              <w:t>Aizsardzības ministrijai</w:t>
            </w:r>
            <w:r w:rsidR="00A71B4F">
              <w:t xml:space="preserve"> un </w:t>
            </w:r>
            <w:r w:rsidRPr="00FE162F">
              <w:t>Nacionālajiem bruņotajiem spēkiem.</w:t>
            </w:r>
          </w:p>
          <w:p w14:paraId="4B0D8CDA" w14:textId="7D8F443F" w:rsidR="00FE162F" w:rsidRPr="00FE162F" w:rsidRDefault="00BA555A" w:rsidP="00E94B56">
            <w:pPr>
              <w:spacing w:line="276" w:lineRule="auto"/>
              <w:jc w:val="both"/>
            </w:pPr>
            <w:r>
              <w:t xml:space="preserve">Administratīvais slogs vienlaicīgi tiek samazināts tām personām, </w:t>
            </w:r>
            <w:r w:rsidRPr="00BA555A">
              <w:t xml:space="preserve">kurām </w:t>
            </w:r>
            <w:r w:rsidR="00A71B4F">
              <w:t xml:space="preserve">iepriekš </w:t>
            </w:r>
            <w:r w:rsidRPr="00BA555A">
              <w:t xml:space="preserve">bija pienākums prasīt atļauju </w:t>
            </w:r>
            <w:r w:rsidR="00E94B56">
              <w:t>ES</w:t>
            </w:r>
            <w:r w:rsidR="0036489D">
              <w:t xml:space="preserve"> dalībvalstu</w:t>
            </w:r>
            <w:r w:rsidRPr="00BA555A">
              <w:t xml:space="preserve"> karakuģa ienākšanai Latvijas teritoriālajos ūdeņos</w:t>
            </w:r>
            <w:r>
              <w:t>.</w:t>
            </w: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FE162F">
            <w:pPr>
              <w:spacing w:line="276" w:lineRule="auto"/>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FE162F">
            <w:pPr>
              <w:spacing w:line="276" w:lineRule="auto"/>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FE162F">
            <w:pPr>
              <w:spacing w:line="276" w:lineRule="auto"/>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77777777" w:rsidR="00FE162F" w:rsidRPr="00FE162F" w:rsidRDefault="00FE162F" w:rsidP="00FE162F">
            <w:pPr>
              <w:widowControl w:val="0"/>
              <w:spacing w:line="276" w:lineRule="auto"/>
              <w:jc w:val="both"/>
              <w:rPr>
                <w:lang w:eastAsia="en-US"/>
              </w:rPr>
            </w:pPr>
            <w:r w:rsidRPr="00FE162F">
              <w:rPr>
                <w:lang w:eastAsia="en-US"/>
              </w:rPr>
              <w:t>Nav</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9277E9C"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871719"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79620E" w:rsidRPr="00871719" w14:paraId="1B2768EF"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30DFF785" w14:textId="15EF28ED" w:rsidR="0079620E" w:rsidRPr="00871719" w:rsidRDefault="0079620E" w:rsidP="007F3773">
            <w:pPr>
              <w:ind w:firstLine="300"/>
              <w:jc w:val="center"/>
              <w:rPr>
                <w:b/>
                <w:bCs/>
              </w:rPr>
            </w:pPr>
            <w:r>
              <w:t>P</w:t>
            </w:r>
            <w:r w:rsidRPr="00871719">
              <w:t>rojekts šo jomu neskar.</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lastRenderedPageBreak/>
              <w:t>P</w:t>
            </w:r>
            <w:r w:rsidR="00AF28BD" w:rsidRPr="00871719">
              <w:t>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78E0D74B" w14:textId="407F459F" w:rsidR="003021D2" w:rsidRDefault="002D4AAB" w:rsidP="002D4AAB">
            <w:pPr>
              <w:ind w:right="102"/>
              <w:jc w:val="both"/>
            </w:pPr>
            <w:bookmarkStart w:id="1" w:name="p61"/>
            <w:bookmarkEnd w:id="1"/>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apakšpunktu sabiedrības pārstāvji i</w:t>
            </w:r>
            <w:r w:rsidR="00802985">
              <w:t>r</w:t>
            </w:r>
            <w:r w:rsidRPr="002D4AAB">
              <w:t xml:space="preserve"> aicināti līdzdarboties, r</w:t>
            </w:r>
            <w:r>
              <w:t>akstiski sniedzot viedokli par Noteikumu projektu</w:t>
            </w:r>
            <w:r w:rsidRPr="002D4AAB">
              <w:t xml:space="preserve">. </w:t>
            </w:r>
            <w:r w:rsidR="00802985" w:rsidRPr="00D16C50">
              <w:t xml:space="preserve">Noteikumu projekts </w:t>
            </w:r>
            <w:r w:rsidR="00A71B4F">
              <w:t>2019. </w:t>
            </w:r>
            <w:r w:rsidR="00A71B4F" w:rsidRPr="003021D2">
              <w:t xml:space="preserve">gada </w:t>
            </w:r>
            <w:r w:rsidR="00A71B4F">
              <w:t xml:space="preserve">19. augustā </w:t>
            </w:r>
            <w:r w:rsidR="00802985" w:rsidRPr="00D16C50">
              <w:t>tika publicēts Aizsardzības ministrijas</w:t>
            </w:r>
            <w:r w:rsidR="00802985">
              <w:t xml:space="preserve"> mājaslapas sadaļā </w:t>
            </w:r>
            <w:r w:rsidR="00802985" w:rsidRPr="003021D2">
              <w:t>“Sabiedriskās un publiskās apspriešanas”</w:t>
            </w:r>
            <w:r w:rsidR="00A71B4F">
              <w:t>:</w:t>
            </w:r>
            <w:r w:rsidR="00802985" w:rsidRPr="003021D2">
              <w:t xml:space="preserve"> https://www.mod.gov.lv/lv/nozares-politika/sabiedribas-lidzdaliba/sabiedriskas-un-publiskas-apspriesanas</w:t>
            </w:r>
          </w:p>
          <w:p w14:paraId="7E29CEB4" w14:textId="6D9EAA5E" w:rsidR="0040612C" w:rsidRPr="00871719" w:rsidRDefault="00B031B2" w:rsidP="002D4AAB">
            <w:pPr>
              <w:ind w:right="102"/>
              <w:jc w:val="both"/>
            </w:pPr>
            <w:r w:rsidRPr="00871719">
              <w:t>Pēc Noteikumu projekta izsludināšanas Valsts sekretāru sanāksmē tas būs pieejams Ministru kabineta tīmekļa vietnē</w:t>
            </w:r>
            <w:r w:rsidR="00A71B4F">
              <w:t xml:space="preserve"> </w:t>
            </w:r>
            <w:hyperlink r:id="rId8"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0EBF460C" w14:textId="7AFACE88" w:rsidR="0040612C" w:rsidRPr="001233CF" w:rsidRDefault="00802985" w:rsidP="003021D2">
            <w:pPr>
              <w:ind w:left="-14" w:right="57"/>
              <w:jc w:val="both"/>
            </w:pPr>
            <w:bookmarkStart w:id="2" w:name="p62"/>
            <w:bookmarkEnd w:id="2"/>
            <w:r w:rsidRPr="002D4AAB">
              <w:t xml:space="preserve">Sabiedrības pārstāvji ir informēti par iespēju līdzdarboties, publicējot paziņojumu par līdzdalības procesu Aizsardzības ministrijas tīmekļvietnē </w:t>
            </w:r>
            <w:hyperlink r:id="rId9" w:history="1">
              <w:r w:rsidRPr="00AC19A3">
                <w:rPr>
                  <w:rStyle w:val="Hyperlink"/>
                </w:rPr>
                <w:t>www.mod.gov.lv</w:t>
              </w:r>
            </w:hyperlink>
            <w:r w:rsidRPr="002D4AAB">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871719" w:rsidRDefault="001233CF" w:rsidP="001233CF">
            <w:pPr>
              <w:shd w:val="clear" w:color="auto" w:fill="FFFFFF"/>
              <w:ind w:right="57"/>
              <w:jc w:val="both"/>
            </w:pPr>
            <w:r>
              <w:rPr>
                <w:rStyle w:val="Emphasis"/>
                <w:bCs/>
                <w:i w:val="0"/>
              </w:rPr>
              <w:t>Nav.</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692D7F49" w:rsidR="007E1773" w:rsidRPr="00871719" w:rsidRDefault="00B104F5" w:rsidP="00C36AE6">
            <w:pPr>
              <w:pStyle w:val="naisnod"/>
              <w:spacing w:before="0" w:after="0"/>
              <w:jc w:val="both"/>
              <w:rPr>
                <w:b w:val="0"/>
              </w:rPr>
            </w:pPr>
            <w:r>
              <w:rPr>
                <w:b w:val="0"/>
                <w:color w:val="000000"/>
              </w:rPr>
              <w:t xml:space="preserve">Nacionālie </w:t>
            </w:r>
            <w:r w:rsidRPr="00802985">
              <w:rPr>
                <w:b w:val="0"/>
                <w:color w:val="000000"/>
              </w:rPr>
              <w:t>bruņotie spē</w:t>
            </w:r>
            <w:r w:rsidR="00802985" w:rsidRPr="00802985">
              <w:rPr>
                <w:b w:val="0"/>
                <w:color w:val="000000"/>
              </w:rPr>
              <w:t>ki</w:t>
            </w:r>
            <w:r>
              <w:rPr>
                <w:b w:val="0"/>
                <w:color w:val="000000"/>
              </w:rPr>
              <w:t xml:space="preserve">, Ārlietu </w:t>
            </w:r>
            <w:r w:rsidR="00C36AE6">
              <w:rPr>
                <w:b w:val="0"/>
                <w:color w:val="000000"/>
              </w:rPr>
              <w:t>ministrija.</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0CDEEFCF" w14:textId="2E679ACC" w:rsidR="0038596F" w:rsidRDefault="0038596F" w:rsidP="008F2C79">
      <w:r>
        <w:t>Iesniedzējs:</w:t>
      </w:r>
    </w:p>
    <w:p w14:paraId="2686AAE8" w14:textId="2400D871" w:rsidR="00884543" w:rsidRDefault="00D16C50" w:rsidP="008F2C79">
      <w:r>
        <w:t>Ministru prezidenta biedrs,</w:t>
      </w:r>
    </w:p>
    <w:p w14:paraId="76C0EA8F" w14:textId="480532CF" w:rsidR="002F40E6" w:rsidRPr="000249F8" w:rsidRDefault="00D16C50" w:rsidP="002F40E6">
      <w:pPr>
        <w:pStyle w:val="StyleRight"/>
        <w:spacing w:after="0"/>
        <w:ind w:firstLine="0"/>
        <w:jc w:val="both"/>
        <w:rPr>
          <w:sz w:val="24"/>
          <w:szCs w:val="24"/>
        </w:rPr>
      </w:pPr>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802985">
        <w:rPr>
          <w:sz w:val="24"/>
          <w:szCs w:val="24"/>
        </w:rPr>
        <w:t xml:space="preserve">      </w:t>
      </w:r>
      <w:proofErr w:type="gramEnd"/>
      <w:r w:rsidR="002F40E6">
        <w:rPr>
          <w:sz w:val="24"/>
          <w:szCs w:val="24"/>
        </w:rPr>
        <w:t>Artis Pabriks</w:t>
      </w:r>
    </w:p>
    <w:p w14:paraId="0768184B" w14:textId="3E3E5FFA" w:rsidR="00C2125B" w:rsidRPr="00871719" w:rsidRDefault="00C2125B" w:rsidP="00B10543">
      <w:pPr>
        <w:pStyle w:val="naisf"/>
        <w:tabs>
          <w:tab w:val="left" w:pos="6804"/>
        </w:tabs>
        <w:spacing w:before="0" w:after="0"/>
        <w:ind w:firstLine="0"/>
      </w:pPr>
    </w:p>
    <w:p w14:paraId="4F0B06B4" w14:textId="646D1F12" w:rsidR="00884543" w:rsidRDefault="00802985" w:rsidP="00B10543">
      <w:pPr>
        <w:pStyle w:val="naisf"/>
        <w:tabs>
          <w:tab w:val="left" w:pos="6804"/>
        </w:tabs>
        <w:spacing w:before="0" w:after="0"/>
        <w:ind w:firstLine="0"/>
      </w:pPr>
      <w:r>
        <w:t>Vīza:</w:t>
      </w:r>
    </w:p>
    <w:p w14:paraId="498F0317" w14:textId="39F2F005" w:rsidR="00802985" w:rsidRPr="00871719" w:rsidRDefault="00802985" w:rsidP="00B10543">
      <w:pPr>
        <w:pStyle w:val="naisf"/>
        <w:tabs>
          <w:tab w:val="left" w:pos="6804"/>
        </w:tabs>
        <w:spacing w:before="0" w:after="0"/>
        <w:ind w:firstLine="0"/>
      </w:pPr>
      <w:r>
        <w:t>Valsts sekretārs</w:t>
      </w:r>
      <w:r>
        <w:tab/>
        <w:t>Jānis Garisons</w:t>
      </w:r>
    </w:p>
    <w:p w14:paraId="5988ED6A" w14:textId="77777777" w:rsidR="00722F69" w:rsidRDefault="00722F69" w:rsidP="00A83488"/>
    <w:p w14:paraId="67F86C45" w14:textId="4D9EA0BA"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ACE8D31" w14:textId="7F01F2E1" w:rsidR="002F40E6" w:rsidRPr="00F84CC1" w:rsidRDefault="00F84CC1" w:rsidP="00A83488">
      <w:pPr>
        <w:rPr>
          <w:sz w:val="18"/>
          <w:szCs w:val="18"/>
        </w:rPr>
      </w:pPr>
      <w:hyperlink r:id="rId10" w:history="1">
        <w:r w:rsidR="00B104F5" w:rsidRPr="00AC19A3">
          <w:rPr>
            <w:rStyle w:val="Hyperlink"/>
            <w:sz w:val="18"/>
            <w:szCs w:val="18"/>
          </w:rPr>
          <w:t>ieva.rublevska@mod.gov.lv</w:t>
        </w:r>
      </w:hyperlink>
      <w:bookmarkStart w:id="3" w:name="_GoBack"/>
      <w:bookmarkEnd w:id="3"/>
    </w:p>
    <w:sectPr w:rsidR="002F40E6" w:rsidRPr="00F84CC1"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BDAB" w14:textId="77777777" w:rsidR="00CA2B60" w:rsidRDefault="00CA2B60">
      <w:r>
        <w:separator/>
      </w:r>
    </w:p>
  </w:endnote>
  <w:endnote w:type="continuationSeparator" w:id="0">
    <w:p w14:paraId="0AC9E3DF" w14:textId="77777777" w:rsidR="00CA2B60" w:rsidRDefault="00C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7DD0B8AD"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EC4CE6">
      <w:rPr>
        <w:color w:val="000000"/>
        <w:sz w:val="20"/>
        <w:szCs w:val="20"/>
      </w:rPr>
      <w:t>161120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46BA78F8" w:rsidR="007F3773" w:rsidRPr="00EC4CE6" w:rsidRDefault="00EC4CE6" w:rsidP="00EC4CE6">
    <w:pPr>
      <w:pStyle w:val="Footer"/>
    </w:pPr>
    <w:r w:rsidRPr="00EC4CE6">
      <w:rPr>
        <w:color w:val="000000"/>
        <w:sz w:val="20"/>
        <w:szCs w:val="20"/>
      </w:rPr>
      <w:t>A</w:t>
    </w:r>
    <w:r w:rsidR="00545412">
      <w:rPr>
        <w:color w:val="000000"/>
        <w:sz w:val="20"/>
        <w:szCs w:val="20"/>
      </w:rPr>
      <w:t>i</w:t>
    </w:r>
    <w:r w:rsidRPr="00EC4CE6">
      <w:rPr>
        <w:color w:val="000000"/>
        <w:sz w:val="20"/>
        <w:szCs w:val="20"/>
      </w:rPr>
      <w:t>Manot_161120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45FA" w14:textId="77777777" w:rsidR="00CA2B60" w:rsidRDefault="00CA2B60">
      <w:r>
        <w:separator/>
      </w:r>
    </w:p>
  </w:footnote>
  <w:footnote w:type="continuationSeparator" w:id="0">
    <w:p w14:paraId="59E0FF8D" w14:textId="77777777" w:rsidR="00CA2B60" w:rsidRDefault="00CA2B60">
      <w:r>
        <w:continuationSeparator/>
      </w:r>
    </w:p>
  </w:footnote>
  <w:footnote w:id="1">
    <w:p w14:paraId="1CE00C0B" w14:textId="77777777" w:rsidR="003D1ED4" w:rsidRPr="00BD13E1" w:rsidRDefault="003D1ED4" w:rsidP="003D1ED4">
      <w:pPr>
        <w:pStyle w:val="tv213"/>
        <w:spacing w:before="0" w:beforeAutospacing="0" w:after="0" w:afterAutospacing="0"/>
        <w:jc w:val="both"/>
        <w:rPr>
          <w:bCs/>
          <w:sz w:val="16"/>
          <w:szCs w:val="16"/>
        </w:rPr>
      </w:pPr>
      <w:r w:rsidRPr="00CD5A57">
        <w:rPr>
          <w:rStyle w:val="FootnoteReference"/>
          <w:sz w:val="16"/>
          <w:szCs w:val="16"/>
        </w:rPr>
        <w:footnoteRef/>
      </w:r>
      <w:r w:rsidRPr="00CD5A57">
        <w:rPr>
          <w:sz w:val="16"/>
          <w:szCs w:val="16"/>
        </w:rPr>
        <w:t xml:space="preserve"> </w:t>
      </w:r>
      <w:proofErr w:type="spellStart"/>
      <w:r w:rsidRPr="00CD5A57">
        <w:rPr>
          <w:sz w:val="16"/>
          <w:szCs w:val="16"/>
        </w:rPr>
        <w:t>N</w:t>
      </w:r>
      <w:r w:rsidRPr="00BD13E1">
        <w:rPr>
          <w:sz w:val="16"/>
          <w:szCs w:val="16"/>
        </w:rPr>
        <w:t>acionālās</w:t>
      </w:r>
      <w:proofErr w:type="spellEnd"/>
      <w:r w:rsidRPr="00BD13E1">
        <w:rPr>
          <w:sz w:val="16"/>
          <w:szCs w:val="16"/>
        </w:rPr>
        <w:t xml:space="preserve"> </w:t>
      </w:r>
      <w:proofErr w:type="spellStart"/>
      <w:r w:rsidRPr="00BD13E1">
        <w:rPr>
          <w:sz w:val="16"/>
          <w:szCs w:val="16"/>
        </w:rPr>
        <w:t>drošības</w:t>
      </w:r>
      <w:proofErr w:type="spellEnd"/>
      <w:r w:rsidRPr="00BD13E1">
        <w:rPr>
          <w:sz w:val="16"/>
          <w:szCs w:val="16"/>
        </w:rPr>
        <w:t xml:space="preserve"> </w:t>
      </w:r>
      <w:proofErr w:type="spellStart"/>
      <w:r w:rsidRPr="00BD13E1">
        <w:rPr>
          <w:sz w:val="16"/>
          <w:szCs w:val="16"/>
        </w:rPr>
        <w:t>likums</w:t>
      </w:r>
      <w:proofErr w:type="spellEnd"/>
      <w:r w:rsidRPr="00BD13E1">
        <w:rPr>
          <w:bCs/>
          <w:sz w:val="16"/>
          <w:szCs w:val="16"/>
        </w:rPr>
        <w:t xml:space="preserve"> </w:t>
      </w:r>
    </w:p>
    <w:p w14:paraId="5A3AC222" w14:textId="77777777" w:rsidR="003D1ED4" w:rsidRPr="00BD13E1" w:rsidRDefault="003D1ED4" w:rsidP="003D1ED4">
      <w:pPr>
        <w:pStyle w:val="tv213"/>
        <w:spacing w:before="0" w:beforeAutospacing="0" w:after="0" w:afterAutospacing="0"/>
        <w:jc w:val="both"/>
        <w:rPr>
          <w:sz w:val="16"/>
          <w:szCs w:val="16"/>
        </w:rPr>
      </w:pPr>
      <w:r w:rsidRPr="00BD13E1">
        <w:rPr>
          <w:bCs/>
          <w:sz w:val="16"/>
          <w:szCs w:val="16"/>
        </w:rPr>
        <w:t>33.</w:t>
      </w:r>
      <w:r>
        <w:rPr>
          <w:bCs/>
          <w:sz w:val="16"/>
          <w:szCs w:val="16"/>
        </w:rPr>
        <w:t> </w:t>
      </w:r>
      <w:proofErr w:type="gramStart"/>
      <w:r w:rsidRPr="00BD13E1">
        <w:rPr>
          <w:bCs/>
          <w:sz w:val="16"/>
          <w:szCs w:val="16"/>
        </w:rPr>
        <w:t>pants</w:t>
      </w:r>
      <w:proofErr w:type="gramEnd"/>
      <w:r w:rsidRPr="00BD13E1">
        <w:rPr>
          <w:bCs/>
          <w:sz w:val="16"/>
          <w:szCs w:val="16"/>
        </w:rPr>
        <w:t xml:space="preserve">. </w:t>
      </w:r>
      <w:proofErr w:type="spellStart"/>
      <w:r w:rsidRPr="00BD13E1">
        <w:rPr>
          <w:bCs/>
          <w:sz w:val="16"/>
          <w:szCs w:val="16"/>
        </w:rPr>
        <w:t>Valsts</w:t>
      </w:r>
      <w:proofErr w:type="spellEnd"/>
      <w:r w:rsidRPr="00BD13E1">
        <w:rPr>
          <w:bCs/>
          <w:sz w:val="16"/>
          <w:szCs w:val="16"/>
        </w:rPr>
        <w:t xml:space="preserve"> </w:t>
      </w:r>
      <w:proofErr w:type="spellStart"/>
      <w:r w:rsidRPr="00BD13E1">
        <w:rPr>
          <w:bCs/>
          <w:sz w:val="16"/>
          <w:szCs w:val="16"/>
        </w:rPr>
        <w:t>aizsardzības</w:t>
      </w:r>
      <w:proofErr w:type="spellEnd"/>
      <w:r w:rsidRPr="00BD13E1">
        <w:rPr>
          <w:bCs/>
          <w:sz w:val="16"/>
          <w:szCs w:val="16"/>
        </w:rPr>
        <w:t xml:space="preserve"> </w:t>
      </w:r>
      <w:proofErr w:type="spellStart"/>
      <w:r w:rsidRPr="00BD13E1">
        <w:rPr>
          <w:bCs/>
          <w:sz w:val="16"/>
          <w:szCs w:val="16"/>
        </w:rPr>
        <w:t>operatīvais</w:t>
      </w:r>
      <w:proofErr w:type="spellEnd"/>
      <w:r w:rsidRPr="00BD13E1">
        <w:rPr>
          <w:bCs/>
          <w:sz w:val="16"/>
          <w:szCs w:val="16"/>
        </w:rPr>
        <w:t xml:space="preserve"> </w:t>
      </w:r>
      <w:proofErr w:type="spellStart"/>
      <w:r w:rsidRPr="00BD13E1">
        <w:rPr>
          <w:bCs/>
          <w:sz w:val="16"/>
          <w:szCs w:val="16"/>
        </w:rPr>
        <w:t>plāns</w:t>
      </w:r>
      <w:proofErr w:type="spellEnd"/>
      <w:r w:rsidRPr="00BD13E1">
        <w:rPr>
          <w:bCs/>
          <w:sz w:val="16"/>
          <w:szCs w:val="16"/>
        </w:rPr>
        <w:t xml:space="preserve"> </w:t>
      </w:r>
    </w:p>
    <w:p w14:paraId="1B367EC6" w14:textId="77777777" w:rsidR="003D1ED4" w:rsidRPr="00BD13E1" w:rsidRDefault="003D1ED4" w:rsidP="003D1ED4">
      <w:pPr>
        <w:pStyle w:val="tv213"/>
        <w:spacing w:before="0" w:beforeAutospacing="0" w:after="0" w:afterAutospacing="0"/>
        <w:jc w:val="both"/>
        <w:rPr>
          <w:sz w:val="16"/>
          <w:szCs w:val="16"/>
        </w:rPr>
      </w:pPr>
      <w:r w:rsidRPr="00BD13E1">
        <w:rPr>
          <w:sz w:val="16"/>
          <w:szCs w:val="16"/>
        </w:rPr>
        <w:t xml:space="preserve">(1) </w:t>
      </w:r>
      <w:proofErr w:type="spellStart"/>
      <w:r w:rsidRPr="00BD13E1">
        <w:rPr>
          <w:sz w:val="16"/>
          <w:szCs w:val="16"/>
        </w:rPr>
        <w:t>Valsts</w:t>
      </w:r>
      <w:proofErr w:type="spellEnd"/>
      <w:r w:rsidRPr="00BD13E1">
        <w:rPr>
          <w:sz w:val="16"/>
          <w:szCs w:val="16"/>
        </w:rPr>
        <w:t xml:space="preserve"> </w:t>
      </w:r>
      <w:proofErr w:type="spellStart"/>
      <w:r w:rsidRPr="00BD13E1">
        <w:rPr>
          <w:sz w:val="16"/>
          <w:szCs w:val="16"/>
        </w:rPr>
        <w:t>aizsardzības</w:t>
      </w:r>
      <w:proofErr w:type="spellEnd"/>
      <w:r w:rsidRPr="00BD13E1">
        <w:rPr>
          <w:sz w:val="16"/>
          <w:szCs w:val="16"/>
        </w:rPr>
        <w:t xml:space="preserve"> </w:t>
      </w:r>
      <w:proofErr w:type="spellStart"/>
      <w:r w:rsidRPr="00BD13E1">
        <w:rPr>
          <w:sz w:val="16"/>
          <w:szCs w:val="16"/>
        </w:rPr>
        <w:t>operatīvais</w:t>
      </w:r>
      <w:proofErr w:type="spellEnd"/>
      <w:r w:rsidRPr="00BD13E1">
        <w:rPr>
          <w:sz w:val="16"/>
          <w:szCs w:val="16"/>
        </w:rPr>
        <w:t xml:space="preserve"> </w:t>
      </w:r>
      <w:proofErr w:type="spellStart"/>
      <w:r w:rsidRPr="00BD13E1">
        <w:rPr>
          <w:sz w:val="16"/>
          <w:szCs w:val="16"/>
        </w:rPr>
        <w:t>plāns</w:t>
      </w:r>
      <w:proofErr w:type="spellEnd"/>
      <w:r w:rsidRPr="00BD13E1">
        <w:rPr>
          <w:sz w:val="16"/>
          <w:szCs w:val="16"/>
        </w:rPr>
        <w:t xml:space="preserve"> </w:t>
      </w:r>
      <w:proofErr w:type="spellStart"/>
      <w:r w:rsidRPr="00BD13E1">
        <w:rPr>
          <w:sz w:val="16"/>
          <w:szCs w:val="16"/>
        </w:rPr>
        <w:t>ietver</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situācijas</w:t>
      </w:r>
      <w:proofErr w:type="spellEnd"/>
      <w:r w:rsidRPr="00BD13E1">
        <w:rPr>
          <w:sz w:val="16"/>
          <w:szCs w:val="16"/>
        </w:rPr>
        <w:t xml:space="preserve"> </w:t>
      </w:r>
      <w:proofErr w:type="spellStart"/>
      <w:r w:rsidRPr="00BD13E1">
        <w:rPr>
          <w:sz w:val="16"/>
          <w:szCs w:val="16"/>
        </w:rPr>
        <w:t>izvērtējumu</w:t>
      </w:r>
      <w:proofErr w:type="spellEnd"/>
      <w:r w:rsidRPr="00BD13E1">
        <w:rPr>
          <w:sz w:val="16"/>
          <w:szCs w:val="16"/>
        </w:rPr>
        <w:t xml:space="preserve">, </w:t>
      </w:r>
      <w:proofErr w:type="spellStart"/>
      <w:r w:rsidRPr="00BD13E1">
        <w:rPr>
          <w:sz w:val="16"/>
          <w:szCs w:val="16"/>
        </w:rPr>
        <w:t>Nacionālo</w:t>
      </w:r>
      <w:proofErr w:type="spellEnd"/>
      <w:r w:rsidRPr="00BD13E1">
        <w:rPr>
          <w:sz w:val="16"/>
          <w:szCs w:val="16"/>
        </w:rPr>
        <w:t xml:space="preserve"> </w:t>
      </w:r>
      <w:proofErr w:type="spellStart"/>
      <w:r w:rsidRPr="00BD13E1">
        <w:rPr>
          <w:sz w:val="16"/>
          <w:szCs w:val="16"/>
        </w:rPr>
        <w:t>bruņoto</w:t>
      </w:r>
      <w:proofErr w:type="spellEnd"/>
      <w:r w:rsidRPr="00BD13E1">
        <w:rPr>
          <w:sz w:val="16"/>
          <w:szCs w:val="16"/>
        </w:rPr>
        <w:t xml:space="preserve"> </w:t>
      </w:r>
      <w:proofErr w:type="spellStart"/>
      <w:r w:rsidRPr="00BD13E1">
        <w:rPr>
          <w:sz w:val="16"/>
          <w:szCs w:val="16"/>
        </w:rPr>
        <w:t>spēku</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kaujas</w:t>
      </w:r>
      <w:proofErr w:type="spellEnd"/>
      <w:r w:rsidRPr="00BD13E1">
        <w:rPr>
          <w:sz w:val="16"/>
          <w:szCs w:val="16"/>
        </w:rPr>
        <w:t xml:space="preserve"> </w:t>
      </w:r>
      <w:proofErr w:type="spellStart"/>
      <w:r w:rsidRPr="00BD13E1">
        <w:rPr>
          <w:sz w:val="16"/>
          <w:szCs w:val="16"/>
        </w:rPr>
        <w:t>gatavības</w:t>
      </w:r>
      <w:proofErr w:type="spellEnd"/>
      <w:r w:rsidRPr="00BD13E1">
        <w:rPr>
          <w:sz w:val="16"/>
          <w:szCs w:val="16"/>
        </w:rPr>
        <w:t xml:space="preserve"> </w:t>
      </w:r>
      <w:proofErr w:type="spellStart"/>
      <w:r w:rsidRPr="00BD13E1">
        <w:rPr>
          <w:sz w:val="16"/>
          <w:szCs w:val="16"/>
        </w:rPr>
        <w:t>izvērtējumu</w:t>
      </w:r>
      <w:proofErr w:type="spellEnd"/>
      <w:r w:rsidRPr="00BD13E1">
        <w:rPr>
          <w:sz w:val="16"/>
          <w:szCs w:val="16"/>
        </w:rPr>
        <w:t xml:space="preserve"> </w:t>
      </w:r>
      <w:proofErr w:type="gramStart"/>
      <w:r w:rsidRPr="00BD13E1">
        <w:rPr>
          <w:sz w:val="16"/>
          <w:szCs w:val="16"/>
        </w:rPr>
        <w:t>un</w:t>
      </w:r>
      <w:proofErr w:type="gramEnd"/>
      <w:r w:rsidRPr="00BD13E1">
        <w:rPr>
          <w:sz w:val="16"/>
          <w:szCs w:val="16"/>
        </w:rPr>
        <w:t xml:space="preserve"> </w:t>
      </w:r>
      <w:proofErr w:type="spellStart"/>
      <w:r w:rsidRPr="00BD13E1">
        <w:rPr>
          <w:sz w:val="16"/>
          <w:szCs w:val="16"/>
        </w:rPr>
        <w:t>darbības</w:t>
      </w:r>
      <w:proofErr w:type="spellEnd"/>
      <w:r w:rsidRPr="00BD13E1">
        <w:rPr>
          <w:sz w:val="16"/>
          <w:szCs w:val="16"/>
        </w:rPr>
        <w:t xml:space="preserve"> </w:t>
      </w:r>
      <w:proofErr w:type="spellStart"/>
      <w:r w:rsidRPr="00BD13E1">
        <w:rPr>
          <w:sz w:val="16"/>
          <w:szCs w:val="16"/>
        </w:rPr>
        <w:t>plānu</w:t>
      </w:r>
      <w:proofErr w:type="spellEnd"/>
      <w:r w:rsidRPr="00BD13E1">
        <w:rPr>
          <w:sz w:val="16"/>
          <w:szCs w:val="16"/>
        </w:rPr>
        <w:t xml:space="preserve">. </w:t>
      </w:r>
      <w:proofErr w:type="spellStart"/>
      <w:proofErr w:type="gramStart"/>
      <w:r w:rsidRPr="00BD13E1">
        <w:rPr>
          <w:sz w:val="16"/>
          <w:szCs w:val="16"/>
        </w:rPr>
        <w:t>Tas</w:t>
      </w:r>
      <w:proofErr w:type="spellEnd"/>
      <w:proofErr w:type="gramEnd"/>
      <w:r w:rsidRPr="00BD13E1">
        <w:rPr>
          <w:sz w:val="16"/>
          <w:szCs w:val="16"/>
        </w:rPr>
        <w:t xml:space="preserve"> </w:t>
      </w:r>
      <w:proofErr w:type="spellStart"/>
      <w:r w:rsidRPr="00BD13E1">
        <w:rPr>
          <w:sz w:val="16"/>
          <w:szCs w:val="16"/>
        </w:rPr>
        <w:t>nosaka</w:t>
      </w:r>
      <w:proofErr w:type="spellEnd"/>
      <w:r w:rsidRPr="00BD13E1">
        <w:rPr>
          <w:sz w:val="16"/>
          <w:szCs w:val="16"/>
        </w:rPr>
        <w:t xml:space="preserve"> </w:t>
      </w:r>
      <w:proofErr w:type="spellStart"/>
      <w:r w:rsidRPr="00BD13E1">
        <w:rPr>
          <w:sz w:val="16"/>
          <w:szCs w:val="16"/>
        </w:rPr>
        <w:t>operatīvās</w:t>
      </w:r>
      <w:proofErr w:type="spellEnd"/>
      <w:r w:rsidRPr="00BD13E1">
        <w:rPr>
          <w:sz w:val="16"/>
          <w:szCs w:val="16"/>
        </w:rPr>
        <w:t xml:space="preserve"> </w:t>
      </w:r>
      <w:proofErr w:type="spellStart"/>
      <w:r w:rsidRPr="00BD13E1">
        <w:rPr>
          <w:sz w:val="16"/>
          <w:szCs w:val="16"/>
        </w:rPr>
        <w:t>situācijas</w:t>
      </w:r>
      <w:proofErr w:type="spellEnd"/>
      <w:r w:rsidRPr="00BD13E1">
        <w:rPr>
          <w:sz w:val="16"/>
          <w:szCs w:val="16"/>
        </w:rPr>
        <w:t xml:space="preserve"> </w:t>
      </w:r>
      <w:proofErr w:type="spellStart"/>
      <w:r w:rsidRPr="00BD13E1">
        <w:rPr>
          <w:sz w:val="16"/>
          <w:szCs w:val="16"/>
        </w:rPr>
        <w:t>vadību</w:t>
      </w:r>
      <w:proofErr w:type="spellEnd"/>
      <w:r w:rsidRPr="00BD13E1">
        <w:rPr>
          <w:sz w:val="16"/>
          <w:szCs w:val="16"/>
        </w:rPr>
        <w:t xml:space="preserve">, </w:t>
      </w:r>
      <w:proofErr w:type="spellStart"/>
      <w:r w:rsidRPr="00BD13E1">
        <w:rPr>
          <w:sz w:val="16"/>
          <w:szCs w:val="16"/>
        </w:rPr>
        <w:t>uzdevumus</w:t>
      </w:r>
      <w:proofErr w:type="spellEnd"/>
      <w:r w:rsidRPr="00BD13E1">
        <w:rPr>
          <w:sz w:val="16"/>
          <w:szCs w:val="16"/>
        </w:rPr>
        <w:t xml:space="preserve">, </w:t>
      </w:r>
      <w:proofErr w:type="spellStart"/>
      <w:r w:rsidRPr="00BD13E1">
        <w:rPr>
          <w:sz w:val="16"/>
          <w:szCs w:val="16"/>
        </w:rPr>
        <w:t>pienākumus</w:t>
      </w:r>
      <w:proofErr w:type="spellEnd"/>
      <w:r w:rsidRPr="00BD13E1">
        <w:rPr>
          <w:sz w:val="16"/>
          <w:szCs w:val="16"/>
        </w:rPr>
        <w:t xml:space="preserve">, to </w:t>
      </w:r>
      <w:proofErr w:type="spellStart"/>
      <w:r w:rsidRPr="00BD13E1">
        <w:rPr>
          <w:sz w:val="16"/>
          <w:szCs w:val="16"/>
        </w:rPr>
        <w:t>izpildes</w:t>
      </w:r>
      <w:proofErr w:type="spellEnd"/>
      <w:r w:rsidRPr="00BD13E1">
        <w:rPr>
          <w:sz w:val="16"/>
          <w:szCs w:val="16"/>
        </w:rPr>
        <w:t xml:space="preserve"> </w:t>
      </w:r>
      <w:proofErr w:type="spellStart"/>
      <w:r w:rsidRPr="00BD13E1">
        <w:rPr>
          <w:sz w:val="16"/>
          <w:szCs w:val="16"/>
        </w:rPr>
        <w:t>kārtību</w:t>
      </w:r>
      <w:proofErr w:type="spellEnd"/>
      <w:r w:rsidRPr="00BD13E1">
        <w:rPr>
          <w:sz w:val="16"/>
          <w:szCs w:val="16"/>
        </w:rPr>
        <w:t xml:space="preserve">, </w:t>
      </w:r>
      <w:proofErr w:type="spellStart"/>
      <w:r w:rsidRPr="00BD13E1">
        <w:rPr>
          <w:sz w:val="16"/>
          <w:szCs w:val="16"/>
        </w:rPr>
        <w:t>paredzamo</w:t>
      </w:r>
      <w:proofErr w:type="spellEnd"/>
      <w:r w:rsidRPr="00BD13E1">
        <w:rPr>
          <w:sz w:val="16"/>
          <w:szCs w:val="16"/>
        </w:rPr>
        <w:t xml:space="preserve"> </w:t>
      </w:r>
      <w:proofErr w:type="spellStart"/>
      <w:r w:rsidRPr="00BD13E1">
        <w:rPr>
          <w:sz w:val="16"/>
          <w:szCs w:val="16"/>
        </w:rPr>
        <w:t>atbalstu</w:t>
      </w:r>
      <w:proofErr w:type="spellEnd"/>
      <w:r w:rsidRPr="00BD13E1">
        <w:rPr>
          <w:sz w:val="16"/>
          <w:szCs w:val="16"/>
        </w:rPr>
        <w:t xml:space="preserve">, </w:t>
      </w:r>
      <w:proofErr w:type="spellStart"/>
      <w:r w:rsidRPr="00BD13E1">
        <w:rPr>
          <w:sz w:val="16"/>
          <w:szCs w:val="16"/>
        </w:rPr>
        <w:t>iespējamos</w:t>
      </w:r>
      <w:proofErr w:type="spellEnd"/>
      <w:r w:rsidRPr="00BD13E1">
        <w:rPr>
          <w:sz w:val="16"/>
          <w:szCs w:val="16"/>
        </w:rPr>
        <w:t xml:space="preserve"> </w:t>
      </w:r>
      <w:proofErr w:type="spellStart"/>
      <w:r w:rsidRPr="00BD13E1">
        <w:rPr>
          <w:sz w:val="16"/>
          <w:szCs w:val="16"/>
        </w:rPr>
        <w:t>sakarus</w:t>
      </w:r>
      <w:proofErr w:type="spellEnd"/>
      <w:r w:rsidRPr="00BD13E1">
        <w:rPr>
          <w:sz w:val="16"/>
          <w:szCs w:val="16"/>
        </w:rPr>
        <w:t xml:space="preserve"> un </w:t>
      </w:r>
      <w:proofErr w:type="spellStart"/>
      <w:r w:rsidRPr="00BD13E1">
        <w:rPr>
          <w:sz w:val="16"/>
          <w:szCs w:val="16"/>
        </w:rPr>
        <w:t>materiāltehnisko</w:t>
      </w:r>
      <w:proofErr w:type="spellEnd"/>
      <w:r w:rsidRPr="00BD13E1">
        <w:rPr>
          <w:sz w:val="16"/>
          <w:szCs w:val="16"/>
        </w:rPr>
        <w:t xml:space="preserve"> </w:t>
      </w:r>
      <w:proofErr w:type="spellStart"/>
      <w:r w:rsidRPr="00BD13E1">
        <w:rPr>
          <w:sz w:val="16"/>
          <w:szCs w:val="16"/>
        </w:rPr>
        <w:t>nodrošinājumu</w:t>
      </w:r>
      <w:proofErr w:type="spellEnd"/>
      <w:r w:rsidRPr="00BD13E1">
        <w:rPr>
          <w:sz w:val="16"/>
          <w:szCs w:val="16"/>
        </w:rPr>
        <w:t>.</w:t>
      </w:r>
    </w:p>
    <w:p w14:paraId="14AA4567" w14:textId="77777777" w:rsidR="003D1ED4" w:rsidRDefault="003D1ED4" w:rsidP="003D1ED4">
      <w:pPr>
        <w:pStyle w:val="FootnoteText"/>
      </w:pPr>
    </w:p>
  </w:footnote>
  <w:footnote w:id="2">
    <w:p w14:paraId="27C2F2FB" w14:textId="77777777" w:rsidR="00FC3D53" w:rsidRPr="00FC3D53" w:rsidRDefault="00FC3D53" w:rsidP="00FC3D53">
      <w:pPr>
        <w:pStyle w:val="NormalWeb"/>
        <w:rPr>
          <w:lang w:val="lv-LV"/>
        </w:rPr>
      </w:pPr>
      <w:r>
        <w:rPr>
          <w:rStyle w:val="FootnoteReference"/>
        </w:rPr>
        <w:footnoteRef/>
      </w:r>
      <w:r w:rsidRPr="00FC3D53">
        <w:rPr>
          <w:lang w:val="lv-LV"/>
        </w:rPr>
        <w:t xml:space="preserve"> </w:t>
      </w:r>
      <w:r w:rsidRPr="00FC3D53">
        <w:rPr>
          <w:sz w:val="16"/>
          <w:szCs w:val="16"/>
          <w:lang w:val="lv-LV"/>
        </w:rPr>
        <w:t>"(6</w:t>
      </w:r>
      <w:r w:rsidRPr="00FC3D53">
        <w:rPr>
          <w:sz w:val="16"/>
          <w:szCs w:val="16"/>
          <w:vertAlign w:val="superscript"/>
          <w:lang w:val="lv-LV"/>
        </w:rPr>
        <w:t>1</w:t>
      </w:r>
      <w:r w:rsidRPr="00FC3D53">
        <w:rPr>
          <w:sz w:val="16"/>
          <w:szCs w:val="16"/>
          <w:lang w:val="lv-LV"/>
        </w:rPr>
        <w:t xml:space="preserve">) Personas, kuras ietilpst Ziemeļatlantijas līguma organizācijas (NATO) dalībvalsts spēkos (Ziemeļatlantijas līguma organizācijas dalībvalstu līguma par to bruņoto spēku statusu I panta "a" punkta izpratnē) un ierodas Latvijas Republikā, lai piedalītos Nacionālo bruņoto spēku un ārvalstu bruņoto spēku plānotajās kopējās mācībās, atsevišķos gadījumos pēc Valsts robežsardzes atļaujas saņemšanas var šķērsot ārējo robežu ārpus robežšķērsošanas vietas. Par nepieciešamību šķērsot ārējo robežu ārpus robežšķērsošanas vietas Nacionālie bruņotie spēki rakstveidā informē Valsts robežsardzi, saskaņojot robežas šķērsošanas, kā arī </w:t>
      </w:r>
      <w:proofErr w:type="spellStart"/>
      <w:r w:rsidRPr="00FC3D53">
        <w:rPr>
          <w:sz w:val="16"/>
          <w:szCs w:val="16"/>
          <w:lang w:val="lv-LV"/>
        </w:rPr>
        <w:t>robežpārbaudes</w:t>
      </w:r>
      <w:proofErr w:type="spellEnd"/>
      <w:r w:rsidRPr="00FC3D53">
        <w:rPr>
          <w:sz w:val="16"/>
          <w:szCs w:val="16"/>
          <w:lang w:val="lv-LV"/>
        </w:rPr>
        <w:t xml:space="preserve"> vietu un laiku vismaz divas nedēļas pirms šo mācību uzsākšanas."</w:t>
      </w:r>
    </w:p>
    <w:p w14:paraId="7CF05927" w14:textId="77777777" w:rsidR="00FC3D53" w:rsidRDefault="00FC3D53" w:rsidP="00FC3D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23640432"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CC1">
      <w:rPr>
        <w:rStyle w:val="PageNumber"/>
        <w:noProof/>
      </w:rPr>
      <w:t>5</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977"/>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273E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6FE4"/>
    <w:rsid w:val="00147F87"/>
    <w:rsid w:val="0015060C"/>
    <w:rsid w:val="00151484"/>
    <w:rsid w:val="00152988"/>
    <w:rsid w:val="00154D2A"/>
    <w:rsid w:val="00156017"/>
    <w:rsid w:val="00156329"/>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250"/>
    <w:rsid w:val="002A3DC7"/>
    <w:rsid w:val="002A5143"/>
    <w:rsid w:val="002A53DB"/>
    <w:rsid w:val="002A5A8D"/>
    <w:rsid w:val="002A6F12"/>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6D04"/>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132C"/>
    <w:rsid w:val="0038158C"/>
    <w:rsid w:val="003823BB"/>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5F80"/>
    <w:rsid w:val="003B6251"/>
    <w:rsid w:val="003B6404"/>
    <w:rsid w:val="003C0503"/>
    <w:rsid w:val="003C0A55"/>
    <w:rsid w:val="003C16D0"/>
    <w:rsid w:val="003C1837"/>
    <w:rsid w:val="003C21F3"/>
    <w:rsid w:val="003C2962"/>
    <w:rsid w:val="003C2E92"/>
    <w:rsid w:val="003C449B"/>
    <w:rsid w:val="003C7C24"/>
    <w:rsid w:val="003D03C2"/>
    <w:rsid w:val="003D1ED4"/>
    <w:rsid w:val="003D21FF"/>
    <w:rsid w:val="003D238C"/>
    <w:rsid w:val="003D2809"/>
    <w:rsid w:val="003D4DF6"/>
    <w:rsid w:val="003D7121"/>
    <w:rsid w:val="003E0778"/>
    <w:rsid w:val="003E15D7"/>
    <w:rsid w:val="003E252B"/>
    <w:rsid w:val="003E25E9"/>
    <w:rsid w:val="003E385B"/>
    <w:rsid w:val="003E439A"/>
    <w:rsid w:val="003E490C"/>
    <w:rsid w:val="003E4938"/>
    <w:rsid w:val="003E7014"/>
    <w:rsid w:val="003F0112"/>
    <w:rsid w:val="003F071A"/>
    <w:rsid w:val="003F160B"/>
    <w:rsid w:val="003F26B8"/>
    <w:rsid w:val="003F2A9B"/>
    <w:rsid w:val="003F2B4C"/>
    <w:rsid w:val="003F47B8"/>
    <w:rsid w:val="003F486B"/>
    <w:rsid w:val="003F6157"/>
    <w:rsid w:val="003F71FB"/>
    <w:rsid w:val="003F7C02"/>
    <w:rsid w:val="00400032"/>
    <w:rsid w:val="004001FC"/>
    <w:rsid w:val="00400768"/>
    <w:rsid w:val="004008FE"/>
    <w:rsid w:val="00400B5B"/>
    <w:rsid w:val="00400EAB"/>
    <w:rsid w:val="004010EC"/>
    <w:rsid w:val="00402448"/>
    <w:rsid w:val="004027D0"/>
    <w:rsid w:val="0040342B"/>
    <w:rsid w:val="0040428C"/>
    <w:rsid w:val="004045D9"/>
    <w:rsid w:val="00405A00"/>
    <w:rsid w:val="0040612C"/>
    <w:rsid w:val="00407279"/>
    <w:rsid w:val="00407B42"/>
    <w:rsid w:val="00410630"/>
    <w:rsid w:val="00411513"/>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57FD2"/>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06E22"/>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5412"/>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722"/>
    <w:rsid w:val="006339A0"/>
    <w:rsid w:val="00634179"/>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017"/>
    <w:rsid w:val="0067016C"/>
    <w:rsid w:val="00670D5A"/>
    <w:rsid w:val="00671A16"/>
    <w:rsid w:val="00671ED2"/>
    <w:rsid w:val="00672096"/>
    <w:rsid w:val="00673A0A"/>
    <w:rsid w:val="00673A3B"/>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EAB"/>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2F69"/>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97E66"/>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029AC"/>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1A23"/>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0FDF"/>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4ED6"/>
    <w:rsid w:val="009751DE"/>
    <w:rsid w:val="00976424"/>
    <w:rsid w:val="00976806"/>
    <w:rsid w:val="009778ED"/>
    <w:rsid w:val="0097796A"/>
    <w:rsid w:val="00977D51"/>
    <w:rsid w:val="00980F6A"/>
    <w:rsid w:val="009825B8"/>
    <w:rsid w:val="00983570"/>
    <w:rsid w:val="009835F4"/>
    <w:rsid w:val="00984793"/>
    <w:rsid w:val="009900DD"/>
    <w:rsid w:val="00991391"/>
    <w:rsid w:val="00992B12"/>
    <w:rsid w:val="009934C5"/>
    <w:rsid w:val="00993653"/>
    <w:rsid w:val="009949DA"/>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D6F"/>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315"/>
    <w:rsid w:val="00A936ED"/>
    <w:rsid w:val="00A94E57"/>
    <w:rsid w:val="00A950C5"/>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54D5"/>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6C32"/>
    <w:rsid w:val="00B571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5DFD"/>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0265"/>
    <w:rsid w:val="00BA23A6"/>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777"/>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AE6"/>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76E94"/>
    <w:rsid w:val="00C779B7"/>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2B60"/>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2521"/>
    <w:rsid w:val="00D0306A"/>
    <w:rsid w:val="00D035FC"/>
    <w:rsid w:val="00D0485F"/>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6EFF"/>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840"/>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1038"/>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6D8D"/>
    <w:rsid w:val="00E57390"/>
    <w:rsid w:val="00E575CB"/>
    <w:rsid w:val="00E6076C"/>
    <w:rsid w:val="00E61B67"/>
    <w:rsid w:val="00E624A4"/>
    <w:rsid w:val="00E65657"/>
    <w:rsid w:val="00E65BFB"/>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4B56"/>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4CE6"/>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4CC1"/>
    <w:rsid w:val="00F85FB7"/>
    <w:rsid w:val="00F87AB6"/>
    <w:rsid w:val="00F92932"/>
    <w:rsid w:val="00F9370E"/>
    <w:rsid w:val="00F937D8"/>
    <w:rsid w:val="00F95184"/>
    <w:rsid w:val="00F95759"/>
    <w:rsid w:val="00F95AAA"/>
    <w:rsid w:val="00F965C3"/>
    <w:rsid w:val="00F96F51"/>
    <w:rsid w:val="00F976B4"/>
    <w:rsid w:val="00F97D97"/>
    <w:rsid w:val="00FA0388"/>
    <w:rsid w:val="00FA0B36"/>
    <w:rsid w:val="00FA1111"/>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3D53"/>
    <w:rsid w:val="00FC5176"/>
    <w:rsid w:val="00FC5B20"/>
    <w:rsid w:val="00FC5CBE"/>
    <w:rsid w:val="00FD09EF"/>
    <w:rsid w:val="00FD1314"/>
    <w:rsid w:val="00FD2387"/>
    <w:rsid w:val="00FD27C6"/>
    <w:rsid w:val="00FD2A68"/>
    <w:rsid w:val="00FD2A8A"/>
    <w:rsid w:val="00FD36AE"/>
    <w:rsid w:val="00FD4505"/>
    <w:rsid w:val="00FD5E5B"/>
    <w:rsid w:val="00FD608C"/>
    <w:rsid w:val="00FD63BF"/>
    <w:rsid w:val="00FD6CEC"/>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50015">
      <w:bodyDiv w:val="1"/>
      <w:marLeft w:val="0"/>
      <w:marRight w:val="0"/>
      <w:marTop w:val="0"/>
      <w:marBottom w:val="0"/>
      <w:divBdr>
        <w:top w:val="none" w:sz="0" w:space="0" w:color="auto"/>
        <w:left w:val="none" w:sz="0" w:space="0" w:color="auto"/>
        <w:bottom w:val="none" w:sz="0" w:space="0" w:color="auto"/>
        <w:right w:val="none" w:sz="0" w:space="0" w:color="auto"/>
      </w:divBdr>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rublevska@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179F-F04E-43B2-A01E-54219EC3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1380</Words>
  <Characters>10160</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11517</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Inese Matisāne</cp:lastModifiedBy>
  <cp:revision>9</cp:revision>
  <cp:lastPrinted>2020-03-09T06:58:00Z</cp:lastPrinted>
  <dcterms:created xsi:type="dcterms:W3CDTF">2020-03-09T08:51:00Z</dcterms:created>
  <dcterms:modified xsi:type="dcterms:W3CDTF">2020-11-17T12:40:00Z</dcterms:modified>
</cp:coreProperties>
</file>