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417E" w14:textId="1ACA042F" w:rsidR="00DB5A7F" w:rsidRPr="009D36DE" w:rsidRDefault="00DB5A7F" w:rsidP="00DB5A7F">
      <w:pPr>
        <w:ind w:firstLine="300"/>
        <w:jc w:val="center"/>
        <w:rPr>
          <w:bCs/>
        </w:rPr>
      </w:pPr>
      <w:r w:rsidRPr="003D6BD2">
        <w:rPr>
          <w:bCs/>
        </w:rPr>
        <w:t>Ministru kabineta rīkojuma projekta</w:t>
      </w:r>
      <w:r w:rsidRPr="003D6BD2">
        <w:rPr>
          <w:b/>
          <w:bCs/>
        </w:rPr>
        <w:t xml:space="preserve"> “Par apropriācijas palielināšanu budžeta resora “74. Gadskārtējā valsts budžeta izpildes procesā pārdalāmais finansējums” programm</w:t>
      </w:r>
      <w:r w:rsidR="00CA173D">
        <w:rPr>
          <w:b/>
          <w:bCs/>
        </w:rPr>
        <w:t xml:space="preserve">ā </w:t>
      </w:r>
      <w:r w:rsidR="008970B4">
        <w:rPr>
          <w:b/>
          <w:bCs/>
        </w:rPr>
        <w:t>02</w:t>
      </w:r>
      <w:r w:rsidRPr="003D6BD2">
        <w:rPr>
          <w:b/>
          <w:bCs/>
        </w:rPr>
        <w:t>.00.00 “</w:t>
      </w:r>
      <w:r w:rsidR="008970B4">
        <w:rPr>
          <w:b/>
          <w:bCs/>
        </w:rPr>
        <w:t>Līdzekļi neparedzētiem gadījumiem</w:t>
      </w:r>
      <w:r w:rsidRPr="003D6BD2">
        <w:rPr>
          <w:b/>
          <w:bCs/>
        </w:rPr>
        <w:t xml:space="preserve">”” </w:t>
      </w:r>
      <w:r w:rsidRPr="003D6BD2">
        <w:rPr>
          <w:bCs/>
        </w:rPr>
        <w:t>sākotnējās ietekmes novērtējuma ziņojums (anotācija)</w:t>
      </w:r>
    </w:p>
    <w:p w14:paraId="1B158B0B" w14:textId="77777777" w:rsidR="00E50E39" w:rsidRDefault="00E50E39" w:rsidP="00DB5A7F">
      <w:pPr>
        <w:ind w:firstLine="300"/>
        <w:jc w:val="center"/>
        <w:rPr>
          <w:b/>
          <w:bCs/>
        </w:rPr>
      </w:pPr>
    </w:p>
    <w:p w14:paraId="2483D9AC" w14:textId="77777777" w:rsidR="00E315C4" w:rsidRDefault="00E315C4" w:rsidP="00DB5A7F">
      <w:pPr>
        <w:ind w:firstLine="300"/>
        <w:jc w:val="center"/>
        <w:rPr>
          <w:b/>
          <w:bCs/>
        </w:rPr>
      </w:pPr>
    </w:p>
    <w:p w14:paraId="7142698F" w14:textId="77777777" w:rsidR="009D36DE"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7D3E6E"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7D3E6E" w:rsidRDefault="009D36DE" w:rsidP="000044FA">
            <w:pPr>
              <w:spacing w:before="100" w:after="100"/>
              <w:jc w:val="center"/>
              <w:rPr>
                <w:b/>
                <w:bCs/>
              </w:rPr>
            </w:pPr>
            <w:r w:rsidRPr="007D3E6E">
              <w:rPr>
                <w:b/>
                <w:bCs/>
              </w:rPr>
              <w:t>Tiesību aktu projektu anotācijas kopsavilkums</w:t>
            </w:r>
          </w:p>
        </w:tc>
      </w:tr>
      <w:tr w:rsidR="009D36DE" w:rsidRPr="007D3E6E"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7D3E6E" w:rsidRDefault="009D36DE" w:rsidP="00577379">
            <w:pPr>
              <w:spacing w:before="120" w:after="120"/>
              <w:ind w:right="125"/>
              <w:jc w:val="both"/>
            </w:pPr>
            <w:r w:rsidRPr="007D3E6E">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34AACB0E" w:rsidR="009D36DE" w:rsidRPr="00514A88" w:rsidRDefault="00853AC5" w:rsidP="00E10C35">
            <w:pPr>
              <w:pStyle w:val="NoSpacing"/>
              <w:spacing w:before="120" w:after="120"/>
              <w:ind w:left="91" w:right="108"/>
              <w:jc w:val="both"/>
              <w:rPr>
                <w:rFonts w:ascii="Times New Roman" w:eastAsia="Times New Roman" w:hAnsi="Times New Roman"/>
                <w:iCs/>
                <w:sz w:val="24"/>
                <w:szCs w:val="24"/>
                <w:lang w:eastAsia="lv-LV"/>
              </w:rPr>
            </w:pPr>
            <w:r w:rsidRPr="00514A88">
              <w:rPr>
                <w:rFonts w:ascii="Times New Roman" w:eastAsia="Times New Roman" w:hAnsi="Times New Roman"/>
                <w:iCs/>
                <w:sz w:val="24"/>
                <w:szCs w:val="24"/>
                <w:lang w:eastAsia="lv-LV"/>
              </w:rPr>
              <w:t>Ministru kabineta rīkojuma projekta “</w:t>
            </w:r>
            <w:r w:rsidRPr="00514A88">
              <w:rPr>
                <w:rFonts w:ascii="Times New Roman" w:hAnsi="Times New Roman"/>
                <w:bCs/>
                <w:sz w:val="24"/>
                <w:szCs w:val="24"/>
              </w:rPr>
              <w:t>Par apropriācijas palielināšanu budžeta resora “74. Gadskārtējā valsts budžeta izpildes procesā pārdalāmais finansējums” programm</w:t>
            </w:r>
            <w:r w:rsidR="00CA173D">
              <w:rPr>
                <w:rFonts w:ascii="Times New Roman" w:hAnsi="Times New Roman"/>
                <w:bCs/>
                <w:sz w:val="24"/>
                <w:szCs w:val="24"/>
              </w:rPr>
              <w:t>ā</w:t>
            </w:r>
            <w:r w:rsidRPr="00514A88">
              <w:rPr>
                <w:rFonts w:ascii="Times New Roman" w:hAnsi="Times New Roman"/>
                <w:bCs/>
                <w:sz w:val="24"/>
                <w:szCs w:val="24"/>
              </w:rPr>
              <w:t xml:space="preserve"> </w:t>
            </w:r>
            <w:r w:rsidR="00C24A34" w:rsidRPr="00514A88">
              <w:rPr>
                <w:rFonts w:ascii="Times New Roman" w:hAnsi="Times New Roman"/>
                <w:bCs/>
                <w:sz w:val="24"/>
                <w:szCs w:val="24"/>
              </w:rPr>
              <w:t>02</w:t>
            </w:r>
            <w:r w:rsidRPr="00514A88">
              <w:rPr>
                <w:rFonts w:ascii="Times New Roman" w:hAnsi="Times New Roman"/>
                <w:bCs/>
                <w:sz w:val="24"/>
                <w:szCs w:val="24"/>
              </w:rPr>
              <w:t>.00.00 “</w:t>
            </w:r>
            <w:r w:rsidR="00C24A34" w:rsidRPr="00514A88">
              <w:rPr>
                <w:rFonts w:ascii="Times New Roman" w:hAnsi="Times New Roman"/>
                <w:bCs/>
                <w:sz w:val="24"/>
                <w:szCs w:val="24"/>
              </w:rPr>
              <w:t>Līdzekļi neparedzētiem gadījumiem</w:t>
            </w:r>
            <w:r w:rsidRPr="00514A88">
              <w:rPr>
                <w:rFonts w:ascii="Times New Roman" w:hAnsi="Times New Roman"/>
                <w:bCs/>
                <w:sz w:val="24"/>
                <w:szCs w:val="24"/>
              </w:rPr>
              <w:t>”</w:t>
            </w:r>
            <w:r w:rsidRPr="00514A88">
              <w:rPr>
                <w:rFonts w:ascii="Times New Roman" w:eastAsia="Times New Roman" w:hAnsi="Times New Roman"/>
                <w:iCs/>
                <w:sz w:val="24"/>
                <w:szCs w:val="24"/>
                <w:lang w:eastAsia="lv-LV"/>
              </w:rPr>
              <w:t>” (turpmāk –</w:t>
            </w:r>
            <w:r w:rsidR="00E10C35">
              <w:rPr>
                <w:rFonts w:ascii="Times New Roman" w:eastAsia="Times New Roman" w:hAnsi="Times New Roman"/>
                <w:iCs/>
                <w:sz w:val="24"/>
                <w:szCs w:val="24"/>
                <w:lang w:eastAsia="lv-LV"/>
              </w:rPr>
              <w:t xml:space="preserve"> </w:t>
            </w:r>
            <w:r w:rsidRPr="00514A88">
              <w:rPr>
                <w:rFonts w:ascii="Times New Roman" w:eastAsia="Times New Roman" w:hAnsi="Times New Roman"/>
                <w:iCs/>
                <w:sz w:val="24"/>
                <w:szCs w:val="24"/>
                <w:lang w:eastAsia="lv-LV"/>
              </w:rPr>
              <w:t>projekts) mērķis ir n</w:t>
            </w:r>
            <w:r w:rsidR="009228D2" w:rsidRPr="00514A88">
              <w:rPr>
                <w:rFonts w:ascii="Times New Roman" w:eastAsia="Times New Roman" w:hAnsi="Times New Roman"/>
                <w:iCs/>
                <w:sz w:val="24"/>
                <w:szCs w:val="24"/>
                <w:lang w:eastAsia="lv-LV"/>
              </w:rPr>
              <w:t xml:space="preserve">odrošināt </w:t>
            </w:r>
            <w:r w:rsidR="00514A88" w:rsidRPr="00514A88">
              <w:rPr>
                <w:rFonts w:ascii="Times New Roman" w:hAnsi="Times New Roman"/>
                <w:sz w:val="24"/>
                <w:szCs w:val="24"/>
              </w:rPr>
              <w:t xml:space="preserve">finansējumu </w:t>
            </w:r>
            <w:r w:rsidR="00514A88" w:rsidRPr="00514A88">
              <w:rPr>
                <w:rFonts w:ascii="Times New Roman" w:eastAsiaTheme="minorHAnsi" w:hAnsi="Times New Roman"/>
                <w:bCs/>
                <w:sz w:val="24"/>
                <w:szCs w:val="24"/>
                <w:shd w:val="clear" w:color="auto" w:fill="FFFFFF"/>
              </w:rPr>
              <w:t>C</w:t>
            </w:r>
            <w:r w:rsidR="00CA173D">
              <w:rPr>
                <w:rFonts w:ascii="Times New Roman" w:eastAsiaTheme="minorHAnsi" w:hAnsi="Times New Roman"/>
                <w:bCs/>
                <w:sz w:val="24"/>
                <w:szCs w:val="24"/>
                <w:shd w:val="clear" w:color="auto" w:fill="FFFFFF"/>
              </w:rPr>
              <w:t>ovid</w:t>
            </w:r>
            <w:r w:rsidR="00514A88" w:rsidRPr="00514A88">
              <w:rPr>
                <w:rFonts w:ascii="Times New Roman" w:eastAsiaTheme="minorHAnsi" w:hAnsi="Times New Roman"/>
                <w:bCs/>
                <w:sz w:val="24"/>
                <w:szCs w:val="24"/>
                <w:shd w:val="clear" w:color="auto" w:fill="FFFFFF"/>
              </w:rPr>
              <w:t>-19 seku novēršanas un pārvarēšanas pasākumiem.</w:t>
            </w:r>
          </w:p>
          <w:p w14:paraId="740ACEBC" w14:textId="24A53025" w:rsidR="00853AC5" w:rsidRPr="007D3E6E" w:rsidRDefault="00E10C35" w:rsidP="00E10C35">
            <w:pPr>
              <w:pStyle w:val="NoSpacing"/>
              <w:spacing w:before="120" w:after="120"/>
              <w:ind w:left="91" w:right="108"/>
              <w:jc w:val="both"/>
              <w:rPr>
                <w:rFonts w:ascii="Times New Roman" w:hAnsi="Times New Roman"/>
                <w:sz w:val="24"/>
                <w:szCs w:val="24"/>
              </w:rPr>
            </w:pPr>
            <w:r>
              <w:rPr>
                <w:rFonts w:ascii="Times New Roman" w:hAnsi="Times New Roman"/>
                <w:sz w:val="24"/>
                <w:szCs w:val="24"/>
              </w:rPr>
              <w:t>P</w:t>
            </w:r>
            <w:r w:rsidR="00853AC5" w:rsidRPr="007D3E6E">
              <w:rPr>
                <w:rFonts w:ascii="Times New Roman" w:hAnsi="Times New Roman"/>
                <w:sz w:val="24"/>
                <w:szCs w:val="24"/>
              </w:rPr>
              <w:t xml:space="preserve">rojekts stājas spēkā tā </w:t>
            </w:r>
            <w:r w:rsidR="000A6B9A" w:rsidRPr="007D3E6E">
              <w:rPr>
                <w:rFonts w:ascii="Times New Roman" w:hAnsi="Times New Roman"/>
                <w:sz w:val="24"/>
                <w:szCs w:val="24"/>
              </w:rPr>
              <w:t>parakstīšanas brīdī</w:t>
            </w:r>
            <w:r w:rsidR="004B0522" w:rsidRPr="007D3E6E">
              <w:rPr>
                <w:rFonts w:ascii="Times New Roman" w:hAnsi="Times New Roman"/>
                <w:sz w:val="24"/>
                <w:szCs w:val="24"/>
              </w:rPr>
              <w:t xml:space="preserve"> atbilstoši Oficiālo publikāciju un tiesiskās informācijas likuma 7.panta trešajā daļā noteiktajam</w:t>
            </w:r>
            <w:r w:rsidR="00853AC5" w:rsidRPr="007D3E6E">
              <w:rPr>
                <w:rFonts w:ascii="Times New Roman" w:hAnsi="Times New Roman"/>
                <w:sz w:val="24"/>
                <w:szCs w:val="24"/>
              </w:rPr>
              <w:t>.</w:t>
            </w:r>
          </w:p>
        </w:tc>
      </w:tr>
    </w:tbl>
    <w:p w14:paraId="5AE1A044" w14:textId="77777777" w:rsidR="009D36DE" w:rsidRPr="007D3E6E" w:rsidRDefault="009D36DE" w:rsidP="00577379">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7D3E6E"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7D3E6E" w:rsidRDefault="009D36DE" w:rsidP="000044FA">
            <w:pPr>
              <w:spacing w:before="100" w:after="100"/>
              <w:jc w:val="center"/>
              <w:rPr>
                <w:b/>
                <w:bCs/>
              </w:rPr>
            </w:pPr>
            <w:r w:rsidRPr="007D3E6E">
              <w:rPr>
                <w:b/>
                <w:bCs/>
              </w:rPr>
              <w:t>I. Tiesību aktu projektu izstrādes nepieciešamība</w:t>
            </w:r>
          </w:p>
        </w:tc>
      </w:tr>
      <w:tr w:rsidR="009D36DE" w:rsidRPr="007D3E6E"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7D3E6E" w:rsidRDefault="009D36DE" w:rsidP="000044FA">
            <w:pPr>
              <w:spacing w:before="100" w:after="100"/>
            </w:pPr>
            <w:r w:rsidRPr="007D3E6E">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1BB804BB" w:rsidR="006356DD" w:rsidRDefault="009D36DE" w:rsidP="000044FA">
            <w:pPr>
              <w:spacing w:before="100" w:after="100"/>
            </w:pPr>
            <w:r w:rsidRPr="007D3E6E">
              <w:t>Pamatojums</w:t>
            </w:r>
          </w:p>
          <w:p w14:paraId="333D43CB" w14:textId="77777777" w:rsidR="006356DD" w:rsidRPr="006356DD" w:rsidRDefault="006356DD" w:rsidP="006356DD"/>
          <w:p w14:paraId="56F22BF3" w14:textId="77777777" w:rsidR="006356DD" w:rsidRPr="006356DD" w:rsidRDefault="006356DD" w:rsidP="006356DD"/>
          <w:p w14:paraId="71618B81" w14:textId="77777777" w:rsidR="006356DD" w:rsidRPr="006356DD" w:rsidRDefault="006356DD" w:rsidP="006356DD"/>
          <w:p w14:paraId="7EC71755" w14:textId="77777777" w:rsidR="006356DD" w:rsidRPr="006356DD" w:rsidRDefault="006356DD" w:rsidP="006356DD"/>
          <w:p w14:paraId="7533CA67" w14:textId="77777777" w:rsidR="006356DD" w:rsidRPr="006356DD" w:rsidRDefault="006356DD" w:rsidP="006356DD"/>
          <w:p w14:paraId="25AD27DA" w14:textId="77777777" w:rsidR="006356DD" w:rsidRPr="006356DD" w:rsidRDefault="006356DD" w:rsidP="006356DD"/>
          <w:p w14:paraId="3CD56051" w14:textId="77777777" w:rsidR="006356DD" w:rsidRPr="006356DD" w:rsidRDefault="006356DD" w:rsidP="006356DD"/>
          <w:p w14:paraId="1455090D" w14:textId="77777777" w:rsidR="006356DD" w:rsidRPr="006356DD" w:rsidRDefault="006356DD" w:rsidP="006356DD"/>
          <w:p w14:paraId="11C45195" w14:textId="77777777" w:rsidR="006356DD" w:rsidRPr="006356DD" w:rsidRDefault="006356DD" w:rsidP="006356DD"/>
          <w:p w14:paraId="7BBB7145" w14:textId="77777777" w:rsidR="006356DD" w:rsidRPr="006356DD" w:rsidRDefault="006356DD" w:rsidP="006356DD"/>
          <w:p w14:paraId="417078AD" w14:textId="77777777" w:rsidR="006356DD" w:rsidRPr="006356DD" w:rsidRDefault="006356DD" w:rsidP="006356DD"/>
          <w:p w14:paraId="29FD8954" w14:textId="77777777" w:rsidR="006356DD" w:rsidRPr="006356DD" w:rsidRDefault="006356DD" w:rsidP="006356DD"/>
          <w:p w14:paraId="157BA943" w14:textId="77777777" w:rsidR="006356DD" w:rsidRPr="006356DD" w:rsidRDefault="006356DD" w:rsidP="006356DD"/>
          <w:p w14:paraId="148FEFA2" w14:textId="77777777" w:rsidR="006356DD" w:rsidRPr="006356DD" w:rsidRDefault="006356DD" w:rsidP="006356DD"/>
          <w:p w14:paraId="30530795" w14:textId="77777777" w:rsidR="006356DD" w:rsidRPr="006356DD" w:rsidRDefault="006356DD" w:rsidP="006356DD"/>
          <w:p w14:paraId="2464E664" w14:textId="77777777" w:rsidR="006356DD" w:rsidRPr="006356DD" w:rsidRDefault="006356DD" w:rsidP="006356DD"/>
          <w:p w14:paraId="3DE13AFD" w14:textId="77777777" w:rsidR="006356DD" w:rsidRPr="006356DD" w:rsidRDefault="006356DD" w:rsidP="006356DD"/>
          <w:p w14:paraId="271E507A" w14:textId="77777777" w:rsidR="006356DD" w:rsidRPr="006356DD" w:rsidRDefault="006356DD" w:rsidP="006356DD"/>
          <w:p w14:paraId="5C1D22A2" w14:textId="77777777" w:rsidR="006356DD" w:rsidRPr="006356DD" w:rsidRDefault="006356DD" w:rsidP="006356DD"/>
          <w:p w14:paraId="316E3B28" w14:textId="77777777" w:rsidR="006356DD" w:rsidRPr="006356DD" w:rsidRDefault="006356DD" w:rsidP="006356DD"/>
          <w:p w14:paraId="73B45275" w14:textId="77777777" w:rsidR="006356DD" w:rsidRPr="006356DD" w:rsidRDefault="006356DD" w:rsidP="006356DD"/>
          <w:p w14:paraId="2123E2D1" w14:textId="77777777" w:rsidR="006356DD" w:rsidRPr="006356DD" w:rsidRDefault="006356DD" w:rsidP="006356DD"/>
          <w:p w14:paraId="289E6D63" w14:textId="77777777" w:rsidR="006356DD" w:rsidRPr="006356DD" w:rsidRDefault="006356DD" w:rsidP="006356DD"/>
          <w:p w14:paraId="3B7BB641" w14:textId="77777777" w:rsidR="006356DD" w:rsidRPr="006356DD" w:rsidRDefault="006356DD" w:rsidP="006356DD"/>
          <w:p w14:paraId="1E7C88FD" w14:textId="77777777" w:rsidR="006356DD" w:rsidRPr="006356DD" w:rsidRDefault="006356DD" w:rsidP="006356DD"/>
          <w:p w14:paraId="5C45873C" w14:textId="77777777" w:rsidR="006356DD" w:rsidRPr="006356DD" w:rsidRDefault="006356DD" w:rsidP="006356DD"/>
          <w:p w14:paraId="7D9A430F" w14:textId="2AA02203" w:rsidR="009D36DE" w:rsidRPr="006356DD" w:rsidRDefault="009D36DE" w:rsidP="006356DD">
            <w:pPr>
              <w:jc w:val="center"/>
            </w:pP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175670" w14:textId="44E764C7" w:rsidR="006356DD" w:rsidRPr="006356DD" w:rsidRDefault="006356DD" w:rsidP="006356DD">
            <w:pPr>
              <w:spacing w:before="120" w:after="120"/>
              <w:ind w:left="125" w:right="113"/>
              <w:jc w:val="both"/>
              <w:rPr>
                <w:color w:val="000000"/>
                <w:shd w:val="clear" w:color="auto" w:fill="FFFFFF"/>
              </w:rPr>
            </w:pPr>
            <w:r w:rsidRPr="006318C4">
              <w:rPr>
                <w:shd w:val="clear" w:color="auto" w:fill="FFFFFF"/>
              </w:rPr>
              <w:lastRenderedPageBreak/>
              <w:t xml:space="preserve">Ņemot vērā straujo Covid-19 infekcijas izplatīšanos un pieaugošo veselības nozares pārslodzes risku, ar 2020.gada 6.novembra rīkojumu Nr.655 “Par ārkārtējās situācijas izsludināšanu” </w:t>
            </w:r>
            <w:r>
              <w:rPr>
                <w:shd w:val="clear" w:color="auto" w:fill="FFFFFF"/>
              </w:rPr>
              <w:t xml:space="preserve">atkārtoti </w:t>
            </w:r>
            <w:r w:rsidRPr="006318C4">
              <w:rPr>
                <w:shd w:val="clear" w:color="auto" w:fill="FFFFFF"/>
              </w:rPr>
              <w:t xml:space="preserve">visā valsts teritorijā no 2020.gada 9.novembra līdz 2020.gada 6.decembrim </w:t>
            </w:r>
            <w:r w:rsidR="00D31F38">
              <w:rPr>
                <w:shd w:val="clear" w:color="auto" w:fill="FFFFFF"/>
              </w:rPr>
              <w:t>ir</w:t>
            </w:r>
            <w:r w:rsidRPr="006318C4">
              <w:rPr>
                <w:shd w:val="clear" w:color="auto" w:fill="FFFFFF"/>
              </w:rPr>
              <w:t xml:space="preserve"> izsludināta ārkārtējā situācija. </w:t>
            </w:r>
            <w:r>
              <w:rPr>
                <w:shd w:val="clear" w:color="auto" w:fill="FFFFFF"/>
              </w:rPr>
              <w:t>Š</w:t>
            </w:r>
            <w:r w:rsidRPr="006318C4">
              <w:rPr>
                <w:shd w:val="clear" w:color="auto" w:fill="FFFFFF"/>
              </w:rPr>
              <w:t>ā r</w:t>
            </w:r>
            <w:r>
              <w:rPr>
                <w:shd w:val="clear" w:color="auto" w:fill="FFFFFF"/>
              </w:rPr>
              <w:t>īkojuma 12.punktā noteikts</w:t>
            </w:r>
            <w:r w:rsidRPr="006318C4">
              <w:rPr>
                <w:shd w:val="clear" w:color="auto" w:fill="FFFFFF"/>
              </w:rPr>
              <w:t xml:space="preserve"> </w:t>
            </w:r>
            <w:r>
              <w:rPr>
                <w:shd w:val="clear" w:color="auto" w:fill="FFFFFF"/>
              </w:rPr>
              <w:t>p</w:t>
            </w:r>
            <w:r w:rsidRPr="006318C4">
              <w:rPr>
                <w:shd w:val="clear" w:color="auto" w:fill="FFFFFF"/>
              </w:rPr>
              <w:t xml:space="preserve">asākumus finansēt no institūcijām iedalītajiem valsts budžeta līdzekļiem saskaņā ar likumu </w:t>
            </w:r>
            <w:r>
              <w:rPr>
                <w:shd w:val="clear" w:color="auto" w:fill="FFFFFF"/>
              </w:rPr>
              <w:t>“</w:t>
            </w:r>
            <w:hyperlink r:id="rId8" w:tgtFrame="_blank" w:history="1">
              <w:r w:rsidRPr="006318C4">
                <w:rPr>
                  <w:rStyle w:val="Hyperlink"/>
                  <w:color w:val="auto"/>
                  <w:u w:val="none"/>
                  <w:shd w:val="clear" w:color="auto" w:fill="FFFFFF"/>
                </w:rPr>
                <w:t>Par valsts budžetu 2020. gadam</w:t>
              </w:r>
            </w:hyperlink>
            <w:r>
              <w:rPr>
                <w:shd w:val="clear" w:color="auto" w:fill="FFFFFF"/>
              </w:rPr>
              <w:t>”</w:t>
            </w:r>
            <w:r w:rsidRPr="006318C4">
              <w:rPr>
                <w:shd w:val="clear" w:color="auto" w:fill="FFFFFF"/>
              </w:rPr>
              <w:t>, kā arī pēc institūciju motivēta pieprasījuma no vals</w:t>
            </w:r>
            <w:r>
              <w:rPr>
                <w:shd w:val="clear" w:color="auto" w:fill="FFFFFF"/>
              </w:rPr>
              <w:t>ts budžeta programmas 02.00.00 “</w:t>
            </w:r>
            <w:r w:rsidRPr="006318C4">
              <w:rPr>
                <w:shd w:val="clear" w:color="auto" w:fill="FFFFFF"/>
              </w:rPr>
              <w:t>Līdzekļi neparedzētiem gadījumiem</w:t>
            </w:r>
            <w:r>
              <w:rPr>
                <w:shd w:val="clear" w:color="auto" w:fill="FFFFFF"/>
              </w:rPr>
              <w:t>”</w:t>
            </w:r>
            <w:r w:rsidRPr="006318C4">
              <w:rPr>
                <w:shd w:val="clear" w:color="auto" w:fill="FFFFFF"/>
              </w:rPr>
              <w:t>. Šādos gadījumos lēmumu par finansējuma piešķiršanu pieņem Ministru kabinets</w:t>
            </w:r>
            <w:r w:rsidR="007D63FB">
              <w:rPr>
                <w:shd w:val="clear" w:color="auto" w:fill="FFFFFF"/>
              </w:rPr>
              <w:t xml:space="preserve">, kā arī nepieciešams </w:t>
            </w:r>
            <w:r w:rsidR="007D63FB" w:rsidRPr="007D63FB">
              <w:rPr>
                <w:shd w:val="clear" w:color="auto" w:fill="FFFFFF"/>
              </w:rPr>
              <w:t>Saeimas Budžeta un finanšu (nodokļu) komisij</w:t>
            </w:r>
            <w:r w:rsidR="007D63FB">
              <w:rPr>
                <w:shd w:val="clear" w:color="auto" w:fill="FFFFFF"/>
              </w:rPr>
              <w:t>as saskaņojums</w:t>
            </w:r>
            <w:r w:rsidRPr="006318C4">
              <w:rPr>
                <w:shd w:val="clear" w:color="auto" w:fill="FFFFFF"/>
              </w:rPr>
              <w:t>.</w:t>
            </w:r>
          </w:p>
          <w:p w14:paraId="06012AE9" w14:textId="1D55DB71" w:rsidR="00292DE5" w:rsidRDefault="009D36DE" w:rsidP="00292DE5">
            <w:pPr>
              <w:spacing w:before="120" w:after="120"/>
              <w:ind w:left="125" w:right="113"/>
              <w:jc w:val="both"/>
            </w:pPr>
            <w:r w:rsidRPr="007D3E6E">
              <w:t xml:space="preserve">Gadskārtējā valsts budžeta likumā budžeta resora “74. Gadskārtējā </w:t>
            </w:r>
            <w:r w:rsidRPr="007D3E6E">
              <w:t xml:space="preserve">valsts budžeta izpildes procesā pārdalāmais finansējums” </w:t>
            </w:r>
            <w:r w:rsidR="00EF79BA">
              <w:t>02</w:t>
            </w:r>
            <w:r w:rsidRPr="007D3E6E">
              <w:t xml:space="preserve">.00.00 programmā </w:t>
            </w:r>
            <w:r w:rsidRPr="007D3E6E">
              <w:rPr>
                <w:bCs/>
              </w:rPr>
              <w:t>“</w:t>
            </w:r>
            <w:r w:rsidR="00EF79BA">
              <w:t>Līdzekļi neparedzētiem gadījumiem</w:t>
            </w:r>
            <w:r w:rsidR="002363C2">
              <w:rPr>
                <w:bCs/>
              </w:rPr>
              <w:t xml:space="preserve">” </w:t>
            </w:r>
            <w:r w:rsidR="004A5A78">
              <w:rPr>
                <w:bCs/>
              </w:rPr>
              <w:t>plānots</w:t>
            </w:r>
            <w:r w:rsidRPr="007D3E6E">
              <w:rPr>
                <w:bCs/>
              </w:rPr>
              <w:t xml:space="preserve"> finansējums</w:t>
            </w:r>
            <w:r w:rsidR="00EF79BA">
              <w:t xml:space="preserve">, lai </w:t>
            </w:r>
            <w:r w:rsidR="00EF79BA" w:rsidRPr="00BA7B8A">
              <w:t>nodrošināt</w:t>
            </w:r>
            <w:r w:rsidR="00EF79BA">
              <w:t>u</w:t>
            </w:r>
            <w:r w:rsidR="00EF79BA" w:rsidRPr="00BA7B8A">
              <w:t xml:space="preserve"> valsts pamatbudžeta apropriāciju līdzekļiem neparedzētiem izdevumiem saskaņā ar Ministru kabineta 2018.gada 17.jūlija noteikumiem Nr.421 “Kārtība, kādā veic gadskārtējā valsts budžeta likumā noteiktās apropriācijas izmaiņas” valstiski īpaši nozīmīgiem pasākumiem, valsts pamatbudžeta apropriācijās neparedzētiem izdevumiem katastrofu un dabas stihiju seku novēršanai un to radīto zaudējumu kompensēšanai un citiem neparedzētiem gadījumiem.</w:t>
            </w:r>
          </w:p>
          <w:p w14:paraId="65389C2D" w14:textId="07609FC6" w:rsidR="009D36DE" w:rsidRPr="006356DD" w:rsidRDefault="006356DD" w:rsidP="00292DE5">
            <w:pPr>
              <w:spacing w:before="120" w:after="120"/>
              <w:ind w:left="125" w:right="113"/>
              <w:jc w:val="both"/>
              <w:rPr>
                <w:b/>
              </w:rPr>
            </w:pPr>
            <w:r w:rsidRPr="006356DD">
              <w:rPr>
                <w:b/>
              </w:rPr>
              <w:t xml:space="preserve">Covid-19 infekcijas izplatības seku pārvarēšanas likuma 26.pantā noteikts, ka </w:t>
            </w:r>
            <w:r w:rsidRPr="006356DD">
              <w:rPr>
                <w:b/>
                <w:shd w:val="clear" w:color="auto" w:fill="FFFFFF"/>
              </w:rPr>
              <w:t>Finanšu ministram ir tiesības palielināt likumā “</w:t>
            </w:r>
            <w:hyperlink r:id="rId9" w:tgtFrame="_blank" w:history="1">
              <w:r w:rsidRPr="006356DD">
                <w:rPr>
                  <w:rStyle w:val="Hyperlink"/>
                  <w:b/>
                  <w:color w:val="auto"/>
                  <w:u w:val="none"/>
                  <w:shd w:val="clear" w:color="auto" w:fill="FFFFFF"/>
                </w:rPr>
                <w:t>Par valsts budžetu 2020. gadam</w:t>
              </w:r>
            </w:hyperlink>
            <w:r w:rsidRPr="006356DD">
              <w:rPr>
                <w:b/>
                <w:shd w:val="clear" w:color="auto" w:fill="FFFFFF"/>
              </w:rPr>
              <w:t>”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 un Saeimas Budžeta un finanšu (nodokļu) komisija piecu darbdienu laikā no attiecīgās informācijas saņemšanas dienas ir to izskatījusi un nav iebildusi.</w:t>
            </w:r>
          </w:p>
        </w:tc>
      </w:tr>
      <w:tr w:rsidR="00D6079A" w:rsidRPr="007D3E6E"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7D3E6E" w:rsidRDefault="00D6079A" w:rsidP="000044FA">
            <w:pPr>
              <w:spacing w:before="100" w:after="100"/>
            </w:pPr>
            <w:r w:rsidRPr="007D3E6E">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7D3E6E" w:rsidRDefault="00D6079A" w:rsidP="000044FA">
            <w:pPr>
              <w:spacing w:before="100" w:after="100"/>
            </w:pPr>
            <w:r w:rsidRPr="007D3E6E">
              <w:t>Pašreizējā situācija un problēmas, kuru risināšanai tiesību akta projekts izstrādāts, tiesiskā regulējuma mērķis u</w:t>
            </w:r>
            <w:bookmarkStart w:id="0" w:name="_GoBack"/>
            <w:bookmarkEnd w:id="0"/>
            <w:r w:rsidRPr="007D3E6E">
              <w:t>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55008E" w14:textId="77777777" w:rsidR="00D942D9" w:rsidRPr="00567B73" w:rsidRDefault="00D942D9" w:rsidP="00D942D9">
            <w:pPr>
              <w:autoSpaceDE w:val="0"/>
              <w:autoSpaceDN w:val="0"/>
              <w:adjustRightInd w:val="0"/>
              <w:spacing w:before="120" w:after="120"/>
              <w:ind w:left="102" w:right="130"/>
              <w:jc w:val="both"/>
              <w:rPr>
                <w:iCs/>
                <w:lang w:eastAsia="en-US"/>
              </w:rPr>
            </w:pPr>
            <w:r w:rsidRPr="00567B73">
              <w:rPr>
                <w:lang w:eastAsia="en-US"/>
              </w:rPr>
              <w:t xml:space="preserve">Likumā “Par valsts budžetu 2020.gadam” valsts budžeta programmā 02.00.00 ”Līdzekļi neparedzētiem gadījumiem” apstiprināta apropriācija </w:t>
            </w:r>
            <w:r w:rsidRPr="00567B73">
              <w:rPr>
                <w:b/>
                <w:lang w:eastAsia="en-US"/>
              </w:rPr>
              <w:t xml:space="preserve">23 479 067 </w:t>
            </w:r>
            <w:proofErr w:type="spellStart"/>
            <w:r w:rsidRPr="00567B73">
              <w:rPr>
                <w:b/>
                <w:i/>
                <w:iCs/>
                <w:lang w:eastAsia="en-US"/>
              </w:rPr>
              <w:t>euro</w:t>
            </w:r>
            <w:proofErr w:type="spellEnd"/>
            <w:r w:rsidRPr="00567B73">
              <w:rPr>
                <w:i/>
                <w:iCs/>
                <w:lang w:eastAsia="en-US"/>
              </w:rPr>
              <w:t xml:space="preserve"> </w:t>
            </w:r>
            <w:r w:rsidRPr="00567B73">
              <w:rPr>
                <w:iCs/>
                <w:lang w:eastAsia="en-US"/>
              </w:rPr>
              <w:t xml:space="preserve">apmērā. </w:t>
            </w:r>
          </w:p>
          <w:p w14:paraId="0A032D1E" w14:textId="77777777" w:rsidR="00D942D9" w:rsidRPr="00567B73" w:rsidRDefault="00D942D9" w:rsidP="00D942D9">
            <w:pPr>
              <w:autoSpaceDE w:val="0"/>
              <w:autoSpaceDN w:val="0"/>
              <w:adjustRightInd w:val="0"/>
              <w:spacing w:before="120" w:after="120"/>
              <w:ind w:left="102" w:right="130"/>
              <w:jc w:val="both"/>
            </w:pPr>
            <w:r w:rsidRPr="00567B73">
              <w:t xml:space="preserve">Lai nodrošinātu finansējumu Covid-19 seku novēršanas un pārvarēšanas pasākumiem, atbilstoši likuma “Par valsts apdraudējuma un tā seku novēršanas un pārvarēšanas pasākumiem sakarā ar Covid-19 izplatību” 23.pantam, Ministru kabineta 2020.gada 25.marta rīkojumam Nr.121 (prot. Nr.17, 36.§),  Ministru kabineta 2020.gada 14.maija rīkojumam Nr.259 (prot. Nr.32 32.§)    ar Finanšu ministrijas 2020.gada 25.marta rīkojumu Nr.89 un Finanšu ministrijas 2020.gada 18.maija rīkojumu Nr.167 tika palielināta apropriācija budžeta resora “74. Gadskārtējā valsts budžeta izpildes procesā pārdalāmais finansējums” programmā 02.00.00 “Līdzekļi neparedzētiem gadījumiem” kopā </w:t>
            </w:r>
            <w:r w:rsidRPr="00567B73">
              <w:rPr>
                <w:b/>
              </w:rPr>
              <w:t xml:space="preserve">600 000 000 </w:t>
            </w:r>
            <w:proofErr w:type="spellStart"/>
            <w:r w:rsidRPr="00567B73">
              <w:rPr>
                <w:b/>
                <w:i/>
              </w:rPr>
              <w:t>euro</w:t>
            </w:r>
            <w:proofErr w:type="spellEnd"/>
            <w:r w:rsidRPr="00567B73">
              <w:t xml:space="preserve"> apmērā.</w:t>
            </w:r>
          </w:p>
          <w:p w14:paraId="0966953D" w14:textId="254718BA" w:rsidR="00D942D9" w:rsidRPr="00567B73" w:rsidRDefault="00D942D9" w:rsidP="00D942D9">
            <w:pPr>
              <w:autoSpaceDE w:val="0"/>
              <w:autoSpaceDN w:val="0"/>
              <w:adjustRightInd w:val="0"/>
              <w:spacing w:before="120" w:after="120"/>
              <w:ind w:left="102" w:right="130"/>
              <w:jc w:val="both"/>
            </w:pPr>
            <w:r w:rsidRPr="00567B73">
              <w:t xml:space="preserve">Bez tam, ar vairākiem Ministru kabineta rīkojumiem apropriācija </w:t>
            </w:r>
            <w:r w:rsidRPr="00567B73">
              <w:rPr>
                <w:bCs/>
              </w:rPr>
              <w:t xml:space="preserve">budžeta resora “74. Gadskārtējā valsts budžeta izpildes procesā pārdalāmais finansējums” </w:t>
            </w:r>
            <w:r w:rsidRPr="00567B73">
              <w:t>programmā 02.00.00 “Līdzekļi neparedzētiem gadījumiem” ir palielināta apropriācijas pārdales rezultātā no ministriju un citu centrālo valsts iest</w:t>
            </w:r>
            <w:r w:rsidR="00BD60E0">
              <w:t>āžu budžetiem – līdz 2020.gada 30</w:t>
            </w:r>
            <w:r w:rsidRPr="00567B73">
              <w:t xml:space="preserve">.novembrim vēl par </w:t>
            </w:r>
            <w:r w:rsidRPr="00567B73">
              <w:rPr>
                <w:b/>
              </w:rPr>
              <w:t xml:space="preserve">19 681 552 </w:t>
            </w:r>
            <w:proofErr w:type="spellStart"/>
            <w:r w:rsidRPr="00567B73">
              <w:rPr>
                <w:b/>
                <w:i/>
              </w:rPr>
              <w:t>euro</w:t>
            </w:r>
            <w:proofErr w:type="spellEnd"/>
            <w:r w:rsidRPr="00567B73">
              <w:t xml:space="preserve">. </w:t>
            </w:r>
          </w:p>
          <w:p w14:paraId="3F77F8B6" w14:textId="64D81911" w:rsidR="00D942D9" w:rsidRPr="00567B73" w:rsidRDefault="00D942D9" w:rsidP="00D942D9">
            <w:pPr>
              <w:autoSpaceDE w:val="0"/>
              <w:autoSpaceDN w:val="0"/>
              <w:adjustRightInd w:val="0"/>
              <w:spacing w:before="120" w:after="120"/>
              <w:ind w:left="102" w:right="130"/>
              <w:jc w:val="both"/>
            </w:pPr>
            <w:r w:rsidRPr="00567B73">
              <w:t xml:space="preserve">Līdz ar to, ņemot vērā visus atbalstītos apropriācijas palielinājumus, </w:t>
            </w:r>
            <w:r w:rsidRPr="00567B73">
              <w:rPr>
                <w:bCs/>
              </w:rPr>
              <w:t xml:space="preserve">budžeta resora “74. Gadskārtējā valsts budžeta izpildes procesā pārdalāmais finansējums” </w:t>
            </w:r>
            <w:r w:rsidRPr="00567B73">
              <w:t xml:space="preserve">programmā 02.00.00 “Līdzekļi neparedzētiem gadījumiem” kopumā apropriācija sasniegusi </w:t>
            </w:r>
            <w:r w:rsidRPr="00567B73">
              <w:rPr>
                <w:b/>
              </w:rPr>
              <w:t xml:space="preserve">643 160 619 </w:t>
            </w:r>
            <w:proofErr w:type="spellStart"/>
            <w:r w:rsidRPr="00567B73">
              <w:rPr>
                <w:b/>
                <w:i/>
              </w:rPr>
              <w:t>euro</w:t>
            </w:r>
            <w:proofErr w:type="spellEnd"/>
            <w:r w:rsidRPr="00567B73">
              <w:t xml:space="preserve">. No tiem ar Ministru kabineta lēmumiem un Finanšu ministrijas rīkojumiem līdz 2020.gada </w:t>
            </w:r>
            <w:r w:rsidR="00D31F38">
              <w:t>30</w:t>
            </w:r>
            <w:r w:rsidRPr="00567B73">
              <w:t xml:space="preserve">.novembrim piešķirti līdzekļi neparedzētiem gadījumiem </w:t>
            </w:r>
            <w:r w:rsidRPr="00567B73">
              <w:rPr>
                <w:b/>
              </w:rPr>
              <w:t xml:space="preserve">533 021 633 </w:t>
            </w:r>
            <w:proofErr w:type="spellStart"/>
            <w:r w:rsidRPr="00567B73">
              <w:rPr>
                <w:b/>
                <w:i/>
              </w:rPr>
              <w:t>euro</w:t>
            </w:r>
            <w:proofErr w:type="spellEnd"/>
            <w:r w:rsidRPr="00567B73">
              <w:t xml:space="preserve"> apmērā, tajā skaitā Covid-19 izplatības seku mazināšanai un pārvarēšanai </w:t>
            </w:r>
            <w:r w:rsidRPr="00567B73">
              <w:rPr>
                <w:b/>
              </w:rPr>
              <w:t xml:space="preserve">500 634 116 </w:t>
            </w:r>
            <w:proofErr w:type="spellStart"/>
            <w:r w:rsidRPr="00567B73">
              <w:rPr>
                <w:b/>
                <w:i/>
              </w:rPr>
              <w:t>euro</w:t>
            </w:r>
            <w:proofErr w:type="spellEnd"/>
            <w:r w:rsidRPr="00567B73">
              <w:t xml:space="preserve"> apmērā.</w:t>
            </w:r>
          </w:p>
          <w:p w14:paraId="2692CE5F" w14:textId="51DED9AD" w:rsidR="00295E0A" w:rsidRPr="00567B73" w:rsidRDefault="00D942D9" w:rsidP="00567B73">
            <w:pPr>
              <w:spacing w:before="120" w:after="120"/>
              <w:ind w:left="123" w:right="111"/>
              <w:jc w:val="both"/>
              <w:rPr>
                <w:lang w:eastAsia="en-US"/>
              </w:rPr>
            </w:pPr>
            <w:r w:rsidRPr="00567B73">
              <w:rPr>
                <w:lang w:eastAsia="en-US"/>
              </w:rPr>
              <w:t xml:space="preserve">Bez tam, Finanšu ministrijā ir saņemti jauni pieprasījumi no līdzekļiem neparedzētiem gadījumiem (atrodas dažādās saskaņošanas stadijās) </w:t>
            </w:r>
            <w:r w:rsidR="00295E0A" w:rsidRPr="00567B73">
              <w:rPr>
                <w:b/>
              </w:rPr>
              <w:t>140 964 096</w:t>
            </w:r>
            <w:r w:rsidRPr="00567B73">
              <w:rPr>
                <w:b/>
              </w:rPr>
              <w:t xml:space="preserve"> </w:t>
            </w:r>
            <w:proofErr w:type="spellStart"/>
            <w:r w:rsidRPr="00567B73">
              <w:rPr>
                <w:b/>
                <w:i/>
                <w:lang w:eastAsia="en-US"/>
              </w:rPr>
              <w:t>euro</w:t>
            </w:r>
            <w:proofErr w:type="spellEnd"/>
            <w:r w:rsidRPr="00567B73">
              <w:rPr>
                <w:lang w:eastAsia="en-US"/>
              </w:rPr>
              <w:t xml:space="preserve"> apmērā.</w:t>
            </w:r>
            <w:r w:rsidR="00567B73" w:rsidRPr="00567B73">
              <w:rPr>
                <w:lang w:eastAsia="en-US"/>
              </w:rPr>
              <w:t xml:space="preserve"> </w:t>
            </w:r>
            <w:r w:rsidR="00567B73" w:rsidRPr="00567B73">
              <w:t>K</w:t>
            </w:r>
            <w:r w:rsidR="00295E0A" w:rsidRPr="00567B73">
              <w:t xml:space="preserve">opā ministriju iesniegtie projekti līdzekļu neparedzētiem gadījumiem pieprasījumiem (dažādās saskaņošanas stadijās) </w:t>
            </w:r>
            <w:r w:rsidR="00FB563F">
              <w:t xml:space="preserve">par </w:t>
            </w:r>
            <w:r w:rsidR="00295E0A" w:rsidRPr="00567B73">
              <w:rPr>
                <w:b/>
              </w:rPr>
              <w:t xml:space="preserve">30 825 110 </w:t>
            </w:r>
            <w:proofErr w:type="spellStart"/>
            <w:r w:rsidR="00295E0A" w:rsidRPr="00567B73">
              <w:rPr>
                <w:b/>
                <w:i/>
                <w:iCs/>
              </w:rPr>
              <w:t>euro</w:t>
            </w:r>
            <w:proofErr w:type="spellEnd"/>
            <w:r w:rsidR="00D31F38">
              <w:rPr>
                <w:b/>
                <w:i/>
                <w:iCs/>
              </w:rPr>
              <w:t xml:space="preserve"> </w:t>
            </w:r>
            <w:r w:rsidR="00FB563F" w:rsidRPr="00E37079">
              <w:rPr>
                <w:iCs/>
              </w:rPr>
              <w:t>pārsniedz</w:t>
            </w:r>
            <w:r w:rsidR="00FB563F">
              <w:rPr>
                <w:iCs/>
              </w:rPr>
              <w:t xml:space="preserve"> šobrīd pieejamo </w:t>
            </w:r>
            <w:r w:rsidR="00FB563F" w:rsidRPr="00FB563F">
              <w:rPr>
                <w:iCs/>
              </w:rPr>
              <w:t>resursu</w:t>
            </w:r>
            <w:r w:rsidR="00FB563F">
              <w:rPr>
                <w:b/>
                <w:i/>
                <w:iCs/>
              </w:rPr>
              <w:t xml:space="preserve"> </w:t>
            </w:r>
            <w:r w:rsidR="00D31F38">
              <w:rPr>
                <w:iCs/>
              </w:rPr>
              <w:t>apmēr</w:t>
            </w:r>
            <w:r w:rsidR="00FB563F">
              <w:rPr>
                <w:iCs/>
              </w:rPr>
              <w:t>u</w:t>
            </w:r>
            <w:r w:rsidR="00D31F38">
              <w:rPr>
                <w:iCs/>
              </w:rPr>
              <w:t>.</w:t>
            </w:r>
            <w:r w:rsidR="00EC5F63">
              <w:rPr>
                <w:iCs/>
              </w:rPr>
              <w:t xml:space="preserve"> Bez tam vēl ir sagaidāmi </w:t>
            </w:r>
            <w:r w:rsidR="00FB563F">
              <w:rPr>
                <w:iCs/>
              </w:rPr>
              <w:t xml:space="preserve">papildu </w:t>
            </w:r>
            <w:r w:rsidR="00EC5F63">
              <w:rPr>
                <w:iCs/>
              </w:rPr>
              <w:t xml:space="preserve">pieprasījumi no </w:t>
            </w:r>
            <w:r w:rsidR="00FB563F">
              <w:rPr>
                <w:iCs/>
              </w:rPr>
              <w:t xml:space="preserve">nozaru ministrijām ar izstrādātiem </w:t>
            </w:r>
            <w:r w:rsidR="00EC5F63">
              <w:rPr>
                <w:iCs/>
              </w:rPr>
              <w:t>atbalsta pasākumiem Covid-19 izraisītās krīzes seku mazināšanai.</w:t>
            </w:r>
          </w:p>
          <w:p w14:paraId="1BD16DB1" w14:textId="28BD44E4" w:rsidR="006356DD" w:rsidRPr="00022246" w:rsidRDefault="00567B73" w:rsidP="00567B73">
            <w:pPr>
              <w:spacing w:before="120" w:after="120"/>
              <w:ind w:left="125" w:right="113"/>
              <w:jc w:val="both"/>
              <w:rPr>
                <w:bCs/>
              </w:rPr>
            </w:pPr>
            <w:r>
              <w:rPr>
                <w:color w:val="000000"/>
                <w:shd w:val="clear" w:color="auto" w:fill="FFFFFF"/>
              </w:rPr>
              <w:t xml:space="preserve">Lai </w:t>
            </w:r>
            <w:r w:rsidRPr="00A81903">
              <w:t xml:space="preserve">atbilstoši situācijai </w:t>
            </w:r>
            <w:r>
              <w:rPr>
                <w:color w:val="000000"/>
                <w:shd w:val="clear" w:color="auto" w:fill="FFFFFF"/>
              </w:rPr>
              <w:t xml:space="preserve">varētu </w:t>
            </w:r>
            <w:r w:rsidR="00FB563F">
              <w:rPr>
                <w:color w:val="000000"/>
                <w:shd w:val="clear" w:color="auto" w:fill="FFFFFF"/>
              </w:rPr>
              <w:t xml:space="preserve">nekavējoties </w:t>
            </w:r>
            <w:r>
              <w:rPr>
                <w:color w:val="000000"/>
                <w:shd w:val="clear" w:color="auto" w:fill="FFFFFF"/>
              </w:rPr>
              <w:t xml:space="preserve">nodrošināt nepieciešamo finansējumu ārkārtējās situācijas laikā noteikto aizliegumu un ierobežojumu radīto zaudējumu kompensējošiem pasākumiem un </w:t>
            </w:r>
            <w:r w:rsidRPr="00A81903">
              <w:t>operatīvi reaģēt un piešķirt nepieciešamo finansējumu</w:t>
            </w:r>
            <w:r w:rsidRPr="00A81903">
              <w:rPr>
                <w:color w:val="000000"/>
                <w:shd w:val="clear" w:color="auto" w:fill="FFFFFF"/>
              </w:rPr>
              <w:t xml:space="preserve">, </w:t>
            </w:r>
            <w:r w:rsidRPr="00A81903">
              <w:rPr>
                <w:iCs/>
              </w:rPr>
              <w:t xml:space="preserve">Finanšu ministrija ir sagatavojusi Ministru kabineta rīkojuma projektu, paredzot </w:t>
            </w:r>
            <w:r w:rsidRPr="00A81903">
              <w:t xml:space="preserve">palielināt apropriāciju  </w:t>
            </w:r>
            <w:r w:rsidRPr="00A81903">
              <w:rPr>
                <w:iCs/>
              </w:rPr>
              <w:t>budžeta resora “74. Gadskārtējā valsts budžeta izpildes procesā pārdalāmais finansējums” programmā 02.00.00 “</w:t>
            </w:r>
            <w:r w:rsidRPr="00A81903">
              <w:t>Līdzekļi neparedzētiem gadījumiem</w:t>
            </w:r>
            <w:r w:rsidRPr="00A81903">
              <w:rPr>
                <w:iCs/>
              </w:rPr>
              <w:t>”</w:t>
            </w:r>
            <w:r w:rsidRPr="00A81903">
              <w:rPr>
                <w:bCs/>
              </w:rPr>
              <w:t xml:space="preserve"> </w:t>
            </w:r>
            <w:r w:rsidRPr="00567B73">
              <w:rPr>
                <w:b/>
                <w:bCs/>
              </w:rPr>
              <w:t>5</w:t>
            </w:r>
            <w:r w:rsidRPr="00567B73">
              <w:rPr>
                <w:b/>
              </w:rPr>
              <w:t xml:space="preserve">0 000 000 </w:t>
            </w:r>
            <w:proofErr w:type="spellStart"/>
            <w:r w:rsidRPr="00567B73">
              <w:rPr>
                <w:b/>
                <w:i/>
              </w:rPr>
              <w:t>euro</w:t>
            </w:r>
            <w:proofErr w:type="spellEnd"/>
            <w:r w:rsidRPr="00A81903">
              <w:rPr>
                <w:i/>
              </w:rPr>
              <w:t xml:space="preserve"> </w:t>
            </w:r>
            <w:r w:rsidRPr="00A81903">
              <w:t>apmērā.</w:t>
            </w:r>
            <w:r w:rsidR="00FB563F">
              <w:t xml:space="preserve"> Minētais finansējums tiks piešķirts atbilstoši faktiskajai nepieciešamībai.</w:t>
            </w:r>
          </w:p>
        </w:tc>
      </w:tr>
      <w:tr w:rsidR="009D36DE" w:rsidRPr="007D3E6E"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7D3E6E" w:rsidRDefault="009D36DE" w:rsidP="000044FA">
            <w:pPr>
              <w:spacing w:before="100" w:after="100"/>
            </w:pPr>
            <w:r w:rsidRPr="007D3E6E">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7D3E6E" w:rsidRDefault="009D36DE" w:rsidP="000044FA">
            <w:pPr>
              <w:spacing w:before="100" w:after="100"/>
            </w:pPr>
            <w:r w:rsidRPr="007D3E6E">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7D3E6E" w:rsidRDefault="003B60B8" w:rsidP="006D245F">
            <w:pPr>
              <w:spacing w:before="100" w:after="100"/>
              <w:ind w:firstLine="123"/>
              <w:jc w:val="both"/>
            </w:pPr>
            <w:r w:rsidRPr="007D3E6E">
              <w:t>Nav</w:t>
            </w:r>
          </w:p>
        </w:tc>
      </w:tr>
      <w:tr w:rsidR="009D36DE" w:rsidRPr="007D3E6E"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7D3E6E" w:rsidRDefault="009D36DE" w:rsidP="000044FA">
            <w:pPr>
              <w:spacing w:before="100" w:after="100"/>
            </w:pPr>
            <w:r w:rsidRPr="007D3E6E">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7D3E6E" w:rsidRDefault="009D36DE" w:rsidP="000044FA">
            <w:pPr>
              <w:spacing w:before="100" w:after="100"/>
            </w:pPr>
            <w:r w:rsidRPr="007D3E6E">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7D3E6E" w:rsidRDefault="003B60B8" w:rsidP="006D245F">
            <w:pPr>
              <w:spacing w:before="100" w:after="100"/>
              <w:ind w:firstLine="123"/>
              <w:jc w:val="both"/>
            </w:pPr>
            <w:r w:rsidRPr="007D3E6E">
              <w:rPr>
                <w:bCs/>
              </w:rPr>
              <w:t>Nav</w:t>
            </w:r>
          </w:p>
        </w:tc>
      </w:tr>
    </w:tbl>
    <w:p w14:paraId="3DBDB41B" w14:textId="77777777" w:rsidR="009D36DE" w:rsidRPr="007D3E6E"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7D3E6E"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7D3E6E" w:rsidRDefault="009D36DE" w:rsidP="004B4E72">
            <w:pPr>
              <w:ind w:right="-19"/>
              <w:jc w:val="center"/>
              <w:rPr>
                <w:b/>
                <w:bCs/>
              </w:rPr>
            </w:pPr>
            <w:r w:rsidRPr="007D3E6E">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7D3E6E" w:rsidRDefault="009D36DE" w:rsidP="000044FA">
            <w:pPr>
              <w:ind w:firstLine="1113"/>
              <w:jc w:val="center"/>
              <w:rPr>
                <w:b/>
                <w:bCs/>
              </w:rPr>
            </w:pPr>
          </w:p>
        </w:tc>
      </w:tr>
      <w:tr w:rsidR="001611E9" w:rsidRPr="007D3E6E"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7D3E6E" w:rsidRDefault="001611E9" w:rsidP="004B4E72">
            <w:pPr>
              <w:jc w:val="center"/>
              <w:rPr>
                <w:b/>
                <w:bCs/>
                <w:highlight w:val="green"/>
              </w:rPr>
            </w:pPr>
            <w:r w:rsidRPr="007D3E6E">
              <w:t>Projekts šo jomu neskar</w:t>
            </w:r>
          </w:p>
        </w:tc>
        <w:tc>
          <w:tcPr>
            <w:tcW w:w="40" w:type="dxa"/>
            <w:shd w:val="clear" w:color="auto" w:fill="auto"/>
            <w:tcMar>
              <w:top w:w="0" w:type="dxa"/>
              <w:left w:w="10" w:type="dxa"/>
              <w:bottom w:w="0" w:type="dxa"/>
              <w:right w:w="10" w:type="dxa"/>
            </w:tcMar>
          </w:tcPr>
          <w:p w14:paraId="4731C3D0" w14:textId="77777777" w:rsidR="001611E9" w:rsidRPr="007D3E6E" w:rsidRDefault="001611E9" w:rsidP="000044FA">
            <w:pPr>
              <w:ind w:firstLine="1113"/>
              <w:jc w:val="center"/>
              <w:rPr>
                <w:b/>
                <w:bCs/>
                <w:highlight w:val="green"/>
              </w:rPr>
            </w:pPr>
          </w:p>
        </w:tc>
      </w:tr>
    </w:tbl>
    <w:p w14:paraId="2054AA73" w14:textId="77777777" w:rsidR="00064F32"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701"/>
        <w:gridCol w:w="1417"/>
        <w:gridCol w:w="851"/>
        <w:gridCol w:w="1134"/>
        <w:gridCol w:w="850"/>
        <w:gridCol w:w="993"/>
        <w:gridCol w:w="1134"/>
        <w:gridCol w:w="8"/>
      </w:tblGrid>
      <w:tr w:rsidR="00064F32" w14:paraId="2290E396" w14:textId="77777777" w:rsidTr="00962079">
        <w:trPr>
          <w:jc w:val="center"/>
        </w:trPr>
        <w:tc>
          <w:tcPr>
            <w:tcW w:w="9501" w:type="dxa"/>
            <w:gridSpan w:val="9"/>
          </w:tcPr>
          <w:p w14:paraId="6B1BBF90" w14:textId="77777777" w:rsidR="00064F32" w:rsidRPr="00E47E33" w:rsidRDefault="00064F32" w:rsidP="000044FA">
            <w:pPr>
              <w:pStyle w:val="NoSpacing"/>
              <w:jc w:val="center"/>
              <w:rPr>
                <w:rFonts w:ascii="Times New Roman" w:hAnsi="Times New Roman"/>
                <w:sz w:val="24"/>
                <w:szCs w:val="24"/>
                <w:lang w:eastAsia="lv-LV"/>
              </w:rPr>
            </w:pPr>
            <w:r w:rsidRPr="00E47E33">
              <w:rPr>
                <w:rFonts w:ascii="Times New Roman" w:hAnsi="Times New Roman"/>
                <w:b/>
                <w:sz w:val="24"/>
                <w:szCs w:val="24"/>
                <w:lang w:eastAsia="lv-LV"/>
              </w:rPr>
              <w:t>III. Tiesību akta projekta ietekme uz valsts budžetu un pašvaldību budžetiem</w:t>
            </w:r>
          </w:p>
        </w:tc>
      </w:tr>
      <w:tr w:rsidR="00064F32" w14:paraId="5EF10583" w14:textId="77777777" w:rsidTr="00B14E12">
        <w:trPr>
          <w:jc w:val="center"/>
        </w:trPr>
        <w:tc>
          <w:tcPr>
            <w:tcW w:w="1413" w:type="dxa"/>
            <w:vMerge w:val="restart"/>
          </w:tcPr>
          <w:p w14:paraId="70055DE7" w14:textId="77777777" w:rsidR="00372421" w:rsidRPr="007338E3" w:rsidRDefault="00372421" w:rsidP="00372421">
            <w:pPr>
              <w:pStyle w:val="NoSpacing"/>
              <w:jc w:val="center"/>
              <w:rPr>
                <w:rFonts w:ascii="Times New Roman" w:hAnsi="Times New Roman"/>
                <w:sz w:val="20"/>
                <w:szCs w:val="20"/>
                <w:lang w:eastAsia="lv-LV"/>
              </w:rPr>
            </w:pPr>
          </w:p>
          <w:p w14:paraId="164D976C" w14:textId="77777777" w:rsidR="00372421" w:rsidRPr="007338E3" w:rsidRDefault="00372421" w:rsidP="00372421">
            <w:pPr>
              <w:pStyle w:val="NoSpacing"/>
              <w:jc w:val="center"/>
              <w:rPr>
                <w:rFonts w:ascii="Times New Roman" w:hAnsi="Times New Roman"/>
                <w:sz w:val="20"/>
                <w:szCs w:val="20"/>
                <w:lang w:eastAsia="lv-LV"/>
              </w:rPr>
            </w:pPr>
          </w:p>
          <w:p w14:paraId="7F95A946" w14:textId="77777777" w:rsidR="00372421" w:rsidRPr="007338E3" w:rsidRDefault="00372421" w:rsidP="00372421">
            <w:pPr>
              <w:pStyle w:val="NoSpacing"/>
              <w:jc w:val="center"/>
              <w:rPr>
                <w:rFonts w:ascii="Times New Roman" w:hAnsi="Times New Roman"/>
                <w:sz w:val="20"/>
                <w:szCs w:val="20"/>
                <w:lang w:eastAsia="lv-LV"/>
              </w:rPr>
            </w:pPr>
          </w:p>
          <w:p w14:paraId="1337BA23" w14:textId="77777777" w:rsidR="00372421" w:rsidRPr="007338E3" w:rsidRDefault="00372421" w:rsidP="00372421">
            <w:pPr>
              <w:pStyle w:val="NoSpacing"/>
              <w:jc w:val="center"/>
              <w:rPr>
                <w:rFonts w:ascii="Times New Roman" w:hAnsi="Times New Roman"/>
                <w:sz w:val="20"/>
                <w:szCs w:val="20"/>
                <w:lang w:eastAsia="lv-LV"/>
              </w:rPr>
            </w:pPr>
          </w:p>
          <w:p w14:paraId="2B77B71A" w14:textId="32842978"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Rādītāji</w:t>
            </w:r>
          </w:p>
        </w:tc>
        <w:tc>
          <w:tcPr>
            <w:tcW w:w="3118" w:type="dxa"/>
            <w:gridSpan w:val="2"/>
            <w:vMerge w:val="restart"/>
          </w:tcPr>
          <w:p w14:paraId="2AB83078" w14:textId="4B3205EE"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w:t>
            </w:r>
            <w:r w:rsidR="00E8717E" w:rsidRPr="007338E3">
              <w:rPr>
                <w:rFonts w:ascii="Times New Roman" w:hAnsi="Times New Roman"/>
                <w:sz w:val="20"/>
                <w:szCs w:val="20"/>
                <w:lang w:eastAsia="lv-LV"/>
              </w:rPr>
              <w:t>20</w:t>
            </w:r>
            <w:r w:rsidR="00064F32" w:rsidRPr="007338E3">
              <w:rPr>
                <w:rFonts w:ascii="Times New Roman" w:hAnsi="Times New Roman"/>
                <w:sz w:val="20"/>
                <w:szCs w:val="20"/>
                <w:lang w:eastAsia="lv-LV"/>
              </w:rPr>
              <w:t>. gads</w:t>
            </w:r>
          </w:p>
        </w:tc>
        <w:tc>
          <w:tcPr>
            <w:tcW w:w="4970" w:type="dxa"/>
            <w:gridSpan w:val="6"/>
          </w:tcPr>
          <w:p w14:paraId="77284521"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Turpmākie trīs gadi (</w:t>
            </w:r>
            <w:proofErr w:type="spellStart"/>
            <w:r w:rsidRPr="007338E3">
              <w:rPr>
                <w:rFonts w:ascii="Times New Roman" w:hAnsi="Times New Roman"/>
                <w:i/>
                <w:iCs/>
                <w:sz w:val="20"/>
                <w:szCs w:val="20"/>
                <w:lang w:eastAsia="lv-LV"/>
              </w:rPr>
              <w:t>euro</w:t>
            </w:r>
            <w:proofErr w:type="spellEnd"/>
            <w:r w:rsidRPr="007338E3">
              <w:rPr>
                <w:rFonts w:ascii="Times New Roman" w:hAnsi="Times New Roman"/>
                <w:sz w:val="20"/>
                <w:szCs w:val="20"/>
                <w:lang w:eastAsia="lv-LV"/>
              </w:rPr>
              <w:t>)</w:t>
            </w:r>
          </w:p>
        </w:tc>
      </w:tr>
      <w:tr w:rsidR="00064F32" w14:paraId="72722EC7" w14:textId="77777777" w:rsidTr="00B14E12">
        <w:trPr>
          <w:jc w:val="center"/>
        </w:trPr>
        <w:tc>
          <w:tcPr>
            <w:tcW w:w="1413" w:type="dxa"/>
            <w:vMerge/>
          </w:tcPr>
          <w:p w14:paraId="5F6D5C9D" w14:textId="77777777" w:rsidR="00064F32" w:rsidRPr="007338E3" w:rsidRDefault="00064F32" w:rsidP="00372421">
            <w:pPr>
              <w:pStyle w:val="NoSpacing"/>
              <w:jc w:val="center"/>
              <w:rPr>
                <w:rFonts w:ascii="Times New Roman" w:hAnsi="Times New Roman"/>
                <w:sz w:val="20"/>
                <w:szCs w:val="20"/>
                <w:lang w:eastAsia="lv-LV"/>
              </w:rPr>
            </w:pPr>
          </w:p>
        </w:tc>
        <w:tc>
          <w:tcPr>
            <w:tcW w:w="3118" w:type="dxa"/>
            <w:gridSpan w:val="2"/>
            <w:vMerge/>
          </w:tcPr>
          <w:p w14:paraId="0186CDB4" w14:textId="77777777" w:rsidR="00064F32" w:rsidRPr="007338E3" w:rsidRDefault="00064F32" w:rsidP="00372421">
            <w:pPr>
              <w:pStyle w:val="NoSpacing"/>
              <w:jc w:val="center"/>
              <w:rPr>
                <w:rFonts w:ascii="Times New Roman" w:hAnsi="Times New Roman"/>
                <w:sz w:val="20"/>
                <w:szCs w:val="20"/>
                <w:lang w:eastAsia="lv-LV"/>
              </w:rPr>
            </w:pPr>
          </w:p>
        </w:tc>
        <w:tc>
          <w:tcPr>
            <w:tcW w:w="1985" w:type="dxa"/>
            <w:gridSpan w:val="2"/>
          </w:tcPr>
          <w:p w14:paraId="2B8E1DA0" w14:textId="0DF24701"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1</w:t>
            </w:r>
            <w:r w:rsidR="00064F32" w:rsidRPr="007338E3">
              <w:rPr>
                <w:rFonts w:ascii="Times New Roman" w:hAnsi="Times New Roman"/>
                <w:sz w:val="20"/>
                <w:szCs w:val="20"/>
                <w:lang w:eastAsia="lv-LV"/>
              </w:rPr>
              <w:t>.gads</w:t>
            </w:r>
          </w:p>
        </w:tc>
        <w:tc>
          <w:tcPr>
            <w:tcW w:w="1843" w:type="dxa"/>
            <w:gridSpan w:val="2"/>
          </w:tcPr>
          <w:p w14:paraId="0613558D" w14:textId="0FCA40E8"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2</w:t>
            </w:r>
            <w:r w:rsidR="00064F32" w:rsidRPr="007338E3">
              <w:rPr>
                <w:rFonts w:ascii="Times New Roman" w:hAnsi="Times New Roman"/>
                <w:sz w:val="20"/>
                <w:szCs w:val="20"/>
                <w:lang w:eastAsia="lv-LV"/>
              </w:rPr>
              <w:t>.gads</w:t>
            </w:r>
          </w:p>
        </w:tc>
        <w:tc>
          <w:tcPr>
            <w:tcW w:w="1142" w:type="dxa"/>
            <w:gridSpan w:val="2"/>
          </w:tcPr>
          <w:p w14:paraId="2EC5B9B5" w14:textId="1698BA38"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3</w:t>
            </w:r>
            <w:r w:rsidRPr="007338E3">
              <w:rPr>
                <w:rFonts w:ascii="Times New Roman" w:hAnsi="Times New Roman"/>
                <w:sz w:val="20"/>
                <w:szCs w:val="20"/>
                <w:lang w:eastAsia="lv-LV"/>
              </w:rPr>
              <w:t>.gads</w:t>
            </w:r>
          </w:p>
        </w:tc>
      </w:tr>
      <w:tr w:rsidR="00064F32" w14:paraId="704E5777" w14:textId="77777777" w:rsidTr="00B14E12">
        <w:trPr>
          <w:gridAfter w:val="1"/>
          <w:wAfter w:w="8" w:type="dxa"/>
          <w:jc w:val="center"/>
        </w:trPr>
        <w:tc>
          <w:tcPr>
            <w:tcW w:w="1413" w:type="dxa"/>
            <w:vMerge/>
          </w:tcPr>
          <w:p w14:paraId="21797E92" w14:textId="77777777" w:rsidR="00064F32" w:rsidRPr="007338E3" w:rsidRDefault="00064F32" w:rsidP="00372421">
            <w:pPr>
              <w:pStyle w:val="NoSpacing"/>
              <w:jc w:val="center"/>
              <w:rPr>
                <w:rFonts w:ascii="Times New Roman" w:hAnsi="Times New Roman"/>
                <w:sz w:val="20"/>
                <w:szCs w:val="20"/>
                <w:lang w:eastAsia="lv-LV"/>
              </w:rPr>
            </w:pPr>
          </w:p>
        </w:tc>
        <w:tc>
          <w:tcPr>
            <w:tcW w:w="1701" w:type="dxa"/>
          </w:tcPr>
          <w:p w14:paraId="4CF9630E"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saskaņā ar valsts budžetu kārtējam gadam</w:t>
            </w:r>
          </w:p>
        </w:tc>
        <w:tc>
          <w:tcPr>
            <w:tcW w:w="1417" w:type="dxa"/>
          </w:tcPr>
          <w:p w14:paraId="1659FCE2"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kārtējā gadā, salīdzinot ar valsts budžetu kārtējam gadam</w:t>
            </w:r>
          </w:p>
        </w:tc>
        <w:tc>
          <w:tcPr>
            <w:tcW w:w="851" w:type="dxa"/>
          </w:tcPr>
          <w:p w14:paraId="15473A0E"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saskaņā ar vidēja termiņa budžeta ietvaru</w:t>
            </w:r>
          </w:p>
        </w:tc>
        <w:tc>
          <w:tcPr>
            <w:tcW w:w="1134" w:type="dxa"/>
          </w:tcPr>
          <w:p w14:paraId="688AD74B" w14:textId="68EB70FB"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vidēja termiņa budžeta ietvaru 20</w:t>
            </w:r>
            <w:r w:rsidR="00C142F2" w:rsidRPr="007338E3">
              <w:rPr>
                <w:rFonts w:ascii="Times New Roman" w:hAnsi="Times New Roman"/>
                <w:sz w:val="20"/>
                <w:szCs w:val="20"/>
                <w:lang w:eastAsia="lv-LV"/>
              </w:rPr>
              <w:t>2</w:t>
            </w:r>
            <w:r w:rsidR="00E8717E" w:rsidRPr="007338E3">
              <w:rPr>
                <w:rFonts w:ascii="Times New Roman" w:hAnsi="Times New Roman"/>
                <w:sz w:val="20"/>
                <w:szCs w:val="20"/>
                <w:lang w:eastAsia="lv-LV"/>
              </w:rPr>
              <w:t>1</w:t>
            </w:r>
            <w:r w:rsidRPr="007338E3">
              <w:rPr>
                <w:rFonts w:ascii="Times New Roman" w:hAnsi="Times New Roman"/>
                <w:sz w:val="20"/>
                <w:szCs w:val="20"/>
                <w:lang w:eastAsia="lv-LV"/>
              </w:rPr>
              <w:t>. gadam</w:t>
            </w:r>
          </w:p>
        </w:tc>
        <w:tc>
          <w:tcPr>
            <w:tcW w:w="850" w:type="dxa"/>
          </w:tcPr>
          <w:p w14:paraId="31723888" w14:textId="77777777" w:rsidR="00064F32" w:rsidRPr="007338E3" w:rsidRDefault="00064F32" w:rsidP="00372421">
            <w:pPr>
              <w:pStyle w:val="NoSpacing"/>
              <w:ind w:left="-102"/>
              <w:jc w:val="center"/>
              <w:rPr>
                <w:rFonts w:ascii="Times New Roman" w:hAnsi="Times New Roman"/>
                <w:sz w:val="20"/>
                <w:szCs w:val="20"/>
                <w:lang w:eastAsia="lv-LV"/>
              </w:rPr>
            </w:pPr>
            <w:r w:rsidRPr="007338E3">
              <w:rPr>
                <w:rFonts w:ascii="Times New Roman" w:hAnsi="Times New Roman"/>
                <w:sz w:val="20"/>
                <w:szCs w:val="20"/>
                <w:lang w:eastAsia="lv-LV"/>
              </w:rPr>
              <w:t>saskaņā ar vidēja termiņa budžeta ietvaru</w:t>
            </w:r>
          </w:p>
        </w:tc>
        <w:tc>
          <w:tcPr>
            <w:tcW w:w="993" w:type="dxa"/>
          </w:tcPr>
          <w:p w14:paraId="05EF7C8C" w14:textId="011FBA35" w:rsidR="00064F32" w:rsidRPr="007338E3" w:rsidRDefault="00064F32" w:rsidP="00E8717E">
            <w:pPr>
              <w:pStyle w:val="NoSpacing"/>
              <w:ind w:left="-102"/>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w:t>
            </w:r>
            <w:r w:rsidR="00C142F2" w:rsidRPr="007338E3">
              <w:rPr>
                <w:rFonts w:ascii="Times New Roman" w:hAnsi="Times New Roman"/>
                <w:sz w:val="20"/>
                <w:szCs w:val="20"/>
                <w:lang w:eastAsia="lv-LV"/>
              </w:rPr>
              <w:t>ēja termiņa budžeta ietvaru 202</w:t>
            </w:r>
            <w:r w:rsidR="00E8717E" w:rsidRPr="007338E3">
              <w:rPr>
                <w:rFonts w:ascii="Times New Roman" w:hAnsi="Times New Roman"/>
                <w:sz w:val="20"/>
                <w:szCs w:val="20"/>
                <w:lang w:eastAsia="lv-LV"/>
              </w:rPr>
              <w:t>2</w:t>
            </w:r>
            <w:r w:rsidRPr="007338E3">
              <w:rPr>
                <w:rFonts w:ascii="Times New Roman" w:hAnsi="Times New Roman"/>
                <w:sz w:val="20"/>
                <w:szCs w:val="20"/>
                <w:lang w:eastAsia="lv-LV"/>
              </w:rPr>
              <w:t>. gadam</w:t>
            </w:r>
          </w:p>
        </w:tc>
        <w:tc>
          <w:tcPr>
            <w:tcW w:w="1134" w:type="dxa"/>
          </w:tcPr>
          <w:p w14:paraId="4F89B0BE" w14:textId="22994E9F"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vidēja termiņa budžeta ietvaru 202</w:t>
            </w:r>
            <w:r w:rsidR="00E8717E" w:rsidRPr="007338E3">
              <w:rPr>
                <w:rFonts w:ascii="Times New Roman" w:hAnsi="Times New Roman"/>
                <w:sz w:val="20"/>
                <w:szCs w:val="20"/>
                <w:lang w:eastAsia="lv-LV"/>
              </w:rPr>
              <w:t>2</w:t>
            </w:r>
            <w:r w:rsidRPr="007338E3">
              <w:rPr>
                <w:rFonts w:ascii="Times New Roman" w:hAnsi="Times New Roman"/>
                <w:sz w:val="20"/>
                <w:szCs w:val="20"/>
                <w:lang w:eastAsia="lv-LV"/>
              </w:rPr>
              <w:t>. gadam</w:t>
            </w:r>
          </w:p>
        </w:tc>
      </w:tr>
      <w:tr w:rsidR="00064F32" w14:paraId="06738653" w14:textId="77777777" w:rsidTr="00B14E12">
        <w:trPr>
          <w:gridAfter w:val="1"/>
          <w:wAfter w:w="8" w:type="dxa"/>
          <w:jc w:val="center"/>
        </w:trPr>
        <w:tc>
          <w:tcPr>
            <w:tcW w:w="1413" w:type="dxa"/>
            <w:vAlign w:val="center"/>
          </w:tcPr>
          <w:p w14:paraId="087E6665"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1</w:t>
            </w:r>
          </w:p>
        </w:tc>
        <w:tc>
          <w:tcPr>
            <w:tcW w:w="1701" w:type="dxa"/>
            <w:vAlign w:val="center"/>
          </w:tcPr>
          <w:p w14:paraId="742AF566"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2</w:t>
            </w:r>
          </w:p>
        </w:tc>
        <w:tc>
          <w:tcPr>
            <w:tcW w:w="1417" w:type="dxa"/>
            <w:vAlign w:val="center"/>
          </w:tcPr>
          <w:p w14:paraId="2F15398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3</w:t>
            </w:r>
          </w:p>
        </w:tc>
        <w:tc>
          <w:tcPr>
            <w:tcW w:w="851" w:type="dxa"/>
            <w:vAlign w:val="center"/>
          </w:tcPr>
          <w:p w14:paraId="5C4D947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4</w:t>
            </w:r>
          </w:p>
        </w:tc>
        <w:tc>
          <w:tcPr>
            <w:tcW w:w="1134" w:type="dxa"/>
            <w:vAlign w:val="center"/>
          </w:tcPr>
          <w:p w14:paraId="27465714"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5</w:t>
            </w:r>
          </w:p>
        </w:tc>
        <w:tc>
          <w:tcPr>
            <w:tcW w:w="850" w:type="dxa"/>
            <w:vAlign w:val="center"/>
          </w:tcPr>
          <w:p w14:paraId="508761AC"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6</w:t>
            </w:r>
          </w:p>
        </w:tc>
        <w:tc>
          <w:tcPr>
            <w:tcW w:w="993" w:type="dxa"/>
            <w:vAlign w:val="center"/>
          </w:tcPr>
          <w:p w14:paraId="74BAE14B"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7</w:t>
            </w:r>
          </w:p>
        </w:tc>
        <w:tc>
          <w:tcPr>
            <w:tcW w:w="1134" w:type="dxa"/>
            <w:vAlign w:val="center"/>
          </w:tcPr>
          <w:p w14:paraId="4061E3F8"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8</w:t>
            </w:r>
          </w:p>
        </w:tc>
      </w:tr>
      <w:tr w:rsidR="007338E3" w:rsidRPr="007D3E6E" w14:paraId="6285ABA3" w14:textId="77777777" w:rsidTr="00B14E12">
        <w:trPr>
          <w:gridAfter w:val="1"/>
          <w:wAfter w:w="8" w:type="dxa"/>
          <w:jc w:val="center"/>
        </w:trPr>
        <w:tc>
          <w:tcPr>
            <w:tcW w:w="1413" w:type="dxa"/>
          </w:tcPr>
          <w:p w14:paraId="18F4E0D7" w14:textId="77777777"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 Budžeta ieņēmumi</w:t>
            </w:r>
          </w:p>
        </w:tc>
        <w:tc>
          <w:tcPr>
            <w:tcW w:w="1701" w:type="dxa"/>
          </w:tcPr>
          <w:p w14:paraId="056264E9" w14:textId="1B336DF9" w:rsidR="007338E3" w:rsidRPr="007D3E6E" w:rsidRDefault="007338E3" w:rsidP="007338E3">
            <w:pPr>
              <w:pStyle w:val="NoSpacing"/>
              <w:ind w:left="-253"/>
              <w:jc w:val="right"/>
              <w:rPr>
                <w:rFonts w:ascii="Times New Roman" w:hAnsi="Times New Roman"/>
                <w:sz w:val="24"/>
                <w:szCs w:val="24"/>
                <w:lang w:eastAsia="lv-LV"/>
              </w:rPr>
            </w:pPr>
            <w:r w:rsidRPr="00191879">
              <w:rPr>
                <w:rFonts w:ascii="Times New Roman" w:hAnsi="Times New Roman"/>
                <w:sz w:val="24"/>
                <w:szCs w:val="24"/>
                <w:lang w:eastAsia="lv-LV"/>
              </w:rPr>
              <w:t>9</w:t>
            </w:r>
            <w:r>
              <w:rPr>
                <w:rFonts w:ascii="Times New Roman" w:hAnsi="Times New Roman"/>
                <w:sz w:val="24"/>
                <w:szCs w:val="24"/>
                <w:lang w:eastAsia="lv-LV"/>
              </w:rPr>
              <w:t xml:space="preserve"> </w:t>
            </w:r>
            <w:r w:rsidRPr="00191879">
              <w:rPr>
                <w:rFonts w:ascii="Times New Roman" w:hAnsi="Times New Roman"/>
                <w:sz w:val="24"/>
                <w:szCs w:val="24"/>
                <w:lang w:eastAsia="lv-LV"/>
              </w:rPr>
              <w:t>907</w:t>
            </w:r>
            <w:r>
              <w:rPr>
                <w:rFonts w:ascii="Times New Roman" w:hAnsi="Times New Roman"/>
                <w:sz w:val="24"/>
                <w:szCs w:val="24"/>
                <w:lang w:eastAsia="lv-LV"/>
              </w:rPr>
              <w:t xml:space="preserve"> </w:t>
            </w:r>
            <w:r w:rsidRPr="00191879">
              <w:rPr>
                <w:rFonts w:ascii="Times New Roman" w:hAnsi="Times New Roman"/>
                <w:sz w:val="24"/>
                <w:szCs w:val="24"/>
                <w:lang w:eastAsia="lv-LV"/>
              </w:rPr>
              <w:t>335</w:t>
            </w:r>
            <w:r>
              <w:rPr>
                <w:rFonts w:ascii="Times New Roman" w:hAnsi="Times New Roman"/>
                <w:sz w:val="24"/>
                <w:szCs w:val="24"/>
                <w:lang w:eastAsia="lv-LV"/>
              </w:rPr>
              <w:t xml:space="preserve"> </w:t>
            </w:r>
            <w:r w:rsidRPr="00191879">
              <w:rPr>
                <w:rFonts w:ascii="Times New Roman" w:hAnsi="Times New Roman"/>
                <w:sz w:val="24"/>
                <w:szCs w:val="24"/>
                <w:lang w:eastAsia="lv-LV"/>
              </w:rPr>
              <w:t>199</w:t>
            </w:r>
          </w:p>
        </w:tc>
        <w:tc>
          <w:tcPr>
            <w:tcW w:w="1417" w:type="dxa"/>
          </w:tcPr>
          <w:p w14:paraId="2AC5F91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07F1B4E9"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EB6020B"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7795111"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5427B052"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1A42E02"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7338E3" w:rsidRPr="007D3E6E" w14:paraId="6E564720" w14:textId="77777777" w:rsidTr="00B14E12">
        <w:trPr>
          <w:gridAfter w:val="1"/>
          <w:wAfter w:w="8" w:type="dxa"/>
          <w:jc w:val="center"/>
        </w:trPr>
        <w:tc>
          <w:tcPr>
            <w:tcW w:w="1413" w:type="dxa"/>
          </w:tcPr>
          <w:p w14:paraId="3D166CCC" w14:textId="751794B3"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1.1. valsts pamatbudžets, tai skaitā ieņēmumi no maksas pakalpojumiem un citi pašu ieņēmumi</w:t>
            </w:r>
            <w:r w:rsidR="004B10FE">
              <w:rPr>
                <w:rFonts w:ascii="Times New Roman" w:hAnsi="Times New Roman"/>
                <w:lang w:eastAsia="lv-LV"/>
              </w:rPr>
              <w:t xml:space="preserve"> </w:t>
            </w:r>
            <w:r w:rsidR="004B10FE">
              <w:rPr>
                <w:rFonts w:ascii="Times New Roman" w:hAnsi="Times New Roman"/>
                <w:sz w:val="24"/>
                <w:szCs w:val="24"/>
                <w:lang w:eastAsia="lv-LV"/>
              </w:rPr>
              <w:t>(neto)</w:t>
            </w:r>
          </w:p>
        </w:tc>
        <w:tc>
          <w:tcPr>
            <w:tcW w:w="1701" w:type="dxa"/>
          </w:tcPr>
          <w:p w14:paraId="2058AD1F" w14:textId="0E795092" w:rsidR="007338E3" w:rsidRPr="007D3E6E" w:rsidRDefault="007338E3" w:rsidP="007338E3">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6</w:t>
            </w:r>
            <w:r>
              <w:rPr>
                <w:rFonts w:ascii="Times New Roman" w:hAnsi="Times New Roman"/>
                <w:sz w:val="24"/>
                <w:szCs w:val="24"/>
                <w:lang w:eastAsia="lv-LV"/>
              </w:rPr>
              <w:t xml:space="preserve"> </w:t>
            </w:r>
            <w:r w:rsidRPr="00B50A1F">
              <w:rPr>
                <w:rFonts w:ascii="Times New Roman" w:hAnsi="Times New Roman"/>
                <w:sz w:val="24"/>
                <w:szCs w:val="24"/>
                <w:lang w:eastAsia="lv-LV"/>
              </w:rPr>
              <w:t>896</w:t>
            </w:r>
            <w:r>
              <w:rPr>
                <w:rFonts w:ascii="Times New Roman" w:hAnsi="Times New Roman"/>
                <w:sz w:val="24"/>
                <w:szCs w:val="24"/>
                <w:lang w:eastAsia="lv-LV"/>
              </w:rPr>
              <w:t xml:space="preserve"> </w:t>
            </w:r>
            <w:r w:rsidRPr="00B50A1F">
              <w:rPr>
                <w:rFonts w:ascii="Times New Roman" w:hAnsi="Times New Roman"/>
                <w:sz w:val="24"/>
                <w:szCs w:val="24"/>
                <w:lang w:eastAsia="lv-LV"/>
              </w:rPr>
              <w:t>124</w:t>
            </w:r>
            <w:r>
              <w:rPr>
                <w:rFonts w:ascii="Times New Roman" w:hAnsi="Times New Roman"/>
                <w:sz w:val="24"/>
                <w:szCs w:val="24"/>
                <w:lang w:eastAsia="lv-LV"/>
              </w:rPr>
              <w:t xml:space="preserve"> </w:t>
            </w:r>
            <w:r w:rsidRPr="00B50A1F">
              <w:rPr>
                <w:rFonts w:ascii="Times New Roman" w:hAnsi="Times New Roman"/>
                <w:sz w:val="24"/>
                <w:szCs w:val="24"/>
                <w:lang w:eastAsia="lv-LV"/>
              </w:rPr>
              <w:t>760</w:t>
            </w:r>
          </w:p>
        </w:tc>
        <w:tc>
          <w:tcPr>
            <w:tcW w:w="1417" w:type="dxa"/>
          </w:tcPr>
          <w:p w14:paraId="04F63E08"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75B65C1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FF8F956"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3D823D9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882CD76"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D10F365"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7338E3" w:rsidRPr="007D3E6E" w14:paraId="68E4CF1A" w14:textId="77777777" w:rsidTr="00B14E12">
        <w:trPr>
          <w:gridAfter w:val="1"/>
          <w:wAfter w:w="8" w:type="dxa"/>
          <w:jc w:val="center"/>
        </w:trPr>
        <w:tc>
          <w:tcPr>
            <w:tcW w:w="1413" w:type="dxa"/>
          </w:tcPr>
          <w:p w14:paraId="7EF383DE" w14:textId="74F6CEAA"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1.2. valsts speciālais budžets</w:t>
            </w:r>
            <w:r w:rsidR="004B10FE">
              <w:rPr>
                <w:rFonts w:ascii="Times New Roman" w:hAnsi="Times New Roman"/>
                <w:lang w:eastAsia="lv-LV"/>
              </w:rPr>
              <w:t xml:space="preserve"> </w:t>
            </w:r>
            <w:r w:rsidR="004B10FE">
              <w:rPr>
                <w:rFonts w:ascii="Times New Roman" w:hAnsi="Times New Roman"/>
                <w:sz w:val="24"/>
                <w:szCs w:val="24"/>
                <w:lang w:eastAsia="lv-LV"/>
              </w:rPr>
              <w:t>(neto)</w:t>
            </w:r>
          </w:p>
        </w:tc>
        <w:tc>
          <w:tcPr>
            <w:tcW w:w="1701" w:type="dxa"/>
          </w:tcPr>
          <w:p w14:paraId="5F16D58E" w14:textId="34490106" w:rsidR="007338E3" w:rsidRPr="007D3E6E" w:rsidRDefault="007338E3" w:rsidP="007338E3">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3</w:t>
            </w:r>
            <w:r>
              <w:rPr>
                <w:rFonts w:ascii="Times New Roman" w:hAnsi="Times New Roman"/>
                <w:sz w:val="24"/>
                <w:szCs w:val="24"/>
                <w:lang w:eastAsia="lv-LV"/>
              </w:rPr>
              <w:t xml:space="preserve"> </w:t>
            </w:r>
            <w:r w:rsidRPr="00B50A1F">
              <w:rPr>
                <w:rFonts w:ascii="Times New Roman" w:hAnsi="Times New Roman"/>
                <w:sz w:val="24"/>
                <w:szCs w:val="24"/>
                <w:lang w:eastAsia="lv-LV"/>
              </w:rPr>
              <w:t>011</w:t>
            </w:r>
            <w:r>
              <w:rPr>
                <w:rFonts w:ascii="Times New Roman" w:hAnsi="Times New Roman"/>
                <w:sz w:val="24"/>
                <w:szCs w:val="24"/>
                <w:lang w:eastAsia="lv-LV"/>
              </w:rPr>
              <w:t xml:space="preserve"> </w:t>
            </w:r>
            <w:r w:rsidRPr="00B50A1F">
              <w:rPr>
                <w:rFonts w:ascii="Times New Roman" w:hAnsi="Times New Roman"/>
                <w:sz w:val="24"/>
                <w:szCs w:val="24"/>
                <w:lang w:eastAsia="lv-LV"/>
              </w:rPr>
              <w:t>210</w:t>
            </w:r>
            <w:r>
              <w:rPr>
                <w:rFonts w:ascii="Times New Roman" w:hAnsi="Times New Roman"/>
                <w:sz w:val="24"/>
                <w:szCs w:val="24"/>
                <w:lang w:eastAsia="lv-LV"/>
              </w:rPr>
              <w:t xml:space="preserve"> </w:t>
            </w:r>
            <w:r w:rsidRPr="00B50A1F">
              <w:rPr>
                <w:rFonts w:ascii="Times New Roman" w:hAnsi="Times New Roman"/>
                <w:sz w:val="24"/>
                <w:szCs w:val="24"/>
                <w:lang w:eastAsia="lv-LV"/>
              </w:rPr>
              <w:t>439</w:t>
            </w:r>
          </w:p>
        </w:tc>
        <w:tc>
          <w:tcPr>
            <w:tcW w:w="1417" w:type="dxa"/>
          </w:tcPr>
          <w:p w14:paraId="0A0B96C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79A53E1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34BEFB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3826F5"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C3B58ED"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4BCF405B"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FFC3881" w14:textId="77777777" w:rsidTr="00B14E12">
        <w:trPr>
          <w:gridAfter w:val="1"/>
          <w:wAfter w:w="8" w:type="dxa"/>
          <w:jc w:val="center"/>
        </w:trPr>
        <w:tc>
          <w:tcPr>
            <w:tcW w:w="1413" w:type="dxa"/>
          </w:tcPr>
          <w:p w14:paraId="2CEA15C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1.3. pašvaldību budžets</w:t>
            </w:r>
          </w:p>
        </w:tc>
        <w:tc>
          <w:tcPr>
            <w:tcW w:w="1701" w:type="dxa"/>
          </w:tcPr>
          <w:p w14:paraId="2B532EE4" w14:textId="77777777" w:rsidR="00064F32" w:rsidRPr="007D3E6E" w:rsidRDefault="00064F32"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313ABD5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357F7F23"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773D403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3D4C03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3DFCA9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B6BC1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334364" w:rsidRPr="007D3E6E" w14:paraId="1C3F2C8B" w14:textId="77777777" w:rsidTr="00B14E12">
        <w:trPr>
          <w:gridAfter w:val="1"/>
          <w:wAfter w:w="8" w:type="dxa"/>
          <w:jc w:val="center"/>
        </w:trPr>
        <w:tc>
          <w:tcPr>
            <w:tcW w:w="1413" w:type="dxa"/>
          </w:tcPr>
          <w:p w14:paraId="4A1093AA" w14:textId="77777777" w:rsidR="00334364" w:rsidRPr="00962079" w:rsidRDefault="00334364" w:rsidP="00334364">
            <w:pPr>
              <w:pStyle w:val="NoSpacing"/>
              <w:rPr>
                <w:rFonts w:ascii="Times New Roman" w:hAnsi="Times New Roman"/>
                <w:lang w:eastAsia="lv-LV"/>
              </w:rPr>
            </w:pPr>
            <w:r w:rsidRPr="00962079">
              <w:rPr>
                <w:rFonts w:ascii="Times New Roman" w:hAnsi="Times New Roman"/>
                <w:lang w:eastAsia="lv-LV"/>
              </w:rPr>
              <w:t>2. Budžeta izdevumi</w:t>
            </w:r>
          </w:p>
        </w:tc>
        <w:tc>
          <w:tcPr>
            <w:tcW w:w="1701" w:type="dxa"/>
          </w:tcPr>
          <w:p w14:paraId="78FDC2B0" w14:textId="362BBDA9" w:rsidR="00334364" w:rsidRPr="007D3E6E" w:rsidRDefault="00334364" w:rsidP="00334364">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10</w:t>
            </w:r>
            <w:r>
              <w:rPr>
                <w:rFonts w:ascii="Times New Roman" w:hAnsi="Times New Roman"/>
                <w:sz w:val="24"/>
                <w:szCs w:val="24"/>
                <w:lang w:eastAsia="lv-LV"/>
              </w:rPr>
              <w:t xml:space="preserve"> </w:t>
            </w:r>
            <w:r w:rsidRPr="00B50A1F">
              <w:rPr>
                <w:rFonts w:ascii="Times New Roman" w:hAnsi="Times New Roman"/>
                <w:sz w:val="24"/>
                <w:szCs w:val="24"/>
                <w:lang w:eastAsia="lv-LV"/>
              </w:rPr>
              <w:t>014</w:t>
            </w:r>
            <w:r>
              <w:rPr>
                <w:rFonts w:ascii="Times New Roman" w:hAnsi="Times New Roman"/>
                <w:sz w:val="24"/>
                <w:szCs w:val="24"/>
                <w:lang w:eastAsia="lv-LV"/>
              </w:rPr>
              <w:t xml:space="preserve"> </w:t>
            </w:r>
            <w:r w:rsidRPr="00B50A1F">
              <w:rPr>
                <w:rFonts w:ascii="Times New Roman" w:hAnsi="Times New Roman"/>
                <w:sz w:val="24"/>
                <w:szCs w:val="24"/>
                <w:lang w:eastAsia="lv-LV"/>
              </w:rPr>
              <w:t>842</w:t>
            </w:r>
            <w:r>
              <w:rPr>
                <w:rFonts w:ascii="Times New Roman" w:hAnsi="Times New Roman"/>
                <w:sz w:val="24"/>
                <w:szCs w:val="24"/>
                <w:lang w:eastAsia="lv-LV"/>
              </w:rPr>
              <w:t xml:space="preserve"> </w:t>
            </w:r>
            <w:r w:rsidRPr="00B50A1F">
              <w:rPr>
                <w:rFonts w:ascii="Times New Roman" w:hAnsi="Times New Roman"/>
                <w:sz w:val="24"/>
                <w:szCs w:val="24"/>
                <w:lang w:eastAsia="lv-LV"/>
              </w:rPr>
              <w:t>838</w:t>
            </w:r>
          </w:p>
        </w:tc>
        <w:tc>
          <w:tcPr>
            <w:tcW w:w="1417" w:type="dxa"/>
          </w:tcPr>
          <w:p w14:paraId="3A22C34A" w14:textId="04DBD1A3" w:rsidR="00334364" w:rsidRPr="005E37B5" w:rsidRDefault="00567B73" w:rsidP="00334364">
            <w:pPr>
              <w:pStyle w:val="NoSpacing"/>
              <w:jc w:val="right"/>
              <w:rPr>
                <w:rFonts w:ascii="Times New Roman" w:hAnsi="Times New Roman"/>
                <w:b/>
                <w:sz w:val="24"/>
                <w:szCs w:val="24"/>
                <w:lang w:eastAsia="lv-LV"/>
              </w:rPr>
            </w:pPr>
            <w:r>
              <w:rPr>
                <w:rFonts w:ascii="Times New Roman" w:hAnsi="Times New Roman"/>
                <w:b/>
                <w:sz w:val="24"/>
                <w:szCs w:val="24"/>
              </w:rPr>
              <w:t>5</w:t>
            </w:r>
            <w:r w:rsidR="00334364" w:rsidRPr="005E37B5">
              <w:rPr>
                <w:rFonts w:ascii="Times New Roman" w:hAnsi="Times New Roman"/>
                <w:b/>
                <w:sz w:val="24"/>
                <w:szCs w:val="24"/>
              </w:rPr>
              <w:t>0 000 000</w:t>
            </w:r>
          </w:p>
        </w:tc>
        <w:tc>
          <w:tcPr>
            <w:tcW w:w="851" w:type="dxa"/>
          </w:tcPr>
          <w:p w14:paraId="62AAB058" w14:textId="77777777" w:rsidR="00334364" w:rsidRPr="005E37B5" w:rsidRDefault="00334364" w:rsidP="00334364">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93BFE3A"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1D94E43E"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7404EAF3"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B6509A"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334364" w:rsidRPr="007D3E6E" w14:paraId="5F14C625" w14:textId="77777777" w:rsidTr="00B14E12">
        <w:trPr>
          <w:gridAfter w:val="1"/>
          <w:wAfter w:w="8" w:type="dxa"/>
          <w:jc w:val="center"/>
        </w:trPr>
        <w:tc>
          <w:tcPr>
            <w:tcW w:w="1413" w:type="dxa"/>
          </w:tcPr>
          <w:p w14:paraId="3E9C8911" w14:textId="435463D5" w:rsidR="00334364" w:rsidRPr="00962079" w:rsidRDefault="00334364" w:rsidP="00334364">
            <w:pPr>
              <w:pStyle w:val="NoSpacing"/>
              <w:rPr>
                <w:rFonts w:ascii="Times New Roman" w:hAnsi="Times New Roman"/>
                <w:sz w:val="21"/>
                <w:szCs w:val="21"/>
                <w:lang w:eastAsia="lv-LV"/>
              </w:rPr>
            </w:pPr>
            <w:r w:rsidRPr="00962079">
              <w:rPr>
                <w:rFonts w:ascii="Times New Roman" w:hAnsi="Times New Roman"/>
                <w:sz w:val="21"/>
                <w:szCs w:val="21"/>
                <w:lang w:eastAsia="lv-LV"/>
              </w:rPr>
              <w:t>2.1. valsts pamatbudžets</w:t>
            </w:r>
            <w:r>
              <w:rPr>
                <w:rFonts w:ascii="Times New Roman" w:hAnsi="Times New Roman"/>
                <w:sz w:val="21"/>
                <w:szCs w:val="21"/>
                <w:lang w:eastAsia="lv-LV"/>
              </w:rPr>
              <w:t xml:space="preserve"> </w:t>
            </w:r>
            <w:r>
              <w:rPr>
                <w:rFonts w:ascii="Times New Roman" w:hAnsi="Times New Roman"/>
                <w:sz w:val="24"/>
                <w:szCs w:val="24"/>
                <w:lang w:eastAsia="lv-LV"/>
              </w:rPr>
              <w:t>(neto)</w:t>
            </w:r>
          </w:p>
        </w:tc>
        <w:tc>
          <w:tcPr>
            <w:tcW w:w="1701" w:type="dxa"/>
          </w:tcPr>
          <w:p w14:paraId="16433056" w14:textId="74667CCD" w:rsidR="00334364" w:rsidRPr="007D3E6E" w:rsidRDefault="00334364" w:rsidP="00334364">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7</w:t>
            </w:r>
            <w:r>
              <w:rPr>
                <w:rFonts w:ascii="Times New Roman" w:hAnsi="Times New Roman"/>
                <w:sz w:val="24"/>
                <w:szCs w:val="24"/>
                <w:lang w:eastAsia="lv-LV"/>
              </w:rPr>
              <w:t xml:space="preserve"> </w:t>
            </w:r>
            <w:r w:rsidRPr="00B50A1F">
              <w:rPr>
                <w:rFonts w:ascii="Times New Roman" w:hAnsi="Times New Roman"/>
                <w:sz w:val="24"/>
                <w:szCs w:val="24"/>
                <w:lang w:eastAsia="lv-LV"/>
              </w:rPr>
              <w:t>037</w:t>
            </w:r>
            <w:r>
              <w:rPr>
                <w:rFonts w:ascii="Times New Roman" w:hAnsi="Times New Roman"/>
                <w:sz w:val="24"/>
                <w:szCs w:val="24"/>
                <w:lang w:eastAsia="lv-LV"/>
              </w:rPr>
              <w:t xml:space="preserve"> </w:t>
            </w:r>
            <w:r w:rsidRPr="00B50A1F">
              <w:rPr>
                <w:rFonts w:ascii="Times New Roman" w:hAnsi="Times New Roman"/>
                <w:sz w:val="24"/>
                <w:szCs w:val="24"/>
                <w:lang w:eastAsia="lv-LV"/>
              </w:rPr>
              <w:t>866</w:t>
            </w:r>
            <w:r>
              <w:rPr>
                <w:rFonts w:ascii="Times New Roman" w:hAnsi="Times New Roman"/>
                <w:sz w:val="24"/>
                <w:szCs w:val="24"/>
                <w:lang w:eastAsia="lv-LV"/>
              </w:rPr>
              <w:t xml:space="preserve"> </w:t>
            </w:r>
            <w:r w:rsidRPr="00B50A1F">
              <w:rPr>
                <w:rFonts w:ascii="Times New Roman" w:hAnsi="Times New Roman"/>
                <w:sz w:val="24"/>
                <w:szCs w:val="24"/>
                <w:lang w:eastAsia="lv-LV"/>
              </w:rPr>
              <w:t>978</w:t>
            </w:r>
          </w:p>
        </w:tc>
        <w:tc>
          <w:tcPr>
            <w:tcW w:w="1417" w:type="dxa"/>
          </w:tcPr>
          <w:p w14:paraId="2AA220F2" w14:textId="16F00DF6" w:rsidR="00334364" w:rsidRPr="005E37B5" w:rsidRDefault="00567B73" w:rsidP="00334364">
            <w:pPr>
              <w:pStyle w:val="NoSpacing"/>
              <w:jc w:val="right"/>
              <w:rPr>
                <w:rFonts w:ascii="Times New Roman" w:hAnsi="Times New Roman"/>
                <w:sz w:val="24"/>
                <w:szCs w:val="24"/>
                <w:lang w:eastAsia="lv-LV"/>
              </w:rPr>
            </w:pPr>
            <w:r>
              <w:rPr>
                <w:rFonts w:ascii="Times New Roman" w:hAnsi="Times New Roman"/>
                <w:b/>
                <w:sz w:val="24"/>
                <w:szCs w:val="24"/>
              </w:rPr>
              <w:t>5</w:t>
            </w:r>
            <w:r w:rsidR="00334364" w:rsidRPr="005E37B5">
              <w:rPr>
                <w:rFonts w:ascii="Times New Roman" w:hAnsi="Times New Roman"/>
                <w:b/>
                <w:sz w:val="24"/>
                <w:szCs w:val="24"/>
              </w:rPr>
              <w:t>0 000 000</w:t>
            </w:r>
          </w:p>
        </w:tc>
        <w:tc>
          <w:tcPr>
            <w:tcW w:w="851" w:type="dxa"/>
          </w:tcPr>
          <w:p w14:paraId="28D6A541" w14:textId="77777777" w:rsidR="00334364" w:rsidRPr="005E37B5" w:rsidRDefault="00334364" w:rsidP="00334364">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D8E7113"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94C429"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2364611"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72AC6AE"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5DAFDD09" w14:textId="77777777" w:rsidTr="00B14E12">
        <w:trPr>
          <w:gridAfter w:val="1"/>
          <w:wAfter w:w="8" w:type="dxa"/>
          <w:jc w:val="center"/>
        </w:trPr>
        <w:tc>
          <w:tcPr>
            <w:tcW w:w="1413" w:type="dxa"/>
          </w:tcPr>
          <w:p w14:paraId="3B02577A" w14:textId="0B04F514" w:rsidR="00E16501" w:rsidRPr="00962079" w:rsidRDefault="00E16501" w:rsidP="00E8717E">
            <w:pPr>
              <w:pStyle w:val="NoSpacing"/>
              <w:rPr>
                <w:rFonts w:ascii="Times New Roman" w:hAnsi="Times New Roman"/>
                <w:i/>
                <w:lang w:eastAsia="lv-LV"/>
              </w:rPr>
            </w:pPr>
            <w:r w:rsidRPr="00962079">
              <w:rPr>
                <w:rFonts w:ascii="Times New Roman" w:hAnsi="Times New Roman"/>
                <w:i/>
              </w:rPr>
              <w:t xml:space="preserve">budžeta resora “74. Gadskārtējā valsts budžeta izpildes procesā pārdalāmais finansējums” </w:t>
            </w:r>
            <w:r w:rsidR="00E8717E">
              <w:rPr>
                <w:rFonts w:ascii="Times New Roman" w:hAnsi="Times New Roman"/>
                <w:i/>
              </w:rPr>
              <w:t>02</w:t>
            </w:r>
            <w:r w:rsidRPr="00962079">
              <w:rPr>
                <w:rFonts w:ascii="Times New Roman" w:hAnsi="Times New Roman"/>
                <w:i/>
              </w:rPr>
              <w:t>.00.00 programma</w:t>
            </w:r>
          </w:p>
        </w:tc>
        <w:tc>
          <w:tcPr>
            <w:tcW w:w="1701" w:type="dxa"/>
          </w:tcPr>
          <w:p w14:paraId="63E2BB95" w14:textId="1A7EB1F7" w:rsidR="00E16501" w:rsidRPr="00944529" w:rsidRDefault="00944529" w:rsidP="00962079">
            <w:pPr>
              <w:pStyle w:val="NoSpacing"/>
              <w:ind w:left="-253"/>
              <w:jc w:val="right"/>
              <w:rPr>
                <w:rFonts w:ascii="Times New Roman" w:hAnsi="Times New Roman"/>
                <w:i/>
                <w:sz w:val="24"/>
                <w:szCs w:val="24"/>
                <w:lang w:eastAsia="lv-LV"/>
              </w:rPr>
            </w:pPr>
            <w:r w:rsidRPr="00944529">
              <w:rPr>
                <w:rFonts w:ascii="Times New Roman" w:hAnsi="Times New Roman"/>
                <w:i/>
                <w:sz w:val="24"/>
                <w:szCs w:val="24"/>
              </w:rPr>
              <w:t>23 479 067</w:t>
            </w:r>
          </w:p>
        </w:tc>
        <w:tc>
          <w:tcPr>
            <w:tcW w:w="1417" w:type="dxa"/>
          </w:tcPr>
          <w:p w14:paraId="0C434249" w14:textId="3CBEFBD4" w:rsidR="00E16501" w:rsidRPr="005E37B5" w:rsidRDefault="00567B73" w:rsidP="00DE1003">
            <w:pPr>
              <w:pStyle w:val="NoSpacing"/>
              <w:jc w:val="right"/>
              <w:rPr>
                <w:rFonts w:ascii="Times New Roman" w:hAnsi="Times New Roman"/>
                <w:b/>
                <w:i/>
                <w:sz w:val="24"/>
                <w:szCs w:val="24"/>
              </w:rPr>
            </w:pPr>
            <w:r>
              <w:rPr>
                <w:rFonts w:ascii="Times New Roman" w:hAnsi="Times New Roman"/>
                <w:b/>
                <w:i/>
                <w:sz w:val="24"/>
                <w:szCs w:val="24"/>
              </w:rPr>
              <w:t>5</w:t>
            </w:r>
            <w:r w:rsidR="00EA6C2F" w:rsidRPr="005E37B5">
              <w:rPr>
                <w:rFonts w:ascii="Times New Roman" w:hAnsi="Times New Roman"/>
                <w:b/>
                <w:i/>
                <w:sz w:val="24"/>
                <w:szCs w:val="24"/>
              </w:rPr>
              <w:t>0</w:t>
            </w:r>
            <w:r w:rsidR="00F14F02" w:rsidRPr="005E37B5">
              <w:rPr>
                <w:rFonts w:ascii="Times New Roman" w:hAnsi="Times New Roman"/>
                <w:b/>
                <w:i/>
                <w:sz w:val="24"/>
                <w:szCs w:val="24"/>
              </w:rPr>
              <w:t> </w:t>
            </w:r>
            <w:r w:rsidR="000B283D" w:rsidRPr="005E37B5">
              <w:rPr>
                <w:rFonts w:ascii="Times New Roman" w:hAnsi="Times New Roman"/>
                <w:b/>
                <w:i/>
                <w:sz w:val="24"/>
                <w:szCs w:val="24"/>
              </w:rPr>
              <w:t>0</w:t>
            </w:r>
            <w:r w:rsidR="00F14F02" w:rsidRPr="005E37B5">
              <w:rPr>
                <w:rFonts w:ascii="Times New Roman" w:hAnsi="Times New Roman"/>
                <w:b/>
                <w:i/>
                <w:sz w:val="24"/>
                <w:szCs w:val="24"/>
              </w:rPr>
              <w:t>00 000</w:t>
            </w:r>
          </w:p>
        </w:tc>
        <w:tc>
          <w:tcPr>
            <w:tcW w:w="851" w:type="dxa"/>
          </w:tcPr>
          <w:p w14:paraId="0B52A75D" w14:textId="77777777" w:rsidR="00E16501" w:rsidRPr="005E37B5" w:rsidRDefault="00E16501" w:rsidP="000044FA">
            <w:pPr>
              <w:pStyle w:val="NoSpacing"/>
              <w:jc w:val="right"/>
              <w:rPr>
                <w:rFonts w:ascii="Times New Roman" w:hAnsi="Times New Roman"/>
                <w:sz w:val="24"/>
                <w:szCs w:val="24"/>
                <w:lang w:eastAsia="lv-LV"/>
              </w:rPr>
            </w:pPr>
          </w:p>
        </w:tc>
        <w:tc>
          <w:tcPr>
            <w:tcW w:w="1134" w:type="dxa"/>
          </w:tcPr>
          <w:p w14:paraId="7CEB6124" w14:textId="77777777" w:rsidR="00E16501" w:rsidRPr="007D3E6E" w:rsidRDefault="00E16501" w:rsidP="000044FA">
            <w:pPr>
              <w:pStyle w:val="NoSpacing"/>
              <w:jc w:val="right"/>
              <w:rPr>
                <w:rFonts w:ascii="Times New Roman" w:hAnsi="Times New Roman"/>
                <w:sz w:val="24"/>
                <w:szCs w:val="24"/>
                <w:lang w:eastAsia="lv-LV"/>
              </w:rPr>
            </w:pPr>
          </w:p>
        </w:tc>
        <w:tc>
          <w:tcPr>
            <w:tcW w:w="850" w:type="dxa"/>
          </w:tcPr>
          <w:p w14:paraId="6CFA916B" w14:textId="77777777" w:rsidR="00E16501" w:rsidRPr="007D3E6E" w:rsidRDefault="00E16501" w:rsidP="000044FA">
            <w:pPr>
              <w:pStyle w:val="NoSpacing"/>
              <w:jc w:val="right"/>
              <w:rPr>
                <w:rFonts w:ascii="Times New Roman" w:hAnsi="Times New Roman"/>
                <w:sz w:val="24"/>
                <w:szCs w:val="24"/>
                <w:lang w:eastAsia="lv-LV"/>
              </w:rPr>
            </w:pPr>
          </w:p>
        </w:tc>
        <w:tc>
          <w:tcPr>
            <w:tcW w:w="993" w:type="dxa"/>
          </w:tcPr>
          <w:p w14:paraId="63A9B313" w14:textId="77777777" w:rsidR="00E16501" w:rsidRPr="007D3E6E" w:rsidRDefault="00E16501" w:rsidP="000044FA">
            <w:pPr>
              <w:pStyle w:val="NoSpacing"/>
              <w:jc w:val="right"/>
              <w:rPr>
                <w:rFonts w:ascii="Times New Roman" w:hAnsi="Times New Roman"/>
                <w:sz w:val="24"/>
                <w:szCs w:val="24"/>
                <w:lang w:eastAsia="lv-LV"/>
              </w:rPr>
            </w:pPr>
          </w:p>
        </w:tc>
        <w:tc>
          <w:tcPr>
            <w:tcW w:w="1134" w:type="dxa"/>
          </w:tcPr>
          <w:p w14:paraId="0047CDD4" w14:textId="77777777" w:rsidR="00E16501" w:rsidRPr="007D3E6E" w:rsidRDefault="00E16501" w:rsidP="000044FA">
            <w:pPr>
              <w:pStyle w:val="NoSpacing"/>
              <w:jc w:val="right"/>
              <w:rPr>
                <w:rFonts w:ascii="Times New Roman" w:hAnsi="Times New Roman"/>
                <w:sz w:val="24"/>
                <w:szCs w:val="24"/>
                <w:lang w:eastAsia="lv-LV"/>
              </w:rPr>
            </w:pPr>
          </w:p>
        </w:tc>
      </w:tr>
      <w:tr w:rsidR="00064F32" w:rsidRPr="007D3E6E" w14:paraId="7FB0B2A6" w14:textId="77777777" w:rsidTr="00B14E12">
        <w:trPr>
          <w:gridAfter w:val="1"/>
          <w:wAfter w:w="8" w:type="dxa"/>
          <w:jc w:val="center"/>
        </w:trPr>
        <w:tc>
          <w:tcPr>
            <w:tcW w:w="1413" w:type="dxa"/>
          </w:tcPr>
          <w:p w14:paraId="3EBF83C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2.2. valsts speciālais budžets</w:t>
            </w:r>
          </w:p>
        </w:tc>
        <w:tc>
          <w:tcPr>
            <w:tcW w:w="1701" w:type="dxa"/>
          </w:tcPr>
          <w:p w14:paraId="542E510A" w14:textId="42FEC4BB" w:rsidR="00064F32" w:rsidRPr="007D3E6E" w:rsidRDefault="001779C5" w:rsidP="00372421">
            <w:pPr>
              <w:pStyle w:val="NoSpacing"/>
              <w:ind w:left="-253"/>
              <w:jc w:val="right"/>
              <w:rPr>
                <w:rFonts w:ascii="Times New Roman" w:hAnsi="Times New Roman"/>
                <w:sz w:val="24"/>
                <w:szCs w:val="24"/>
                <w:lang w:eastAsia="lv-LV"/>
              </w:rPr>
            </w:pPr>
            <w:r w:rsidRPr="00EF1444">
              <w:rPr>
                <w:rFonts w:ascii="Times New Roman" w:hAnsi="Times New Roman"/>
                <w:sz w:val="24"/>
                <w:szCs w:val="24"/>
                <w:lang w:eastAsia="lv-LV"/>
              </w:rPr>
              <w:t>2</w:t>
            </w:r>
            <w:r>
              <w:rPr>
                <w:rFonts w:ascii="Times New Roman" w:hAnsi="Times New Roman"/>
                <w:sz w:val="24"/>
                <w:szCs w:val="24"/>
                <w:lang w:eastAsia="lv-LV"/>
              </w:rPr>
              <w:t xml:space="preserve"> </w:t>
            </w:r>
            <w:r w:rsidRPr="00EF1444">
              <w:rPr>
                <w:rFonts w:ascii="Times New Roman" w:hAnsi="Times New Roman"/>
                <w:sz w:val="24"/>
                <w:szCs w:val="24"/>
                <w:lang w:eastAsia="lv-LV"/>
              </w:rPr>
              <w:t>976</w:t>
            </w:r>
            <w:r>
              <w:rPr>
                <w:rFonts w:ascii="Times New Roman" w:hAnsi="Times New Roman"/>
                <w:sz w:val="24"/>
                <w:szCs w:val="24"/>
                <w:lang w:eastAsia="lv-LV"/>
              </w:rPr>
              <w:t xml:space="preserve"> </w:t>
            </w:r>
            <w:r w:rsidRPr="00EF1444">
              <w:rPr>
                <w:rFonts w:ascii="Times New Roman" w:hAnsi="Times New Roman"/>
                <w:sz w:val="24"/>
                <w:szCs w:val="24"/>
                <w:lang w:eastAsia="lv-LV"/>
              </w:rPr>
              <w:t>975</w:t>
            </w:r>
            <w:r>
              <w:rPr>
                <w:rFonts w:ascii="Times New Roman" w:hAnsi="Times New Roman"/>
                <w:sz w:val="24"/>
                <w:szCs w:val="24"/>
                <w:lang w:eastAsia="lv-LV"/>
              </w:rPr>
              <w:t xml:space="preserve"> </w:t>
            </w:r>
            <w:r w:rsidRPr="00EF1444">
              <w:rPr>
                <w:rFonts w:ascii="Times New Roman" w:hAnsi="Times New Roman"/>
                <w:sz w:val="24"/>
                <w:szCs w:val="24"/>
                <w:lang w:eastAsia="lv-LV"/>
              </w:rPr>
              <w:t>860</w:t>
            </w:r>
          </w:p>
        </w:tc>
        <w:tc>
          <w:tcPr>
            <w:tcW w:w="1417" w:type="dxa"/>
          </w:tcPr>
          <w:p w14:paraId="0FE7C2E1"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492BE7D6"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3469DC2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5C2E9A3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DFA4C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8C103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72F9969" w14:textId="77777777" w:rsidTr="00B14E12">
        <w:trPr>
          <w:gridAfter w:val="1"/>
          <w:wAfter w:w="8" w:type="dxa"/>
          <w:jc w:val="center"/>
        </w:trPr>
        <w:tc>
          <w:tcPr>
            <w:tcW w:w="1413" w:type="dxa"/>
          </w:tcPr>
          <w:p w14:paraId="38C27707"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2.3. pašvaldību budžets</w:t>
            </w:r>
          </w:p>
        </w:tc>
        <w:tc>
          <w:tcPr>
            <w:tcW w:w="1701" w:type="dxa"/>
          </w:tcPr>
          <w:p w14:paraId="175D1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68529B3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441A7550"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613451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4E8B0C"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C3949B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CCCC85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73CD7EDA" w14:textId="77777777" w:rsidTr="00B14E12">
        <w:trPr>
          <w:gridAfter w:val="1"/>
          <w:wAfter w:w="8" w:type="dxa"/>
          <w:jc w:val="center"/>
        </w:trPr>
        <w:tc>
          <w:tcPr>
            <w:tcW w:w="1413" w:type="dxa"/>
          </w:tcPr>
          <w:p w14:paraId="381D3420" w14:textId="77777777" w:rsidR="001779C5" w:rsidRPr="00962079" w:rsidRDefault="001779C5" w:rsidP="001779C5">
            <w:pPr>
              <w:pStyle w:val="NoSpacing"/>
              <w:rPr>
                <w:rFonts w:ascii="Times New Roman" w:hAnsi="Times New Roman"/>
                <w:lang w:eastAsia="lv-LV"/>
              </w:rPr>
            </w:pPr>
            <w:r w:rsidRPr="00962079">
              <w:rPr>
                <w:rFonts w:ascii="Times New Roman" w:hAnsi="Times New Roman"/>
                <w:lang w:eastAsia="lv-LV"/>
              </w:rPr>
              <w:lastRenderedPageBreak/>
              <w:t>3. Finansiālā ietekme</w:t>
            </w:r>
          </w:p>
        </w:tc>
        <w:tc>
          <w:tcPr>
            <w:tcW w:w="1701" w:type="dxa"/>
          </w:tcPr>
          <w:p w14:paraId="53658771" w14:textId="6987AB3E" w:rsidR="001779C5" w:rsidRPr="007D3E6E" w:rsidRDefault="001779C5" w:rsidP="001779C5">
            <w:pPr>
              <w:pStyle w:val="NoSpacing"/>
              <w:jc w:val="right"/>
              <w:rPr>
                <w:rFonts w:ascii="Times New Roman" w:hAnsi="Times New Roman"/>
                <w:sz w:val="24"/>
                <w:szCs w:val="24"/>
                <w:lang w:eastAsia="lv-LV"/>
              </w:rPr>
            </w:pPr>
            <w:r w:rsidRPr="00B50A1F">
              <w:rPr>
                <w:rFonts w:ascii="Times New Roman" w:hAnsi="Times New Roman"/>
                <w:sz w:val="24"/>
                <w:szCs w:val="24"/>
                <w:lang w:eastAsia="lv-LV"/>
              </w:rPr>
              <w:t>-107</w:t>
            </w:r>
            <w:r>
              <w:rPr>
                <w:rFonts w:ascii="Times New Roman" w:hAnsi="Times New Roman"/>
                <w:sz w:val="24"/>
                <w:szCs w:val="24"/>
                <w:lang w:eastAsia="lv-LV"/>
              </w:rPr>
              <w:t xml:space="preserve"> </w:t>
            </w:r>
            <w:r w:rsidRPr="00B50A1F">
              <w:rPr>
                <w:rFonts w:ascii="Times New Roman" w:hAnsi="Times New Roman"/>
                <w:sz w:val="24"/>
                <w:szCs w:val="24"/>
                <w:lang w:eastAsia="lv-LV"/>
              </w:rPr>
              <w:t>507</w:t>
            </w:r>
            <w:r>
              <w:rPr>
                <w:rFonts w:ascii="Times New Roman" w:hAnsi="Times New Roman"/>
                <w:sz w:val="24"/>
                <w:szCs w:val="24"/>
                <w:lang w:eastAsia="lv-LV"/>
              </w:rPr>
              <w:t xml:space="preserve"> </w:t>
            </w:r>
            <w:r w:rsidRPr="00B50A1F">
              <w:rPr>
                <w:rFonts w:ascii="Times New Roman" w:hAnsi="Times New Roman"/>
                <w:sz w:val="24"/>
                <w:szCs w:val="24"/>
                <w:lang w:eastAsia="lv-LV"/>
              </w:rPr>
              <w:t>639</w:t>
            </w:r>
          </w:p>
        </w:tc>
        <w:tc>
          <w:tcPr>
            <w:tcW w:w="1417" w:type="dxa"/>
          </w:tcPr>
          <w:p w14:paraId="7909CF64" w14:textId="72FF7564" w:rsidR="001779C5" w:rsidRPr="005E37B5" w:rsidRDefault="001779C5" w:rsidP="00567B73">
            <w:pPr>
              <w:ind w:left="-112"/>
              <w:jc w:val="right"/>
            </w:pPr>
            <w:r w:rsidRPr="005E37B5">
              <w:rPr>
                <w:b/>
              </w:rPr>
              <w:t>-</w:t>
            </w:r>
            <w:r w:rsidR="00567B73">
              <w:rPr>
                <w:b/>
              </w:rPr>
              <w:t>5</w:t>
            </w:r>
            <w:r w:rsidRPr="005E37B5">
              <w:rPr>
                <w:b/>
              </w:rPr>
              <w:t>0 000 000</w:t>
            </w:r>
          </w:p>
        </w:tc>
        <w:tc>
          <w:tcPr>
            <w:tcW w:w="851" w:type="dxa"/>
          </w:tcPr>
          <w:p w14:paraId="08662B43" w14:textId="77777777" w:rsidR="001779C5" w:rsidRPr="005E37B5" w:rsidRDefault="001779C5" w:rsidP="001779C5">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52966D99"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FF772A0"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F5617C"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AA9812E"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3363C3F7" w14:textId="77777777" w:rsidTr="00B14E12">
        <w:trPr>
          <w:gridAfter w:val="1"/>
          <w:wAfter w:w="8" w:type="dxa"/>
          <w:jc w:val="center"/>
        </w:trPr>
        <w:tc>
          <w:tcPr>
            <w:tcW w:w="1413" w:type="dxa"/>
          </w:tcPr>
          <w:p w14:paraId="2D886A6E" w14:textId="77777777" w:rsidR="001779C5" w:rsidRPr="00962079" w:rsidRDefault="001779C5" w:rsidP="001779C5">
            <w:pPr>
              <w:pStyle w:val="NoSpacing"/>
              <w:rPr>
                <w:rFonts w:ascii="Times New Roman" w:hAnsi="Times New Roman"/>
                <w:sz w:val="21"/>
                <w:szCs w:val="21"/>
                <w:lang w:eastAsia="lv-LV"/>
              </w:rPr>
            </w:pPr>
            <w:r w:rsidRPr="00962079">
              <w:rPr>
                <w:rFonts w:ascii="Times New Roman" w:hAnsi="Times New Roman"/>
                <w:sz w:val="21"/>
                <w:szCs w:val="21"/>
                <w:lang w:eastAsia="lv-LV"/>
              </w:rPr>
              <w:t>3.1. valsts pamatbudžets</w:t>
            </w:r>
          </w:p>
        </w:tc>
        <w:tc>
          <w:tcPr>
            <w:tcW w:w="1701" w:type="dxa"/>
          </w:tcPr>
          <w:p w14:paraId="6567D3E7" w14:textId="5B3E3386" w:rsidR="001779C5" w:rsidRPr="007D3E6E" w:rsidRDefault="001779C5" w:rsidP="001779C5">
            <w:pPr>
              <w:pStyle w:val="NoSpacing"/>
              <w:jc w:val="right"/>
              <w:rPr>
                <w:rFonts w:ascii="Times New Roman" w:hAnsi="Times New Roman"/>
                <w:sz w:val="24"/>
                <w:szCs w:val="24"/>
                <w:lang w:eastAsia="lv-LV"/>
              </w:rPr>
            </w:pPr>
            <w:r w:rsidRPr="000E4F21">
              <w:rPr>
                <w:rFonts w:ascii="Times New Roman" w:hAnsi="Times New Roman"/>
                <w:sz w:val="24"/>
                <w:szCs w:val="24"/>
                <w:lang w:eastAsia="lv-LV"/>
              </w:rPr>
              <w:t>-341</w:t>
            </w:r>
            <w:r>
              <w:rPr>
                <w:rFonts w:ascii="Times New Roman" w:hAnsi="Times New Roman"/>
                <w:sz w:val="24"/>
                <w:szCs w:val="24"/>
                <w:lang w:eastAsia="lv-LV"/>
              </w:rPr>
              <w:t xml:space="preserve"> </w:t>
            </w:r>
            <w:r w:rsidRPr="000E4F21">
              <w:rPr>
                <w:rFonts w:ascii="Times New Roman" w:hAnsi="Times New Roman"/>
                <w:sz w:val="24"/>
                <w:szCs w:val="24"/>
                <w:lang w:eastAsia="lv-LV"/>
              </w:rPr>
              <w:t>991</w:t>
            </w:r>
            <w:r>
              <w:rPr>
                <w:rFonts w:ascii="Times New Roman" w:hAnsi="Times New Roman"/>
                <w:sz w:val="24"/>
                <w:szCs w:val="24"/>
                <w:lang w:eastAsia="lv-LV"/>
              </w:rPr>
              <w:t xml:space="preserve"> </w:t>
            </w:r>
            <w:r w:rsidRPr="000E4F21">
              <w:rPr>
                <w:rFonts w:ascii="Times New Roman" w:hAnsi="Times New Roman"/>
                <w:sz w:val="24"/>
                <w:szCs w:val="24"/>
                <w:lang w:eastAsia="lv-LV"/>
              </w:rPr>
              <w:t>779</w:t>
            </w:r>
          </w:p>
        </w:tc>
        <w:tc>
          <w:tcPr>
            <w:tcW w:w="1417" w:type="dxa"/>
          </w:tcPr>
          <w:p w14:paraId="5B392BDE" w14:textId="006B6835" w:rsidR="001779C5" w:rsidRPr="005E37B5" w:rsidRDefault="001779C5" w:rsidP="00567B73">
            <w:pPr>
              <w:ind w:left="-112"/>
              <w:jc w:val="right"/>
            </w:pPr>
            <w:r w:rsidRPr="005E37B5">
              <w:rPr>
                <w:b/>
              </w:rPr>
              <w:t>-</w:t>
            </w:r>
            <w:r w:rsidR="00567B73">
              <w:rPr>
                <w:b/>
              </w:rPr>
              <w:t>5</w:t>
            </w:r>
            <w:r w:rsidRPr="005E37B5">
              <w:rPr>
                <w:b/>
              </w:rPr>
              <w:t>0 000 000</w:t>
            </w:r>
          </w:p>
        </w:tc>
        <w:tc>
          <w:tcPr>
            <w:tcW w:w="851" w:type="dxa"/>
          </w:tcPr>
          <w:p w14:paraId="3B54D384" w14:textId="77777777" w:rsidR="001779C5" w:rsidRPr="005E37B5" w:rsidRDefault="001779C5" w:rsidP="001779C5">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043500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716338D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689B2A9"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B97A361"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08C899AA" w14:textId="77777777" w:rsidTr="00B14E12">
        <w:trPr>
          <w:gridAfter w:val="1"/>
          <w:wAfter w:w="8" w:type="dxa"/>
          <w:jc w:val="center"/>
        </w:trPr>
        <w:tc>
          <w:tcPr>
            <w:tcW w:w="1413" w:type="dxa"/>
          </w:tcPr>
          <w:p w14:paraId="15619ACC" w14:textId="77777777" w:rsidR="001779C5" w:rsidRPr="00962079" w:rsidRDefault="001779C5" w:rsidP="001779C5">
            <w:pPr>
              <w:pStyle w:val="NoSpacing"/>
              <w:rPr>
                <w:rFonts w:ascii="Times New Roman" w:hAnsi="Times New Roman"/>
                <w:lang w:eastAsia="lv-LV"/>
              </w:rPr>
            </w:pPr>
            <w:r w:rsidRPr="00962079">
              <w:rPr>
                <w:rFonts w:ascii="Times New Roman" w:hAnsi="Times New Roman"/>
                <w:lang w:eastAsia="lv-LV"/>
              </w:rPr>
              <w:t>3.2. speciālais budžets</w:t>
            </w:r>
          </w:p>
        </w:tc>
        <w:tc>
          <w:tcPr>
            <w:tcW w:w="1701" w:type="dxa"/>
          </w:tcPr>
          <w:p w14:paraId="5C7C4333" w14:textId="7A1E307D" w:rsidR="001779C5" w:rsidRPr="007D3E6E" w:rsidRDefault="001779C5" w:rsidP="001779C5">
            <w:pPr>
              <w:pStyle w:val="NoSpacing"/>
              <w:jc w:val="right"/>
              <w:rPr>
                <w:rFonts w:ascii="Times New Roman" w:hAnsi="Times New Roman"/>
                <w:sz w:val="24"/>
                <w:szCs w:val="24"/>
                <w:lang w:eastAsia="lv-LV"/>
              </w:rPr>
            </w:pPr>
            <w:r w:rsidRPr="00EF1444">
              <w:rPr>
                <w:rFonts w:ascii="Times New Roman" w:hAnsi="Times New Roman"/>
                <w:sz w:val="24"/>
                <w:szCs w:val="24"/>
                <w:lang w:eastAsia="lv-LV"/>
              </w:rPr>
              <w:t>234</w:t>
            </w:r>
            <w:r>
              <w:rPr>
                <w:rFonts w:ascii="Times New Roman" w:hAnsi="Times New Roman"/>
                <w:sz w:val="24"/>
                <w:szCs w:val="24"/>
                <w:lang w:eastAsia="lv-LV"/>
              </w:rPr>
              <w:t xml:space="preserve"> </w:t>
            </w:r>
            <w:r w:rsidRPr="00EF1444">
              <w:rPr>
                <w:rFonts w:ascii="Times New Roman" w:hAnsi="Times New Roman"/>
                <w:sz w:val="24"/>
                <w:szCs w:val="24"/>
                <w:lang w:eastAsia="lv-LV"/>
              </w:rPr>
              <w:t>484</w:t>
            </w:r>
            <w:r>
              <w:rPr>
                <w:rFonts w:ascii="Times New Roman" w:hAnsi="Times New Roman"/>
                <w:sz w:val="24"/>
                <w:szCs w:val="24"/>
                <w:lang w:eastAsia="lv-LV"/>
              </w:rPr>
              <w:t xml:space="preserve"> </w:t>
            </w:r>
            <w:r w:rsidRPr="00EF1444">
              <w:rPr>
                <w:rFonts w:ascii="Times New Roman" w:hAnsi="Times New Roman"/>
                <w:sz w:val="24"/>
                <w:szCs w:val="24"/>
                <w:lang w:eastAsia="lv-LV"/>
              </w:rPr>
              <w:t>140</w:t>
            </w:r>
          </w:p>
        </w:tc>
        <w:tc>
          <w:tcPr>
            <w:tcW w:w="1417" w:type="dxa"/>
          </w:tcPr>
          <w:p w14:paraId="262AD31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53F20CB3"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7DE10F6"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D3D705A"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690C155E"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F9CADEA"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AABF1C2" w14:textId="77777777" w:rsidTr="00B14E12">
        <w:trPr>
          <w:gridAfter w:val="1"/>
          <w:wAfter w:w="8" w:type="dxa"/>
          <w:jc w:val="center"/>
        </w:trPr>
        <w:tc>
          <w:tcPr>
            <w:tcW w:w="1413" w:type="dxa"/>
          </w:tcPr>
          <w:p w14:paraId="12BBD65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3.3. pašvaldību budžets</w:t>
            </w:r>
          </w:p>
        </w:tc>
        <w:tc>
          <w:tcPr>
            <w:tcW w:w="1701" w:type="dxa"/>
          </w:tcPr>
          <w:p w14:paraId="4B19A6C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322134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3EEEDD1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A57C9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A8E17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0DEE9A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2B6677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25FC07B2" w14:textId="77777777" w:rsidTr="00B14E12">
        <w:trPr>
          <w:gridAfter w:val="1"/>
          <w:wAfter w:w="8" w:type="dxa"/>
          <w:jc w:val="center"/>
        </w:trPr>
        <w:tc>
          <w:tcPr>
            <w:tcW w:w="1413" w:type="dxa"/>
          </w:tcPr>
          <w:p w14:paraId="41667BC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4. Finanšu līdzekļi papildu izdevumu finansēšanai (kompensējošu izdevumu samazinājumu norāda ar "+" zīmi)</w:t>
            </w:r>
          </w:p>
        </w:tc>
        <w:tc>
          <w:tcPr>
            <w:tcW w:w="1701" w:type="dxa"/>
          </w:tcPr>
          <w:p w14:paraId="13A7C5D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7" w:type="dxa"/>
          </w:tcPr>
          <w:p w14:paraId="265D40DE" w14:textId="77777777" w:rsidR="00064F32" w:rsidRPr="007D3E6E" w:rsidRDefault="00E16501"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tcPr>
          <w:p w14:paraId="628E38D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528B40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58E60E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228764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54D6A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9558BB9" w14:textId="77777777" w:rsidTr="00B14E12">
        <w:trPr>
          <w:gridAfter w:val="1"/>
          <w:wAfter w:w="8" w:type="dxa"/>
          <w:jc w:val="center"/>
        </w:trPr>
        <w:tc>
          <w:tcPr>
            <w:tcW w:w="1413" w:type="dxa"/>
          </w:tcPr>
          <w:p w14:paraId="50C004E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 Precizēta finansiālā ietekme</w:t>
            </w:r>
          </w:p>
        </w:tc>
        <w:tc>
          <w:tcPr>
            <w:tcW w:w="1701" w:type="dxa"/>
            <w:vMerge w:val="restart"/>
          </w:tcPr>
          <w:p w14:paraId="7189694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7" w:type="dxa"/>
          </w:tcPr>
          <w:p w14:paraId="3F980A8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vMerge w:val="restart"/>
          </w:tcPr>
          <w:p w14:paraId="46D8B92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34309E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val="restart"/>
          </w:tcPr>
          <w:p w14:paraId="3DDF670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E80C41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EFDF4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5B33339" w14:textId="77777777" w:rsidTr="00B14E12">
        <w:trPr>
          <w:gridAfter w:val="1"/>
          <w:wAfter w:w="8" w:type="dxa"/>
          <w:jc w:val="center"/>
        </w:trPr>
        <w:tc>
          <w:tcPr>
            <w:tcW w:w="1413" w:type="dxa"/>
          </w:tcPr>
          <w:p w14:paraId="71DE0575" w14:textId="77777777" w:rsidR="00064F32" w:rsidRPr="00962079" w:rsidRDefault="00064F32" w:rsidP="000044FA">
            <w:pPr>
              <w:pStyle w:val="NoSpacing"/>
              <w:rPr>
                <w:rFonts w:ascii="Times New Roman" w:hAnsi="Times New Roman"/>
                <w:sz w:val="20"/>
                <w:szCs w:val="20"/>
                <w:lang w:eastAsia="lv-LV"/>
              </w:rPr>
            </w:pPr>
            <w:r w:rsidRPr="00962079">
              <w:rPr>
                <w:rFonts w:ascii="Times New Roman" w:hAnsi="Times New Roman"/>
                <w:sz w:val="20"/>
                <w:szCs w:val="20"/>
                <w:lang w:eastAsia="lv-LV"/>
              </w:rPr>
              <w:t>5.1. valsts pamatbudžets</w:t>
            </w:r>
          </w:p>
        </w:tc>
        <w:tc>
          <w:tcPr>
            <w:tcW w:w="1701" w:type="dxa"/>
            <w:vMerge/>
          </w:tcPr>
          <w:p w14:paraId="6D843DC1"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054216D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vMerge/>
          </w:tcPr>
          <w:p w14:paraId="53721396"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A663C2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1F1E9C21"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7458706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FDD3E7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75A000B9" w14:textId="77777777" w:rsidTr="00B14E12">
        <w:trPr>
          <w:gridAfter w:val="1"/>
          <w:wAfter w:w="8" w:type="dxa"/>
          <w:jc w:val="center"/>
        </w:trPr>
        <w:tc>
          <w:tcPr>
            <w:tcW w:w="1413" w:type="dxa"/>
          </w:tcPr>
          <w:p w14:paraId="26C10E9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5.2. speciālais budžets</w:t>
            </w:r>
          </w:p>
        </w:tc>
        <w:tc>
          <w:tcPr>
            <w:tcW w:w="1701" w:type="dxa"/>
            <w:vMerge/>
          </w:tcPr>
          <w:p w14:paraId="575A6F01"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43616EA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vMerge/>
          </w:tcPr>
          <w:p w14:paraId="0BDDD43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823A8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6B0B25D3"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25B7113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1BD3F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B097274" w14:textId="77777777" w:rsidTr="00B14E12">
        <w:trPr>
          <w:gridAfter w:val="1"/>
          <w:wAfter w:w="8" w:type="dxa"/>
          <w:jc w:val="center"/>
        </w:trPr>
        <w:tc>
          <w:tcPr>
            <w:tcW w:w="1413" w:type="dxa"/>
          </w:tcPr>
          <w:p w14:paraId="1648B06C"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5.3. pašvaldību budžets</w:t>
            </w:r>
          </w:p>
        </w:tc>
        <w:tc>
          <w:tcPr>
            <w:tcW w:w="1701" w:type="dxa"/>
            <w:vMerge/>
          </w:tcPr>
          <w:p w14:paraId="7DA4D268"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3728E24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vMerge/>
          </w:tcPr>
          <w:p w14:paraId="367EB45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35DA081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08750598"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0C64444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D9C2A2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422AFA" w14:paraId="2F5C9D08" w14:textId="77777777" w:rsidTr="00B14E12">
        <w:trPr>
          <w:jc w:val="center"/>
        </w:trPr>
        <w:tc>
          <w:tcPr>
            <w:tcW w:w="1413" w:type="dxa"/>
          </w:tcPr>
          <w:p w14:paraId="6478C227"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5E11BDF8" w14:textId="77777777" w:rsidR="00B87172" w:rsidRDefault="0064210E" w:rsidP="007D7AC1">
            <w:pPr>
              <w:spacing w:before="120" w:after="120"/>
              <w:jc w:val="both"/>
            </w:pPr>
            <w:r>
              <w:t xml:space="preserve">2020.gadam finansējums </w:t>
            </w:r>
            <w:r w:rsidRPr="00567B73">
              <w:rPr>
                <w:bCs/>
              </w:rPr>
              <w:t xml:space="preserve">budžeta resora “74. Gadskārtējā valsts budžeta izpildes procesā pārdalāmais finansējums” </w:t>
            </w:r>
            <w:r w:rsidRPr="00567B73">
              <w:t xml:space="preserve">programmā 02.00.00 “Līdzekļi neparedzētiem gadījumiem” </w:t>
            </w:r>
            <w:r>
              <w:t xml:space="preserve">norādīts atbilstoši likumā “Par valsts budžetu 2020.gadam” apstiprinātajam, tomēr </w:t>
            </w:r>
            <w:r w:rsidRPr="00567B73">
              <w:t xml:space="preserve">kopumā </w:t>
            </w:r>
            <w:r>
              <w:t>ar līdzšinēji veiktajām apropriāciju izmaiņām tā uz šā gada 30.novembri ir</w:t>
            </w:r>
            <w:r w:rsidRPr="00567B73">
              <w:t xml:space="preserve"> sasniegusi </w:t>
            </w:r>
            <w:r w:rsidRPr="007F2D04">
              <w:t xml:space="preserve">643 160 619 </w:t>
            </w:r>
            <w:proofErr w:type="spellStart"/>
            <w:r w:rsidRPr="007F2D04">
              <w:rPr>
                <w:i/>
              </w:rPr>
              <w:t>euro</w:t>
            </w:r>
            <w:proofErr w:type="spellEnd"/>
            <w:r w:rsidRPr="007F2D04">
              <w:t>.</w:t>
            </w:r>
            <w:r>
              <w:t xml:space="preserve"> </w:t>
            </w:r>
          </w:p>
          <w:p w14:paraId="07117E4C" w14:textId="56679025" w:rsidR="007D7AC1" w:rsidRDefault="00AD3761" w:rsidP="007D7AC1">
            <w:pPr>
              <w:spacing w:before="120" w:after="120"/>
              <w:jc w:val="both"/>
              <w:rPr>
                <w:iCs/>
              </w:rPr>
            </w:pPr>
            <w:r w:rsidRPr="005E37B5">
              <w:t xml:space="preserve">Palielinot apropriāciju par </w:t>
            </w:r>
            <w:r w:rsidR="00567B73">
              <w:t>5</w:t>
            </w:r>
            <w:r w:rsidRPr="005E37B5">
              <w:t xml:space="preserve">0,0 milj. </w:t>
            </w:r>
            <w:proofErr w:type="spellStart"/>
            <w:r w:rsidRPr="005E37B5">
              <w:rPr>
                <w:i/>
                <w:iCs/>
              </w:rPr>
              <w:t>euro</w:t>
            </w:r>
            <w:proofErr w:type="spellEnd"/>
            <w:r w:rsidRPr="005E37B5">
              <w:t>,</w:t>
            </w:r>
            <w:r w:rsidR="007D7AC1">
              <w:t xml:space="preserve"> attiecīgi palielināsies </w:t>
            </w:r>
            <w:r w:rsidR="007D7AC1" w:rsidRPr="009D1C04">
              <w:rPr>
                <w:iCs/>
              </w:rPr>
              <w:t>valst</w:t>
            </w:r>
            <w:r w:rsidR="007D7AC1">
              <w:rPr>
                <w:iCs/>
              </w:rPr>
              <w:t>s konsolidētā budžeta finansiālais deficīts</w:t>
            </w:r>
            <w:r w:rsidR="007D7AC1" w:rsidRPr="009D1C04">
              <w:rPr>
                <w:iCs/>
              </w:rPr>
              <w:t>.</w:t>
            </w:r>
          </w:p>
          <w:p w14:paraId="38D71C11" w14:textId="2D66DA16" w:rsidR="007D7AC1" w:rsidRPr="007D3E6E" w:rsidRDefault="007505C3" w:rsidP="00BD30E4">
            <w:pPr>
              <w:spacing w:before="120" w:after="120"/>
              <w:jc w:val="both"/>
              <w:rPr>
                <w:color w:val="FF0000"/>
              </w:rPr>
            </w:pPr>
            <w:r w:rsidRPr="00621FE6">
              <w:t>Latvijai, tāpat kā citām Eiropas Savienības dalībvalstīm tiek atļauts pēc nepieciešamības īstenot budžeta atbalsta pasākumus gan ieņēmumu, gan izdevumu pusē</w:t>
            </w:r>
            <w:r>
              <w:t>, lai ierobežotu Covid-19 negatīvo ietekmi uz valsts ekonomiku. Tas nozīmē, ka valsts budžeta deficīta pieaugs un normālā situācijā tas novestu pie Eiropas Savienības budžeta disciplīnas nosacījumu pārkāpuma. Tomēr šajā situācijā, valstīm tiek ļauts neievērot budžeta disciplīnas nosacījumus, tik tālu cik tas nepieciešams</w:t>
            </w:r>
            <w:r w:rsidRPr="00AA6209">
              <w:t xml:space="preserve">, lai dalībvalstis varētu īstenot pasākumus </w:t>
            </w:r>
            <w:r>
              <w:t xml:space="preserve">Covid-19 </w:t>
            </w:r>
            <w:r w:rsidRPr="00AA6209">
              <w:t>uzliesmojuma ierobežošanai un mazinātu tā negatīvo sociālekonomisko ietekmi.</w:t>
            </w:r>
          </w:p>
        </w:tc>
      </w:tr>
      <w:tr w:rsidR="00422AFA" w14:paraId="032D437D" w14:textId="77777777" w:rsidTr="00B14E12">
        <w:trPr>
          <w:jc w:val="center"/>
        </w:trPr>
        <w:tc>
          <w:tcPr>
            <w:tcW w:w="1413" w:type="dxa"/>
          </w:tcPr>
          <w:p w14:paraId="0F01021E"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6.1. detalizēts ieņēmumu aprēķins</w:t>
            </w:r>
          </w:p>
        </w:tc>
        <w:tc>
          <w:tcPr>
            <w:tcW w:w="8088" w:type="dxa"/>
            <w:gridSpan w:val="8"/>
            <w:vMerge/>
          </w:tcPr>
          <w:p w14:paraId="34BAF3F1" w14:textId="77777777" w:rsidR="00422AFA" w:rsidRPr="004B0522" w:rsidRDefault="00422AFA" w:rsidP="000044FA">
            <w:pPr>
              <w:pStyle w:val="NoSpacing"/>
              <w:jc w:val="right"/>
              <w:rPr>
                <w:rFonts w:ascii="Times New Roman" w:hAnsi="Times New Roman"/>
                <w:sz w:val="20"/>
                <w:szCs w:val="20"/>
                <w:lang w:eastAsia="lv-LV"/>
              </w:rPr>
            </w:pPr>
          </w:p>
        </w:tc>
      </w:tr>
      <w:tr w:rsidR="00422AFA" w14:paraId="3B7EF858" w14:textId="77777777" w:rsidTr="00B14E12">
        <w:trPr>
          <w:jc w:val="center"/>
        </w:trPr>
        <w:tc>
          <w:tcPr>
            <w:tcW w:w="1413" w:type="dxa"/>
          </w:tcPr>
          <w:p w14:paraId="7A82CB34"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6.2. detalizēts izdevumu aprēķins</w:t>
            </w:r>
          </w:p>
        </w:tc>
        <w:tc>
          <w:tcPr>
            <w:tcW w:w="8088" w:type="dxa"/>
            <w:gridSpan w:val="8"/>
            <w:vMerge/>
          </w:tcPr>
          <w:p w14:paraId="06BA7DF6" w14:textId="77777777" w:rsidR="00422AFA" w:rsidRPr="004B0522" w:rsidRDefault="00422AFA" w:rsidP="000044FA">
            <w:pPr>
              <w:pStyle w:val="NoSpacing"/>
              <w:jc w:val="right"/>
              <w:rPr>
                <w:rFonts w:ascii="Times New Roman" w:hAnsi="Times New Roman"/>
                <w:sz w:val="20"/>
                <w:szCs w:val="20"/>
                <w:lang w:eastAsia="lv-LV"/>
              </w:rPr>
            </w:pPr>
          </w:p>
        </w:tc>
      </w:tr>
      <w:tr w:rsidR="001611E9" w14:paraId="7DEA98C3" w14:textId="77777777" w:rsidTr="00B14E12">
        <w:trPr>
          <w:jc w:val="center"/>
        </w:trPr>
        <w:tc>
          <w:tcPr>
            <w:tcW w:w="1413" w:type="dxa"/>
          </w:tcPr>
          <w:p w14:paraId="110A27BB"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7. Amata vietu skaita izmaiņas</w:t>
            </w:r>
          </w:p>
        </w:tc>
        <w:tc>
          <w:tcPr>
            <w:tcW w:w="8088" w:type="dxa"/>
            <w:gridSpan w:val="8"/>
          </w:tcPr>
          <w:p w14:paraId="4DA2E9A7" w14:textId="77777777" w:rsidR="001611E9" w:rsidRPr="004B0522" w:rsidRDefault="00B4749B" w:rsidP="000044FA">
            <w:pPr>
              <w:pStyle w:val="NoSpacing"/>
              <w:rPr>
                <w:rFonts w:ascii="Times New Roman" w:hAnsi="Times New Roman"/>
                <w:sz w:val="24"/>
                <w:szCs w:val="24"/>
                <w:lang w:eastAsia="lv-LV"/>
              </w:rPr>
            </w:pPr>
            <w:r>
              <w:rPr>
                <w:rFonts w:ascii="Times New Roman" w:hAnsi="Times New Roman"/>
                <w:sz w:val="24"/>
                <w:szCs w:val="24"/>
              </w:rPr>
              <w:t>Projekts šo jomu neskar</w:t>
            </w:r>
          </w:p>
        </w:tc>
      </w:tr>
      <w:tr w:rsidR="001611E9" w14:paraId="75D4CB1E" w14:textId="77777777" w:rsidTr="00B14E12">
        <w:trPr>
          <w:jc w:val="center"/>
        </w:trPr>
        <w:tc>
          <w:tcPr>
            <w:tcW w:w="1413" w:type="dxa"/>
          </w:tcPr>
          <w:p w14:paraId="2BF35CAA"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8. Cita informācija</w:t>
            </w:r>
          </w:p>
        </w:tc>
        <w:tc>
          <w:tcPr>
            <w:tcW w:w="8088" w:type="dxa"/>
            <w:gridSpan w:val="8"/>
          </w:tcPr>
          <w:p w14:paraId="3236A7EC" w14:textId="77777777" w:rsidR="001611E9" w:rsidRPr="004B0522" w:rsidRDefault="001611E9" w:rsidP="000044FA">
            <w:pPr>
              <w:jc w:val="both"/>
              <w:rPr>
                <w:bCs/>
                <w:color w:val="000000"/>
              </w:rPr>
            </w:pPr>
            <w:r w:rsidRPr="004B0522">
              <w:rPr>
                <w:bCs/>
                <w:color w:val="000000"/>
              </w:rPr>
              <w:t>Nav</w:t>
            </w:r>
          </w:p>
        </w:tc>
      </w:tr>
    </w:tbl>
    <w:p w14:paraId="7F813B8D" w14:textId="77777777" w:rsidR="009D36DE" w:rsidRPr="009D36DE"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7D3E6E" w:rsidRDefault="009D36DE" w:rsidP="000044FA">
            <w:pPr>
              <w:spacing w:before="100" w:after="100" w:line="293" w:lineRule="atLeast"/>
              <w:jc w:val="center"/>
            </w:pPr>
            <w:r w:rsidRPr="007D3E6E">
              <w:rPr>
                <w:b/>
                <w:bCs/>
              </w:rPr>
              <w:t>IV. Tiesību aktu projektu ietekme uz spēkā esošo tiesību normu sistēmu</w:t>
            </w:r>
          </w:p>
        </w:tc>
      </w:tr>
      <w:tr w:rsidR="009D36DE" w:rsidRPr="007D3E6E"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7D3E6E" w:rsidRDefault="009D36DE" w:rsidP="009C7442">
            <w:pPr>
              <w:spacing w:before="100" w:after="100"/>
              <w:jc w:val="center"/>
            </w:pPr>
            <w:r w:rsidRPr="007D3E6E">
              <w:t>Projekts šo jomu neskar</w:t>
            </w:r>
          </w:p>
        </w:tc>
      </w:tr>
    </w:tbl>
    <w:p w14:paraId="0DA1CFD5" w14:textId="77777777" w:rsidR="009D36DE" w:rsidRPr="007D3E6E" w:rsidRDefault="009D36DE" w:rsidP="000044FA"/>
    <w:tbl>
      <w:tblPr>
        <w:tblW w:w="5160" w:type="pct"/>
        <w:tblInd w:w="-145" w:type="dxa"/>
        <w:tblCellMar>
          <w:left w:w="10" w:type="dxa"/>
          <w:right w:w="10" w:type="dxa"/>
        </w:tblCellMar>
        <w:tblLook w:val="0000" w:firstRow="0" w:lastRow="0" w:firstColumn="0" w:lastColumn="0" w:noHBand="0" w:noVBand="0"/>
      </w:tblPr>
      <w:tblGrid>
        <w:gridCol w:w="747"/>
        <w:gridCol w:w="2514"/>
        <w:gridCol w:w="6095"/>
      </w:tblGrid>
      <w:tr w:rsidR="009D36DE" w:rsidRPr="007D3E6E" w14:paraId="341A5737" w14:textId="77777777" w:rsidTr="00465143">
        <w:tc>
          <w:tcPr>
            <w:tcW w:w="9356"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7D3E6E" w:rsidRDefault="009D36DE" w:rsidP="000044FA">
            <w:pPr>
              <w:spacing w:before="100" w:after="100" w:line="293" w:lineRule="atLeast"/>
              <w:jc w:val="center"/>
            </w:pPr>
            <w:r w:rsidRPr="007D3E6E">
              <w:rPr>
                <w:b/>
                <w:bCs/>
              </w:rPr>
              <w:t>V. Tiesību aktu projektu atbilstība Latvijas Republikas starptautiskajām saistībām</w:t>
            </w:r>
          </w:p>
        </w:tc>
      </w:tr>
      <w:tr w:rsidR="00465143" w:rsidRPr="007D3E6E" w14:paraId="057C309B"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F17542" w14:textId="77777777" w:rsidR="00465143" w:rsidRPr="007D3E6E" w:rsidRDefault="00465143" w:rsidP="003D6F8A">
            <w:pPr>
              <w:spacing w:before="100" w:after="100"/>
            </w:pPr>
            <w:r w:rsidRPr="007D3E6E">
              <w:t>1.</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C469D" w14:textId="17753AAA" w:rsidR="00465143" w:rsidRPr="007D3E6E" w:rsidRDefault="00465143" w:rsidP="003D6F8A">
            <w:pPr>
              <w:spacing w:before="100" w:after="100"/>
            </w:pPr>
            <w:r w:rsidRPr="00385822">
              <w:rPr>
                <w:iCs/>
              </w:rPr>
              <w:t>Saistības pret Eiropas Savienību</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8A1D87" w14:textId="77777777" w:rsidR="00DC735E" w:rsidRDefault="00DC735E" w:rsidP="00F51A98">
            <w:pPr>
              <w:spacing w:before="120" w:after="120"/>
              <w:ind w:left="113" w:right="113"/>
              <w:jc w:val="both"/>
            </w:pPr>
            <w:r>
              <w:t>Eiropas Savienības budžeta disciplīnas ietvars jeb tā sauktais Stabilitātes un izaugsmes pakts paredz dalībvalstīm nodrošināt “veselīgas” publiskās finanses t.i. samērīgu budžeta deficīta un parāda apmēru, kā arī koordinēt dalībvalstu budžeta politiku Eiropas Savienības līmenī.</w:t>
            </w:r>
          </w:p>
          <w:p w14:paraId="169B9D49" w14:textId="77777777" w:rsidR="00DC735E" w:rsidRDefault="00DC735E" w:rsidP="00F51A98">
            <w:pPr>
              <w:spacing w:before="120" w:after="120"/>
              <w:ind w:left="113" w:right="113"/>
              <w:jc w:val="both"/>
            </w:pPr>
            <w:r>
              <w:t xml:space="preserve">Stabilitātes un izaugsmes pakts nosaka ierobežojumus attiecībā uz dalībvalstu pieļaujamo budžeta deficīta un parāda apmēru, kā arī regulē trajektoriju, ar kādu dalībvalstīm ir jānodrošina virzība uz Stabilitātes un izaugsmes </w:t>
            </w:r>
            <w:proofErr w:type="spellStart"/>
            <w:r>
              <w:t>paktā</w:t>
            </w:r>
            <w:proofErr w:type="spellEnd"/>
            <w:r>
              <w:t xml:space="preserve"> noteiktajām budžeta deficīta un parāda robežvērtībām. </w:t>
            </w:r>
          </w:p>
          <w:p w14:paraId="6AEDB9CE" w14:textId="77777777" w:rsidR="00DC735E" w:rsidRDefault="00DC735E" w:rsidP="00F51A98">
            <w:pPr>
              <w:spacing w:before="120" w:after="120"/>
              <w:ind w:left="113" w:right="113"/>
              <w:jc w:val="both"/>
            </w:pPr>
            <w:r>
              <w:t>Vienlaikus šajā ietvarā ir noteikti mehānismi, kas specifiskās situācijās ļauj dalībvalstīm uz laiku atkāpties no budžeta disciplīnas nosacījumiem.</w:t>
            </w:r>
          </w:p>
          <w:p w14:paraId="48A88AB3" w14:textId="2AD8C1C9" w:rsidR="00465143" w:rsidRDefault="00465143" w:rsidP="00F51A98">
            <w:pPr>
              <w:spacing w:before="120" w:after="120"/>
              <w:ind w:left="113" w:right="113"/>
              <w:jc w:val="both"/>
            </w:pPr>
            <w:r w:rsidRPr="00386E12">
              <w:t xml:space="preserve">Valsts </w:t>
            </w:r>
            <w:r>
              <w:t>atbalsts C</w:t>
            </w:r>
            <w:r w:rsidR="005D20D4">
              <w:t>ovid</w:t>
            </w:r>
            <w:r>
              <w:t>-19 negatīvo seku mazināšanai tiek finansēts nevis ar pašu nopelnīto naudu, bet gan ar aizņemto naudu, palielinot valsts deficītu un parādu virs iepriekš plānotā līmeņa.</w:t>
            </w:r>
          </w:p>
          <w:p w14:paraId="3C9D9C26" w14:textId="5B56F038" w:rsidR="00FA1F6A" w:rsidRPr="007D3E6E" w:rsidRDefault="00465143" w:rsidP="00F51A98">
            <w:pPr>
              <w:spacing w:before="120" w:after="120"/>
              <w:ind w:left="113" w:right="113"/>
              <w:jc w:val="both"/>
            </w:pPr>
            <w:r>
              <w:t>Stabilitātes un izaugsmes pakts paredz iespēju neievērot iepriekš noteikto pieļaujamo deficīta un parāda līmeni, ja (1) iestājas ārkārtēji apstākļi, kas ir ārpus valdību kontroles, vai arī, ja  (2) iestājas būtiska recesija ES vai tās dalībvalstī. Iepriekš EK jau sniedza paziņojumu, ka tā atzīst C</w:t>
            </w:r>
            <w:r w:rsidR="005D20D4">
              <w:t>ovid</w:t>
            </w:r>
            <w:r>
              <w:t>-19 par atbilstošu pirmajam kritērijam. 20.marta paziņojumā tā atzina, ka C</w:t>
            </w:r>
            <w:r w:rsidR="005D20D4">
              <w:t>ovid</w:t>
            </w:r>
            <w:r>
              <w:t>-19 atbilst arī otrajam kritērijam.</w:t>
            </w:r>
          </w:p>
        </w:tc>
      </w:tr>
      <w:tr w:rsidR="00465143" w:rsidRPr="007D3E6E" w14:paraId="5544F8D7" w14:textId="77777777" w:rsidTr="00465143">
        <w:trPr>
          <w:trHeight w:val="513"/>
        </w:trPr>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152C6" w14:textId="77777777" w:rsidR="00465143" w:rsidRPr="007D3E6E" w:rsidRDefault="00465143" w:rsidP="003D6F8A">
            <w:pPr>
              <w:spacing w:before="100" w:after="100"/>
            </w:pPr>
            <w:r w:rsidRPr="007D3E6E">
              <w:t>2.</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0CC6C3" w14:textId="588439CF" w:rsidR="00465143" w:rsidRPr="007D3E6E" w:rsidRDefault="00465143" w:rsidP="003D6F8A">
            <w:pPr>
              <w:spacing w:before="100" w:after="100"/>
            </w:pPr>
            <w:r w:rsidRPr="00122F4B">
              <w:rPr>
                <w:iCs/>
              </w:rPr>
              <w:t>Citas starptautiskās saistības</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D2138D" w14:textId="018E0F72" w:rsidR="00465143" w:rsidRPr="007D3E6E" w:rsidRDefault="00465143" w:rsidP="00465143">
            <w:pPr>
              <w:shd w:val="clear" w:color="auto" w:fill="FFFFFF"/>
              <w:spacing w:before="120" w:after="120"/>
              <w:jc w:val="both"/>
            </w:pPr>
            <w:r w:rsidRPr="007D3E6E">
              <w:t>Projekts šo jomu neskar</w:t>
            </w:r>
          </w:p>
        </w:tc>
      </w:tr>
      <w:tr w:rsidR="00465143" w:rsidRPr="007D3E6E" w14:paraId="1D850DF0"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0B2A2B" w14:textId="77777777" w:rsidR="00465143" w:rsidRPr="007D3E6E" w:rsidRDefault="00465143" w:rsidP="003D6F8A">
            <w:r w:rsidRPr="007D3E6E">
              <w:t>3.</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5D9A33" w14:textId="77777777" w:rsidR="00465143" w:rsidRPr="007D3E6E" w:rsidRDefault="00465143" w:rsidP="003D6F8A">
            <w:r w:rsidRPr="007D3E6E">
              <w:t>Cita informācija</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F1638E" w14:textId="77777777" w:rsidR="00465143" w:rsidRPr="007D3E6E" w:rsidRDefault="00465143" w:rsidP="003D6F8A">
            <w:pPr>
              <w:jc w:val="both"/>
            </w:pPr>
            <w:r w:rsidRPr="007D3E6E">
              <w:t>Nav</w:t>
            </w:r>
          </w:p>
        </w:tc>
      </w:tr>
    </w:tbl>
    <w:p w14:paraId="536F51B7" w14:textId="161DE399" w:rsidR="009D36DE"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465143" w:rsidRPr="007D3E6E" w14:paraId="4F251BD8"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E57E25" w14:textId="4CF83A96" w:rsidR="00465143" w:rsidRPr="007D3E6E" w:rsidRDefault="00465143" w:rsidP="00465143">
            <w:pPr>
              <w:ind w:firstLine="301"/>
              <w:jc w:val="center"/>
              <w:rPr>
                <w:b/>
                <w:bCs/>
              </w:rPr>
            </w:pPr>
            <w:r w:rsidRPr="00D91400">
              <w:rPr>
                <w:b/>
                <w:bCs/>
                <w:iCs/>
              </w:rPr>
              <w:t>1. tabula</w:t>
            </w:r>
            <w:r w:rsidRPr="00D91400">
              <w:rPr>
                <w:b/>
                <w:bCs/>
                <w:iCs/>
              </w:rPr>
              <w:br/>
              <w:t>Tiesību akta projekta atbilstība ES tiesību aktiem</w:t>
            </w:r>
          </w:p>
        </w:tc>
      </w:tr>
      <w:tr w:rsidR="00465143" w:rsidRPr="007D3E6E" w14:paraId="61067AED"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AA1578" w14:textId="77777777" w:rsidR="00465143" w:rsidRPr="007D3E6E" w:rsidRDefault="00465143" w:rsidP="009C7442">
            <w:pPr>
              <w:spacing w:before="100" w:after="100"/>
              <w:ind w:firstLine="301"/>
              <w:jc w:val="center"/>
              <w:rPr>
                <w:b/>
                <w:bCs/>
              </w:rPr>
            </w:pPr>
            <w:r w:rsidRPr="007D3E6E">
              <w:t>Projekts šo jomu neskar</w:t>
            </w:r>
          </w:p>
        </w:tc>
      </w:tr>
    </w:tbl>
    <w:p w14:paraId="13B11A15" w14:textId="442EC98D" w:rsidR="00465143"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465143" w:rsidRPr="007D3E6E" w14:paraId="4F3A0DB9"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7EDEE6" w14:textId="66169F51" w:rsidR="00465143" w:rsidRPr="007D3E6E" w:rsidRDefault="00465143" w:rsidP="00465143">
            <w:pPr>
              <w:ind w:firstLine="301"/>
              <w:jc w:val="center"/>
              <w:rPr>
                <w:b/>
                <w:bCs/>
              </w:rPr>
            </w:pPr>
            <w:r w:rsidRPr="00D91400">
              <w:rPr>
                <w:b/>
                <w:bCs/>
                <w:iCs/>
              </w:rPr>
              <w:t>2. tabula</w:t>
            </w:r>
            <w:r w:rsidRPr="00D91400">
              <w:rPr>
                <w:b/>
                <w:bCs/>
                <w:iCs/>
              </w:rPr>
              <w:br/>
              <w:t>Ar tiesību akta projektu izpildītās vai uzņemtās saistības, kas izriet no starptautiskajiem tiesību aktiem vai starptautiskas institūcijas vai organizācijas dokumentiem.</w:t>
            </w:r>
            <w:r w:rsidRPr="00D91400">
              <w:rPr>
                <w:b/>
                <w:bCs/>
                <w:iCs/>
              </w:rPr>
              <w:br/>
              <w:t>Pasākumi šo saistību izpildei</w:t>
            </w:r>
          </w:p>
        </w:tc>
      </w:tr>
      <w:tr w:rsidR="00465143" w:rsidRPr="007D3E6E" w14:paraId="414F9F98"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2D48D4" w14:textId="77777777" w:rsidR="00465143" w:rsidRPr="007D3E6E" w:rsidRDefault="00465143" w:rsidP="009C7442">
            <w:pPr>
              <w:spacing w:before="100" w:after="100"/>
              <w:ind w:firstLine="301"/>
              <w:jc w:val="center"/>
              <w:rPr>
                <w:b/>
                <w:bCs/>
              </w:rPr>
            </w:pPr>
            <w:r w:rsidRPr="007D3E6E">
              <w:t>Projekts šo jomu neskar</w:t>
            </w:r>
          </w:p>
        </w:tc>
      </w:tr>
    </w:tbl>
    <w:p w14:paraId="51B23118" w14:textId="77777777" w:rsidR="00465143" w:rsidRPr="007D3E6E"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9D36DE" w:rsidRPr="007D3E6E"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7D3E6E" w:rsidRDefault="009D36DE" w:rsidP="000044FA">
            <w:pPr>
              <w:spacing w:before="100" w:after="100" w:line="360" w:lineRule="auto"/>
              <w:ind w:firstLine="300"/>
              <w:jc w:val="center"/>
              <w:rPr>
                <w:b/>
                <w:bCs/>
              </w:rPr>
            </w:pPr>
            <w:r w:rsidRPr="007D3E6E">
              <w:rPr>
                <w:b/>
                <w:bCs/>
              </w:rPr>
              <w:t>VI. Sabiedrības līdzdalība un komunikācijas aktivitātes</w:t>
            </w:r>
          </w:p>
        </w:tc>
      </w:tr>
      <w:tr w:rsidR="003B60B8" w:rsidRPr="007D3E6E"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7D3E6E" w:rsidRDefault="003B60B8" w:rsidP="009C7442">
            <w:pPr>
              <w:spacing w:before="100" w:after="100"/>
              <w:ind w:firstLine="301"/>
              <w:jc w:val="center"/>
              <w:rPr>
                <w:b/>
                <w:bCs/>
              </w:rPr>
            </w:pPr>
            <w:r w:rsidRPr="007D3E6E">
              <w:t>Projekts šo jomu neskar</w:t>
            </w:r>
          </w:p>
        </w:tc>
      </w:tr>
    </w:tbl>
    <w:p w14:paraId="3173A2A4" w14:textId="77777777" w:rsidR="009D36DE" w:rsidRPr="007D3E6E"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9D36DE" w:rsidRPr="007D3E6E"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7D3E6E" w:rsidRDefault="009D36DE" w:rsidP="000044FA">
            <w:pPr>
              <w:spacing w:before="100" w:after="100"/>
              <w:jc w:val="center"/>
              <w:rPr>
                <w:b/>
                <w:bCs/>
              </w:rPr>
            </w:pPr>
            <w:r w:rsidRPr="007D3E6E">
              <w:rPr>
                <w:b/>
                <w:bCs/>
              </w:rPr>
              <w:t>VII. Tiesību akta projekta izpildes nodrošināšana un tās ietekme uz institūcijām</w:t>
            </w:r>
          </w:p>
        </w:tc>
      </w:tr>
      <w:tr w:rsidR="003B60B8" w:rsidRPr="007D3E6E"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7D3E6E" w:rsidRDefault="003B60B8" w:rsidP="000044FA">
            <w:pPr>
              <w:spacing w:before="100" w:after="100"/>
            </w:pPr>
            <w:r w:rsidRPr="007D3E6E">
              <w:lastRenderedPageBreak/>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7D3E6E" w:rsidRDefault="003B60B8" w:rsidP="000044FA">
            <w:pPr>
              <w:spacing w:before="100" w:after="100"/>
            </w:pPr>
            <w:r w:rsidRPr="007D3E6E">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7D3E6E" w:rsidRDefault="004422AA" w:rsidP="009C7442">
            <w:pPr>
              <w:shd w:val="clear" w:color="auto" w:fill="FFFFFF"/>
              <w:spacing w:before="120" w:after="120"/>
              <w:jc w:val="both"/>
            </w:pPr>
            <w:r w:rsidRPr="007D3E6E">
              <w:rPr>
                <w:bCs/>
                <w:color w:val="000000"/>
              </w:rPr>
              <w:t xml:space="preserve">Ministrijas un </w:t>
            </w:r>
            <w:r w:rsidR="00B4749B" w:rsidRPr="007D3E6E">
              <w:rPr>
                <w:bCs/>
                <w:color w:val="000000"/>
              </w:rPr>
              <w:t>citas centrālās valsts iestādes</w:t>
            </w:r>
          </w:p>
        </w:tc>
      </w:tr>
      <w:tr w:rsidR="003B60B8" w:rsidRPr="007D3E6E"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7D3E6E" w:rsidRDefault="003B60B8" w:rsidP="000044FA">
            <w:pPr>
              <w:spacing w:before="100" w:after="100"/>
            </w:pPr>
            <w:r w:rsidRPr="007D3E6E">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7D3E6E" w:rsidRDefault="003B60B8" w:rsidP="000044FA">
            <w:pPr>
              <w:spacing w:before="100" w:after="100"/>
            </w:pPr>
            <w:r w:rsidRPr="007D3E6E">
              <w:t xml:space="preserve">Projekta izpildes ietekme uz pārvaldes funkcijām un institucionālo struktūru. </w:t>
            </w:r>
          </w:p>
          <w:p w14:paraId="26A504E1" w14:textId="77777777" w:rsidR="003B60B8" w:rsidRPr="007D3E6E" w:rsidRDefault="003B60B8" w:rsidP="000044FA">
            <w:pPr>
              <w:spacing w:before="100" w:after="100"/>
            </w:pPr>
            <w:r w:rsidRPr="007D3E6E">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7D3E6E" w:rsidRDefault="00B4749B" w:rsidP="009C7442">
            <w:pPr>
              <w:shd w:val="clear" w:color="auto" w:fill="FFFFFF"/>
              <w:spacing w:before="120" w:after="120"/>
              <w:jc w:val="both"/>
            </w:pPr>
            <w:r w:rsidRPr="007D3E6E">
              <w:t>Projekts šo jomu neskar</w:t>
            </w:r>
          </w:p>
          <w:p w14:paraId="07CDC1D8" w14:textId="77777777" w:rsidR="003B60B8" w:rsidRPr="007D3E6E" w:rsidRDefault="003B60B8" w:rsidP="009C7442">
            <w:pPr>
              <w:shd w:val="clear" w:color="auto" w:fill="FFFFFF"/>
              <w:jc w:val="both"/>
            </w:pPr>
          </w:p>
        </w:tc>
      </w:tr>
      <w:tr w:rsidR="009D36DE" w:rsidRPr="007D3E6E"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7D3E6E" w:rsidRDefault="009D36DE" w:rsidP="000044FA">
            <w:r w:rsidRPr="007D3E6E">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7D3E6E" w:rsidRDefault="009D36DE" w:rsidP="000044FA">
            <w:r w:rsidRPr="007D3E6E">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7D3E6E" w:rsidRDefault="009D36DE" w:rsidP="009C7442">
            <w:pPr>
              <w:jc w:val="both"/>
            </w:pPr>
            <w:r w:rsidRPr="007D3E6E">
              <w:t>Nav</w:t>
            </w:r>
          </w:p>
        </w:tc>
      </w:tr>
    </w:tbl>
    <w:p w14:paraId="640AE653" w14:textId="77777777" w:rsidR="009D36DE" w:rsidRPr="007D3E6E" w:rsidRDefault="009D36DE" w:rsidP="000044FA">
      <w:pPr>
        <w:ind w:firstLine="720"/>
      </w:pPr>
    </w:p>
    <w:p w14:paraId="5DDD4CC1" w14:textId="77777777" w:rsidR="0074116B" w:rsidRDefault="0074116B" w:rsidP="00E218B9">
      <w:pPr>
        <w:pStyle w:val="BodyText"/>
        <w:jc w:val="both"/>
        <w:rPr>
          <w:sz w:val="26"/>
          <w:szCs w:val="26"/>
        </w:rPr>
      </w:pPr>
    </w:p>
    <w:p w14:paraId="4E3B677B" w14:textId="77777777" w:rsidR="0074116B" w:rsidRDefault="0074116B" w:rsidP="00E218B9">
      <w:pPr>
        <w:pStyle w:val="BodyText"/>
        <w:jc w:val="both"/>
        <w:rPr>
          <w:sz w:val="26"/>
          <w:szCs w:val="26"/>
        </w:rPr>
      </w:pPr>
    </w:p>
    <w:p w14:paraId="1721EC2D" w14:textId="1DEAA7FD" w:rsidR="00D444BA" w:rsidRPr="00372421" w:rsidRDefault="00AC1A2E" w:rsidP="00E218B9">
      <w:pPr>
        <w:pStyle w:val="BodyText"/>
        <w:jc w:val="both"/>
        <w:rPr>
          <w:sz w:val="26"/>
          <w:szCs w:val="26"/>
        </w:rPr>
      </w:pPr>
      <w:r w:rsidRPr="00372421">
        <w:rPr>
          <w:sz w:val="26"/>
          <w:szCs w:val="26"/>
        </w:rPr>
        <w:t>Finanšu ministrs</w:t>
      </w:r>
      <w:r w:rsidR="00857FA9" w:rsidRPr="00372421">
        <w:rPr>
          <w:sz w:val="26"/>
          <w:szCs w:val="26"/>
        </w:rPr>
        <w:tab/>
      </w:r>
      <w:r w:rsidR="00857FA9" w:rsidRPr="00372421">
        <w:rPr>
          <w:sz w:val="26"/>
          <w:szCs w:val="26"/>
        </w:rPr>
        <w:tab/>
      </w:r>
      <w:r w:rsidR="00857FA9" w:rsidRPr="00372421">
        <w:rPr>
          <w:sz w:val="26"/>
          <w:szCs w:val="26"/>
        </w:rPr>
        <w:tab/>
      </w:r>
      <w:r w:rsidR="00857FA9" w:rsidRPr="00372421">
        <w:rPr>
          <w:sz w:val="26"/>
          <w:szCs w:val="26"/>
        </w:rPr>
        <w:tab/>
      </w:r>
      <w:r w:rsidR="0091691A" w:rsidRPr="00372421">
        <w:rPr>
          <w:sz w:val="26"/>
          <w:szCs w:val="26"/>
        </w:rPr>
        <w:tab/>
      </w:r>
      <w:r w:rsidR="0091691A" w:rsidRPr="00372421">
        <w:rPr>
          <w:sz w:val="26"/>
          <w:szCs w:val="26"/>
        </w:rPr>
        <w:tab/>
      </w:r>
      <w:r w:rsidR="009D1F15" w:rsidRPr="00372421">
        <w:rPr>
          <w:sz w:val="26"/>
          <w:szCs w:val="26"/>
        </w:rPr>
        <w:t xml:space="preserve">                       </w:t>
      </w:r>
      <w:r w:rsidR="00F154FE" w:rsidRPr="00372421">
        <w:rPr>
          <w:sz w:val="26"/>
          <w:szCs w:val="26"/>
        </w:rPr>
        <w:t xml:space="preserve">   </w:t>
      </w:r>
      <w:r w:rsidR="0091691A" w:rsidRPr="00372421">
        <w:rPr>
          <w:sz w:val="26"/>
          <w:szCs w:val="26"/>
        </w:rPr>
        <w:t xml:space="preserve">  </w:t>
      </w:r>
      <w:r w:rsidR="00F154FE" w:rsidRPr="00372421">
        <w:rPr>
          <w:sz w:val="26"/>
          <w:szCs w:val="26"/>
        </w:rPr>
        <w:t xml:space="preserve">  </w:t>
      </w:r>
      <w:r w:rsidRPr="00372421">
        <w:rPr>
          <w:sz w:val="26"/>
          <w:szCs w:val="26"/>
        </w:rPr>
        <w:t>J.</w:t>
      </w:r>
      <w:r w:rsidR="00855994">
        <w:rPr>
          <w:sz w:val="26"/>
          <w:szCs w:val="26"/>
        </w:rPr>
        <w:t xml:space="preserve"> </w:t>
      </w:r>
      <w:r w:rsidRPr="00372421">
        <w:rPr>
          <w:sz w:val="26"/>
          <w:szCs w:val="26"/>
        </w:rPr>
        <w:t>Reirs</w:t>
      </w:r>
      <w:r w:rsidR="0091691A" w:rsidRPr="00372421">
        <w:rPr>
          <w:sz w:val="26"/>
          <w:szCs w:val="26"/>
        </w:rPr>
        <w:tab/>
      </w:r>
    </w:p>
    <w:p w14:paraId="0B6E3685" w14:textId="77777777" w:rsidR="00E218B9" w:rsidRPr="007D3E6E" w:rsidRDefault="00E218B9" w:rsidP="00E218B9">
      <w:pPr>
        <w:pStyle w:val="BodyText"/>
        <w:jc w:val="both"/>
        <w:rPr>
          <w:sz w:val="24"/>
        </w:rPr>
      </w:pPr>
    </w:p>
    <w:p w14:paraId="0CDD299B" w14:textId="77777777" w:rsidR="002837F3" w:rsidRPr="00372421" w:rsidRDefault="002837F3" w:rsidP="000C703D">
      <w:pPr>
        <w:pStyle w:val="BodyText"/>
        <w:jc w:val="left"/>
        <w:rPr>
          <w:sz w:val="16"/>
          <w:szCs w:val="16"/>
        </w:rPr>
      </w:pPr>
    </w:p>
    <w:p w14:paraId="44A6F2DF" w14:textId="77777777" w:rsidR="0074116B" w:rsidRDefault="0074116B" w:rsidP="00855994">
      <w:pPr>
        <w:pStyle w:val="BodyText"/>
        <w:jc w:val="left"/>
        <w:rPr>
          <w:sz w:val="20"/>
          <w:szCs w:val="20"/>
        </w:rPr>
      </w:pPr>
    </w:p>
    <w:p w14:paraId="7E8F07F1" w14:textId="77777777" w:rsidR="0074116B" w:rsidRDefault="0074116B" w:rsidP="00855994">
      <w:pPr>
        <w:pStyle w:val="BodyText"/>
        <w:jc w:val="left"/>
        <w:rPr>
          <w:sz w:val="20"/>
          <w:szCs w:val="20"/>
        </w:rPr>
      </w:pPr>
    </w:p>
    <w:p w14:paraId="1735A1AD" w14:textId="77777777" w:rsidR="0074116B" w:rsidRDefault="0074116B" w:rsidP="00855994">
      <w:pPr>
        <w:pStyle w:val="BodyText"/>
        <w:jc w:val="left"/>
        <w:rPr>
          <w:sz w:val="20"/>
          <w:szCs w:val="20"/>
        </w:rPr>
      </w:pPr>
    </w:p>
    <w:p w14:paraId="3841EB2C" w14:textId="77777777" w:rsidR="0074116B" w:rsidRDefault="0074116B" w:rsidP="00855994">
      <w:pPr>
        <w:pStyle w:val="BodyText"/>
        <w:jc w:val="left"/>
        <w:rPr>
          <w:sz w:val="20"/>
          <w:szCs w:val="20"/>
        </w:rPr>
      </w:pPr>
    </w:p>
    <w:p w14:paraId="1FBA5471" w14:textId="77777777" w:rsidR="0074116B" w:rsidRDefault="0074116B" w:rsidP="00855994">
      <w:pPr>
        <w:pStyle w:val="BodyText"/>
        <w:jc w:val="left"/>
        <w:rPr>
          <w:sz w:val="20"/>
          <w:szCs w:val="20"/>
        </w:rPr>
      </w:pPr>
    </w:p>
    <w:p w14:paraId="54AE3DB5" w14:textId="77777777" w:rsidR="0074116B" w:rsidRDefault="0074116B" w:rsidP="00855994">
      <w:pPr>
        <w:pStyle w:val="BodyText"/>
        <w:jc w:val="left"/>
        <w:rPr>
          <w:sz w:val="20"/>
          <w:szCs w:val="20"/>
        </w:rPr>
      </w:pPr>
    </w:p>
    <w:p w14:paraId="141A0D75" w14:textId="77777777" w:rsidR="0074116B" w:rsidRDefault="0074116B" w:rsidP="00855994">
      <w:pPr>
        <w:pStyle w:val="BodyText"/>
        <w:jc w:val="left"/>
        <w:rPr>
          <w:sz w:val="20"/>
          <w:szCs w:val="20"/>
        </w:rPr>
      </w:pPr>
    </w:p>
    <w:p w14:paraId="314F4DF0" w14:textId="237329DF" w:rsidR="00855994" w:rsidRPr="00A541A8" w:rsidRDefault="00855994" w:rsidP="00855994">
      <w:pPr>
        <w:pStyle w:val="BodyText"/>
        <w:jc w:val="left"/>
        <w:rPr>
          <w:sz w:val="20"/>
          <w:szCs w:val="20"/>
        </w:rPr>
      </w:pPr>
      <w:r>
        <w:rPr>
          <w:sz w:val="20"/>
          <w:szCs w:val="20"/>
        </w:rPr>
        <w:t>Adijāne</w:t>
      </w:r>
      <w:r w:rsidRPr="00A541A8">
        <w:rPr>
          <w:sz w:val="20"/>
          <w:szCs w:val="20"/>
        </w:rPr>
        <w:t xml:space="preserve"> 670</w:t>
      </w:r>
      <w:r>
        <w:rPr>
          <w:sz w:val="20"/>
          <w:szCs w:val="20"/>
        </w:rPr>
        <w:t>95437</w:t>
      </w:r>
    </w:p>
    <w:p w14:paraId="4A6DB772" w14:textId="77777777" w:rsidR="00855994" w:rsidRDefault="00E37079" w:rsidP="00855994">
      <w:pPr>
        <w:pStyle w:val="BodyText"/>
        <w:jc w:val="left"/>
        <w:rPr>
          <w:sz w:val="20"/>
          <w:szCs w:val="20"/>
        </w:rPr>
      </w:pPr>
      <w:hyperlink r:id="rId10" w:history="1">
        <w:r w:rsidR="00855994" w:rsidRPr="004E4979">
          <w:rPr>
            <w:rStyle w:val="Hyperlink"/>
            <w:sz w:val="20"/>
            <w:szCs w:val="20"/>
          </w:rPr>
          <w:t>zane.adijane@fm.gov.lv</w:t>
        </w:r>
      </w:hyperlink>
    </w:p>
    <w:p w14:paraId="6E236049" w14:textId="77777777" w:rsidR="00855994" w:rsidRPr="006D49B1" w:rsidRDefault="00855994" w:rsidP="00855994">
      <w:pPr>
        <w:rPr>
          <w:lang w:eastAsia="en-US"/>
        </w:rPr>
      </w:pPr>
    </w:p>
    <w:p w14:paraId="54A3AF50" w14:textId="72B1FD4C" w:rsidR="002204E8" w:rsidRPr="00372421" w:rsidRDefault="002204E8" w:rsidP="00855994">
      <w:pPr>
        <w:pStyle w:val="BodyText"/>
        <w:jc w:val="left"/>
        <w:rPr>
          <w:sz w:val="16"/>
          <w:szCs w:val="16"/>
        </w:rPr>
      </w:pPr>
    </w:p>
    <w:sectPr w:rsidR="002204E8" w:rsidRPr="00372421" w:rsidSect="002D3E38">
      <w:headerReference w:type="default" r:id="rId11"/>
      <w:footerReference w:type="default" r:id="rId12"/>
      <w:footerReference w:type="first" r:id="rId13"/>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8628A" w14:textId="77777777" w:rsidR="00757263" w:rsidRDefault="00757263" w:rsidP="009A7EE9">
      <w:r>
        <w:separator/>
      </w:r>
    </w:p>
  </w:endnote>
  <w:endnote w:type="continuationSeparator" w:id="0">
    <w:p w14:paraId="68512767" w14:textId="77777777" w:rsidR="00757263" w:rsidRDefault="00757263"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59784739" w:rsidR="00320C6A" w:rsidRPr="00DE03E0" w:rsidRDefault="003F1B84"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6356DD">
      <w:rPr>
        <w:noProof/>
        <w:sz w:val="20"/>
        <w:szCs w:val="20"/>
      </w:rPr>
      <w:t>FMAnot_301120_LNG_paliel.docx</w:t>
    </w:r>
    <w:r w:rsidRPr="00DE03E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469AA4A6"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6356DD">
      <w:rPr>
        <w:noProof/>
        <w:sz w:val="20"/>
        <w:szCs w:val="20"/>
      </w:rPr>
      <w:t>FMAnot_301120_LNG_paliel.docx</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1BD7" w14:textId="77777777" w:rsidR="00757263" w:rsidRDefault="00757263" w:rsidP="009A7EE9">
      <w:r>
        <w:separator/>
      </w:r>
    </w:p>
  </w:footnote>
  <w:footnote w:type="continuationSeparator" w:id="0">
    <w:p w14:paraId="44CFFE61" w14:textId="77777777" w:rsidR="00757263" w:rsidRDefault="00757263"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3476C7DB" w:rsidR="00320C6A" w:rsidRDefault="00320C6A">
        <w:pPr>
          <w:pStyle w:val="Header"/>
          <w:jc w:val="center"/>
        </w:pPr>
        <w:r>
          <w:fldChar w:fldCharType="begin"/>
        </w:r>
        <w:r>
          <w:instrText xml:space="preserve"> PAGE   \* MERGEFORMAT </w:instrText>
        </w:r>
        <w:r>
          <w:fldChar w:fldCharType="separate"/>
        </w:r>
        <w:r w:rsidR="00E37079">
          <w:rPr>
            <w:noProof/>
          </w:rPr>
          <w:t>6</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AE16DC8"/>
    <w:multiLevelType w:val="hybridMultilevel"/>
    <w:tmpl w:val="9E2EF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4"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5"/>
  </w:num>
  <w:num w:numId="12">
    <w:abstractNumId w:val="3"/>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22246"/>
    <w:rsid w:val="0005038A"/>
    <w:rsid w:val="000512B4"/>
    <w:rsid w:val="00056C2A"/>
    <w:rsid w:val="000614F5"/>
    <w:rsid w:val="00064F32"/>
    <w:rsid w:val="000766F8"/>
    <w:rsid w:val="000818D2"/>
    <w:rsid w:val="00085845"/>
    <w:rsid w:val="000916CE"/>
    <w:rsid w:val="000A6B9A"/>
    <w:rsid w:val="000B194B"/>
    <w:rsid w:val="000B283D"/>
    <w:rsid w:val="000B2CA0"/>
    <w:rsid w:val="000C07B8"/>
    <w:rsid w:val="000C703D"/>
    <w:rsid w:val="000D0EFF"/>
    <w:rsid w:val="00110F94"/>
    <w:rsid w:val="00111617"/>
    <w:rsid w:val="0012264C"/>
    <w:rsid w:val="0013564A"/>
    <w:rsid w:val="001509E7"/>
    <w:rsid w:val="00152ECC"/>
    <w:rsid w:val="00156E18"/>
    <w:rsid w:val="001611E9"/>
    <w:rsid w:val="00162EB9"/>
    <w:rsid w:val="00170CFC"/>
    <w:rsid w:val="00171A81"/>
    <w:rsid w:val="001729A2"/>
    <w:rsid w:val="001779C5"/>
    <w:rsid w:val="00183027"/>
    <w:rsid w:val="0019469A"/>
    <w:rsid w:val="001A59F4"/>
    <w:rsid w:val="001B419D"/>
    <w:rsid w:val="001C0756"/>
    <w:rsid w:val="001C1669"/>
    <w:rsid w:val="001C59ED"/>
    <w:rsid w:val="001D0A1B"/>
    <w:rsid w:val="001F54D7"/>
    <w:rsid w:val="00202D39"/>
    <w:rsid w:val="0020584E"/>
    <w:rsid w:val="002128BD"/>
    <w:rsid w:val="002204E8"/>
    <w:rsid w:val="002363C2"/>
    <w:rsid w:val="00243679"/>
    <w:rsid w:val="002601C3"/>
    <w:rsid w:val="0026098D"/>
    <w:rsid w:val="00261740"/>
    <w:rsid w:val="0027336A"/>
    <w:rsid w:val="0028027D"/>
    <w:rsid w:val="002837F3"/>
    <w:rsid w:val="00283E0D"/>
    <w:rsid w:val="00285775"/>
    <w:rsid w:val="00292DE5"/>
    <w:rsid w:val="00295E0A"/>
    <w:rsid w:val="002A5180"/>
    <w:rsid w:val="002B19A5"/>
    <w:rsid w:val="002B3D2F"/>
    <w:rsid w:val="002B5EE7"/>
    <w:rsid w:val="002C2C90"/>
    <w:rsid w:val="002C3DC9"/>
    <w:rsid w:val="002D34CC"/>
    <w:rsid w:val="002D3E38"/>
    <w:rsid w:val="002F5428"/>
    <w:rsid w:val="00301CBB"/>
    <w:rsid w:val="00304F3B"/>
    <w:rsid w:val="003145BF"/>
    <w:rsid w:val="00320C6A"/>
    <w:rsid w:val="0032120D"/>
    <w:rsid w:val="0032647A"/>
    <w:rsid w:val="00334364"/>
    <w:rsid w:val="00335619"/>
    <w:rsid w:val="00352431"/>
    <w:rsid w:val="00363F9A"/>
    <w:rsid w:val="00370F44"/>
    <w:rsid w:val="00372421"/>
    <w:rsid w:val="003735E2"/>
    <w:rsid w:val="003B60B8"/>
    <w:rsid w:val="003C21F6"/>
    <w:rsid w:val="003C6F6D"/>
    <w:rsid w:val="003D6BD2"/>
    <w:rsid w:val="003E3E05"/>
    <w:rsid w:val="003F10D1"/>
    <w:rsid w:val="003F1B84"/>
    <w:rsid w:val="003F4BF1"/>
    <w:rsid w:val="00407869"/>
    <w:rsid w:val="0041610B"/>
    <w:rsid w:val="004170B3"/>
    <w:rsid w:val="00422AFA"/>
    <w:rsid w:val="004422AA"/>
    <w:rsid w:val="00453528"/>
    <w:rsid w:val="00455577"/>
    <w:rsid w:val="00462C12"/>
    <w:rsid w:val="00465143"/>
    <w:rsid w:val="0047084C"/>
    <w:rsid w:val="00474ED8"/>
    <w:rsid w:val="00480A1B"/>
    <w:rsid w:val="00482307"/>
    <w:rsid w:val="004876F3"/>
    <w:rsid w:val="00493060"/>
    <w:rsid w:val="004A456A"/>
    <w:rsid w:val="004A5A78"/>
    <w:rsid w:val="004A7D0E"/>
    <w:rsid w:val="004B0522"/>
    <w:rsid w:val="004B10FE"/>
    <w:rsid w:val="004B1DB8"/>
    <w:rsid w:val="004B4E72"/>
    <w:rsid w:val="004C4D7F"/>
    <w:rsid w:val="004D1D9A"/>
    <w:rsid w:val="004D5A33"/>
    <w:rsid w:val="004F70B8"/>
    <w:rsid w:val="00514A88"/>
    <w:rsid w:val="005222BD"/>
    <w:rsid w:val="00524414"/>
    <w:rsid w:val="00524926"/>
    <w:rsid w:val="005331D5"/>
    <w:rsid w:val="0053409A"/>
    <w:rsid w:val="00542B98"/>
    <w:rsid w:val="005437C3"/>
    <w:rsid w:val="00545A7B"/>
    <w:rsid w:val="00567B73"/>
    <w:rsid w:val="00567C3A"/>
    <w:rsid w:val="005717CC"/>
    <w:rsid w:val="00577379"/>
    <w:rsid w:val="005802FC"/>
    <w:rsid w:val="00580CBE"/>
    <w:rsid w:val="00583D19"/>
    <w:rsid w:val="005A0D60"/>
    <w:rsid w:val="005B0615"/>
    <w:rsid w:val="005B7346"/>
    <w:rsid w:val="005C5BDA"/>
    <w:rsid w:val="005D0284"/>
    <w:rsid w:val="005D20D4"/>
    <w:rsid w:val="005D2988"/>
    <w:rsid w:val="005D489A"/>
    <w:rsid w:val="005D7B3B"/>
    <w:rsid w:val="005E0012"/>
    <w:rsid w:val="005E37B5"/>
    <w:rsid w:val="005E435A"/>
    <w:rsid w:val="005E6150"/>
    <w:rsid w:val="00603455"/>
    <w:rsid w:val="00611862"/>
    <w:rsid w:val="00630442"/>
    <w:rsid w:val="006312E3"/>
    <w:rsid w:val="00632159"/>
    <w:rsid w:val="006356DD"/>
    <w:rsid w:val="006400F2"/>
    <w:rsid w:val="00641D60"/>
    <w:rsid w:val="0064210E"/>
    <w:rsid w:val="006423EF"/>
    <w:rsid w:val="00645290"/>
    <w:rsid w:val="00646927"/>
    <w:rsid w:val="00652E48"/>
    <w:rsid w:val="00664DE2"/>
    <w:rsid w:val="00666039"/>
    <w:rsid w:val="00684B77"/>
    <w:rsid w:val="006A556C"/>
    <w:rsid w:val="006B05E0"/>
    <w:rsid w:val="006B3BBA"/>
    <w:rsid w:val="006B63D2"/>
    <w:rsid w:val="006D245F"/>
    <w:rsid w:val="006F2B5A"/>
    <w:rsid w:val="006F4715"/>
    <w:rsid w:val="0070316C"/>
    <w:rsid w:val="00705A8F"/>
    <w:rsid w:val="0071285B"/>
    <w:rsid w:val="00725640"/>
    <w:rsid w:val="007275D7"/>
    <w:rsid w:val="007338E3"/>
    <w:rsid w:val="0074000A"/>
    <w:rsid w:val="0074116B"/>
    <w:rsid w:val="007505C3"/>
    <w:rsid w:val="00751999"/>
    <w:rsid w:val="00754E7D"/>
    <w:rsid w:val="00757263"/>
    <w:rsid w:val="0076081E"/>
    <w:rsid w:val="00763F04"/>
    <w:rsid w:val="0076428F"/>
    <w:rsid w:val="00764807"/>
    <w:rsid w:val="007733C9"/>
    <w:rsid w:val="00777791"/>
    <w:rsid w:val="00790DC9"/>
    <w:rsid w:val="00793B6F"/>
    <w:rsid w:val="007B6C93"/>
    <w:rsid w:val="007C0493"/>
    <w:rsid w:val="007C300C"/>
    <w:rsid w:val="007C4626"/>
    <w:rsid w:val="007D1247"/>
    <w:rsid w:val="007D3E6E"/>
    <w:rsid w:val="007D63FB"/>
    <w:rsid w:val="007D693E"/>
    <w:rsid w:val="007D7AC1"/>
    <w:rsid w:val="007E0FA9"/>
    <w:rsid w:val="007E157D"/>
    <w:rsid w:val="007E492A"/>
    <w:rsid w:val="007F18B8"/>
    <w:rsid w:val="007F2D04"/>
    <w:rsid w:val="00811EAA"/>
    <w:rsid w:val="00811F34"/>
    <w:rsid w:val="00814BB4"/>
    <w:rsid w:val="008278B4"/>
    <w:rsid w:val="008322A7"/>
    <w:rsid w:val="008336C8"/>
    <w:rsid w:val="008412CC"/>
    <w:rsid w:val="00853AC5"/>
    <w:rsid w:val="00855737"/>
    <w:rsid w:val="00855994"/>
    <w:rsid w:val="00857FA9"/>
    <w:rsid w:val="0086037C"/>
    <w:rsid w:val="00860930"/>
    <w:rsid w:val="00870008"/>
    <w:rsid w:val="00871282"/>
    <w:rsid w:val="00875E3E"/>
    <w:rsid w:val="00895C1A"/>
    <w:rsid w:val="008970B4"/>
    <w:rsid w:val="008A5638"/>
    <w:rsid w:val="008B46B2"/>
    <w:rsid w:val="008C0091"/>
    <w:rsid w:val="008C4C8E"/>
    <w:rsid w:val="008C54BF"/>
    <w:rsid w:val="008E0870"/>
    <w:rsid w:val="008E3C19"/>
    <w:rsid w:val="008E5B7C"/>
    <w:rsid w:val="008F6918"/>
    <w:rsid w:val="00905312"/>
    <w:rsid w:val="0091691A"/>
    <w:rsid w:val="009226DC"/>
    <w:rsid w:val="009228D2"/>
    <w:rsid w:val="00923946"/>
    <w:rsid w:val="00927A17"/>
    <w:rsid w:val="00930BF9"/>
    <w:rsid w:val="00932481"/>
    <w:rsid w:val="009343F4"/>
    <w:rsid w:val="009430A2"/>
    <w:rsid w:val="00944529"/>
    <w:rsid w:val="00945363"/>
    <w:rsid w:val="00962079"/>
    <w:rsid w:val="009757FD"/>
    <w:rsid w:val="00977221"/>
    <w:rsid w:val="00982034"/>
    <w:rsid w:val="009873B8"/>
    <w:rsid w:val="0099499C"/>
    <w:rsid w:val="009A18FB"/>
    <w:rsid w:val="009A48FE"/>
    <w:rsid w:val="009A4A62"/>
    <w:rsid w:val="009A6715"/>
    <w:rsid w:val="009A7EE9"/>
    <w:rsid w:val="009C6D89"/>
    <w:rsid w:val="009C7442"/>
    <w:rsid w:val="009C7F21"/>
    <w:rsid w:val="009D1F15"/>
    <w:rsid w:val="009D36DE"/>
    <w:rsid w:val="009D6DC8"/>
    <w:rsid w:val="009E28C2"/>
    <w:rsid w:val="009E5A67"/>
    <w:rsid w:val="009E79D8"/>
    <w:rsid w:val="009F065F"/>
    <w:rsid w:val="00A0018F"/>
    <w:rsid w:val="00A02827"/>
    <w:rsid w:val="00A11E5A"/>
    <w:rsid w:val="00A12EFD"/>
    <w:rsid w:val="00A23985"/>
    <w:rsid w:val="00A26A03"/>
    <w:rsid w:val="00A310DC"/>
    <w:rsid w:val="00A37ADF"/>
    <w:rsid w:val="00A511BA"/>
    <w:rsid w:val="00A8127B"/>
    <w:rsid w:val="00A85919"/>
    <w:rsid w:val="00A914D2"/>
    <w:rsid w:val="00A93CF7"/>
    <w:rsid w:val="00A97367"/>
    <w:rsid w:val="00AA1528"/>
    <w:rsid w:val="00AA4A17"/>
    <w:rsid w:val="00AA5033"/>
    <w:rsid w:val="00AA5380"/>
    <w:rsid w:val="00AB45E9"/>
    <w:rsid w:val="00AB7DDF"/>
    <w:rsid w:val="00AC14B6"/>
    <w:rsid w:val="00AC1A2E"/>
    <w:rsid w:val="00AC7C0E"/>
    <w:rsid w:val="00AD2335"/>
    <w:rsid w:val="00AD3761"/>
    <w:rsid w:val="00AD6E8B"/>
    <w:rsid w:val="00AE7DAC"/>
    <w:rsid w:val="00B03683"/>
    <w:rsid w:val="00B05D95"/>
    <w:rsid w:val="00B10BE3"/>
    <w:rsid w:val="00B14C2E"/>
    <w:rsid w:val="00B14E12"/>
    <w:rsid w:val="00B17BAC"/>
    <w:rsid w:val="00B2761E"/>
    <w:rsid w:val="00B2791A"/>
    <w:rsid w:val="00B344E5"/>
    <w:rsid w:val="00B3568E"/>
    <w:rsid w:val="00B37017"/>
    <w:rsid w:val="00B46147"/>
    <w:rsid w:val="00B4749B"/>
    <w:rsid w:val="00B47C59"/>
    <w:rsid w:val="00B61A29"/>
    <w:rsid w:val="00B64477"/>
    <w:rsid w:val="00B672D4"/>
    <w:rsid w:val="00B71A99"/>
    <w:rsid w:val="00B7663C"/>
    <w:rsid w:val="00B87172"/>
    <w:rsid w:val="00B87AF4"/>
    <w:rsid w:val="00B92025"/>
    <w:rsid w:val="00B946E5"/>
    <w:rsid w:val="00BA091C"/>
    <w:rsid w:val="00BA10D2"/>
    <w:rsid w:val="00BA4D20"/>
    <w:rsid w:val="00BA7526"/>
    <w:rsid w:val="00BB2AB5"/>
    <w:rsid w:val="00BC3853"/>
    <w:rsid w:val="00BD2338"/>
    <w:rsid w:val="00BD30E4"/>
    <w:rsid w:val="00BD4180"/>
    <w:rsid w:val="00BD60E0"/>
    <w:rsid w:val="00BD7B24"/>
    <w:rsid w:val="00BE79DA"/>
    <w:rsid w:val="00BF0C19"/>
    <w:rsid w:val="00BF18C9"/>
    <w:rsid w:val="00BF7635"/>
    <w:rsid w:val="00C13638"/>
    <w:rsid w:val="00C142F2"/>
    <w:rsid w:val="00C215F1"/>
    <w:rsid w:val="00C24A34"/>
    <w:rsid w:val="00C335C5"/>
    <w:rsid w:val="00C41B93"/>
    <w:rsid w:val="00C41E55"/>
    <w:rsid w:val="00C437F7"/>
    <w:rsid w:val="00C44880"/>
    <w:rsid w:val="00C57036"/>
    <w:rsid w:val="00C608C1"/>
    <w:rsid w:val="00C621A0"/>
    <w:rsid w:val="00C63854"/>
    <w:rsid w:val="00C64112"/>
    <w:rsid w:val="00C656FF"/>
    <w:rsid w:val="00C66B75"/>
    <w:rsid w:val="00C73478"/>
    <w:rsid w:val="00C83E6A"/>
    <w:rsid w:val="00C8713F"/>
    <w:rsid w:val="00C94740"/>
    <w:rsid w:val="00CA173D"/>
    <w:rsid w:val="00CB2E04"/>
    <w:rsid w:val="00CC1E07"/>
    <w:rsid w:val="00CC3A0B"/>
    <w:rsid w:val="00CC644C"/>
    <w:rsid w:val="00CD4261"/>
    <w:rsid w:val="00CF1350"/>
    <w:rsid w:val="00CF2F7B"/>
    <w:rsid w:val="00D0076B"/>
    <w:rsid w:val="00D06149"/>
    <w:rsid w:val="00D25421"/>
    <w:rsid w:val="00D309B0"/>
    <w:rsid w:val="00D312A6"/>
    <w:rsid w:val="00D31F38"/>
    <w:rsid w:val="00D401D7"/>
    <w:rsid w:val="00D4035B"/>
    <w:rsid w:val="00D43AB3"/>
    <w:rsid w:val="00D444BA"/>
    <w:rsid w:val="00D4566C"/>
    <w:rsid w:val="00D54B2D"/>
    <w:rsid w:val="00D6079A"/>
    <w:rsid w:val="00D81DFB"/>
    <w:rsid w:val="00D82EC1"/>
    <w:rsid w:val="00D84D37"/>
    <w:rsid w:val="00D942D9"/>
    <w:rsid w:val="00D94EC3"/>
    <w:rsid w:val="00D97850"/>
    <w:rsid w:val="00DA451A"/>
    <w:rsid w:val="00DB1865"/>
    <w:rsid w:val="00DB37C4"/>
    <w:rsid w:val="00DB5A7F"/>
    <w:rsid w:val="00DB7B48"/>
    <w:rsid w:val="00DC37EA"/>
    <w:rsid w:val="00DC735E"/>
    <w:rsid w:val="00DE03E0"/>
    <w:rsid w:val="00DE1003"/>
    <w:rsid w:val="00DE3336"/>
    <w:rsid w:val="00DE6271"/>
    <w:rsid w:val="00E10C35"/>
    <w:rsid w:val="00E16501"/>
    <w:rsid w:val="00E218B9"/>
    <w:rsid w:val="00E315C4"/>
    <w:rsid w:val="00E366AD"/>
    <w:rsid w:val="00E37079"/>
    <w:rsid w:val="00E458CF"/>
    <w:rsid w:val="00E47E33"/>
    <w:rsid w:val="00E50E39"/>
    <w:rsid w:val="00E520D2"/>
    <w:rsid w:val="00E62CCC"/>
    <w:rsid w:val="00E8499A"/>
    <w:rsid w:val="00E8717E"/>
    <w:rsid w:val="00EA6C2F"/>
    <w:rsid w:val="00EC5F63"/>
    <w:rsid w:val="00ED59B9"/>
    <w:rsid w:val="00EE3ADF"/>
    <w:rsid w:val="00EE4FC4"/>
    <w:rsid w:val="00EF79BA"/>
    <w:rsid w:val="00F14DB0"/>
    <w:rsid w:val="00F14F02"/>
    <w:rsid w:val="00F154FE"/>
    <w:rsid w:val="00F21AC1"/>
    <w:rsid w:val="00F2550C"/>
    <w:rsid w:val="00F32B28"/>
    <w:rsid w:val="00F405EC"/>
    <w:rsid w:val="00F51A98"/>
    <w:rsid w:val="00F529F2"/>
    <w:rsid w:val="00F920C2"/>
    <w:rsid w:val="00F95876"/>
    <w:rsid w:val="00FA0AC6"/>
    <w:rsid w:val="00FA1F6A"/>
    <w:rsid w:val="00FA753E"/>
    <w:rsid w:val="00FB563F"/>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0965-par-valsts-budzetu-2020-gad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ne.adijane@fm.gov.lv" TargetMode="External"/><Relationship Id="rId4" Type="http://schemas.openxmlformats.org/officeDocument/2006/relationships/settings" Target="settings.xml"/><Relationship Id="rId9" Type="http://schemas.openxmlformats.org/officeDocument/2006/relationships/hyperlink" Target="https://likumi.lv/ta/id/310965-par-valsts-budzetu-2020-gad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C44E-9951-4DAB-ABED-42426725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7660</Words>
  <Characters>4367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programmā 02.00.00 “L'dzekļi neparedzētiem gadījumiem”” sākotnējās ietekmes novērtējuma ziņojums </vt:lpstr>
    </vt:vector>
  </TitlesOfParts>
  <Company>Finanšu ministrija</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programmā 02.00.00 “L'dzekļi neparedzētiem gadījumiem”” sākotnējās ietekmes novērtējuma ziņojums (anotācija)</dc:title>
  <dc:subject>Anotācija</dc:subject>
  <dc:creator>Zane Adijāne</dc:creator>
  <cp:keywords/>
  <dc:description>zane.adijane@fm.gov.lv; 67095437</dc:description>
  <cp:lastModifiedBy>Zane Adijāne</cp:lastModifiedBy>
  <cp:revision>4</cp:revision>
  <cp:lastPrinted>2019-09-11T11:17:00Z</cp:lastPrinted>
  <dcterms:created xsi:type="dcterms:W3CDTF">2020-11-30T11:40:00Z</dcterms:created>
  <dcterms:modified xsi:type="dcterms:W3CDTF">2020-11-30T11:43:00Z</dcterms:modified>
</cp:coreProperties>
</file>