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32E1" w14:textId="77777777" w:rsidR="00C6510B" w:rsidRPr="00B1212B" w:rsidRDefault="00C6510B" w:rsidP="00C6510B">
      <w:pPr>
        <w:pStyle w:val="BodyText2"/>
        <w:tabs>
          <w:tab w:val="left" w:pos="1560"/>
        </w:tabs>
        <w:jc w:val="center"/>
        <w:rPr>
          <w:b/>
          <w:sz w:val="26"/>
          <w:szCs w:val="26"/>
        </w:rPr>
      </w:pPr>
      <w:r w:rsidRPr="00B1212B">
        <w:rPr>
          <w:b/>
          <w:sz w:val="26"/>
          <w:szCs w:val="26"/>
        </w:rPr>
        <w:t>Ministru kabineta noteikumu projekta</w:t>
      </w:r>
    </w:p>
    <w:p w14:paraId="4FEACBB0" w14:textId="77777777" w:rsidR="00587C81" w:rsidRPr="00B1212B" w:rsidRDefault="00C6510B" w:rsidP="00587C81">
      <w:pPr>
        <w:pStyle w:val="BodyText2"/>
        <w:tabs>
          <w:tab w:val="left" w:pos="1560"/>
        </w:tabs>
        <w:jc w:val="center"/>
        <w:rPr>
          <w:b/>
          <w:sz w:val="26"/>
          <w:szCs w:val="26"/>
        </w:rPr>
      </w:pPr>
      <w:r w:rsidRPr="00B1212B">
        <w:rPr>
          <w:b/>
          <w:sz w:val="26"/>
          <w:szCs w:val="26"/>
        </w:rPr>
        <w:t>„</w:t>
      </w:r>
      <w:r w:rsidR="00A3679B" w:rsidRPr="00B1212B">
        <w:rPr>
          <w:b/>
          <w:sz w:val="26"/>
          <w:szCs w:val="26"/>
        </w:rPr>
        <w:t>Grozījumi Ministru kabineta 2017.gada 14.novembra noteikumos Nr.677 “Uzņēmumu ienākuma nodokļa likuma normu piemērošanas noteikumi”</w:t>
      </w:r>
      <w:r w:rsidRPr="00B1212B">
        <w:rPr>
          <w:b/>
          <w:sz w:val="26"/>
          <w:szCs w:val="26"/>
        </w:rPr>
        <w:t>” sākotnējās ietekmes novērtējuma ziņojums (anotācija)</w:t>
      </w:r>
    </w:p>
    <w:p w14:paraId="7D94F2A1" w14:textId="77777777" w:rsidR="00587C81" w:rsidRPr="00B1212B"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B1212B" w14:paraId="1861E117" w14:textId="77777777"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62D0692"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sz w:val="26"/>
                <w:szCs w:val="26"/>
              </w:rPr>
              <w:t>Tiesību akta projekta anotācijas kopsavilkums</w:t>
            </w:r>
          </w:p>
        </w:tc>
      </w:tr>
      <w:tr w:rsidR="0091261F" w:rsidRPr="00B1212B" w14:paraId="7478FAFB" w14:textId="77777777" w:rsidTr="00281052">
        <w:tc>
          <w:tcPr>
            <w:tcW w:w="1447" w:type="pct"/>
            <w:tcBorders>
              <w:top w:val="outset" w:sz="6" w:space="0" w:color="414142"/>
              <w:left w:val="outset" w:sz="6" w:space="0" w:color="414142"/>
              <w:bottom w:val="outset" w:sz="6" w:space="0" w:color="414142"/>
              <w:right w:val="outset" w:sz="6" w:space="0" w:color="414142"/>
            </w:tcBorders>
            <w:hideMark/>
          </w:tcPr>
          <w:p w14:paraId="7E04DEDB"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14:paraId="6A2A7D06" w14:textId="0D7CD6D4" w:rsidR="0063157D" w:rsidRDefault="0063157D" w:rsidP="0063157D">
            <w:pPr>
              <w:spacing w:after="0" w:line="240" w:lineRule="auto"/>
              <w:jc w:val="both"/>
              <w:rPr>
                <w:rFonts w:ascii="Times New Roman" w:eastAsia="Times New Roman" w:hAnsi="Times New Roman" w:cs="Times New Roman"/>
                <w:sz w:val="26"/>
                <w:szCs w:val="26"/>
              </w:rPr>
            </w:pPr>
            <w:r w:rsidRPr="00EC76C1">
              <w:rPr>
                <w:rFonts w:ascii="Times New Roman" w:eastAsia="Times New Roman" w:hAnsi="Times New Roman" w:cs="Times New Roman"/>
                <w:sz w:val="26"/>
                <w:szCs w:val="26"/>
              </w:rPr>
              <w:t>Noteikumu projekts „Grozījumi Ministru kabineta 2017.gada 14.novembra noteikumos Nr.677 “Uzņēmumu ienākuma nodokļa likuma normu piemērošanas noteikumi”” (turpmāk – noteikumu projekts) izstrādāts, lai Latvijas tiesiskajā regulējumā iestrādātu pasaules</w:t>
            </w:r>
            <w:r>
              <w:rPr>
                <w:rFonts w:ascii="Times New Roman" w:eastAsia="Times New Roman" w:hAnsi="Times New Roman" w:cs="Times New Roman"/>
                <w:sz w:val="26"/>
                <w:szCs w:val="26"/>
              </w:rPr>
              <w:t xml:space="preserve"> valstu</w:t>
            </w:r>
            <w:r w:rsidRPr="00EC76C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jaunāko</w:t>
            </w:r>
            <w:r w:rsidRPr="00EC76C1">
              <w:rPr>
                <w:rFonts w:ascii="Times New Roman" w:eastAsia="Times New Roman" w:hAnsi="Times New Roman" w:cs="Times New Roman"/>
                <w:sz w:val="26"/>
                <w:szCs w:val="26"/>
              </w:rPr>
              <w:t xml:space="preserve"> praksi transfertcenu metod</w:t>
            </w:r>
            <w:r>
              <w:rPr>
                <w:rFonts w:ascii="Times New Roman" w:eastAsia="Times New Roman" w:hAnsi="Times New Roman" w:cs="Times New Roman"/>
                <w:sz w:val="26"/>
                <w:szCs w:val="26"/>
              </w:rPr>
              <w:t>es</w:t>
            </w:r>
            <w:r w:rsidRPr="00EC76C1">
              <w:rPr>
                <w:rFonts w:ascii="Times New Roman" w:eastAsia="Times New Roman" w:hAnsi="Times New Roman" w:cs="Times New Roman"/>
                <w:sz w:val="26"/>
                <w:szCs w:val="26"/>
              </w:rPr>
              <w:t xml:space="preserve"> – peļņas sadalīšanas metode</w:t>
            </w:r>
            <w:r>
              <w:rPr>
                <w:rFonts w:ascii="Times New Roman" w:eastAsia="Times New Roman" w:hAnsi="Times New Roman" w:cs="Times New Roman"/>
                <w:sz w:val="26"/>
                <w:szCs w:val="26"/>
              </w:rPr>
              <w:t xml:space="preserve"> -</w:t>
            </w:r>
            <w:r w:rsidRPr="00EC76C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EC76C1">
              <w:rPr>
                <w:rFonts w:ascii="Times New Roman" w:eastAsia="Times New Roman" w:hAnsi="Times New Roman" w:cs="Times New Roman"/>
                <w:sz w:val="26"/>
                <w:szCs w:val="26"/>
              </w:rPr>
              <w:t>piemērošanā</w:t>
            </w:r>
            <w:r>
              <w:rPr>
                <w:rFonts w:ascii="Times New Roman" w:eastAsia="Times New Roman" w:hAnsi="Times New Roman" w:cs="Times New Roman"/>
                <w:sz w:val="26"/>
                <w:szCs w:val="26"/>
              </w:rPr>
              <w:t xml:space="preserve">, tādējādi padarot </w:t>
            </w:r>
            <w:r w:rsidR="00F662AB">
              <w:rPr>
                <w:rFonts w:ascii="Times New Roman" w:eastAsia="Times New Roman" w:hAnsi="Times New Roman" w:cs="Times New Roman"/>
                <w:sz w:val="26"/>
                <w:szCs w:val="26"/>
              </w:rPr>
              <w:t>to</w:t>
            </w:r>
            <w:r>
              <w:rPr>
                <w:rFonts w:ascii="Times New Roman" w:eastAsia="Times New Roman" w:hAnsi="Times New Roman" w:cs="Times New Roman"/>
                <w:sz w:val="26"/>
                <w:szCs w:val="26"/>
              </w:rPr>
              <w:t xml:space="preserve"> saskaņotāku ar citu valstu regulējumu un vienkāršāk piemērojamu.</w:t>
            </w:r>
          </w:p>
          <w:p w14:paraId="1BE67DE8" w14:textId="505BD159" w:rsidR="005C167D" w:rsidRPr="00EC76C1" w:rsidRDefault="0063157D" w:rsidP="0063157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Grozījumi noteikumos stāsies spēkā vispārējā kārtībā.</w:t>
            </w:r>
          </w:p>
        </w:tc>
      </w:tr>
    </w:tbl>
    <w:p w14:paraId="604156E2" w14:textId="77777777" w:rsidR="00543AA6" w:rsidRPr="00B1212B"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1988"/>
        <w:gridCol w:w="6512"/>
      </w:tblGrid>
      <w:tr w:rsidR="0091261F" w:rsidRPr="00B1212B" w14:paraId="665CD65B" w14:textId="77777777"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AF04ED"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 Tiesību akta projekta izstrādes nepieciešamība</w:t>
            </w:r>
          </w:p>
        </w:tc>
      </w:tr>
      <w:tr w:rsidR="0091261F" w:rsidRPr="00B1212B" w14:paraId="47A4E67B"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12984E3B"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098" w:type="pct"/>
            <w:tcBorders>
              <w:top w:val="outset" w:sz="6" w:space="0" w:color="414142"/>
              <w:left w:val="outset" w:sz="6" w:space="0" w:color="414142"/>
              <w:bottom w:val="outset" w:sz="6" w:space="0" w:color="414142"/>
              <w:right w:val="outset" w:sz="6" w:space="0" w:color="414142"/>
            </w:tcBorders>
            <w:hideMark/>
          </w:tcPr>
          <w:p w14:paraId="77FDF9DB"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65675140" w14:textId="77777777" w:rsidR="00843190" w:rsidRPr="00B1212B" w:rsidRDefault="00792AA3" w:rsidP="00EC76C1">
            <w:pPr>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Finanšu ministrijas un Valsts ieņēmumu dienesta iniciatīva</w:t>
            </w:r>
            <w:r w:rsidR="00025B0E">
              <w:rPr>
                <w:rFonts w:ascii="Times New Roman" w:eastAsia="Times New Roman" w:hAnsi="Times New Roman" w:cs="Times New Roman"/>
                <w:bCs/>
                <w:sz w:val="26"/>
                <w:szCs w:val="26"/>
                <w:lang w:eastAsia="lv-LV"/>
              </w:rPr>
              <w:t>.</w:t>
            </w:r>
          </w:p>
        </w:tc>
      </w:tr>
      <w:tr w:rsidR="0091261F" w:rsidRPr="00B1212B" w14:paraId="1301D66A"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1C2ADB8C"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1098" w:type="pct"/>
            <w:tcBorders>
              <w:top w:val="outset" w:sz="6" w:space="0" w:color="414142"/>
              <w:left w:val="outset" w:sz="6" w:space="0" w:color="414142"/>
              <w:bottom w:val="outset" w:sz="6" w:space="0" w:color="414142"/>
              <w:right w:val="outset" w:sz="6" w:space="0" w:color="414142"/>
            </w:tcBorders>
            <w:hideMark/>
          </w:tcPr>
          <w:p w14:paraId="33353BB0" w14:textId="77777777" w:rsidR="00543AA6" w:rsidRPr="00B1212B" w:rsidRDefault="00543AA6" w:rsidP="0041586B">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tcPr>
          <w:p w14:paraId="1C3FA0C3" w14:textId="6D7B1E11" w:rsidR="0004027C" w:rsidRDefault="0004027C" w:rsidP="0004027C">
            <w:pPr>
              <w:spacing w:after="0" w:line="240" w:lineRule="auto"/>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Uzņēmumu ienākuma nodokļa likuma </w:t>
            </w:r>
            <w:r w:rsidR="005D2EF9">
              <w:rPr>
                <w:rFonts w:ascii="Times New Roman" w:eastAsia="Times New Roman" w:hAnsi="Times New Roman" w:cs="Times New Roman"/>
                <w:bCs/>
                <w:sz w:val="26"/>
                <w:szCs w:val="26"/>
                <w:lang w:eastAsia="lv-LV"/>
              </w:rPr>
              <w:t>4</w:t>
            </w:r>
            <w:r>
              <w:rPr>
                <w:rFonts w:ascii="Times New Roman" w:eastAsia="Times New Roman" w:hAnsi="Times New Roman" w:cs="Times New Roman"/>
                <w:bCs/>
                <w:sz w:val="26"/>
                <w:szCs w:val="26"/>
                <w:lang w:eastAsia="lv-LV"/>
              </w:rPr>
              <w:t>.panta otrās daļas 2.punkta “e” apakšpunktā ir ietverts princips, ka saistītām personām savstarpējas finanšu un komerciālas attiecības jāveido</w:t>
            </w:r>
            <w:r w:rsidR="00792AA3">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pamatojoties uz noteikumiem, kādi </w:t>
            </w:r>
            <w:r w:rsidRPr="008C07B2">
              <w:rPr>
                <w:rFonts w:ascii="Times New Roman" w:eastAsia="Times New Roman" w:hAnsi="Times New Roman" w:cs="Times New Roman"/>
                <w:bCs/>
                <w:sz w:val="26"/>
                <w:szCs w:val="26"/>
                <w:lang w:eastAsia="lv-LV"/>
              </w:rPr>
              <w:t>būtu spēkā starp divām neatkarīgām personām, un ja šo starp saistītām personām (no kurām viena ir</w:t>
            </w:r>
            <w:r>
              <w:rPr>
                <w:rFonts w:ascii="Times New Roman" w:eastAsia="Times New Roman" w:hAnsi="Times New Roman" w:cs="Times New Roman"/>
                <w:bCs/>
                <w:sz w:val="26"/>
                <w:szCs w:val="26"/>
                <w:lang w:eastAsia="lv-LV"/>
              </w:rPr>
              <w:t xml:space="preserve"> uzņēmumu ienākuma</w:t>
            </w:r>
            <w:r w:rsidRPr="008C07B2">
              <w:rPr>
                <w:rFonts w:ascii="Times New Roman" w:eastAsia="Times New Roman" w:hAnsi="Times New Roman" w:cs="Times New Roman"/>
                <w:bCs/>
                <w:sz w:val="26"/>
                <w:szCs w:val="26"/>
                <w:lang w:eastAsia="lv-LV"/>
              </w:rPr>
              <w:t xml:space="preserve"> nodokļa maksātājs) slēgto darījumu vērtība būtu atbilstoša tirgus cenai (vērtībai), kuras aprēķināšanas metodes nosaka Ministru kabinets</w:t>
            </w:r>
            <w:r>
              <w:rPr>
                <w:rFonts w:ascii="Times New Roman" w:eastAsia="Times New Roman" w:hAnsi="Times New Roman" w:cs="Times New Roman"/>
                <w:bCs/>
                <w:sz w:val="26"/>
                <w:szCs w:val="26"/>
                <w:lang w:eastAsia="lv-LV"/>
              </w:rPr>
              <w:t>. Minētās tirgus cenas (vērtības) aprēķināšanas metodes (turpmāk</w:t>
            </w:r>
            <w:r w:rsidR="00792AA3">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 transfertcenu metodes) ir noteiktas Ministru kabineta 2017.gada 14.novembra noteikumu Nr.677 “</w:t>
            </w:r>
            <w:r w:rsidRPr="00CF6668">
              <w:rPr>
                <w:rFonts w:ascii="Times New Roman" w:eastAsia="Times New Roman" w:hAnsi="Times New Roman" w:cs="Times New Roman"/>
                <w:bCs/>
                <w:sz w:val="26"/>
                <w:szCs w:val="26"/>
                <w:lang w:eastAsia="lv-LV"/>
              </w:rPr>
              <w:t>Uzņēmumu ienākuma nodokļa likuma normu piemērošanas noteikumi</w:t>
            </w:r>
            <w:r>
              <w:rPr>
                <w:rFonts w:ascii="Times New Roman" w:eastAsia="Times New Roman" w:hAnsi="Times New Roman" w:cs="Times New Roman"/>
                <w:bCs/>
                <w:sz w:val="26"/>
                <w:szCs w:val="26"/>
                <w:lang w:eastAsia="lv-LV"/>
              </w:rPr>
              <w:t xml:space="preserve">” (turpmāk – UIN noteikumi) </w:t>
            </w:r>
            <w:r w:rsidRPr="00D87A4D">
              <w:rPr>
                <w:rFonts w:ascii="Times New Roman" w:eastAsia="Times New Roman" w:hAnsi="Times New Roman" w:cs="Times New Roman"/>
                <w:bCs/>
                <w:sz w:val="26"/>
                <w:szCs w:val="26"/>
                <w:lang w:eastAsia="lv-LV"/>
              </w:rPr>
              <w:t xml:space="preserve">13., 14., 15., 16. </w:t>
            </w:r>
            <w:r>
              <w:rPr>
                <w:rFonts w:ascii="Times New Roman" w:eastAsia="Times New Roman" w:hAnsi="Times New Roman" w:cs="Times New Roman"/>
                <w:bCs/>
                <w:sz w:val="26"/>
                <w:szCs w:val="26"/>
                <w:lang w:eastAsia="lv-LV"/>
              </w:rPr>
              <w:t>un</w:t>
            </w:r>
            <w:r w:rsidRPr="00D87A4D">
              <w:rPr>
                <w:rFonts w:ascii="Times New Roman" w:eastAsia="Times New Roman" w:hAnsi="Times New Roman" w:cs="Times New Roman"/>
                <w:bCs/>
                <w:sz w:val="26"/>
                <w:szCs w:val="26"/>
                <w:lang w:eastAsia="lv-LV"/>
              </w:rPr>
              <w:t xml:space="preserve"> 17.punktā</w:t>
            </w:r>
            <w:r>
              <w:rPr>
                <w:rFonts w:ascii="Times New Roman" w:eastAsia="Times New Roman" w:hAnsi="Times New Roman" w:cs="Times New Roman"/>
                <w:bCs/>
                <w:sz w:val="26"/>
                <w:szCs w:val="26"/>
                <w:lang w:eastAsia="lv-LV"/>
              </w:rPr>
              <w:t>. UIN noteikumos ietvertais transfertcenu, tajā skaitā, transfertcenu metožu tiesiskais regulējums, noteikts</w:t>
            </w:r>
            <w:r w:rsidR="00792AA3">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pamatojoties uz Ekonomiskās sadarbības un attīstības organizācijas (turpmāk – OECD) dokumentu </w:t>
            </w:r>
            <w:r>
              <w:rPr>
                <w:rStyle w:val="FootnoteReference"/>
                <w:rFonts w:ascii="Times New Roman" w:eastAsia="Times New Roman" w:hAnsi="Times New Roman" w:cs="Times New Roman"/>
                <w:bCs/>
                <w:sz w:val="26"/>
                <w:szCs w:val="26"/>
                <w:lang w:eastAsia="lv-LV"/>
              </w:rPr>
              <w:footnoteReference w:id="1"/>
            </w:r>
            <w:r>
              <w:rPr>
                <w:rFonts w:ascii="Times New Roman" w:eastAsia="Times New Roman" w:hAnsi="Times New Roman" w:cs="Times New Roman"/>
                <w:bCs/>
                <w:sz w:val="26"/>
                <w:szCs w:val="26"/>
                <w:lang w:eastAsia="lv-LV"/>
              </w:rPr>
              <w:t xml:space="preserve"> </w:t>
            </w:r>
            <w:r w:rsidRPr="00CF6668">
              <w:rPr>
                <w:rFonts w:ascii="Times New Roman" w:eastAsia="Times New Roman" w:hAnsi="Times New Roman" w:cs="Times New Roman"/>
                <w:bCs/>
                <w:sz w:val="26"/>
                <w:szCs w:val="26"/>
                <w:lang w:eastAsia="lv-LV"/>
              </w:rPr>
              <w:t>"Transfertcenu noteikšanas vadlīnijas daudznacionāliem komersantiem un nodokļu administrācijām"</w:t>
            </w:r>
            <w:r>
              <w:rPr>
                <w:rFonts w:ascii="Times New Roman" w:eastAsia="Times New Roman" w:hAnsi="Times New Roman" w:cs="Times New Roman"/>
                <w:bCs/>
                <w:sz w:val="26"/>
                <w:szCs w:val="26"/>
                <w:lang w:eastAsia="lv-LV"/>
              </w:rPr>
              <w:t xml:space="preserve"> (turpmāk – TC vadlīnijas), kuras tiek piemērotas kā </w:t>
            </w:r>
            <w:proofErr w:type="spellStart"/>
            <w:r>
              <w:rPr>
                <w:rFonts w:ascii="Times New Roman" w:eastAsia="Times New Roman" w:hAnsi="Times New Roman" w:cs="Times New Roman"/>
                <w:bCs/>
                <w:sz w:val="26"/>
                <w:szCs w:val="26"/>
                <w:lang w:eastAsia="lv-LV"/>
              </w:rPr>
              <w:t>palīgavots</w:t>
            </w:r>
            <w:proofErr w:type="spellEnd"/>
            <w:r>
              <w:rPr>
                <w:rFonts w:ascii="Times New Roman" w:eastAsia="Times New Roman" w:hAnsi="Times New Roman" w:cs="Times New Roman"/>
                <w:bCs/>
                <w:sz w:val="26"/>
                <w:szCs w:val="26"/>
                <w:lang w:eastAsia="lv-LV"/>
              </w:rPr>
              <w:t xml:space="preserve"> atbilstoši UIN noteikumu 19.punktam.</w:t>
            </w:r>
          </w:p>
          <w:p w14:paraId="500719CD" w14:textId="77777777" w:rsidR="0004027C" w:rsidRDefault="0004027C" w:rsidP="0004027C">
            <w:pPr>
              <w:spacing w:after="0" w:line="240" w:lineRule="auto"/>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2018.gada 21.jūnijā OECD publicēja dokumentu “Pārskatītās vadlīnijas peļņas sadalīšanas metodes piemērošanā: OECD/G20 Bāzes erozijas un peļņas novirzīšanas projekta </w:t>
            </w:r>
            <w:r>
              <w:rPr>
                <w:rFonts w:ascii="Times New Roman" w:eastAsia="Times New Roman" w:hAnsi="Times New Roman" w:cs="Times New Roman"/>
                <w:bCs/>
                <w:sz w:val="26"/>
                <w:szCs w:val="26"/>
                <w:lang w:eastAsia="lv-LV"/>
              </w:rPr>
              <w:lastRenderedPageBreak/>
              <w:t>10.aktivitāte</w:t>
            </w:r>
            <w:r>
              <w:rPr>
                <w:rStyle w:val="FootnoteReference"/>
                <w:rFonts w:ascii="Times New Roman" w:eastAsia="Times New Roman" w:hAnsi="Times New Roman" w:cs="Times New Roman"/>
                <w:bCs/>
                <w:sz w:val="26"/>
                <w:szCs w:val="26"/>
                <w:lang w:eastAsia="lv-LV"/>
              </w:rPr>
              <w:footnoteReference w:id="2"/>
            </w:r>
            <w:r>
              <w:rPr>
                <w:rFonts w:ascii="Times New Roman" w:eastAsia="Times New Roman" w:hAnsi="Times New Roman" w:cs="Times New Roman"/>
                <w:bCs/>
                <w:sz w:val="26"/>
                <w:szCs w:val="26"/>
                <w:lang w:eastAsia="lv-LV"/>
              </w:rPr>
              <w:t xml:space="preserve"> (turpmāk PSM ziņojums). </w:t>
            </w:r>
            <w:r w:rsidR="008F670E">
              <w:rPr>
                <w:rFonts w:ascii="Times New Roman" w:eastAsia="Times New Roman" w:hAnsi="Times New Roman" w:cs="Times New Roman"/>
                <w:bCs/>
                <w:sz w:val="26"/>
                <w:szCs w:val="26"/>
                <w:lang w:eastAsia="lv-LV"/>
              </w:rPr>
              <w:t xml:space="preserve">Kā izriet no OECD mājas lapā pieejamās informācijas, </w:t>
            </w:r>
            <w:r>
              <w:rPr>
                <w:rFonts w:ascii="Times New Roman" w:eastAsia="Times New Roman" w:hAnsi="Times New Roman" w:cs="Times New Roman"/>
                <w:bCs/>
                <w:sz w:val="26"/>
                <w:szCs w:val="26"/>
                <w:lang w:eastAsia="lv-LV"/>
              </w:rPr>
              <w:t>2021.gada sākumā minētā dokumenta saturs tiks ietverts TC vadlīnijās</w:t>
            </w:r>
            <w:r>
              <w:rPr>
                <w:rStyle w:val="FootnoteReference"/>
                <w:rFonts w:ascii="Times New Roman" w:eastAsia="Times New Roman" w:hAnsi="Times New Roman" w:cs="Times New Roman"/>
                <w:bCs/>
                <w:sz w:val="26"/>
                <w:szCs w:val="26"/>
                <w:lang w:eastAsia="lv-LV"/>
              </w:rPr>
              <w:footnoteReference w:id="3"/>
            </w:r>
            <w:r>
              <w:rPr>
                <w:rFonts w:ascii="Times New Roman" w:eastAsia="Times New Roman" w:hAnsi="Times New Roman" w:cs="Times New Roman"/>
                <w:bCs/>
                <w:sz w:val="26"/>
                <w:szCs w:val="26"/>
                <w:lang w:eastAsia="lv-LV"/>
              </w:rPr>
              <w:t>.</w:t>
            </w:r>
          </w:p>
          <w:p w14:paraId="3B75B9D2" w14:textId="77777777" w:rsidR="0004027C" w:rsidRDefault="0004027C" w:rsidP="0004027C">
            <w:pPr>
              <w:spacing w:after="0" w:line="240" w:lineRule="auto"/>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PSM ziņojuma galvenais mērķis ir padarīt peļņas sadalīšanas metodes regulējumu skaidrāku, lai varētu labāk nodrošināt, ka saistītās personas savstarpējas finanšu un komerciālas attiecības veido</w:t>
            </w:r>
            <w:r w:rsidR="00792AA3">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pamatojoties uz noteikumiem, kādi </w:t>
            </w:r>
            <w:r w:rsidRPr="008C07B2">
              <w:rPr>
                <w:rFonts w:ascii="Times New Roman" w:eastAsia="Times New Roman" w:hAnsi="Times New Roman" w:cs="Times New Roman"/>
                <w:bCs/>
                <w:sz w:val="26"/>
                <w:szCs w:val="26"/>
                <w:lang w:eastAsia="lv-LV"/>
              </w:rPr>
              <w:t>būtu spēkā starp neatkarīgām personām, un ja šo starp saistītām personām slēgto darījumu vērtība būtu atbilstoša tirgus cenai (vērtībai)</w:t>
            </w:r>
            <w:r>
              <w:rPr>
                <w:rFonts w:ascii="Times New Roman" w:eastAsia="Times New Roman" w:hAnsi="Times New Roman" w:cs="Times New Roman"/>
                <w:bCs/>
                <w:sz w:val="26"/>
                <w:szCs w:val="26"/>
                <w:lang w:eastAsia="lv-LV"/>
              </w:rPr>
              <w:t>. Ievērojot minēto, lai arī UIN noteikumos ietvertais peļņas sadalīšanas metodes regulējums būtu skaidrāks, nepieciešams veikt šos UIN noteikumu grozījumus,</w:t>
            </w:r>
            <w:r w:rsidR="00025B0E">
              <w:rPr>
                <w:rFonts w:ascii="Times New Roman" w:eastAsia="Times New Roman" w:hAnsi="Times New Roman" w:cs="Times New Roman"/>
                <w:bCs/>
                <w:sz w:val="26"/>
                <w:szCs w:val="26"/>
                <w:lang w:eastAsia="lv-LV"/>
              </w:rPr>
              <w:t xml:space="preserve"> ievērojot</w:t>
            </w:r>
            <w:r>
              <w:rPr>
                <w:rFonts w:ascii="Times New Roman" w:eastAsia="Times New Roman" w:hAnsi="Times New Roman" w:cs="Times New Roman"/>
                <w:bCs/>
                <w:sz w:val="26"/>
                <w:szCs w:val="26"/>
                <w:lang w:eastAsia="lv-LV"/>
              </w:rPr>
              <w:t xml:space="preserve"> PSM ziņojumā ietvertās atziņas. Ņemot vērā, ka Eiropas Savienības Apvienotais transfertcenu forums ir sagatavojis dokumentu par PSM ziņojumā ietverto vadlīniju interpretāciju</w:t>
            </w:r>
            <w:r>
              <w:rPr>
                <w:rStyle w:val="FootnoteReference"/>
                <w:rFonts w:ascii="Times New Roman" w:eastAsia="Times New Roman" w:hAnsi="Times New Roman" w:cs="Times New Roman"/>
                <w:bCs/>
                <w:sz w:val="26"/>
                <w:szCs w:val="26"/>
                <w:lang w:eastAsia="lv-LV"/>
              </w:rPr>
              <w:footnoteReference w:id="4"/>
            </w:r>
            <w:r>
              <w:rPr>
                <w:rFonts w:ascii="Times New Roman" w:eastAsia="Times New Roman" w:hAnsi="Times New Roman" w:cs="Times New Roman"/>
                <w:bCs/>
                <w:sz w:val="26"/>
                <w:szCs w:val="26"/>
                <w:lang w:eastAsia="lv-LV"/>
              </w:rPr>
              <w:t>, Noteikumu projektā ir ietvertas arī Apvienotā transfertcenu foruma atziņas.</w:t>
            </w:r>
          </w:p>
          <w:p w14:paraId="2E6679CB" w14:textId="77777777" w:rsidR="0004027C" w:rsidRDefault="0046282B" w:rsidP="00CF571D">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Noteikumu projekts nosaka:</w:t>
            </w:r>
          </w:p>
          <w:p w14:paraId="2C5B25AF" w14:textId="77777777" w:rsidR="0046282B" w:rsidRPr="00EC76C1" w:rsidRDefault="0046282B"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6"/>
                <w:szCs w:val="26"/>
                <w:u w:val="single"/>
              </w:rPr>
            </w:pPr>
            <w:r w:rsidRPr="00EC76C1">
              <w:rPr>
                <w:rFonts w:ascii="Times New Roman" w:eastAsia="Times New Roman" w:hAnsi="Times New Roman" w:cs="Times New Roman"/>
                <w:sz w:val="26"/>
                <w:szCs w:val="26"/>
                <w:u w:val="single"/>
              </w:rPr>
              <w:t>Peļņas sadalīšanas metodes būtību.</w:t>
            </w:r>
          </w:p>
          <w:p w14:paraId="3FC1623F" w14:textId="77777777" w:rsidR="0046282B" w:rsidRDefault="0046282B" w:rsidP="0046282B">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Noteikumu projektā ietvertajā UIN noteikumu 17.punktā paredzēts, ka peļņas sadalīšanas metode ir tirgus cenas noteikšanas metode, atbilstoš</w:t>
            </w:r>
            <w:r w:rsidR="007642B8">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kurai tiek noteikta starp saistītajām personām sadalāmā kontrolētā darījuma peļņa, un pēc tās noteikšanas, minētā peļņā tiek sadalīta starp saistītajām personām</w:t>
            </w:r>
            <w:r w:rsidR="00792AA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balstoties uz ekonomiski pamatotu faktoru. Ekonomiski pamatotiem faktoriem izvirzāmās prasības ietvert</w:t>
            </w:r>
            <w:r w:rsidR="00937AA0">
              <w:rPr>
                <w:rFonts w:ascii="Times New Roman" w:eastAsia="Times New Roman" w:hAnsi="Times New Roman" w:cs="Times New Roman"/>
                <w:sz w:val="26"/>
                <w:szCs w:val="26"/>
              </w:rPr>
              <w:t>as</w:t>
            </w:r>
            <w:r>
              <w:rPr>
                <w:rFonts w:ascii="Times New Roman" w:eastAsia="Times New Roman" w:hAnsi="Times New Roman" w:cs="Times New Roman"/>
                <w:sz w:val="26"/>
                <w:szCs w:val="26"/>
              </w:rPr>
              <w:t xml:space="preserve"> Noteikumu projekt</w:t>
            </w:r>
            <w:r w:rsidR="00792AA3">
              <w:rPr>
                <w:rFonts w:ascii="Times New Roman" w:eastAsia="Times New Roman" w:hAnsi="Times New Roman" w:cs="Times New Roman"/>
                <w:sz w:val="26"/>
                <w:szCs w:val="26"/>
              </w:rPr>
              <w:t>ā</w:t>
            </w:r>
            <w:r>
              <w:rPr>
                <w:rFonts w:ascii="Times New Roman" w:eastAsia="Times New Roman" w:hAnsi="Times New Roman" w:cs="Times New Roman"/>
                <w:sz w:val="26"/>
                <w:szCs w:val="26"/>
              </w:rPr>
              <w:t xml:space="preserve"> </w:t>
            </w:r>
            <w:r w:rsidR="007642B8">
              <w:rPr>
                <w:rFonts w:ascii="Times New Roman" w:eastAsia="Times New Roman" w:hAnsi="Times New Roman" w:cs="Times New Roman"/>
                <w:sz w:val="26"/>
                <w:szCs w:val="26"/>
              </w:rPr>
              <w:t xml:space="preserve">atrunātajā </w:t>
            </w:r>
            <w:r>
              <w:rPr>
                <w:rFonts w:ascii="Times New Roman" w:eastAsia="Times New Roman" w:hAnsi="Times New Roman" w:cs="Times New Roman"/>
                <w:sz w:val="26"/>
                <w:szCs w:val="26"/>
              </w:rPr>
              <w:t xml:space="preserve">UIN noteikumu </w:t>
            </w:r>
            <w:r w:rsidRPr="0046282B">
              <w:rPr>
                <w:rFonts w:ascii="Times New Roman" w:eastAsia="Times New Roman" w:hAnsi="Times New Roman" w:cs="Times New Roman"/>
                <w:sz w:val="26"/>
                <w:szCs w:val="26"/>
              </w:rPr>
              <w:t>17.</w:t>
            </w:r>
            <w:r w:rsidRPr="0046282B">
              <w:rPr>
                <w:rFonts w:ascii="Times New Roman" w:eastAsia="Times New Roman" w:hAnsi="Times New Roman" w:cs="Times New Roman"/>
                <w:sz w:val="26"/>
                <w:szCs w:val="26"/>
                <w:vertAlign w:val="superscript"/>
              </w:rPr>
              <w:t>5</w:t>
            </w:r>
            <w:r>
              <w:rPr>
                <w:rFonts w:ascii="Times New Roman" w:eastAsia="Times New Roman" w:hAnsi="Times New Roman" w:cs="Times New Roman"/>
                <w:sz w:val="26"/>
                <w:szCs w:val="26"/>
              </w:rPr>
              <w:t xml:space="preserve"> un </w:t>
            </w:r>
            <w:r w:rsidRPr="0046282B">
              <w:rPr>
                <w:rFonts w:ascii="Times New Roman" w:eastAsia="Times New Roman" w:hAnsi="Times New Roman" w:cs="Times New Roman"/>
                <w:sz w:val="26"/>
                <w:szCs w:val="26"/>
              </w:rPr>
              <w:t>17.</w:t>
            </w:r>
            <w:r>
              <w:rPr>
                <w:rFonts w:ascii="Times New Roman" w:eastAsia="Times New Roman" w:hAnsi="Times New Roman" w:cs="Times New Roman"/>
                <w:sz w:val="26"/>
                <w:szCs w:val="26"/>
                <w:vertAlign w:val="superscript"/>
              </w:rPr>
              <w:t>6</w:t>
            </w:r>
            <w:r>
              <w:rPr>
                <w:rFonts w:ascii="Times New Roman" w:eastAsia="Times New Roman" w:hAnsi="Times New Roman" w:cs="Times New Roman"/>
                <w:sz w:val="26"/>
                <w:szCs w:val="26"/>
              </w:rPr>
              <w:t xml:space="preserve"> punktā.</w:t>
            </w:r>
          </w:p>
          <w:p w14:paraId="78E2E326" w14:textId="77777777" w:rsidR="0046282B" w:rsidRPr="00EC76C1" w:rsidRDefault="0046282B"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6"/>
                <w:szCs w:val="26"/>
                <w:u w:val="single"/>
              </w:rPr>
            </w:pPr>
            <w:r w:rsidRPr="00EC76C1">
              <w:rPr>
                <w:rFonts w:ascii="Times New Roman" w:eastAsia="Times New Roman" w:hAnsi="Times New Roman" w:cs="Times New Roman"/>
                <w:sz w:val="26"/>
                <w:szCs w:val="26"/>
                <w:u w:val="single"/>
              </w:rPr>
              <w:t>Gadījumus, kad peļņas sadales metode var tikt atzīta par visatbilstošāko transfertcenu metodi konkrētajai situācija</w:t>
            </w:r>
            <w:r w:rsidR="003B669E">
              <w:rPr>
                <w:rFonts w:ascii="Times New Roman" w:eastAsia="Times New Roman" w:hAnsi="Times New Roman" w:cs="Times New Roman"/>
                <w:sz w:val="26"/>
                <w:szCs w:val="26"/>
                <w:u w:val="single"/>
              </w:rPr>
              <w:t>i</w:t>
            </w:r>
            <w:r w:rsidRPr="00EC76C1">
              <w:rPr>
                <w:rFonts w:ascii="Times New Roman" w:eastAsia="Times New Roman" w:hAnsi="Times New Roman" w:cs="Times New Roman"/>
                <w:sz w:val="26"/>
                <w:szCs w:val="26"/>
                <w:u w:val="single"/>
              </w:rPr>
              <w:t>.</w:t>
            </w:r>
          </w:p>
          <w:p w14:paraId="333127F6" w14:textId="77777777" w:rsidR="0046282B" w:rsidRDefault="00A20DED" w:rsidP="0046282B">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Lai peļņas sadalīšanas metode tiktu atzīta par visatbilstošāko metodi konkrētajai situācijai, jāizpildās vismaz vienam no šādiem nosacījumiem:</w:t>
            </w:r>
          </w:p>
          <w:p w14:paraId="7FD6C548" w14:textId="77777777" w:rsidR="00A20DED"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abas kontrolētā darījuma puses saistībā ar šo darījumu veic unikālu un vērtīgu ieguldījumu;</w:t>
            </w:r>
          </w:p>
          <w:p w14:paraId="6D5B4ED8" w14:textId="77777777" w:rsidR="00A20DED"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6"/>
                <w:szCs w:val="26"/>
              </w:rPr>
            </w:pPr>
            <w:r w:rsidRPr="00A20DED">
              <w:rPr>
                <w:rFonts w:ascii="Times New Roman" w:eastAsia="Times New Roman" w:hAnsi="Times New Roman" w:cs="Times New Roman"/>
                <w:sz w:val="26"/>
                <w:szCs w:val="26"/>
              </w:rPr>
              <w:t>saistītās personas īsteno savstarpēji augsti integrētu saimnieciskās darbības modeli</w:t>
            </w:r>
            <w:r>
              <w:rPr>
                <w:rFonts w:ascii="Times New Roman" w:eastAsia="Times New Roman" w:hAnsi="Times New Roman" w:cs="Times New Roman"/>
                <w:sz w:val="26"/>
                <w:szCs w:val="26"/>
              </w:rPr>
              <w:t>;</w:t>
            </w:r>
          </w:p>
          <w:p w14:paraId="62EC9FB0" w14:textId="77777777" w:rsidR="00A20DED" w:rsidRDefault="00A20DED" w:rsidP="00EC76C1">
            <w:pPr>
              <w:pStyle w:val="ListParagraph"/>
              <w:numPr>
                <w:ilvl w:val="0"/>
                <w:numId w:val="12"/>
              </w:numPr>
              <w:tabs>
                <w:tab w:val="left" w:pos="4455"/>
              </w:tabs>
              <w:spacing w:after="0" w:line="240" w:lineRule="auto"/>
              <w:jc w:val="both"/>
              <w:rPr>
                <w:rFonts w:ascii="Times New Roman" w:eastAsia="Times New Roman" w:hAnsi="Times New Roman" w:cs="Times New Roman"/>
                <w:sz w:val="26"/>
                <w:szCs w:val="26"/>
              </w:rPr>
            </w:pPr>
            <w:r w:rsidRPr="00A20DED">
              <w:rPr>
                <w:rFonts w:ascii="Times New Roman" w:eastAsia="Times New Roman" w:hAnsi="Times New Roman" w:cs="Times New Roman"/>
                <w:sz w:val="26"/>
                <w:szCs w:val="26"/>
              </w:rPr>
              <w:lastRenderedPageBreak/>
              <w:t>abas kontrolēta darījuma puses</w:t>
            </w:r>
            <w:r>
              <w:rPr>
                <w:rFonts w:ascii="Times New Roman" w:eastAsia="Times New Roman" w:hAnsi="Times New Roman" w:cs="Times New Roman"/>
                <w:sz w:val="26"/>
                <w:szCs w:val="26"/>
              </w:rPr>
              <w:t xml:space="preserve"> kopīgi uzņemas būtisku</w:t>
            </w:r>
            <w:r w:rsidR="003B669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ekonomiskus riskus vai šo pušu uzņemtie būtiskie ekonomiskie riski ir savstarpēji cieši saistīti.</w:t>
            </w:r>
          </w:p>
          <w:p w14:paraId="2AB72072" w14:textId="77777777" w:rsidR="00A20DED" w:rsidRPr="00EC76C1" w:rsidRDefault="00670B55" w:rsidP="00A20DED">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Jāņem vērā, ka iepriekšminētie nosacījumi parasti neizpildās un peļņas sadalīšanas metode netiek atzīta par visatbilstošāko metodi konkrētajai situācijai, ja viena no kontrolētā darījuma pusēm veic tikai vienkāršas funkcijas, vai arī neuzņemas būtiskus ekonomisku</w:t>
            </w:r>
            <w:r w:rsidR="003B669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riskus.</w:t>
            </w:r>
          </w:p>
          <w:p w14:paraId="4E647268" w14:textId="77777777" w:rsidR="00096FFD" w:rsidRPr="00EC76C1" w:rsidRDefault="00670B55"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6"/>
                <w:szCs w:val="26"/>
                <w:u w:val="single"/>
              </w:rPr>
            </w:pPr>
            <w:r w:rsidRPr="00EC76C1">
              <w:rPr>
                <w:rFonts w:ascii="Times New Roman" w:eastAsia="Times New Roman" w:hAnsi="Times New Roman" w:cs="Times New Roman"/>
                <w:sz w:val="26"/>
                <w:szCs w:val="26"/>
                <w:u w:val="single"/>
              </w:rPr>
              <w:t>Pamatprasības sadalāmās peļņas noteikšanas procesam</w:t>
            </w:r>
          </w:p>
          <w:p w14:paraId="7E85D412" w14:textId="77777777" w:rsidR="00670B55" w:rsidRDefault="00670B55" w:rsidP="00670B55">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Peļņas sadalīšanas procesam jābūt </w:t>
            </w:r>
            <w:r w:rsidRPr="00670B55">
              <w:rPr>
                <w:rFonts w:ascii="Times New Roman" w:eastAsia="Times New Roman" w:hAnsi="Times New Roman" w:cs="Times New Roman"/>
                <w:sz w:val="26"/>
                <w:szCs w:val="26"/>
              </w:rPr>
              <w:t>konsekventam ar attiecīgā kontrolētā darījuma funkcionālo analīzi</w:t>
            </w:r>
            <w:r>
              <w:rPr>
                <w:rFonts w:ascii="Times New Roman" w:eastAsia="Times New Roman" w:hAnsi="Times New Roman" w:cs="Times New Roman"/>
                <w:sz w:val="26"/>
                <w:szCs w:val="26"/>
              </w:rPr>
              <w:t xml:space="preserve">, </w:t>
            </w:r>
            <w:r w:rsidR="00E15283">
              <w:rPr>
                <w:rFonts w:ascii="Times New Roman" w:eastAsia="Times New Roman" w:hAnsi="Times New Roman" w:cs="Times New Roman"/>
                <w:sz w:val="26"/>
                <w:szCs w:val="26"/>
              </w:rPr>
              <w:t>jābūt</w:t>
            </w:r>
            <w:r>
              <w:rPr>
                <w:rFonts w:ascii="Times New Roman" w:eastAsia="Times New Roman" w:hAnsi="Times New Roman" w:cs="Times New Roman"/>
                <w:sz w:val="26"/>
                <w:szCs w:val="26"/>
              </w:rPr>
              <w:t xml:space="preserve"> izmērā</w:t>
            </w:r>
            <w:r w:rsidR="003B669E">
              <w:rPr>
                <w:rFonts w:ascii="Times New Roman" w:eastAsia="Times New Roman" w:hAnsi="Times New Roman" w:cs="Times New Roman"/>
                <w:sz w:val="26"/>
                <w:szCs w:val="26"/>
              </w:rPr>
              <w:t>ma</w:t>
            </w:r>
            <w:r>
              <w:rPr>
                <w:rFonts w:ascii="Times New Roman" w:eastAsia="Times New Roman" w:hAnsi="Times New Roman" w:cs="Times New Roman"/>
                <w:sz w:val="26"/>
                <w:szCs w:val="26"/>
              </w:rPr>
              <w:t>m uzticamā veidā</w:t>
            </w:r>
            <w:r w:rsidR="00E15283">
              <w:rPr>
                <w:rFonts w:ascii="Times New Roman" w:eastAsia="Times New Roman" w:hAnsi="Times New Roman" w:cs="Times New Roman"/>
                <w:sz w:val="26"/>
                <w:szCs w:val="26"/>
              </w:rPr>
              <w:t xml:space="preserve">, kā arī jāatbilst citiem </w:t>
            </w:r>
            <w:r w:rsidR="003B669E">
              <w:rPr>
                <w:rFonts w:ascii="Times New Roman" w:eastAsia="Times New Roman" w:hAnsi="Times New Roman" w:cs="Times New Roman"/>
                <w:sz w:val="26"/>
                <w:szCs w:val="26"/>
              </w:rPr>
              <w:t>n</w:t>
            </w:r>
            <w:r w:rsidR="00E15283">
              <w:rPr>
                <w:rFonts w:ascii="Times New Roman" w:eastAsia="Times New Roman" w:hAnsi="Times New Roman" w:cs="Times New Roman"/>
                <w:sz w:val="26"/>
                <w:szCs w:val="26"/>
              </w:rPr>
              <w:t>oteikumu projektā ietvertajiem kritērijiem</w:t>
            </w:r>
            <w:r>
              <w:rPr>
                <w:rFonts w:ascii="Times New Roman" w:eastAsia="Times New Roman" w:hAnsi="Times New Roman" w:cs="Times New Roman"/>
                <w:sz w:val="26"/>
                <w:szCs w:val="26"/>
              </w:rPr>
              <w:t xml:space="preserve">. Tam ir </w:t>
            </w:r>
            <w:r w:rsidR="00E15283">
              <w:rPr>
                <w:rFonts w:ascii="Times New Roman" w:eastAsia="Times New Roman" w:hAnsi="Times New Roman" w:cs="Times New Roman"/>
                <w:sz w:val="26"/>
                <w:szCs w:val="26"/>
              </w:rPr>
              <w:t xml:space="preserve">ekonomiski pamatoti jānodrošina peļņas sadali starp saistītajām personām </w:t>
            </w:r>
            <w:r w:rsidR="003B669E">
              <w:rPr>
                <w:rFonts w:ascii="Times New Roman" w:eastAsia="Times New Roman" w:hAnsi="Times New Roman" w:cs="Times New Roman"/>
                <w:sz w:val="26"/>
                <w:szCs w:val="26"/>
              </w:rPr>
              <w:t xml:space="preserve">tādā </w:t>
            </w:r>
            <w:r w:rsidR="00E15283">
              <w:rPr>
                <w:rFonts w:ascii="Times New Roman" w:eastAsia="Times New Roman" w:hAnsi="Times New Roman" w:cs="Times New Roman"/>
                <w:sz w:val="26"/>
                <w:szCs w:val="26"/>
              </w:rPr>
              <w:t>veidā, kā salīdzināmā situācijā peļņu būtu sadalījušas neatkarīgas personas.</w:t>
            </w:r>
          </w:p>
          <w:p w14:paraId="6F25C400" w14:textId="77777777" w:rsidR="00E15283" w:rsidRPr="00EC76C1" w:rsidRDefault="00E15283" w:rsidP="00EC76C1">
            <w:pPr>
              <w:pStyle w:val="ListParagraph"/>
              <w:numPr>
                <w:ilvl w:val="0"/>
                <w:numId w:val="11"/>
              </w:numPr>
              <w:tabs>
                <w:tab w:val="left" w:pos="4455"/>
              </w:tabs>
              <w:spacing w:after="0" w:line="240" w:lineRule="auto"/>
              <w:jc w:val="both"/>
              <w:rPr>
                <w:rFonts w:ascii="Times New Roman" w:eastAsia="Times New Roman" w:hAnsi="Times New Roman" w:cs="Times New Roman"/>
                <w:sz w:val="26"/>
                <w:szCs w:val="26"/>
                <w:u w:val="single"/>
              </w:rPr>
            </w:pPr>
            <w:r w:rsidRPr="00EC76C1">
              <w:rPr>
                <w:rFonts w:ascii="Times New Roman" w:eastAsia="Times New Roman" w:hAnsi="Times New Roman" w:cs="Times New Roman"/>
                <w:sz w:val="26"/>
                <w:szCs w:val="26"/>
                <w:u w:val="single"/>
              </w:rPr>
              <w:t>Peļņas sadalīšanas faktoru piemērus</w:t>
            </w:r>
          </w:p>
          <w:p w14:paraId="16DD31CF" w14:textId="77777777" w:rsidR="00937AA0" w:rsidRDefault="00E15283" w:rsidP="008F670E">
            <w:pPr>
              <w:tabs>
                <w:tab w:val="left" w:pos="622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Noteikumu projektā ir ietverts peļņas sadalīšanas faktoru saraksts</w:t>
            </w:r>
            <w:r w:rsidR="00937AA0">
              <w:rPr>
                <w:rFonts w:ascii="Times New Roman" w:eastAsia="Times New Roman" w:hAnsi="Times New Roman" w:cs="Times New Roman"/>
                <w:sz w:val="26"/>
                <w:szCs w:val="26"/>
              </w:rPr>
              <w:t>:</w:t>
            </w:r>
          </w:p>
          <w:p w14:paraId="3ECC84C7" w14:textId="77777777" w:rsidR="00937AA0" w:rsidRPr="00C175EE" w:rsidRDefault="00E15283"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sidRPr="00C175EE">
              <w:rPr>
                <w:rFonts w:ascii="Times New Roman" w:eastAsia="Times New Roman" w:hAnsi="Times New Roman" w:cs="Times New Roman"/>
                <w:sz w:val="26"/>
                <w:szCs w:val="26"/>
              </w:rPr>
              <w:t xml:space="preserve"> </w:t>
            </w:r>
            <w:r w:rsidR="00937AA0" w:rsidRPr="00937AA0">
              <w:rPr>
                <w:rFonts w:ascii="Times New Roman" w:eastAsia="Times New Roman" w:hAnsi="Times New Roman" w:cs="Times New Roman"/>
                <w:sz w:val="26"/>
                <w:szCs w:val="26"/>
              </w:rPr>
              <w:t>aktīvu vai kapitāla vērtība.</w:t>
            </w:r>
            <w:r w:rsidR="00937AA0">
              <w:rPr>
                <w:rFonts w:ascii="Times New Roman" w:eastAsia="Times New Roman" w:hAnsi="Times New Roman" w:cs="Times New Roman"/>
                <w:sz w:val="26"/>
                <w:szCs w:val="26"/>
              </w:rPr>
              <w:t xml:space="preserve"> </w:t>
            </w:r>
            <w:r w:rsidR="00937AA0">
              <w:rPr>
                <w:rFonts w:ascii="Times New Roman" w:eastAsia="Times New Roman" w:hAnsi="Times New Roman"/>
                <w:color w:val="000000"/>
                <w:sz w:val="26"/>
                <w:szCs w:val="26"/>
                <w:lang w:eastAsia="lv-LV"/>
              </w:rPr>
              <w:t xml:space="preserve">Šāds peļņas sadalīšanas faktors varētu būt </w:t>
            </w:r>
            <w:r w:rsidR="00937AA0" w:rsidRPr="00937AA0">
              <w:rPr>
                <w:rFonts w:ascii="Times New Roman" w:eastAsia="Times New Roman" w:hAnsi="Times New Roman"/>
                <w:color w:val="000000"/>
                <w:sz w:val="26"/>
                <w:szCs w:val="26"/>
                <w:lang w:eastAsia="lv-LV"/>
              </w:rPr>
              <w:t xml:space="preserve">atbilstošs, </w:t>
            </w:r>
            <w:r w:rsidR="00937AA0" w:rsidRPr="00C175EE">
              <w:rPr>
                <w:rFonts w:ascii="Times New Roman" w:eastAsia="Times New Roman" w:hAnsi="Times New Roman"/>
                <w:color w:val="000000"/>
                <w:sz w:val="26"/>
                <w:szCs w:val="26"/>
                <w:lang w:eastAsia="lv-LV"/>
              </w:rPr>
              <w:t>piemēram,</w:t>
            </w:r>
            <w:r w:rsidR="00937AA0" w:rsidRPr="00937AA0">
              <w:rPr>
                <w:rFonts w:ascii="Times New Roman" w:eastAsia="Times New Roman" w:hAnsi="Times New Roman"/>
                <w:color w:val="000000"/>
                <w:sz w:val="26"/>
                <w:szCs w:val="26"/>
                <w:lang w:eastAsia="lv-LV"/>
              </w:rPr>
              <w:t xml:space="preserve"> situācijā, kad aktīvi vai kapitāls ir galvenais faktors vērtības radīšanā;</w:t>
            </w:r>
          </w:p>
          <w:p w14:paraId="470E9112" w14:textId="77777777" w:rsidR="00937AA0" w:rsidRPr="00C175EE"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sidRPr="00937AA0">
              <w:rPr>
                <w:rFonts w:ascii="Times New Roman" w:eastAsia="Times New Roman" w:hAnsi="Times New Roman"/>
                <w:color w:val="000000"/>
                <w:sz w:val="26"/>
                <w:szCs w:val="26"/>
                <w:lang w:eastAsia="lv-LV"/>
              </w:rPr>
              <w:t xml:space="preserve">pamatdarbības izdevumi. Šāds peļņas sadalīšanas faktors varētu būt atbilstošs, </w:t>
            </w:r>
            <w:r w:rsidRPr="00C175EE">
              <w:rPr>
                <w:rFonts w:ascii="Times New Roman" w:eastAsia="Times New Roman" w:hAnsi="Times New Roman"/>
                <w:color w:val="000000"/>
                <w:sz w:val="26"/>
                <w:szCs w:val="26"/>
                <w:lang w:eastAsia="lv-LV"/>
              </w:rPr>
              <w:t>piemēram,</w:t>
            </w:r>
            <w:r w:rsidRPr="00937AA0">
              <w:rPr>
                <w:rFonts w:ascii="Times New Roman" w:eastAsia="Times New Roman" w:hAnsi="Times New Roman"/>
                <w:color w:val="000000"/>
                <w:sz w:val="26"/>
                <w:szCs w:val="26"/>
                <w:lang w:eastAsia="lv-LV"/>
              </w:rPr>
              <w:t xml:space="preserve"> situācijā, kad vērtība tiek radīta galvenokārt ar saistīto personu saimnieciskās darbības aktivitāti;</w:t>
            </w:r>
          </w:p>
          <w:p w14:paraId="14E04405" w14:textId="77777777" w:rsidR="00937AA0" w:rsidRPr="00C175EE"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sidRPr="00937AA0">
              <w:rPr>
                <w:rFonts w:ascii="Times New Roman" w:eastAsia="Times New Roman" w:hAnsi="Times New Roman"/>
                <w:color w:val="000000"/>
                <w:sz w:val="26"/>
                <w:szCs w:val="26"/>
                <w:lang w:eastAsia="lv-LV"/>
              </w:rPr>
              <w:t xml:space="preserve">pārdoto preču izmaksas. Šāds peļņas sadalīšanas faktors varētu būt atbilstošs, </w:t>
            </w:r>
            <w:r w:rsidRPr="00C175EE">
              <w:rPr>
                <w:rFonts w:ascii="Times New Roman" w:eastAsia="Times New Roman" w:hAnsi="Times New Roman"/>
                <w:color w:val="000000"/>
                <w:sz w:val="26"/>
                <w:szCs w:val="26"/>
                <w:lang w:eastAsia="lv-LV"/>
              </w:rPr>
              <w:t>piemēram,</w:t>
            </w:r>
            <w:r w:rsidRPr="00937AA0">
              <w:rPr>
                <w:rFonts w:ascii="Times New Roman" w:eastAsia="Times New Roman" w:hAnsi="Times New Roman"/>
                <w:color w:val="000000"/>
                <w:sz w:val="26"/>
                <w:szCs w:val="26"/>
                <w:lang w:eastAsia="lv-LV"/>
              </w:rPr>
              <w:t xml:space="preserve"> situācijā, kad vērtība tiek radīta galvenokārt ar saistīto personu ražošanas aktivitāti;</w:t>
            </w:r>
          </w:p>
          <w:p w14:paraId="7A9E3D8B" w14:textId="77777777" w:rsidR="00937AA0" w:rsidRPr="00C175EE"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sidRPr="00937AA0">
              <w:rPr>
                <w:rFonts w:ascii="Times New Roman" w:eastAsia="Times New Roman" w:hAnsi="Times New Roman"/>
                <w:color w:val="000000"/>
                <w:sz w:val="26"/>
                <w:szCs w:val="26"/>
                <w:lang w:eastAsia="lv-LV"/>
              </w:rPr>
              <w:t xml:space="preserve">izpētes un attīstības izmaksas. Šāds peļņas sadalīšanas faktors varētu būt atbilstošs, </w:t>
            </w:r>
            <w:r w:rsidRPr="00C175EE">
              <w:rPr>
                <w:rFonts w:ascii="Times New Roman" w:eastAsia="Times New Roman" w:hAnsi="Times New Roman"/>
                <w:color w:val="000000"/>
                <w:sz w:val="26"/>
                <w:szCs w:val="26"/>
                <w:lang w:eastAsia="lv-LV"/>
              </w:rPr>
              <w:t>piemēram,</w:t>
            </w:r>
            <w:r w:rsidRPr="00937AA0">
              <w:rPr>
                <w:rFonts w:ascii="Times New Roman" w:eastAsia="Times New Roman" w:hAnsi="Times New Roman"/>
                <w:color w:val="000000"/>
                <w:sz w:val="26"/>
                <w:szCs w:val="26"/>
                <w:lang w:eastAsia="lv-LV"/>
              </w:rPr>
              <w:t xml:space="preserve"> situācijā, kad izpēte un attīstība ir galvenais vērtības radīšanas faktors;</w:t>
            </w:r>
          </w:p>
          <w:p w14:paraId="23ABF383" w14:textId="77777777" w:rsidR="00937AA0" w:rsidRPr="00C175EE"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sidRPr="00937AA0">
              <w:rPr>
                <w:rFonts w:ascii="Times New Roman" w:eastAsia="Times New Roman" w:hAnsi="Times New Roman"/>
                <w:color w:val="000000"/>
                <w:sz w:val="26"/>
                <w:szCs w:val="26"/>
                <w:lang w:eastAsia="lv-LV"/>
              </w:rPr>
              <w:t xml:space="preserve">pārdošanas apjoms. Šāds peļņas sadalīšanas faktors varētu būt atbilstošs, </w:t>
            </w:r>
            <w:r w:rsidRPr="00C175EE">
              <w:rPr>
                <w:rFonts w:ascii="Times New Roman" w:eastAsia="Times New Roman" w:hAnsi="Times New Roman"/>
                <w:color w:val="000000"/>
                <w:sz w:val="26"/>
                <w:szCs w:val="26"/>
                <w:lang w:eastAsia="lv-LV"/>
              </w:rPr>
              <w:t>piemēram,</w:t>
            </w:r>
            <w:r w:rsidRPr="00937AA0">
              <w:rPr>
                <w:rFonts w:ascii="Times New Roman" w:eastAsia="Times New Roman" w:hAnsi="Times New Roman"/>
                <w:color w:val="000000"/>
                <w:sz w:val="26"/>
                <w:szCs w:val="26"/>
                <w:lang w:eastAsia="lv-LV"/>
              </w:rPr>
              <w:t xml:space="preserve"> situācijā, kad pārdošanas apjoms liecina par saistītās</w:t>
            </w:r>
            <w:r>
              <w:rPr>
                <w:rFonts w:ascii="Times New Roman" w:eastAsia="Times New Roman" w:hAnsi="Times New Roman"/>
                <w:color w:val="000000"/>
                <w:sz w:val="26"/>
                <w:szCs w:val="26"/>
                <w:lang w:eastAsia="lv-LV"/>
              </w:rPr>
              <w:t xml:space="preserve"> personas ieguldījumu kopējā starptautiskās uzņēmumu grupas peļņā;</w:t>
            </w:r>
          </w:p>
          <w:p w14:paraId="16A99F5E" w14:textId="77777777" w:rsidR="00937AA0" w:rsidRDefault="00937AA0" w:rsidP="00C175EE">
            <w:pPr>
              <w:pStyle w:val="ListParagraph"/>
              <w:numPr>
                <w:ilvl w:val="0"/>
                <w:numId w:val="12"/>
              </w:numPr>
              <w:tabs>
                <w:tab w:val="left" w:pos="622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olor w:val="000000"/>
                <w:sz w:val="26"/>
                <w:szCs w:val="26"/>
                <w:lang w:eastAsia="lv-LV"/>
              </w:rPr>
              <w:t>darbinieku, kas veic galvenās funkcijas, kas rada vērtību, atalgojums. Šāds peļņas sadalīšanas faktors varētu būt atbilstošs, piemēram, situācijā, kad vērtība tiek radīta, galvenokārt pamatojoties uz darbinieku zināšanām un iemaņām.</w:t>
            </w:r>
          </w:p>
          <w:p w14:paraId="06405700" w14:textId="77777777" w:rsidR="00843190" w:rsidRDefault="003B286B" w:rsidP="00C175EE">
            <w:pPr>
              <w:tabs>
                <w:tab w:val="left" w:pos="6221"/>
              </w:tabs>
              <w:spacing w:after="0" w:line="240" w:lineRule="auto"/>
              <w:ind w:left="360"/>
              <w:jc w:val="both"/>
              <w:rPr>
                <w:rFonts w:ascii="Times New Roman" w:eastAsia="Times New Roman" w:hAnsi="Times New Roman" w:cs="Times New Roman"/>
                <w:sz w:val="26"/>
                <w:szCs w:val="26"/>
              </w:rPr>
            </w:pPr>
            <w:r w:rsidRPr="00C175EE">
              <w:rPr>
                <w:rFonts w:ascii="Times New Roman" w:eastAsia="Times New Roman" w:hAnsi="Times New Roman" w:cs="Times New Roman"/>
                <w:sz w:val="26"/>
                <w:szCs w:val="26"/>
              </w:rPr>
              <w:t xml:space="preserve">Ņemot vērā </w:t>
            </w:r>
            <w:r w:rsidR="008F670E" w:rsidRPr="00C175EE">
              <w:rPr>
                <w:rFonts w:ascii="Times New Roman" w:eastAsia="Times New Roman" w:hAnsi="Times New Roman" w:cs="Times New Roman"/>
                <w:sz w:val="26"/>
                <w:szCs w:val="26"/>
              </w:rPr>
              <w:t xml:space="preserve">katra </w:t>
            </w:r>
            <w:r w:rsidRPr="00C175EE">
              <w:rPr>
                <w:rFonts w:ascii="Times New Roman" w:eastAsia="Times New Roman" w:hAnsi="Times New Roman" w:cs="Times New Roman"/>
                <w:sz w:val="26"/>
                <w:szCs w:val="26"/>
              </w:rPr>
              <w:t>konkrētā gadījuma faktus un apstākļu</w:t>
            </w:r>
            <w:r w:rsidR="008F670E" w:rsidRPr="00C175EE">
              <w:rPr>
                <w:rFonts w:ascii="Times New Roman" w:eastAsia="Times New Roman" w:hAnsi="Times New Roman" w:cs="Times New Roman"/>
                <w:sz w:val="26"/>
                <w:szCs w:val="26"/>
              </w:rPr>
              <w:t>s</w:t>
            </w:r>
            <w:r w:rsidRPr="00C175EE">
              <w:rPr>
                <w:rFonts w:ascii="Times New Roman" w:eastAsia="Times New Roman" w:hAnsi="Times New Roman" w:cs="Times New Roman"/>
                <w:sz w:val="26"/>
                <w:szCs w:val="26"/>
              </w:rPr>
              <w:t>, ja tas ir ekonomiski pamatoti, var tikt izmantoti arī noteikumu projektā neminētie peļņas sadalīšanas faktori</w:t>
            </w:r>
            <w:r w:rsidR="001A4CE4" w:rsidRPr="00C175EE">
              <w:rPr>
                <w:rFonts w:ascii="Times New Roman" w:eastAsia="Times New Roman" w:hAnsi="Times New Roman" w:cs="Times New Roman"/>
                <w:sz w:val="26"/>
                <w:szCs w:val="26"/>
              </w:rPr>
              <w:t>.</w:t>
            </w:r>
          </w:p>
          <w:p w14:paraId="04538429" w14:textId="0E464DEE" w:rsidR="009221E5" w:rsidRPr="00C175EE" w:rsidRDefault="009221E5" w:rsidP="00076D69">
            <w:pPr>
              <w:tabs>
                <w:tab w:val="left" w:pos="6221"/>
              </w:tabs>
              <w:spacing w:after="0" w:line="24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Noteikumu projekts </w:t>
            </w:r>
            <w:r w:rsidR="00076D69">
              <w:rPr>
                <w:rFonts w:ascii="Times New Roman" w:eastAsia="Times New Roman" w:hAnsi="Times New Roman" w:cs="Times New Roman"/>
                <w:sz w:val="26"/>
                <w:szCs w:val="26"/>
              </w:rPr>
              <w:t xml:space="preserve">vienlaikus arī </w:t>
            </w:r>
            <w:r>
              <w:rPr>
                <w:rFonts w:ascii="Times New Roman" w:eastAsia="Times New Roman" w:hAnsi="Times New Roman" w:cs="Times New Roman"/>
                <w:sz w:val="26"/>
                <w:szCs w:val="26"/>
              </w:rPr>
              <w:t xml:space="preserve">paredz </w:t>
            </w:r>
            <w:r w:rsidR="00076D69">
              <w:rPr>
                <w:rFonts w:ascii="Times New Roman" w:eastAsia="Times New Roman" w:hAnsi="Times New Roman" w:cs="Times New Roman"/>
                <w:sz w:val="26"/>
                <w:szCs w:val="26"/>
              </w:rPr>
              <w:t xml:space="preserve">šobrīd noteikumos iekļauto </w:t>
            </w:r>
            <w:r>
              <w:rPr>
                <w:rFonts w:ascii="Times New Roman" w:eastAsia="Times New Roman" w:hAnsi="Times New Roman" w:cs="Times New Roman"/>
                <w:sz w:val="26"/>
                <w:szCs w:val="26"/>
              </w:rPr>
              <w:t xml:space="preserve">peļņas sadalīšanas metodes piemēru </w:t>
            </w:r>
            <w:r w:rsidR="00076D69">
              <w:rPr>
                <w:rFonts w:ascii="Times New Roman" w:eastAsia="Times New Roman" w:hAnsi="Times New Roman" w:cs="Times New Roman"/>
                <w:sz w:val="26"/>
                <w:szCs w:val="26"/>
              </w:rPr>
              <w:t xml:space="preserve">aizstāt </w:t>
            </w:r>
            <w:r>
              <w:rPr>
                <w:rFonts w:ascii="Times New Roman" w:eastAsia="Times New Roman" w:hAnsi="Times New Roman" w:cs="Times New Roman"/>
                <w:sz w:val="26"/>
                <w:szCs w:val="26"/>
              </w:rPr>
              <w:t>ar jaunu piemēru</w:t>
            </w:r>
            <w:r w:rsidR="00076D69">
              <w:rPr>
                <w:rFonts w:ascii="Times New Roman" w:eastAsia="Times New Roman" w:hAnsi="Times New Roman" w:cs="Times New Roman"/>
                <w:sz w:val="26"/>
                <w:szCs w:val="26"/>
              </w:rPr>
              <w:t xml:space="preserve">, par pamatu </w:t>
            </w:r>
            <w:r>
              <w:rPr>
                <w:rFonts w:ascii="Times New Roman" w:eastAsia="Times New Roman" w:hAnsi="Times New Roman" w:cs="Times New Roman"/>
                <w:sz w:val="26"/>
                <w:szCs w:val="26"/>
              </w:rPr>
              <w:t>izmanto</w:t>
            </w:r>
            <w:r w:rsidR="00076D69">
              <w:rPr>
                <w:rFonts w:ascii="Times New Roman" w:eastAsia="Times New Roman" w:hAnsi="Times New Roman" w:cs="Times New Roman"/>
                <w:sz w:val="26"/>
                <w:szCs w:val="26"/>
              </w:rPr>
              <w:t>jot</w:t>
            </w: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lang w:eastAsia="lv-LV"/>
              </w:rPr>
              <w:t>PSM ziņojumā ietvert</w:t>
            </w:r>
            <w:r w:rsidR="00076D69">
              <w:rPr>
                <w:rFonts w:ascii="Times New Roman" w:eastAsia="Times New Roman" w:hAnsi="Times New Roman" w:cs="Times New Roman"/>
                <w:bCs/>
                <w:sz w:val="26"/>
                <w:szCs w:val="26"/>
                <w:lang w:eastAsia="lv-LV"/>
              </w:rPr>
              <w:t>o</w:t>
            </w:r>
            <w:r>
              <w:rPr>
                <w:rFonts w:ascii="Times New Roman" w:eastAsia="Times New Roman" w:hAnsi="Times New Roman" w:cs="Times New Roman"/>
                <w:bCs/>
                <w:sz w:val="26"/>
                <w:szCs w:val="26"/>
                <w:lang w:eastAsia="lv-LV"/>
              </w:rPr>
              <w:t xml:space="preserve"> 11.piemēr</w:t>
            </w:r>
            <w:r w:rsidR="00076D69">
              <w:rPr>
                <w:rFonts w:ascii="Times New Roman" w:eastAsia="Times New Roman" w:hAnsi="Times New Roman" w:cs="Times New Roman"/>
                <w:bCs/>
                <w:sz w:val="26"/>
                <w:szCs w:val="26"/>
                <w:lang w:eastAsia="lv-LV"/>
              </w:rPr>
              <w:t>u</w:t>
            </w:r>
            <w:r>
              <w:rPr>
                <w:rFonts w:ascii="Times New Roman" w:eastAsia="Times New Roman" w:hAnsi="Times New Roman" w:cs="Times New Roman"/>
                <w:bCs/>
                <w:sz w:val="26"/>
                <w:szCs w:val="26"/>
                <w:lang w:eastAsia="lv-LV"/>
              </w:rPr>
              <w:t>.</w:t>
            </w:r>
          </w:p>
        </w:tc>
      </w:tr>
      <w:tr w:rsidR="0091261F" w:rsidRPr="00B1212B" w14:paraId="3534F26B"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488B58DB"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lastRenderedPageBreak/>
              <w:t>3.</w:t>
            </w:r>
          </w:p>
        </w:tc>
        <w:tc>
          <w:tcPr>
            <w:tcW w:w="1098" w:type="pct"/>
            <w:tcBorders>
              <w:top w:val="outset" w:sz="6" w:space="0" w:color="414142"/>
              <w:left w:val="outset" w:sz="6" w:space="0" w:color="414142"/>
              <w:bottom w:val="outset" w:sz="6" w:space="0" w:color="414142"/>
              <w:right w:val="outset" w:sz="6" w:space="0" w:color="414142"/>
            </w:tcBorders>
            <w:hideMark/>
          </w:tcPr>
          <w:p w14:paraId="24DC93D1"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3D1F6CA0" w14:textId="77777777" w:rsidR="00543AA6" w:rsidRPr="00B1212B" w:rsidRDefault="00A75770" w:rsidP="00081A5D">
            <w:pPr>
              <w:spacing w:after="0" w:line="240" w:lineRule="auto"/>
              <w:jc w:val="both"/>
              <w:rPr>
                <w:rFonts w:ascii="Times New Roman" w:eastAsia="Times New Roman" w:hAnsi="Times New Roman" w:cs="Times New Roman"/>
                <w:i/>
                <w:sz w:val="28"/>
                <w:szCs w:val="28"/>
                <w:lang w:eastAsia="lv-LV"/>
              </w:rPr>
            </w:pPr>
            <w:r w:rsidRPr="00B1212B">
              <w:rPr>
                <w:rFonts w:ascii="Times New Roman" w:eastAsia="Times New Roman" w:hAnsi="Times New Roman" w:cs="Times New Roman"/>
                <w:sz w:val="26"/>
                <w:szCs w:val="26"/>
                <w:lang w:eastAsia="lv-LV"/>
              </w:rPr>
              <w:t>Finanšu ministrija</w:t>
            </w:r>
            <w:r w:rsidR="003B669E">
              <w:rPr>
                <w:rFonts w:ascii="Times New Roman" w:eastAsia="Times New Roman" w:hAnsi="Times New Roman" w:cs="Times New Roman"/>
                <w:sz w:val="26"/>
                <w:szCs w:val="26"/>
                <w:lang w:eastAsia="lv-LV"/>
              </w:rPr>
              <w:t>, Valsts ieņēmumu dienests</w:t>
            </w:r>
            <w:r w:rsidR="008E5C43">
              <w:rPr>
                <w:rFonts w:ascii="Times New Roman" w:eastAsia="Times New Roman" w:hAnsi="Times New Roman" w:cs="Times New Roman"/>
                <w:sz w:val="26"/>
                <w:szCs w:val="26"/>
                <w:lang w:eastAsia="lv-LV"/>
              </w:rPr>
              <w:t>.</w:t>
            </w:r>
          </w:p>
          <w:p w14:paraId="79971CB3" w14:textId="77777777" w:rsidR="00543AA6" w:rsidRPr="00B1212B" w:rsidRDefault="00543AA6" w:rsidP="00081A5D">
            <w:pPr>
              <w:spacing w:after="0" w:line="240" w:lineRule="auto"/>
              <w:jc w:val="both"/>
              <w:rPr>
                <w:rFonts w:ascii="Times New Roman" w:eastAsia="Times New Roman" w:hAnsi="Times New Roman" w:cs="Times New Roman"/>
                <w:i/>
                <w:sz w:val="28"/>
                <w:szCs w:val="28"/>
                <w:lang w:eastAsia="lv-LV"/>
              </w:rPr>
            </w:pPr>
          </w:p>
        </w:tc>
      </w:tr>
      <w:tr w:rsidR="00543AA6" w:rsidRPr="00B1212B" w14:paraId="02B98EC6" w14:textId="77777777" w:rsidTr="00D432B6">
        <w:tc>
          <w:tcPr>
            <w:tcW w:w="306" w:type="pct"/>
            <w:tcBorders>
              <w:top w:val="outset" w:sz="6" w:space="0" w:color="414142"/>
              <w:left w:val="outset" w:sz="6" w:space="0" w:color="414142"/>
              <w:bottom w:val="outset" w:sz="6" w:space="0" w:color="414142"/>
              <w:right w:val="outset" w:sz="6" w:space="0" w:color="414142"/>
            </w:tcBorders>
            <w:hideMark/>
          </w:tcPr>
          <w:p w14:paraId="4B44C238"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098" w:type="pct"/>
            <w:tcBorders>
              <w:top w:val="outset" w:sz="6" w:space="0" w:color="414142"/>
              <w:left w:val="outset" w:sz="6" w:space="0" w:color="414142"/>
              <w:bottom w:val="outset" w:sz="6" w:space="0" w:color="414142"/>
              <w:right w:val="outset" w:sz="6" w:space="0" w:color="414142"/>
            </w:tcBorders>
            <w:hideMark/>
          </w:tcPr>
          <w:p w14:paraId="27DBC5E5"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3543BD15" w14:textId="77777777" w:rsidR="00F23AF5" w:rsidRPr="00B1212B" w:rsidRDefault="006C2C8C" w:rsidP="00F23AF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23A6E1A0" w14:textId="77777777"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195"/>
        <w:gridCol w:w="6290"/>
      </w:tblGrid>
      <w:tr w:rsidR="0091261F" w:rsidRPr="00B1212B" w14:paraId="7F13E765"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2A8A99" w14:textId="77777777" w:rsidR="00543AA6" w:rsidRPr="00B1212B"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1261F" w:rsidRPr="00B1212B" w14:paraId="215006F3"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39A10966"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71F263B2"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Sabiedrības </w:t>
            </w:r>
            <w:proofErr w:type="spellStart"/>
            <w:r w:rsidRPr="00B1212B">
              <w:rPr>
                <w:rFonts w:ascii="Times New Roman" w:eastAsia="Times New Roman" w:hAnsi="Times New Roman" w:cs="Times New Roman"/>
                <w:sz w:val="26"/>
                <w:szCs w:val="26"/>
                <w:lang w:eastAsia="lv-LV"/>
              </w:rPr>
              <w:t>mērķgrupas</w:t>
            </w:r>
            <w:proofErr w:type="spellEnd"/>
            <w:r w:rsidRPr="00B1212B">
              <w:rPr>
                <w:rFonts w:ascii="Times New Roman" w:eastAsia="Times New Roman" w:hAnsi="Times New Roman" w:cs="Times New Roman"/>
                <w:sz w:val="26"/>
                <w:szCs w:val="26"/>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AE7951A" w14:textId="77777777" w:rsidR="00543AA6" w:rsidRPr="00B1212B" w:rsidRDefault="00CF571D" w:rsidP="00127356">
            <w:pPr>
              <w:spacing w:after="0" w:line="24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lang w:eastAsia="lv-LV"/>
              </w:rPr>
              <w:t xml:space="preserve">Noteikumu projektā ietvertie grozījumi transfertcenu </w:t>
            </w:r>
            <w:r w:rsidR="0041586B" w:rsidRPr="00B1212B">
              <w:rPr>
                <w:rFonts w:ascii="Times New Roman" w:eastAsia="Times New Roman" w:hAnsi="Times New Roman" w:cs="Times New Roman"/>
                <w:sz w:val="26"/>
                <w:szCs w:val="26"/>
                <w:lang w:eastAsia="lv-LV"/>
              </w:rPr>
              <w:t xml:space="preserve">noteikšanas kārtībā </w:t>
            </w:r>
            <w:r w:rsidRPr="00B1212B">
              <w:rPr>
                <w:rFonts w:ascii="Times New Roman" w:eastAsia="Times New Roman" w:hAnsi="Times New Roman" w:cs="Times New Roman"/>
                <w:sz w:val="26"/>
                <w:szCs w:val="26"/>
                <w:lang w:eastAsia="lv-LV"/>
              </w:rPr>
              <w:t xml:space="preserve">attieksies galvenokārt uz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 kur</w:t>
            </w:r>
            <w:r w:rsidR="00127356" w:rsidRPr="00B1212B">
              <w:rPr>
                <w:rFonts w:ascii="Times New Roman" w:eastAsia="Times New Roman" w:hAnsi="Times New Roman" w:cs="Times New Roman"/>
                <w:sz w:val="26"/>
                <w:szCs w:val="26"/>
                <w:lang w:eastAsia="lv-LV"/>
              </w:rPr>
              <w:t>as</w:t>
            </w:r>
            <w:r w:rsidRPr="00B1212B">
              <w:rPr>
                <w:rFonts w:ascii="Times New Roman" w:eastAsia="Times New Roman" w:hAnsi="Times New Roman" w:cs="Times New Roman"/>
                <w:sz w:val="26"/>
                <w:szCs w:val="26"/>
                <w:lang w:eastAsia="lv-LV"/>
              </w:rPr>
              <w:t xml:space="preserve"> ietilpst starptautiskajā uzņēmumu grupā un veic darījumus ar to grupā esošaj</w:t>
            </w:r>
            <w:r w:rsidR="00127356" w:rsidRPr="00B1212B">
              <w:rPr>
                <w:rFonts w:ascii="Times New Roman" w:eastAsia="Times New Roman" w:hAnsi="Times New Roman" w:cs="Times New Roman"/>
                <w:sz w:val="26"/>
                <w:szCs w:val="26"/>
                <w:lang w:eastAsia="lv-LV"/>
              </w:rPr>
              <w:t>ām</w:t>
            </w:r>
            <w:r w:rsidRPr="00B1212B">
              <w:rPr>
                <w:rFonts w:ascii="Times New Roman" w:eastAsia="Times New Roman" w:hAnsi="Times New Roman" w:cs="Times New Roman"/>
                <w:sz w:val="26"/>
                <w:szCs w:val="26"/>
                <w:lang w:eastAsia="lv-LV"/>
              </w:rPr>
              <w:t xml:space="preserve"> </w:t>
            </w:r>
            <w:r w:rsidR="00127356" w:rsidRPr="00B1212B">
              <w:rPr>
                <w:rFonts w:ascii="Times New Roman" w:eastAsia="Times New Roman" w:hAnsi="Times New Roman" w:cs="Times New Roman"/>
                <w:sz w:val="26"/>
                <w:szCs w:val="26"/>
                <w:lang w:eastAsia="lv-LV"/>
              </w:rPr>
              <w:t xml:space="preserve">saistītajām </w:t>
            </w:r>
            <w:r w:rsidRPr="00B1212B">
              <w:rPr>
                <w:rFonts w:ascii="Times New Roman" w:eastAsia="Times New Roman" w:hAnsi="Times New Roman" w:cs="Times New Roman"/>
                <w:sz w:val="26"/>
                <w:szCs w:val="26"/>
                <w:lang w:eastAsia="lv-LV"/>
              </w:rPr>
              <w:t xml:space="preserve">ārvalstu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w:t>
            </w:r>
          </w:p>
        </w:tc>
      </w:tr>
      <w:tr w:rsidR="0091261F" w:rsidRPr="00B1212B" w14:paraId="5AE633F9"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16275F89"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14:paraId="7F88DAA4"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4038B78B" w14:textId="77777777" w:rsidR="00E33F0A" w:rsidRPr="00B1212B" w:rsidRDefault="0041586B" w:rsidP="001A4CE4">
            <w:pPr>
              <w:spacing w:after="0" w:line="24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rPr>
              <w:t>Noteikumu projekta mērķis</w:t>
            </w:r>
            <w:r w:rsidR="001A4CE4">
              <w:rPr>
                <w:rFonts w:ascii="Times New Roman" w:eastAsia="Times New Roman" w:hAnsi="Times New Roman" w:cs="Times New Roman"/>
                <w:sz w:val="26"/>
                <w:szCs w:val="26"/>
              </w:rPr>
              <w:t xml:space="preserve"> ir padarīt peļņas sadalīšanas metodes regulējumu skaidrāku, kā arī atbilstošu labāka</w:t>
            </w:r>
            <w:r w:rsidR="003B669E">
              <w:rPr>
                <w:rFonts w:ascii="Times New Roman" w:eastAsia="Times New Roman" w:hAnsi="Times New Roman" w:cs="Times New Roman"/>
                <w:sz w:val="26"/>
                <w:szCs w:val="26"/>
              </w:rPr>
              <w:t>jai un jaunākajai citu</w:t>
            </w:r>
            <w:r w:rsidR="001A4CE4">
              <w:rPr>
                <w:rFonts w:ascii="Times New Roman" w:eastAsia="Times New Roman" w:hAnsi="Times New Roman" w:cs="Times New Roman"/>
                <w:sz w:val="26"/>
                <w:szCs w:val="26"/>
              </w:rPr>
              <w:t xml:space="preserve"> pasaules </w:t>
            </w:r>
            <w:r w:rsidR="003B669E">
              <w:rPr>
                <w:rFonts w:ascii="Times New Roman" w:eastAsia="Times New Roman" w:hAnsi="Times New Roman" w:cs="Times New Roman"/>
                <w:sz w:val="26"/>
                <w:szCs w:val="26"/>
              </w:rPr>
              <w:t xml:space="preserve">valstu </w:t>
            </w:r>
            <w:r w:rsidR="001A4CE4">
              <w:rPr>
                <w:rFonts w:ascii="Times New Roman" w:eastAsia="Times New Roman" w:hAnsi="Times New Roman" w:cs="Times New Roman"/>
                <w:sz w:val="26"/>
                <w:szCs w:val="26"/>
              </w:rPr>
              <w:t>praksei. Ņemot vērā minēto, noteikumu projekts samazinās administratīvo slogu nodokļu maksātājiem.</w:t>
            </w:r>
          </w:p>
        </w:tc>
      </w:tr>
      <w:tr w:rsidR="0091261F" w:rsidRPr="00B1212B" w14:paraId="03D51E4F"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4C64C78D"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51483BDF"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5B2DB712" w14:textId="77777777" w:rsidR="00543AA6" w:rsidRPr="00B1212B" w:rsidRDefault="003B669E" w:rsidP="003B669E">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CF571D" w:rsidRPr="00B1212B">
              <w:rPr>
                <w:rFonts w:ascii="Times New Roman" w:eastAsia="Times New Roman" w:hAnsi="Times New Roman" w:cs="Times New Roman"/>
                <w:sz w:val="26"/>
                <w:szCs w:val="26"/>
                <w:lang w:eastAsia="lv-LV"/>
              </w:rPr>
              <w:t>rojekts šo jomu neskar.</w:t>
            </w:r>
          </w:p>
        </w:tc>
      </w:tr>
      <w:tr w:rsidR="0091261F" w:rsidRPr="00B1212B" w14:paraId="1818CACE"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21F87E57"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14:paraId="55138793"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6945068A" w14:textId="77777777" w:rsidR="00543AA6" w:rsidRPr="00B1212B" w:rsidRDefault="003B669E" w:rsidP="003B669E">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DA5802">
              <w:rPr>
                <w:rFonts w:ascii="Times New Roman" w:eastAsia="Times New Roman" w:hAnsi="Times New Roman" w:cs="Times New Roman"/>
                <w:sz w:val="26"/>
                <w:szCs w:val="26"/>
                <w:lang w:eastAsia="lv-LV"/>
              </w:rPr>
              <w:t>rojekts šo jomu neskar.</w:t>
            </w:r>
            <w:r w:rsidR="00DA5802" w:rsidRPr="00B1212B">
              <w:rPr>
                <w:rFonts w:ascii="Times New Roman" w:eastAsia="Times New Roman" w:hAnsi="Times New Roman" w:cs="Times New Roman"/>
                <w:sz w:val="26"/>
                <w:szCs w:val="26"/>
                <w:lang w:eastAsia="lv-LV"/>
              </w:rPr>
              <w:t xml:space="preserve"> </w:t>
            </w:r>
          </w:p>
        </w:tc>
      </w:tr>
      <w:tr w:rsidR="00543AA6" w:rsidRPr="00B1212B" w14:paraId="0401EE91"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0A28FF2E"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14:paraId="61D23FFB"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9ED69D5" w14:textId="736A2499" w:rsidR="00543AA6" w:rsidRPr="00B1212B" w:rsidRDefault="00DE1373"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C8533C">
              <w:rPr>
                <w:rFonts w:ascii="Times New Roman" w:eastAsia="Times New Roman" w:hAnsi="Times New Roman" w:cs="Times New Roman"/>
                <w:sz w:val="26"/>
                <w:szCs w:val="26"/>
                <w:lang w:eastAsia="lv-LV"/>
              </w:rPr>
              <w:t>.</w:t>
            </w:r>
          </w:p>
        </w:tc>
      </w:tr>
    </w:tbl>
    <w:p w14:paraId="5929F083" w14:textId="77777777"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14:paraId="54A4BA74"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FCC880" w14:textId="77777777"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III. Tiesību akta projekta ietekme uz valsts budžetu un pašvaldību budžetiem</w:t>
            </w:r>
          </w:p>
        </w:tc>
      </w:tr>
      <w:tr w:rsidR="00726825" w:rsidRPr="00B1212B" w14:paraId="4C5E136C"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4E91D9D1" w14:textId="4A0AFD5D"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C8533C">
              <w:rPr>
                <w:rFonts w:ascii="Times New Roman" w:eastAsia="Times New Roman" w:hAnsi="Times New Roman" w:cs="Times New Roman"/>
                <w:bCs/>
                <w:sz w:val="26"/>
                <w:szCs w:val="26"/>
                <w:lang w:eastAsia="lv-LV"/>
              </w:rPr>
              <w:t>.</w:t>
            </w:r>
          </w:p>
        </w:tc>
      </w:tr>
    </w:tbl>
    <w:p w14:paraId="501BF0AC" w14:textId="77777777"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14:paraId="4B6261EB"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ECD98A" w14:textId="77777777"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IV. Tiesību akta projekta ietekme uz spēkā esošo tiesību normu sistēmu</w:t>
            </w:r>
          </w:p>
        </w:tc>
      </w:tr>
      <w:tr w:rsidR="00726825" w:rsidRPr="00B1212B" w14:paraId="4DA1AE29"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8534599" w14:textId="22A6B553"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C8533C">
              <w:rPr>
                <w:rFonts w:ascii="Times New Roman" w:eastAsia="Times New Roman" w:hAnsi="Times New Roman" w:cs="Times New Roman"/>
                <w:bCs/>
                <w:sz w:val="26"/>
                <w:szCs w:val="26"/>
                <w:lang w:eastAsia="lv-LV"/>
              </w:rPr>
              <w:t>.</w:t>
            </w:r>
          </w:p>
        </w:tc>
      </w:tr>
    </w:tbl>
    <w:p w14:paraId="4EA341D8" w14:textId="77777777"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14:paraId="784E2359"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821EB56" w14:textId="77777777"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V. Tiesību akta projekta atbilstība Latvijas Republikas starptautiskajām saistībām</w:t>
            </w:r>
          </w:p>
        </w:tc>
      </w:tr>
      <w:tr w:rsidR="00726825" w:rsidRPr="00B1212B" w14:paraId="1B3D39D5" w14:textId="77777777"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8AEF6C1" w14:textId="7086F123"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C8533C">
              <w:rPr>
                <w:rFonts w:ascii="Times New Roman" w:eastAsia="Times New Roman" w:hAnsi="Times New Roman" w:cs="Times New Roman"/>
                <w:bCs/>
                <w:sz w:val="26"/>
                <w:szCs w:val="26"/>
                <w:lang w:eastAsia="lv-LV"/>
              </w:rPr>
              <w:t>.</w:t>
            </w:r>
          </w:p>
        </w:tc>
      </w:tr>
    </w:tbl>
    <w:p w14:paraId="16E0738D" w14:textId="77777777" w:rsidR="00726825" w:rsidRPr="00B1212B" w:rsidRDefault="00726825" w:rsidP="00543AA6">
      <w:pPr>
        <w:spacing w:after="0" w:line="240" w:lineRule="auto"/>
        <w:rPr>
          <w:rFonts w:ascii="Times New Roman" w:eastAsia="Times New Roman" w:hAnsi="Times New Roman" w:cs="Times New Roman"/>
          <w:sz w:val="28"/>
          <w:szCs w:val="28"/>
          <w:lang w:eastAsia="lv-LV"/>
        </w:rPr>
      </w:pPr>
    </w:p>
    <w:tbl>
      <w:tblPr>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268"/>
        <w:gridCol w:w="6237"/>
      </w:tblGrid>
      <w:tr w:rsidR="0091261F" w:rsidRPr="00B1212B" w14:paraId="779D0A92" w14:textId="77777777" w:rsidTr="00CB2E90">
        <w:tc>
          <w:tcPr>
            <w:tcW w:w="9064" w:type="dxa"/>
            <w:gridSpan w:val="3"/>
            <w:tcBorders>
              <w:top w:val="outset" w:sz="6" w:space="0" w:color="414142"/>
              <w:left w:val="outset" w:sz="6" w:space="0" w:color="414142"/>
              <w:bottom w:val="outset" w:sz="6" w:space="0" w:color="414142"/>
              <w:right w:val="outset" w:sz="6" w:space="0" w:color="414142"/>
            </w:tcBorders>
            <w:vAlign w:val="center"/>
            <w:hideMark/>
          </w:tcPr>
          <w:p w14:paraId="3BBDB387"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 Sabiedrības līdzdalība un komunikācijas aktivitātes</w:t>
            </w:r>
          </w:p>
        </w:tc>
      </w:tr>
      <w:tr w:rsidR="00A873E8" w:rsidRPr="00B1212B" w14:paraId="0E341403"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5EAB7CA5" w14:textId="77777777"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73D9BEA6"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Plānotās sabiedrības līdzdalības un komunikācijas aktivitātes saistībā ar projektu</w:t>
            </w:r>
          </w:p>
        </w:tc>
        <w:tc>
          <w:tcPr>
            <w:tcW w:w="6237" w:type="dxa"/>
            <w:tcBorders>
              <w:top w:val="outset" w:sz="6" w:space="0" w:color="414142"/>
              <w:left w:val="outset" w:sz="6" w:space="0" w:color="414142"/>
              <w:bottom w:val="outset" w:sz="6" w:space="0" w:color="414142"/>
              <w:right w:val="outset" w:sz="6" w:space="0" w:color="414142"/>
            </w:tcBorders>
            <w:hideMark/>
          </w:tcPr>
          <w:p w14:paraId="0373D80D" w14:textId="5F5ADB27" w:rsidR="00543AA6" w:rsidRPr="00B1212B" w:rsidRDefault="0098296A" w:rsidP="00227CCB">
            <w:pPr>
              <w:spacing w:after="0" w:line="240" w:lineRule="auto"/>
              <w:ind w:right="110"/>
              <w:jc w:val="both"/>
              <w:rPr>
                <w:rFonts w:ascii="Times New Roman" w:eastAsia="Times New Roman" w:hAnsi="Times New Roman" w:cs="Times New Roman"/>
                <w:sz w:val="28"/>
                <w:szCs w:val="28"/>
                <w:lang w:eastAsia="lv-LV"/>
              </w:rPr>
            </w:pPr>
            <w:r w:rsidRPr="008F670E">
              <w:rPr>
                <w:rFonts w:ascii="Times New Roman" w:eastAsia="Times New Roman" w:hAnsi="Times New Roman" w:cs="Times New Roman"/>
                <w:sz w:val="26"/>
                <w:szCs w:val="26"/>
                <w:lang w:eastAsia="lv-LV"/>
              </w:rPr>
              <w:t xml:space="preserve">Informācija par </w:t>
            </w:r>
            <w:r w:rsidR="00D93A55">
              <w:rPr>
                <w:rFonts w:ascii="Times New Roman" w:eastAsia="Times New Roman" w:hAnsi="Times New Roman" w:cs="Times New Roman"/>
                <w:sz w:val="26"/>
                <w:szCs w:val="26"/>
                <w:lang w:eastAsia="lv-LV"/>
              </w:rPr>
              <w:t xml:space="preserve">noteikumu </w:t>
            </w:r>
            <w:r w:rsidRPr="008F670E">
              <w:rPr>
                <w:rFonts w:ascii="Times New Roman" w:eastAsia="Times New Roman" w:hAnsi="Times New Roman" w:cs="Times New Roman"/>
                <w:sz w:val="26"/>
                <w:szCs w:val="26"/>
                <w:lang w:eastAsia="lv-LV"/>
              </w:rPr>
              <w:t xml:space="preserve">projekta izstrādi </w:t>
            </w:r>
            <w:r w:rsidR="008F670E" w:rsidRPr="008F670E">
              <w:rPr>
                <w:rFonts w:ascii="Times New Roman" w:eastAsia="Times New Roman" w:hAnsi="Times New Roman" w:cs="Times New Roman"/>
                <w:sz w:val="26"/>
                <w:szCs w:val="26"/>
                <w:lang w:eastAsia="lv-LV"/>
              </w:rPr>
              <w:t>2020.gada 9.</w:t>
            </w:r>
            <w:r w:rsidR="008F670E">
              <w:rPr>
                <w:rFonts w:ascii="Times New Roman" w:eastAsia="Times New Roman" w:hAnsi="Times New Roman" w:cs="Times New Roman"/>
                <w:sz w:val="26"/>
                <w:szCs w:val="26"/>
                <w:lang w:eastAsia="lv-LV"/>
              </w:rPr>
              <w:t>novembr</w:t>
            </w:r>
            <w:r w:rsidR="008F670E" w:rsidRPr="008F670E">
              <w:rPr>
                <w:rFonts w:ascii="Times New Roman" w:eastAsia="Times New Roman" w:hAnsi="Times New Roman" w:cs="Times New Roman"/>
                <w:sz w:val="26"/>
                <w:szCs w:val="26"/>
                <w:lang w:eastAsia="lv-LV"/>
              </w:rPr>
              <w:t xml:space="preserve">ī </w:t>
            </w:r>
            <w:r w:rsidRPr="008F670E">
              <w:rPr>
                <w:rFonts w:ascii="Times New Roman" w:eastAsia="Times New Roman" w:hAnsi="Times New Roman" w:cs="Times New Roman"/>
                <w:sz w:val="26"/>
                <w:szCs w:val="26"/>
                <w:lang w:eastAsia="lv-LV"/>
              </w:rPr>
              <w:t>publicēta Finanšu ministrijas tīmekļvietnē sadaļā “Sabiedrības līdzdalība” – “Tiesību aktu projekti” – “Nodokļu politika”.</w:t>
            </w:r>
            <w:r w:rsidRPr="00B1212B">
              <w:rPr>
                <w:rFonts w:ascii="Times New Roman" w:eastAsia="Times New Roman" w:hAnsi="Times New Roman" w:cs="Times New Roman"/>
                <w:sz w:val="26"/>
                <w:szCs w:val="26"/>
                <w:lang w:eastAsia="lv-LV"/>
              </w:rPr>
              <w:t xml:space="preserve"> Līdz ar to sabiedrības pārstāvji </w:t>
            </w:r>
            <w:r w:rsidR="00F438AC">
              <w:rPr>
                <w:rFonts w:ascii="Times New Roman" w:eastAsia="Times New Roman" w:hAnsi="Times New Roman" w:cs="Times New Roman"/>
                <w:sz w:val="26"/>
                <w:szCs w:val="26"/>
                <w:lang w:eastAsia="lv-LV"/>
              </w:rPr>
              <w:t>varēja</w:t>
            </w:r>
            <w:r w:rsidR="00F438AC" w:rsidRPr="00B1212B">
              <w:rPr>
                <w:rFonts w:ascii="Times New Roman" w:eastAsia="Times New Roman" w:hAnsi="Times New Roman" w:cs="Times New Roman"/>
                <w:sz w:val="26"/>
                <w:szCs w:val="26"/>
                <w:lang w:eastAsia="lv-LV"/>
              </w:rPr>
              <w:t xml:space="preserve"> </w:t>
            </w:r>
            <w:r w:rsidRPr="00B1212B">
              <w:rPr>
                <w:rFonts w:ascii="Times New Roman" w:eastAsia="Times New Roman" w:hAnsi="Times New Roman" w:cs="Times New Roman"/>
                <w:sz w:val="26"/>
                <w:szCs w:val="26"/>
                <w:lang w:eastAsia="lv-LV"/>
              </w:rPr>
              <w:t xml:space="preserve">līdzdarboties projekta izstrādē, </w:t>
            </w:r>
            <w:proofErr w:type="spellStart"/>
            <w:r w:rsidRPr="00B1212B">
              <w:rPr>
                <w:rFonts w:ascii="Times New Roman" w:eastAsia="Times New Roman" w:hAnsi="Times New Roman" w:cs="Times New Roman"/>
                <w:sz w:val="26"/>
                <w:szCs w:val="26"/>
                <w:lang w:eastAsia="lv-LV"/>
              </w:rPr>
              <w:t>rakstveidā</w:t>
            </w:r>
            <w:proofErr w:type="spellEnd"/>
            <w:r w:rsidRPr="00B1212B">
              <w:rPr>
                <w:rFonts w:ascii="Times New Roman" w:eastAsia="Times New Roman" w:hAnsi="Times New Roman" w:cs="Times New Roman"/>
                <w:sz w:val="26"/>
                <w:szCs w:val="26"/>
                <w:lang w:eastAsia="lv-LV"/>
              </w:rPr>
              <w:t xml:space="preserve"> sniedzot viedokļus par projektu.</w:t>
            </w:r>
            <w:r w:rsidR="00F438AC">
              <w:rPr>
                <w:rFonts w:ascii="Times New Roman" w:eastAsia="Times New Roman" w:hAnsi="Times New Roman" w:cs="Times New Roman"/>
                <w:sz w:val="26"/>
                <w:szCs w:val="26"/>
                <w:lang w:eastAsia="lv-LV"/>
              </w:rPr>
              <w:t xml:space="preserve"> Tāpat sabiedrības</w:t>
            </w:r>
            <w:r w:rsidR="00A85AAD">
              <w:rPr>
                <w:rFonts w:ascii="Times New Roman" w:eastAsia="Times New Roman" w:hAnsi="Times New Roman" w:cs="Times New Roman"/>
                <w:sz w:val="26"/>
                <w:szCs w:val="26"/>
                <w:lang w:eastAsia="lv-LV"/>
              </w:rPr>
              <w:t xml:space="preserve"> pārstāvji varēs sniegt viedokļus par projektu pēc tā izsludināšanas Valsts sekretāru</w:t>
            </w:r>
            <w:r w:rsidR="00E75D1A">
              <w:rPr>
                <w:rFonts w:ascii="Times New Roman" w:eastAsia="Times New Roman" w:hAnsi="Times New Roman" w:cs="Times New Roman"/>
                <w:sz w:val="26"/>
                <w:szCs w:val="26"/>
                <w:lang w:eastAsia="lv-LV"/>
              </w:rPr>
              <w:t xml:space="preserve"> sanāksmē.</w:t>
            </w:r>
          </w:p>
        </w:tc>
      </w:tr>
      <w:tr w:rsidR="00A873E8" w:rsidRPr="00B1212B" w14:paraId="5377F105"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7EF06DC9" w14:textId="77777777"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68B0A8C9"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 projekta izstrādē</w:t>
            </w:r>
          </w:p>
        </w:tc>
        <w:tc>
          <w:tcPr>
            <w:tcW w:w="6237" w:type="dxa"/>
            <w:tcBorders>
              <w:top w:val="outset" w:sz="6" w:space="0" w:color="414142"/>
              <w:left w:val="outset" w:sz="6" w:space="0" w:color="414142"/>
              <w:bottom w:val="outset" w:sz="6" w:space="0" w:color="414142"/>
              <w:right w:val="outset" w:sz="6" w:space="0" w:color="414142"/>
            </w:tcBorders>
            <w:hideMark/>
          </w:tcPr>
          <w:p w14:paraId="5C480F18" w14:textId="3E8F2800" w:rsidR="00A522FB" w:rsidRPr="00B1212B" w:rsidRDefault="00DC6119" w:rsidP="00227CC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w:t>
            </w:r>
            <w:r w:rsidR="00CF0A5E">
              <w:rPr>
                <w:rFonts w:ascii="Times New Roman" w:eastAsia="Times New Roman" w:hAnsi="Times New Roman" w:cs="Times New Roman"/>
                <w:sz w:val="26"/>
                <w:szCs w:val="26"/>
                <w:lang w:eastAsia="lv-LV"/>
              </w:rPr>
              <w:t xml:space="preserve">biedrības pārstāvji varēja līdzdarboties projekta izstrādē, </w:t>
            </w:r>
            <w:proofErr w:type="spellStart"/>
            <w:r w:rsidR="00CF0A5E">
              <w:rPr>
                <w:rFonts w:ascii="Times New Roman" w:eastAsia="Times New Roman" w:hAnsi="Times New Roman" w:cs="Times New Roman"/>
                <w:sz w:val="26"/>
                <w:szCs w:val="26"/>
                <w:lang w:eastAsia="lv-LV"/>
              </w:rPr>
              <w:t>rakstveidā</w:t>
            </w:r>
            <w:proofErr w:type="spellEnd"/>
            <w:r w:rsidR="00CF0A5E">
              <w:rPr>
                <w:rFonts w:ascii="Times New Roman" w:eastAsia="Times New Roman" w:hAnsi="Times New Roman" w:cs="Times New Roman"/>
                <w:sz w:val="26"/>
                <w:szCs w:val="26"/>
                <w:lang w:eastAsia="lv-LV"/>
              </w:rPr>
              <w:t xml:space="preserve"> sniedzot viedokļus par projektu, </w:t>
            </w:r>
            <w:r w:rsidR="00227CCB">
              <w:rPr>
                <w:rFonts w:ascii="Times New Roman" w:eastAsia="Times New Roman" w:hAnsi="Times New Roman" w:cs="Times New Roman"/>
                <w:sz w:val="26"/>
                <w:szCs w:val="26"/>
                <w:lang w:eastAsia="lv-LV"/>
              </w:rPr>
              <w:t>ņemot vērā, ka informācija par to</w:t>
            </w:r>
            <w:r w:rsidR="00CF0A5E">
              <w:rPr>
                <w:rFonts w:ascii="Times New Roman" w:eastAsia="Times New Roman" w:hAnsi="Times New Roman" w:cs="Times New Roman"/>
                <w:sz w:val="26"/>
                <w:szCs w:val="26"/>
                <w:lang w:eastAsia="lv-LV"/>
              </w:rPr>
              <w:t xml:space="preserve"> 2020.gada </w:t>
            </w:r>
            <w:r w:rsidR="00227CCB">
              <w:rPr>
                <w:rFonts w:ascii="Times New Roman" w:eastAsia="Times New Roman" w:hAnsi="Times New Roman" w:cs="Times New Roman"/>
                <w:sz w:val="26"/>
                <w:szCs w:val="26"/>
                <w:lang w:eastAsia="lv-LV"/>
              </w:rPr>
              <w:t>9</w:t>
            </w:r>
            <w:r w:rsidR="00CF0A5E">
              <w:rPr>
                <w:rFonts w:ascii="Times New Roman" w:eastAsia="Times New Roman" w:hAnsi="Times New Roman" w:cs="Times New Roman"/>
                <w:sz w:val="26"/>
                <w:szCs w:val="26"/>
                <w:lang w:eastAsia="lv-LV"/>
              </w:rPr>
              <w:t>.nov</w:t>
            </w:r>
            <w:r w:rsidR="009408F0">
              <w:rPr>
                <w:rFonts w:ascii="Times New Roman" w:eastAsia="Times New Roman" w:hAnsi="Times New Roman" w:cs="Times New Roman"/>
                <w:sz w:val="26"/>
                <w:szCs w:val="26"/>
                <w:lang w:eastAsia="lv-LV"/>
              </w:rPr>
              <w:t>embrī publicēt</w:t>
            </w:r>
            <w:r w:rsidR="00227CCB">
              <w:rPr>
                <w:rFonts w:ascii="Times New Roman" w:eastAsia="Times New Roman" w:hAnsi="Times New Roman" w:cs="Times New Roman"/>
                <w:sz w:val="26"/>
                <w:szCs w:val="26"/>
                <w:lang w:eastAsia="lv-LV"/>
              </w:rPr>
              <w:t>a</w:t>
            </w:r>
            <w:r w:rsidR="009408F0">
              <w:rPr>
                <w:rFonts w:ascii="Times New Roman" w:eastAsia="Times New Roman" w:hAnsi="Times New Roman" w:cs="Times New Roman"/>
                <w:sz w:val="26"/>
                <w:szCs w:val="26"/>
                <w:lang w:eastAsia="lv-LV"/>
              </w:rPr>
              <w:t xml:space="preserve"> Finanšu ministrijas tīmekļa vietnē sadaļā “Sabiedrības līdzdalība”</w:t>
            </w:r>
            <w:r w:rsidR="003A472E">
              <w:rPr>
                <w:rFonts w:ascii="Times New Roman" w:eastAsia="Times New Roman" w:hAnsi="Times New Roman" w:cs="Times New Roman"/>
                <w:sz w:val="26"/>
                <w:szCs w:val="26"/>
                <w:lang w:eastAsia="lv-LV"/>
              </w:rPr>
              <w:t xml:space="preserve"> – “Tiesību aktu projektu” – “Nodokļu politika”, adrese:</w:t>
            </w:r>
            <w:r w:rsidR="000056EB">
              <w:rPr>
                <w:rFonts w:ascii="Times New Roman" w:eastAsia="Times New Roman" w:hAnsi="Times New Roman" w:cs="Times New Roman"/>
                <w:sz w:val="26"/>
                <w:szCs w:val="26"/>
                <w:lang w:eastAsia="lv-LV"/>
              </w:rPr>
              <w:t xml:space="preserve"> </w:t>
            </w:r>
            <w:hyperlink r:id="rId11" w:history="1">
              <w:r w:rsidR="0085619E" w:rsidRPr="000326C9">
                <w:rPr>
                  <w:rStyle w:val="Hyperlink"/>
                  <w:rFonts w:ascii="Times New Roman" w:eastAsia="Times New Roman" w:hAnsi="Times New Roman" w:cs="Times New Roman"/>
                  <w:sz w:val="26"/>
                  <w:szCs w:val="26"/>
                  <w:lang w:eastAsia="lv-LV"/>
                </w:rPr>
                <w:t>https://www.fm.gov.lv/lv/sabiedribas_lidzdaliba/tiesibu_aktu_projekti/nodoklu_politika</w:t>
              </w:r>
            </w:hyperlink>
            <w:r w:rsidR="0085619E">
              <w:rPr>
                <w:rFonts w:ascii="Times New Roman" w:eastAsia="Times New Roman" w:hAnsi="Times New Roman" w:cs="Times New Roman"/>
                <w:sz w:val="26"/>
                <w:szCs w:val="26"/>
                <w:lang w:eastAsia="lv-LV"/>
              </w:rPr>
              <w:t xml:space="preserve"> un Ministru kabineta tīmekļvietnē sadaļā “Valsts kanceleja” – “Sabiedrības līdzdalība”, adrese: </w:t>
            </w:r>
            <w:r w:rsidR="0085619E" w:rsidRPr="0085619E">
              <w:rPr>
                <w:rFonts w:ascii="Times New Roman" w:eastAsia="Times New Roman" w:hAnsi="Times New Roman" w:cs="Times New Roman"/>
                <w:sz w:val="26"/>
                <w:szCs w:val="26"/>
                <w:lang w:eastAsia="lv-LV"/>
              </w:rPr>
              <w:t>https://www.mk.gov.lv/lv/content/ministru-kabineta-diskusiju-dokumenti</w:t>
            </w:r>
            <w:r w:rsidR="0085619E" w:rsidRPr="0085619E" w:rsidDel="00227CCB">
              <w:rPr>
                <w:rFonts w:ascii="Times New Roman" w:eastAsia="Times New Roman" w:hAnsi="Times New Roman" w:cs="Times New Roman"/>
                <w:sz w:val="26"/>
                <w:szCs w:val="26"/>
                <w:lang w:eastAsia="lv-LV"/>
              </w:rPr>
              <w:t xml:space="preserve"> </w:t>
            </w:r>
          </w:p>
        </w:tc>
      </w:tr>
      <w:tr w:rsidR="00A873E8" w:rsidRPr="00B1212B" w14:paraId="5A13F8E6"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3B663CD6" w14:textId="77777777"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14:paraId="5C38A66C"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līdzdalības rezultāti</w:t>
            </w:r>
          </w:p>
        </w:tc>
        <w:tc>
          <w:tcPr>
            <w:tcW w:w="6237" w:type="dxa"/>
            <w:tcBorders>
              <w:top w:val="outset" w:sz="6" w:space="0" w:color="414142"/>
              <w:left w:val="outset" w:sz="6" w:space="0" w:color="414142"/>
              <w:bottom w:val="outset" w:sz="6" w:space="0" w:color="414142"/>
              <w:right w:val="outset" w:sz="6" w:space="0" w:color="414142"/>
            </w:tcBorders>
            <w:hideMark/>
          </w:tcPr>
          <w:p w14:paraId="04555E6C" w14:textId="22FA3DC3" w:rsidR="00E33F0A" w:rsidRPr="00B1212B" w:rsidRDefault="0085619E" w:rsidP="00EC76C1">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Informācija tiks papildināta</w:t>
            </w:r>
            <w:r w:rsidR="003B669E">
              <w:rPr>
                <w:rFonts w:ascii="Times New Roman" w:eastAsia="Times New Roman" w:hAnsi="Times New Roman" w:cs="Times New Roman"/>
                <w:sz w:val="26"/>
                <w:szCs w:val="26"/>
                <w:lang w:eastAsia="lv-LV"/>
              </w:rPr>
              <w:t>.</w:t>
            </w:r>
          </w:p>
        </w:tc>
      </w:tr>
      <w:tr w:rsidR="00A873E8" w:rsidRPr="00B1212B" w14:paraId="455F226D" w14:textId="77777777" w:rsidTr="00CB2E90">
        <w:tc>
          <w:tcPr>
            <w:tcW w:w="559" w:type="dxa"/>
            <w:tcBorders>
              <w:top w:val="outset" w:sz="6" w:space="0" w:color="414142"/>
              <w:left w:val="outset" w:sz="6" w:space="0" w:color="414142"/>
              <w:bottom w:val="outset" w:sz="6" w:space="0" w:color="414142"/>
              <w:right w:val="outset" w:sz="6" w:space="0" w:color="414142"/>
            </w:tcBorders>
            <w:hideMark/>
          </w:tcPr>
          <w:p w14:paraId="4B407B14" w14:textId="77777777"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4.</w:t>
            </w:r>
          </w:p>
        </w:tc>
        <w:tc>
          <w:tcPr>
            <w:tcW w:w="2268" w:type="dxa"/>
            <w:tcBorders>
              <w:top w:val="outset" w:sz="6" w:space="0" w:color="414142"/>
              <w:left w:val="outset" w:sz="6" w:space="0" w:color="414142"/>
              <w:bottom w:val="outset" w:sz="6" w:space="0" w:color="414142"/>
              <w:right w:val="outset" w:sz="6" w:space="0" w:color="414142"/>
            </w:tcBorders>
            <w:hideMark/>
          </w:tcPr>
          <w:p w14:paraId="03BE7AD9" w14:textId="77777777"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3D7B7C5F" w14:textId="77777777" w:rsidR="00543AA6" w:rsidRPr="00B1212B" w:rsidRDefault="008D28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8417EF" w:rsidRPr="00B1212B">
              <w:rPr>
                <w:rFonts w:ascii="Times New Roman" w:eastAsia="Times New Roman" w:hAnsi="Times New Roman" w:cs="Times New Roman"/>
                <w:sz w:val="26"/>
                <w:szCs w:val="26"/>
                <w:lang w:eastAsia="lv-LV"/>
              </w:rPr>
              <w:t>.</w:t>
            </w:r>
          </w:p>
        </w:tc>
      </w:tr>
    </w:tbl>
    <w:p w14:paraId="6DB8883C" w14:textId="77777777" w:rsidR="00A873E8" w:rsidRPr="00B1212B" w:rsidRDefault="00A873E8"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09"/>
        <w:gridCol w:w="6291"/>
      </w:tblGrid>
      <w:tr w:rsidR="0091261F" w:rsidRPr="00B1212B" w14:paraId="0F5987B7"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F616D" w14:textId="77777777" w:rsidR="00543AA6" w:rsidRPr="00B1212B"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B1212B" w14:paraId="55AC0052"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78B82748"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BC7F103" w14:textId="77777777"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14:paraId="5075E3AB" w14:textId="77777777" w:rsidR="00543AA6" w:rsidRPr="00B1212B" w:rsidRDefault="00F4736C"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Valsts ieņēmumu dienests</w:t>
            </w:r>
            <w:r w:rsidR="00EC76C1">
              <w:rPr>
                <w:rFonts w:ascii="Times New Roman" w:eastAsia="Times New Roman" w:hAnsi="Times New Roman" w:cs="Times New Roman"/>
                <w:sz w:val="26"/>
                <w:szCs w:val="26"/>
                <w:lang w:eastAsia="lv-LV"/>
              </w:rPr>
              <w:t>.</w:t>
            </w:r>
          </w:p>
        </w:tc>
      </w:tr>
      <w:tr w:rsidR="0091261F" w:rsidRPr="00B1212B" w14:paraId="7317B9D2"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42952487"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6EA7279B" w14:textId="77777777"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izpildes ietekme uz pārvaldes funkcijām un institucionālo struktūru.</w:t>
            </w:r>
            <w:r w:rsidRPr="00B1212B">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14:paraId="1DA759F9" w14:textId="77777777"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Noteikumu projekts neparedz veidot jaunas institūcijas, reorganizēt vai likvidēt esošās institūcijas.</w:t>
            </w:r>
          </w:p>
          <w:p w14:paraId="38337841" w14:textId="77777777"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Tāpat esošajām institūcijām netiek ne paplašinātas, ne sašaurinātas funkcijas.</w:t>
            </w:r>
          </w:p>
          <w:p w14:paraId="29992471" w14:textId="77777777" w:rsidR="00543AA6" w:rsidRPr="00B1212B" w:rsidRDefault="007E1A7F" w:rsidP="007E3B4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Noteikumu projekta izpilde tiks nodrošināta esošo cilvēkresursu </w:t>
            </w:r>
            <w:r w:rsidR="00BF6C42" w:rsidRPr="00B1212B">
              <w:rPr>
                <w:rFonts w:ascii="Times New Roman" w:eastAsia="Times New Roman" w:hAnsi="Times New Roman" w:cs="Times New Roman"/>
                <w:sz w:val="26"/>
                <w:szCs w:val="26"/>
                <w:lang w:eastAsia="lv-LV"/>
              </w:rPr>
              <w:t xml:space="preserve">un finansējuma </w:t>
            </w:r>
            <w:r w:rsidRPr="00B1212B">
              <w:rPr>
                <w:rFonts w:ascii="Times New Roman" w:eastAsia="Times New Roman" w:hAnsi="Times New Roman" w:cs="Times New Roman"/>
                <w:sz w:val="26"/>
                <w:szCs w:val="26"/>
                <w:lang w:eastAsia="lv-LV"/>
              </w:rPr>
              <w:t>ietvaros.</w:t>
            </w:r>
          </w:p>
        </w:tc>
      </w:tr>
      <w:tr w:rsidR="0091261F" w:rsidRPr="00B1212B" w14:paraId="5DB55BE0"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7040A506" w14:textId="77777777"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7B07BB35" w14:textId="77777777"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72A5CCF9" w14:textId="6766F24B" w:rsidR="00543AA6" w:rsidRPr="00B1212B" w:rsidRDefault="003C46DD"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C8533C">
              <w:rPr>
                <w:rFonts w:ascii="Times New Roman" w:eastAsia="Times New Roman" w:hAnsi="Times New Roman" w:cs="Times New Roman"/>
                <w:sz w:val="26"/>
                <w:szCs w:val="26"/>
                <w:lang w:eastAsia="lv-LV"/>
              </w:rPr>
              <w:t>.</w:t>
            </w:r>
          </w:p>
        </w:tc>
      </w:tr>
    </w:tbl>
    <w:p w14:paraId="11927E1D" w14:textId="77777777" w:rsidR="00404A62" w:rsidRPr="00B1212B" w:rsidRDefault="00404A62">
      <w:pPr>
        <w:rPr>
          <w:sz w:val="26"/>
          <w:szCs w:val="26"/>
        </w:rPr>
      </w:pPr>
    </w:p>
    <w:p w14:paraId="3BFCDAEE" w14:textId="77777777" w:rsidR="003C46DD" w:rsidRPr="00B1212B" w:rsidRDefault="003C46DD" w:rsidP="003C46DD">
      <w:pPr>
        <w:tabs>
          <w:tab w:val="left" w:pos="709"/>
          <w:tab w:val="left" w:pos="5812"/>
          <w:tab w:val="left" w:pos="7371"/>
        </w:tabs>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Finanšu ministr</w:t>
      </w:r>
      <w:r w:rsidR="008A0751" w:rsidRPr="00B1212B">
        <w:rPr>
          <w:rFonts w:ascii="Times New Roman" w:eastAsia="Times New Roman" w:hAnsi="Times New Roman" w:cs="Times New Roman"/>
          <w:sz w:val="26"/>
          <w:szCs w:val="26"/>
          <w:lang w:eastAsia="lv-LV"/>
        </w:rPr>
        <w:t>s</w:t>
      </w:r>
      <w:r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r>
      <w:proofErr w:type="spellStart"/>
      <w:r w:rsidR="008A0751" w:rsidRPr="00B1212B">
        <w:rPr>
          <w:rFonts w:ascii="Times New Roman" w:eastAsia="Times New Roman" w:hAnsi="Times New Roman" w:cs="Times New Roman"/>
          <w:sz w:val="26"/>
          <w:szCs w:val="26"/>
          <w:lang w:eastAsia="lv-LV"/>
        </w:rPr>
        <w:t>J.Reirs</w:t>
      </w:r>
      <w:proofErr w:type="spellEnd"/>
    </w:p>
    <w:p w14:paraId="6E679F5F" w14:textId="77777777" w:rsidR="003C46DD" w:rsidRDefault="003C46DD" w:rsidP="003C46DD">
      <w:pPr>
        <w:spacing w:after="0" w:line="240" w:lineRule="auto"/>
        <w:jc w:val="both"/>
        <w:rPr>
          <w:rFonts w:ascii="Times New Roman" w:eastAsia="Times New Roman" w:hAnsi="Times New Roman" w:cs="Times New Roman"/>
          <w:sz w:val="20"/>
          <w:szCs w:val="20"/>
          <w:lang w:eastAsia="lv-LV"/>
        </w:rPr>
      </w:pPr>
    </w:p>
    <w:p w14:paraId="1859E139" w14:textId="77777777" w:rsidR="00D432B6" w:rsidRPr="00B1212B" w:rsidRDefault="00D432B6" w:rsidP="003C46DD">
      <w:pPr>
        <w:spacing w:after="0" w:line="240" w:lineRule="auto"/>
        <w:jc w:val="both"/>
        <w:rPr>
          <w:rFonts w:ascii="Times New Roman" w:eastAsia="Times New Roman" w:hAnsi="Times New Roman" w:cs="Times New Roman"/>
          <w:sz w:val="20"/>
          <w:szCs w:val="20"/>
          <w:lang w:eastAsia="lv-LV"/>
        </w:rPr>
      </w:pPr>
    </w:p>
    <w:p w14:paraId="4B21F5CA" w14:textId="77777777" w:rsidR="002B4A9F" w:rsidRPr="00B1212B" w:rsidRDefault="002B4A9F" w:rsidP="003C46DD">
      <w:pPr>
        <w:spacing w:after="0" w:line="240" w:lineRule="auto"/>
        <w:jc w:val="both"/>
        <w:rPr>
          <w:rFonts w:ascii="Times New Roman" w:eastAsia="Times New Roman" w:hAnsi="Times New Roman" w:cs="Times New Roman"/>
          <w:sz w:val="20"/>
          <w:szCs w:val="20"/>
          <w:lang w:eastAsia="lv-LV"/>
        </w:rPr>
      </w:pPr>
    </w:p>
    <w:p w14:paraId="70DF150E" w14:textId="77777777" w:rsidR="003C46DD" w:rsidRPr="00B1212B" w:rsidRDefault="003C46DD" w:rsidP="003C46DD">
      <w:pPr>
        <w:spacing w:after="0" w:line="240" w:lineRule="auto"/>
        <w:jc w:val="both"/>
        <w:rPr>
          <w:rFonts w:ascii="Times New Roman" w:eastAsia="Times New Roman" w:hAnsi="Times New Roman" w:cs="Times New Roman"/>
          <w:sz w:val="20"/>
          <w:szCs w:val="20"/>
        </w:rPr>
      </w:pPr>
      <w:r w:rsidRPr="00B1212B">
        <w:rPr>
          <w:rFonts w:ascii="Times New Roman" w:eastAsia="Times New Roman" w:hAnsi="Times New Roman" w:cs="Times New Roman"/>
          <w:sz w:val="20"/>
          <w:szCs w:val="20"/>
        </w:rPr>
        <w:t>Auziņš, 67083919</w:t>
      </w:r>
    </w:p>
    <w:p w14:paraId="3937AFA6" w14:textId="77777777" w:rsidR="003C46DD" w:rsidRPr="0091261F" w:rsidRDefault="002A170F" w:rsidP="003C46DD">
      <w:pPr>
        <w:spacing w:after="0" w:line="240" w:lineRule="auto"/>
        <w:rPr>
          <w:rFonts w:ascii="Times New Roman" w:eastAsia="Times New Roman" w:hAnsi="Times New Roman" w:cs="Times New Roman"/>
          <w:snapToGrid w:val="0"/>
          <w:sz w:val="20"/>
          <w:szCs w:val="20"/>
        </w:rPr>
      </w:pPr>
      <w:hyperlink r:id="rId12" w:history="1">
        <w:r w:rsidR="003C46DD" w:rsidRPr="00B1212B">
          <w:rPr>
            <w:rFonts w:ascii="Times New Roman" w:eastAsia="Times New Roman" w:hAnsi="Times New Roman" w:cs="Times New Roman"/>
            <w:snapToGrid w:val="0"/>
            <w:sz w:val="20"/>
            <w:szCs w:val="20"/>
            <w:u w:val="single"/>
          </w:rPr>
          <w:t>Roberts.Auzins@fm.gov.lv</w:t>
        </w:r>
      </w:hyperlink>
    </w:p>
    <w:sectPr w:rsidR="003C46DD" w:rsidRPr="0091261F" w:rsidSect="0090215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9B48" w14:textId="77777777" w:rsidR="00FB4BAB" w:rsidRDefault="00FB4BAB" w:rsidP="00A75770">
      <w:pPr>
        <w:spacing w:after="0" w:line="240" w:lineRule="auto"/>
      </w:pPr>
      <w:r>
        <w:separator/>
      </w:r>
    </w:p>
  </w:endnote>
  <w:endnote w:type="continuationSeparator" w:id="0">
    <w:p w14:paraId="6483CAD2" w14:textId="77777777" w:rsidR="00FB4BAB" w:rsidRDefault="00FB4BAB"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0639" w14:textId="38AC28BE" w:rsidR="0091261F" w:rsidRPr="00281052" w:rsidRDefault="0091261F"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CB2E90">
      <w:rPr>
        <w:rFonts w:ascii="Times New Roman" w:hAnsi="Times New Roman" w:cs="Times New Roman"/>
        <w:noProof/>
        <w:sz w:val="18"/>
        <w:szCs w:val="18"/>
        <w:lang w:val="en-GB"/>
      </w:rPr>
      <w:t>FMAnot_091220_UIN_PSM.docx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126" w14:textId="0BFD8949" w:rsidR="00404A62" w:rsidRPr="00404A62" w:rsidRDefault="00502947" w:rsidP="00404A62">
    <w:pPr>
      <w:pStyle w:val="Foote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CB2E90">
      <w:rPr>
        <w:rFonts w:ascii="Times New Roman" w:hAnsi="Times New Roman" w:cs="Times New Roman"/>
        <w:noProof/>
        <w:sz w:val="18"/>
        <w:szCs w:val="18"/>
        <w:lang w:val="en-GB"/>
      </w:rPr>
      <w:t>FMAnot_091220_UIN_PSM.docx</w:t>
    </w:r>
    <w:r w:rsidRPr="0028105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E9CA" w14:textId="77777777" w:rsidR="00FB4BAB" w:rsidRDefault="00FB4BAB" w:rsidP="00A75770">
      <w:pPr>
        <w:spacing w:after="0" w:line="240" w:lineRule="auto"/>
      </w:pPr>
      <w:r>
        <w:separator/>
      </w:r>
    </w:p>
  </w:footnote>
  <w:footnote w:type="continuationSeparator" w:id="0">
    <w:p w14:paraId="74B4F90A" w14:textId="77777777" w:rsidR="00FB4BAB" w:rsidRDefault="00FB4BAB" w:rsidP="00A75770">
      <w:pPr>
        <w:spacing w:after="0" w:line="240" w:lineRule="auto"/>
      </w:pPr>
      <w:r>
        <w:continuationSeparator/>
      </w:r>
    </w:p>
  </w:footnote>
  <w:footnote w:id="1">
    <w:p w14:paraId="213544FA" w14:textId="77777777" w:rsidR="0004027C" w:rsidRDefault="0004027C" w:rsidP="0004027C">
      <w:pPr>
        <w:pStyle w:val="FootnoteText"/>
      </w:pPr>
      <w:r>
        <w:rPr>
          <w:rStyle w:val="FootnoteReference"/>
        </w:rPr>
        <w:footnoteRef/>
      </w:r>
      <w:r>
        <w:t xml:space="preserve"> </w:t>
      </w:r>
      <w:r w:rsidRPr="00C1779D">
        <w:t xml:space="preserve">OECD </w:t>
      </w:r>
      <w:proofErr w:type="spellStart"/>
      <w:r w:rsidRPr="00C1779D">
        <w:t>Transfer</w:t>
      </w:r>
      <w:proofErr w:type="spellEnd"/>
      <w:r w:rsidRPr="00C1779D">
        <w:t xml:space="preserve"> </w:t>
      </w:r>
      <w:proofErr w:type="spellStart"/>
      <w:r w:rsidRPr="00C1779D">
        <w:t>Pricing</w:t>
      </w:r>
      <w:proofErr w:type="spellEnd"/>
      <w:r w:rsidRPr="00C1779D">
        <w:t xml:space="preserve"> </w:t>
      </w:r>
      <w:proofErr w:type="spellStart"/>
      <w:r w:rsidRPr="00C1779D">
        <w:t>Guidelines</w:t>
      </w:r>
      <w:proofErr w:type="spellEnd"/>
      <w:r w:rsidRPr="00C1779D">
        <w:t xml:space="preserve"> </w:t>
      </w:r>
      <w:proofErr w:type="spellStart"/>
      <w:r w:rsidRPr="00C1779D">
        <w:t>for</w:t>
      </w:r>
      <w:proofErr w:type="spellEnd"/>
      <w:r w:rsidRPr="00C1779D">
        <w:t xml:space="preserve"> </w:t>
      </w:r>
      <w:proofErr w:type="spellStart"/>
      <w:r w:rsidRPr="00C1779D">
        <w:t>Multinational</w:t>
      </w:r>
      <w:proofErr w:type="spellEnd"/>
      <w:r w:rsidRPr="00C1779D">
        <w:t xml:space="preserve"> Enterprises </w:t>
      </w:r>
      <w:proofErr w:type="spellStart"/>
      <w:r w:rsidRPr="00C1779D">
        <w:t>and</w:t>
      </w:r>
      <w:proofErr w:type="spellEnd"/>
      <w:r w:rsidRPr="00C1779D">
        <w:t xml:space="preserve"> </w:t>
      </w:r>
      <w:proofErr w:type="spellStart"/>
      <w:r w:rsidRPr="00C1779D">
        <w:t>Tax</w:t>
      </w:r>
      <w:proofErr w:type="spellEnd"/>
      <w:r w:rsidRPr="00C1779D">
        <w:t xml:space="preserve"> </w:t>
      </w:r>
      <w:proofErr w:type="spellStart"/>
      <w:r w:rsidRPr="00C1779D">
        <w:t>Administrations</w:t>
      </w:r>
      <w:proofErr w:type="spellEnd"/>
      <w:r>
        <w:t xml:space="preserve"> (pieejams: </w:t>
      </w:r>
      <w:hyperlink r:id="rId1" w:history="1">
        <w:r w:rsidRPr="00F107E5">
          <w:rPr>
            <w:rStyle w:val="Hyperlink"/>
          </w:rPr>
          <w:t>https://www.oecd.org/tax/transfer-pricing/oecd-transfer-pricing-guidelines-for-multinational-enterprises-and-tax-administrations-20769717.htm</w:t>
        </w:r>
      </w:hyperlink>
      <w:r>
        <w:t>, skatīts 03.11.2020.).</w:t>
      </w:r>
    </w:p>
  </w:footnote>
  <w:footnote w:id="2">
    <w:p w14:paraId="13A3F3CE" w14:textId="77777777" w:rsidR="0004027C" w:rsidRPr="0072339A" w:rsidRDefault="0004027C" w:rsidP="008F670E">
      <w:pPr>
        <w:pStyle w:val="Default"/>
        <w:jc w:val="both"/>
        <w:rPr>
          <w:sz w:val="22"/>
          <w:szCs w:val="22"/>
        </w:rPr>
      </w:pPr>
      <w:r>
        <w:rPr>
          <w:rStyle w:val="FootnoteReference"/>
        </w:rPr>
        <w:footnoteRef/>
      </w:r>
      <w:r>
        <w:t xml:space="preserve"> </w:t>
      </w:r>
      <w:r>
        <w:rPr>
          <w:sz w:val="22"/>
          <w:szCs w:val="22"/>
        </w:rPr>
        <w:t xml:space="preserve">OECD (2018), </w:t>
      </w:r>
      <w:proofErr w:type="spellStart"/>
      <w:r>
        <w:rPr>
          <w:i/>
          <w:iCs/>
          <w:sz w:val="22"/>
          <w:szCs w:val="22"/>
        </w:rPr>
        <w:t>Revised</w:t>
      </w:r>
      <w:proofErr w:type="spellEnd"/>
      <w:r>
        <w:rPr>
          <w:i/>
          <w:iCs/>
          <w:sz w:val="22"/>
          <w:szCs w:val="22"/>
        </w:rPr>
        <w:t xml:space="preserve"> </w:t>
      </w:r>
      <w:proofErr w:type="spellStart"/>
      <w:r>
        <w:rPr>
          <w:i/>
          <w:iCs/>
          <w:sz w:val="22"/>
          <w:szCs w:val="22"/>
        </w:rPr>
        <w:t>Guidance</w:t>
      </w:r>
      <w:proofErr w:type="spellEnd"/>
      <w:r>
        <w:rPr>
          <w:i/>
          <w:iCs/>
          <w:sz w:val="22"/>
          <w:szCs w:val="22"/>
        </w:rPr>
        <w:t xml:space="preserve"> </w:t>
      </w:r>
      <w:proofErr w:type="spellStart"/>
      <w:r>
        <w:rPr>
          <w:i/>
          <w:iCs/>
          <w:sz w:val="22"/>
          <w:szCs w:val="22"/>
        </w:rPr>
        <w:t>on</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Application</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Transactional</w:t>
      </w:r>
      <w:proofErr w:type="spellEnd"/>
      <w:r>
        <w:rPr>
          <w:i/>
          <w:iCs/>
          <w:sz w:val="22"/>
          <w:szCs w:val="22"/>
        </w:rPr>
        <w:t xml:space="preserve"> </w:t>
      </w:r>
      <w:proofErr w:type="spellStart"/>
      <w:r>
        <w:rPr>
          <w:i/>
          <w:iCs/>
          <w:sz w:val="22"/>
          <w:szCs w:val="22"/>
        </w:rPr>
        <w:t>Profit</w:t>
      </w:r>
      <w:proofErr w:type="spellEnd"/>
      <w:r>
        <w:rPr>
          <w:i/>
          <w:iCs/>
          <w:sz w:val="22"/>
          <w:szCs w:val="22"/>
        </w:rPr>
        <w:t xml:space="preserve"> </w:t>
      </w:r>
      <w:proofErr w:type="spellStart"/>
      <w:r>
        <w:rPr>
          <w:i/>
          <w:iCs/>
          <w:sz w:val="22"/>
          <w:szCs w:val="22"/>
        </w:rPr>
        <w:t>Split</w:t>
      </w:r>
      <w:proofErr w:type="spellEnd"/>
      <w:r>
        <w:rPr>
          <w:i/>
          <w:iCs/>
          <w:sz w:val="22"/>
          <w:szCs w:val="22"/>
        </w:rPr>
        <w:t xml:space="preserve"> </w:t>
      </w:r>
      <w:proofErr w:type="spellStart"/>
      <w:r>
        <w:rPr>
          <w:i/>
          <w:iCs/>
          <w:sz w:val="22"/>
          <w:szCs w:val="22"/>
        </w:rPr>
        <w:t>Method</w:t>
      </w:r>
      <w:proofErr w:type="spellEnd"/>
      <w:r>
        <w:rPr>
          <w:i/>
          <w:iCs/>
          <w:sz w:val="22"/>
          <w:szCs w:val="22"/>
        </w:rPr>
        <w:t xml:space="preserve">: </w:t>
      </w:r>
      <w:proofErr w:type="spellStart"/>
      <w:r>
        <w:rPr>
          <w:i/>
          <w:iCs/>
          <w:sz w:val="22"/>
          <w:szCs w:val="22"/>
        </w:rPr>
        <w:t>Inclusive</w:t>
      </w:r>
      <w:proofErr w:type="spellEnd"/>
      <w:r>
        <w:rPr>
          <w:i/>
          <w:iCs/>
          <w:sz w:val="22"/>
          <w:szCs w:val="22"/>
        </w:rPr>
        <w:t xml:space="preserve"> </w:t>
      </w:r>
      <w:proofErr w:type="spellStart"/>
      <w:r>
        <w:rPr>
          <w:i/>
          <w:iCs/>
          <w:sz w:val="22"/>
          <w:szCs w:val="22"/>
        </w:rPr>
        <w:t>Framework</w:t>
      </w:r>
      <w:proofErr w:type="spellEnd"/>
      <w:r>
        <w:rPr>
          <w:i/>
          <w:iCs/>
          <w:sz w:val="22"/>
          <w:szCs w:val="22"/>
        </w:rPr>
        <w:t xml:space="preserve"> </w:t>
      </w:r>
      <w:proofErr w:type="spellStart"/>
      <w:r>
        <w:rPr>
          <w:i/>
          <w:iCs/>
          <w:sz w:val="22"/>
          <w:szCs w:val="22"/>
        </w:rPr>
        <w:t>on</w:t>
      </w:r>
      <w:proofErr w:type="spellEnd"/>
      <w:r>
        <w:rPr>
          <w:i/>
          <w:iCs/>
          <w:sz w:val="22"/>
          <w:szCs w:val="22"/>
        </w:rPr>
        <w:t xml:space="preserve"> BEPS: </w:t>
      </w:r>
      <w:proofErr w:type="spellStart"/>
      <w:r>
        <w:rPr>
          <w:i/>
          <w:iCs/>
          <w:sz w:val="22"/>
          <w:szCs w:val="22"/>
        </w:rPr>
        <w:t>Action</w:t>
      </w:r>
      <w:proofErr w:type="spellEnd"/>
      <w:r>
        <w:rPr>
          <w:i/>
          <w:iCs/>
          <w:sz w:val="22"/>
          <w:szCs w:val="22"/>
        </w:rPr>
        <w:t xml:space="preserve"> 10</w:t>
      </w:r>
      <w:r>
        <w:rPr>
          <w:sz w:val="22"/>
          <w:szCs w:val="22"/>
        </w:rPr>
        <w:t xml:space="preserve">, OECD/G20 </w:t>
      </w:r>
      <w:proofErr w:type="spellStart"/>
      <w:r>
        <w:rPr>
          <w:sz w:val="22"/>
          <w:szCs w:val="22"/>
        </w:rPr>
        <w:t>Base</w:t>
      </w:r>
      <w:proofErr w:type="spellEnd"/>
      <w:r>
        <w:rPr>
          <w:sz w:val="22"/>
          <w:szCs w:val="22"/>
        </w:rPr>
        <w:t xml:space="preserve"> </w:t>
      </w:r>
      <w:proofErr w:type="spellStart"/>
      <w:r>
        <w:rPr>
          <w:sz w:val="22"/>
          <w:szCs w:val="22"/>
        </w:rPr>
        <w:t>Erosion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Profit</w:t>
      </w:r>
      <w:proofErr w:type="spellEnd"/>
      <w:r>
        <w:rPr>
          <w:sz w:val="22"/>
          <w:szCs w:val="22"/>
        </w:rPr>
        <w:t xml:space="preserve"> </w:t>
      </w:r>
      <w:proofErr w:type="spellStart"/>
      <w:r>
        <w:rPr>
          <w:sz w:val="22"/>
          <w:szCs w:val="22"/>
        </w:rPr>
        <w:t>Shifting</w:t>
      </w:r>
      <w:proofErr w:type="spellEnd"/>
      <w:r>
        <w:rPr>
          <w:sz w:val="22"/>
          <w:szCs w:val="22"/>
        </w:rPr>
        <w:t xml:space="preserve"> Project, OECD Paris. (pieejams: www.oecd.org/tax/beps/revised-guidance-on-the-application-of-the-transactional-profit-split-method-beps-action-10.pdf (aplūkots 03.11.2020.)).</w:t>
      </w:r>
    </w:p>
  </w:footnote>
  <w:footnote w:id="3">
    <w:p w14:paraId="13CCD62B" w14:textId="77777777" w:rsidR="0004027C" w:rsidRDefault="0004027C" w:rsidP="008F670E">
      <w:pPr>
        <w:pStyle w:val="FootnoteText"/>
        <w:jc w:val="both"/>
      </w:pPr>
      <w:r>
        <w:rPr>
          <w:rStyle w:val="FootnoteReference"/>
        </w:rPr>
        <w:footnoteRef/>
      </w:r>
      <w:r>
        <w:t xml:space="preserve"> </w:t>
      </w:r>
      <w:r w:rsidRPr="00CF6668">
        <w:t>https://www.oecd.org/ctp/oecd-transfer-pricing-guidelines-for-multinational-enterprises-and-tax-administrations-20769717.htm</w:t>
      </w:r>
    </w:p>
  </w:footnote>
  <w:footnote w:id="4">
    <w:p w14:paraId="3440E92B" w14:textId="77777777" w:rsidR="0004027C" w:rsidRPr="0072339A" w:rsidRDefault="0004027C" w:rsidP="008F670E">
      <w:pPr>
        <w:pStyle w:val="FootnoteText"/>
        <w:jc w:val="both"/>
        <w:rPr>
          <w:lang w:val="en-US"/>
        </w:rPr>
      </w:pPr>
      <w:r>
        <w:rPr>
          <w:rStyle w:val="FootnoteReference"/>
        </w:rPr>
        <w:footnoteRef/>
      </w:r>
      <w:r>
        <w:t xml:space="preserve"> </w:t>
      </w:r>
      <w:r>
        <w:t xml:space="preserve">EU </w:t>
      </w:r>
      <w:proofErr w:type="spellStart"/>
      <w:r>
        <w:t>Joint</w:t>
      </w:r>
      <w:proofErr w:type="spellEnd"/>
      <w:r>
        <w:t xml:space="preserve"> </w:t>
      </w:r>
      <w:proofErr w:type="spellStart"/>
      <w:r>
        <w:t>Transfer</w:t>
      </w:r>
      <w:proofErr w:type="spellEnd"/>
      <w:r>
        <w:t xml:space="preserve"> </w:t>
      </w:r>
      <w:proofErr w:type="spellStart"/>
      <w:r>
        <w:t>Pricing</w:t>
      </w:r>
      <w:proofErr w:type="spellEnd"/>
      <w:r>
        <w:t xml:space="preserve"> Forum.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r>
        <w:rPr>
          <w:lang w:val="en-US"/>
        </w:rPr>
        <w:t>Profit Split Method within the EU. (</w:t>
      </w:r>
      <w:proofErr w:type="spellStart"/>
      <w:r>
        <w:rPr>
          <w:lang w:val="en-US"/>
        </w:rPr>
        <w:t>pieejams</w:t>
      </w:r>
      <w:proofErr w:type="spellEnd"/>
      <w:r>
        <w:rPr>
          <w:lang w:val="en-US"/>
        </w:rPr>
        <w:t xml:space="preserve">: </w:t>
      </w:r>
      <w:hyperlink r:id="rId2" w:history="1">
        <w:r w:rsidRPr="00F107E5">
          <w:rPr>
            <w:rStyle w:val="Hyperlink"/>
            <w:lang w:val="en-US"/>
          </w:rPr>
          <w:t>https://ec.europa.eu/taxation_customs/sites/taxation/files/report_on_the_application_of_the_profit_split_method_within_the_eu_en.pdf</w:t>
        </w:r>
      </w:hyperlink>
      <w:r>
        <w:rPr>
          <w:lang w:val="en-US"/>
        </w:rPr>
        <w:t xml:space="preserve"> (</w:t>
      </w:r>
      <w:r>
        <w:rPr>
          <w:sz w:val="22"/>
          <w:szCs w:val="22"/>
        </w:rPr>
        <w:t>aplūkots 03.11.2020.)).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494895"/>
      <w:docPartObj>
        <w:docPartGallery w:val="Page Numbers (Top of Page)"/>
        <w:docPartUnique/>
      </w:docPartObj>
    </w:sdtPr>
    <w:sdtEndPr>
      <w:rPr>
        <w:noProof/>
      </w:rPr>
    </w:sdtEndPr>
    <w:sdtContent>
      <w:p w14:paraId="1F5C054E" w14:textId="0FA43B75" w:rsidR="00281052" w:rsidRDefault="00281052">
        <w:pPr>
          <w:pStyle w:val="Header"/>
          <w:jc w:val="center"/>
        </w:pPr>
        <w:r>
          <w:fldChar w:fldCharType="begin"/>
        </w:r>
        <w:r>
          <w:instrText xml:space="preserve"> PAGE   \* MERGEFORMAT </w:instrText>
        </w:r>
        <w:r>
          <w:fldChar w:fldCharType="separate"/>
        </w:r>
        <w:r w:rsidR="00CB2E90">
          <w:rPr>
            <w:noProof/>
          </w:rPr>
          <w:t>6</w:t>
        </w:r>
        <w:r>
          <w:rPr>
            <w:noProof/>
          </w:rPr>
          <w:fldChar w:fldCharType="end"/>
        </w:r>
      </w:p>
    </w:sdtContent>
  </w:sdt>
  <w:p w14:paraId="2844362A" w14:textId="77777777"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02607F"/>
    <w:multiLevelType w:val="hybridMultilevel"/>
    <w:tmpl w:val="E9AAE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174C4E"/>
    <w:multiLevelType w:val="hybridMultilevel"/>
    <w:tmpl w:val="9E9EA20A"/>
    <w:lvl w:ilvl="0" w:tplc="9676D9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35526B"/>
    <w:multiLevelType w:val="hybridMultilevel"/>
    <w:tmpl w:val="4650F096"/>
    <w:lvl w:ilvl="0" w:tplc="53AC7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76961C9C"/>
    <w:multiLevelType w:val="hybridMultilevel"/>
    <w:tmpl w:val="91FA8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DF918F0"/>
    <w:multiLevelType w:val="hybridMultilevel"/>
    <w:tmpl w:val="DFE4F1E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7"/>
  </w:num>
  <w:num w:numId="6">
    <w:abstractNumId w:val="10"/>
  </w:num>
  <w:num w:numId="7">
    <w:abstractNumId w:val="0"/>
  </w:num>
  <w:num w:numId="8">
    <w:abstractNumId w:val="11"/>
  </w:num>
  <w:num w:numId="9">
    <w:abstractNumId w:val="9"/>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17B3"/>
    <w:rsid w:val="00001E17"/>
    <w:rsid w:val="000056EB"/>
    <w:rsid w:val="00010431"/>
    <w:rsid w:val="00011F61"/>
    <w:rsid w:val="00022CD9"/>
    <w:rsid w:val="00022FE8"/>
    <w:rsid w:val="00025B0E"/>
    <w:rsid w:val="00027CC2"/>
    <w:rsid w:val="0003018E"/>
    <w:rsid w:val="0004027C"/>
    <w:rsid w:val="00042350"/>
    <w:rsid w:val="00042A4E"/>
    <w:rsid w:val="00050A40"/>
    <w:rsid w:val="0005206D"/>
    <w:rsid w:val="0005354A"/>
    <w:rsid w:val="00076BF8"/>
    <w:rsid w:val="00076D69"/>
    <w:rsid w:val="00086F21"/>
    <w:rsid w:val="00096FFD"/>
    <w:rsid w:val="000B4779"/>
    <w:rsid w:val="000B669C"/>
    <w:rsid w:val="000C63D8"/>
    <w:rsid w:val="000D75A4"/>
    <w:rsid w:val="000E2F8C"/>
    <w:rsid w:val="000E7051"/>
    <w:rsid w:val="000F4CB4"/>
    <w:rsid w:val="000F7F2C"/>
    <w:rsid w:val="001027DF"/>
    <w:rsid w:val="0011410C"/>
    <w:rsid w:val="0011426F"/>
    <w:rsid w:val="00116ED3"/>
    <w:rsid w:val="00127356"/>
    <w:rsid w:val="00127D77"/>
    <w:rsid w:val="00130509"/>
    <w:rsid w:val="00131D9F"/>
    <w:rsid w:val="00132416"/>
    <w:rsid w:val="00135871"/>
    <w:rsid w:val="00140329"/>
    <w:rsid w:val="001A272D"/>
    <w:rsid w:val="001A4CE4"/>
    <w:rsid w:val="001A4FB7"/>
    <w:rsid w:val="001A5897"/>
    <w:rsid w:val="001B1F26"/>
    <w:rsid w:val="001C0516"/>
    <w:rsid w:val="001C2DB7"/>
    <w:rsid w:val="001C36B7"/>
    <w:rsid w:val="001C63ED"/>
    <w:rsid w:val="001D765D"/>
    <w:rsid w:val="001E2B20"/>
    <w:rsid w:val="001E2F56"/>
    <w:rsid w:val="00202A6A"/>
    <w:rsid w:val="002060E4"/>
    <w:rsid w:val="00216F65"/>
    <w:rsid w:val="00221504"/>
    <w:rsid w:val="00221C53"/>
    <w:rsid w:val="002223CC"/>
    <w:rsid w:val="00227CCB"/>
    <w:rsid w:val="00234A95"/>
    <w:rsid w:val="00244D0F"/>
    <w:rsid w:val="00246894"/>
    <w:rsid w:val="00260E54"/>
    <w:rsid w:val="00262052"/>
    <w:rsid w:val="0026233A"/>
    <w:rsid w:val="002640CD"/>
    <w:rsid w:val="00265202"/>
    <w:rsid w:val="00265488"/>
    <w:rsid w:val="002700F5"/>
    <w:rsid w:val="00271565"/>
    <w:rsid w:val="00272A89"/>
    <w:rsid w:val="00281052"/>
    <w:rsid w:val="002977FD"/>
    <w:rsid w:val="002A0DF8"/>
    <w:rsid w:val="002A170F"/>
    <w:rsid w:val="002B131E"/>
    <w:rsid w:val="002B2F3B"/>
    <w:rsid w:val="002B4A9F"/>
    <w:rsid w:val="002B7799"/>
    <w:rsid w:val="002C0F87"/>
    <w:rsid w:val="002E1509"/>
    <w:rsid w:val="002E6F42"/>
    <w:rsid w:val="002F3121"/>
    <w:rsid w:val="002F5BE0"/>
    <w:rsid w:val="00301C3F"/>
    <w:rsid w:val="0032693D"/>
    <w:rsid w:val="00327B96"/>
    <w:rsid w:val="0033388C"/>
    <w:rsid w:val="00335FD9"/>
    <w:rsid w:val="00340149"/>
    <w:rsid w:val="003441A5"/>
    <w:rsid w:val="00345A00"/>
    <w:rsid w:val="00346FD9"/>
    <w:rsid w:val="00347444"/>
    <w:rsid w:val="0035151E"/>
    <w:rsid w:val="0035353E"/>
    <w:rsid w:val="00354716"/>
    <w:rsid w:val="00355DCE"/>
    <w:rsid w:val="00362A3D"/>
    <w:rsid w:val="003637CF"/>
    <w:rsid w:val="003737CD"/>
    <w:rsid w:val="00374C59"/>
    <w:rsid w:val="00375626"/>
    <w:rsid w:val="00381188"/>
    <w:rsid w:val="00387A9F"/>
    <w:rsid w:val="0039100E"/>
    <w:rsid w:val="00396A79"/>
    <w:rsid w:val="003A455A"/>
    <w:rsid w:val="003A472E"/>
    <w:rsid w:val="003A51F7"/>
    <w:rsid w:val="003B208C"/>
    <w:rsid w:val="003B286B"/>
    <w:rsid w:val="003B669E"/>
    <w:rsid w:val="003C46DD"/>
    <w:rsid w:val="003D4CA4"/>
    <w:rsid w:val="003E1A79"/>
    <w:rsid w:val="003E1D3C"/>
    <w:rsid w:val="003E604D"/>
    <w:rsid w:val="003F31DB"/>
    <w:rsid w:val="00404A62"/>
    <w:rsid w:val="004122A3"/>
    <w:rsid w:val="004126F1"/>
    <w:rsid w:val="0041586B"/>
    <w:rsid w:val="00421E15"/>
    <w:rsid w:val="00422101"/>
    <w:rsid w:val="00422F1F"/>
    <w:rsid w:val="00450DE4"/>
    <w:rsid w:val="0045589C"/>
    <w:rsid w:val="0046282B"/>
    <w:rsid w:val="00483A56"/>
    <w:rsid w:val="004941DA"/>
    <w:rsid w:val="004A5879"/>
    <w:rsid w:val="004A6E29"/>
    <w:rsid w:val="004B4657"/>
    <w:rsid w:val="004B5C46"/>
    <w:rsid w:val="004C1DFE"/>
    <w:rsid w:val="004C500C"/>
    <w:rsid w:val="004D3107"/>
    <w:rsid w:val="004E3AEA"/>
    <w:rsid w:val="004E49B4"/>
    <w:rsid w:val="004F1E3C"/>
    <w:rsid w:val="005015B7"/>
    <w:rsid w:val="00502947"/>
    <w:rsid w:val="00515D10"/>
    <w:rsid w:val="00517404"/>
    <w:rsid w:val="00530243"/>
    <w:rsid w:val="00535517"/>
    <w:rsid w:val="005433EF"/>
    <w:rsid w:val="00543AA6"/>
    <w:rsid w:val="00551A60"/>
    <w:rsid w:val="00566DB6"/>
    <w:rsid w:val="00567342"/>
    <w:rsid w:val="0057367E"/>
    <w:rsid w:val="00574C18"/>
    <w:rsid w:val="00577D6D"/>
    <w:rsid w:val="00587C81"/>
    <w:rsid w:val="005C167D"/>
    <w:rsid w:val="005C5C36"/>
    <w:rsid w:val="005D212D"/>
    <w:rsid w:val="005D2EF9"/>
    <w:rsid w:val="005E6279"/>
    <w:rsid w:val="005F647D"/>
    <w:rsid w:val="005F7554"/>
    <w:rsid w:val="0060121B"/>
    <w:rsid w:val="00605BEB"/>
    <w:rsid w:val="006128D6"/>
    <w:rsid w:val="006171FA"/>
    <w:rsid w:val="00623F17"/>
    <w:rsid w:val="00624732"/>
    <w:rsid w:val="0063157D"/>
    <w:rsid w:val="00636CC4"/>
    <w:rsid w:val="00647B3D"/>
    <w:rsid w:val="00647E86"/>
    <w:rsid w:val="00670B55"/>
    <w:rsid w:val="00671BD4"/>
    <w:rsid w:val="00674E25"/>
    <w:rsid w:val="006759B6"/>
    <w:rsid w:val="006865AC"/>
    <w:rsid w:val="00694AAD"/>
    <w:rsid w:val="006A0916"/>
    <w:rsid w:val="006A2097"/>
    <w:rsid w:val="006B1CD4"/>
    <w:rsid w:val="006B36FB"/>
    <w:rsid w:val="006C2C8C"/>
    <w:rsid w:val="006C5347"/>
    <w:rsid w:val="006F27E4"/>
    <w:rsid w:val="006F33F2"/>
    <w:rsid w:val="006F3558"/>
    <w:rsid w:val="00702575"/>
    <w:rsid w:val="007115C1"/>
    <w:rsid w:val="00712A40"/>
    <w:rsid w:val="007138F7"/>
    <w:rsid w:val="0071676E"/>
    <w:rsid w:val="00726825"/>
    <w:rsid w:val="00735D2D"/>
    <w:rsid w:val="007376F0"/>
    <w:rsid w:val="00740711"/>
    <w:rsid w:val="00746568"/>
    <w:rsid w:val="00750EC5"/>
    <w:rsid w:val="00751CCE"/>
    <w:rsid w:val="007570A3"/>
    <w:rsid w:val="007642B8"/>
    <w:rsid w:val="00765828"/>
    <w:rsid w:val="00765E22"/>
    <w:rsid w:val="00780D12"/>
    <w:rsid w:val="00781AF2"/>
    <w:rsid w:val="007822D0"/>
    <w:rsid w:val="00792AA3"/>
    <w:rsid w:val="00796FC7"/>
    <w:rsid w:val="007B0C81"/>
    <w:rsid w:val="007B7C38"/>
    <w:rsid w:val="007C007F"/>
    <w:rsid w:val="007C04BB"/>
    <w:rsid w:val="007C0C77"/>
    <w:rsid w:val="007C42C0"/>
    <w:rsid w:val="007C5264"/>
    <w:rsid w:val="007C71AB"/>
    <w:rsid w:val="007D2B34"/>
    <w:rsid w:val="007D57DC"/>
    <w:rsid w:val="007E1A7F"/>
    <w:rsid w:val="007E3B4F"/>
    <w:rsid w:val="007F6BAC"/>
    <w:rsid w:val="008045C4"/>
    <w:rsid w:val="008060DC"/>
    <w:rsid w:val="0081691B"/>
    <w:rsid w:val="0082756F"/>
    <w:rsid w:val="00835CA3"/>
    <w:rsid w:val="008417EF"/>
    <w:rsid w:val="00843190"/>
    <w:rsid w:val="00843505"/>
    <w:rsid w:val="00844A8D"/>
    <w:rsid w:val="0084599E"/>
    <w:rsid w:val="00845FC4"/>
    <w:rsid w:val="0084607A"/>
    <w:rsid w:val="008469D5"/>
    <w:rsid w:val="00846DBD"/>
    <w:rsid w:val="00847274"/>
    <w:rsid w:val="00847674"/>
    <w:rsid w:val="008478FB"/>
    <w:rsid w:val="008547C1"/>
    <w:rsid w:val="0085619E"/>
    <w:rsid w:val="0086361F"/>
    <w:rsid w:val="00870A9B"/>
    <w:rsid w:val="00873F4B"/>
    <w:rsid w:val="00874D7E"/>
    <w:rsid w:val="00874F8C"/>
    <w:rsid w:val="008850A6"/>
    <w:rsid w:val="00885843"/>
    <w:rsid w:val="00886F22"/>
    <w:rsid w:val="00895A7A"/>
    <w:rsid w:val="00895CE8"/>
    <w:rsid w:val="00896AF7"/>
    <w:rsid w:val="00897F1E"/>
    <w:rsid w:val="008A0751"/>
    <w:rsid w:val="008A551A"/>
    <w:rsid w:val="008B5EBF"/>
    <w:rsid w:val="008B7764"/>
    <w:rsid w:val="008C07B2"/>
    <w:rsid w:val="008C7B0A"/>
    <w:rsid w:val="008D28A6"/>
    <w:rsid w:val="008D2D23"/>
    <w:rsid w:val="008D5ADE"/>
    <w:rsid w:val="008D6E7E"/>
    <w:rsid w:val="008D7CD2"/>
    <w:rsid w:val="008E5C43"/>
    <w:rsid w:val="008E6734"/>
    <w:rsid w:val="008F3A81"/>
    <w:rsid w:val="008F670E"/>
    <w:rsid w:val="00902150"/>
    <w:rsid w:val="00906A32"/>
    <w:rsid w:val="0091261F"/>
    <w:rsid w:val="009221E5"/>
    <w:rsid w:val="00931AC3"/>
    <w:rsid w:val="00932F41"/>
    <w:rsid w:val="00936FC7"/>
    <w:rsid w:val="00937AA0"/>
    <w:rsid w:val="009408F0"/>
    <w:rsid w:val="00940FD5"/>
    <w:rsid w:val="00941DC7"/>
    <w:rsid w:val="00943048"/>
    <w:rsid w:val="00945798"/>
    <w:rsid w:val="009460E2"/>
    <w:rsid w:val="00950B49"/>
    <w:rsid w:val="0096463A"/>
    <w:rsid w:val="00964975"/>
    <w:rsid w:val="00965CA4"/>
    <w:rsid w:val="0096684E"/>
    <w:rsid w:val="00971BB6"/>
    <w:rsid w:val="00973F7A"/>
    <w:rsid w:val="00980615"/>
    <w:rsid w:val="0098296A"/>
    <w:rsid w:val="00996EBA"/>
    <w:rsid w:val="009A71B7"/>
    <w:rsid w:val="009B335B"/>
    <w:rsid w:val="009B472A"/>
    <w:rsid w:val="009C7131"/>
    <w:rsid w:val="009D4FD7"/>
    <w:rsid w:val="009E155D"/>
    <w:rsid w:val="009F40F9"/>
    <w:rsid w:val="00A02152"/>
    <w:rsid w:val="00A052C8"/>
    <w:rsid w:val="00A118D0"/>
    <w:rsid w:val="00A169D4"/>
    <w:rsid w:val="00A16E38"/>
    <w:rsid w:val="00A20DED"/>
    <w:rsid w:val="00A215DE"/>
    <w:rsid w:val="00A2176A"/>
    <w:rsid w:val="00A247CF"/>
    <w:rsid w:val="00A2682B"/>
    <w:rsid w:val="00A271DE"/>
    <w:rsid w:val="00A34E9F"/>
    <w:rsid w:val="00A3679B"/>
    <w:rsid w:val="00A37710"/>
    <w:rsid w:val="00A40DBD"/>
    <w:rsid w:val="00A43B01"/>
    <w:rsid w:val="00A522FB"/>
    <w:rsid w:val="00A556F1"/>
    <w:rsid w:val="00A56125"/>
    <w:rsid w:val="00A57510"/>
    <w:rsid w:val="00A60DCC"/>
    <w:rsid w:val="00A6776C"/>
    <w:rsid w:val="00A75770"/>
    <w:rsid w:val="00A769B6"/>
    <w:rsid w:val="00A77BD9"/>
    <w:rsid w:val="00A80C26"/>
    <w:rsid w:val="00A84E52"/>
    <w:rsid w:val="00A85AAD"/>
    <w:rsid w:val="00A873E8"/>
    <w:rsid w:val="00A9732F"/>
    <w:rsid w:val="00AB36F6"/>
    <w:rsid w:val="00AB6D75"/>
    <w:rsid w:val="00AC093B"/>
    <w:rsid w:val="00AC398F"/>
    <w:rsid w:val="00AD27B0"/>
    <w:rsid w:val="00AD29BA"/>
    <w:rsid w:val="00AD44DD"/>
    <w:rsid w:val="00AD7693"/>
    <w:rsid w:val="00AF035E"/>
    <w:rsid w:val="00AF1296"/>
    <w:rsid w:val="00AF341F"/>
    <w:rsid w:val="00AF4F4E"/>
    <w:rsid w:val="00B06618"/>
    <w:rsid w:val="00B07C9F"/>
    <w:rsid w:val="00B101E4"/>
    <w:rsid w:val="00B10771"/>
    <w:rsid w:val="00B1212B"/>
    <w:rsid w:val="00B14D84"/>
    <w:rsid w:val="00B164A0"/>
    <w:rsid w:val="00B34C72"/>
    <w:rsid w:val="00B35E96"/>
    <w:rsid w:val="00B41D9F"/>
    <w:rsid w:val="00B50A89"/>
    <w:rsid w:val="00B5152C"/>
    <w:rsid w:val="00B516DD"/>
    <w:rsid w:val="00B535FE"/>
    <w:rsid w:val="00B53B72"/>
    <w:rsid w:val="00B55F4A"/>
    <w:rsid w:val="00B63FF8"/>
    <w:rsid w:val="00B702F8"/>
    <w:rsid w:val="00B750A9"/>
    <w:rsid w:val="00B84B88"/>
    <w:rsid w:val="00B878D7"/>
    <w:rsid w:val="00B94F2B"/>
    <w:rsid w:val="00BC2F03"/>
    <w:rsid w:val="00BC3563"/>
    <w:rsid w:val="00BC4DF7"/>
    <w:rsid w:val="00BE13E4"/>
    <w:rsid w:val="00BF3DBF"/>
    <w:rsid w:val="00BF6C42"/>
    <w:rsid w:val="00C000A0"/>
    <w:rsid w:val="00C0219B"/>
    <w:rsid w:val="00C0783B"/>
    <w:rsid w:val="00C128BD"/>
    <w:rsid w:val="00C130A5"/>
    <w:rsid w:val="00C15054"/>
    <w:rsid w:val="00C175EE"/>
    <w:rsid w:val="00C1779D"/>
    <w:rsid w:val="00C24F1D"/>
    <w:rsid w:val="00C301CE"/>
    <w:rsid w:val="00C31D30"/>
    <w:rsid w:val="00C3341A"/>
    <w:rsid w:val="00C3739D"/>
    <w:rsid w:val="00C41EFE"/>
    <w:rsid w:val="00C477EC"/>
    <w:rsid w:val="00C47DCE"/>
    <w:rsid w:val="00C50A8B"/>
    <w:rsid w:val="00C6510B"/>
    <w:rsid w:val="00C70BD2"/>
    <w:rsid w:val="00C74601"/>
    <w:rsid w:val="00C75149"/>
    <w:rsid w:val="00C766BF"/>
    <w:rsid w:val="00C8467D"/>
    <w:rsid w:val="00C8533C"/>
    <w:rsid w:val="00C97291"/>
    <w:rsid w:val="00CA34B8"/>
    <w:rsid w:val="00CB02B3"/>
    <w:rsid w:val="00CB2E90"/>
    <w:rsid w:val="00CC04F4"/>
    <w:rsid w:val="00CD401C"/>
    <w:rsid w:val="00CE3E2F"/>
    <w:rsid w:val="00CE53C2"/>
    <w:rsid w:val="00CF0A5E"/>
    <w:rsid w:val="00CF5595"/>
    <w:rsid w:val="00CF571D"/>
    <w:rsid w:val="00CF5E7F"/>
    <w:rsid w:val="00CF6668"/>
    <w:rsid w:val="00D03821"/>
    <w:rsid w:val="00D0614D"/>
    <w:rsid w:val="00D12ED7"/>
    <w:rsid w:val="00D15879"/>
    <w:rsid w:val="00D16613"/>
    <w:rsid w:val="00D23E6E"/>
    <w:rsid w:val="00D32913"/>
    <w:rsid w:val="00D37F95"/>
    <w:rsid w:val="00D432B6"/>
    <w:rsid w:val="00D44ED7"/>
    <w:rsid w:val="00D45715"/>
    <w:rsid w:val="00D511B1"/>
    <w:rsid w:val="00D5148D"/>
    <w:rsid w:val="00D571A9"/>
    <w:rsid w:val="00D57531"/>
    <w:rsid w:val="00D752DD"/>
    <w:rsid w:val="00D8376D"/>
    <w:rsid w:val="00D83C45"/>
    <w:rsid w:val="00D83E1C"/>
    <w:rsid w:val="00D87A4D"/>
    <w:rsid w:val="00D928B7"/>
    <w:rsid w:val="00D93A55"/>
    <w:rsid w:val="00DA5802"/>
    <w:rsid w:val="00DA585D"/>
    <w:rsid w:val="00DB5BB0"/>
    <w:rsid w:val="00DC0330"/>
    <w:rsid w:val="00DC213B"/>
    <w:rsid w:val="00DC6119"/>
    <w:rsid w:val="00DC61F4"/>
    <w:rsid w:val="00DE1373"/>
    <w:rsid w:val="00DE7E11"/>
    <w:rsid w:val="00DF28FC"/>
    <w:rsid w:val="00E11D2E"/>
    <w:rsid w:val="00E15283"/>
    <w:rsid w:val="00E20D24"/>
    <w:rsid w:val="00E2163D"/>
    <w:rsid w:val="00E23F0E"/>
    <w:rsid w:val="00E31ED2"/>
    <w:rsid w:val="00E33760"/>
    <w:rsid w:val="00E33F0A"/>
    <w:rsid w:val="00E41B98"/>
    <w:rsid w:val="00E432D4"/>
    <w:rsid w:val="00E43424"/>
    <w:rsid w:val="00E4382C"/>
    <w:rsid w:val="00E657AF"/>
    <w:rsid w:val="00E72A9F"/>
    <w:rsid w:val="00E75D1A"/>
    <w:rsid w:val="00E8001F"/>
    <w:rsid w:val="00E82D61"/>
    <w:rsid w:val="00E9307A"/>
    <w:rsid w:val="00EA1439"/>
    <w:rsid w:val="00EA3BF7"/>
    <w:rsid w:val="00EA7DB9"/>
    <w:rsid w:val="00EB07A8"/>
    <w:rsid w:val="00EC5819"/>
    <w:rsid w:val="00EC76C1"/>
    <w:rsid w:val="00ED592D"/>
    <w:rsid w:val="00ED6B16"/>
    <w:rsid w:val="00EE5179"/>
    <w:rsid w:val="00EF0350"/>
    <w:rsid w:val="00EF4E28"/>
    <w:rsid w:val="00F1657E"/>
    <w:rsid w:val="00F21E23"/>
    <w:rsid w:val="00F23AF5"/>
    <w:rsid w:val="00F36C79"/>
    <w:rsid w:val="00F438AC"/>
    <w:rsid w:val="00F4736C"/>
    <w:rsid w:val="00F57756"/>
    <w:rsid w:val="00F60D37"/>
    <w:rsid w:val="00F6170F"/>
    <w:rsid w:val="00F662AB"/>
    <w:rsid w:val="00F711DF"/>
    <w:rsid w:val="00F74B8A"/>
    <w:rsid w:val="00F921E0"/>
    <w:rsid w:val="00F923AB"/>
    <w:rsid w:val="00F96CA5"/>
    <w:rsid w:val="00FB3348"/>
    <w:rsid w:val="00FB4BAB"/>
    <w:rsid w:val="00FC0D84"/>
    <w:rsid w:val="00FC3C9B"/>
    <w:rsid w:val="00FE038A"/>
    <w:rsid w:val="00FE18CB"/>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D9383"/>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 w:type="paragraph" w:customStyle="1" w:styleId="Default">
    <w:name w:val="Default"/>
    <w:rsid w:val="00D8376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F6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7839">
      <w:bodyDiv w:val="1"/>
      <w:marLeft w:val="0"/>
      <w:marRight w:val="0"/>
      <w:marTop w:val="0"/>
      <w:marBottom w:val="0"/>
      <w:divBdr>
        <w:top w:val="none" w:sz="0" w:space="0" w:color="auto"/>
        <w:left w:val="none" w:sz="0" w:space="0" w:color="auto"/>
        <w:bottom w:val="none" w:sz="0" w:space="0" w:color="auto"/>
        <w:right w:val="none" w:sz="0" w:space="0" w:color="auto"/>
      </w:divBdr>
    </w:div>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report_on_the_application_of_the_profit_split_method_within_the_eu_en.pdf" TargetMode="External"/><Relationship Id="rId1" Type="http://schemas.openxmlformats.org/officeDocument/2006/relationships/hyperlink" Target="https://www.oecd.org/tax/transfer-pricing/oecd-transfer-pricing-guidelines-for-multinational-enterprises-and-tax-administrations-207697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8a8406e0-fd3e-4c97-9c6b-df4e1c510b77">139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D8360-7E34-4E65-95CD-9C7D3DC190E6}">
  <ds:schemaRefs>
    <ds:schemaRef ds:uri="http://schemas.microsoft.com/office/infopath/2007/PartnerControls"/>
    <ds:schemaRef ds:uri="8a8406e0-fd3e-4c97-9c6b-df4e1c510b77"/>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2e5bb04e-596e-45bd-9003-43ca78b1ba16"/>
    <ds:schemaRef ds:uri="http://purl.org/dc/dcmitype/"/>
    <ds:schemaRef ds:uri="http://purl.org/dc/terms/"/>
  </ds:schemaRefs>
</ds:datastoreItem>
</file>

<file path=customXml/itemProps2.xml><?xml version="1.0" encoding="utf-8"?>
<ds:datastoreItem xmlns:ds="http://schemas.openxmlformats.org/officeDocument/2006/customXml" ds:itemID="{736749FF-4C5B-4161-8051-67E737D047CD}">
  <ds:schemaRefs>
    <ds:schemaRef ds:uri="http://schemas.microsoft.com/sharepoint/v3/contenttype/forms"/>
  </ds:schemaRefs>
</ds:datastoreItem>
</file>

<file path=customXml/itemProps3.xml><?xml version="1.0" encoding="utf-8"?>
<ds:datastoreItem xmlns:ds="http://schemas.openxmlformats.org/officeDocument/2006/customXml" ds:itemID="{E9E332F9-4282-4D4C-8DBD-1F9ECFB4F6FC}">
  <ds:schemaRefs>
    <ds:schemaRef ds:uri="http://schemas.openxmlformats.org/officeDocument/2006/bibliography"/>
  </ds:schemaRefs>
</ds:datastoreItem>
</file>

<file path=customXml/itemProps4.xml><?xml version="1.0" encoding="utf-8"?>
<ds:datastoreItem xmlns:ds="http://schemas.openxmlformats.org/officeDocument/2006/customXml" ds:itemID="{9422DC5F-B288-42BB-A816-6EAB1A9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6586</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Nr.677 “Uzņēmumu ienākuma nodokļa likuma normu piemērošanas noteikumi””sākotnējās ietekmes novērtējuma ziņojums (anotācija)</vt:lpstr>
    </vt:vector>
  </TitlesOfParts>
  <Manager/>
  <Company>FM</Company>
  <LinksUpToDate>false</LinksUpToDate>
  <CharactersWithSpaces>10321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Nr.677 “Uzņēmumu ienākuma nodokļa likuma normu piemērošanas noteikumi””sākotnējās ietekmes novērtējuma ziņojums (anotācija)</dc:title>
  <dc:subject>Anotācija</dc:subject>
  <dc:creator>R.Auziņš</dc:creator>
  <cp:keywords/>
  <dc:description>Roberts Auziņš_x000d_
67083919</dc:description>
  <cp:lastModifiedBy>Inguna Dancīte</cp:lastModifiedBy>
  <cp:revision>2</cp:revision>
  <cp:lastPrinted>2018-12-06T08:07:00Z</cp:lastPrinted>
  <dcterms:created xsi:type="dcterms:W3CDTF">2020-12-10T09:15:00Z</dcterms:created>
  <dcterms:modified xsi:type="dcterms:W3CDTF">2020-12-10T09:15:00Z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