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D971" w14:textId="77777777" w:rsidR="0003532B" w:rsidRPr="009159DE" w:rsidRDefault="0003532B" w:rsidP="00F00085">
      <w:pPr>
        <w:pStyle w:val="Title"/>
        <w:spacing w:before="130" w:line="260" w:lineRule="exact"/>
        <w:ind w:firstLine="539"/>
        <w:rPr>
          <w:b/>
          <w:bCs/>
          <w:spacing w:val="-2"/>
          <w:sz w:val="24"/>
          <w:szCs w:val="24"/>
          <w:lang w:eastAsia="lv-LV"/>
        </w:rPr>
        <w:sectPr w:rsidR="0003532B" w:rsidRPr="009159DE" w:rsidSect="00EF5015">
          <w:headerReference w:type="default" r:id="rId8"/>
          <w:footerReference w:type="default" r:id="rId9"/>
          <w:footerReference w:type="first" r:id="rId10"/>
          <w:type w:val="continuous"/>
          <w:pgSz w:w="11906" w:h="16838"/>
          <w:pgMar w:top="993" w:right="1134" w:bottom="1134" w:left="1701" w:header="709" w:footer="454" w:gutter="0"/>
          <w:cols w:space="708"/>
          <w:titlePg/>
          <w:docGrid w:linePitch="360"/>
        </w:sectPr>
      </w:pPr>
    </w:p>
    <w:p w14:paraId="4774A7CD" w14:textId="0B0DCE37" w:rsidR="00BF66D6" w:rsidRPr="009159DE" w:rsidRDefault="00BF66D6" w:rsidP="00F00085">
      <w:pPr>
        <w:pStyle w:val="Title"/>
        <w:spacing w:before="130" w:line="260" w:lineRule="exact"/>
        <w:ind w:firstLine="539"/>
        <w:rPr>
          <w:b/>
          <w:bCs/>
          <w:spacing w:val="-2"/>
          <w:sz w:val="24"/>
          <w:szCs w:val="24"/>
          <w:lang w:eastAsia="lv-LV"/>
        </w:rPr>
      </w:pPr>
      <w:r w:rsidRPr="009159DE">
        <w:rPr>
          <w:b/>
          <w:bCs/>
          <w:spacing w:val="-2"/>
          <w:sz w:val="24"/>
          <w:szCs w:val="24"/>
          <w:lang w:eastAsia="lv-LV"/>
        </w:rPr>
        <w:t>Likumprojekta “Grozījumi Pievienotās vērtības nodokļa likumā” sākotnējās ietekmes novērtējuma ziņojums (anotācija)</w:t>
      </w:r>
    </w:p>
    <w:p w14:paraId="00F83DD7" w14:textId="03DEA7D2" w:rsidR="00446CC3" w:rsidRPr="009159DE" w:rsidRDefault="00446CC3" w:rsidP="00BD5588">
      <w:pPr>
        <w:pStyle w:val="Title"/>
        <w:spacing w:before="130" w:line="260" w:lineRule="exact"/>
        <w:ind w:firstLine="539"/>
        <w:jc w:val="both"/>
        <w:rPr>
          <w:spacing w:val="-2"/>
          <w:sz w:val="24"/>
          <w:szCs w:val="24"/>
        </w:rPr>
      </w:pPr>
    </w:p>
    <w:p w14:paraId="56114D73" w14:textId="77777777" w:rsidR="002A3FAE" w:rsidRPr="009159DE" w:rsidRDefault="002A3FAE" w:rsidP="00C4494C">
      <w:pPr>
        <w:jc w:val="center"/>
        <w:rPr>
          <w:b/>
          <w:iCs/>
          <w:spacing w:val="-2"/>
          <w:lang w:eastAsia="en-US"/>
        </w:rPr>
        <w:sectPr w:rsidR="002A3FAE" w:rsidRPr="009159DE" w:rsidSect="005C435D">
          <w:type w:val="continuous"/>
          <w:pgSz w:w="11906" w:h="16838"/>
          <w:pgMar w:top="851" w:right="1800" w:bottom="568" w:left="1800" w:header="708" w:footer="454" w:gutter="0"/>
          <w:cols w:space="708"/>
          <w:titlePg/>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547"/>
        <w:gridCol w:w="6804"/>
      </w:tblGrid>
      <w:tr w:rsidR="000C4C70" w:rsidRPr="009159DE" w14:paraId="45CE2879" w14:textId="77777777" w:rsidTr="00140A74">
        <w:trPr>
          <w:cantSplit/>
          <w:trHeight w:val="260"/>
        </w:trPr>
        <w:tc>
          <w:tcPr>
            <w:tcW w:w="9351" w:type="dxa"/>
            <w:gridSpan w:val="2"/>
            <w:shd w:val="clear" w:color="auto" w:fill="FFFFFF"/>
            <w:vAlign w:val="center"/>
            <w:hideMark/>
          </w:tcPr>
          <w:p w14:paraId="61564627" w14:textId="427322F8" w:rsidR="00C4494C" w:rsidRPr="009159DE" w:rsidRDefault="00BD5588" w:rsidP="00C4494C">
            <w:pPr>
              <w:jc w:val="center"/>
              <w:rPr>
                <w:b/>
                <w:iCs/>
                <w:spacing w:val="-2"/>
                <w:lang w:eastAsia="en-US"/>
              </w:rPr>
            </w:pPr>
            <w:r w:rsidRPr="009159DE">
              <w:rPr>
                <w:b/>
                <w:iCs/>
                <w:spacing w:val="-2"/>
                <w:lang w:eastAsia="en-US"/>
              </w:rPr>
              <w:t>Tiesību akta projekta anotācijas kopsavilkums</w:t>
            </w:r>
          </w:p>
        </w:tc>
      </w:tr>
      <w:tr w:rsidR="000C4C70" w:rsidRPr="009159DE" w14:paraId="27F11016" w14:textId="77777777" w:rsidTr="00A93136">
        <w:trPr>
          <w:cantSplit/>
          <w:trHeight w:val="1311"/>
        </w:trPr>
        <w:tc>
          <w:tcPr>
            <w:tcW w:w="2547" w:type="dxa"/>
            <w:shd w:val="clear" w:color="auto" w:fill="FFFFFF"/>
            <w:hideMark/>
          </w:tcPr>
          <w:p w14:paraId="10F38FCA" w14:textId="05C5BBD5" w:rsidR="00BA46AA" w:rsidRPr="009159DE" w:rsidRDefault="00BD5588" w:rsidP="00122EEB">
            <w:pPr>
              <w:rPr>
                <w:iCs/>
                <w:spacing w:val="-2"/>
                <w:lang w:eastAsia="en-US"/>
              </w:rPr>
            </w:pPr>
            <w:r w:rsidRPr="009159DE">
              <w:rPr>
                <w:iCs/>
                <w:spacing w:val="-2"/>
                <w:lang w:eastAsia="en-US"/>
              </w:rPr>
              <w:t>Mērķis, risinājums un projekta spēkā stāšanās laiks (500 zīmes bez atstarpēm)</w:t>
            </w:r>
          </w:p>
        </w:tc>
        <w:tc>
          <w:tcPr>
            <w:tcW w:w="6804" w:type="dxa"/>
            <w:shd w:val="clear" w:color="auto" w:fill="FFFFFF"/>
            <w:hideMark/>
          </w:tcPr>
          <w:p w14:paraId="6BFA5B4D" w14:textId="53A3A02D" w:rsidR="00E05A7D" w:rsidRPr="009159DE" w:rsidRDefault="005E2E0D" w:rsidP="00CC7D6A">
            <w:pPr>
              <w:widowControl w:val="0"/>
              <w:tabs>
                <w:tab w:val="left" w:pos="2127"/>
                <w:tab w:val="left" w:pos="2730"/>
              </w:tabs>
              <w:adjustRightInd w:val="0"/>
              <w:ind w:right="115"/>
              <w:jc w:val="both"/>
              <w:textAlignment w:val="baseline"/>
              <w:rPr>
                <w:iCs/>
                <w:spacing w:val="-2"/>
                <w:lang w:eastAsia="en-US"/>
              </w:rPr>
            </w:pPr>
            <w:r w:rsidRPr="009159DE">
              <w:rPr>
                <w:spacing w:val="-2"/>
              </w:rPr>
              <w:t xml:space="preserve">Likumprojekta “Grozījumi Pievienotās vērtības nodokļa likumā” (turpmāk – likumprojekts) </w:t>
            </w:r>
            <w:r w:rsidR="0063563A" w:rsidRPr="009159DE">
              <w:rPr>
                <w:iCs/>
                <w:spacing w:val="-2"/>
                <w:lang w:eastAsia="en-US"/>
              </w:rPr>
              <w:t xml:space="preserve">mērķis </w:t>
            </w:r>
            <w:r w:rsidR="00E91443" w:rsidRPr="009159DE">
              <w:rPr>
                <w:iCs/>
                <w:spacing w:val="-2"/>
                <w:lang w:eastAsia="en-US"/>
              </w:rPr>
              <w:t>ir</w:t>
            </w:r>
            <w:r w:rsidR="00222D48" w:rsidRPr="009159DE">
              <w:rPr>
                <w:iCs/>
                <w:spacing w:val="-2"/>
                <w:lang w:eastAsia="en-US"/>
              </w:rPr>
              <w:t xml:space="preserve"> ieviest</w:t>
            </w:r>
            <w:r w:rsidR="009B6951" w:rsidRPr="009159DE">
              <w:rPr>
                <w:iCs/>
                <w:spacing w:val="-2"/>
                <w:lang w:eastAsia="en-US"/>
              </w:rPr>
              <w:t xml:space="preserve"> iekšzemē pievienotās vērtības nodokļa (turpmāk – PVN) 0 procentu likmi</w:t>
            </w:r>
            <w:r w:rsidR="00222D48" w:rsidRPr="009159DE">
              <w:rPr>
                <w:iCs/>
                <w:spacing w:val="-2"/>
                <w:lang w:eastAsia="en-US"/>
              </w:rPr>
              <w:t xml:space="preserve"> </w:t>
            </w:r>
            <w:r w:rsidR="009B6951" w:rsidRPr="009159DE">
              <w:rPr>
                <w:spacing w:val="-2"/>
              </w:rPr>
              <w:t xml:space="preserve">Covid-19 vakcīnu un  Covid-19 </w:t>
            </w:r>
            <w:r w:rsidR="009B6951" w:rsidRPr="009159DE">
              <w:rPr>
                <w:i/>
                <w:spacing w:val="-2"/>
              </w:rPr>
              <w:t>in vitro</w:t>
            </w:r>
            <w:r w:rsidR="009B6951" w:rsidRPr="009159DE">
              <w:rPr>
                <w:spacing w:val="-2"/>
              </w:rPr>
              <w:t xml:space="preserve"> diagnostikas medicīnisko ierīču piegādei, kā arī pakalpojumiem, kas cieši saistīti ar šādām vakcīnām un ierīcēm, lai tādējādi </w:t>
            </w:r>
            <w:r w:rsidR="007F2E15" w:rsidRPr="009159DE">
              <w:rPr>
                <w:spacing w:val="-2"/>
              </w:rPr>
              <w:t xml:space="preserve">nodrošinātu piekļuvi Covid-19 vakcīnu un Covid-19 </w:t>
            </w:r>
            <w:r w:rsidR="007F2E15" w:rsidRPr="009159DE">
              <w:rPr>
                <w:i/>
                <w:spacing w:val="-2"/>
              </w:rPr>
              <w:t>in vitro</w:t>
            </w:r>
            <w:r w:rsidR="007F2E15" w:rsidRPr="009159DE">
              <w:rPr>
                <w:spacing w:val="-2"/>
              </w:rPr>
              <w:t xml:space="preserve"> diagnostikas medicīnisko ierīču piegādēm par samērīgākām izmaksām</w:t>
            </w:r>
            <w:r w:rsidR="009B6951" w:rsidRPr="009159DE">
              <w:rPr>
                <w:spacing w:val="-2"/>
              </w:rPr>
              <w:t>.</w:t>
            </w:r>
            <w:r w:rsidR="00E05A7D" w:rsidRPr="009159DE">
              <w:rPr>
                <w:iCs/>
                <w:spacing w:val="-2"/>
                <w:lang w:eastAsia="en-US"/>
              </w:rPr>
              <w:t xml:space="preserve"> </w:t>
            </w:r>
          </w:p>
          <w:p w14:paraId="4744C4C6" w14:textId="4CE5363E" w:rsidR="00D666C3" w:rsidRPr="009159DE" w:rsidRDefault="00D666C3" w:rsidP="00CC7D6A">
            <w:pPr>
              <w:widowControl w:val="0"/>
              <w:tabs>
                <w:tab w:val="left" w:pos="2127"/>
                <w:tab w:val="left" w:pos="2730"/>
              </w:tabs>
              <w:adjustRightInd w:val="0"/>
              <w:ind w:right="115"/>
              <w:jc w:val="both"/>
              <w:textAlignment w:val="baseline"/>
              <w:rPr>
                <w:iCs/>
                <w:spacing w:val="-2"/>
                <w:lang w:eastAsia="en-US"/>
              </w:rPr>
            </w:pPr>
            <w:r w:rsidRPr="009159DE">
              <w:rPr>
                <w:iCs/>
                <w:spacing w:val="-2"/>
                <w:lang w:eastAsia="en-US"/>
              </w:rPr>
              <w:t>Tāpat ar likumprojektu veikts tehniskais precizējums attiecībā uz regulējuma atsauci.</w:t>
            </w:r>
          </w:p>
          <w:p w14:paraId="5767A16B" w14:textId="1F72CAAB" w:rsidR="00980180" w:rsidRPr="009159DE" w:rsidRDefault="00D21BDB" w:rsidP="00E05A7D">
            <w:pPr>
              <w:widowControl w:val="0"/>
              <w:tabs>
                <w:tab w:val="left" w:pos="2127"/>
                <w:tab w:val="left" w:pos="2730"/>
              </w:tabs>
              <w:adjustRightInd w:val="0"/>
              <w:ind w:right="115"/>
              <w:jc w:val="both"/>
              <w:textAlignment w:val="baseline"/>
              <w:rPr>
                <w:iCs/>
                <w:spacing w:val="-2"/>
                <w:lang w:eastAsia="en-US"/>
              </w:rPr>
            </w:pPr>
            <w:r w:rsidRPr="009159DE">
              <w:rPr>
                <w:spacing w:val="-2"/>
              </w:rPr>
              <w:t xml:space="preserve">Likumprojekts </w:t>
            </w:r>
            <w:r w:rsidR="009B6951" w:rsidRPr="009159DE">
              <w:rPr>
                <w:spacing w:val="-2"/>
              </w:rPr>
              <w:t xml:space="preserve">paredz, ka likums </w:t>
            </w:r>
            <w:r w:rsidRPr="009159DE">
              <w:rPr>
                <w:spacing w:val="-2"/>
              </w:rPr>
              <w:t>stājas spēkā</w:t>
            </w:r>
            <w:r w:rsidR="00872EF8" w:rsidRPr="009159DE">
              <w:rPr>
                <w:spacing w:val="-2"/>
                <w:lang w:eastAsia="en-US"/>
              </w:rPr>
              <w:t xml:space="preserve"> nākamajā dienā pēc </w:t>
            </w:r>
            <w:r w:rsidR="00DA1447" w:rsidRPr="009159DE">
              <w:rPr>
                <w:spacing w:val="-2"/>
                <w:lang w:eastAsia="en-US"/>
              </w:rPr>
              <w:t>tā izsludināšanas</w:t>
            </w:r>
            <w:r w:rsidR="00872EF8" w:rsidRPr="009159DE">
              <w:rPr>
                <w:spacing w:val="-2"/>
                <w:lang w:eastAsia="en-US"/>
              </w:rPr>
              <w:t>.</w:t>
            </w:r>
          </w:p>
        </w:tc>
      </w:tr>
    </w:tbl>
    <w:p w14:paraId="1D3E2D75" w14:textId="35790AF2" w:rsidR="002A3FAE" w:rsidRPr="009159DE" w:rsidRDefault="002A3FAE" w:rsidP="0016477B">
      <w:pPr>
        <w:rPr>
          <w:b/>
          <w:bCs/>
          <w:spacing w:val="-2"/>
        </w:rPr>
        <w:sectPr w:rsidR="002A3FAE" w:rsidRPr="009159DE" w:rsidSect="00CB284F">
          <w:type w:val="continuous"/>
          <w:pgSz w:w="11906" w:h="16838"/>
          <w:pgMar w:top="851" w:right="1800" w:bottom="568" w:left="1800" w:header="708" w:footer="708" w:gutter="0"/>
          <w:cols w:space="708"/>
          <w:titlePg/>
          <w:docGrid w:linePitch="360"/>
        </w:sectPr>
      </w:pPr>
    </w:p>
    <w:tbl>
      <w:tblPr>
        <w:tblpPr w:leftFromText="180" w:rightFromText="180" w:vertAnchor="text" w:horzAnchor="margin" w:tblpY="106"/>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4"/>
        <w:gridCol w:w="1869"/>
        <w:gridCol w:w="6829"/>
      </w:tblGrid>
      <w:tr w:rsidR="000C4C70" w:rsidRPr="009159DE" w14:paraId="0216C17F" w14:textId="77777777" w:rsidTr="002E62DC">
        <w:trPr>
          <w:cantSplit/>
        </w:trPr>
        <w:tc>
          <w:tcPr>
            <w:tcW w:w="5000" w:type="pct"/>
            <w:gridSpan w:val="3"/>
          </w:tcPr>
          <w:p w14:paraId="70E4517B" w14:textId="77777777" w:rsidR="0016477B" w:rsidRPr="009159DE" w:rsidRDefault="0016477B" w:rsidP="0016477B">
            <w:pPr>
              <w:jc w:val="center"/>
              <w:rPr>
                <w:spacing w:val="-2"/>
              </w:rPr>
            </w:pPr>
            <w:r w:rsidRPr="009159DE">
              <w:rPr>
                <w:b/>
                <w:bCs/>
                <w:spacing w:val="-2"/>
              </w:rPr>
              <w:t>I. Tiesību akta projekta izstrādes nepieciešamība</w:t>
            </w:r>
          </w:p>
        </w:tc>
      </w:tr>
      <w:tr w:rsidR="000C4C70" w:rsidRPr="009159DE" w14:paraId="76BBD08F" w14:textId="77777777" w:rsidTr="002E62DC">
        <w:trPr>
          <w:cantSplit/>
        </w:trPr>
        <w:tc>
          <w:tcPr>
            <w:tcW w:w="350" w:type="pct"/>
            <w:hideMark/>
          </w:tcPr>
          <w:p w14:paraId="3E09DAB6" w14:textId="77777777" w:rsidR="0016477B" w:rsidRPr="009159DE" w:rsidRDefault="0016477B" w:rsidP="0016477B">
            <w:pPr>
              <w:jc w:val="both"/>
              <w:rPr>
                <w:spacing w:val="-2"/>
              </w:rPr>
            </w:pPr>
            <w:r w:rsidRPr="009159DE">
              <w:rPr>
                <w:spacing w:val="-2"/>
              </w:rPr>
              <w:t>1.</w:t>
            </w:r>
          </w:p>
        </w:tc>
        <w:tc>
          <w:tcPr>
            <w:tcW w:w="999" w:type="pct"/>
            <w:hideMark/>
          </w:tcPr>
          <w:p w14:paraId="1B184D17" w14:textId="77777777" w:rsidR="0016477B" w:rsidRPr="009159DE" w:rsidRDefault="0016477B" w:rsidP="0016477B">
            <w:pPr>
              <w:jc w:val="both"/>
              <w:rPr>
                <w:spacing w:val="-2"/>
              </w:rPr>
            </w:pPr>
            <w:r w:rsidRPr="009159DE">
              <w:rPr>
                <w:spacing w:val="-2"/>
              </w:rPr>
              <w:t>Pamatojums</w:t>
            </w:r>
          </w:p>
          <w:p w14:paraId="0E523517" w14:textId="77777777" w:rsidR="0016477B" w:rsidRPr="009159DE" w:rsidRDefault="0016477B" w:rsidP="0016477B">
            <w:pPr>
              <w:jc w:val="both"/>
              <w:rPr>
                <w:spacing w:val="-2"/>
              </w:rPr>
            </w:pPr>
          </w:p>
          <w:p w14:paraId="02CB5CA5" w14:textId="77777777" w:rsidR="0016477B" w:rsidRPr="009159DE" w:rsidRDefault="0016477B" w:rsidP="0016477B">
            <w:pPr>
              <w:jc w:val="both"/>
              <w:rPr>
                <w:spacing w:val="-2"/>
              </w:rPr>
            </w:pPr>
          </w:p>
          <w:p w14:paraId="4EADDCA3" w14:textId="77777777" w:rsidR="0016477B" w:rsidRPr="009159DE" w:rsidRDefault="0016477B" w:rsidP="0016477B">
            <w:pPr>
              <w:jc w:val="both"/>
              <w:rPr>
                <w:spacing w:val="-2"/>
              </w:rPr>
            </w:pPr>
          </w:p>
          <w:p w14:paraId="7EF649FB" w14:textId="77777777" w:rsidR="0016477B" w:rsidRPr="009159DE" w:rsidRDefault="0016477B" w:rsidP="0016477B">
            <w:pPr>
              <w:jc w:val="both"/>
              <w:rPr>
                <w:spacing w:val="-2"/>
              </w:rPr>
            </w:pPr>
          </w:p>
          <w:p w14:paraId="49812130" w14:textId="77777777" w:rsidR="0016477B" w:rsidRPr="009159DE" w:rsidRDefault="0016477B" w:rsidP="0016477B">
            <w:pPr>
              <w:jc w:val="both"/>
              <w:rPr>
                <w:spacing w:val="-2"/>
              </w:rPr>
            </w:pPr>
          </w:p>
        </w:tc>
        <w:tc>
          <w:tcPr>
            <w:tcW w:w="3651" w:type="pct"/>
            <w:hideMark/>
          </w:tcPr>
          <w:p w14:paraId="3810AC15" w14:textId="6A94966A" w:rsidR="008C4298" w:rsidRPr="009159DE" w:rsidRDefault="00F85ABF" w:rsidP="00CC7D6A">
            <w:pPr>
              <w:ind w:right="109"/>
              <w:jc w:val="both"/>
              <w:rPr>
                <w:rFonts w:eastAsia="Calibri"/>
                <w:spacing w:val="-2"/>
                <w:lang w:eastAsia="en-US"/>
              </w:rPr>
            </w:pPr>
            <w:r w:rsidRPr="009159DE">
              <w:rPr>
                <w:rFonts w:eastAsia="Calibri"/>
                <w:spacing w:val="-2"/>
                <w:lang w:eastAsia="en-US"/>
              </w:rPr>
              <w:t xml:space="preserve">Likumprojekts ir izstrādāts, </w:t>
            </w:r>
            <w:r w:rsidR="009B6951" w:rsidRPr="009159DE">
              <w:rPr>
                <w:rFonts w:eastAsia="Calibri"/>
                <w:spacing w:val="-2"/>
                <w:lang w:eastAsia="en-US"/>
              </w:rPr>
              <w:t xml:space="preserve">balstoties uz </w:t>
            </w:r>
            <w:r w:rsidRPr="009159DE">
              <w:rPr>
                <w:rFonts w:eastAsia="Calibri"/>
                <w:spacing w:val="-2"/>
                <w:lang w:eastAsia="en-US"/>
              </w:rPr>
              <w:t xml:space="preserve"> </w:t>
            </w:r>
            <w:r w:rsidR="004411E0" w:rsidRPr="009159DE">
              <w:rPr>
                <w:rFonts w:eastAsia="Calibri"/>
                <w:spacing w:val="-2"/>
                <w:lang w:eastAsia="en-US"/>
              </w:rPr>
              <w:t>Padomes 2</w:t>
            </w:r>
            <w:r w:rsidR="00366A94" w:rsidRPr="009159DE">
              <w:rPr>
                <w:rFonts w:eastAsia="Calibri"/>
                <w:spacing w:val="-2"/>
                <w:lang w:eastAsia="en-US"/>
              </w:rPr>
              <w:t xml:space="preserve">020. gada  7. decembra </w:t>
            </w:r>
            <w:r w:rsidR="009B6951" w:rsidRPr="009159DE">
              <w:rPr>
                <w:rFonts w:eastAsia="Calibri"/>
                <w:spacing w:val="-2"/>
                <w:lang w:eastAsia="en-US"/>
              </w:rPr>
              <w:t xml:space="preserve">direktīvu </w:t>
            </w:r>
            <w:r w:rsidR="004411E0" w:rsidRPr="009159DE">
              <w:rPr>
                <w:rFonts w:eastAsia="Calibri"/>
                <w:spacing w:val="-2"/>
                <w:lang w:eastAsia="en-US"/>
              </w:rPr>
              <w:t xml:space="preserve">(ES) </w:t>
            </w:r>
            <w:r w:rsidR="0064596C" w:rsidRPr="009159DE">
              <w:rPr>
                <w:rFonts w:eastAsia="Calibri"/>
                <w:spacing w:val="-2"/>
                <w:lang w:eastAsia="en-US"/>
              </w:rPr>
              <w:t>2020/2020</w:t>
            </w:r>
            <w:r w:rsidR="004411E0" w:rsidRPr="009159DE">
              <w:rPr>
                <w:rFonts w:eastAsia="Calibri"/>
                <w:spacing w:val="-2"/>
                <w:lang w:eastAsia="en-US"/>
              </w:rPr>
              <w:t xml:space="preserve">, </w:t>
            </w:r>
            <w:r w:rsidR="006354B9" w:rsidRPr="009159DE">
              <w:rPr>
                <w:rFonts w:eastAsia="Calibri"/>
                <w:spacing w:val="-2"/>
                <w:lang w:eastAsia="en-US"/>
              </w:rPr>
              <w:t xml:space="preserve">ar ko, reaģējot uz Covid-19 pandēmiju, groza Padomes Direktīvu 2006/112/EK attiecībā uz pagaidu pasākumiem saistībā ar pievienotās vērtības nodokli, kas piemērojams Covid-19 vakcīnām un </w:t>
            </w:r>
            <w:r w:rsidR="006354B9" w:rsidRPr="009159DE">
              <w:rPr>
                <w:rFonts w:eastAsia="Calibri"/>
                <w:i/>
                <w:spacing w:val="-2"/>
                <w:lang w:eastAsia="en-US"/>
              </w:rPr>
              <w:t>in vitro</w:t>
            </w:r>
            <w:r w:rsidR="006354B9" w:rsidRPr="009159DE">
              <w:rPr>
                <w:rFonts w:eastAsia="Calibri"/>
                <w:spacing w:val="-2"/>
                <w:lang w:eastAsia="en-US"/>
              </w:rPr>
              <w:t xml:space="preserve"> diagnostikas medicīniskajām ierīcēm</w:t>
            </w:r>
            <w:r w:rsidR="00763724" w:rsidRPr="009159DE">
              <w:rPr>
                <w:rFonts w:eastAsia="Calibri"/>
                <w:spacing w:val="-2"/>
                <w:lang w:eastAsia="en-US"/>
              </w:rPr>
              <w:t xml:space="preserve"> (turpmāk – Direktīva  2020</w:t>
            </w:r>
            <w:r w:rsidRPr="009159DE">
              <w:rPr>
                <w:rFonts w:eastAsia="Calibri"/>
                <w:spacing w:val="-2"/>
                <w:lang w:eastAsia="en-US"/>
              </w:rPr>
              <w:t>/</w:t>
            </w:r>
            <w:r w:rsidR="0064596C" w:rsidRPr="009159DE">
              <w:rPr>
                <w:rFonts w:eastAsia="Calibri"/>
                <w:spacing w:val="-2"/>
                <w:lang w:eastAsia="en-US"/>
              </w:rPr>
              <w:t>2020</w:t>
            </w:r>
            <w:r w:rsidRPr="009159DE">
              <w:rPr>
                <w:rFonts w:eastAsia="Calibri"/>
                <w:spacing w:val="-2"/>
                <w:lang w:eastAsia="en-US"/>
              </w:rPr>
              <w:t>)</w:t>
            </w:r>
            <w:r w:rsidR="00763724" w:rsidRPr="009159DE">
              <w:rPr>
                <w:rFonts w:eastAsia="Calibri"/>
                <w:spacing w:val="-2"/>
                <w:lang w:eastAsia="en-US"/>
              </w:rPr>
              <w:t>.</w:t>
            </w:r>
          </w:p>
          <w:p w14:paraId="5DAAA654" w14:textId="349B854D" w:rsidR="009E4E3A" w:rsidRPr="009159DE" w:rsidRDefault="009E4E3A" w:rsidP="00CC7D6A">
            <w:pPr>
              <w:ind w:right="109"/>
              <w:jc w:val="both"/>
              <w:rPr>
                <w:rFonts w:eastAsia="Calibri"/>
                <w:spacing w:val="-2"/>
                <w:lang w:eastAsia="en-US"/>
              </w:rPr>
            </w:pPr>
            <w:r w:rsidRPr="009159DE">
              <w:rPr>
                <w:rFonts w:eastAsia="Calibri"/>
                <w:spacing w:val="-2"/>
                <w:lang w:eastAsia="en-US"/>
              </w:rPr>
              <w:t>Ar likumprojektu ir paredzēts arī precizēt atsauci par PVN 0 procentu likmes piemērošanu.</w:t>
            </w:r>
          </w:p>
        </w:tc>
      </w:tr>
      <w:tr w:rsidR="000C4C70" w:rsidRPr="009159DE" w14:paraId="66C12D17" w14:textId="77777777" w:rsidTr="00CF27D0">
        <w:trPr>
          <w:cantSplit/>
          <w:trHeight w:val="2802"/>
        </w:trPr>
        <w:tc>
          <w:tcPr>
            <w:tcW w:w="350" w:type="pct"/>
            <w:hideMark/>
          </w:tcPr>
          <w:p w14:paraId="1E3CFB4F" w14:textId="77777777" w:rsidR="0016477B" w:rsidRPr="009159DE" w:rsidRDefault="0016477B" w:rsidP="0016477B">
            <w:pPr>
              <w:rPr>
                <w:spacing w:val="-2"/>
              </w:rPr>
            </w:pPr>
            <w:r w:rsidRPr="009159DE">
              <w:rPr>
                <w:spacing w:val="-2"/>
              </w:rPr>
              <w:t xml:space="preserve"> 2.</w:t>
            </w:r>
          </w:p>
        </w:tc>
        <w:tc>
          <w:tcPr>
            <w:tcW w:w="999" w:type="pct"/>
            <w:hideMark/>
          </w:tcPr>
          <w:p w14:paraId="2481B4D5" w14:textId="77777777" w:rsidR="0016477B" w:rsidRPr="009159DE" w:rsidRDefault="0016477B" w:rsidP="0016477B">
            <w:pPr>
              <w:rPr>
                <w:spacing w:val="-2"/>
              </w:rPr>
            </w:pPr>
            <w:r w:rsidRPr="009159DE">
              <w:rPr>
                <w:spacing w:val="-2"/>
              </w:rPr>
              <w:t>Pašreizējā situācija un problēmas, kuru risināšanai tiesību akta projekts izstrādāts, tiesiskā regulējuma mērķis un būtība</w:t>
            </w:r>
          </w:p>
          <w:p w14:paraId="1F030C86" w14:textId="77777777" w:rsidR="0016477B" w:rsidRPr="009159DE" w:rsidRDefault="0016477B" w:rsidP="0016477B">
            <w:pPr>
              <w:rPr>
                <w:spacing w:val="-2"/>
              </w:rPr>
            </w:pPr>
          </w:p>
          <w:p w14:paraId="53042C8C" w14:textId="77777777" w:rsidR="0016477B" w:rsidRPr="009159DE" w:rsidRDefault="0016477B" w:rsidP="0016477B">
            <w:pPr>
              <w:rPr>
                <w:spacing w:val="-2"/>
              </w:rPr>
            </w:pPr>
          </w:p>
          <w:p w14:paraId="622DD5B8" w14:textId="77777777" w:rsidR="0016477B" w:rsidRPr="009159DE" w:rsidRDefault="0016477B" w:rsidP="0016477B">
            <w:pPr>
              <w:rPr>
                <w:spacing w:val="-2"/>
              </w:rPr>
            </w:pPr>
          </w:p>
          <w:p w14:paraId="136CCC0A" w14:textId="77777777" w:rsidR="0016477B" w:rsidRPr="009159DE" w:rsidRDefault="0016477B" w:rsidP="0016477B">
            <w:pPr>
              <w:rPr>
                <w:spacing w:val="-2"/>
              </w:rPr>
            </w:pPr>
          </w:p>
          <w:p w14:paraId="4FDC4717" w14:textId="77777777" w:rsidR="0016477B" w:rsidRPr="009159DE" w:rsidRDefault="0016477B" w:rsidP="0016477B">
            <w:pPr>
              <w:rPr>
                <w:spacing w:val="-2"/>
              </w:rPr>
            </w:pPr>
          </w:p>
          <w:p w14:paraId="50A024AE" w14:textId="77777777" w:rsidR="0016477B" w:rsidRPr="009159DE" w:rsidRDefault="0016477B" w:rsidP="0016477B">
            <w:pPr>
              <w:rPr>
                <w:spacing w:val="-2"/>
              </w:rPr>
            </w:pPr>
          </w:p>
          <w:p w14:paraId="2AAC138F" w14:textId="77777777" w:rsidR="0016477B" w:rsidRPr="009159DE" w:rsidRDefault="0016477B" w:rsidP="0016477B">
            <w:pPr>
              <w:rPr>
                <w:spacing w:val="-2"/>
              </w:rPr>
            </w:pPr>
          </w:p>
          <w:p w14:paraId="26772174" w14:textId="77777777" w:rsidR="0016477B" w:rsidRPr="009159DE" w:rsidRDefault="0016477B" w:rsidP="0016477B">
            <w:pPr>
              <w:rPr>
                <w:spacing w:val="-2"/>
              </w:rPr>
            </w:pPr>
          </w:p>
          <w:p w14:paraId="434B2413" w14:textId="77777777" w:rsidR="0016477B" w:rsidRPr="009159DE" w:rsidRDefault="0016477B" w:rsidP="0016477B">
            <w:pPr>
              <w:rPr>
                <w:spacing w:val="-2"/>
              </w:rPr>
            </w:pPr>
          </w:p>
          <w:p w14:paraId="34B3CAF0" w14:textId="77777777" w:rsidR="0016477B" w:rsidRPr="009159DE" w:rsidRDefault="0016477B" w:rsidP="0016477B">
            <w:pPr>
              <w:rPr>
                <w:spacing w:val="-2"/>
              </w:rPr>
            </w:pPr>
          </w:p>
          <w:p w14:paraId="707D3173" w14:textId="77777777" w:rsidR="0016477B" w:rsidRPr="009159DE" w:rsidRDefault="0016477B" w:rsidP="0016477B">
            <w:pPr>
              <w:rPr>
                <w:spacing w:val="-2"/>
              </w:rPr>
            </w:pPr>
          </w:p>
          <w:p w14:paraId="0DDF07EF" w14:textId="77777777" w:rsidR="0016477B" w:rsidRPr="009159DE" w:rsidRDefault="0016477B" w:rsidP="0016477B">
            <w:pPr>
              <w:rPr>
                <w:spacing w:val="-2"/>
              </w:rPr>
            </w:pPr>
          </w:p>
          <w:p w14:paraId="404018BE" w14:textId="77777777" w:rsidR="0016477B" w:rsidRPr="009159DE" w:rsidRDefault="0016477B" w:rsidP="0016477B">
            <w:pPr>
              <w:rPr>
                <w:spacing w:val="-2"/>
              </w:rPr>
            </w:pPr>
          </w:p>
          <w:p w14:paraId="7601FE59" w14:textId="77777777" w:rsidR="0016477B" w:rsidRPr="009159DE" w:rsidRDefault="0016477B" w:rsidP="0016477B">
            <w:pPr>
              <w:rPr>
                <w:spacing w:val="-2"/>
              </w:rPr>
            </w:pPr>
          </w:p>
          <w:p w14:paraId="4587878E" w14:textId="77777777" w:rsidR="0016477B" w:rsidRPr="009159DE" w:rsidRDefault="0016477B" w:rsidP="0016477B">
            <w:pPr>
              <w:rPr>
                <w:spacing w:val="-2"/>
              </w:rPr>
            </w:pPr>
          </w:p>
          <w:p w14:paraId="7B6829B9" w14:textId="77777777" w:rsidR="0016477B" w:rsidRPr="009159DE" w:rsidRDefault="0016477B" w:rsidP="0016477B">
            <w:pPr>
              <w:rPr>
                <w:spacing w:val="-2"/>
              </w:rPr>
            </w:pPr>
          </w:p>
          <w:p w14:paraId="6615A7EC" w14:textId="77777777" w:rsidR="0016477B" w:rsidRPr="009159DE" w:rsidRDefault="0016477B" w:rsidP="0016477B">
            <w:pPr>
              <w:rPr>
                <w:spacing w:val="-2"/>
              </w:rPr>
            </w:pPr>
          </w:p>
          <w:p w14:paraId="67D8038A" w14:textId="77777777" w:rsidR="0016477B" w:rsidRPr="009159DE" w:rsidRDefault="0016477B" w:rsidP="0016477B">
            <w:pPr>
              <w:rPr>
                <w:spacing w:val="-2"/>
              </w:rPr>
            </w:pPr>
          </w:p>
          <w:p w14:paraId="650CBA2B" w14:textId="77777777" w:rsidR="0016477B" w:rsidRPr="009159DE" w:rsidRDefault="0016477B" w:rsidP="0016477B">
            <w:pPr>
              <w:rPr>
                <w:spacing w:val="-2"/>
              </w:rPr>
            </w:pPr>
          </w:p>
          <w:p w14:paraId="344EF92F" w14:textId="77777777" w:rsidR="0016477B" w:rsidRPr="009159DE" w:rsidRDefault="0016477B" w:rsidP="0016477B">
            <w:pPr>
              <w:rPr>
                <w:spacing w:val="-2"/>
              </w:rPr>
            </w:pPr>
          </w:p>
          <w:p w14:paraId="54BA59B0" w14:textId="77777777" w:rsidR="0016477B" w:rsidRPr="009159DE" w:rsidRDefault="0016477B" w:rsidP="0016477B">
            <w:pPr>
              <w:rPr>
                <w:spacing w:val="-2"/>
              </w:rPr>
            </w:pPr>
          </w:p>
          <w:p w14:paraId="0C0F9812" w14:textId="77777777" w:rsidR="0016477B" w:rsidRPr="009159DE" w:rsidRDefault="0016477B" w:rsidP="0016477B">
            <w:pPr>
              <w:rPr>
                <w:spacing w:val="-2"/>
              </w:rPr>
            </w:pPr>
          </w:p>
          <w:p w14:paraId="4D49A9EE" w14:textId="77777777" w:rsidR="0016477B" w:rsidRPr="009159DE" w:rsidRDefault="0016477B" w:rsidP="0016477B">
            <w:pPr>
              <w:rPr>
                <w:spacing w:val="-2"/>
              </w:rPr>
            </w:pPr>
          </w:p>
          <w:p w14:paraId="1E08DC91" w14:textId="77777777" w:rsidR="0016477B" w:rsidRPr="009159DE" w:rsidRDefault="0016477B" w:rsidP="0016477B">
            <w:pPr>
              <w:rPr>
                <w:spacing w:val="-2"/>
              </w:rPr>
            </w:pPr>
          </w:p>
          <w:p w14:paraId="550256A1" w14:textId="77777777" w:rsidR="0016477B" w:rsidRPr="009159DE" w:rsidRDefault="0016477B" w:rsidP="0016477B">
            <w:pPr>
              <w:rPr>
                <w:spacing w:val="-2"/>
              </w:rPr>
            </w:pPr>
          </w:p>
          <w:p w14:paraId="55C241EB" w14:textId="77777777" w:rsidR="0016477B" w:rsidRPr="009159DE" w:rsidRDefault="0016477B" w:rsidP="0016477B">
            <w:pPr>
              <w:rPr>
                <w:spacing w:val="-2"/>
              </w:rPr>
            </w:pPr>
          </w:p>
          <w:p w14:paraId="1867AFA3" w14:textId="77777777" w:rsidR="0016477B" w:rsidRPr="009159DE" w:rsidRDefault="0016477B" w:rsidP="0016477B">
            <w:pPr>
              <w:rPr>
                <w:spacing w:val="-2"/>
              </w:rPr>
            </w:pPr>
          </w:p>
          <w:p w14:paraId="5CC9BCD5" w14:textId="77777777" w:rsidR="0016477B" w:rsidRPr="009159DE" w:rsidRDefault="0016477B" w:rsidP="0016477B">
            <w:pPr>
              <w:rPr>
                <w:spacing w:val="-2"/>
              </w:rPr>
            </w:pPr>
          </w:p>
          <w:p w14:paraId="425E0F32" w14:textId="77777777" w:rsidR="0016477B" w:rsidRPr="009159DE" w:rsidRDefault="0016477B" w:rsidP="0016477B">
            <w:pPr>
              <w:rPr>
                <w:spacing w:val="-2"/>
              </w:rPr>
            </w:pPr>
          </w:p>
          <w:p w14:paraId="2D79C682" w14:textId="77777777" w:rsidR="0016477B" w:rsidRPr="009159DE" w:rsidRDefault="0016477B" w:rsidP="0016477B">
            <w:pPr>
              <w:rPr>
                <w:spacing w:val="-2"/>
              </w:rPr>
            </w:pPr>
          </w:p>
          <w:p w14:paraId="2F5F754C" w14:textId="46FDED83" w:rsidR="0016477B" w:rsidRPr="009159DE" w:rsidRDefault="0016477B" w:rsidP="004E3BA8">
            <w:pPr>
              <w:jc w:val="center"/>
              <w:rPr>
                <w:spacing w:val="-2"/>
              </w:rPr>
            </w:pPr>
          </w:p>
        </w:tc>
        <w:tc>
          <w:tcPr>
            <w:tcW w:w="3651" w:type="pct"/>
          </w:tcPr>
          <w:p w14:paraId="03940F1C" w14:textId="3A1B4F42" w:rsidR="00AA2ACC" w:rsidRPr="009159DE" w:rsidRDefault="001048D8" w:rsidP="00F12524">
            <w:pPr>
              <w:autoSpaceDE w:val="0"/>
              <w:autoSpaceDN w:val="0"/>
              <w:adjustRightInd w:val="0"/>
              <w:ind w:right="132"/>
              <w:jc w:val="both"/>
              <w:rPr>
                <w:spacing w:val="-2"/>
              </w:rPr>
            </w:pPr>
            <w:r w:rsidRPr="009159DE">
              <w:rPr>
                <w:spacing w:val="-2"/>
              </w:rPr>
              <w:lastRenderedPageBreak/>
              <w:t>Pasaules Veselības organizācija (turpmāk – PVO) 2020.gada 30.janvārī paziņoja, ka Covid-19 uzliesmojums ir starptautiska mēroga ārkārtas situācija sabiedrības veselības jomā. 2020.gada 11.martā PVO situāciju saistībā ar Covid-19 uzliesmojumu raksturoja kā pandēmiju.</w:t>
            </w:r>
          </w:p>
          <w:p w14:paraId="5CE2B684" w14:textId="5849B15E" w:rsidR="00223F6E" w:rsidRPr="009159DE" w:rsidRDefault="00EA5AB9" w:rsidP="002F226F">
            <w:pPr>
              <w:autoSpaceDE w:val="0"/>
              <w:autoSpaceDN w:val="0"/>
              <w:adjustRightInd w:val="0"/>
              <w:ind w:left="58" w:right="132"/>
              <w:jc w:val="both"/>
              <w:rPr>
                <w:spacing w:val="-2"/>
              </w:rPr>
            </w:pPr>
            <w:r w:rsidRPr="009159DE">
              <w:rPr>
                <w:spacing w:val="-2"/>
              </w:rPr>
              <w:t>Ņemot vērā Covid-</w:t>
            </w:r>
            <w:r w:rsidR="00C13B04" w:rsidRPr="009159DE">
              <w:rPr>
                <w:spacing w:val="-2"/>
              </w:rPr>
              <w:t>19 pandēmiju, Eiropas Komisija (turpmāk –EK) ir veikusi ārkārtas pasākumus PVN jomā, lai palīdzētu tās uzliesmojumā cietušajiem. EK 2020.gada 3.aprī</w:t>
            </w:r>
            <w:r w:rsidR="00223F6E" w:rsidRPr="009159DE">
              <w:rPr>
                <w:spacing w:val="-2"/>
              </w:rPr>
              <w:t>lī pieņēma Lēmumu (ES) 2020/491</w:t>
            </w:r>
            <w:r w:rsidR="00C13B04" w:rsidRPr="009159DE">
              <w:rPr>
                <w:spacing w:val="-2"/>
              </w:rPr>
              <w:t>, ar ko Eiropas Savienības</w:t>
            </w:r>
            <w:r w:rsidR="00C308CF" w:rsidRPr="009159DE">
              <w:rPr>
                <w:spacing w:val="-2"/>
              </w:rPr>
              <w:t xml:space="preserve"> </w:t>
            </w:r>
            <w:r w:rsidR="00C13B04" w:rsidRPr="009159DE">
              <w:rPr>
                <w:spacing w:val="-2"/>
              </w:rPr>
              <w:t>dalībvalstīm</w:t>
            </w:r>
            <w:r w:rsidR="00C30659" w:rsidRPr="009159DE">
              <w:rPr>
                <w:spacing w:val="-2"/>
              </w:rPr>
              <w:t xml:space="preserve"> (turpmāk –dalībvalsts)</w:t>
            </w:r>
            <w:r w:rsidR="00C13B04" w:rsidRPr="009159DE">
              <w:rPr>
                <w:spacing w:val="-2"/>
              </w:rPr>
              <w:t xml:space="preserve"> ļauj uz laiku noteikt atbrīvojumu no PVN un no ievedmuitas nodokļiem precēm,</w:t>
            </w:r>
            <w:r w:rsidRPr="009159DE">
              <w:rPr>
                <w:spacing w:val="-2"/>
              </w:rPr>
              <w:t xml:space="preserve"> kas vitāli nepieciešamas Covid</w:t>
            </w:r>
            <w:r w:rsidR="00C308CF" w:rsidRPr="009159DE">
              <w:rPr>
                <w:spacing w:val="-2"/>
              </w:rPr>
              <w:t>-</w:t>
            </w:r>
            <w:r w:rsidR="00C13B04" w:rsidRPr="009159DE">
              <w:rPr>
                <w:spacing w:val="-2"/>
              </w:rPr>
              <w:t xml:space="preserve">19 uzliesmojuma seku apkarošanā (tai skaitā individuālās aizsardzības līdzekļiem, </w:t>
            </w:r>
            <w:r w:rsidR="00C13B04" w:rsidRPr="009159DE">
              <w:rPr>
                <w:i/>
                <w:spacing w:val="-2"/>
              </w:rPr>
              <w:t>in vitro</w:t>
            </w:r>
            <w:r w:rsidR="00C13B04" w:rsidRPr="009159DE">
              <w:rPr>
                <w:spacing w:val="-2"/>
              </w:rPr>
              <w:t xml:space="preserve"> diagnostikas medicīniskajām ierīcēm, piemēram, ventilatoriem un iero</w:t>
            </w:r>
            <w:r w:rsidR="00223F6E" w:rsidRPr="009159DE">
              <w:rPr>
                <w:spacing w:val="-2"/>
              </w:rPr>
              <w:t>bežotam skaitam zāļu</w:t>
            </w:r>
            <w:r w:rsidR="00C13B04" w:rsidRPr="009159DE">
              <w:rPr>
                <w:spacing w:val="-2"/>
              </w:rPr>
              <w:t xml:space="preserve">). </w:t>
            </w:r>
            <w:r w:rsidR="0089585D" w:rsidRPr="009159DE">
              <w:rPr>
                <w:spacing w:val="-2"/>
              </w:rPr>
              <w:t xml:space="preserve">Šis lēmums attiecas tikai uz preču importu, nevis uz piegādēm </w:t>
            </w:r>
            <w:r w:rsidR="003916A3" w:rsidRPr="009159DE">
              <w:rPr>
                <w:spacing w:val="-2"/>
              </w:rPr>
              <w:t xml:space="preserve">Eiropas Savienības (turpmāk – </w:t>
            </w:r>
            <w:r w:rsidR="00C308CF" w:rsidRPr="009159DE">
              <w:rPr>
                <w:spacing w:val="-2"/>
              </w:rPr>
              <w:t>ES</w:t>
            </w:r>
            <w:r w:rsidR="003916A3" w:rsidRPr="009159DE">
              <w:rPr>
                <w:spacing w:val="-2"/>
              </w:rPr>
              <w:t>)</w:t>
            </w:r>
            <w:r w:rsidR="0089585D" w:rsidRPr="009159DE">
              <w:rPr>
                <w:spacing w:val="-2"/>
              </w:rPr>
              <w:t xml:space="preserve"> </w:t>
            </w:r>
            <w:r w:rsidR="00587006" w:rsidRPr="009159DE">
              <w:rPr>
                <w:spacing w:val="-2"/>
              </w:rPr>
              <w:t>teritorijā</w:t>
            </w:r>
            <w:r w:rsidR="0089585D" w:rsidRPr="009159DE">
              <w:rPr>
                <w:spacing w:val="-2"/>
              </w:rPr>
              <w:t xml:space="preserve"> vai iekšzemes piegādēm, jo EK autonomās pilnvaras šajā jomā ir ierobežotas.</w:t>
            </w:r>
            <w:r w:rsidR="00CA2161" w:rsidRPr="009159DE">
              <w:rPr>
                <w:spacing w:val="-2"/>
              </w:rPr>
              <w:t xml:space="preserve"> </w:t>
            </w:r>
            <w:r w:rsidR="003916A3" w:rsidRPr="009159DE">
              <w:rPr>
                <w:spacing w:val="-2"/>
              </w:rPr>
              <w:t>Šobrīd š</w:t>
            </w:r>
            <w:r w:rsidR="00CA2161" w:rsidRPr="009159DE">
              <w:rPr>
                <w:spacing w:val="-2"/>
              </w:rPr>
              <w:t xml:space="preserve">ā lēmuma termiņš </w:t>
            </w:r>
            <w:r w:rsidR="003916A3" w:rsidRPr="009159DE">
              <w:rPr>
                <w:spacing w:val="-2"/>
              </w:rPr>
              <w:t>ir</w:t>
            </w:r>
            <w:r w:rsidR="00CA2161" w:rsidRPr="009159DE">
              <w:rPr>
                <w:spacing w:val="-2"/>
              </w:rPr>
              <w:t xml:space="preserve"> pagarināts līdz 2021.gada 30.aprīlim.</w:t>
            </w:r>
          </w:p>
          <w:p w14:paraId="493E1B99" w14:textId="534A72AA" w:rsidR="002730B2" w:rsidRPr="009159DE" w:rsidRDefault="002730B2" w:rsidP="002F226F">
            <w:pPr>
              <w:autoSpaceDE w:val="0"/>
              <w:autoSpaceDN w:val="0"/>
              <w:adjustRightInd w:val="0"/>
              <w:ind w:left="58" w:right="132"/>
              <w:jc w:val="both"/>
              <w:rPr>
                <w:spacing w:val="-2"/>
              </w:rPr>
            </w:pPr>
            <w:r w:rsidRPr="009159DE">
              <w:rPr>
                <w:spacing w:val="-2"/>
              </w:rPr>
              <w:t>Lai gan pašreizējie PVN noteik</w:t>
            </w:r>
            <w:r w:rsidR="00EA5AB9" w:rsidRPr="009159DE">
              <w:rPr>
                <w:spacing w:val="-2"/>
              </w:rPr>
              <w:t>umi ļauj daļēji samazināt Covid</w:t>
            </w:r>
            <w:r w:rsidRPr="009159DE">
              <w:rPr>
                <w:spacing w:val="-2"/>
              </w:rPr>
              <w:t>-19 vakcīnu un testu izmaksas,</w:t>
            </w:r>
            <w:r w:rsidR="004D18CF" w:rsidRPr="009159DE">
              <w:rPr>
                <w:spacing w:val="-2"/>
              </w:rPr>
              <w:t xml:space="preserve"> Padomes 2006.gada 28.novembra Direktīva 2006/112/EK par kopējo pievienotās vērtības nodokļa sistēmu (turpmāk – Direktīva 2006/112</w:t>
            </w:r>
            <w:r w:rsidR="003916A3" w:rsidRPr="009159DE">
              <w:rPr>
                <w:spacing w:val="-2"/>
              </w:rPr>
              <w:t>/EK</w:t>
            </w:r>
            <w:r w:rsidR="004D18CF" w:rsidRPr="009159DE">
              <w:rPr>
                <w:spacing w:val="-2"/>
              </w:rPr>
              <w:t xml:space="preserve">) </w:t>
            </w:r>
            <w:r w:rsidRPr="009159DE">
              <w:rPr>
                <w:spacing w:val="-2"/>
              </w:rPr>
              <w:t>ne</w:t>
            </w:r>
            <w:r w:rsidR="004D18CF" w:rsidRPr="009159DE">
              <w:rPr>
                <w:spacing w:val="-2"/>
              </w:rPr>
              <w:t>paredz</w:t>
            </w:r>
            <w:r w:rsidRPr="009159DE">
              <w:rPr>
                <w:spacing w:val="-2"/>
              </w:rPr>
              <w:t xml:space="preserve"> piemērot PVN 0 procentu likmi šādām vakcīnām un ar tām cieši sai</w:t>
            </w:r>
            <w:r w:rsidR="004D18CF" w:rsidRPr="009159DE">
              <w:rPr>
                <w:spacing w:val="-2"/>
              </w:rPr>
              <w:t>stītiem pakalpojumiem. Tāpat Direktīva 2006/112</w:t>
            </w:r>
            <w:r w:rsidR="003916A3" w:rsidRPr="009159DE">
              <w:rPr>
                <w:spacing w:val="-2"/>
              </w:rPr>
              <w:t>/EK</w:t>
            </w:r>
            <w:r w:rsidR="004D18CF" w:rsidRPr="009159DE">
              <w:rPr>
                <w:spacing w:val="-2"/>
              </w:rPr>
              <w:t xml:space="preserve"> </w:t>
            </w:r>
            <w:r w:rsidRPr="009159DE">
              <w:rPr>
                <w:spacing w:val="-2"/>
              </w:rPr>
              <w:t>ne</w:t>
            </w:r>
            <w:r w:rsidR="004D18CF" w:rsidRPr="009159DE">
              <w:rPr>
                <w:spacing w:val="-2"/>
              </w:rPr>
              <w:t>paredz</w:t>
            </w:r>
            <w:r w:rsidRPr="009159DE">
              <w:rPr>
                <w:spacing w:val="-2"/>
              </w:rPr>
              <w:t xml:space="preserve"> piemērot PVN samazinātu vai PVN 0 procentu likmi </w:t>
            </w:r>
            <w:r w:rsidRPr="009159DE">
              <w:rPr>
                <w:i/>
                <w:spacing w:val="-2"/>
              </w:rPr>
              <w:t>in vitro</w:t>
            </w:r>
            <w:r w:rsidRPr="009159DE">
              <w:rPr>
                <w:spacing w:val="-2"/>
              </w:rPr>
              <w:t xml:space="preserve"> diagnostikas </w:t>
            </w:r>
            <w:r w:rsidRPr="009159DE">
              <w:rPr>
                <w:spacing w:val="-2"/>
              </w:rPr>
              <w:lastRenderedPageBreak/>
              <w:t>medicīniskajām ierīcēm, tai skaitā ar tām cieši saistītiem pakalpojumiem.</w:t>
            </w:r>
          </w:p>
          <w:p w14:paraId="18EC3E6B" w14:textId="2E024806" w:rsidR="00356F03" w:rsidRPr="009159DE" w:rsidRDefault="00356F03" w:rsidP="0004090D">
            <w:pPr>
              <w:autoSpaceDE w:val="0"/>
              <w:autoSpaceDN w:val="0"/>
              <w:adjustRightInd w:val="0"/>
              <w:ind w:left="58" w:right="132" w:firstLine="283"/>
              <w:jc w:val="both"/>
              <w:rPr>
                <w:spacing w:val="-2"/>
              </w:rPr>
            </w:pPr>
            <w:r w:rsidRPr="009159DE">
              <w:rPr>
                <w:spacing w:val="-2"/>
              </w:rPr>
              <w:t>Direktīva</w:t>
            </w:r>
            <w:r w:rsidR="005375C6" w:rsidRPr="009159DE">
              <w:rPr>
                <w:spacing w:val="-2"/>
              </w:rPr>
              <w:t>s 2020/2020</w:t>
            </w:r>
            <w:r w:rsidRPr="009159DE">
              <w:rPr>
                <w:spacing w:val="-2"/>
              </w:rPr>
              <w:t xml:space="preserve"> mērķis ir</w:t>
            </w:r>
            <w:r w:rsidR="001A3395" w:rsidRPr="009159DE">
              <w:rPr>
                <w:spacing w:val="-2"/>
              </w:rPr>
              <w:t xml:space="preserve"> pēc iespējas ātrāk nodrošināt piekļuvi Covid-19 vakcīnu un Covid-19 </w:t>
            </w:r>
            <w:r w:rsidR="001A3395" w:rsidRPr="009159DE">
              <w:rPr>
                <w:i/>
                <w:spacing w:val="-2"/>
              </w:rPr>
              <w:t>in vitro</w:t>
            </w:r>
            <w:r w:rsidR="001A3395" w:rsidRPr="009159DE">
              <w:rPr>
                <w:spacing w:val="-2"/>
              </w:rPr>
              <w:t xml:space="preserve"> diagnostikas medicīnisko ierīču piegādei, kā arī pakalpojumiem, kas cieši saistīti ar šādām vakcīnām un ierīcēm, par samērīgākām izmaksām.</w:t>
            </w:r>
            <w:r w:rsidR="003424CC" w:rsidRPr="009159DE">
              <w:rPr>
                <w:spacing w:val="-2"/>
              </w:rPr>
              <w:t xml:space="preserve"> Tā paredz</w:t>
            </w:r>
            <w:r w:rsidR="00F71652" w:rsidRPr="009159DE">
              <w:rPr>
                <w:spacing w:val="-2"/>
              </w:rPr>
              <w:t xml:space="preserve"> </w:t>
            </w:r>
            <w:r w:rsidR="0019728A" w:rsidRPr="009159DE">
              <w:rPr>
                <w:spacing w:val="-2"/>
              </w:rPr>
              <w:t xml:space="preserve">dalībvalstu izvēles iespēju </w:t>
            </w:r>
            <w:r w:rsidR="00F71652" w:rsidRPr="009159DE">
              <w:rPr>
                <w:spacing w:val="-2"/>
              </w:rPr>
              <w:t>uz noteiktu laiku</w:t>
            </w:r>
            <w:r w:rsidR="003916A3" w:rsidRPr="009159DE">
              <w:rPr>
                <w:spacing w:val="-2"/>
              </w:rPr>
              <w:t>, t.i.,</w:t>
            </w:r>
            <w:r w:rsidR="00F71652" w:rsidRPr="009159DE">
              <w:rPr>
                <w:spacing w:val="-2"/>
              </w:rPr>
              <w:t xml:space="preserve"> līdz 2022.gada 31.decembrim</w:t>
            </w:r>
            <w:r w:rsidR="003916A3" w:rsidRPr="009159DE">
              <w:rPr>
                <w:spacing w:val="-2"/>
              </w:rPr>
              <w:t>,</w:t>
            </w:r>
            <w:r w:rsidR="009512E7" w:rsidRPr="009159DE">
              <w:rPr>
                <w:spacing w:val="-2"/>
              </w:rPr>
              <w:t xml:space="preserve"> noteikt:</w:t>
            </w:r>
          </w:p>
          <w:p w14:paraId="55CBC4AA" w14:textId="47D729A6" w:rsidR="009512E7" w:rsidRPr="009159DE" w:rsidRDefault="009512E7" w:rsidP="009512E7">
            <w:pPr>
              <w:autoSpaceDE w:val="0"/>
              <w:autoSpaceDN w:val="0"/>
              <w:adjustRightInd w:val="0"/>
              <w:ind w:left="58" w:right="132" w:firstLine="283"/>
              <w:jc w:val="both"/>
              <w:rPr>
                <w:spacing w:val="-2"/>
              </w:rPr>
            </w:pPr>
            <w:r w:rsidRPr="009159DE">
              <w:rPr>
                <w:spacing w:val="-2"/>
              </w:rPr>
              <w:t>-</w:t>
            </w:r>
            <w:r w:rsidRPr="009159DE">
              <w:rPr>
                <w:spacing w:val="-2"/>
              </w:rPr>
              <w:tab/>
              <w:t>PVN 0 procentu likmi Covid-19 vakcīnu piegādei un ar šādām vakcīnām cieši saistītiem pakalpojumiem;</w:t>
            </w:r>
          </w:p>
          <w:p w14:paraId="05447FA9" w14:textId="36557F5B" w:rsidR="009512E7" w:rsidRPr="009159DE" w:rsidRDefault="009512E7" w:rsidP="009512E7">
            <w:pPr>
              <w:autoSpaceDE w:val="0"/>
              <w:autoSpaceDN w:val="0"/>
              <w:adjustRightInd w:val="0"/>
              <w:ind w:left="58" w:right="132" w:firstLine="283"/>
              <w:jc w:val="both"/>
              <w:rPr>
                <w:spacing w:val="-2"/>
              </w:rPr>
            </w:pPr>
            <w:r w:rsidRPr="009159DE">
              <w:rPr>
                <w:spacing w:val="-2"/>
              </w:rPr>
              <w:t>-</w:t>
            </w:r>
            <w:r w:rsidRPr="009159DE">
              <w:rPr>
                <w:spacing w:val="-2"/>
              </w:rPr>
              <w:tab/>
              <w:t xml:space="preserve">PVN 0 procentu likmi Covid-19 </w:t>
            </w:r>
            <w:r w:rsidRPr="009159DE">
              <w:rPr>
                <w:i/>
                <w:spacing w:val="-2"/>
              </w:rPr>
              <w:t>in vitro</w:t>
            </w:r>
            <w:r w:rsidRPr="009159DE">
              <w:rPr>
                <w:spacing w:val="-2"/>
              </w:rPr>
              <w:t xml:space="preserve"> diagnostikas medicīnisko ierīču piegādei un ar šādām ierīcēm cieši saistītiem pakalpojumiem; </w:t>
            </w:r>
          </w:p>
          <w:p w14:paraId="615D8926" w14:textId="617653DC" w:rsidR="009512E7" w:rsidRPr="009159DE" w:rsidRDefault="009512E7" w:rsidP="009512E7">
            <w:pPr>
              <w:autoSpaceDE w:val="0"/>
              <w:autoSpaceDN w:val="0"/>
              <w:adjustRightInd w:val="0"/>
              <w:ind w:left="58" w:right="132" w:firstLine="283"/>
              <w:jc w:val="both"/>
              <w:rPr>
                <w:spacing w:val="-2"/>
              </w:rPr>
            </w:pPr>
            <w:r w:rsidRPr="009159DE">
              <w:rPr>
                <w:spacing w:val="-2"/>
              </w:rPr>
              <w:t>-</w:t>
            </w:r>
            <w:r w:rsidRPr="009159DE">
              <w:rPr>
                <w:spacing w:val="-2"/>
              </w:rPr>
              <w:tab/>
              <w:t xml:space="preserve">PVN samazināto likmi Covid-19 </w:t>
            </w:r>
            <w:r w:rsidRPr="009159DE">
              <w:rPr>
                <w:i/>
                <w:spacing w:val="-2"/>
              </w:rPr>
              <w:t>in vitro</w:t>
            </w:r>
            <w:r w:rsidRPr="009159DE">
              <w:rPr>
                <w:spacing w:val="-2"/>
              </w:rPr>
              <w:t xml:space="preserve"> diagnostikas medicīnisko ierīču piegādei un ar šīm ierīcēm cieši saistītiem pakalpojumiem.  </w:t>
            </w:r>
          </w:p>
          <w:p w14:paraId="7068903A" w14:textId="346D2F51" w:rsidR="00503E21" w:rsidRPr="009159DE" w:rsidRDefault="004D042E" w:rsidP="009512E7">
            <w:pPr>
              <w:autoSpaceDE w:val="0"/>
              <w:autoSpaceDN w:val="0"/>
              <w:adjustRightInd w:val="0"/>
              <w:ind w:left="58" w:right="132" w:firstLine="283"/>
              <w:jc w:val="both"/>
              <w:rPr>
                <w:spacing w:val="-2"/>
              </w:rPr>
            </w:pPr>
            <w:r w:rsidRPr="009159DE">
              <w:rPr>
                <w:spacing w:val="-2"/>
              </w:rPr>
              <w:t>Direktīva</w:t>
            </w:r>
            <w:r w:rsidR="005375C6" w:rsidRPr="009159DE">
              <w:rPr>
                <w:spacing w:val="-2"/>
              </w:rPr>
              <w:t xml:space="preserve"> 2020/2020</w:t>
            </w:r>
            <w:r w:rsidRPr="009159DE">
              <w:rPr>
                <w:spacing w:val="-2"/>
              </w:rPr>
              <w:t xml:space="preserve"> paredz, ka PVN samazināto likmi vai PVN 0 procentu likmi drīkst piemērot tikai tādām Covid-19 </w:t>
            </w:r>
            <w:r w:rsidRPr="009159DE">
              <w:rPr>
                <w:i/>
                <w:spacing w:val="-2"/>
              </w:rPr>
              <w:t>in vitro</w:t>
            </w:r>
            <w:r w:rsidRPr="009159DE">
              <w:rPr>
                <w:spacing w:val="-2"/>
              </w:rPr>
              <w:t xml:space="preserve"> diagnostikas medicīniskajām ierīcēm, kas atbilst </w:t>
            </w:r>
            <w:r w:rsidR="00503E21" w:rsidRPr="009159DE">
              <w:rPr>
                <w:spacing w:val="-2"/>
              </w:rPr>
              <w:t xml:space="preserve"> Eiropas Parlamenta un Padomes Direktīvā 98/79/EK vai Eiropas Parlamenta un Padomes Regulā (ES) 2017/746 un citos piemērojamos ES tiesību aktos noteiktajām piemērojamām prasībām.</w:t>
            </w:r>
          </w:p>
          <w:p w14:paraId="137C02A8" w14:textId="507E54C4" w:rsidR="004D042E" w:rsidRPr="009159DE" w:rsidRDefault="00503E21" w:rsidP="009512E7">
            <w:pPr>
              <w:autoSpaceDE w:val="0"/>
              <w:autoSpaceDN w:val="0"/>
              <w:adjustRightInd w:val="0"/>
              <w:ind w:left="58" w:right="132" w:firstLine="283"/>
              <w:jc w:val="both"/>
              <w:rPr>
                <w:spacing w:val="-2"/>
              </w:rPr>
            </w:pPr>
            <w:r w:rsidRPr="009159DE">
              <w:rPr>
                <w:spacing w:val="-2"/>
              </w:rPr>
              <w:t xml:space="preserve"> </w:t>
            </w:r>
            <w:r w:rsidR="004D042E" w:rsidRPr="009159DE">
              <w:rPr>
                <w:spacing w:val="-2"/>
              </w:rPr>
              <w:t xml:space="preserve">PVN samazinātu likmi vai PVN </w:t>
            </w:r>
            <w:r w:rsidR="00D35F3F" w:rsidRPr="009159DE">
              <w:rPr>
                <w:spacing w:val="-2"/>
              </w:rPr>
              <w:t>0</w:t>
            </w:r>
            <w:r w:rsidR="004D042E" w:rsidRPr="009159DE">
              <w:rPr>
                <w:spacing w:val="-2"/>
              </w:rPr>
              <w:t xml:space="preserve"> procentu likmi var piemērot tikai Covid-19 </w:t>
            </w:r>
            <w:r w:rsidR="004D042E" w:rsidRPr="009159DE">
              <w:rPr>
                <w:i/>
                <w:spacing w:val="-2"/>
              </w:rPr>
              <w:t>in vitro</w:t>
            </w:r>
            <w:r w:rsidR="004D042E" w:rsidRPr="009159DE">
              <w:rPr>
                <w:spacing w:val="-2"/>
              </w:rPr>
              <w:t xml:space="preserve"> diagnostikas medicīniskajām ierīcēm, kurām var uzlikt CE zīmi. Šī zīme ir marķējums, ar ko ražotājs norāda, ka ierīce atbilst piemērojamajām prasībām, kuras izklāstītas </w:t>
            </w:r>
            <w:r w:rsidR="002A33B3" w:rsidRPr="009159DE">
              <w:rPr>
                <w:spacing w:val="-2"/>
              </w:rPr>
              <w:t>ES</w:t>
            </w:r>
            <w:r w:rsidR="004D042E" w:rsidRPr="009159DE">
              <w:rPr>
                <w:spacing w:val="-2"/>
              </w:rPr>
              <w:t xml:space="preserve"> saskaņošanas tiesību aktos attiecībā uz tā uzlikšanu. Savukārt PVN </w:t>
            </w:r>
            <w:r w:rsidR="002A33B3" w:rsidRPr="009159DE">
              <w:rPr>
                <w:spacing w:val="-2"/>
              </w:rPr>
              <w:t>0</w:t>
            </w:r>
            <w:r w:rsidR="004D042E" w:rsidRPr="009159DE">
              <w:rPr>
                <w:spacing w:val="-2"/>
              </w:rPr>
              <w:t xml:space="preserve"> procentu likmi </w:t>
            </w:r>
            <w:r w:rsidR="002A33B3" w:rsidRPr="009159DE">
              <w:rPr>
                <w:spacing w:val="-2"/>
              </w:rPr>
              <w:t xml:space="preserve">var piemērot tikai </w:t>
            </w:r>
            <w:r w:rsidR="00871DA5" w:rsidRPr="009159DE">
              <w:rPr>
                <w:spacing w:val="-2"/>
              </w:rPr>
              <w:t>EK</w:t>
            </w:r>
            <w:r w:rsidR="00C30659" w:rsidRPr="009159DE">
              <w:rPr>
                <w:spacing w:val="-2"/>
              </w:rPr>
              <w:t xml:space="preserve"> vai</w:t>
            </w:r>
            <w:r w:rsidR="002A33B3" w:rsidRPr="009159DE">
              <w:rPr>
                <w:spacing w:val="-2"/>
              </w:rPr>
              <w:t xml:space="preserve"> </w:t>
            </w:r>
            <w:r w:rsidR="004D042E" w:rsidRPr="009159DE">
              <w:rPr>
                <w:spacing w:val="-2"/>
              </w:rPr>
              <w:t>dalībvalstu atļautām Covid-19 vakcīnām.</w:t>
            </w:r>
          </w:p>
          <w:p w14:paraId="3B433D6E" w14:textId="37F670F4" w:rsidR="001441B5" w:rsidRPr="009159DE" w:rsidRDefault="005A00E0" w:rsidP="00DA158A">
            <w:pPr>
              <w:autoSpaceDE w:val="0"/>
              <w:autoSpaceDN w:val="0"/>
              <w:adjustRightInd w:val="0"/>
              <w:ind w:left="58" w:right="132" w:firstLine="283"/>
              <w:jc w:val="both"/>
              <w:rPr>
                <w:spacing w:val="-2"/>
              </w:rPr>
            </w:pPr>
            <w:r w:rsidRPr="009159DE">
              <w:rPr>
                <w:spacing w:val="-2"/>
              </w:rPr>
              <w:t xml:space="preserve">Ņemot vērā ar Covid-19 pandēmiju saistītās situācijas steidzamību, </w:t>
            </w:r>
            <w:r w:rsidR="005375C6" w:rsidRPr="009159DE">
              <w:rPr>
                <w:spacing w:val="-2"/>
              </w:rPr>
              <w:t>Direktīva 2020/2020</w:t>
            </w:r>
            <w:r w:rsidR="001441B5" w:rsidRPr="009159DE">
              <w:rPr>
                <w:spacing w:val="-2"/>
              </w:rPr>
              <w:t xml:space="preserve">  ir jāpārņem </w:t>
            </w:r>
            <w:r w:rsidR="007F2E15" w:rsidRPr="009159DE">
              <w:rPr>
                <w:spacing w:val="-2"/>
              </w:rPr>
              <w:t xml:space="preserve">Latvijā </w:t>
            </w:r>
            <w:r w:rsidR="001441B5" w:rsidRPr="009159DE">
              <w:rPr>
                <w:spacing w:val="-2"/>
              </w:rPr>
              <w:t>pēc iespējas ātrāk</w:t>
            </w:r>
            <w:r w:rsidR="007F2E15" w:rsidRPr="009159DE">
              <w:rPr>
                <w:spacing w:val="-2"/>
              </w:rPr>
              <w:t xml:space="preserve"> un atbilstošāk Latvijas situācijai</w:t>
            </w:r>
            <w:r w:rsidR="001441B5" w:rsidRPr="009159DE">
              <w:rPr>
                <w:spacing w:val="-2"/>
              </w:rPr>
              <w:t xml:space="preserve">, lai  nodrošinātu, ka Covid-19 vakcīnu un Covid-19 </w:t>
            </w:r>
            <w:r w:rsidR="001441B5" w:rsidRPr="009159DE">
              <w:rPr>
                <w:i/>
                <w:spacing w:val="-2"/>
              </w:rPr>
              <w:t>in vitro</w:t>
            </w:r>
            <w:r w:rsidR="001441B5" w:rsidRPr="009159DE">
              <w:rPr>
                <w:spacing w:val="-2"/>
              </w:rPr>
              <w:t xml:space="preserve"> diagnostikas medicīnisko ierīču piegāde kļūst lētāka.</w:t>
            </w:r>
            <w:r w:rsidR="0019728A" w:rsidRPr="009159DE">
              <w:rPr>
                <w:spacing w:val="-2"/>
              </w:rPr>
              <w:t xml:space="preserve"> </w:t>
            </w:r>
          </w:p>
          <w:p w14:paraId="186152D2" w14:textId="1EDCE728" w:rsidR="007F2E15" w:rsidRPr="009159DE" w:rsidRDefault="000C01A9" w:rsidP="007F2E15">
            <w:pPr>
              <w:autoSpaceDE w:val="0"/>
              <w:autoSpaceDN w:val="0"/>
              <w:adjustRightInd w:val="0"/>
              <w:ind w:left="58" w:right="132" w:firstLine="283"/>
              <w:jc w:val="both"/>
              <w:rPr>
                <w:spacing w:val="-2"/>
              </w:rPr>
            </w:pPr>
            <w:r w:rsidRPr="009159DE">
              <w:rPr>
                <w:spacing w:val="-2"/>
              </w:rPr>
              <w:t xml:space="preserve"> </w:t>
            </w:r>
            <w:r w:rsidR="007F2E15" w:rsidRPr="009159DE">
              <w:rPr>
                <w:spacing w:val="-2"/>
              </w:rPr>
              <w:t>Likumprojekta  mērķis</w:t>
            </w:r>
            <w:r w:rsidRPr="009159DE">
              <w:rPr>
                <w:spacing w:val="-2"/>
              </w:rPr>
              <w:t xml:space="preserve"> </w:t>
            </w:r>
            <w:r w:rsidR="007F2E15" w:rsidRPr="009159DE">
              <w:rPr>
                <w:spacing w:val="-2"/>
              </w:rPr>
              <w:t xml:space="preserve">ir </w:t>
            </w:r>
            <w:r w:rsidR="00AD5EA8" w:rsidRPr="009159DE">
              <w:rPr>
                <w:spacing w:val="-2"/>
              </w:rPr>
              <w:t xml:space="preserve"> </w:t>
            </w:r>
            <w:r w:rsidR="003179F0" w:rsidRPr="009159DE">
              <w:rPr>
                <w:spacing w:val="-2"/>
              </w:rPr>
              <w:t xml:space="preserve">noteikt </w:t>
            </w:r>
            <w:r w:rsidR="00E05A7D" w:rsidRPr="009159DE">
              <w:rPr>
                <w:spacing w:val="-2"/>
              </w:rPr>
              <w:t>PVN 0 procen</w:t>
            </w:r>
            <w:r w:rsidR="003179F0" w:rsidRPr="009159DE">
              <w:rPr>
                <w:spacing w:val="-2"/>
              </w:rPr>
              <w:t xml:space="preserve">tu likmes </w:t>
            </w:r>
            <w:r w:rsidR="007F2E15" w:rsidRPr="009159DE">
              <w:rPr>
                <w:spacing w:val="-2"/>
              </w:rPr>
              <w:t>piemērošanu vismaz līdz 2022.gada 31.decembrim</w:t>
            </w:r>
            <w:r w:rsidR="007F2E15" w:rsidRPr="009159DE">
              <w:rPr>
                <w:rStyle w:val="FootnoteReference"/>
                <w:spacing w:val="-2"/>
              </w:rPr>
              <w:footnoteReference w:id="1"/>
            </w:r>
            <w:r w:rsidR="007F2E15" w:rsidRPr="009159DE">
              <w:rPr>
                <w:spacing w:val="-2"/>
              </w:rPr>
              <w:t xml:space="preserve"> </w:t>
            </w:r>
            <w:r w:rsidR="00E05A7D" w:rsidRPr="009159DE">
              <w:rPr>
                <w:spacing w:val="-2"/>
              </w:rPr>
              <w:t xml:space="preserve">Covid-19 vakcīnu piegādei un ar šādām vakcīnām cieši saistītiem pakalpojumiem un Covid-19 </w:t>
            </w:r>
            <w:r w:rsidR="00E05A7D" w:rsidRPr="009159DE">
              <w:rPr>
                <w:i/>
                <w:spacing w:val="-2"/>
              </w:rPr>
              <w:t>in vitro</w:t>
            </w:r>
            <w:r w:rsidR="00E05A7D" w:rsidRPr="009159DE">
              <w:rPr>
                <w:spacing w:val="-2"/>
              </w:rPr>
              <w:t xml:space="preserve"> diagnostikas medicīnisko ierīču piegādei un ar šādām ierīcēm cieši saistītiem pakalpojumiem, lai nodrošināt</w:t>
            </w:r>
            <w:r w:rsidR="00CC7612" w:rsidRPr="009159DE">
              <w:rPr>
                <w:spacing w:val="-2"/>
              </w:rPr>
              <w:t>u</w:t>
            </w:r>
            <w:r w:rsidR="00E05A7D" w:rsidRPr="009159DE">
              <w:rPr>
                <w:spacing w:val="-2"/>
              </w:rPr>
              <w:t xml:space="preserve"> piekļuvi Covid-19 vakcīnu un Covid-19 </w:t>
            </w:r>
            <w:r w:rsidR="00E05A7D" w:rsidRPr="009159DE">
              <w:rPr>
                <w:i/>
                <w:spacing w:val="-2"/>
              </w:rPr>
              <w:t>in vitro</w:t>
            </w:r>
            <w:r w:rsidR="00E05A7D" w:rsidRPr="009159DE">
              <w:rPr>
                <w:spacing w:val="-2"/>
              </w:rPr>
              <w:t xml:space="preserve"> diagnostikas medicīnisko ierīču piegādēm par samērīgākām izmaksām.</w:t>
            </w:r>
            <w:r w:rsidR="00371976" w:rsidRPr="009159DE">
              <w:rPr>
                <w:spacing w:val="-2"/>
              </w:rPr>
              <w:t xml:space="preserve"> </w:t>
            </w:r>
          </w:p>
          <w:p w14:paraId="0C63B110" w14:textId="2C7BF77E" w:rsidR="006F3845" w:rsidRPr="009159DE" w:rsidRDefault="006F3845" w:rsidP="007F2E15">
            <w:pPr>
              <w:autoSpaceDE w:val="0"/>
              <w:autoSpaceDN w:val="0"/>
              <w:adjustRightInd w:val="0"/>
              <w:ind w:left="58" w:right="132" w:firstLine="283"/>
              <w:jc w:val="both"/>
              <w:rPr>
                <w:spacing w:val="-2"/>
              </w:rPr>
            </w:pPr>
            <w:r w:rsidRPr="009159DE">
              <w:rPr>
                <w:spacing w:val="-2"/>
              </w:rPr>
              <w:t xml:space="preserve">Tāpat  veikts tehniska rakstura precizējums </w:t>
            </w:r>
            <w:r w:rsidR="00EF5015" w:rsidRPr="009159DE">
              <w:rPr>
                <w:spacing w:val="-2"/>
              </w:rPr>
              <w:t xml:space="preserve">PVN likuma </w:t>
            </w:r>
            <w:r w:rsidRPr="009159DE">
              <w:rPr>
                <w:spacing w:val="-2"/>
              </w:rPr>
              <w:t>41.panta pirmās daļas 3.punktā.</w:t>
            </w:r>
          </w:p>
          <w:p w14:paraId="67B0C993" w14:textId="1DBA3A85" w:rsidR="00DA158A" w:rsidRPr="009159DE" w:rsidRDefault="00371976" w:rsidP="007F2E15">
            <w:pPr>
              <w:autoSpaceDE w:val="0"/>
              <w:autoSpaceDN w:val="0"/>
              <w:adjustRightInd w:val="0"/>
              <w:ind w:left="58" w:right="132" w:firstLine="283"/>
              <w:jc w:val="both"/>
              <w:rPr>
                <w:spacing w:val="-2"/>
              </w:rPr>
            </w:pPr>
            <w:r w:rsidRPr="009159DE">
              <w:rPr>
                <w:spacing w:val="-2"/>
              </w:rPr>
              <w:t xml:space="preserve">Ar  Covid-19 vakcīnu un Covid-19 </w:t>
            </w:r>
            <w:r w:rsidRPr="009159DE">
              <w:rPr>
                <w:i/>
                <w:spacing w:val="-2"/>
              </w:rPr>
              <w:t>in vitro</w:t>
            </w:r>
            <w:r w:rsidRPr="009159DE">
              <w:rPr>
                <w:spacing w:val="-2"/>
              </w:rPr>
              <w:t xml:space="preserve"> diagnostikas medicīnisko ierīču cieši saistīti pakalpojumi varētu būt, piemēram, tādi pakalpojumi kā transportēšanas</w:t>
            </w:r>
            <w:r w:rsidR="00207444" w:rsidRPr="009159DE">
              <w:rPr>
                <w:spacing w:val="-2"/>
              </w:rPr>
              <w:t>,</w:t>
            </w:r>
            <w:r w:rsidRPr="009159DE">
              <w:rPr>
                <w:spacing w:val="-2"/>
              </w:rPr>
              <w:t xml:space="preserve"> uzglabāšanas pakalpojumi.</w:t>
            </w:r>
          </w:p>
          <w:p w14:paraId="77CBF69F" w14:textId="3FFCFCEC" w:rsidR="007F2E15" w:rsidRPr="009159DE" w:rsidRDefault="007F2E15" w:rsidP="007F2E15">
            <w:pPr>
              <w:autoSpaceDE w:val="0"/>
              <w:autoSpaceDN w:val="0"/>
              <w:adjustRightInd w:val="0"/>
              <w:ind w:left="58" w:right="132" w:firstLine="283"/>
              <w:jc w:val="both"/>
              <w:rPr>
                <w:spacing w:val="-2"/>
              </w:rPr>
            </w:pPr>
            <w:r w:rsidRPr="009159DE">
              <w:rPr>
                <w:spacing w:val="-2"/>
              </w:rPr>
              <w:t>Tiek paredzēts, ka regulējums stājas spēkā pēc iespējas ātrāk, proti, likums stājas spēkā</w:t>
            </w:r>
            <w:r w:rsidRPr="009159DE">
              <w:rPr>
                <w:spacing w:val="-2"/>
                <w:lang w:eastAsia="en-US"/>
              </w:rPr>
              <w:t xml:space="preserve"> nākamajā dienā pēc tā izsludināšanas.</w:t>
            </w:r>
          </w:p>
        </w:tc>
      </w:tr>
      <w:tr w:rsidR="000C4C70" w:rsidRPr="009159DE" w14:paraId="37154C7E" w14:textId="77777777" w:rsidTr="002E62DC">
        <w:trPr>
          <w:cantSplit/>
        </w:trPr>
        <w:tc>
          <w:tcPr>
            <w:tcW w:w="350" w:type="pct"/>
            <w:hideMark/>
          </w:tcPr>
          <w:p w14:paraId="1BEBCAF6" w14:textId="2513C068" w:rsidR="0016477B" w:rsidRPr="009159DE" w:rsidRDefault="0016477B" w:rsidP="0016477B">
            <w:pPr>
              <w:jc w:val="center"/>
              <w:rPr>
                <w:spacing w:val="-2"/>
              </w:rPr>
            </w:pPr>
            <w:r w:rsidRPr="009159DE">
              <w:rPr>
                <w:spacing w:val="-2"/>
              </w:rPr>
              <w:lastRenderedPageBreak/>
              <w:t>3.</w:t>
            </w:r>
          </w:p>
        </w:tc>
        <w:tc>
          <w:tcPr>
            <w:tcW w:w="999" w:type="pct"/>
            <w:hideMark/>
          </w:tcPr>
          <w:p w14:paraId="3FD5FFA8" w14:textId="77777777" w:rsidR="0016477B" w:rsidRPr="009159DE" w:rsidRDefault="0016477B" w:rsidP="0016477B">
            <w:pPr>
              <w:rPr>
                <w:spacing w:val="-2"/>
              </w:rPr>
            </w:pPr>
            <w:r w:rsidRPr="009159DE">
              <w:rPr>
                <w:spacing w:val="-2"/>
              </w:rPr>
              <w:t>Projekta izstrādē iesaistītās institūcijas un publiskas personas kapitālsabiedrības</w:t>
            </w:r>
          </w:p>
        </w:tc>
        <w:tc>
          <w:tcPr>
            <w:tcW w:w="3651" w:type="pct"/>
            <w:hideMark/>
          </w:tcPr>
          <w:p w14:paraId="0FBDA407" w14:textId="46F8825D" w:rsidR="0016477B" w:rsidRPr="009159DE" w:rsidRDefault="0016477B" w:rsidP="0016477B">
            <w:pPr>
              <w:rPr>
                <w:spacing w:val="-2"/>
              </w:rPr>
            </w:pPr>
            <w:r w:rsidRPr="009159DE">
              <w:rPr>
                <w:spacing w:val="-2"/>
              </w:rPr>
              <w:t xml:space="preserve">Projekta izstrādē ir iesaistīta Finanšu ministrija un </w:t>
            </w:r>
            <w:r w:rsidR="001048D8" w:rsidRPr="009159DE">
              <w:rPr>
                <w:spacing w:val="-2"/>
              </w:rPr>
              <w:t>Vesel</w:t>
            </w:r>
            <w:r w:rsidR="00616327" w:rsidRPr="009159DE">
              <w:rPr>
                <w:spacing w:val="-2"/>
              </w:rPr>
              <w:t xml:space="preserve">ības </w:t>
            </w:r>
            <w:r w:rsidR="001048D8" w:rsidRPr="009159DE">
              <w:rPr>
                <w:spacing w:val="-2"/>
              </w:rPr>
              <w:t>ministrija</w:t>
            </w:r>
            <w:r w:rsidRPr="009159DE">
              <w:rPr>
                <w:spacing w:val="-2"/>
              </w:rPr>
              <w:t>.</w:t>
            </w:r>
          </w:p>
          <w:p w14:paraId="794A6BC5" w14:textId="77777777" w:rsidR="0016477B" w:rsidRPr="009159DE" w:rsidRDefault="0016477B" w:rsidP="0016477B">
            <w:pPr>
              <w:rPr>
                <w:spacing w:val="-2"/>
              </w:rPr>
            </w:pPr>
          </w:p>
        </w:tc>
      </w:tr>
      <w:tr w:rsidR="000C4C70" w:rsidRPr="009159DE" w14:paraId="4732932E" w14:textId="77777777" w:rsidTr="002E62DC">
        <w:trPr>
          <w:cantSplit/>
        </w:trPr>
        <w:tc>
          <w:tcPr>
            <w:tcW w:w="350" w:type="pct"/>
            <w:hideMark/>
          </w:tcPr>
          <w:p w14:paraId="47245537" w14:textId="77777777" w:rsidR="0016477B" w:rsidRPr="009159DE" w:rsidRDefault="0016477B" w:rsidP="0016477B">
            <w:pPr>
              <w:jc w:val="center"/>
              <w:rPr>
                <w:spacing w:val="-2"/>
              </w:rPr>
            </w:pPr>
            <w:r w:rsidRPr="009159DE">
              <w:rPr>
                <w:spacing w:val="-2"/>
              </w:rPr>
              <w:lastRenderedPageBreak/>
              <w:t>4.</w:t>
            </w:r>
          </w:p>
        </w:tc>
        <w:tc>
          <w:tcPr>
            <w:tcW w:w="999" w:type="pct"/>
            <w:hideMark/>
          </w:tcPr>
          <w:p w14:paraId="57E5F7D8" w14:textId="77777777" w:rsidR="0016477B" w:rsidRPr="009159DE" w:rsidRDefault="0016477B" w:rsidP="0016477B">
            <w:pPr>
              <w:rPr>
                <w:spacing w:val="-2"/>
              </w:rPr>
            </w:pPr>
            <w:r w:rsidRPr="009159DE">
              <w:rPr>
                <w:spacing w:val="-2"/>
              </w:rPr>
              <w:t>Cita informācija</w:t>
            </w:r>
          </w:p>
        </w:tc>
        <w:tc>
          <w:tcPr>
            <w:tcW w:w="3651" w:type="pct"/>
            <w:hideMark/>
          </w:tcPr>
          <w:p w14:paraId="2C6203A5" w14:textId="37F0A149" w:rsidR="0016477B" w:rsidRPr="009159DE" w:rsidRDefault="00706415" w:rsidP="00706415">
            <w:pPr>
              <w:rPr>
                <w:spacing w:val="-2"/>
              </w:rPr>
            </w:pPr>
            <w:r w:rsidRPr="009159DE">
              <w:rPr>
                <w:spacing w:val="-2"/>
              </w:rPr>
              <w:t>Nav</w:t>
            </w:r>
          </w:p>
        </w:tc>
      </w:tr>
    </w:tbl>
    <w:p w14:paraId="2EA7828D" w14:textId="2F2B929C" w:rsidR="00706415" w:rsidRPr="009159DE" w:rsidRDefault="00706415" w:rsidP="00227499">
      <w:pPr>
        <w:rPr>
          <w:spacing w:val="-2"/>
        </w:rPr>
      </w:pPr>
    </w:p>
    <w:tbl>
      <w:tblPr>
        <w:tblpPr w:leftFromText="180" w:rightFromText="180" w:vertAnchor="text" w:horzAnchor="margin" w:tblpY="119"/>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1"/>
        <w:gridCol w:w="1706"/>
        <w:gridCol w:w="7085"/>
      </w:tblGrid>
      <w:tr w:rsidR="000C4C70" w:rsidRPr="009159DE" w14:paraId="7D67EFB9" w14:textId="77777777" w:rsidTr="002E62DC">
        <w:trPr>
          <w:cantSplit/>
        </w:trPr>
        <w:tc>
          <w:tcPr>
            <w:tcW w:w="5000" w:type="pct"/>
            <w:gridSpan w:val="3"/>
            <w:vAlign w:val="center"/>
            <w:hideMark/>
          </w:tcPr>
          <w:p w14:paraId="22284190" w14:textId="77777777" w:rsidR="00706415" w:rsidRPr="009159DE" w:rsidRDefault="00706415" w:rsidP="00AD20D8">
            <w:pPr>
              <w:jc w:val="center"/>
              <w:rPr>
                <w:b/>
                <w:bCs/>
                <w:spacing w:val="-2"/>
              </w:rPr>
            </w:pPr>
            <w:r w:rsidRPr="009159DE">
              <w:rPr>
                <w:b/>
                <w:bCs/>
                <w:spacing w:val="-2"/>
              </w:rPr>
              <w:t>II. Tiesību akta projekta ietekme uz sabiedrību, tautsaimniecības attīstību un administratīvo slogu</w:t>
            </w:r>
          </w:p>
        </w:tc>
      </w:tr>
      <w:tr w:rsidR="000C4C70" w:rsidRPr="009159DE" w14:paraId="4100E6C0" w14:textId="77777777" w:rsidTr="00AD20D8">
        <w:trPr>
          <w:cantSplit/>
        </w:trPr>
        <w:tc>
          <w:tcPr>
            <w:tcW w:w="300" w:type="pct"/>
            <w:hideMark/>
          </w:tcPr>
          <w:p w14:paraId="1764982D" w14:textId="77777777" w:rsidR="00706415" w:rsidRPr="009159DE" w:rsidRDefault="00706415" w:rsidP="00706415">
            <w:pPr>
              <w:jc w:val="center"/>
              <w:rPr>
                <w:spacing w:val="-2"/>
              </w:rPr>
            </w:pPr>
            <w:r w:rsidRPr="009159DE">
              <w:rPr>
                <w:spacing w:val="-2"/>
              </w:rPr>
              <w:t>1.</w:t>
            </w:r>
          </w:p>
        </w:tc>
        <w:tc>
          <w:tcPr>
            <w:tcW w:w="912" w:type="pct"/>
            <w:hideMark/>
          </w:tcPr>
          <w:p w14:paraId="092EB584" w14:textId="77777777" w:rsidR="00706415" w:rsidRPr="009159DE" w:rsidRDefault="00706415" w:rsidP="00706415">
            <w:pPr>
              <w:rPr>
                <w:spacing w:val="-2"/>
              </w:rPr>
            </w:pPr>
            <w:r w:rsidRPr="009159DE">
              <w:rPr>
                <w:spacing w:val="-2"/>
              </w:rPr>
              <w:t>Sabiedrības mērķgrupas, kuras tiesiskais regulējums ietekmē vai varētu ietekmēt</w:t>
            </w:r>
          </w:p>
        </w:tc>
        <w:tc>
          <w:tcPr>
            <w:tcW w:w="3788" w:type="pct"/>
            <w:hideMark/>
          </w:tcPr>
          <w:p w14:paraId="5FF64126" w14:textId="77777777" w:rsidR="00706415" w:rsidRPr="009159DE" w:rsidRDefault="00706415" w:rsidP="00706415">
            <w:pPr>
              <w:ind w:left="58"/>
              <w:jc w:val="both"/>
              <w:rPr>
                <w:spacing w:val="-2"/>
              </w:rPr>
            </w:pPr>
            <w:r w:rsidRPr="009159DE">
              <w:rPr>
                <w:spacing w:val="-2"/>
              </w:rPr>
              <w:t>Likumprojekta tiesiskais regulējums skar:</w:t>
            </w:r>
          </w:p>
          <w:p w14:paraId="4D23C781" w14:textId="44D2EAD1" w:rsidR="00D252D3" w:rsidRPr="009159DE" w:rsidRDefault="00B70747" w:rsidP="00F8722F">
            <w:pPr>
              <w:pStyle w:val="ListParagraph"/>
              <w:numPr>
                <w:ilvl w:val="0"/>
                <w:numId w:val="9"/>
              </w:numPr>
              <w:autoSpaceDE w:val="0"/>
              <w:autoSpaceDN w:val="0"/>
              <w:adjustRightInd w:val="0"/>
              <w:ind w:right="132"/>
              <w:jc w:val="both"/>
              <w:rPr>
                <w:spacing w:val="-2"/>
              </w:rPr>
            </w:pPr>
            <w:r w:rsidRPr="009159DE">
              <w:rPr>
                <w:spacing w:val="-2"/>
              </w:rPr>
              <w:t>reģistrētus PVN maksātājus</w:t>
            </w:r>
            <w:r w:rsidR="002461C4" w:rsidRPr="009159DE">
              <w:rPr>
                <w:spacing w:val="-2"/>
              </w:rPr>
              <w:t>, kuri</w:t>
            </w:r>
            <w:r w:rsidR="00D252D3" w:rsidRPr="009159DE">
              <w:rPr>
                <w:spacing w:val="-2"/>
              </w:rPr>
              <w:t xml:space="preserve"> iekšzemē veic </w:t>
            </w:r>
            <w:r w:rsidR="00F8722F" w:rsidRPr="009159DE">
              <w:rPr>
                <w:spacing w:val="-2"/>
              </w:rPr>
              <w:t>C</w:t>
            </w:r>
            <w:r w:rsidR="00996287" w:rsidRPr="009159DE">
              <w:rPr>
                <w:spacing w:val="-2"/>
              </w:rPr>
              <w:t>ovid-</w:t>
            </w:r>
            <w:r w:rsidR="00F8722F" w:rsidRPr="009159DE">
              <w:rPr>
                <w:spacing w:val="-2"/>
              </w:rPr>
              <w:t xml:space="preserve">19 vakcīnu un Covid-19 </w:t>
            </w:r>
            <w:r w:rsidR="00F8722F" w:rsidRPr="009159DE">
              <w:rPr>
                <w:i/>
                <w:spacing w:val="-2"/>
              </w:rPr>
              <w:t xml:space="preserve">in vitro </w:t>
            </w:r>
            <w:r w:rsidR="00F8722F" w:rsidRPr="009159DE">
              <w:rPr>
                <w:spacing w:val="-2"/>
              </w:rPr>
              <w:t>d</w:t>
            </w:r>
            <w:r w:rsidR="00232E05" w:rsidRPr="009159DE">
              <w:rPr>
                <w:spacing w:val="-2"/>
              </w:rPr>
              <w:t xml:space="preserve">iagnostikas medicīnisko ierīču </w:t>
            </w:r>
            <w:r w:rsidR="00F8722F" w:rsidRPr="009159DE">
              <w:rPr>
                <w:spacing w:val="-2"/>
              </w:rPr>
              <w:t>iegādi</w:t>
            </w:r>
            <w:r w:rsidR="0022693E" w:rsidRPr="009159DE">
              <w:rPr>
                <w:spacing w:val="-2"/>
              </w:rPr>
              <w:t xml:space="preserve"> un piegādi</w:t>
            </w:r>
            <w:r w:rsidR="00D252D3" w:rsidRPr="009159DE">
              <w:rPr>
                <w:spacing w:val="-2"/>
              </w:rPr>
              <w:t>;</w:t>
            </w:r>
          </w:p>
          <w:p w14:paraId="5BA41686" w14:textId="5B0DA908" w:rsidR="00706415" w:rsidRPr="009159DE" w:rsidRDefault="00D252D3" w:rsidP="00A562E1">
            <w:pPr>
              <w:pStyle w:val="ListParagraph"/>
              <w:numPr>
                <w:ilvl w:val="0"/>
                <w:numId w:val="9"/>
              </w:numPr>
              <w:autoSpaceDE w:val="0"/>
              <w:autoSpaceDN w:val="0"/>
              <w:adjustRightInd w:val="0"/>
              <w:ind w:right="132"/>
              <w:jc w:val="both"/>
              <w:rPr>
                <w:spacing w:val="-2"/>
              </w:rPr>
            </w:pPr>
            <w:r w:rsidRPr="009159DE">
              <w:rPr>
                <w:spacing w:val="-2"/>
              </w:rPr>
              <w:t xml:space="preserve">patērētājus, kuri </w:t>
            </w:r>
            <w:r w:rsidR="00131F3D" w:rsidRPr="009159DE">
              <w:rPr>
                <w:spacing w:val="-2"/>
              </w:rPr>
              <w:t>saņem</w:t>
            </w:r>
            <w:r w:rsidRPr="009159DE">
              <w:rPr>
                <w:spacing w:val="-2"/>
              </w:rPr>
              <w:t xml:space="preserve"> </w:t>
            </w:r>
            <w:r w:rsidR="00131F3D" w:rsidRPr="009159DE">
              <w:rPr>
                <w:spacing w:val="-2"/>
              </w:rPr>
              <w:t>C</w:t>
            </w:r>
            <w:r w:rsidR="00996287" w:rsidRPr="009159DE">
              <w:rPr>
                <w:spacing w:val="-2"/>
              </w:rPr>
              <w:t>ovid</w:t>
            </w:r>
            <w:r w:rsidR="00131F3D" w:rsidRPr="009159DE">
              <w:rPr>
                <w:spacing w:val="-2"/>
              </w:rPr>
              <w:t>-19 vakcīnu</w:t>
            </w:r>
            <w:r w:rsidR="0022693E" w:rsidRPr="009159DE">
              <w:rPr>
                <w:spacing w:val="-2"/>
              </w:rPr>
              <w:t xml:space="preserve"> un Covid-19 </w:t>
            </w:r>
            <w:r w:rsidR="0022693E" w:rsidRPr="009159DE">
              <w:rPr>
                <w:i/>
                <w:spacing w:val="-2"/>
              </w:rPr>
              <w:t xml:space="preserve">in vitro </w:t>
            </w:r>
            <w:r w:rsidR="0022693E" w:rsidRPr="009159DE">
              <w:rPr>
                <w:spacing w:val="-2"/>
              </w:rPr>
              <w:t>diagnostikas pakalpojumus</w:t>
            </w:r>
            <w:r w:rsidRPr="009159DE">
              <w:rPr>
                <w:spacing w:val="-2"/>
              </w:rPr>
              <w:t>.</w:t>
            </w:r>
          </w:p>
        </w:tc>
      </w:tr>
      <w:tr w:rsidR="000C4C70" w:rsidRPr="009159DE" w14:paraId="0B37CF3C" w14:textId="77777777" w:rsidTr="00AD20D8">
        <w:trPr>
          <w:cantSplit/>
        </w:trPr>
        <w:tc>
          <w:tcPr>
            <w:tcW w:w="300" w:type="pct"/>
            <w:hideMark/>
          </w:tcPr>
          <w:p w14:paraId="5AA125F2" w14:textId="77777777" w:rsidR="00706415" w:rsidRPr="009159DE" w:rsidRDefault="00706415" w:rsidP="00706415">
            <w:pPr>
              <w:jc w:val="center"/>
              <w:rPr>
                <w:spacing w:val="-2"/>
              </w:rPr>
            </w:pPr>
            <w:r w:rsidRPr="009159DE">
              <w:rPr>
                <w:spacing w:val="-2"/>
              </w:rPr>
              <w:t>2.</w:t>
            </w:r>
          </w:p>
        </w:tc>
        <w:tc>
          <w:tcPr>
            <w:tcW w:w="912" w:type="pct"/>
            <w:hideMark/>
          </w:tcPr>
          <w:p w14:paraId="733998B7" w14:textId="77777777" w:rsidR="00706415" w:rsidRPr="009159DE" w:rsidRDefault="00706415" w:rsidP="00706415">
            <w:pPr>
              <w:rPr>
                <w:spacing w:val="-2"/>
              </w:rPr>
            </w:pPr>
            <w:r w:rsidRPr="009159DE">
              <w:rPr>
                <w:spacing w:val="-2"/>
              </w:rPr>
              <w:t>Tiesiskā regulējuma ietekme uz tautsaimniecību un administratīvo slogu</w:t>
            </w:r>
          </w:p>
        </w:tc>
        <w:tc>
          <w:tcPr>
            <w:tcW w:w="3788" w:type="pct"/>
            <w:hideMark/>
          </w:tcPr>
          <w:p w14:paraId="42596DB4" w14:textId="3BD1556F" w:rsidR="009541A3" w:rsidRPr="009159DE" w:rsidRDefault="00996287" w:rsidP="00996287">
            <w:pPr>
              <w:ind w:left="58" w:right="115" w:firstLine="425"/>
              <w:jc w:val="both"/>
              <w:rPr>
                <w:spacing w:val="-2"/>
              </w:rPr>
            </w:pPr>
            <w:r w:rsidRPr="009159DE">
              <w:rPr>
                <w:spacing w:val="-2"/>
              </w:rPr>
              <w:t>Likumprojekta ieviešana pozitīvi ietekmēs tautsaimniecību. P</w:t>
            </w:r>
            <w:r w:rsidR="00E97629" w:rsidRPr="009159DE">
              <w:rPr>
                <w:spacing w:val="-2"/>
              </w:rPr>
              <w:t>ozitīvie efekti Covid</w:t>
            </w:r>
            <w:r w:rsidRPr="009159DE">
              <w:rPr>
                <w:spacing w:val="-2"/>
              </w:rPr>
              <w:t>-</w:t>
            </w:r>
            <w:r w:rsidR="00E97629" w:rsidRPr="009159DE">
              <w:rPr>
                <w:spacing w:val="-2"/>
              </w:rPr>
              <w:t xml:space="preserve">19 apkarošanas gadījumā būs vērojami vidējā un ilgtermiņā tautsaimniecības aktivitātē. </w:t>
            </w:r>
          </w:p>
          <w:p w14:paraId="798F5835" w14:textId="776E6A6A" w:rsidR="00C72726" w:rsidRPr="009159DE" w:rsidRDefault="00C72726" w:rsidP="00EA5AB9">
            <w:pPr>
              <w:ind w:left="58" w:right="109" w:firstLine="425"/>
              <w:jc w:val="both"/>
              <w:rPr>
                <w:spacing w:val="-2"/>
              </w:rPr>
            </w:pPr>
            <w:r w:rsidRPr="009159DE">
              <w:rPr>
                <w:spacing w:val="-2"/>
              </w:rPr>
              <w:t xml:space="preserve">Attiecībā uz </w:t>
            </w:r>
            <w:r w:rsidR="008E7E86" w:rsidRPr="009159DE">
              <w:rPr>
                <w:spacing w:val="-2"/>
              </w:rPr>
              <w:t>PVN</w:t>
            </w:r>
            <w:r w:rsidR="00A27538" w:rsidRPr="009159DE">
              <w:rPr>
                <w:spacing w:val="-2"/>
              </w:rPr>
              <w:t xml:space="preserve"> </w:t>
            </w:r>
            <w:r w:rsidR="00866FEF" w:rsidRPr="009159DE">
              <w:rPr>
                <w:spacing w:val="-2"/>
              </w:rPr>
              <w:t>0</w:t>
            </w:r>
            <w:r w:rsidR="008E7E86" w:rsidRPr="009159DE">
              <w:rPr>
                <w:spacing w:val="-2"/>
              </w:rPr>
              <w:t xml:space="preserve"> procentu likmes </w:t>
            </w:r>
            <w:r w:rsidR="00866FEF" w:rsidRPr="009159DE">
              <w:rPr>
                <w:spacing w:val="-2"/>
              </w:rPr>
              <w:t xml:space="preserve">piemērošanu </w:t>
            </w:r>
            <w:r w:rsidR="00A35DA7" w:rsidRPr="009159DE">
              <w:rPr>
                <w:spacing w:val="-2"/>
              </w:rPr>
              <w:t xml:space="preserve">Covid-19 vakcīnu </w:t>
            </w:r>
            <w:r w:rsidR="00FF560C" w:rsidRPr="009159DE">
              <w:rPr>
                <w:spacing w:val="-2"/>
              </w:rPr>
              <w:t xml:space="preserve">iegādei un </w:t>
            </w:r>
            <w:r w:rsidR="00A35DA7" w:rsidRPr="009159DE">
              <w:rPr>
                <w:spacing w:val="-2"/>
              </w:rPr>
              <w:t xml:space="preserve">piegādei un ar šādām vakcīnām cieši saistītiem pakalpojumiem un Covid-19 </w:t>
            </w:r>
            <w:r w:rsidR="00A35DA7" w:rsidRPr="009159DE">
              <w:rPr>
                <w:i/>
                <w:spacing w:val="-2"/>
              </w:rPr>
              <w:t>in vitro</w:t>
            </w:r>
            <w:r w:rsidR="00A35DA7" w:rsidRPr="009159DE">
              <w:rPr>
                <w:spacing w:val="-2"/>
              </w:rPr>
              <w:t xml:space="preserve"> diagnostikas medicīnisko ierīču </w:t>
            </w:r>
            <w:r w:rsidR="00FF560C" w:rsidRPr="009159DE">
              <w:rPr>
                <w:spacing w:val="-2"/>
              </w:rPr>
              <w:t xml:space="preserve">iegādei un </w:t>
            </w:r>
            <w:r w:rsidR="00A35DA7" w:rsidRPr="009159DE">
              <w:rPr>
                <w:spacing w:val="-2"/>
              </w:rPr>
              <w:t xml:space="preserve">piegādei un ar šādām ierīcēm cieši saistītiem pakalpojumiem </w:t>
            </w:r>
            <w:r w:rsidR="006347A8" w:rsidRPr="009159DE">
              <w:rPr>
                <w:spacing w:val="-2"/>
              </w:rPr>
              <w:t>administratīvais slogs paliks nemainīgs.</w:t>
            </w:r>
          </w:p>
        </w:tc>
      </w:tr>
      <w:tr w:rsidR="000C4C70" w:rsidRPr="009159DE" w14:paraId="1C6DD746" w14:textId="77777777" w:rsidTr="00AD20D8">
        <w:trPr>
          <w:cantSplit/>
        </w:trPr>
        <w:tc>
          <w:tcPr>
            <w:tcW w:w="300" w:type="pct"/>
            <w:hideMark/>
          </w:tcPr>
          <w:p w14:paraId="7715EC83" w14:textId="77777777" w:rsidR="00706415" w:rsidRPr="009159DE" w:rsidRDefault="00706415" w:rsidP="00706415">
            <w:pPr>
              <w:jc w:val="center"/>
              <w:rPr>
                <w:spacing w:val="-2"/>
              </w:rPr>
            </w:pPr>
            <w:r w:rsidRPr="009159DE">
              <w:rPr>
                <w:spacing w:val="-2"/>
              </w:rPr>
              <w:t>3.</w:t>
            </w:r>
          </w:p>
        </w:tc>
        <w:tc>
          <w:tcPr>
            <w:tcW w:w="912" w:type="pct"/>
            <w:hideMark/>
          </w:tcPr>
          <w:p w14:paraId="1F1F54E1" w14:textId="77777777" w:rsidR="00706415" w:rsidRPr="009159DE" w:rsidRDefault="00706415" w:rsidP="00706415">
            <w:pPr>
              <w:rPr>
                <w:spacing w:val="-2"/>
              </w:rPr>
            </w:pPr>
            <w:r w:rsidRPr="009159DE">
              <w:rPr>
                <w:spacing w:val="-2"/>
              </w:rPr>
              <w:t>Administratīvo izmaksu monetārs novērtējums</w:t>
            </w:r>
          </w:p>
        </w:tc>
        <w:tc>
          <w:tcPr>
            <w:tcW w:w="3788" w:type="pct"/>
            <w:hideMark/>
          </w:tcPr>
          <w:p w14:paraId="39D1262B" w14:textId="7AF66A71" w:rsidR="000613B5" w:rsidRPr="009159DE" w:rsidRDefault="00706415" w:rsidP="000613B5">
            <w:pPr>
              <w:ind w:left="58" w:right="109" w:firstLine="283"/>
              <w:jc w:val="both"/>
              <w:rPr>
                <w:spacing w:val="-2"/>
              </w:rPr>
            </w:pPr>
            <w:r w:rsidRPr="009159DE">
              <w:rPr>
                <w:spacing w:val="-2"/>
              </w:rPr>
              <w:t xml:space="preserve">Likumprojekta administratīvo izmaksu monetāru aprēķinu nav iespējams veikt. </w:t>
            </w:r>
          </w:p>
          <w:p w14:paraId="1007F5D0" w14:textId="46179265" w:rsidR="00AA2B68" w:rsidRPr="009159DE" w:rsidRDefault="00AA2B68" w:rsidP="006347A8">
            <w:pPr>
              <w:ind w:left="58" w:right="109" w:firstLine="283"/>
              <w:jc w:val="both"/>
              <w:rPr>
                <w:spacing w:val="-2"/>
              </w:rPr>
            </w:pPr>
          </w:p>
        </w:tc>
      </w:tr>
      <w:tr w:rsidR="000C4C70" w:rsidRPr="009159DE" w14:paraId="79E9CEB0" w14:textId="77777777" w:rsidTr="00AD20D8">
        <w:trPr>
          <w:cantSplit/>
        </w:trPr>
        <w:tc>
          <w:tcPr>
            <w:tcW w:w="300" w:type="pct"/>
            <w:hideMark/>
          </w:tcPr>
          <w:p w14:paraId="3CE86070" w14:textId="77777777" w:rsidR="00706415" w:rsidRPr="009159DE" w:rsidRDefault="00706415" w:rsidP="00706415">
            <w:pPr>
              <w:jc w:val="center"/>
              <w:rPr>
                <w:spacing w:val="-2"/>
              </w:rPr>
            </w:pPr>
            <w:r w:rsidRPr="009159DE">
              <w:rPr>
                <w:spacing w:val="-2"/>
              </w:rPr>
              <w:t>4.</w:t>
            </w:r>
          </w:p>
        </w:tc>
        <w:tc>
          <w:tcPr>
            <w:tcW w:w="912" w:type="pct"/>
            <w:hideMark/>
          </w:tcPr>
          <w:p w14:paraId="39C87185" w14:textId="77777777" w:rsidR="00706415" w:rsidRPr="009159DE" w:rsidRDefault="00706415" w:rsidP="00706415">
            <w:pPr>
              <w:rPr>
                <w:spacing w:val="-2"/>
              </w:rPr>
            </w:pPr>
            <w:r w:rsidRPr="009159DE">
              <w:rPr>
                <w:spacing w:val="-2"/>
              </w:rPr>
              <w:t>Atbilstības izmaksu monetārs novērtējums</w:t>
            </w:r>
          </w:p>
        </w:tc>
        <w:tc>
          <w:tcPr>
            <w:tcW w:w="3788" w:type="pct"/>
            <w:hideMark/>
          </w:tcPr>
          <w:p w14:paraId="59B7C412" w14:textId="7D8E0FCB" w:rsidR="00706415" w:rsidRPr="009159DE" w:rsidRDefault="00DD2EC2" w:rsidP="00761108">
            <w:pPr>
              <w:ind w:left="117"/>
              <w:rPr>
                <w:spacing w:val="-2"/>
              </w:rPr>
            </w:pPr>
            <w:r w:rsidRPr="009159DE">
              <w:rPr>
                <w:spacing w:val="-2"/>
              </w:rPr>
              <w:t>Likumprojekta atbilstības izmaksu monetāru aprēķinu nav iespējams veikt.</w:t>
            </w:r>
          </w:p>
        </w:tc>
      </w:tr>
      <w:tr w:rsidR="000C4C70" w:rsidRPr="009159DE" w14:paraId="69787E41" w14:textId="77777777" w:rsidTr="00AD20D8">
        <w:trPr>
          <w:cantSplit/>
        </w:trPr>
        <w:tc>
          <w:tcPr>
            <w:tcW w:w="300" w:type="pct"/>
            <w:hideMark/>
          </w:tcPr>
          <w:p w14:paraId="19AB2236" w14:textId="77777777" w:rsidR="00706415" w:rsidRPr="009159DE" w:rsidRDefault="00706415" w:rsidP="00706415">
            <w:pPr>
              <w:jc w:val="center"/>
              <w:rPr>
                <w:spacing w:val="-2"/>
              </w:rPr>
            </w:pPr>
            <w:r w:rsidRPr="009159DE">
              <w:rPr>
                <w:spacing w:val="-2"/>
              </w:rPr>
              <w:t>5.</w:t>
            </w:r>
          </w:p>
        </w:tc>
        <w:tc>
          <w:tcPr>
            <w:tcW w:w="912" w:type="pct"/>
            <w:hideMark/>
          </w:tcPr>
          <w:p w14:paraId="554C3739" w14:textId="77777777" w:rsidR="00706415" w:rsidRPr="009159DE" w:rsidRDefault="00706415" w:rsidP="00706415">
            <w:pPr>
              <w:rPr>
                <w:spacing w:val="-2"/>
              </w:rPr>
            </w:pPr>
            <w:r w:rsidRPr="009159DE">
              <w:rPr>
                <w:spacing w:val="-2"/>
              </w:rPr>
              <w:t>Cita informācija</w:t>
            </w:r>
          </w:p>
        </w:tc>
        <w:tc>
          <w:tcPr>
            <w:tcW w:w="3788" w:type="pct"/>
            <w:hideMark/>
          </w:tcPr>
          <w:p w14:paraId="67EF7C17" w14:textId="77777777" w:rsidR="00706415" w:rsidRPr="009159DE" w:rsidRDefault="00706415" w:rsidP="00761108">
            <w:pPr>
              <w:ind w:left="117"/>
              <w:rPr>
                <w:spacing w:val="-2"/>
              </w:rPr>
            </w:pPr>
            <w:r w:rsidRPr="009159DE">
              <w:rPr>
                <w:spacing w:val="-2"/>
              </w:rPr>
              <w:t>Nav</w:t>
            </w:r>
          </w:p>
        </w:tc>
      </w:tr>
    </w:tbl>
    <w:p w14:paraId="5DCD40CA" w14:textId="0BA79E6F" w:rsidR="00726538" w:rsidRPr="009159DE" w:rsidRDefault="00726538" w:rsidP="00DE2739">
      <w:pPr>
        <w:jc w:val="both"/>
        <w:rPr>
          <w:spacing w:val="-2"/>
        </w:rPr>
        <w:sectPr w:rsidR="00726538" w:rsidRPr="009159DE" w:rsidSect="00FC4D53">
          <w:type w:val="continuous"/>
          <w:pgSz w:w="11906" w:h="16838"/>
          <w:pgMar w:top="1077" w:right="849" w:bottom="567" w:left="1797" w:header="709" w:footer="454" w:gutter="0"/>
          <w:cols w:space="708"/>
          <w:titlePg/>
          <w:docGrid w:linePitch="360"/>
        </w:sectPr>
      </w:pPr>
    </w:p>
    <w:tbl>
      <w:tblPr>
        <w:tblW w:w="56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7"/>
        <w:gridCol w:w="993"/>
        <w:gridCol w:w="849"/>
        <w:gridCol w:w="1274"/>
        <w:gridCol w:w="1278"/>
        <w:gridCol w:w="19"/>
        <w:gridCol w:w="1016"/>
        <w:gridCol w:w="1377"/>
        <w:gridCol w:w="17"/>
        <w:gridCol w:w="973"/>
      </w:tblGrid>
      <w:tr w:rsidR="004F211D" w:rsidRPr="009159DE" w14:paraId="12618FBD" w14:textId="77777777" w:rsidTr="00B6493E">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12EED8" w14:textId="77777777" w:rsidR="004F211D" w:rsidRPr="009159DE" w:rsidRDefault="004F211D" w:rsidP="00C025C1">
            <w:pPr>
              <w:jc w:val="center"/>
              <w:rPr>
                <w:b/>
                <w:bCs/>
                <w:spacing w:val="-2"/>
                <w:lang w:eastAsia="en-US"/>
              </w:rPr>
            </w:pPr>
            <w:r w:rsidRPr="009159DE">
              <w:rPr>
                <w:b/>
                <w:bCs/>
                <w:spacing w:val="-2"/>
                <w:lang w:eastAsia="en-US"/>
              </w:rPr>
              <w:t>III. Tiesību akta projekta ietekme uz valsts budžetu un pašvaldību budžetiem</w:t>
            </w:r>
          </w:p>
        </w:tc>
      </w:tr>
      <w:tr w:rsidR="004F211D" w:rsidRPr="009159DE" w14:paraId="383E27A5" w14:textId="77777777" w:rsidTr="00B6493E">
        <w:trPr>
          <w:cantSplit/>
        </w:trPr>
        <w:tc>
          <w:tcPr>
            <w:tcW w:w="833" w:type="pct"/>
            <w:vMerge w:val="restart"/>
            <w:shd w:val="clear" w:color="auto" w:fill="FFFFFF"/>
            <w:vAlign w:val="center"/>
          </w:tcPr>
          <w:p w14:paraId="43D41323" w14:textId="77777777" w:rsidR="004F211D" w:rsidRPr="009159DE" w:rsidRDefault="004F211D" w:rsidP="00C025C1">
            <w:pPr>
              <w:jc w:val="center"/>
              <w:rPr>
                <w:bCs/>
                <w:spacing w:val="-2"/>
                <w:lang w:eastAsia="en-US"/>
              </w:rPr>
            </w:pPr>
            <w:r w:rsidRPr="009159DE">
              <w:rPr>
                <w:bCs/>
                <w:spacing w:val="-2"/>
                <w:lang w:eastAsia="en-US"/>
              </w:rPr>
              <w:t>Rādītāji</w:t>
            </w:r>
          </w:p>
        </w:tc>
        <w:tc>
          <w:tcPr>
            <w:tcW w:w="985" w:type="pct"/>
            <w:gridSpan w:val="2"/>
            <w:vMerge w:val="restart"/>
            <w:shd w:val="clear" w:color="auto" w:fill="FFFFFF"/>
            <w:vAlign w:val="center"/>
            <w:hideMark/>
          </w:tcPr>
          <w:p w14:paraId="39EEF883" w14:textId="77777777" w:rsidR="004F211D" w:rsidRPr="009159DE" w:rsidRDefault="004F211D" w:rsidP="00C025C1">
            <w:pPr>
              <w:jc w:val="center"/>
              <w:rPr>
                <w:bCs/>
                <w:spacing w:val="-2"/>
                <w:lang w:eastAsia="en-US"/>
              </w:rPr>
            </w:pPr>
            <w:r w:rsidRPr="009159DE">
              <w:rPr>
                <w:bCs/>
                <w:spacing w:val="-2"/>
                <w:lang w:eastAsia="en-US"/>
              </w:rPr>
              <w:t>2020</w:t>
            </w:r>
          </w:p>
        </w:tc>
        <w:tc>
          <w:tcPr>
            <w:tcW w:w="3182" w:type="pct"/>
            <w:gridSpan w:val="7"/>
            <w:shd w:val="clear" w:color="auto" w:fill="FFFFFF"/>
            <w:vAlign w:val="center"/>
            <w:hideMark/>
          </w:tcPr>
          <w:p w14:paraId="1FC0886B" w14:textId="77777777" w:rsidR="004F211D" w:rsidRPr="009159DE" w:rsidRDefault="004F211D" w:rsidP="00C025C1">
            <w:pPr>
              <w:jc w:val="center"/>
              <w:rPr>
                <w:spacing w:val="-2"/>
                <w:lang w:eastAsia="en-US"/>
              </w:rPr>
            </w:pPr>
            <w:r w:rsidRPr="009159DE">
              <w:rPr>
                <w:spacing w:val="-2"/>
                <w:lang w:eastAsia="en-US"/>
              </w:rPr>
              <w:t>Turpmākie trīs gadi (</w:t>
            </w:r>
            <w:r w:rsidRPr="009159DE">
              <w:rPr>
                <w:i/>
                <w:iCs/>
                <w:spacing w:val="-2"/>
                <w:lang w:eastAsia="en-US"/>
              </w:rPr>
              <w:t>euro</w:t>
            </w:r>
            <w:r w:rsidRPr="009159DE">
              <w:rPr>
                <w:spacing w:val="-2"/>
                <w:lang w:eastAsia="en-US"/>
              </w:rPr>
              <w:t>)</w:t>
            </w:r>
          </w:p>
        </w:tc>
      </w:tr>
      <w:tr w:rsidR="004F211D" w:rsidRPr="009159DE" w14:paraId="1D3AEBBC" w14:textId="77777777" w:rsidTr="00B6493E">
        <w:trPr>
          <w:cantSplit/>
        </w:trPr>
        <w:tc>
          <w:tcPr>
            <w:tcW w:w="833" w:type="pct"/>
            <w:vMerge/>
            <w:shd w:val="clear" w:color="auto" w:fill="auto"/>
            <w:vAlign w:val="center"/>
            <w:hideMark/>
          </w:tcPr>
          <w:p w14:paraId="4383B650" w14:textId="77777777" w:rsidR="004F211D" w:rsidRPr="009159DE" w:rsidRDefault="004F211D" w:rsidP="00C025C1">
            <w:pPr>
              <w:jc w:val="center"/>
              <w:rPr>
                <w:bCs/>
                <w:spacing w:val="-2"/>
                <w:lang w:eastAsia="en-US"/>
              </w:rPr>
            </w:pPr>
          </w:p>
        </w:tc>
        <w:tc>
          <w:tcPr>
            <w:tcW w:w="985" w:type="pct"/>
            <w:gridSpan w:val="2"/>
            <w:vMerge/>
            <w:shd w:val="clear" w:color="auto" w:fill="auto"/>
            <w:vAlign w:val="center"/>
            <w:hideMark/>
          </w:tcPr>
          <w:p w14:paraId="2EF5FEF1" w14:textId="77777777" w:rsidR="004F211D" w:rsidRPr="009159DE" w:rsidRDefault="004F211D" w:rsidP="00C025C1">
            <w:pPr>
              <w:jc w:val="center"/>
              <w:rPr>
                <w:bCs/>
                <w:spacing w:val="-2"/>
                <w:lang w:eastAsia="en-US"/>
              </w:rPr>
            </w:pPr>
          </w:p>
        </w:tc>
        <w:tc>
          <w:tcPr>
            <w:tcW w:w="1374" w:type="pct"/>
            <w:gridSpan w:val="3"/>
            <w:shd w:val="clear" w:color="auto" w:fill="FFFFFF"/>
            <w:vAlign w:val="center"/>
            <w:hideMark/>
          </w:tcPr>
          <w:p w14:paraId="2E424243" w14:textId="77777777" w:rsidR="004F211D" w:rsidRPr="009159DE" w:rsidRDefault="004F211D" w:rsidP="00C025C1">
            <w:pPr>
              <w:jc w:val="center"/>
              <w:rPr>
                <w:bCs/>
                <w:spacing w:val="-2"/>
                <w:lang w:eastAsia="en-US"/>
              </w:rPr>
            </w:pPr>
            <w:r w:rsidRPr="009159DE">
              <w:rPr>
                <w:bCs/>
                <w:spacing w:val="-2"/>
                <w:lang w:eastAsia="en-US"/>
              </w:rPr>
              <w:t>2021</w:t>
            </w:r>
          </w:p>
        </w:tc>
        <w:tc>
          <w:tcPr>
            <w:tcW w:w="1288" w:type="pct"/>
            <w:gridSpan w:val="3"/>
            <w:shd w:val="clear" w:color="auto" w:fill="FFFFFF"/>
            <w:vAlign w:val="center"/>
            <w:hideMark/>
          </w:tcPr>
          <w:p w14:paraId="3EF4CE98" w14:textId="77777777" w:rsidR="004F211D" w:rsidRPr="009159DE" w:rsidRDefault="004F211D" w:rsidP="00C025C1">
            <w:pPr>
              <w:jc w:val="center"/>
              <w:rPr>
                <w:bCs/>
                <w:spacing w:val="-2"/>
                <w:lang w:eastAsia="en-US"/>
              </w:rPr>
            </w:pPr>
            <w:r w:rsidRPr="009159DE">
              <w:rPr>
                <w:bCs/>
                <w:spacing w:val="-2"/>
                <w:lang w:eastAsia="en-US"/>
              </w:rPr>
              <w:t>2022</w:t>
            </w:r>
          </w:p>
        </w:tc>
        <w:tc>
          <w:tcPr>
            <w:tcW w:w="519" w:type="pct"/>
            <w:shd w:val="clear" w:color="auto" w:fill="FFFFFF"/>
            <w:vAlign w:val="center"/>
            <w:hideMark/>
          </w:tcPr>
          <w:p w14:paraId="50A67748" w14:textId="77777777" w:rsidR="004F211D" w:rsidRPr="009159DE" w:rsidRDefault="004F211D" w:rsidP="00C025C1">
            <w:pPr>
              <w:jc w:val="center"/>
              <w:rPr>
                <w:bCs/>
                <w:spacing w:val="-2"/>
                <w:lang w:eastAsia="en-US"/>
              </w:rPr>
            </w:pPr>
            <w:r w:rsidRPr="009159DE">
              <w:rPr>
                <w:bCs/>
                <w:spacing w:val="-2"/>
                <w:lang w:eastAsia="en-US"/>
              </w:rPr>
              <w:t>2023</w:t>
            </w:r>
          </w:p>
        </w:tc>
      </w:tr>
      <w:tr w:rsidR="00241785" w:rsidRPr="009159DE" w14:paraId="4E842829" w14:textId="77777777" w:rsidTr="00B6493E">
        <w:trPr>
          <w:cantSplit/>
        </w:trPr>
        <w:tc>
          <w:tcPr>
            <w:tcW w:w="833" w:type="pct"/>
            <w:vMerge/>
            <w:shd w:val="clear" w:color="auto" w:fill="auto"/>
            <w:vAlign w:val="center"/>
            <w:hideMark/>
          </w:tcPr>
          <w:p w14:paraId="78725852" w14:textId="77777777" w:rsidR="004F211D" w:rsidRPr="009159DE" w:rsidRDefault="004F211D" w:rsidP="00C025C1">
            <w:pPr>
              <w:jc w:val="center"/>
              <w:rPr>
                <w:b/>
                <w:bCs/>
                <w:spacing w:val="-2"/>
                <w:lang w:eastAsia="en-US"/>
              </w:rPr>
            </w:pPr>
          </w:p>
        </w:tc>
        <w:tc>
          <w:tcPr>
            <w:tcW w:w="531" w:type="pct"/>
            <w:shd w:val="clear" w:color="auto" w:fill="FFFFFF"/>
            <w:vAlign w:val="center"/>
            <w:hideMark/>
          </w:tcPr>
          <w:p w14:paraId="55B33780" w14:textId="77777777" w:rsidR="004F211D" w:rsidRPr="009159DE" w:rsidRDefault="004F211D" w:rsidP="00C025C1">
            <w:pPr>
              <w:jc w:val="center"/>
              <w:rPr>
                <w:spacing w:val="-2"/>
                <w:lang w:eastAsia="en-US"/>
              </w:rPr>
            </w:pPr>
            <w:r w:rsidRPr="009159DE">
              <w:rPr>
                <w:spacing w:val="-2"/>
                <w:lang w:eastAsia="en-US"/>
              </w:rPr>
              <w:t>saskaņā ar valsts budžetu kārtējam gadam</w:t>
            </w:r>
          </w:p>
        </w:tc>
        <w:tc>
          <w:tcPr>
            <w:tcW w:w="454" w:type="pct"/>
            <w:shd w:val="clear" w:color="auto" w:fill="FFFFFF"/>
            <w:vAlign w:val="center"/>
            <w:hideMark/>
          </w:tcPr>
          <w:p w14:paraId="57651120" w14:textId="77777777" w:rsidR="004F211D" w:rsidRPr="009159DE" w:rsidRDefault="004F211D" w:rsidP="00C025C1">
            <w:pPr>
              <w:jc w:val="center"/>
              <w:rPr>
                <w:spacing w:val="-2"/>
                <w:lang w:eastAsia="en-US"/>
              </w:rPr>
            </w:pPr>
            <w:r w:rsidRPr="009159DE">
              <w:rPr>
                <w:spacing w:val="-2"/>
                <w:lang w:eastAsia="en-US"/>
              </w:rPr>
              <w:t>izmaiņas kārtējā gadā, salīdzinot ar valsts budžetu kārtējam gadam</w:t>
            </w:r>
          </w:p>
        </w:tc>
        <w:tc>
          <w:tcPr>
            <w:tcW w:w="681" w:type="pct"/>
            <w:shd w:val="clear" w:color="auto" w:fill="FFFFFF"/>
            <w:vAlign w:val="center"/>
            <w:hideMark/>
          </w:tcPr>
          <w:p w14:paraId="5B4EDA7B" w14:textId="77777777" w:rsidR="004F211D" w:rsidRPr="009159DE" w:rsidRDefault="004F211D" w:rsidP="00C025C1">
            <w:pPr>
              <w:jc w:val="center"/>
              <w:rPr>
                <w:spacing w:val="-2"/>
                <w:lang w:eastAsia="en-US"/>
              </w:rPr>
            </w:pPr>
            <w:r w:rsidRPr="009159DE">
              <w:rPr>
                <w:spacing w:val="-2"/>
                <w:lang w:eastAsia="en-US"/>
              </w:rPr>
              <w:t>saskaņā ar vidēja termiņa budžeta ietvaru</w:t>
            </w:r>
          </w:p>
        </w:tc>
        <w:tc>
          <w:tcPr>
            <w:tcW w:w="683" w:type="pct"/>
            <w:shd w:val="clear" w:color="auto" w:fill="FFFFFF"/>
            <w:vAlign w:val="center"/>
            <w:hideMark/>
          </w:tcPr>
          <w:p w14:paraId="7B208310" w14:textId="63374A6B" w:rsidR="004F211D" w:rsidRPr="009159DE" w:rsidRDefault="004F211D" w:rsidP="00C025C1">
            <w:pPr>
              <w:jc w:val="center"/>
              <w:rPr>
                <w:spacing w:val="-2"/>
                <w:lang w:eastAsia="en-US"/>
              </w:rPr>
            </w:pPr>
            <w:r w:rsidRPr="009159DE">
              <w:rPr>
                <w:spacing w:val="-2"/>
                <w:lang w:eastAsia="en-US"/>
              </w:rPr>
              <w:t>izmaiņas, salīdzinot ar vidēja termiņa budžeta ietvaru 202</w:t>
            </w:r>
            <w:r w:rsidR="0040624C" w:rsidRPr="009159DE">
              <w:rPr>
                <w:spacing w:val="-2"/>
                <w:lang w:eastAsia="en-US"/>
              </w:rPr>
              <w:t>1</w:t>
            </w:r>
            <w:r w:rsidRPr="009159DE">
              <w:rPr>
                <w:spacing w:val="-2"/>
                <w:lang w:eastAsia="en-US"/>
              </w:rPr>
              <w:t>. gadam</w:t>
            </w:r>
          </w:p>
        </w:tc>
        <w:tc>
          <w:tcPr>
            <w:tcW w:w="553" w:type="pct"/>
            <w:gridSpan w:val="2"/>
            <w:shd w:val="clear" w:color="auto" w:fill="FFFFFF"/>
            <w:vAlign w:val="center"/>
            <w:hideMark/>
          </w:tcPr>
          <w:p w14:paraId="2950E99C" w14:textId="77777777" w:rsidR="004F211D" w:rsidRPr="009159DE" w:rsidRDefault="004F211D" w:rsidP="00C025C1">
            <w:pPr>
              <w:jc w:val="center"/>
              <w:rPr>
                <w:spacing w:val="-2"/>
                <w:lang w:eastAsia="en-US"/>
              </w:rPr>
            </w:pPr>
            <w:r w:rsidRPr="009159DE">
              <w:rPr>
                <w:spacing w:val="-2"/>
                <w:lang w:eastAsia="en-US"/>
              </w:rPr>
              <w:t>saskaņā ar vidēja termiņa budžeta ietvaru</w:t>
            </w:r>
          </w:p>
        </w:tc>
        <w:tc>
          <w:tcPr>
            <w:tcW w:w="736" w:type="pct"/>
            <w:shd w:val="clear" w:color="auto" w:fill="FFFFFF"/>
            <w:vAlign w:val="center"/>
            <w:hideMark/>
          </w:tcPr>
          <w:p w14:paraId="201ED59F" w14:textId="5B2EE66B" w:rsidR="004F211D" w:rsidRPr="009159DE" w:rsidRDefault="004F211D" w:rsidP="00241785">
            <w:pPr>
              <w:ind w:left="-67" w:hanging="67"/>
              <w:jc w:val="center"/>
              <w:rPr>
                <w:spacing w:val="-2"/>
                <w:lang w:eastAsia="en-US"/>
              </w:rPr>
            </w:pPr>
            <w:r w:rsidRPr="009159DE">
              <w:rPr>
                <w:spacing w:val="-2"/>
                <w:lang w:eastAsia="en-US"/>
              </w:rPr>
              <w:t>izmaiņas, salīdzinot ar vidēja termiņa budžeta ietvaru 202</w:t>
            </w:r>
            <w:r w:rsidR="0040624C" w:rsidRPr="009159DE">
              <w:rPr>
                <w:spacing w:val="-2"/>
                <w:lang w:eastAsia="en-US"/>
              </w:rPr>
              <w:t>2</w:t>
            </w:r>
            <w:r w:rsidRPr="009159DE">
              <w:rPr>
                <w:spacing w:val="-2"/>
                <w:lang w:eastAsia="en-US"/>
              </w:rPr>
              <w:t>. gadam</w:t>
            </w:r>
          </w:p>
        </w:tc>
        <w:tc>
          <w:tcPr>
            <w:tcW w:w="530" w:type="pct"/>
            <w:gridSpan w:val="2"/>
            <w:shd w:val="clear" w:color="auto" w:fill="FFFFFF"/>
            <w:vAlign w:val="center"/>
            <w:hideMark/>
          </w:tcPr>
          <w:p w14:paraId="59F60755" w14:textId="0950C56A" w:rsidR="004F211D" w:rsidRPr="009159DE" w:rsidRDefault="004F211D" w:rsidP="00C025C1">
            <w:pPr>
              <w:jc w:val="center"/>
              <w:rPr>
                <w:spacing w:val="-2"/>
                <w:lang w:eastAsia="en-US"/>
              </w:rPr>
            </w:pPr>
            <w:r w:rsidRPr="009159DE">
              <w:rPr>
                <w:spacing w:val="-2"/>
                <w:lang w:eastAsia="en-US"/>
              </w:rPr>
              <w:t xml:space="preserve">izmaiņas, salīdzinot ar vidēja termiņa budžeta ietvaru </w:t>
            </w:r>
            <w:r w:rsidRPr="009159DE">
              <w:rPr>
                <w:spacing w:val="-2"/>
                <w:lang w:eastAsia="en-US"/>
              </w:rPr>
              <w:br/>
              <w:t>202</w:t>
            </w:r>
            <w:r w:rsidR="00456E70" w:rsidRPr="009159DE">
              <w:rPr>
                <w:spacing w:val="-2"/>
                <w:lang w:eastAsia="en-US"/>
              </w:rPr>
              <w:t>2</w:t>
            </w:r>
            <w:r w:rsidRPr="009159DE">
              <w:rPr>
                <w:spacing w:val="-2"/>
                <w:lang w:eastAsia="en-US"/>
              </w:rPr>
              <w:t>. gadam</w:t>
            </w:r>
          </w:p>
        </w:tc>
      </w:tr>
      <w:tr w:rsidR="00542464" w:rsidRPr="009159DE" w14:paraId="3966BC68" w14:textId="77777777" w:rsidTr="00B6493E">
        <w:trPr>
          <w:cantSplit/>
        </w:trPr>
        <w:tc>
          <w:tcPr>
            <w:tcW w:w="833" w:type="pct"/>
            <w:shd w:val="clear" w:color="auto" w:fill="FFFFFF"/>
            <w:vAlign w:val="center"/>
            <w:hideMark/>
          </w:tcPr>
          <w:p w14:paraId="3F059665" w14:textId="77777777" w:rsidR="004F211D" w:rsidRPr="009159DE" w:rsidRDefault="004F211D" w:rsidP="00C025C1">
            <w:pPr>
              <w:jc w:val="center"/>
              <w:rPr>
                <w:spacing w:val="-2"/>
                <w:lang w:eastAsia="en-US"/>
              </w:rPr>
            </w:pPr>
            <w:r w:rsidRPr="009159DE">
              <w:rPr>
                <w:spacing w:val="-2"/>
                <w:lang w:eastAsia="en-US"/>
              </w:rPr>
              <w:t>1</w:t>
            </w:r>
          </w:p>
        </w:tc>
        <w:tc>
          <w:tcPr>
            <w:tcW w:w="531" w:type="pct"/>
            <w:shd w:val="clear" w:color="auto" w:fill="FFFFFF"/>
            <w:vAlign w:val="center"/>
            <w:hideMark/>
          </w:tcPr>
          <w:p w14:paraId="546770F0" w14:textId="77777777" w:rsidR="004F211D" w:rsidRPr="009159DE" w:rsidRDefault="004F211D" w:rsidP="00C025C1">
            <w:pPr>
              <w:jc w:val="center"/>
              <w:rPr>
                <w:spacing w:val="-2"/>
                <w:lang w:eastAsia="en-US"/>
              </w:rPr>
            </w:pPr>
            <w:r w:rsidRPr="009159DE">
              <w:rPr>
                <w:spacing w:val="-2"/>
                <w:lang w:eastAsia="en-US"/>
              </w:rPr>
              <w:t>2</w:t>
            </w:r>
          </w:p>
        </w:tc>
        <w:tc>
          <w:tcPr>
            <w:tcW w:w="454" w:type="pct"/>
            <w:shd w:val="clear" w:color="auto" w:fill="FFFFFF"/>
            <w:vAlign w:val="center"/>
            <w:hideMark/>
          </w:tcPr>
          <w:p w14:paraId="1F6495A2" w14:textId="77777777" w:rsidR="004F211D" w:rsidRPr="009159DE" w:rsidRDefault="004F211D" w:rsidP="00C025C1">
            <w:pPr>
              <w:jc w:val="center"/>
              <w:rPr>
                <w:spacing w:val="-2"/>
                <w:lang w:eastAsia="en-US"/>
              </w:rPr>
            </w:pPr>
            <w:r w:rsidRPr="009159DE">
              <w:rPr>
                <w:spacing w:val="-2"/>
                <w:lang w:eastAsia="en-US"/>
              </w:rPr>
              <w:t>3</w:t>
            </w:r>
          </w:p>
        </w:tc>
        <w:tc>
          <w:tcPr>
            <w:tcW w:w="681" w:type="pct"/>
            <w:shd w:val="clear" w:color="auto" w:fill="FFFFFF"/>
            <w:vAlign w:val="center"/>
            <w:hideMark/>
          </w:tcPr>
          <w:p w14:paraId="70CD37A6" w14:textId="77777777" w:rsidR="004F211D" w:rsidRPr="009159DE" w:rsidRDefault="004F211D" w:rsidP="00C025C1">
            <w:pPr>
              <w:jc w:val="center"/>
              <w:rPr>
                <w:spacing w:val="-2"/>
                <w:lang w:eastAsia="en-US"/>
              </w:rPr>
            </w:pPr>
            <w:r w:rsidRPr="009159DE">
              <w:rPr>
                <w:spacing w:val="-2"/>
                <w:lang w:eastAsia="en-US"/>
              </w:rPr>
              <w:t>4</w:t>
            </w:r>
          </w:p>
        </w:tc>
        <w:tc>
          <w:tcPr>
            <w:tcW w:w="683" w:type="pct"/>
            <w:shd w:val="clear" w:color="auto" w:fill="FFFFFF"/>
            <w:vAlign w:val="center"/>
            <w:hideMark/>
          </w:tcPr>
          <w:p w14:paraId="0BDCC64E" w14:textId="77777777" w:rsidR="004F211D" w:rsidRPr="009159DE" w:rsidRDefault="004F211D" w:rsidP="00C025C1">
            <w:pPr>
              <w:jc w:val="center"/>
              <w:rPr>
                <w:spacing w:val="-2"/>
                <w:lang w:eastAsia="en-US"/>
              </w:rPr>
            </w:pPr>
            <w:r w:rsidRPr="009159DE">
              <w:rPr>
                <w:spacing w:val="-2"/>
                <w:lang w:eastAsia="en-US"/>
              </w:rPr>
              <w:t>5</w:t>
            </w:r>
          </w:p>
        </w:tc>
        <w:tc>
          <w:tcPr>
            <w:tcW w:w="553" w:type="pct"/>
            <w:gridSpan w:val="2"/>
            <w:shd w:val="clear" w:color="auto" w:fill="FFFFFF"/>
            <w:vAlign w:val="center"/>
            <w:hideMark/>
          </w:tcPr>
          <w:p w14:paraId="2FB06080" w14:textId="77777777" w:rsidR="004F211D" w:rsidRPr="009159DE" w:rsidRDefault="004F211D" w:rsidP="00C025C1">
            <w:pPr>
              <w:jc w:val="center"/>
              <w:rPr>
                <w:spacing w:val="-2"/>
                <w:lang w:eastAsia="en-US"/>
              </w:rPr>
            </w:pPr>
            <w:r w:rsidRPr="009159DE">
              <w:rPr>
                <w:spacing w:val="-2"/>
                <w:lang w:eastAsia="en-US"/>
              </w:rPr>
              <w:t>6</w:t>
            </w:r>
          </w:p>
        </w:tc>
        <w:tc>
          <w:tcPr>
            <w:tcW w:w="736" w:type="pct"/>
            <w:shd w:val="clear" w:color="auto" w:fill="FFFFFF"/>
            <w:vAlign w:val="center"/>
            <w:hideMark/>
          </w:tcPr>
          <w:p w14:paraId="1C72D0E4" w14:textId="77777777" w:rsidR="004F211D" w:rsidRPr="009159DE" w:rsidRDefault="004F211D" w:rsidP="00C025C1">
            <w:pPr>
              <w:jc w:val="center"/>
              <w:rPr>
                <w:spacing w:val="-2"/>
                <w:lang w:eastAsia="en-US"/>
              </w:rPr>
            </w:pPr>
            <w:r w:rsidRPr="009159DE">
              <w:rPr>
                <w:spacing w:val="-2"/>
                <w:lang w:eastAsia="en-US"/>
              </w:rPr>
              <w:t>7</w:t>
            </w:r>
          </w:p>
        </w:tc>
        <w:tc>
          <w:tcPr>
            <w:tcW w:w="530" w:type="pct"/>
            <w:gridSpan w:val="2"/>
            <w:shd w:val="clear" w:color="auto" w:fill="FFFFFF"/>
            <w:vAlign w:val="center"/>
            <w:hideMark/>
          </w:tcPr>
          <w:p w14:paraId="7BC46BC1" w14:textId="77777777" w:rsidR="004F211D" w:rsidRPr="009159DE" w:rsidRDefault="004F211D" w:rsidP="00C025C1">
            <w:pPr>
              <w:jc w:val="center"/>
              <w:rPr>
                <w:spacing w:val="-2"/>
                <w:lang w:eastAsia="en-US"/>
              </w:rPr>
            </w:pPr>
            <w:r w:rsidRPr="009159DE">
              <w:rPr>
                <w:spacing w:val="-2"/>
                <w:lang w:eastAsia="en-US"/>
              </w:rPr>
              <w:t>8</w:t>
            </w:r>
          </w:p>
        </w:tc>
      </w:tr>
      <w:tr w:rsidR="00542464" w:rsidRPr="009159DE" w14:paraId="7CF39466" w14:textId="77777777" w:rsidTr="00B6493E">
        <w:trPr>
          <w:cantSplit/>
        </w:trPr>
        <w:tc>
          <w:tcPr>
            <w:tcW w:w="833" w:type="pct"/>
            <w:shd w:val="clear" w:color="auto" w:fill="FFFFFF"/>
            <w:hideMark/>
          </w:tcPr>
          <w:p w14:paraId="3556ADD6" w14:textId="77777777" w:rsidR="00A03FD1" w:rsidRPr="009159DE" w:rsidRDefault="00A03FD1" w:rsidP="00A03FD1">
            <w:pPr>
              <w:rPr>
                <w:spacing w:val="-2"/>
                <w:lang w:eastAsia="en-US"/>
              </w:rPr>
            </w:pPr>
            <w:r w:rsidRPr="009159DE">
              <w:rPr>
                <w:spacing w:val="-2"/>
                <w:lang w:eastAsia="en-US"/>
              </w:rPr>
              <w:t>1. Budžeta ieņēmumi</w:t>
            </w:r>
          </w:p>
        </w:tc>
        <w:tc>
          <w:tcPr>
            <w:tcW w:w="531" w:type="pct"/>
            <w:shd w:val="clear" w:color="auto" w:fill="FFFFFF"/>
            <w:vAlign w:val="center"/>
          </w:tcPr>
          <w:p w14:paraId="5957AC3A" w14:textId="3A1D490C" w:rsidR="00A03FD1" w:rsidRPr="009159DE" w:rsidRDefault="00E244DE" w:rsidP="00A03FD1">
            <w:pPr>
              <w:jc w:val="center"/>
              <w:rPr>
                <w:spacing w:val="-2"/>
                <w:lang w:eastAsia="en-US"/>
              </w:rPr>
            </w:pPr>
            <w:r w:rsidRPr="009159DE">
              <w:rPr>
                <w:spacing w:val="-2"/>
                <w:lang w:eastAsia="en-US"/>
              </w:rPr>
              <w:t>2 884 931 000</w:t>
            </w:r>
          </w:p>
        </w:tc>
        <w:tc>
          <w:tcPr>
            <w:tcW w:w="454" w:type="pct"/>
            <w:shd w:val="clear" w:color="auto" w:fill="FFFFFF"/>
            <w:vAlign w:val="center"/>
          </w:tcPr>
          <w:p w14:paraId="137723D6" w14:textId="32D12357" w:rsidR="00A03FD1" w:rsidRPr="009159DE" w:rsidRDefault="001F3416" w:rsidP="00A03FD1">
            <w:pPr>
              <w:jc w:val="center"/>
              <w:rPr>
                <w:spacing w:val="-2"/>
                <w:lang w:eastAsia="en-US"/>
              </w:rPr>
            </w:pPr>
            <w:r w:rsidRPr="009159DE">
              <w:rPr>
                <w:spacing w:val="-2"/>
                <w:lang w:eastAsia="en-US"/>
              </w:rPr>
              <w:t>0</w:t>
            </w:r>
          </w:p>
        </w:tc>
        <w:tc>
          <w:tcPr>
            <w:tcW w:w="681" w:type="pct"/>
            <w:shd w:val="clear" w:color="auto" w:fill="FFFFFF"/>
            <w:vAlign w:val="center"/>
          </w:tcPr>
          <w:p w14:paraId="5CA67865" w14:textId="5906761C" w:rsidR="00A03FD1" w:rsidRPr="009159DE" w:rsidRDefault="00060B9A" w:rsidP="00A03FD1">
            <w:pPr>
              <w:jc w:val="center"/>
              <w:rPr>
                <w:spacing w:val="-2"/>
                <w:lang w:eastAsia="en-US"/>
              </w:rPr>
            </w:pPr>
            <w:r w:rsidRPr="009159DE">
              <w:rPr>
                <w:spacing w:val="-2"/>
                <w:lang w:eastAsia="en-US"/>
              </w:rPr>
              <w:t>2 735 617 430</w:t>
            </w:r>
          </w:p>
        </w:tc>
        <w:tc>
          <w:tcPr>
            <w:tcW w:w="683" w:type="pct"/>
            <w:shd w:val="clear" w:color="auto" w:fill="FFFFFF"/>
            <w:vAlign w:val="center"/>
          </w:tcPr>
          <w:p w14:paraId="3381C07A" w14:textId="77777777" w:rsidR="001F3416" w:rsidRPr="009159DE" w:rsidRDefault="001F3416" w:rsidP="00A03FD1">
            <w:pPr>
              <w:ind w:right="-30"/>
              <w:rPr>
                <w:spacing w:val="-2"/>
                <w:lang w:eastAsia="en-US"/>
              </w:rPr>
            </w:pPr>
            <w:r w:rsidRPr="009159DE">
              <w:rPr>
                <w:spacing w:val="-2"/>
                <w:lang w:eastAsia="en-US"/>
              </w:rPr>
              <w:t xml:space="preserve">-800 000 –  </w:t>
            </w:r>
          </w:p>
          <w:p w14:paraId="7965A89C" w14:textId="1AD33415" w:rsidR="00A03FD1" w:rsidRPr="009159DE" w:rsidRDefault="001F3416" w:rsidP="00A03FD1">
            <w:pPr>
              <w:ind w:right="-30"/>
              <w:rPr>
                <w:spacing w:val="-2"/>
                <w:lang w:eastAsia="en-US"/>
              </w:rPr>
            </w:pPr>
            <w:r w:rsidRPr="009159DE">
              <w:rPr>
                <w:spacing w:val="-2"/>
                <w:lang w:eastAsia="en-US"/>
              </w:rPr>
              <w:t>-1 900 000</w:t>
            </w:r>
          </w:p>
        </w:tc>
        <w:tc>
          <w:tcPr>
            <w:tcW w:w="553" w:type="pct"/>
            <w:gridSpan w:val="2"/>
            <w:shd w:val="clear" w:color="auto" w:fill="FFFFFF"/>
            <w:vAlign w:val="center"/>
          </w:tcPr>
          <w:p w14:paraId="4C02546B" w14:textId="74D063BF" w:rsidR="00A03FD1" w:rsidRPr="009159DE" w:rsidRDefault="00060B9A" w:rsidP="00A03FD1">
            <w:pPr>
              <w:ind w:right="-30"/>
              <w:jc w:val="center"/>
              <w:rPr>
                <w:spacing w:val="-2"/>
                <w:lang w:eastAsia="en-US"/>
              </w:rPr>
            </w:pPr>
            <w:r w:rsidRPr="009159DE">
              <w:rPr>
                <w:spacing w:val="-2"/>
                <w:lang w:eastAsia="en-US"/>
              </w:rPr>
              <w:t>2 926 378 862</w:t>
            </w:r>
          </w:p>
        </w:tc>
        <w:tc>
          <w:tcPr>
            <w:tcW w:w="736" w:type="pct"/>
            <w:shd w:val="clear" w:color="auto" w:fill="FFFFFF"/>
            <w:vAlign w:val="center"/>
          </w:tcPr>
          <w:p w14:paraId="0F761E70" w14:textId="4AB80350" w:rsidR="00241785" w:rsidRPr="009159DE" w:rsidRDefault="001F3416" w:rsidP="00241785">
            <w:pPr>
              <w:ind w:right="-30"/>
              <w:jc w:val="center"/>
              <w:rPr>
                <w:spacing w:val="-2"/>
                <w:lang w:eastAsia="en-US"/>
              </w:rPr>
            </w:pPr>
            <w:r w:rsidRPr="009159DE">
              <w:rPr>
                <w:spacing w:val="-2"/>
                <w:lang w:eastAsia="en-US"/>
              </w:rPr>
              <w:noBreakHyphen/>
              <w:t>2 100</w:t>
            </w:r>
            <w:r w:rsidR="00241785" w:rsidRPr="009159DE">
              <w:rPr>
                <w:spacing w:val="-2"/>
                <w:lang w:eastAsia="en-US"/>
              </w:rPr>
              <w:t> </w:t>
            </w:r>
            <w:r w:rsidRPr="009159DE">
              <w:rPr>
                <w:spacing w:val="-2"/>
                <w:lang w:eastAsia="en-US"/>
              </w:rPr>
              <w:t>000</w:t>
            </w:r>
            <w:r w:rsidR="00241785" w:rsidRPr="009159DE">
              <w:rPr>
                <w:spacing w:val="-2"/>
                <w:lang w:eastAsia="en-US"/>
              </w:rPr>
              <w:t xml:space="preserve"> –</w:t>
            </w:r>
          </w:p>
          <w:p w14:paraId="106D6E82" w14:textId="5BE8DD14" w:rsidR="00A03FD1" w:rsidRPr="009159DE" w:rsidRDefault="00241785" w:rsidP="00241785">
            <w:pPr>
              <w:ind w:right="-30"/>
              <w:rPr>
                <w:spacing w:val="-2"/>
                <w:lang w:eastAsia="en-US"/>
              </w:rPr>
            </w:pPr>
            <w:r w:rsidRPr="009159DE">
              <w:rPr>
                <w:spacing w:val="-2"/>
                <w:lang w:eastAsia="en-US"/>
              </w:rPr>
              <w:t xml:space="preserve"> -</w:t>
            </w:r>
            <w:r w:rsidR="001F3416" w:rsidRPr="009159DE">
              <w:rPr>
                <w:spacing w:val="-2"/>
                <w:lang w:eastAsia="en-US"/>
              </w:rPr>
              <w:t>3 400 000</w:t>
            </w:r>
          </w:p>
        </w:tc>
        <w:tc>
          <w:tcPr>
            <w:tcW w:w="530" w:type="pct"/>
            <w:gridSpan w:val="2"/>
            <w:shd w:val="clear" w:color="auto" w:fill="FFFFFF"/>
            <w:vAlign w:val="center"/>
          </w:tcPr>
          <w:p w14:paraId="51351857" w14:textId="322DFA80" w:rsidR="00A03FD1" w:rsidRPr="009159DE" w:rsidRDefault="00396F4A" w:rsidP="00A03FD1">
            <w:pPr>
              <w:ind w:right="-30"/>
              <w:jc w:val="center"/>
              <w:rPr>
                <w:spacing w:val="-2"/>
                <w:lang w:eastAsia="en-US"/>
              </w:rPr>
            </w:pPr>
            <w:r w:rsidRPr="009159DE">
              <w:rPr>
                <w:spacing w:val="-2"/>
                <w:lang w:eastAsia="en-US"/>
              </w:rPr>
              <w:t>0</w:t>
            </w:r>
          </w:p>
        </w:tc>
      </w:tr>
      <w:tr w:rsidR="00A03FD1" w:rsidRPr="009159DE" w14:paraId="462E8E1C" w14:textId="77777777" w:rsidTr="00B6493E">
        <w:trPr>
          <w:cantSplit/>
        </w:trPr>
        <w:tc>
          <w:tcPr>
            <w:tcW w:w="833" w:type="pct"/>
            <w:shd w:val="clear" w:color="auto" w:fill="auto"/>
            <w:hideMark/>
          </w:tcPr>
          <w:p w14:paraId="2791023F" w14:textId="77777777" w:rsidR="00A03FD1" w:rsidRPr="009159DE" w:rsidRDefault="00A03FD1" w:rsidP="00A03FD1">
            <w:pPr>
              <w:rPr>
                <w:spacing w:val="-2"/>
                <w:lang w:eastAsia="en-US"/>
              </w:rPr>
            </w:pPr>
            <w:r w:rsidRPr="009159DE">
              <w:rPr>
                <w:spacing w:val="-2"/>
                <w:lang w:eastAsia="en-US"/>
              </w:rPr>
              <w:lastRenderedPageBreak/>
              <w:t>1.1. valsts pamatbudžets, tai skaitā ieņēmumi no maksas pakalpojumiem un citi pašu ieņēmumi</w:t>
            </w:r>
          </w:p>
        </w:tc>
        <w:tc>
          <w:tcPr>
            <w:tcW w:w="531" w:type="pct"/>
            <w:shd w:val="clear" w:color="auto" w:fill="auto"/>
            <w:vAlign w:val="center"/>
          </w:tcPr>
          <w:p w14:paraId="010FE1AA" w14:textId="4526DCE8" w:rsidR="00A03FD1" w:rsidRPr="009159DE" w:rsidRDefault="00060B9A" w:rsidP="00A03FD1">
            <w:pPr>
              <w:jc w:val="center"/>
              <w:rPr>
                <w:spacing w:val="-2"/>
                <w:lang w:eastAsia="en-US"/>
              </w:rPr>
            </w:pPr>
            <w:r w:rsidRPr="009159DE">
              <w:rPr>
                <w:spacing w:val="-2"/>
                <w:lang w:eastAsia="en-US"/>
              </w:rPr>
              <w:t>2 884 931 000</w:t>
            </w:r>
          </w:p>
        </w:tc>
        <w:tc>
          <w:tcPr>
            <w:tcW w:w="454" w:type="pct"/>
            <w:shd w:val="clear" w:color="auto" w:fill="auto"/>
            <w:vAlign w:val="center"/>
          </w:tcPr>
          <w:p w14:paraId="5950E1C4" w14:textId="5BC78517" w:rsidR="00A03FD1" w:rsidRPr="009159DE" w:rsidRDefault="00396F4A" w:rsidP="00A03FD1">
            <w:pPr>
              <w:jc w:val="center"/>
              <w:rPr>
                <w:spacing w:val="-2"/>
                <w:lang w:eastAsia="en-US"/>
              </w:rPr>
            </w:pPr>
            <w:r w:rsidRPr="009159DE">
              <w:rPr>
                <w:spacing w:val="-2"/>
                <w:lang w:eastAsia="en-US"/>
              </w:rPr>
              <w:t>0</w:t>
            </w:r>
          </w:p>
        </w:tc>
        <w:tc>
          <w:tcPr>
            <w:tcW w:w="681" w:type="pct"/>
            <w:shd w:val="clear" w:color="auto" w:fill="auto"/>
            <w:vAlign w:val="center"/>
          </w:tcPr>
          <w:p w14:paraId="0EF20016" w14:textId="1AEF13EF" w:rsidR="00A03FD1" w:rsidRPr="009159DE" w:rsidRDefault="00060B9A" w:rsidP="00A03FD1">
            <w:pPr>
              <w:jc w:val="center"/>
              <w:rPr>
                <w:spacing w:val="-2"/>
                <w:lang w:eastAsia="en-US"/>
              </w:rPr>
            </w:pPr>
            <w:r w:rsidRPr="009159DE">
              <w:rPr>
                <w:spacing w:val="-2"/>
                <w:lang w:eastAsia="en-US"/>
              </w:rPr>
              <w:t>2 735 617 430</w:t>
            </w:r>
          </w:p>
        </w:tc>
        <w:tc>
          <w:tcPr>
            <w:tcW w:w="683" w:type="pct"/>
            <w:shd w:val="clear" w:color="auto" w:fill="auto"/>
            <w:vAlign w:val="center"/>
          </w:tcPr>
          <w:p w14:paraId="098A6E4C" w14:textId="77777777" w:rsidR="00EC6CF8" w:rsidRPr="009159DE" w:rsidRDefault="00EC6CF8" w:rsidP="00EC6CF8">
            <w:pPr>
              <w:ind w:right="-30"/>
              <w:rPr>
                <w:spacing w:val="-2"/>
                <w:lang w:eastAsia="en-US"/>
              </w:rPr>
            </w:pPr>
            <w:r w:rsidRPr="009159DE">
              <w:rPr>
                <w:spacing w:val="-2"/>
                <w:lang w:eastAsia="en-US"/>
              </w:rPr>
              <w:t xml:space="preserve">-800 000 –  </w:t>
            </w:r>
          </w:p>
          <w:p w14:paraId="74FA0FCD" w14:textId="1EB60D9D" w:rsidR="00A03FD1" w:rsidRPr="009159DE" w:rsidRDefault="00EC6CF8" w:rsidP="00EC6CF8">
            <w:pPr>
              <w:rPr>
                <w:spacing w:val="-2"/>
                <w:lang w:eastAsia="en-US"/>
              </w:rPr>
            </w:pPr>
            <w:r w:rsidRPr="009159DE">
              <w:rPr>
                <w:spacing w:val="-2"/>
                <w:lang w:eastAsia="en-US"/>
              </w:rPr>
              <w:t>-1 900 000</w:t>
            </w:r>
          </w:p>
        </w:tc>
        <w:tc>
          <w:tcPr>
            <w:tcW w:w="553" w:type="pct"/>
            <w:gridSpan w:val="2"/>
            <w:shd w:val="clear" w:color="auto" w:fill="auto"/>
            <w:vAlign w:val="center"/>
          </w:tcPr>
          <w:p w14:paraId="383D1413" w14:textId="4F864C75" w:rsidR="00A03FD1" w:rsidRPr="009159DE" w:rsidRDefault="00060B9A" w:rsidP="00A03FD1">
            <w:pPr>
              <w:jc w:val="center"/>
              <w:rPr>
                <w:spacing w:val="-2"/>
                <w:lang w:eastAsia="en-US"/>
              </w:rPr>
            </w:pPr>
            <w:r w:rsidRPr="009159DE">
              <w:rPr>
                <w:spacing w:val="-2"/>
                <w:lang w:eastAsia="en-US"/>
              </w:rPr>
              <w:t>2 926 378 862</w:t>
            </w:r>
          </w:p>
        </w:tc>
        <w:tc>
          <w:tcPr>
            <w:tcW w:w="736" w:type="pct"/>
            <w:shd w:val="clear" w:color="auto" w:fill="auto"/>
            <w:vAlign w:val="center"/>
          </w:tcPr>
          <w:p w14:paraId="51E267C9" w14:textId="2E411C3A" w:rsidR="00C6419A" w:rsidRPr="009159DE" w:rsidRDefault="00EC6CF8" w:rsidP="00C6419A">
            <w:pPr>
              <w:ind w:right="-6"/>
              <w:jc w:val="center"/>
              <w:rPr>
                <w:spacing w:val="-2"/>
                <w:lang w:eastAsia="en-US"/>
              </w:rPr>
            </w:pPr>
            <w:r w:rsidRPr="009159DE">
              <w:rPr>
                <w:spacing w:val="-2"/>
                <w:lang w:eastAsia="en-US"/>
              </w:rPr>
              <w:noBreakHyphen/>
              <w:t>2 100</w:t>
            </w:r>
            <w:r w:rsidR="00C6419A" w:rsidRPr="009159DE">
              <w:rPr>
                <w:spacing w:val="-2"/>
                <w:lang w:eastAsia="en-US"/>
              </w:rPr>
              <w:t> </w:t>
            </w:r>
            <w:r w:rsidRPr="009159DE">
              <w:rPr>
                <w:spacing w:val="-2"/>
                <w:lang w:eastAsia="en-US"/>
              </w:rPr>
              <w:t xml:space="preserve">000 </w:t>
            </w:r>
            <w:r w:rsidR="00C6419A" w:rsidRPr="009159DE">
              <w:rPr>
                <w:spacing w:val="-2"/>
                <w:lang w:eastAsia="en-US"/>
              </w:rPr>
              <w:t xml:space="preserve">– </w:t>
            </w:r>
          </w:p>
          <w:p w14:paraId="1A37E643" w14:textId="03C1B487" w:rsidR="00A03FD1" w:rsidRPr="009159DE" w:rsidRDefault="00C6419A" w:rsidP="00C6419A">
            <w:pPr>
              <w:ind w:right="-6"/>
              <w:rPr>
                <w:spacing w:val="-2"/>
                <w:lang w:eastAsia="en-US"/>
              </w:rPr>
            </w:pPr>
            <w:r w:rsidRPr="009159DE">
              <w:rPr>
                <w:spacing w:val="-2"/>
                <w:lang w:eastAsia="en-US"/>
              </w:rPr>
              <w:t xml:space="preserve"> -</w:t>
            </w:r>
            <w:r w:rsidR="00EC6CF8" w:rsidRPr="009159DE">
              <w:rPr>
                <w:spacing w:val="-2"/>
                <w:lang w:eastAsia="en-US"/>
              </w:rPr>
              <w:t>3 400 000</w:t>
            </w:r>
          </w:p>
        </w:tc>
        <w:tc>
          <w:tcPr>
            <w:tcW w:w="530" w:type="pct"/>
            <w:gridSpan w:val="2"/>
            <w:shd w:val="clear" w:color="auto" w:fill="auto"/>
            <w:vAlign w:val="center"/>
          </w:tcPr>
          <w:p w14:paraId="6D894525" w14:textId="7BCD59EA" w:rsidR="00396F4A" w:rsidRPr="009159DE" w:rsidRDefault="00396F4A" w:rsidP="00396F4A">
            <w:pPr>
              <w:jc w:val="center"/>
              <w:rPr>
                <w:spacing w:val="-2"/>
                <w:lang w:eastAsia="en-US"/>
              </w:rPr>
            </w:pPr>
            <w:r w:rsidRPr="009159DE">
              <w:rPr>
                <w:spacing w:val="-2"/>
                <w:lang w:eastAsia="en-US"/>
              </w:rPr>
              <w:t>0</w:t>
            </w:r>
          </w:p>
        </w:tc>
      </w:tr>
      <w:tr w:rsidR="004F211D" w:rsidRPr="009159DE" w14:paraId="5227F716" w14:textId="77777777" w:rsidTr="00B6493E">
        <w:trPr>
          <w:cantSplit/>
        </w:trPr>
        <w:tc>
          <w:tcPr>
            <w:tcW w:w="833" w:type="pct"/>
            <w:shd w:val="clear" w:color="auto" w:fill="auto"/>
            <w:hideMark/>
          </w:tcPr>
          <w:p w14:paraId="030E90C8" w14:textId="77777777" w:rsidR="004F211D" w:rsidRPr="009159DE" w:rsidRDefault="004F211D" w:rsidP="00C025C1">
            <w:pPr>
              <w:rPr>
                <w:spacing w:val="-2"/>
                <w:lang w:eastAsia="en-US"/>
              </w:rPr>
            </w:pPr>
            <w:r w:rsidRPr="009159DE">
              <w:rPr>
                <w:spacing w:val="-2"/>
                <w:lang w:eastAsia="en-US"/>
              </w:rPr>
              <w:t>1.2. valsts speciālais budžets</w:t>
            </w:r>
          </w:p>
        </w:tc>
        <w:tc>
          <w:tcPr>
            <w:tcW w:w="531" w:type="pct"/>
            <w:shd w:val="clear" w:color="auto" w:fill="auto"/>
            <w:vAlign w:val="center"/>
            <w:hideMark/>
          </w:tcPr>
          <w:p w14:paraId="60D4FC81" w14:textId="77777777" w:rsidR="004F211D" w:rsidRPr="009159DE" w:rsidRDefault="004F211D" w:rsidP="00C025C1">
            <w:pPr>
              <w:jc w:val="center"/>
              <w:rPr>
                <w:spacing w:val="-2"/>
                <w:lang w:eastAsia="en-US"/>
              </w:rPr>
            </w:pPr>
            <w:r w:rsidRPr="009159DE">
              <w:rPr>
                <w:spacing w:val="-2"/>
                <w:lang w:eastAsia="en-US"/>
              </w:rPr>
              <w:t>0</w:t>
            </w:r>
          </w:p>
        </w:tc>
        <w:tc>
          <w:tcPr>
            <w:tcW w:w="454" w:type="pct"/>
            <w:shd w:val="clear" w:color="auto" w:fill="auto"/>
            <w:vAlign w:val="center"/>
            <w:hideMark/>
          </w:tcPr>
          <w:p w14:paraId="65E7D561" w14:textId="77777777" w:rsidR="004F211D" w:rsidRPr="009159DE" w:rsidRDefault="004F211D" w:rsidP="00C025C1">
            <w:pPr>
              <w:jc w:val="center"/>
              <w:rPr>
                <w:spacing w:val="-2"/>
                <w:lang w:eastAsia="en-US"/>
              </w:rPr>
            </w:pPr>
            <w:r w:rsidRPr="009159DE">
              <w:rPr>
                <w:spacing w:val="-2"/>
                <w:lang w:eastAsia="en-US"/>
              </w:rPr>
              <w:t>0</w:t>
            </w:r>
          </w:p>
        </w:tc>
        <w:tc>
          <w:tcPr>
            <w:tcW w:w="681" w:type="pct"/>
            <w:shd w:val="clear" w:color="auto" w:fill="auto"/>
            <w:vAlign w:val="center"/>
            <w:hideMark/>
          </w:tcPr>
          <w:p w14:paraId="09F1C607" w14:textId="77777777" w:rsidR="004F211D" w:rsidRPr="009159DE" w:rsidRDefault="004F211D" w:rsidP="00C025C1">
            <w:pPr>
              <w:jc w:val="center"/>
              <w:rPr>
                <w:spacing w:val="-2"/>
                <w:lang w:eastAsia="en-US"/>
              </w:rPr>
            </w:pPr>
            <w:r w:rsidRPr="009159DE">
              <w:rPr>
                <w:spacing w:val="-2"/>
                <w:lang w:eastAsia="en-US"/>
              </w:rPr>
              <w:t>0</w:t>
            </w:r>
          </w:p>
        </w:tc>
        <w:tc>
          <w:tcPr>
            <w:tcW w:w="683" w:type="pct"/>
            <w:shd w:val="clear" w:color="auto" w:fill="auto"/>
            <w:vAlign w:val="center"/>
            <w:hideMark/>
          </w:tcPr>
          <w:p w14:paraId="1B46C194" w14:textId="77777777" w:rsidR="004F211D" w:rsidRPr="009159DE" w:rsidRDefault="004F211D" w:rsidP="00C025C1">
            <w:pPr>
              <w:ind w:left="-24"/>
              <w:jc w:val="center"/>
              <w:rPr>
                <w:spacing w:val="-2"/>
                <w:lang w:eastAsia="en-US"/>
              </w:rPr>
            </w:pPr>
            <w:r w:rsidRPr="009159DE">
              <w:rPr>
                <w:spacing w:val="-2"/>
                <w:lang w:eastAsia="en-US"/>
              </w:rPr>
              <w:t>0</w:t>
            </w:r>
          </w:p>
        </w:tc>
        <w:tc>
          <w:tcPr>
            <w:tcW w:w="553" w:type="pct"/>
            <w:gridSpan w:val="2"/>
            <w:shd w:val="clear" w:color="auto" w:fill="auto"/>
            <w:vAlign w:val="center"/>
            <w:hideMark/>
          </w:tcPr>
          <w:p w14:paraId="047D05BD" w14:textId="77777777" w:rsidR="004F211D" w:rsidRPr="009159DE" w:rsidRDefault="004F211D" w:rsidP="00C025C1">
            <w:pPr>
              <w:jc w:val="center"/>
              <w:rPr>
                <w:spacing w:val="-2"/>
                <w:lang w:eastAsia="en-US"/>
              </w:rPr>
            </w:pPr>
            <w:r w:rsidRPr="009159DE">
              <w:rPr>
                <w:spacing w:val="-2"/>
                <w:lang w:eastAsia="en-US"/>
              </w:rPr>
              <w:t>0</w:t>
            </w:r>
          </w:p>
        </w:tc>
        <w:tc>
          <w:tcPr>
            <w:tcW w:w="736" w:type="pct"/>
            <w:shd w:val="clear" w:color="auto" w:fill="auto"/>
            <w:vAlign w:val="center"/>
            <w:hideMark/>
          </w:tcPr>
          <w:p w14:paraId="4B51D543" w14:textId="77777777" w:rsidR="004F211D" w:rsidRPr="009159DE" w:rsidRDefault="004F211D" w:rsidP="00C025C1">
            <w:pPr>
              <w:ind w:right="-6"/>
              <w:jc w:val="center"/>
              <w:rPr>
                <w:spacing w:val="-2"/>
                <w:lang w:eastAsia="en-US"/>
              </w:rPr>
            </w:pPr>
            <w:r w:rsidRPr="009159DE">
              <w:rPr>
                <w:spacing w:val="-2"/>
                <w:lang w:eastAsia="en-US"/>
              </w:rPr>
              <w:t>0</w:t>
            </w:r>
          </w:p>
        </w:tc>
        <w:tc>
          <w:tcPr>
            <w:tcW w:w="530" w:type="pct"/>
            <w:gridSpan w:val="2"/>
            <w:shd w:val="clear" w:color="auto" w:fill="auto"/>
            <w:vAlign w:val="center"/>
            <w:hideMark/>
          </w:tcPr>
          <w:p w14:paraId="1D6F4E9F" w14:textId="77777777" w:rsidR="004F211D" w:rsidRPr="009159DE" w:rsidRDefault="004F211D" w:rsidP="00C025C1">
            <w:pPr>
              <w:jc w:val="center"/>
              <w:rPr>
                <w:spacing w:val="-2"/>
                <w:lang w:eastAsia="en-US"/>
              </w:rPr>
            </w:pPr>
            <w:r w:rsidRPr="009159DE">
              <w:rPr>
                <w:spacing w:val="-2"/>
                <w:lang w:eastAsia="en-US"/>
              </w:rPr>
              <w:t>0</w:t>
            </w:r>
          </w:p>
        </w:tc>
      </w:tr>
      <w:tr w:rsidR="004F211D" w:rsidRPr="009159DE" w14:paraId="4E872F04" w14:textId="77777777" w:rsidTr="00B6493E">
        <w:trPr>
          <w:cantSplit/>
        </w:trPr>
        <w:tc>
          <w:tcPr>
            <w:tcW w:w="833" w:type="pct"/>
            <w:shd w:val="clear" w:color="auto" w:fill="auto"/>
            <w:hideMark/>
          </w:tcPr>
          <w:p w14:paraId="623EF236" w14:textId="77777777" w:rsidR="004F211D" w:rsidRPr="009159DE" w:rsidRDefault="004F211D" w:rsidP="00C025C1">
            <w:pPr>
              <w:rPr>
                <w:spacing w:val="-2"/>
                <w:lang w:eastAsia="en-US"/>
              </w:rPr>
            </w:pPr>
            <w:r w:rsidRPr="009159DE">
              <w:rPr>
                <w:spacing w:val="-2"/>
                <w:lang w:eastAsia="en-US"/>
              </w:rPr>
              <w:t>1.3. pašvaldību budžets</w:t>
            </w:r>
          </w:p>
        </w:tc>
        <w:tc>
          <w:tcPr>
            <w:tcW w:w="531" w:type="pct"/>
            <w:shd w:val="clear" w:color="auto" w:fill="auto"/>
            <w:vAlign w:val="center"/>
            <w:hideMark/>
          </w:tcPr>
          <w:p w14:paraId="23DEFF0D" w14:textId="77777777" w:rsidR="004F211D" w:rsidRPr="009159DE" w:rsidRDefault="004F211D" w:rsidP="00C025C1">
            <w:pPr>
              <w:jc w:val="center"/>
              <w:rPr>
                <w:spacing w:val="-2"/>
                <w:lang w:eastAsia="en-US"/>
              </w:rPr>
            </w:pPr>
            <w:r w:rsidRPr="009159DE">
              <w:rPr>
                <w:spacing w:val="-2"/>
                <w:lang w:eastAsia="en-US"/>
              </w:rPr>
              <w:t>0</w:t>
            </w:r>
          </w:p>
        </w:tc>
        <w:tc>
          <w:tcPr>
            <w:tcW w:w="454" w:type="pct"/>
            <w:shd w:val="clear" w:color="auto" w:fill="auto"/>
            <w:vAlign w:val="center"/>
            <w:hideMark/>
          </w:tcPr>
          <w:p w14:paraId="3CEB4BBF" w14:textId="77777777" w:rsidR="004F211D" w:rsidRPr="009159DE" w:rsidRDefault="004F211D" w:rsidP="00C025C1">
            <w:pPr>
              <w:jc w:val="center"/>
              <w:rPr>
                <w:spacing w:val="-2"/>
                <w:lang w:eastAsia="en-US"/>
              </w:rPr>
            </w:pPr>
            <w:r w:rsidRPr="009159DE">
              <w:rPr>
                <w:spacing w:val="-2"/>
                <w:lang w:eastAsia="en-US"/>
              </w:rPr>
              <w:t>0</w:t>
            </w:r>
          </w:p>
        </w:tc>
        <w:tc>
          <w:tcPr>
            <w:tcW w:w="681" w:type="pct"/>
            <w:shd w:val="clear" w:color="auto" w:fill="auto"/>
            <w:vAlign w:val="center"/>
            <w:hideMark/>
          </w:tcPr>
          <w:p w14:paraId="29C5B6CE" w14:textId="77777777" w:rsidR="004F211D" w:rsidRPr="009159DE" w:rsidRDefault="004F211D" w:rsidP="00C025C1">
            <w:pPr>
              <w:jc w:val="center"/>
              <w:rPr>
                <w:spacing w:val="-2"/>
                <w:lang w:eastAsia="en-US"/>
              </w:rPr>
            </w:pPr>
            <w:r w:rsidRPr="009159DE">
              <w:rPr>
                <w:spacing w:val="-2"/>
                <w:lang w:eastAsia="en-US"/>
              </w:rPr>
              <w:t>0</w:t>
            </w:r>
          </w:p>
        </w:tc>
        <w:tc>
          <w:tcPr>
            <w:tcW w:w="683" w:type="pct"/>
            <w:shd w:val="clear" w:color="auto" w:fill="auto"/>
            <w:vAlign w:val="center"/>
            <w:hideMark/>
          </w:tcPr>
          <w:p w14:paraId="2102BD34" w14:textId="77777777" w:rsidR="004F211D" w:rsidRPr="009159DE" w:rsidRDefault="004F211D" w:rsidP="00C025C1">
            <w:pPr>
              <w:jc w:val="center"/>
              <w:rPr>
                <w:spacing w:val="-2"/>
                <w:lang w:eastAsia="en-US"/>
              </w:rPr>
            </w:pPr>
            <w:r w:rsidRPr="009159DE">
              <w:rPr>
                <w:spacing w:val="-2"/>
                <w:lang w:eastAsia="en-US"/>
              </w:rPr>
              <w:t>0</w:t>
            </w:r>
          </w:p>
        </w:tc>
        <w:tc>
          <w:tcPr>
            <w:tcW w:w="553" w:type="pct"/>
            <w:gridSpan w:val="2"/>
            <w:shd w:val="clear" w:color="auto" w:fill="auto"/>
            <w:vAlign w:val="center"/>
            <w:hideMark/>
          </w:tcPr>
          <w:p w14:paraId="0121287F" w14:textId="77777777" w:rsidR="004F211D" w:rsidRPr="009159DE" w:rsidRDefault="004F211D" w:rsidP="00C025C1">
            <w:pPr>
              <w:jc w:val="center"/>
              <w:rPr>
                <w:spacing w:val="-2"/>
                <w:lang w:eastAsia="en-US"/>
              </w:rPr>
            </w:pPr>
            <w:r w:rsidRPr="009159DE">
              <w:rPr>
                <w:spacing w:val="-2"/>
                <w:lang w:eastAsia="en-US"/>
              </w:rPr>
              <w:t>0</w:t>
            </w:r>
          </w:p>
        </w:tc>
        <w:tc>
          <w:tcPr>
            <w:tcW w:w="736" w:type="pct"/>
            <w:shd w:val="clear" w:color="auto" w:fill="auto"/>
            <w:vAlign w:val="center"/>
            <w:hideMark/>
          </w:tcPr>
          <w:p w14:paraId="701B30E1" w14:textId="77777777" w:rsidR="004F211D" w:rsidRPr="009159DE" w:rsidRDefault="004F211D" w:rsidP="00C025C1">
            <w:pPr>
              <w:ind w:right="-6"/>
              <w:jc w:val="center"/>
              <w:rPr>
                <w:spacing w:val="-2"/>
                <w:lang w:eastAsia="en-US"/>
              </w:rPr>
            </w:pPr>
            <w:r w:rsidRPr="009159DE">
              <w:rPr>
                <w:spacing w:val="-2"/>
                <w:lang w:eastAsia="en-US"/>
              </w:rPr>
              <w:t>0</w:t>
            </w:r>
          </w:p>
        </w:tc>
        <w:tc>
          <w:tcPr>
            <w:tcW w:w="530" w:type="pct"/>
            <w:gridSpan w:val="2"/>
            <w:shd w:val="clear" w:color="auto" w:fill="auto"/>
            <w:vAlign w:val="center"/>
            <w:hideMark/>
          </w:tcPr>
          <w:p w14:paraId="5E2F100A" w14:textId="77777777" w:rsidR="004F211D" w:rsidRPr="009159DE" w:rsidRDefault="004F211D" w:rsidP="00C025C1">
            <w:pPr>
              <w:jc w:val="center"/>
              <w:rPr>
                <w:spacing w:val="-2"/>
                <w:lang w:eastAsia="en-US"/>
              </w:rPr>
            </w:pPr>
            <w:r w:rsidRPr="009159DE">
              <w:rPr>
                <w:spacing w:val="-2"/>
                <w:lang w:eastAsia="en-US"/>
              </w:rPr>
              <w:t>0</w:t>
            </w:r>
          </w:p>
        </w:tc>
      </w:tr>
      <w:tr w:rsidR="00542464" w:rsidRPr="009159DE" w14:paraId="09060DC1" w14:textId="77777777" w:rsidTr="00B6493E">
        <w:trPr>
          <w:cantSplit/>
        </w:trPr>
        <w:tc>
          <w:tcPr>
            <w:tcW w:w="833" w:type="pct"/>
            <w:shd w:val="clear" w:color="auto" w:fill="auto"/>
            <w:hideMark/>
          </w:tcPr>
          <w:p w14:paraId="33238F0F" w14:textId="77777777" w:rsidR="00542464" w:rsidRPr="009159DE" w:rsidRDefault="00542464" w:rsidP="00542464">
            <w:pPr>
              <w:rPr>
                <w:spacing w:val="-2"/>
                <w:lang w:eastAsia="en-US"/>
              </w:rPr>
            </w:pPr>
            <w:r w:rsidRPr="009159DE">
              <w:rPr>
                <w:spacing w:val="-2"/>
                <w:lang w:eastAsia="en-US"/>
              </w:rPr>
              <w:t>2. Budžeta izdevumi</w:t>
            </w:r>
          </w:p>
        </w:tc>
        <w:tc>
          <w:tcPr>
            <w:tcW w:w="531" w:type="pct"/>
            <w:shd w:val="clear" w:color="auto" w:fill="auto"/>
            <w:vAlign w:val="center"/>
            <w:hideMark/>
          </w:tcPr>
          <w:p w14:paraId="76340DC9" w14:textId="7BF447E3" w:rsidR="00542464" w:rsidRPr="009159DE" w:rsidRDefault="00542464" w:rsidP="00542464">
            <w:pPr>
              <w:jc w:val="center"/>
              <w:rPr>
                <w:spacing w:val="-2"/>
                <w:lang w:eastAsia="en-US"/>
              </w:rPr>
            </w:pPr>
            <w:r w:rsidRPr="009159DE">
              <w:rPr>
                <w:spacing w:val="-2"/>
                <w:lang w:eastAsia="en-US"/>
              </w:rPr>
              <w:t>2 884 931 000</w:t>
            </w:r>
          </w:p>
        </w:tc>
        <w:tc>
          <w:tcPr>
            <w:tcW w:w="454" w:type="pct"/>
            <w:shd w:val="clear" w:color="auto" w:fill="auto"/>
            <w:vAlign w:val="center"/>
          </w:tcPr>
          <w:p w14:paraId="4601C1F8" w14:textId="3E5C86DA"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4C7B1AF0" w14:textId="7C673FD7" w:rsidR="00542464" w:rsidRPr="009159DE" w:rsidRDefault="00542464" w:rsidP="00542464">
            <w:pPr>
              <w:jc w:val="center"/>
              <w:rPr>
                <w:spacing w:val="-2"/>
                <w:lang w:eastAsia="en-US"/>
              </w:rPr>
            </w:pPr>
            <w:r w:rsidRPr="009159DE">
              <w:rPr>
                <w:spacing w:val="-2"/>
                <w:lang w:eastAsia="en-US"/>
              </w:rPr>
              <w:t>2 735 617 430</w:t>
            </w:r>
          </w:p>
        </w:tc>
        <w:tc>
          <w:tcPr>
            <w:tcW w:w="683" w:type="pct"/>
            <w:shd w:val="clear" w:color="auto" w:fill="auto"/>
            <w:vAlign w:val="center"/>
            <w:hideMark/>
          </w:tcPr>
          <w:p w14:paraId="29C54CD8"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tcPr>
          <w:p w14:paraId="1121C447" w14:textId="3B639EDF" w:rsidR="00542464" w:rsidRPr="009159DE" w:rsidRDefault="00542464" w:rsidP="00542464">
            <w:pPr>
              <w:jc w:val="center"/>
              <w:rPr>
                <w:spacing w:val="-2"/>
                <w:lang w:eastAsia="en-US"/>
              </w:rPr>
            </w:pPr>
            <w:r w:rsidRPr="009159DE">
              <w:rPr>
                <w:spacing w:val="-2"/>
                <w:lang w:eastAsia="en-US"/>
              </w:rPr>
              <w:t>2 926 378 862</w:t>
            </w:r>
          </w:p>
        </w:tc>
        <w:tc>
          <w:tcPr>
            <w:tcW w:w="736" w:type="pct"/>
            <w:shd w:val="clear" w:color="auto" w:fill="auto"/>
            <w:vAlign w:val="center"/>
          </w:tcPr>
          <w:p w14:paraId="5773880C" w14:textId="77777777" w:rsidR="00542464" w:rsidRPr="009159DE" w:rsidRDefault="00542464" w:rsidP="00542464">
            <w:pPr>
              <w:ind w:right="-6"/>
              <w:jc w:val="center"/>
              <w:rPr>
                <w:spacing w:val="-2"/>
                <w:lang w:eastAsia="en-US"/>
              </w:rPr>
            </w:pPr>
            <w:r w:rsidRPr="009159DE">
              <w:rPr>
                <w:spacing w:val="-2"/>
                <w:lang w:eastAsia="en-US"/>
              </w:rPr>
              <w:t>0</w:t>
            </w:r>
          </w:p>
        </w:tc>
        <w:tc>
          <w:tcPr>
            <w:tcW w:w="530" w:type="pct"/>
            <w:gridSpan w:val="2"/>
            <w:shd w:val="clear" w:color="auto" w:fill="auto"/>
            <w:vAlign w:val="center"/>
            <w:hideMark/>
          </w:tcPr>
          <w:p w14:paraId="06370D4E"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38925AAE" w14:textId="77777777" w:rsidTr="00B6493E">
        <w:trPr>
          <w:cantSplit/>
        </w:trPr>
        <w:tc>
          <w:tcPr>
            <w:tcW w:w="833" w:type="pct"/>
            <w:shd w:val="clear" w:color="auto" w:fill="auto"/>
            <w:hideMark/>
          </w:tcPr>
          <w:p w14:paraId="484A633B" w14:textId="77777777" w:rsidR="00542464" w:rsidRPr="009159DE" w:rsidRDefault="00542464" w:rsidP="00542464">
            <w:pPr>
              <w:rPr>
                <w:spacing w:val="-2"/>
                <w:lang w:eastAsia="en-US"/>
              </w:rPr>
            </w:pPr>
            <w:r w:rsidRPr="009159DE">
              <w:rPr>
                <w:spacing w:val="-2"/>
                <w:lang w:eastAsia="en-US"/>
              </w:rPr>
              <w:t>2.1. valsts pamatbudžets</w:t>
            </w:r>
          </w:p>
        </w:tc>
        <w:tc>
          <w:tcPr>
            <w:tcW w:w="531" w:type="pct"/>
            <w:shd w:val="clear" w:color="auto" w:fill="auto"/>
            <w:vAlign w:val="center"/>
            <w:hideMark/>
          </w:tcPr>
          <w:p w14:paraId="68CD9829" w14:textId="22567397" w:rsidR="00542464" w:rsidRPr="009159DE" w:rsidRDefault="00542464" w:rsidP="00542464">
            <w:pPr>
              <w:jc w:val="center"/>
              <w:rPr>
                <w:spacing w:val="-2"/>
                <w:lang w:eastAsia="en-US"/>
              </w:rPr>
            </w:pPr>
            <w:r w:rsidRPr="009159DE">
              <w:rPr>
                <w:spacing w:val="-2"/>
                <w:lang w:eastAsia="en-US"/>
              </w:rPr>
              <w:t>2 884 931 000</w:t>
            </w:r>
          </w:p>
        </w:tc>
        <w:tc>
          <w:tcPr>
            <w:tcW w:w="454" w:type="pct"/>
            <w:shd w:val="clear" w:color="auto" w:fill="auto"/>
            <w:vAlign w:val="center"/>
          </w:tcPr>
          <w:p w14:paraId="325352E8" w14:textId="4CC96588"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41A06B58" w14:textId="6ADFD851" w:rsidR="00542464" w:rsidRPr="009159DE" w:rsidRDefault="00542464" w:rsidP="00542464">
            <w:pPr>
              <w:jc w:val="center"/>
              <w:rPr>
                <w:spacing w:val="-2"/>
                <w:lang w:eastAsia="en-US"/>
              </w:rPr>
            </w:pPr>
            <w:r w:rsidRPr="009159DE">
              <w:rPr>
                <w:spacing w:val="-2"/>
                <w:lang w:eastAsia="en-US"/>
              </w:rPr>
              <w:t>2 735 617 430</w:t>
            </w:r>
          </w:p>
        </w:tc>
        <w:tc>
          <w:tcPr>
            <w:tcW w:w="683" w:type="pct"/>
            <w:shd w:val="clear" w:color="auto" w:fill="auto"/>
            <w:vAlign w:val="center"/>
            <w:hideMark/>
          </w:tcPr>
          <w:p w14:paraId="4242D95F"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hideMark/>
          </w:tcPr>
          <w:p w14:paraId="1999F984" w14:textId="228479D9" w:rsidR="00542464" w:rsidRPr="009159DE" w:rsidRDefault="00542464" w:rsidP="00542464">
            <w:pPr>
              <w:jc w:val="center"/>
              <w:rPr>
                <w:spacing w:val="-2"/>
                <w:lang w:eastAsia="en-US"/>
              </w:rPr>
            </w:pPr>
            <w:r w:rsidRPr="009159DE">
              <w:rPr>
                <w:spacing w:val="-2"/>
                <w:lang w:eastAsia="en-US"/>
              </w:rPr>
              <w:t>2 926 378 862</w:t>
            </w:r>
          </w:p>
        </w:tc>
        <w:tc>
          <w:tcPr>
            <w:tcW w:w="736" w:type="pct"/>
            <w:shd w:val="clear" w:color="auto" w:fill="auto"/>
            <w:vAlign w:val="center"/>
            <w:hideMark/>
          </w:tcPr>
          <w:p w14:paraId="4305F4ED" w14:textId="77777777"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5691F5DF"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0591EC5D" w14:textId="77777777" w:rsidTr="00B6493E">
        <w:trPr>
          <w:cantSplit/>
        </w:trPr>
        <w:tc>
          <w:tcPr>
            <w:tcW w:w="833" w:type="pct"/>
            <w:shd w:val="clear" w:color="auto" w:fill="auto"/>
            <w:hideMark/>
          </w:tcPr>
          <w:p w14:paraId="61ADA9EA" w14:textId="77777777" w:rsidR="00542464" w:rsidRPr="009159DE" w:rsidRDefault="00542464" w:rsidP="00542464">
            <w:pPr>
              <w:rPr>
                <w:spacing w:val="-2"/>
                <w:lang w:eastAsia="en-US"/>
              </w:rPr>
            </w:pPr>
            <w:r w:rsidRPr="009159DE">
              <w:rPr>
                <w:spacing w:val="-2"/>
                <w:lang w:eastAsia="en-US"/>
              </w:rPr>
              <w:t>2.2. valsts speciālais budžets</w:t>
            </w:r>
          </w:p>
        </w:tc>
        <w:tc>
          <w:tcPr>
            <w:tcW w:w="531" w:type="pct"/>
            <w:shd w:val="clear" w:color="auto" w:fill="auto"/>
            <w:vAlign w:val="center"/>
            <w:hideMark/>
          </w:tcPr>
          <w:p w14:paraId="5E5C54A4" w14:textId="77777777"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hideMark/>
          </w:tcPr>
          <w:p w14:paraId="1728013B" w14:textId="77777777"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74C3EC41"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hideMark/>
          </w:tcPr>
          <w:p w14:paraId="1B4B5FD1"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hideMark/>
          </w:tcPr>
          <w:p w14:paraId="35A7A57A"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hideMark/>
          </w:tcPr>
          <w:p w14:paraId="7B83F6E8" w14:textId="77777777"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10A42E53"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6FDDDF24" w14:textId="77777777" w:rsidTr="00B6493E">
        <w:trPr>
          <w:cantSplit/>
        </w:trPr>
        <w:tc>
          <w:tcPr>
            <w:tcW w:w="833" w:type="pct"/>
            <w:shd w:val="clear" w:color="auto" w:fill="auto"/>
            <w:hideMark/>
          </w:tcPr>
          <w:p w14:paraId="4A2566D4" w14:textId="77777777" w:rsidR="00542464" w:rsidRPr="009159DE" w:rsidRDefault="00542464" w:rsidP="00542464">
            <w:pPr>
              <w:rPr>
                <w:spacing w:val="-2"/>
                <w:lang w:eastAsia="en-US"/>
              </w:rPr>
            </w:pPr>
            <w:r w:rsidRPr="009159DE">
              <w:rPr>
                <w:spacing w:val="-2"/>
                <w:lang w:eastAsia="en-US"/>
              </w:rPr>
              <w:t>2.3. pašvaldību budžets</w:t>
            </w:r>
          </w:p>
        </w:tc>
        <w:tc>
          <w:tcPr>
            <w:tcW w:w="531" w:type="pct"/>
            <w:shd w:val="clear" w:color="auto" w:fill="auto"/>
            <w:vAlign w:val="center"/>
            <w:hideMark/>
          </w:tcPr>
          <w:p w14:paraId="17E6B1F4" w14:textId="77777777"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hideMark/>
          </w:tcPr>
          <w:p w14:paraId="08459671" w14:textId="77777777"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70A91463"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hideMark/>
          </w:tcPr>
          <w:p w14:paraId="218001AB"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hideMark/>
          </w:tcPr>
          <w:p w14:paraId="46CCBF95"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hideMark/>
          </w:tcPr>
          <w:p w14:paraId="37DE9564" w14:textId="77777777"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7115E422"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7CEE9993" w14:textId="77777777" w:rsidTr="00B6493E">
        <w:trPr>
          <w:cantSplit/>
        </w:trPr>
        <w:tc>
          <w:tcPr>
            <w:tcW w:w="833" w:type="pct"/>
            <w:shd w:val="clear" w:color="auto" w:fill="auto"/>
            <w:hideMark/>
          </w:tcPr>
          <w:p w14:paraId="2DC64C69" w14:textId="77777777" w:rsidR="00542464" w:rsidRPr="009159DE" w:rsidRDefault="00542464" w:rsidP="00542464">
            <w:pPr>
              <w:rPr>
                <w:spacing w:val="-2"/>
                <w:lang w:eastAsia="en-US"/>
              </w:rPr>
            </w:pPr>
            <w:r w:rsidRPr="009159DE">
              <w:rPr>
                <w:spacing w:val="-2"/>
                <w:lang w:eastAsia="en-US"/>
              </w:rPr>
              <w:t>3. Finansiālā ietekme</w:t>
            </w:r>
          </w:p>
        </w:tc>
        <w:tc>
          <w:tcPr>
            <w:tcW w:w="531" w:type="pct"/>
            <w:shd w:val="clear" w:color="auto" w:fill="auto"/>
            <w:vAlign w:val="center"/>
            <w:hideMark/>
          </w:tcPr>
          <w:p w14:paraId="2B6E1404" w14:textId="16980AC5"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tcPr>
          <w:p w14:paraId="390295F3" w14:textId="277EFC89"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333F6378"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tcPr>
          <w:p w14:paraId="4131774C" w14:textId="77777777" w:rsidR="00542464" w:rsidRPr="009159DE" w:rsidRDefault="00542464" w:rsidP="00542464">
            <w:pPr>
              <w:ind w:right="-30"/>
              <w:rPr>
                <w:spacing w:val="-2"/>
                <w:lang w:eastAsia="en-US"/>
              </w:rPr>
            </w:pPr>
            <w:r w:rsidRPr="009159DE">
              <w:rPr>
                <w:spacing w:val="-2"/>
                <w:lang w:eastAsia="en-US"/>
              </w:rPr>
              <w:t xml:space="preserve">-800 000 –  </w:t>
            </w:r>
          </w:p>
          <w:p w14:paraId="21D7C46B" w14:textId="21BA63FF" w:rsidR="00542464" w:rsidRPr="009159DE" w:rsidRDefault="00542464" w:rsidP="00542464">
            <w:pPr>
              <w:ind w:left="-24"/>
              <w:jc w:val="center"/>
              <w:rPr>
                <w:spacing w:val="-2"/>
                <w:lang w:eastAsia="en-US"/>
              </w:rPr>
            </w:pPr>
            <w:r w:rsidRPr="009159DE">
              <w:rPr>
                <w:spacing w:val="-2"/>
                <w:lang w:eastAsia="en-US"/>
              </w:rPr>
              <w:t>-1 900 000</w:t>
            </w:r>
          </w:p>
        </w:tc>
        <w:tc>
          <w:tcPr>
            <w:tcW w:w="553" w:type="pct"/>
            <w:gridSpan w:val="2"/>
            <w:shd w:val="clear" w:color="auto" w:fill="auto"/>
            <w:vAlign w:val="center"/>
          </w:tcPr>
          <w:p w14:paraId="6D96FDD5"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tcPr>
          <w:p w14:paraId="435E73B7" w14:textId="77777777" w:rsidR="00542464" w:rsidRPr="009159DE" w:rsidRDefault="00542464" w:rsidP="00542464">
            <w:pPr>
              <w:ind w:right="-6"/>
              <w:jc w:val="center"/>
              <w:rPr>
                <w:spacing w:val="-2"/>
                <w:lang w:eastAsia="en-US"/>
              </w:rPr>
            </w:pPr>
            <w:r w:rsidRPr="009159DE">
              <w:rPr>
                <w:spacing w:val="-2"/>
                <w:lang w:eastAsia="en-US"/>
              </w:rPr>
              <w:noBreakHyphen/>
              <w:t xml:space="preserve">2 100 000 – </w:t>
            </w:r>
          </w:p>
          <w:p w14:paraId="5494C0B9" w14:textId="1989FABD" w:rsidR="00542464" w:rsidRPr="009159DE" w:rsidRDefault="00542464" w:rsidP="00542464">
            <w:pPr>
              <w:jc w:val="center"/>
              <w:rPr>
                <w:spacing w:val="-2"/>
                <w:lang w:eastAsia="en-US"/>
              </w:rPr>
            </w:pPr>
            <w:r w:rsidRPr="009159DE">
              <w:rPr>
                <w:spacing w:val="-2"/>
                <w:lang w:eastAsia="en-US"/>
              </w:rPr>
              <w:t xml:space="preserve"> -3 400 000</w:t>
            </w:r>
          </w:p>
        </w:tc>
        <w:tc>
          <w:tcPr>
            <w:tcW w:w="530" w:type="pct"/>
            <w:gridSpan w:val="2"/>
            <w:shd w:val="clear" w:color="auto" w:fill="auto"/>
            <w:vAlign w:val="center"/>
          </w:tcPr>
          <w:p w14:paraId="69B26C38" w14:textId="51C3EFBE" w:rsidR="00542464" w:rsidRPr="009159DE" w:rsidRDefault="00542464" w:rsidP="00542464">
            <w:pPr>
              <w:jc w:val="center"/>
              <w:rPr>
                <w:spacing w:val="-2"/>
                <w:lang w:eastAsia="en-US"/>
              </w:rPr>
            </w:pPr>
            <w:r w:rsidRPr="009159DE">
              <w:rPr>
                <w:spacing w:val="-2"/>
                <w:lang w:eastAsia="en-US"/>
              </w:rPr>
              <w:t>0</w:t>
            </w:r>
          </w:p>
        </w:tc>
      </w:tr>
      <w:tr w:rsidR="00542464" w:rsidRPr="009159DE" w14:paraId="1D303DD3" w14:textId="77777777" w:rsidTr="00B6493E">
        <w:trPr>
          <w:cantSplit/>
        </w:trPr>
        <w:tc>
          <w:tcPr>
            <w:tcW w:w="833" w:type="pct"/>
            <w:shd w:val="clear" w:color="auto" w:fill="auto"/>
            <w:hideMark/>
          </w:tcPr>
          <w:p w14:paraId="6886988E" w14:textId="77777777" w:rsidR="00542464" w:rsidRPr="009159DE" w:rsidRDefault="00542464" w:rsidP="00542464">
            <w:pPr>
              <w:rPr>
                <w:spacing w:val="-2"/>
                <w:lang w:eastAsia="en-US"/>
              </w:rPr>
            </w:pPr>
            <w:r w:rsidRPr="009159DE">
              <w:rPr>
                <w:spacing w:val="-2"/>
                <w:lang w:eastAsia="en-US"/>
              </w:rPr>
              <w:t>3.1. valsts pamatbudžets</w:t>
            </w:r>
          </w:p>
        </w:tc>
        <w:tc>
          <w:tcPr>
            <w:tcW w:w="531" w:type="pct"/>
            <w:shd w:val="clear" w:color="auto" w:fill="auto"/>
            <w:vAlign w:val="center"/>
            <w:hideMark/>
          </w:tcPr>
          <w:p w14:paraId="0E977F0B" w14:textId="7F4B6F00"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tcPr>
          <w:p w14:paraId="64F17B59" w14:textId="074B575E"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1F15E192"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tcPr>
          <w:p w14:paraId="51816D74" w14:textId="77777777" w:rsidR="00542464" w:rsidRPr="009159DE" w:rsidRDefault="00542464" w:rsidP="00542464">
            <w:pPr>
              <w:ind w:right="-30"/>
              <w:rPr>
                <w:spacing w:val="-2"/>
                <w:lang w:eastAsia="en-US"/>
              </w:rPr>
            </w:pPr>
            <w:r w:rsidRPr="009159DE">
              <w:rPr>
                <w:spacing w:val="-2"/>
                <w:lang w:eastAsia="en-US"/>
              </w:rPr>
              <w:t xml:space="preserve">-800 000 –  </w:t>
            </w:r>
          </w:p>
          <w:p w14:paraId="257B6885" w14:textId="6D50DC8C" w:rsidR="00542464" w:rsidRPr="009159DE" w:rsidRDefault="00542464" w:rsidP="00542464">
            <w:pPr>
              <w:jc w:val="center"/>
              <w:rPr>
                <w:spacing w:val="-2"/>
                <w:lang w:eastAsia="en-US"/>
              </w:rPr>
            </w:pPr>
            <w:r w:rsidRPr="009159DE">
              <w:rPr>
                <w:spacing w:val="-2"/>
                <w:lang w:eastAsia="en-US"/>
              </w:rPr>
              <w:t>-1 900 000</w:t>
            </w:r>
          </w:p>
        </w:tc>
        <w:tc>
          <w:tcPr>
            <w:tcW w:w="553" w:type="pct"/>
            <w:gridSpan w:val="2"/>
            <w:shd w:val="clear" w:color="auto" w:fill="auto"/>
            <w:vAlign w:val="center"/>
          </w:tcPr>
          <w:p w14:paraId="0A657EED"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tcPr>
          <w:p w14:paraId="69495CA8" w14:textId="77777777" w:rsidR="00542464" w:rsidRPr="009159DE" w:rsidRDefault="00542464" w:rsidP="00542464">
            <w:pPr>
              <w:ind w:right="-6"/>
              <w:jc w:val="center"/>
              <w:rPr>
                <w:spacing w:val="-2"/>
                <w:lang w:eastAsia="en-US"/>
              </w:rPr>
            </w:pPr>
            <w:r w:rsidRPr="009159DE">
              <w:rPr>
                <w:spacing w:val="-2"/>
                <w:lang w:eastAsia="en-US"/>
              </w:rPr>
              <w:noBreakHyphen/>
              <w:t xml:space="preserve">2 100 000 – </w:t>
            </w:r>
          </w:p>
          <w:p w14:paraId="72C2FDF2" w14:textId="3E74981C" w:rsidR="00542464" w:rsidRPr="009159DE" w:rsidRDefault="00542464" w:rsidP="00542464">
            <w:pPr>
              <w:jc w:val="center"/>
              <w:rPr>
                <w:spacing w:val="-2"/>
                <w:lang w:eastAsia="en-US"/>
              </w:rPr>
            </w:pPr>
            <w:r w:rsidRPr="009159DE">
              <w:rPr>
                <w:spacing w:val="-2"/>
                <w:lang w:eastAsia="en-US"/>
              </w:rPr>
              <w:t xml:space="preserve"> -3 400 000</w:t>
            </w:r>
          </w:p>
        </w:tc>
        <w:tc>
          <w:tcPr>
            <w:tcW w:w="530" w:type="pct"/>
            <w:gridSpan w:val="2"/>
            <w:shd w:val="clear" w:color="auto" w:fill="auto"/>
            <w:vAlign w:val="center"/>
          </w:tcPr>
          <w:p w14:paraId="3D95216E" w14:textId="0BA51A21" w:rsidR="00542464" w:rsidRPr="009159DE" w:rsidRDefault="00542464" w:rsidP="00542464">
            <w:pPr>
              <w:jc w:val="center"/>
              <w:rPr>
                <w:spacing w:val="-2"/>
                <w:lang w:eastAsia="en-US"/>
              </w:rPr>
            </w:pPr>
            <w:r w:rsidRPr="009159DE">
              <w:rPr>
                <w:spacing w:val="-2"/>
                <w:lang w:eastAsia="en-US"/>
              </w:rPr>
              <w:t>0</w:t>
            </w:r>
          </w:p>
        </w:tc>
      </w:tr>
      <w:tr w:rsidR="00542464" w:rsidRPr="009159DE" w14:paraId="3507D5A9" w14:textId="77777777" w:rsidTr="00B6493E">
        <w:trPr>
          <w:cantSplit/>
        </w:trPr>
        <w:tc>
          <w:tcPr>
            <w:tcW w:w="833" w:type="pct"/>
            <w:shd w:val="clear" w:color="auto" w:fill="auto"/>
            <w:hideMark/>
          </w:tcPr>
          <w:p w14:paraId="5EC0785B" w14:textId="77777777" w:rsidR="00542464" w:rsidRPr="009159DE" w:rsidRDefault="00542464" w:rsidP="00542464">
            <w:pPr>
              <w:rPr>
                <w:spacing w:val="-2"/>
                <w:lang w:eastAsia="en-US"/>
              </w:rPr>
            </w:pPr>
            <w:r w:rsidRPr="009159DE">
              <w:rPr>
                <w:spacing w:val="-2"/>
                <w:lang w:eastAsia="en-US"/>
              </w:rPr>
              <w:t>3.2. speciālais budžets</w:t>
            </w:r>
          </w:p>
        </w:tc>
        <w:tc>
          <w:tcPr>
            <w:tcW w:w="531" w:type="pct"/>
            <w:shd w:val="clear" w:color="auto" w:fill="auto"/>
            <w:vAlign w:val="center"/>
            <w:hideMark/>
          </w:tcPr>
          <w:p w14:paraId="18D61773" w14:textId="77777777"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hideMark/>
          </w:tcPr>
          <w:p w14:paraId="684E48D4" w14:textId="77777777"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1E4CD3BF"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tcPr>
          <w:p w14:paraId="0463FAFE"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tcPr>
          <w:p w14:paraId="0AA08305"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tcPr>
          <w:p w14:paraId="4ACF18C1" w14:textId="77777777"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tcPr>
          <w:p w14:paraId="05F577F6"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121D0255" w14:textId="77777777" w:rsidTr="00B6493E">
        <w:trPr>
          <w:cantSplit/>
        </w:trPr>
        <w:tc>
          <w:tcPr>
            <w:tcW w:w="833" w:type="pct"/>
            <w:shd w:val="clear" w:color="auto" w:fill="auto"/>
            <w:hideMark/>
          </w:tcPr>
          <w:p w14:paraId="089C7E34" w14:textId="77777777" w:rsidR="00542464" w:rsidRPr="009159DE" w:rsidRDefault="00542464" w:rsidP="00542464">
            <w:pPr>
              <w:rPr>
                <w:spacing w:val="-2"/>
                <w:lang w:eastAsia="en-US"/>
              </w:rPr>
            </w:pPr>
            <w:r w:rsidRPr="009159DE">
              <w:rPr>
                <w:spacing w:val="-2"/>
                <w:lang w:eastAsia="en-US"/>
              </w:rPr>
              <w:t>3.3. pašvaldību budžets</w:t>
            </w:r>
          </w:p>
        </w:tc>
        <w:tc>
          <w:tcPr>
            <w:tcW w:w="531" w:type="pct"/>
            <w:shd w:val="clear" w:color="auto" w:fill="auto"/>
            <w:vAlign w:val="center"/>
            <w:hideMark/>
          </w:tcPr>
          <w:p w14:paraId="76A24124" w14:textId="77777777" w:rsidR="00542464" w:rsidRPr="009159DE" w:rsidRDefault="00542464" w:rsidP="00542464">
            <w:pPr>
              <w:jc w:val="center"/>
              <w:rPr>
                <w:spacing w:val="-2"/>
                <w:lang w:eastAsia="en-US"/>
              </w:rPr>
            </w:pPr>
            <w:r w:rsidRPr="009159DE">
              <w:rPr>
                <w:spacing w:val="-2"/>
                <w:lang w:eastAsia="en-US"/>
              </w:rPr>
              <w:t>0</w:t>
            </w:r>
          </w:p>
        </w:tc>
        <w:tc>
          <w:tcPr>
            <w:tcW w:w="454" w:type="pct"/>
            <w:shd w:val="clear" w:color="auto" w:fill="auto"/>
            <w:vAlign w:val="center"/>
            <w:hideMark/>
          </w:tcPr>
          <w:p w14:paraId="49AA0162" w14:textId="77777777"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1A03D775" w14:textId="77777777" w:rsidR="00542464" w:rsidRPr="009159DE" w:rsidRDefault="00542464" w:rsidP="00542464">
            <w:pPr>
              <w:jc w:val="center"/>
              <w:rPr>
                <w:spacing w:val="-2"/>
                <w:lang w:eastAsia="en-US"/>
              </w:rPr>
            </w:pPr>
            <w:r w:rsidRPr="009159DE">
              <w:rPr>
                <w:spacing w:val="-2"/>
                <w:lang w:eastAsia="en-US"/>
              </w:rPr>
              <w:t>0</w:t>
            </w:r>
          </w:p>
        </w:tc>
        <w:tc>
          <w:tcPr>
            <w:tcW w:w="683" w:type="pct"/>
            <w:shd w:val="clear" w:color="auto" w:fill="auto"/>
            <w:vAlign w:val="center"/>
          </w:tcPr>
          <w:p w14:paraId="206D6897" w14:textId="77777777"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tcPr>
          <w:p w14:paraId="20522E77" w14:textId="77777777" w:rsidR="00542464" w:rsidRPr="009159DE" w:rsidRDefault="00542464" w:rsidP="00542464">
            <w:pPr>
              <w:jc w:val="center"/>
              <w:rPr>
                <w:spacing w:val="-2"/>
                <w:lang w:eastAsia="en-US"/>
              </w:rPr>
            </w:pPr>
            <w:r w:rsidRPr="009159DE">
              <w:rPr>
                <w:spacing w:val="-2"/>
                <w:lang w:eastAsia="en-US"/>
              </w:rPr>
              <w:t>0</w:t>
            </w:r>
          </w:p>
        </w:tc>
        <w:tc>
          <w:tcPr>
            <w:tcW w:w="736" w:type="pct"/>
            <w:shd w:val="clear" w:color="auto" w:fill="auto"/>
            <w:vAlign w:val="center"/>
          </w:tcPr>
          <w:p w14:paraId="0BCD5B42" w14:textId="77777777"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tcPr>
          <w:p w14:paraId="6032A627" w14:textId="77777777" w:rsidR="00542464" w:rsidRPr="009159DE" w:rsidRDefault="00542464" w:rsidP="00542464">
            <w:pPr>
              <w:jc w:val="center"/>
              <w:rPr>
                <w:spacing w:val="-2"/>
                <w:lang w:eastAsia="en-US"/>
              </w:rPr>
            </w:pPr>
            <w:r w:rsidRPr="009159DE">
              <w:rPr>
                <w:spacing w:val="-2"/>
                <w:lang w:eastAsia="en-US"/>
              </w:rPr>
              <w:t>0</w:t>
            </w:r>
          </w:p>
        </w:tc>
      </w:tr>
      <w:tr w:rsidR="00542464" w:rsidRPr="009159DE" w14:paraId="08C81ED3" w14:textId="77777777" w:rsidTr="00B6493E">
        <w:trPr>
          <w:cantSplit/>
        </w:trPr>
        <w:tc>
          <w:tcPr>
            <w:tcW w:w="833" w:type="pct"/>
            <w:shd w:val="clear" w:color="auto" w:fill="auto"/>
            <w:hideMark/>
          </w:tcPr>
          <w:p w14:paraId="626BDC4E" w14:textId="77777777" w:rsidR="00542464" w:rsidRPr="009159DE" w:rsidRDefault="00542464" w:rsidP="00542464">
            <w:pPr>
              <w:rPr>
                <w:spacing w:val="-2"/>
                <w:lang w:eastAsia="en-US"/>
              </w:rPr>
            </w:pPr>
            <w:r w:rsidRPr="009159DE">
              <w:rPr>
                <w:spacing w:val="-2"/>
                <w:lang w:eastAsia="en-US"/>
              </w:rPr>
              <w:t>4. Finanšu līdzekļi papildu izdevumu finansēšanai (kompensējošu izdevumu samazinājumu norāda ar "+" zīmi)</w:t>
            </w:r>
          </w:p>
        </w:tc>
        <w:tc>
          <w:tcPr>
            <w:tcW w:w="531" w:type="pct"/>
            <w:shd w:val="clear" w:color="auto" w:fill="auto"/>
            <w:vAlign w:val="center"/>
            <w:hideMark/>
          </w:tcPr>
          <w:p w14:paraId="5EEF9319" w14:textId="73AAC5BA" w:rsidR="00542464" w:rsidRPr="009159DE" w:rsidRDefault="00542464" w:rsidP="00542464">
            <w:pPr>
              <w:jc w:val="center"/>
              <w:rPr>
                <w:spacing w:val="-2"/>
                <w:lang w:eastAsia="en-US"/>
              </w:rPr>
            </w:pPr>
            <w:r w:rsidRPr="009159DE">
              <w:rPr>
                <w:spacing w:val="-2"/>
                <w:lang w:eastAsia="en-US"/>
              </w:rPr>
              <w:t>X</w:t>
            </w:r>
          </w:p>
        </w:tc>
        <w:tc>
          <w:tcPr>
            <w:tcW w:w="454" w:type="pct"/>
            <w:shd w:val="clear" w:color="auto" w:fill="auto"/>
            <w:vAlign w:val="center"/>
            <w:hideMark/>
          </w:tcPr>
          <w:p w14:paraId="27EAFC1A" w14:textId="6CE86E53" w:rsidR="00542464" w:rsidRPr="009159DE" w:rsidRDefault="00542464" w:rsidP="00542464">
            <w:pPr>
              <w:jc w:val="center"/>
              <w:rPr>
                <w:spacing w:val="-2"/>
                <w:lang w:eastAsia="en-US"/>
              </w:rPr>
            </w:pPr>
            <w:r w:rsidRPr="009159DE">
              <w:rPr>
                <w:spacing w:val="-2"/>
                <w:lang w:eastAsia="en-US"/>
              </w:rPr>
              <w:t>0</w:t>
            </w:r>
          </w:p>
        </w:tc>
        <w:tc>
          <w:tcPr>
            <w:tcW w:w="681" w:type="pct"/>
            <w:shd w:val="clear" w:color="auto" w:fill="auto"/>
            <w:vAlign w:val="center"/>
            <w:hideMark/>
          </w:tcPr>
          <w:p w14:paraId="7CD63900" w14:textId="5704A491" w:rsidR="00542464" w:rsidRPr="009159DE" w:rsidRDefault="00542464" w:rsidP="00542464">
            <w:pPr>
              <w:jc w:val="center"/>
              <w:rPr>
                <w:spacing w:val="-2"/>
                <w:lang w:eastAsia="en-US"/>
              </w:rPr>
            </w:pPr>
            <w:r w:rsidRPr="009159DE">
              <w:rPr>
                <w:spacing w:val="-2"/>
                <w:lang w:eastAsia="en-US"/>
              </w:rPr>
              <w:t>X</w:t>
            </w:r>
          </w:p>
        </w:tc>
        <w:tc>
          <w:tcPr>
            <w:tcW w:w="683" w:type="pct"/>
            <w:shd w:val="clear" w:color="auto" w:fill="auto"/>
            <w:vAlign w:val="center"/>
            <w:hideMark/>
          </w:tcPr>
          <w:p w14:paraId="4155A0BF" w14:textId="46A6EBA5" w:rsidR="00542464" w:rsidRPr="009159DE" w:rsidRDefault="00542464" w:rsidP="00542464">
            <w:pPr>
              <w:jc w:val="center"/>
              <w:rPr>
                <w:spacing w:val="-2"/>
                <w:lang w:eastAsia="en-US"/>
              </w:rPr>
            </w:pPr>
            <w:r w:rsidRPr="009159DE">
              <w:rPr>
                <w:spacing w:val="-2"/>
                <w:lang w:eastAsia="en-US"/>
              </w:rPr>
              <w:t>0</w:t>
            </w:r>
          </w:p>
        </w:tc>
        <w:tc>
          <w:tcPr>
            <w:tcW w:w="553" w:type="pct"/>
            <w:gridSpan w:val="2"/>
            <w:shd w:val="clear" w:color="auto" w:fill="auto"/>
            <w:vAlign w:val="center"/>
            <w:hideMark/>
          </w:tcPr>
          <w:p w14:paraId="0D04A106" w14:textId="7626A6C4" w:rsidR="00542464" w:rsidRPr="009159DE" w:rsidRDefault="00542464" w:rsidP="00542464">
            <w:pPr>
              <w:jc w:val="center"/>
              <w:rPr>
                <w:spacing w:val="-2"/>
                <w:lang w:eastAsia="en-US"/>
              </w:rPr>
            </w:pPr>
            <w:r w:rsidRPr="009159DE">
              <w:rPr>
                <w:spacing w:val="-2"/>
                <w:lang w:eastAsia="en-US"/>
              </w:rPr>
              <w:t>X</w:t>
            </w:r>
          </w:p>
        </w:tc>
        <w:tc>
          <w:tcPr>
            <w:tcW w:w="736" w:type="pct"/>
            <w:shd w:val="clear" w:color="auto" w:fill="auto"/>
            <w:vAlign w:val="center"/>
            <w:hideMark/>
          </w:tcPr>
          <w:p w14:paraId="05A20A4C" w14:textId="431CD4EB"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3471B20B" w14:textId="29DC0486" w:rsidR="00542464" w:rsidRPr="009159DE" w:rsidRDefault="00542464" w:rsidP="00542464">
            <w:pPr>
              <w:jc w:val="center"/>
              <w:rPr>
                <w:spacing w:val="-2"/>
                <w:lang w:eastAsia="en-US"/>
              </w:rPr>
            </w:pPr>
            <w:r w:rsidRPr="009159DE">
              <w:rPr>
                <w:spacing w:val="-2"/>
                <w:lang w:eastAsia="en-US"/>
              </w:rPr>
              <w:t>0</w:t>
            </w:r>
          </w:p>
        </w:tc>
      </w:tr>
      <w:tr w:rsidR="00542464" w:rsidRPr="009159DE" w14:paraId="203508AB" w14:textId="77777777" w:rsidTr="00B6493E">
        <w:trPr>
          <w:cantSplit/>
        </w:trPr>
        <w:tc>
          <w:tcPr>
            <w:tcW w:w="833" w:type="pct"/>
            <w:shd w:val="clear" w:color="auto" w:fill="auto"/>
            <w:hideMark/>
          </w:tcPr>
          <w:p w14:paraId="00533B6E" w14:textId="77777777" w:rsidR="00542464" w:rsidRPr="009159DE" w:rsidRDefault="00542464" w:rsidP="00542464">
            <w:pPr>
              <w:rPr>
                <w:spacing w:val="-2"/>
                <w:lang w:eastAsia="en-US"/>
              </w:rPr>
            </w:pPr>
            <w:r w:rsidRPr="009159DE">
              <w:rPr>
                <w:spacing w:val="-2"/>
                <w:lang w:eastAsia="en-US"/>
              </w:rPr>
              <w:t>5. Precizēta finansiālā ietekme</w:t>
            </w:r>
          </w:p>
        </w:tc>
        <w:tc>
          <w:tcPr>
            <w:tcW w:w="531" w:type="pct"/>
            <w:vMerge w:val="restart"/>
            <w:shd w:val="clear" w:color="auto" w:fill="auto"/>
            <w:vAlign w:val="center"/>
            <w:hideMark/>
          </w:tcPr>
          <w:p w14:paraId="141B95F9" w14:textId="70928E71" w:rsidR="00542464" w:rsidRPr="009159DE" w:rsidRDefault="00542464" w:rsidP="00542464">
            <w:pPr>
              <w:jc w:val="center"/>
              <w:rPr>
                <w:spacing w:val="-2"/>
                <w:lang w:eastAsia="en-US"/>
              </w:rPr>
            </w:pPr>
            <w:r w:rsidRPr="009159DE">
              <w:rPr>
                <w:spacing w:val="-2"/>
                <w:lang w:eastAsia="en-US"/>
              </w:rPr>
              <w:t>X</w:t>
            </w:r>
          </w:p>
        </w:tc>
        <w:tc>
          <w:tcPr>
            <w:tcW w:w="454" w:type="pct"/>
            <w:shd w:val="clear" w:color="auto" w:fill="auto"/>
            <w:vAlign w:val="center"/>
            <w:hideMark/>
          </w:tcPr>
          <w:p w14:paraId="01552EFB" w14:textId="38CF734D" w:rsidR="00542464" w:rsidRPr="009159DE" w:rsidRDefault="00542464" w:rsidP="00542464">
            <w:pPr>
              <w:jc w:val="center"/>
              <w:rPr>
                <w:spacing w:val="-2"/>
                <w:lang w:eastAsia="en-US"/>
              </w:rPr>
            </w:pPr>
            <w:r w:rsidRPr="009159DE">
              <w:rPr>
                <w:spacing w:val="-2"/>
                <w:lang w:eastAsia="en-US"/>
              </w:rPr>
              <w:t>0</w:t>
            </w:r>
          </w:p>
        </w:tc>
        <w:tc>
          <w:tcPr>
            <w:tcW w:w="681" w:type="pct"/>
            <w:vMerge w:val="restart"/>
            <w:shd w:val="clear" w:color="auto" w:fill="auto"/>
            <w:vAlign w:val="center"/>
            <w:hideMark/>
          </w:tcPr>
          <w:p w14:paraId="3BF7F389" w14:textId="6097A3FA" w:rsidR="00542464" w:rsidRPr="009159DE" w:rsidRDefault="00542464" w:rsidP="00542464">
            <w:pPr>
              <w:jc w:val="center"/>
              <w:rPr>
                <w:spacing w:val="-2"/>
                <w:lang w:eastAsia="en-US"/>
              </w:rPr>
            </w:pPr>
            <w:r w:rsidRPr="009159DE">
              <w:rPr>
                <w:spacing w:val="-2"/>
                <w:lang w:eastAsia="en-US"/>
              </w:rPr>
              <w:t>X</w:t>
            </w:r>
          </w:p>
        </w:tc>
        <w:tc>
          <w:tcPr>
            <w:tcW w:w="683" w:type="pct"/>
            <w:shd w:val="clear" w:color="auto" w:fill="auto"/>
            <w:vAlign w:val="center"/>
            <w:hideMark/>
          </w:tcPr>
          <w:p w14:paraId="1815E488" w14:textId="77777777" w:rsidR="00542464" w:rsidRPr="009159DE" w:rsidRDefault="00542464" w:rsidP="00542464">
            <w:pPr>
              <w:ind w:right="-30"/>
              <w:rPr>
                <w:spacing w:val="-2"/>
                <w:lang w:eastAsia="en-US"/>
              </w:rPr>
            </w:pPr>
            <w:r w:rsidRPr="009159DE">
              <w:rPr>
                <w:spacing w:val="-2"/>
                <w:lang w:eastAsia="en-US"/>
              </w:rPr>
              <w:t xml:space="preserve">-800 000 –  </w:t>
            </w:r>
          </w:p>
          <w:p w14:paraId="32469C14" w14:textId="5CBF22E6" w:rsidR="00542464" w:rsidRPr="009159DE" w:rsidRDefault="00542464" w:rsidP="00542464">
            <w:pPr>
              <w:jc w:val="center"/>
              <w:rPr>
                <w:spacing w:val="-2"/>
                <w:lang w:eastAsia="en-US"/>
              </w:rPr>
            </w:pPr>
            <w:r w:rsidRPr="009159DE">
              <w:rPr>
                <w:spacing w:val="-2"/>
                <w:lang w:eastAsia="en-US"/>
              </w:rPr>
              <w:t>-1 900 000</w:t>
            </w:r>
          </w:p>
        </w:tc>
        <w:tc>
          <w:tcPr>
            <w:tcW w:w="553" w:type="pct"/>
            <w:gridSpan w:val="2"/>
            <w:vMerge w:val="restart"/>
            <w:shd w:val="clear" w:color="auto" w:fill="auto"/>
            <w:vAlign w:val="center"/>
            <w:hideMark/>
          </w:tcPr>
          <w:p w14:paraId="59DE8374" w14:textId="12129D65" w:rsidR="00542464" w:rsidRPr="009159DE" w:rsidRDefault="00542464" w:rsidP="00542464">
            <w:pPr>
              <w:jc w:val="center"/>
              <w:rPr>
                <w:spacing w:val="-2"/>
                <w:lang w:eastAsia="en-US"/>
              </w:rPr>
            </w:pPr>
            <w:r w:rsidRPr="009159DE">
              <w:rPr>
                <w:spacing w:val="-2"/>
                <w:lang w:eastAsia="en-US"/>
              </w:rPr>
              <w:t>X</w:t>
            </w:r>
          </w:p>
        </w:tc>
        <w:tc>
          <w:tcPr>
            <w:tcW w:w="736" w:type="pct"/>
            <w:shd w:val="clear" w:color="auto" w:fill="auto"/>
            <w:vAlign w:val="center"/>
            <w:hideMark/>
          </w:tcPr>
          <w:p w14:paraId="048F4AA7" w14:textId="77777777" w:rsidR="00542464" w:rsidRPr="009159DE" w:rsidRDefault="00542464" w:rsidP="00542464">
            <w:pPr>
              <w:ind w:right="-6"/>
              <w:jc w:val="center"/>
              <w:rPr>
                <w:spacing w:val="-2"/>
                <w:lang w:eastAsia="en-US"/>
              </w:rPr>
            </w:pPr>
            <w:r w:rsidRPr="009159DE">
              <w:rPr>
                <w:spacing w:val="-2"/>
                <w:lang w:eastAsia="en-US"/>
              </w:rPr>
              <w:noBreakHyphen/>
              <w:t xml:space="preserve">2 100 000 – </w:t>
            </w:r>
          </w:p>
          <w:p w14:paraId="4865F153" w14:textId="2162A6F4" w:rsidR="00542464" w:rsidRPr="009159DE" w:rsidRDefault="00542464" w:rsidP="00542464">
            <w:pPr>
              <w:jc w:val="center"/>
              <w:rPr>
                <w:spacing w:val="-2"/>
                <w:lang w:eastAsia="en-US"/>
              </w:rPr>
            </w:pPr>
            <w:r w:rsidRPr="009159DE">
              <w:rPr>
                <w:spacing w:val="-2"/>
                <w:lang w:eastAsia="en-US"/>
              </w:rPr>
              <w:t xml:space="preserve"> -3 400 000</w:t>
            </w:r>
          </w:p>
        </w:tc>
        <w:tc>
          <w:tcPr>
            <w:tcW w:w="530" w:type="pct"/>
            <w:gridSpan w:val="2"/>
            <w:shd w:val="clear" w:color="auto" w:fill="auto"/>
            <w:vAlign w:val="center"/>
            <w:hideMark/>
          </w:tcPr>
          <w:p w14:paraId="09E7E47B" w14:textId="53E03252" w:rsidR="00542464" w:rsidRPr="009159DE" w:rsidRDefault="00542464" w:rsidP="00542464">
            <w:pPr>
              <w:jc w:val="center"/>
              <w:rPr>
                <w:spacing w:val="-2"/>
                <w:lang w:eastAsia="en-US"/>
              </w:rPr>
            </w:pPr>
            <w:r w:rsidRPr="009159DE">
              <w:rPr>
                <w:spacing w:val="-2"/>
                <w:lang w:eastAsia="en-US"/>
              </w:rPr>
              <w:t>0</w:t>
            </w:r>
          </w:p>
        </w:tc>
      </w:tr>
      <w:tr w:rsidR="00542464" w:rsidRPr="009159DE" w14:paraId="46B8281F" w14:textId="77777777" w:rsidTr="00B6493E">
        <w:trPr>
          <w:cantSplit/>
        </w:trPr>
        <w:tc>
          <w:tcPr>
            <w:tcW w:w="833" w:type="pct"/>
            <w:shd w:val="clear" w:color="auto" w:fill="auto"/>
            <w:hideMark/>
          </w:tcPr>
          <w:p w14:paraId="2D9A54A0" w14:textId="77777777" w:rsidR="00542464" w:rsidRPr="009159DE" w:rsidRDefault="00542464" w:rsidP="00542464">
            <w:pPr>
              <w:rPr>
                <w:spacing w:val="-2"/>
                <w:lang w:eastAsia="en-US"/>
              </w:rPr>
            </w:pPr>
            <w:r w:rsidRPr="009159DE">
              <w:rPr>
                <w:spacing w:val="-2"/>
                <w:lang w:eastAsia="en-US"/>
              </w:rPr>
              <w:t>5.1. valsts pamatbudžets</w:t>
            </w:r>
          </w:p>
        </w:tc>
        <w:tc>
          <w:tcPr>
            <w:tcW w:w="531" w:type="pct"/>
            <w:vMerge/>
            <w:shd w:val="clear" w:color="auto" w:fill="auto"/>
            <w:vAlign w:val="center"/>
            <w:hideMark/>
          </w:tcPr>
          <w:p w14:paraId="14AD4310" w14:textId="77777777" w:rsidR="00542464" w:rsidRPr="009159DE" w:rsidRDefault="00542464" w:rsidP="00542464">
            <w:pPr>
              <w:jc w:val="center"/>
              <w:rPr>
                <w:spacing w:val="-2"/>
                <w:lang w:eastAsia="en-US"/>
              </w:rPr>
            </w:pPr>
          </w:p>
        </w:tc>
        <w:tc>
          <w:tcPr>
            <w:tcW w:w="454" w:type="pct"/>
            <w:shd w:val="clear" w:color="auto" w:fill="auto"/>
            <w:vAlign w:val="center"/>
            <w:hideMark/>
          </w:tcPr>
          <w:p w14:paraId="55F2747C" w14:textId="05CEAFF1" w:rsidR="00542464" w:rsidRPr="009159DE" w:rsidRDefault="00542464" w:rsidP="00542464">
            <w:pPr>
              <w:jc w:val="center"/>
              <w:rPr>
                <w:spacing w:val="-2"/>
                <w:lang w:eastAsia="en-US"/>
              </w:rPr>
            </w:pPr>
            <w:r w:rsidRPr="009159DE">
              <w:rPr>
                <w:spacing w:val="-2"/>
                <w:lang w:eastAsia="en-US"/>
              </w:rPr>
              <w:t>0</w:t>
            </w:r>
          </w:p>
        </w:tc>
        <w:tc>
          <w:tcPr>
            <w:tcW w:w="681" w:type="pct"/>
            <w:vMerge/>
            <w:shd w:val="clear" w:color="auto" w:fill="auto"/>
            <w:vAlign w:val="center"/>
            <w:hideMark/>
          </w:tcPr>
          <w:p w14:paraId="516B9150" w14:textId="77777777" w:rsidR="00542464" w:rsidRPr="009159DE" w:rsidRDefault="00542464" w:rsidP="00542464">
            <w:pPr>
              <w:jc w:val="center"/>
              <w:rPr>
                <w:spacing w:val="-2"/>
                <w:lang w:eastAsia="en-US"/>
              </w:rPr>
            </w:pPr>
          </w:p>
        </w:tc>
        <w:tc>
          <w:tcPr>
            <w:tcW w:w="683" w:type="pct"/>
            <w:shd w:val="clear" w:color="auto" w:fill="auto"/>
            <w:vAlign w:val="center"/>
            <w:hideMark/>
          </w:tcPr>
          <w:p w14:paraId="0C57262D" w14:textId="77777777" w:rsidR="00542464" w:rsidRPr="009159DE" w:rsidRDefault="00542464" w:rsidP="00542464">
            <w:pPr>
              <w:ind w:right="-30"/>
              <w:rPr>
                <w:spacing w:val="-2"/>
                <w:lang w:eastAsia="en-US"/>
              </w:rPr>
            </w:pPr>
            <w:r w:rsidRPr="009159DE">
              <w:rPr>
                <w:spacing w:val="-2"/>
                <w:lang w:eastAsia="en-US"/>
              </w:rPr>
              <w:t xml:space="preserve">-800 000 –  </w:t>
            </w:r>
          </w:p>
          <w:p w14:paraId="26B282DB" w14:textId="249248A2" w:rsidR="00542464" w:rsidRPr="009159DE" w:rsidRDefault="00542464" w:rsidP="00542464">
            <w:pPr>
              <w:jc w:val="center"/>
              <w:rPr>
                <w:spacing w:val="-2"/>
                <w:lang w:eastAsia="en-US"/>
              </w:rPr>
            </w:pPr>
            <w:r w:rsidRPr="009159DE">
              <w:rPr>
                <w:spacing w:val="-2"/>
                <w:lang w:eastAsia="en-US"/>
              </w:rPr>
              <w:t>-1 900 000</w:t>
            </w:r>
          </w:p>
        </w:tc>
        <w:tc>
          <w:tcPr>
            <w:tcW w:w="553" w:type="pct"/>
            <w:gridSpan w:val="2"/>
            <w:vMerge/>
            <w:shd w:val="clear" w:color="auto" w:fill="auto"/>
            <w:vAlign w:val="center"/>
            <w:hideMark/>
          </w:tcPr>
          <w:p w14:paraId="2952C867" w14:textId="77777777" w:rsidR="00542464" w:rsidRPr="009159DE" w:rsidRDefault="00542464" w:rsidP="00542464">
            <w:pPr>
              <w:jc w:val="center"/>
              <w:rPr>
                <w:spacing w:val="-2"/>
                <w:lang w:eastAsia="en-US"/>
              </w:rPr>
            </w:pPr>
          </w:p>
        </w:tc>
        <w:tc>
          <w:tcPr>
            <w:tcW w:w="736" w:type="pct"/>
            <w:shd w:val="clear" w:color="auto" w:fill="auto"/>
            <w:vAlign w:val="center"/>
            <w:hideMark/>
          </w:tcPr>
          <w:p w14:paraId="680571EC" w14:textId="77777777" w:rsidR="00542464" w:rsidRPr="009159DE" w:rsidRDefault="00542464" w:rsidP="00542464">
            <w:pPr>
              <w:ind w:right="-6"/>
              <w:jc w:val="center"/>
              <w:rPr>
                <w:spacing w:val="-2"/>
                <w:lang w:eastAsia="en-US"/>
              </w:rPr>
            </w:pPr>
            <w:r w:rsidRPr="009159DE">
              <w:rPr>
                <w:spacing w:val="-2"/>
                <w:lang w:eastAsia="en-US"/>
              </w:rPr>
              <w:noBreakHyphen/>
              <w:t xml:space="preserve">2 100 000 – </w:t>
            </w:r>
          </w:p>
          <w:p w14:paraId="67DEDDC6" w14:textId="12837F2C" w:rsidR="00542464" w:rsidRPr="009159DE" w:rsidRDefault="00542464" w:rsidP="00542464">
            <w:pPr>
              <w:jc w:val="center"/>
              <w:rPr>
                <w:spacing w:val="-2"/>
                <w:lang w:eastAsia="en-US"/>
              </w:rPr>
            </w:pPr>
            <w:r w:rsidRPr="009159DE">
              <w:rPr>
                <w:spacing w:val="-2"/>
                <w:lang w:eastAsia="en-US"/>
              </w:rPr>
              <w:t xml:space="preserve"> -3 400 000</w:t>
            </w:r>
          </w:p>
        </w:tc>
        <w:tc>
          <w:tcPr>
            <w:tcW w:w="530" w:type="pct"/>
            <w:gridSpan w:val="2"/>
            <w:shd w:val="clear" w:color="auto" w:fill="auto"/>
            <w:vAlign w:val="center"/>
            <w:hideMark/>
          </w:tcPr>
          <w:p w14:paraId="6BEEE445" w14:textId="0946B258" w:rsidR="00542464" w:rsidRPr="009159DE" w:rsidRDefault="00542464" w:rsidP="00542464">
            <w:pPr>
              <w:jc w:val="center"/>
              <w:rPr>
                <w:spacing w:val="-2"/>
                <w:lang w:eastAsia="en-US"/>
              </w:rPr>
            </w:pPr>
            <w:r w:rsidRPr="009159DE">
              <w:rPr>
                <w:spacing w:val="-2"/>
                <w:lang w:eastAsia="en-US"/>
              </w:rPr>
              <w:t>0</w:t>
            </w:r>
          </w:p>
        </w:tc>
      </w:tr>
      <w:tr w:rsidR="00542464" w:rsidRPr="009159DE" w14:paraId="72C0C732" w14:textId="77777777" w:rsidTr="00B6493E">
        <w:trPr>
          <w:cantSplit/>
        </w:trPr>
        <w:tc>
          <w:tcPr>
            <w:tcW w:w="833" w:type="pct"/>
            <w:shd w:val="clear" w:color="auto" w:fill="auto"/>
            <w:hideMark/>
          </w:tcPr>
          <w:p w14:paraId="21E80D3F" w14:textId="77777777" w:rsidR="00542464" w:rsidRPr="009159DE" w:rsidRDefault="00542464" w:rsidP="00542464">
            <w:pPr>
              <w:rPr>
                <w:spacing w:val="-2"/>
                <w:lang w:eastAsia="en-US"/>
              </w:rPr>
            </w:pPr>
            <w:r w:rsidRPr="009159DE">
              <w:rPr>
                <w:spacing w:val="-2"/>
                <w:lang w:eastAsia="en-US"/>
              </w:rPr>
              <w:t>5.2. speciālais budžets</w:t>
            </w:r>
          </w:p>
        </w:tc>
        <w:tc>
          <w:tcPr>
            <w:tcW w:w="531" w:type="pct"/>
            <w:vMerge/>
            <w:shd w:val="clear" w:color="auto" w:fill="auto"/>
            <w:vAlign w:val="center"/>
            <w:hideMark/>
          </w:tcPr>
          <w:p w14:paraId="5E50F783" w14:textId="77777777" w:rsidR="00542464" w:rsidRPr="009159DE" w:rsidRDefault="00542464" w:rsidP="00542464">
            <w:pPr>
              <w:jc w:val="center"/>
              <w:rPr>
                <w:spacing w:val="-2"/>
                <w:lang w:eastAsia="en-US"/>
              </w:rPr>
            </w:pPr>
          </w:p>
        </w:tc>
        <w:tc>
          <w:tcPr>
            <w:tcW w:w="454" w:type="pct"/>
            <w:shd w:val="clear" w:color="auto" w:fill="auto"/>
            <w:vAlign w:val="center"/>
            <w:hideMark/>
          </w:tcPr>
          <w:p w14:paraId="63343D52" w14:textId="2F001F81" w:rsidR="00542464" w:rsidRPr="009159DE" w:rsidRDefault="00542464" w:rsidP="00542464">
            <w:pPr>
              <w:jc w:val="center"/>
              <w:rPr>
                <w:spacing w:val="-2"/>
                <w:lang w:eastAsia="en-US"/>
              </w:rPr>
            </w:pPr>
            <w:r w:rsidRPr="009159DE">
              <w:rPr>
                <w:spacing w:val="-2"/>
                <w:lang w:eastAsia="en-US"/>
              </w:rPr>
              <w:t>0</w:t>
            </w:r>
          </w:p>
        </w:tc>
        <w:tc>
          <w:tcPr>
            <w:tcW w:w="681" w:type="pct"/>
            <w:vMerge/>
            <w:shd w:val="clear" w:color="auto" w:fill="auto"/>
            <w:vAlign w:val="center"/>
            <w:hideMark/>
          </w:tcPr>
          <w:p w14:paraId="66215FBC" w14:textId="77777777" w:rsidR="00542464" w:rsidRPr="009159DE" w:rsidRDefault="00542464" w:rsidP="00542464">
            <w:pPr>
              <w:jc w:val="center"/>
              <w:rPr>
                <w:spacing w:val="-2"/>
                <w:lang w:eastAsia="en-US"/>
              </w:rPr>
            </w:pPr>
          </w:p>
        </w:tc>
        <w:tc>
          <w:tcPr>
            <w:tcW w:w="683" w:type="pct"/>
            <w:shd w:val="clear" w:color="auto" w:fill="auto"/>
            <w:vAlign w:val="center"/>
            <w:hideMark/>
          </w:tcPr>
          <w:p w14:paraId="29628D2F" w14:textId="1F67C2E3" w:rsidR="00542464" w:rsidRPr="009159DE" w:rsidRDefault="00542464" w:rsidP="00542464">
            <w:pPr>
              <w:jc w:val="center"/>
              <w:rPr>
                <w:spacing w:val="-2"/>
                <w:lang w:eastAsia="en-US"/>
              </w:rPr>
            </w:pPr>
            <w:r w:rsidRPr="009159DE">
              <w:rPr>
                <w:spacing w:val="-2"/>
                <w:lang w:eastAsia="en-US"/>
              </w:rPr>
              <w:t>0</w:t>
            </w:r>
          </w:p>
        </w:tc>
        <w:tc>
          <w:tcPr>
            <w:tcW w:w="553" w:type="pct"/>
            <w:gridSpan w:val="2"/>
            <w:vMerge/>
            <w:shd w:val="clear" w:color="auto" w:fill="auto"/>
            <w:vAlign w:val="center"/>
            <w:hideMark/>
          </w:tcPr>
          <w:p w14:paraId="44CF0E67" w14:textId="77777777" w:rsidR="00542464" w:rsidRPr="009159DE" w:rsidRDefault="00542464" w:rsidP="00542464">
            <w:pPr>
              <w:jc w:val="center"/>
              <w:rPr>
                <w:spacing w:val="-2"/>
                <w:lang w:eastAsia="en-US"/>
              </w:rPr>
            </w:pPr>
          </w:p>
        </w:tc>
        <w:tc>
          <w:tcPr>
            <w:tcW w:w="736" w:type="pct"/>
            <w:shd w:val="clear" w:color="auto" w:fill="auto"/>
            <w:vAlign w:val="center"/>
            <w:hideMark/>
          </w:tcPr>
          <w:p w14:paraId="56686673" w14:textId="729B0C13"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7E2F2C3B" w14:textId="1261E69E" w:rsidR="00542464" w:rsidRPr="009159DE" w:rsidRDefault="00542464" w:rsidP="00542464">
            <w:pPr>
              <w:jc w:val="center"/>
              <w:rPr>
                <w:spacing w:val="-2"/>
                <w:lang w:eastAsia="en-US"/>
              </w:rPr>
            </w:pPr>
            <w:r w:rsidRPr="009159DE">
              <w:rPr>
                <w:spacing w:val="-2"/>
                <w:lang w:eastAsia="en-US"/>
              </w:rPr>
              <w:t>0</w:t>
            </w:r>
          </w:p>
        </w:tc>
      </w:tr>
      <w:tr w:rsidR="00542464" w:rsidRPr="009159DE" w14:paraId="74156F11" w14:textId="77777777" w:rsidTr="00B6493E">
        <w:trPr>
          <w:cantSplit/>
        </w:trPr>
        <w:tc>
          <w:tcPr>
            <w:tcW w:w="833" w:type="pct"/>
            <w:shd w:val="clear" w:color="auto" w:fill="auto"/>
            <w:hideMark/>
          </w:tcPr>
          <w:p w14:paraId="68A6BB6D" w14:textId="77777777" w:rsidR="00542464" w:rsidRPr="009159DE" w:rsidRDefault="00542464" w:rsidP="00542464">
            <w:pPr>
              <w:rPr>
                <w:spacing w:val="-2"/>
                <w:lang w:eastAsia="en-US"/>
              </w:rPr>
            </w:pPr>
            <w:r w:rsidRPr="009159DE">
              <w:rPr>
                <w:spacing w:val="-2"/>
                <w:lang w:eastAsia="en-US"/>
              </w:rPr>
              <w:t>5.3. pašvaldību budžets</w:t>
            </w:r>
          </w:p>
        </w:tc>
        <w:tc>
          <w:tcPr>
            <w:tcW w:w="531" w:type="pct"/>
            <w:vMerge/>
            <w:shd w:val="clear" w:color="auto" w:fill="auto"/>
            <w:vAlign w:val="center"/>
            <w:hideMark/>
          </w:tcPr>
          <w:p w14:paraId="5F7144F3" w14:textId="77777777" w:rsidR="00542464" w:rsidRPr="009159DE" w:rsidRDefault="00542464" w:rsidP="00542464">
            <w:pPr>
              <w:jc w:val="center"/>
              <w:rPr>
                <w:spacing w:val="-2"/>
                <w:lang w:eastAsia="en-US"/>
              </w:rPr>
            </w:pPr>
          </w:p>
        </w:tc>
        <w:tc>
          <w:tcPr>
            <w:tcW w:w="454" w:type="pct"/>
            <w:shd w:val="clear" w:color="auto" w:fill="auto"/>
            <w:vAlign w:val="center"/>
            <w:hideMark/>
          </w:tcPr>
          <w:p w14:paraId="176EFDE3" w14:textId="4541F0B1" w:rsidR="00542464" w:rsidRPr="009159DE" w:rsidRDefault="00542464" w:rsidP="00542464">
            <w:pPr>
              <w:jc w:val="center"/>
              <w:rPr>
                <w:spacing w:val="-2"/>
                <w:lang w:eastAsia="en-US"/>
              </w:rPr>
            </w:pPr>
            <w:r w:rsidRPr="009159DE">
              <w:rPr>
                <w:spacing w:val="-2"/>
                <w:lang w:eastAsia="en-US"/>
              </w:rPr>
              <w:t>0</w:t>
            </w:r>
          </w:p>
        </w:tc>
        <w:tc>
          <w:tcPr>
            <w:tcW w:w="681" w:type="pct"/>
            <w:vMerge/>
            <w:shd w:val="clear" w:color="auto" w:fill="auto"/>
            <w:vAlign w:val="center"/>
            <w:hideMark/>
          </w:tcPr>
          <w:p w14:paraId="180EBE9D" w14:textId="77777777" w:rsidR="00542464" w:rsidRPr="009159DE" w:rsidRDefault="00542464" w:rsidP="00542464">
            <w:pPr>
              <w:jc w:val="center"/>
              <w:rPr>
                <w:spacing w:val="-2"/>
                <w:lang w:eastAsia="en-US"/>
              </w:rPr>
            </w:pPr>
          </w:p>
        </w:tc>
        <w:tc>
          <w:tcPr>
            <w:tcW w:w="683" w:type="pct"/>
            <w:shd w:val="clear" w:color="auto" w:fill="auto"/>
            <w:vAlign w:val="center"/>
            <w:hideMark/>
          </w:tcPr>
          <w:p w14:paraId="08B35C03" w14:textId="55CADE31" w:rsidR="00542464" w:rsidRPr="009159DE" w:rsidRDefault="00542464" w:rsidP="00542464">
            <w:pPr>
              <w:jc w:val="center"/>
              <w:rPr>
                <w:spacing w:val="-2"/>
                <w:lang w:eastAsia="en-US"/>
              </w:rPr>
            </w:pPr>
            <w:r w:rsidRPr="009159DE">
              <w:rPr>
                <w:spacing w:val="-2"/>
                <w:lang w:eastAsia="en-US"/>
              </w:rPr>
              <w:t>0</w:t>
            </w:r>
          </w:p>
        </w:tc>
        <w:tc>
          <w:tcPr>
            <w:tcW w:w="553" w:type="pct"/>
            <w:gridSpan w:val="2"/>
            <w:vMerge/>
            <w:shd w:val="clear" w:color="auto" w:fill="auto"/>
            <w:vAlign w:val="center"/>
            <w:hideMark/>
          </w:tcPr>
          <w:p w14:paraId="63DDA3CC" w14:textId="77777777" w:rsidR="00542464" w:rsidRPr="009159DE" w:rsidRDefault="00542464" w:rsidP="00542464">
            <w:pPr>
              <w:jc w:val="center"/>
              <w:rPr>
                <w:spacing w:val="-2"/>
                <w:lang w:eastAsia="en-US"/>
              </w:rPr>
            </w:pPr>
          </w:p>
        </w:tc>
        <w:tc>
          <w:tcPr>
            <w:tcW w:w="736" w:type="pct"/>
            <w:shd w:val="clear" w:color="auto" w:fill="auto"/>
            <w:vAlign w:val="center"/>
            <w:hideMark/>
          </w:tcPr>
          <w:p w14:paraId="48E1B89A" w14:textId="3D37D6D6" w:rsidR="00542464" w:rsidRPr="009159DE" w:rsidRDefault="00542464" w:rsidP="00542464">
            <w:pPr>
              <w:jc w:val="center"/>
              <w:rPr>
                <w:spacing w:val="-2"/>
                <w:lang w:eastAsia="en-US"/>
              </w:rPr>
            </w:pPr>
            <w:r w:rsidRPr="009159DE">
              <w:rPr>
                <w:spacing w:val="-2"/>
                <w:lang w:eastAsia="en-US"/>
              </w:rPr>
              <w:t>0</w:t>
            </w:r>
          </w:p>
        </w:tc>
        <w:tc>
          <w:tcPr>
            <w:tcW w:w="530" w:type="pct"/>
            <w:gridSpan w:val="2"/>
            <w:shd w:val="clear" w:color="auto" w:fill="auto"/>
            <w:vAlign w:val="center"/>
            <w:hideMark/>
          </w:tcPr>
          <w:p w14:paraId="1673D094" w14:textId="08F5ECCA" w:rsidR="00542464" w:rsidRPr="009159DE" w:rsidRDefault="00542464" w:rsidP="00542464">
            <w:pPr>
              <w:jc w:val="center"/>
              <w:rPr>
                <w:spacing w:val="-2"/>
                <w:lang w:eastAsia="en-US"/>
              </w:rPr>
            </w:pPr>
            <w:r w:rsidRPr="009159DE">
              <w:rPr>
                <w:spacing w:val="-2"/>
                <w:lang w:eastAsia="en-US"/>
              </w:rPr>
              <w:t>0</w:t>
            </w:r>
          </w:p>
        </w:tc>
      </w:tr>
      <w:tr w:rsidR="00542464" w:rsidRPr="009159DE" w14:paraId="665044CB" w14:textId="77777777" w:rsidTr="00B6493E">
        <w:trPr>
          <w:cantSplit/>
        </w:trPr>
        <w:tc>
          <w:tcPr>
            <w:tcW w:w="833" w:type="pct"/>
            <w:shd w:val="clear" w:color="auto" w:fill="auto"/>
            <w:hideMark/>
          </w:tcPr>
          <w:p w14:paraId="7552CCF1" w14:textId="77777777" w:rsidR="00542464" w:rsidRPr="009159DE" w:rsidRDefault="00542464" w:rsidP="00542464">
            <w:pPr>
              <w:rPr>
                <w:spacing w:val="-2"/>
                <w:lang w:eastAsia="en-US"/>
              </w:rPr>
            </w:pPr>
            <w:r w:rsidRPr="009159DE">
              <w:rPr>
                <w:spacing w:val="-2"/>
                <w:lang w:eastAsia="en-US"/>
              </w:rPr>
              <w:lastRenderedPageBreak/>
              <w:t>6. Detalizēts ieņēmumu un izdevumu aprēķins (ja nepieciešams, detalizētu ieņēmumu un izdevumu aprēķinu var pievienot anotācijas pielikumā)</w:t>
            </w:r>
          </w:p>
        </w:tc>
        <w:tc>
          <w:tcPr>
            <w:tcW w:w="4167" w:type="pct"/>
            <w:gridSpan w:val="9"/>
            <w:vMerge w:val="restart"/>
            <w:shd w:val="clear" w:color="auto" w:fill="auto"/>
            <w:vAlign w:val="center"/>
          </w:tcPr>
          <w:p w14:paraId="46091AA7" w14:textId="6A7D9BD4" w:rsidR="00542464" w:rsidRPr="009159DE" w:rsidRDefault="00542464" w:rsidP="00542464">
            <w:pPr>
              <w:ind w:left="109" w:right="117" w:firstLine="393"/>
              <w:jc w:val="both"/>
              <w:rPr>
                <w:bCs/>
                <w:spacing w:val="-2"/>
              </w:rPr>
            </w:pPr>
          </w:p>
        </w:tc>
      </w:tr>
      <w:tr w:rsidR="00542464" w:rsidRPr="009159DE" w14:paraId="53CD1308" w14:textId="77777777" w:rsidTr="00B6493E">
        <w:trPr>
          <w:cantSplit/>
        </w:trPr>
        <w:tc>
          <w:tcPr>
            <w:tcW w:w="833" w:type="pct"/>
            <w:shd w:val="clear" w:color="auto" w:fill="auto"/>
            <w:hideMark/>
          </w:tcPr>
          <w:p w14:paraId="306C0E91" w14:textId="77777777" w:rsidR="00542464" w:rsidRPr="009159DE" w:rsidRDefault="00542464" w:rsidP="00542464">
            <w:pPr>
              <w:rPr>
                <w:spacing w:val="-2"/>
                <w:lang w:eastAsia="en-US"/>
              </w:rPr>
            </w:pPr>
            <w:r w:rsidRPr="009159DE">
              <w:rPr>
                <w:spacing w:val="-2"/>
                <w:lang w:eastAsia="en-US"/>
              </w:rPr>
              <w:t>6.1. detalizēts ieņēmumu aprēķins</w:t>
            </w:r>
          </w:p>
        </w:tc>
        <w:tc>
          <w:tcPr>
            <w:tcW w:w="4167" w:type="pct"/>
            <w:gridSpan w:val="9"/>
            <w:vMerge/>
            <w:shd w:val="clear" w:color="auto" w:fill="auto"/>
            <w:vAlign w:val="center"/>
            <w:hideMark/>
          </w:tcPr>
          <w:p w14:paraId="3C779CF4" w14:textId="77777777" w:rsidR="00542464" w:rsidRPr="009159DE" w:rsidRDefault="00542464" w:rsidP="00542464">
            <w:pPr>
              <w:jc w:val="center"/>
              <w:rPr>
                <w:spacing w:val="-2"/>
                <w:lang w:eastAsia="en-US"/>
              </w:rPr>
            </w:pPr>
          </w:p>
        </w:tc>
      </w:tr>
      <w:tr w:rsidR="00542464" w:rsidRPr="009159DE" w14:paraId="66695AC0" w14:textId="77777777" w:rsidTr="00B6493E">
        <w:trPr>
          <w:cantSplit/>
        </w:trPr>
        <w:tc>
          <w:tcPr>
            <w:tcW w:w="833" w:type="pct"/>
            <w:shd w:val="clear" w:color="auto" w:fill="auto"/>
            <w:hideMark/>
          </w:tcPr>
          <w:p w14:paraId="7D60044D" w14:textId="77777777" w:rsidR="00542464" w:rsidRPr="009159DE" w:rsidRDefault="00542464" w:rsidP="00542464">
            <w:pPr>
              <w:rPr>
                <w:spacing w:val="-2"/>
                <w:lang w:eastAsia="en-US"/>
              </w:rPr>
            </w:pPr>
            <w:r w:rsidRPr="009159DE">
              <w:rPr>
                <w:spacing w:val="-2"/>
                <w:lang w:eastAsia="en-US"/>
              </w:rPr>
              <w:t>6.2. detalizēts izdevumu aprēķins</w:t>
            </w:r>
          </w:p>
        </w:tc>
        <w:tc>
          <w:tcPr>
            <w:tcW w:w="4167" w:type="pct"/>
            <w:gridSpan w:val="9"/>
            <w:vMerge/>
            <w:shd w:val="clear" w:color="auto" w:fill="auto"/>
            <w:vAlign w:val="center"/>
            <w:hideMark/>
          </w:tcPr>
          <w:p w14:paraId="6791FB7A" w14:textId="77777777" w:rsidR="00542464" w:rsidRPr="009159DE" w:rsidRDefault="00542464" w:rsidP="00542464">
            <w:pPr>
              <w:jc w:val="center"/>
              <w:rPr>
                <w:spacing w:val="-2"/>
                <w:lang w:eastAsia="en-US"/>
              </w:rPr>
            </w:pPr>
          </w:p>
        </w:tc>
      </w:tr>
      <w:tr w:rsidR="00542464" w:rsidRPr="009159DE" w14:paraId="1496F36F" w14:textId="77777777" w:rsidTr="00B6493E">
        <w:trPr>
          <w:cantSplit/>
        </w:trPr>
        <w:tc>
          <w:tcPr>
            <w:tcW w:w="833" w:type="pct"/>
            <w:shd w:val="clear" w:color="auto" w:fill="auto"/>
            <w:hideMark/>
          </w:tcPr>
          <w:p w14:paraId="72CB5303" w14:textId="77777777" w:rsidR="00542464" w:rsidRPr="009159DE" w:rsidRDefault="00542464" w:rsidP="00542464">
            <w:pPr>
              <w:rPr>
                <w:spacing w:val="-2"/>
                <w:lang w:eastAsia="en-US"/>
              </w:rPr>
            </w:pPr>
            <w:r w:rsidRPr="009159DE">
              <w:rPr>
                <w:spacing w:val="-2"/>
                <w:lang w:eastAsia="en-US"/>
              </w:rPr>
              <w:t>7. Amata vietu skaita izmaiņas</w:t>
            </w:r>
          </w:p>
        </w:tc>
        <w:tc>
          <w:tcPr>
            <w:tcW w:w="4167" w:type="pct"/>
            <w:gridSpan w:val="9"/>
            <w:shd w:val="clear" w:color="auto" w:fill="auto"/>
            <w:hideMark/>
          </w:tcPr>
          <w:p w14:paraId="7D3C7D11" w14:textId="3CA0AE7D" w:rsidR="00542464" w:rsidRPr="009159DE" w:rsidRDefault="00542464" w:rsidP="00542464">
            <w:pPr>
              <w:rPr>
                <w:spacing w:val="-2"/>
                <w:lang w:eastAsia="en-US"/>
              </w:rPr>
            </w:pPr>
            <w:r w:rsidRPr="009159DE">
              <w:rPr>
                <w:spacing w:val="-2"/>
                <w:lang w:eastAsia="en-US"/>
              </w:rPr>
              <w:t>Nav</w:t>
            </w:r>
          </w:p>
        </w:tc>
      </w:tr>
      <w:tr w:rsidR="00542464" w:rsidRPr="009159DE" w14:paraId="104D131E" w14:textId="77777777" w:rsidTr="00B6493E">
        <w:trPr>
          <w:cantSplit/>
        </w:trPr>
        <w:tc>
          <w:tcPr>
            <w:tcW w:w="833" w:type="pct"/>
            <w:shd w:val="clear" w:color="auto" w:fill="auto"/>
            <w:hideMark/>
          </w:tcPr>
          <w:p w14:paraId="7E059F58" w14:textId="71E7DE0C" w:rsidR="00542464" w:rsidRPr="009159DE" w:rsidRDefault="00542464" w:rsidP="00542464">
            <w:pPr>
              <w:rPr>
                <w:spacing w:val="-2"/>
                <w:lang w:eastAsia="en-US"/>
              </w:rPr>
            </w:pPr>
            <w:r w:rsidRPr="009159DE">
              <w:rPr>
                <w:spacing w:val="-2"/>
                <w:lang w:eastAsia="en-US"/>
              </w:rPr>
              <w:lastRenderedPageBreak/>
              <w:t>8. Cita informācija</w:t>
            </w:r>
          </w:p>
        </w:tc>
        <w:tc>
          <w:tcPr>
            <w:tcW w:w="4167" w:type="pct"/>
            <w:gridSpan w:val="9"/>
            <w:shd w:val="clear" w:color="auto" w:fill="auto"/>
            <w:hideMark/>
          </w:tcPr>
          <w:p w14:paraId="511B2F95" w14:textId="35D53A68" w:rsidR="00542464" w:rsidRPr="009159DE" w:rsidRDefault="00542464" w:rsidP="00542464">
            <w:pPr>
              <w:ind w:right="109"/>
              <w:jc w:val="both"/>
              <w:rPr>
                <w:spacing w:val="-2"/>
              </w:rPr>
            </w:pPr>
            <w:r w:rsidRPr="009159DE">
              <w:rPr>
                <w:spacing w:val="-2"/>
              </w:rPr>
              <w:t>Šobrīd nav iespējams konkrēti noteikt, kāda būtu ietekme uz valsts budžetu, bet ir secināms, ka tā būs negatīva. Ņemot vērā ar Covid-19 vakcīnu transportēšanas un uzglabāšanas saistītus nosacījumus (zemas temperatūras režīms), varētu pieņemt, ka to piegāde tiks veikta tieši uz vakcinācijas centriem. Kad būs zināmi šo vakcīnu transportēšanas un uzglabāšanas nosacījumi, būs iespējams spriest par ar Covid-19 vakcīnu cieši saistītiem pakalpojumiem, kas uz doto brīdi nav iespējams.</w:t>
            </w:r>
          </w:p>
          <w:p w14:paraId="75287C7B" w14:textId="3927046F" w:rsidR="00542464" w:rsidRPr="009159DE" w:rsidRDefault="00542464" w:rsidP="00542464">
            <w:pPr>
              <w:ind w:right="136"/>
              <w:jc w:val="both"/>
              <w:rPr>
                <w:rFonts w:eastAsia="Calibri"/>
                <w:spacing w:val="-2"/>
                <w:lang w:eastAsia="en-US"/>
              </w:rPr>
            </w:pPr>
            <w:r w:rsidRPr="009159DE">
              <w:rPr>
                <w:rFonts w:eastAsia="Calibri"/>
                <w:spacing w:val="-2"/>
                <w:lang w:eastAsia="en-US"/>
              </w:rPr>
              <w:t>Provizoriski tiek izskatīti trīs scenāriji: bāzes scenārijs, labvēlīgs un nelabvēlīgs scenārijs. Scenāriju pieņēmumi par vakcinācijas aktivitāti balstās uz eksperta viedokli un uz publiski pieejamu informāciju. Bāzes scenārijā tiek pieņemts, ka divu gadu laikā ar valsts apmaksātu COVID-19 vakcīnu vakcinēto cilvēku skaits varētu sasniegs 600 tūkst., savukārt labvēlīgajā scenārijā šis skaits ir 800 tūkst., kas atbilst Veselības ministrijas publiskotai informācijai, ka valsts apmaksāta vakcīna varētu tikt nodrošināta vairāk nekā 800 tūkst. cilvēkiem</w:t>
            </w:r>
            <w:r w:rsidRPr="009159DE">
              <w:rPr>
                <w:rFonts w:eastAsia="Calibri"/>
                <w:spacing w:val="-2"/>
                <w:vertAlign w:val="superscript"/>
                <w:lang w:eastAsia="en-US"/>
              </w:rPr>
              <w:footnoteReference w:id="2"/>
            </w:r>
            <w:r w:rsidRPr="009159DE">
              <w:rPr>
                <w:rFonts w:eastAsia="Calibri"/>
                <w:spacing w:val="-2"/>
                <w:lang w:eastAsia="en-US"/>
              </w:rPr>
              <w:t>. Ņemot vērā kopējo vakcinēto cilvēku skaitu, kā arī faktu, ka vakcinācija pret Covid</w:t>
            </w:r>
            <w:r w:rsidRPr="009159DE">
              <w:rPr>
                <w:rFonts w:eastAsia="Calibri"/>
                <w:spacing w:val="-2"/>
                <w:lang w:eastAsia="en-US"/>
              </w:rPr>
              <w:noBreakHyphen/>
              <w:t>19 būs brīvprātīga, labvēlīgā scenārijā tiek pieņemts, ka divu gadu laikā tiek vakcinēti gandrīz visi Latvijas iedzīvotāji; bāzes scenārijā – apmēram puse no Latvijas iedzīvotājiem, bet nelabvēlīgā scenārijā ar iedzīvotāju zemu vakcinācijas aktivitāti – apmēram 30%.</w:t>
            </w:r>
          </w:p>
          <w:p w14:paraId="2D3C5EA4" w14:textId="77777777" w:rsidR="00542464" w:rsidRPr="009159DE" w:rsidRDefault="00542464" w:rsidP="00542464">
            <w:pPr>
              <w:ind w:right="136"/>
              <w:jc w:val="both"/>
              <w:rPr>
                <w:rFonts w:eastAsia="Calibri"/>
                <w:spacing w:val="-2"/>
                <w:lang w:eastAsia="en-US"/>
              </w:rPr>
            </w:pPr>
            <w:r w:rsidRPr="009159DE">
              <w:rPr>
                <w:rFonts w:eastAsia="Calibri"/>
                <w:spacing w:val="-2"/>
                <w:lang w:eastAsia="en-US"/>
              </w:rPr>
              <w:t>Veselības ministrija veica 1,6 milj. </w:t>
            </w:r>
            <w:r w:rsidRPr="009159DE">
              <w:rPr>
                <w:rFonts w:eastAsia="Calibri"/>
                <w:i/>
                <w:spacing w:val="-2"/>
                <w:lang w:eastAsia="en-US"/>
              </w:rPr>
              <w:t>euro</w:t>
            </w:r>
            <w:r w:rsidRPr="009159DE">
              <w:rPr>
                <w:rFonts w:eastAsia="Calibri"/>
                <w:spacing w:val="-2"/>
                <w:lang w:eastAsia="en-US"/>
              </w:rPr>
              <w:t xml:space="preserve"> iemaksu, lai ar vakcīnu ražotājiem noslēgtu līgumu par zemāku cenu. Pēc Veselības ministrijas aplēsēm, bāzes scenārijā vienas Covid-19 vakcīnas devas cena varētu būt ap 15,5 </w:t>
            </w:r>
            <w:r w:rsidRPr="009159DE">
              <w:rPr>
                <w:rFonts w:eastAsia="Calibri"/>
                <w:i/>
                <w:spacing w:val="-2"/>
                <w:lang w:eastAsia="en-US"/>
              </w:rPr>
              <w:t>euro</w:t>
            </w:r>
            <w:r w:rsidRPr="009159DE">
              <w:rPr>
                <w:rFonts w:eastAsia="Calibri"/>
                <w:spacing w:val="-2"/>
                <w:lang w:eastAsia="en-US"/>
              </w:rPr>
              <w:t>, savukārt, labvēlīgā scenārijā – 12 </w:t>
            </w:r>
            <w:r w:rsidRPr="009159DE">
              <w:rPr>
                <w:rFonts w:eastAsia="Calibri"/>
                <w:i/>
                <w:spacing w:val="-2"/>
                <w:lang w:eastAsia="en-US"/>
              </w:rPr>
              <w:t>euro</w:t>
            </w:r>
            <w:r w:rsidRPr="009159DE">
              <w:rPr>
                <w:rFonts w:eastAsia="Calibri"/>
                <w:spacing w:val="-2"/>
                <w:lang w:eastAsia="en-US"/>
              </w:rPr>
              <w:t>. Pēc eksperta viedokļa nelabvēlīgā scenārijā Covid-19 vakcīnas devas varētu būt ap 20 </w:t>
            </w:r>
            <w:r w:rsidRPr="009159DE">
              <w:rPr>
                <w:rFonts w:eastAsia="Calibri"/>
                <w:i/>
                <w:spacing w:val="-2"/>
                <w:lang w:eastAsia="en-US"/>
              </w:rPr>
              <w:t>euro</w:t>
            </w:r>
            <w:r w:rsidRPr="009159DE">
              <w:rPr>
                <w:rFonts w:eastAsia="Calibri"/>
                <w:spacing w:val="-2"/>
                <w:lang w:eastAsia="en-US"/>
              </w:rPr>
              <w:t>. Ņemot vērā, ka gala patērētāja cena iekļaus sevī ne tikai Covid-19 vakcīnas devas cenu, bet arī transportēšanas, uzglabāšanas u.tml. izmaksas, balstoties uz eksperta viedokli tiek pieņemts, ka bāzes, labvēlīgā un nelabvēlīgā scenārijā gala patērētāja cena varētu būt attiecīgi 17, 13 un 22 </w:t>
            </w:r>
            <w:r w:rsidRPr="009159DE">
              <w:rPr>
                <w:rFonts w:eastAsia="Calibri"/>
                <w:i/>
                <w:spacing w:val="-2"/>
                <w:lang w:eastAsia="en-US"/>
              </w:rPr>
              <w:t>euro</w:t>
            </w:r>
            <w:r w:rsidRPr="009159DE">
              <w:rPr>
                <w:rFonts w:eastAsia="Calibri"/>
                <w:spacing w:val="-2"/>
                <w:lang w:eastAsia="en-US"/>
              </w:rPr>
              <w:t xml:space="preserve">. </w:t>
            </w:r>
          </w:p>
          <w:p w14:paraId="0007790C" w14:textId="77777777" w:rsidR="00542464" w:rsidRPr="009159DE" w:rsidRDefault="00542464" w:rsidP="00542464">
            <w:pPr>
              <w:ind w:right="136"/>
              <w:jc w:val="both"/>
              <w:rPr>
                <w:rFonts w:eastAsia="Calibri"/>
                <w:spacing w:val="-2"/>
                <w:lang w:eastAsia="en-US"/>
              </w:rPr>
            </w:pPr>
            <w:r w:rsidRPr="009159DE">
              <w:rPr>
                <w:rFonts w:eastAsia="Calibri"/>
                <w:spacing w:val="-2"/>
                <w:lang w:eastAsia="en-US"/>
              </w:rPr>
              <w:t>Jāuzsver, ka ņemot vērā to, ka vakcīnu iepirkumu process nav noslēgts un situācija mainās ļoti dinamiski, līdz ar to, visi esošie aprēķini un prognozes ir indikatīvi un aptuveni, it īpaši attiecībā uz visām papildus izmaksām.</w:t>
            </w:r>
          </w:p>
          <w:p w14:paraId="502E801F" w14:textId="68093773" w:rsidR="00542464" w:rsidRPr="009159DE" w:rsidRDefault="00542464" w:rsidP="00542464">
            <w:pPr>
              <w:ind w:right="109"/>
              <w:jc w:val="both"/>
              <w:rPr>
                <w:spacing w:val="-2"/>
              </w:rPr>
            </w:pPr>
            <w:r w:rsidRPr="009159DE">
              <w:rPr>
                <w:rFonts w:eastAsia="Calibri"/>
                <w:spacing w:val="-2"/>
                <w:lang w:eastAsia="en-US"/>
              </w:rPr>
              <w:t>Fiskālā ietekme tiek aprēķināta gadījumam, kad Covid</w:t>
            </w:r>
            <w:r w:rsidRPr="009159DE">
              <w:rPr>
                <w:rFonts w:eastAsia="Calibri"/>
                <w:spacing w:val="-2"/>
                <w:lang w:eastAsia="en-US"/>
              </w:rPr>
              <w:noBreakHyphen/>
              <w:t xml:space="preserve">19 vakcīnu piegādei PVN 12% likmes vietā tiek piemērota PVN 0 procentu likme. Apkopojot visus trīs scenārijus, var secināt, ka šā pasākuma ieviešanas rezultātā minimālā negatīvā fiskālā ietekme 2021. un 2022.gadā būtu attiecīgi </w:t>
            </w:r>
            <w:r w:rsidRPr="009159DE">
              <w:rPr>
                <w:rFonts w:eastAsia="Calibri"/>
                <w:b/>
                <w:spacing w:val="-2"/>
                <w:lang w:eastAsia="en-US"/>
              </w:rPr>
              <w:t>0,8 un 2,1</w:t>
            </w:r>
            <w:r w:rsidRPr="009159DE">
              <w:rPr>
                <w:rFonts w:eastAsia="Calibri"/>
                <w:spacing w:val="-2"/>
                <w:lang w:eastAsia="en-US"/>
              </w:rPr>
              <w:t xml:space="preserve"> milj. </w:t>
            </w:r>
            <w:r w:rsidRPr="009159DE">
              <w:rPr>
                <w:rFonts w:eastAsia="Calibri"/>
                <w:i/>
                <w:spacing w:val="-2"/>
                <w:lang w:eastAsia="en-US"/>
              </w:rPr>
              <w:t>euro</w:t>
            </w:r>
            <w:r w:rsidRPr="009159DE">
              <w:rPr>
                <w:rFonts w:eastAsia="Calibri"/>
                <w:spacing w:val="-2"/>
                <w:lang w:eastAsia="en-US"/>
              </w:rPr>
              <w:t xml:space="preserve"> apmērā, savukārt maksimālā negatīvā fiskālā ietekme pie dotiem pieņēmumiem 2021. un 2022.gadā būtu attiecīgi </w:t>
            </w:r>
            <w:r w:rsidRPr="009159DE">
              <w:rPr>
                <w:rFonts w:eastAsia="Calibri"/>
                <w:b/>
                <w:spacing w:val="-2"/>
                <w:lang w:eastAsia="en-US"/>
              </w:rPr>
              <w:t>1,9 un 3,4</w:t>
            </w:r>
            <w:r w:rsidRPr="009159DE">
              <w:rPr>
                <w:rFonts w:eastAsia="Calibri"/>
                <w:spacing w:val="-2"/>
                <w:lang w:eastAsia="en-US"/>
              </w:rPr>
              <w:t xml:space="preserve"> milj. </w:t>
            </w:r>
            <w:r w:rsidRPr="009159DE">
              <w:rPr>
                <w:rFonts w:eastAsia="Calibri"/>
                <w:i/>
                <w:spacing w:val="-2"/>
                <w:lang w:eastAsia="en-US"/>
              </w:rPr>
              <w:t>euro</w:t>
            </w:r>
            <w:r w:rsidRPr="009159DE">
              <w:rPr>
                <w:rFonts w:eastAsia="Calibri"/>
                <w:spacing w:val="-2"/>
                <w:lang w:eastAsia="en-US"/>
              </w:rPr>
              <w:t xml:space="preserve"> apmērā.</w:t>
            </w:r>
          </w:p>
          <w:p w14:paraId="38BEF1C0" w14:textId="07FE255E" w:rsidR="00542464" w:rsidRPr="009159DE" w:rsidRDefault="00542464" w:rsidP="00542464">
            <w:pPr>
              <w:ind w:right="109"/>
              <w:jc w:val="both"/>
              <w:rPr>
                <w:spacing w:val="-2"/>
                <w:lang w:eastAsia="en-US"/>
              </w:rPr>
            </w:pPr>
            <w:r w:rsidRPr="009159DE">
              <w:rPr>
                <w:spacing w:val="-2"/>
                <w:lang w:eastAsia="en-US"/>
              </w:rPr>
              <w:t xml:space="preserve">Šobrīd nav iespējams informēt par situāciju ar Covid-19 </w:t>
            </w:r>
            <w:r w:rsidRPr="009159DE">
              <w:rPr>
                <w:i/>
                <w:spacing w:val="-2"/>
                <w:lang w:eastAsia="en-US"/>
              </w:rPr>
              <w:t>in vitro</w:t>
            </w:r>
            <w:r w:rsidRPr="009159DE">
              <w:rPr>
                <w:spacing w:val="-2"/>
                <w:lang w:eastAsia="en-US"/>
              </w:rPr>
              <w:t xml:space="preserve"> diagnostikas medicīniskajām ierīcēm.</w:t>
            </w:r>
          </w:p>
        </w:tc>
      </w:tr>
    </w:tbl>
    <w:p w14:paraId="6E1B4199" w14:textId="7F365A23" w:rsidR="00706415" w:rsidRPr="009159DE" w:rsidRDefault="00706415">
      <w:pPr>
        <w:rPr>
          <w:spacing w:val="-2"/>
        </w:rPr>
      </w:pPr>
    </w:p>
    <w:tbl>
      <w:tblPr>
        <w:tblpPr w:leftFromText="180" w:rightFromText="180" w:vertAnchor="text" w:horzAnchor="margin" w:tblpY="53"/>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3"/>
        <w:gridCol w:w="2442"/>
        <w:gridCol w:w="6486"/>
      </w:tblGrid>
      <w:tr w:rsidR="000C4C70" w:rsidRPr="009159DE" w14:paraId="357D965D" w14:textId="77777777" w:rsidTr="0024766E">
        <w:trPr>
          <w:cantSplit/>
        </w:trPr>
        <w:tc>
          <w:tcPr>
            <w:tcW w:w="5000" w:type="pct"/>
            <w:gridSpan w:val="3"/>
            <w:vAlign w:val="center"/>
            <w:hideMark/>
          </w:tcPr>
          <w:p w14:paraId="605845E0" w14:textId="77777777" w:rsidR="00706415" w:rsidRPr="009159DE" w:rsidRDefault="00706415" w:rsidP="00706415">
            <w:pPr>
              <w:jc w:val="center"/>
              <w:rPr>
                <w:b/>
                <w:bCs/>
                <w:spacing w:val="-2"/>
              </w:rPr>
            </w:pPr>
            <w:r w:rsidRPr="009159DE">
              <w:rPr>
                <w:b/>
                <w:bCs/>
                <w:spacing w:val="-2"/>
              </w:rPr>
              <w:t>IV. Tiesību akta projekta ietekme uz spēkā esošo tiesību normu sistēmu</w:t>
            </w:r>
          </w:p>
        </w:tc>
      </w:tr>
      <w:tr w:rsidR="000C4C70" w:rsidRPr="009159DE" w14:paraId="1C667462" w14:textId="77777777" w:rsidTr="0024766E">
        <w:trPr>
          <w:cantSplit/>
        </w:trPr>
        <w:tc>
          <w:tcPr>
            <w:tcW w:w="226" w:type="pct"/>
            <w:hideMark/>
          </w:tcPr>
          <w:p w14:paraId="2DFE4E85" w14:textId="77777777" w:rsidR="00706415" w:rsidRPr="009159DE" w:rsidRDefault="00706415" w:rsidP="00706415">
            <w:pPr>
              <w:jc w:val="center"/>
              <w:rPr>
                <w:spacing w:val="-2"/>
              </w:rPr>
            </w:pPr>
            <w:r w:rsidRPr="009159DE">
              <w:rPr>
                <w:spacing w:val="-2"/>
              </w:rPr>
              <w:t>1.</w:t>
            </w:r>
          </w:p>
        </w:tc>
        <w:tc>
          <w:tcPr>
            <w:tcW w:w="1306" w:type="pct"/>
            <w:hideMark/>
          </w:tcPr>
          <w:p w14:paraId="10170AE7" w14:textId="77777777" w:rsidR="00706415" w:rsidRPr="009159DE" w:rsidRDefault="00706415" w:rsidP="00706415">
            <w:pPr>
              <w:rPr>
                <w:spacing w:val="-2"/>
              </w:rPr>
            </w:pPr>
            <w:r w:rsidRPr="009159DE">
              <w:rPr>
                <w:spacing w:val="-2"/>
              </w:rPr>
              <w:t>Saistītie tiesību aktu projekti</w:t>
            </w:r>
          </w:p>
        </w:tc>
        <w:tc>
          <w:tcPr>
            <w:tcW w:w="3468" w:type="pct"/>
            <w:hideMark/>
          </w:tcPr>
          <w:p w14:paraId="5F09F770" w14:textId="7B1EFE99" w:rsidR="002C432D" w:rsidRPr="009159DE" w:rsidRDefault="00B858B3" w:rsidP="00653300">
            <w:pPr>
              <w:ind w:left="83" w:right="109"/>
              <w:jc w:val="both"/>
              <w:rPr>
                <w:spacing w:val="-2"/>
              </w:rPr>
            </w:pPr>
            <w:r w:rsidRPr="009159DE">
              <w:rPr>
                <w:spacing w:val="-2"/>
              </w:rPr>
              <w:t>Nav</w:t>
            </w:r>
          </w:p>
        </w:tc>
      </w:tr>
      <w:tr w:rsidR="000C4C70" w:rsidRPr="009159DE" w14:paraId="01889276" w14:textId="77777777" w:rsidTr="0024766E">
        <w:trPr>
          <w:cantSplit/>
        </w:trPr>
        <w:tc>
          <w:tcPr>
            <w:tcW w:w="226" w:type="pct"/>
            <w:hideMark/>
          </w:tcPr>
          <w:p w14:paraId="218B8E46" w14:textId="77777777" w:rsidR="00706415" w:rsidRPr="009159DE" w:rsidRDefault="00706415" w:rsidP="00706415">
            <w:pPr>
              <w:jc w:val="center"/>
              <w:rPr>
                <w:spacing w:val="-2"/>
              </w:rPr>
            </w:pPr>
            <w:r w:rsidRPr="009159DE">
              <w:rPr>
                <w:spacing w:val="-2"/>
              </w:rPr>
              <w:t>2.</w:t>
            </w:r>
          </w:p>
        </w:tc>
        <w:tc>
          <w:tcPr>
            <w:tcW w:w="1306" w:type="pct"/>
            <w:hideMark/>
          </w:tcPr>
          <w:p w14:paraId="01DDCF87" w14:textId="77777777" w:rsidR="00706415" w:rsidRPr="009159DE" w:rsidRDefault="00706415" w:rsidP="00706415">
            <w:pPr>
              <w:rPr>
                <w:spacing w:val="-2"/>
              </w:rPr>
            </w:pPr>
            <w:r w:rsidRPr="009159DE">
              <w:rPr>
                <w:spacing w:val="-2"/>
              </w:rPr>
              <w:t>Atbildīgā institūcija</w:t>
            </w:r>
          </w:p>
        </w:tc>
        <w:tc>
          <w:tcPr>
            <w:tcW w:w="3468" w:type="pct"/>
            <w:hideMark/>
          </w:tcPr>
          <w:p w14:paraId="356F1515" w14:textId="29EEE7EA" w:rsidR="00706415" w:rsidRPr="009159DE" w:rsidRDefault="00706415" w:rsidP="00FF2022">
            <w:pPr>
              <w:rPr>
                <w:spacing w:val="-2"/>
              </w:rPr>
            </w:pPr>
            <w:r w:rsidRPr="009159DE">
              <w:rPr>
                <w:spacing w:val="-2"/>
              </w:rPr>
              <w:t>Finanšu ministrija</w:t>
            </w:r>
            <w:r w:rsidR="009C083C" w:rsidRPr="009159DE">
              <w:rPr>
                <w:spacing w:val="-2"/>
              </w:rPr>
              <w:t xml:space="preserve"> (tai skaitā </w:t>
            </w:r>
            <w:r w:rsidR="00FF2022" w:rsidRPr="009159DE">
              <w:rPr>
                <w:spacing w:val="-2"/>
              </w:rPr>
              <w:t>VID</w:t>
            </w:r>
            <w:r w:rsidR="009C083C" w:rsidRPr="009159DE">
              <w:rPr>
                <w:spacing w:val="-2"/>
              </w:rPr>
              <w:t>)</w:t>
            </w:r>
            <w:r w:rsidR="00865988" w:rsidRPr="009159DE">
              <w:rPr>
                <w:spacing w:val="-2"/>
              </w:rPr>
              <w:t>.</w:t>
            </w:r>
          </w:p>
        </w:tc>
      </w:tr>
      <w:tr w:rsidR="000C4C70" w:rsidRPr="009159DE" w14:paraId="033400F2" w14:textId="77777777" w:rsidTr="0024766E">
        <w:trPr>
          <w:cantSplit/>
        </w:trPr>
        <w:tc>
          <w:tcPr>
            <w:tcW w:w="226" w:type="pct"/>
            <w:hideMark/>
          </w:tcPr>
          <w:p w14:paraId="6F677C73" w14:textId="77777777" w:rsidR="00706415" w:rsidRPr="009159DE" w:rsidRDefault="00706415" w:rsidP="00706415">
            <w:pPr>
              <w:jc w:val="center"/>
              <w:rPr>
                <w:spacing w:val="-2"/>
              </w:rPr>
            </w:pPr>
            <w:r w:rsidRPr="009159DE">
              <w:rPr>
                <w:spacing w:val="-2"/>
              </w:rPr>
              <w:t>3.</w:t>
            </w:r>
          </w:p>
        </w:tc>
        <w:tc>
          <w:tcPr>
            <w:tcW w:w="1306" w:type="pct"/>
            <w:hideMark/>
          </w:tcPr>
          <w:p w14:paraId="701E41D6" w14:textId="77777777" w:rsidR="00706415" w:rsidRPr="009159DE" w:rsidRDefault="00706415" w:rsidP="00706415">
            <w:pPr>
              <w:rPr>
                <w:spacing w:val="-2"/>
              </w:rPr>
            </w:pPr>
            <w:r w:rsidRPr="009159DE">
              <w:rPr>
                <w:spacing w:val="-2"/>
              </w:rPr>
              <w:t>Cita informācija</w:t>
            </w:r>
          </w:p>
        </w:tc>
        <w:tc>
          <w:tcPr>
            <w:tcW w:w="3468" w:type="pct"/>
            <w:hideMark/>
          </w:tcPr>
          <w:p w14:paraId="7F6A6320" w14:textId="77777777" w:rsidR="00B858B3" w:rsidRPr="009159DE" w:rsidRDefault="00B858B3" w:rsidP="005E3E3A">
            <w:pPr>
              <w:ind w:left="83" w:right="109"/>
              <w:jc w:val="both"/>
              <w:rPr>
                <w:spacing w:val="-2"/>
              </w:rPr>
            </w:pPr>
            <w:r w:rsidRPr="009159DE">
              <w:rPr>
                <w:spacing w:val="-2"/>
              </w:rPr>
              <w:t xml:space="preserve">Darījumi ar PVN 0 procentu likmi  atbilstoši pastāvošai kārtībai, kādā PVN deklarācijā jau pašlaik norāda citus iekšzemē veiktos ar PVN 0 procentu likmi apliekamos darījumus, būs uzrādāmi PVN deklarācijā vispārējā kārtībā saskaņā ar spēkā esošajiem Ministru kabineta 2013.gada 15.janvāra noteikumiem Nr.40 “Noteikumi par </w:t>
            </w:r>
            <w:r w:rsidRPr="009159DE">
              <w:rPr>
                <w:spacing w:val="-2"/>
              </w:rPr>
              <w:lastRenderedPageBreak/>
              <w:t>pievienotās vērtības nodokļa deklarācijām”  un tas tiks paskaidrots VID informatīvajā materiālā.</w:t>
            </w:r>
          </w:p>
          <w:p w14:paraId="53D09013" w14:textId="03F4DA34" w:rsidR="00706415" w:rsidRPr="009159DE" w:rsidRDefault="008E4C4F" w:rsidP="00D31065">
            <w:pPr>
              <w:ind w:left="83" w:right="109"/>
              <w:jc w:val="both"/>
              <w:rPr>
                <w:spacing w:val="-2"/>
              </w:rPr>
            </w:pPr>
            <w:r w:rsidRPr="009159DE">
              <w:rPr>
                <w:spacing w:val="-2"/>
              </w:rPr>
              <w:t xml:space="preserve">Darījumu </w:t>
            </w:r>
            <w:r w:rsidR="00923816" w:rsidRPr="009159DE">
              <w:rPr>
                <w:spacing w:val="-2"/>
              </w:rPr>
              <w:t>izvērtēšanai</w:t>
            </w:r>
            <w:r w:rsidRPr="009159DE">
              <w:rPr>
                <w:spacing w:val="-2"/>
              </w:rPr>
              <w:t xml:space="preserve">  VID</w:t>
            </w:r>
            <w:r w:rsidR="005B5DB1" w:rsidRPr="009159DE">
              <w:rPr>
                <w:spacing w:val="-2"/>
              </w:rPr>
              <w:t xml:space="preserve"> atbilstoši likum</w:t>
            </w:r>
            <w:r w:rsidR="00D31065" w:rsidRPr="009159DE">
              <w:rPr>
                <w:spacing w:val="-2"/>
              </w:rPr>
              <w:t>am “Par Valsts ieņēmumu dienestu</w:t>
            </w:r>
            <w:r w:rsidR="005B5DB1" w:rsidRPr="009159DE">
              <w:rPr>
                <w:spacing w:val="-2"/>
              </w:rPr>
              <w:t>”</w:t>
            </w:r>
            <w:r w:rsidRPr="009159DE">
              <w:rPr>
                <w:spacing w:val="-2"/>
              </w:rPr>
              <w:t xml:space="preserve"> ir tiesības lūgt iesniegt detalizētāku informāciju par veiktajiem darījumiem</w:t>
            </w:r>
            <w:r w:rsidR="005E3E3A" w:rsidRPr="009159DE">
              <w:rPr>
                <w:spacing w:val="-2"/>
              </w:rPr>
              <w:t xml:space="preserve">.  </w:t>
            </w:r>
          </w:p>
        </w:tc>
      </w:tr>
    </w:tbl>
    <w:p w14:paraId="55075FB2" w14:textId="77777777" w:rsidR="005028DD" w:rsidRPr="009159DE" w:rsidRDefault="005028DD">
      <w:pPr>
        <w:rPr>
          <w:spacing w:val="-2"/>
        </w:rPr>
      </w:pPr>
    </w:p>
    <w:tbl>
      <w:tblPr>
        <w:tblW w:w="56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4"/>
        <w:gridCol w:w="2452"/>
        <w:gridCol w:w="6377"/>
      </w:tblGrid>
      <w:tr w:rsidR="000C4C70" w:rsidRPr="009159DE" w14:paraId="3901470D" w14:textId="77777777" w:rsidTr="0024766E">
        <w:trPr>
          <w:cantSplit/>
        </w:trPr>
        <w:tc>
          <w:tcPr>
            <w:tcW w:w="5000" w:type="pct"/>
            <w:gridSpan w:val="3"/>
            <w:vAlign w:val="center"/>
            <w:hideMark/>
          </w:tcPr>
          <w:p w14:paraId="2370C9FA" w14:textId="77777777" w:rsidR="00DA395D" w:rsidRPr="009159DE" w:rsidRDefault="00DA395D" w:rsidP="00DA395D">
            <w:pPr>
              <w:jc w:val="center"/>
              <w:rPr>
                <w:b/>
                <w:bCs/>
                <w:spacing w:val="-2"/>
              </w:rPr>
            </w:pPr>
            <w:r w:rsidRPr="009159DE">
              <w:rPr>
                <w:b/>
                <w:bCs/>
                <w:spacing w:val="-2"/>
              </w:rPr>
              <w:t>V. Tiesību akta projekta atbilstība Latvijas Republikas starptautiskajām saistībām</w:t>
            </w:r>
          </w:p>
        </w:tc>
      </w:tr>
      <w:tr w:rsidR="000C4C70" w:rsidRPr="009159DE" w14:paraId="26A1AC68" w14:textId="77777777" w:rsidTr="0024766E">
        <w:trPr>
          <w:cantSplit/>
        </w:trPr>
        <w:tc>
          <w:tcPr>
            <w:tcW w:w="280" w:type="pct"/>
            <w:hideMark/>
          </w:tcPr>
          <w:p w14:paraId="010F7F4A" w14:textId="77777777" w:rsidR="00DA395D" w:rsidRPr="009159DE" w:rsidRDefault="00DA395D" w:rsidP="00DA395D">
            <w:pPr>
              <w:jc w:val="center"/>
              <w:rPr>
                <w:spacing w:val="-2"/>
              </w:rPr>
            </w:pPr>
            <w:r w:rsidRPr="009159DE">
              <w:rPr>
                <w:spacing w:val="-2"/>
              </w:rPr>
              <w:t>1.</w:t>
            </w:r>
          </w:p>
        </w:tc>
        <w:tc>
          <w:tcPr>
            <w:tcW w:w="1311" w:type="pct"/>
            <w:hideMark/>
          </w:tcPr>
          <w:p w14:paraId="4A92EAE3" w14:textId="77777777" w:rsidR="00DA395D" w:rsidRPr="009159DE" w:rsidRDefault="00DA395D" w:rsidP="00DA395D">
            <w:pPr>
              <w:rPr>
                <w:spacing w:val="-2"/>
              </w:rPr>
            </w:pPr>
            <w:r w:rsidRPr="009159DE">
              <w:rPr>
                <w:spacing w:val="-2"/>
              </w:rPr>
              <w:t>Saistības pret Eiropas Savienību</w:t>
            </w:r>
          </w:p>
        </w:tc>
        <w:tc>
          <w:tcPr>
            <w:tcW w:w="3410" w:type="pct"/>
            <w:hideMark/>
          </w:tcPr>
          <w:p w14:paraId="1C3133EC" w14:textId="01D167C0" w:rsidR="00DA395D" w:rsidRPr="009159DE" w:rsidRDefault="00BB1F11" w:rsidP="003424D7">
            <w:pPr>
              <w:ind w:left="120" w:right="105"/>
              <w:jc w:val="both"/>
              <w:rPr>
                <w:spacing w:val="-2"/>
              </w:rPr>
            </w:pPr>
            <w:r w:rsidRPr="009159DE">
              <w:rPr>
                <w:spacing w:val="-2"/>
              </w:rPr>
              <w:t xml:space="preserve">Ar likumprojektu tiek </w:t>
            </w:r>
            <w:r w:rsidR="00064076" w:rsidRPr="009159DE">
              <w:rPr>
                <w:spacing w:val="-2"/>
              </w:rPr>
              <w:t>pārņemta Padomes 2</w:t>
            </w:r>
            <w:r w:rsidR="00DF298C" w:rsidRPr="009159DE">
              <w:rPr>
                <w:spacing w:val="-2"/>
              </w:rPr>
              <w:t>020.gada  7.</w:t>
            </w:r>
            <w:r w:rsidR="00064076" w:rsidRPr="009159DE">
              <w:rPr>
                <w:spacing w:val="-2"/>
              </w:rPr>
              <w:t xml:space="preserve">decembra direktīva (ES) </w:t>
            </w:r>
            <w:r w:rsidR="003424D7" w:rsidRPr="009159DE">
              <w:rPr>
                <w:spacing w:val="-2"/>
              </w:rPr>
              <w:t>2020/2020</w:t>
            </w:r>
            <w:r w:rsidR="00064076" w:rsidRPr="009159DE">
              <w:rPr>
                <w:spacing w:val="-2"/>
              </w:rPr>
              <w:t xml:space="preserve">, </w:t>
            </w:r>
            <w:r w:rsidR="00D37A1B" w:rsidRPr="009159DE">
              <w:rPr>
                <w:spacing w:val="-2"/>
              </w:rPr>
              <w:t xml:space="preserve">ar ko, reaģējot uz Covid-19 pandēmiju, groza Padomes Direktīvu 2006/112/EK attiecībā uz pagaidu pasākumiem saistībā ar pievienotās vērtības nodokli, kas piemērojams Covid-19 vakcīnām un </w:t>
            </w:r>
            <w:r w:rsidR="00D37A1B" w:rsidRPr="009159DE">
              <w:rPr>
                <w:i/>
                <w:spacing w:val="-2"/>
              </w:rPr>
              <w:t>in vitro</w:t>
            </w:r>
            <w:r w:rsidR="00D37A1B" w:rsidRPr="009159DE">
              <w:rPr>
                <w:spacing w:val="-2"/>
              </w:rPr>
              <w:t xml:space="preserve"> diagnostikas medicīniskajām ierīcēm</w:t>
            </w:r>
            <w:r w:rsidR="00064076" w:rsidRPr="009159DE">
              <w:rPr>
                <w:spacing w:val="-2"/>
              </w:rPr>
              <w:t>.</w:t>
            </w:r>
          </w:p>
        </w:tc>
      </w:tr>
      <w:tr w:rsidR="000C4C70" w:rsidRPr="009159DE" w14:paraId="5A9206BA" w14:textId="77777777" w:rsidTr="0024766E">
        <w:trPr>
          <w:cantSplit/>
          <w:trHeight w:val="522"/>
        </w:trPr>
        <w:tc>
          <w:tcPr>
            <w:tcW w:w="280" w:type="pct"/>
            <w:hideMark/>
          </w:tcPr>
          <w:p w14:paraId="235FCE70" w14:textId="77777777" w:rsidR="00DA395D" w:rsidRPr="009159DE" w:rsidRDefault="00DA395D" w:rsidP="00DA395D">
            <w:pPr>
              <w:jc w:val="center"/>
              <w:rPr>
                <w:spacing w:val="-2"/>
              </w:rPr>
            </w:pPr>
            <w:r w:rsidRPr="009159DE">
              <w:rPr>
                <w:spacing w:val="-2"/>
              </w:rPr>
              <w:t>2.</w:t>
            </w:r>
          </w:p>
        </w:tc>
        <w:tc>
          <w:tcPr>
            <w:tcW w:w="1311" w:type="pct"/>
            <w:hideMark/>
          </w:tcPr>
          <w:p w14:paraId="2D7F66CF" w14:textId="77777777" w:rsidR="00DA395D" w:rsidRPr="009159DE" w:rsidRDefault="00DA395D" w:rsidP="00DA395D">
            <w:pPr>
              <w:rPr>
                <w:spacing w:val="-2"/>
              </w:rPr>
            </w:pPr>
            <w:r w:rsidRPr="009159DE">
              <w:rPr>
                <w:spacing w:val="-2"/>
              </w:rPr>
              <w:t>Citas starptautiskās saistības</w:t>
            </w:r>
          </w:p>
        </w:tc>
        <w:tc>
          <w:tcPr>
            <w:tcW w:w="3410" w:type="pct"/>
            <w:hideMark/>
          </w:tcPr>
          <w:p w14:paraId="0B97D34E" w14:textId="7AE22E3A" w:rsidR="00DA395D" w:rsidRPr="009159DE" w:rsidRDefault="006047CD" w:rsidP="00DA395D">
            <w:pPr>
              <w:jc w:val="both"/>
              <w:rPr>
                <w:spacing w:val="-2"/>
              </w:rPr>
            </w:pPr>
            <w:r w:rsidRPr="009159DE">
              <w:rPr>
                <w:spacing w:val="-2"/>
              </w:rPr>
              <w:t>Nav</w:t>
            </w:r>
          </w:p>
        </w:tc>
      </w:tr>
      <w:tr w:rsidR="000C4C70" w:rsidRPr="009159DE" w14:paraId="7587C407" w14:textId="77777777" w:rsidTr="0024766E">
        <w:trPr>
          <w:cantSplit/>
        </w:trPr>
        <w:tc>
          <w:tcPr>
            <w:tcW w:w="280" w:type="pct"/>
            <w:hideMark/>
          </w:tcPr>
          <w:p w14:paraId="2F18F649" w14:textId="77777777" w:rsidR="00DA395D" w:rsidRPr="009159DE" w:rsidRDefault="00DA395D" w:rsidP="00DA395D">
            <w:pPr>
              <w:jc w:val="center"/>
              <w:rPr>
                <w:spacing w:val="-2"/>
              </w:rPr>
            </w:pPr>
            <w:r w:rsidRPr="009159DE">
              <w:rPr>
                <w:spacing w:val="-2"/>
              </w:rPr>
              <w:t>3.</w:t>
            </w:r>
          </w:p>
        </w:tc>
        <w:tc>
          <w:tcPr>
            <w:tcW w:w="1311" w:type="pct"/>
            <w:hideMark/>
          </w:tcPr>
          <w:p w14:paraId="6BAD0F1B" w14:textId="77777777" w:rsidR="00DA395D" w:rsidRPr="009159DE" w:rsidRDefault="00DA395D" w:rsidP="00DA395D">
            <w:pPr>
              <w:rPr>
                <w:spacing w:val="-2"/>
              </w:rPr>
            </w:pPr>
            <w:r w:rsidRPr="009159DE">
              <w:rPr>
                <w:spacing w:val="-2"/>
              </w:rPr>
              <w:t>Cita informācija</w:t>
            </w:r>
          </w:p>
        </w:tc>
        <w:tc>
          <w:tcPr>
            <w:tcW w:w="3410" w:type="pct"/>
            <w:hideMark/>
          </w:tcPr>
          <w:p w14:paraId="69296EAD" w14:textId="47FD71E8" w:rsidR="00DA395D" w:rsidRPr="009159DE" w:rsidRDefault="00DA395D" w:rsidP="00DA395D">
            <w:pPr>
              <w:rPr>
                <w:spacing w:val="-2"/>
              </w:rPr>
            </w:pPr>
            <w:r w:rsidRPr="009159DE">
              <w:rPr>
                <w:spacing w:val="-2"/>
              </w:rPr>
              <w:t>Nav</w:t>
            </w:r>
          </w:p>
        </w:tc>
      </w:tr>
    </w:tbl>
    <w:p w14:paraId="27A4CA2A" w14:textId="2F912EF5" w:rsidR="00D71392" w:rsidRPr="009159DE" w:rsidRDefault="00D71392" w:rsidP="000B35BE">
      <w:pPr>
        <w:pStyle w:val="Title"/>
        <w:spacing w:before="130" w:line="260" w:lineRule="exact"/>
        <w:jc w:val="both"/>
        <w:rPr>
          <w:spacing w:val="-2"/>
          <w:sz w:val="24"/>
          <w:szCs w:val="24"/>
        </w:rPr>
      </w:pP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407"/>
        <w:gridCol w:w="6"/>
        <w:gridCol w:w="2199"/>
        <w:gridCol w:w="65"/>
        <w:gridCol w:w="845"/>
        <w:gridCol w:w="1560"/>
        <w:gridCol w:w="2269"/>
      </w:tblGrid>
      <w:tr w:rsidR="00E7102B" w:rsidRPr="009159DE" w14:paraId="594FD32E" w14:textId="77777777" w:rsidTr="00052F0E">
        <w:trPr>
          <w:cantSplit/>
        </w:trPr>
        <w:tc>
          <w:tcPr>
            <w:tcW w:w="5000" w:type="pct"/>
            <w:gridSpan w:val="7"/>
            <w:vAlign w:val="center"/>
            <w:hideMark/>
          </w:tcPr>
          <w:p w14:paraId="1A4EBA5A" w14:textId="77777777" w:rsidR="00E7102B" w:rsidRPr="009159DE" w:rsidRDefault="00E7102B" w:rsidP="006B4A91">
            <w:pPr>
              <w:jc w:val="center"/>
              <w:rPr>
                <w:b/>
                <w:bCs/>
                <w:spacing w:val="-2"/>
              </w:rPr>
            </w:pPr>
            <w:r w:rsidRPr="009159DE">
              <w:rPr>
                <w:b/>
                <w:bCs/>
                <w:spacing w:val="-2"/>
              </w:rPr>
              <w:t>1. tabula</w:t>
            </w:r>
            <w:r w:rsidRPr="009159DE">
              <w:rPr>
                <w:b/>
                <w:bCs/>
                <w:spacing w:val="-2"/>
              </w:rPr>
              <w:br/>
              <w:t>Tiesību akta projekta atbilstība ES tiesību aktiem</w:t>
            </w:r>
          </w:p>
        </w:tc>
      </w:tr>
      <w:tr w:rsidR="00E7102B" w:rsidRPr="009159DE" w14:paraId="6B5D847C" w14:textId="77777777" w:rsidTr="00052F0E">
        <w:trPr>
          <w:cantSplit/>
        </w:trPr>
        <w:tc>
          <w:tcPr>
            <w:tcW w:w="1287" w:type="pct"/>
            <w:hideMark/>
          </w:tcPr>
          <w:p w14:paraId="6665664C" w14:textId="77777777" w:rsidR="00E7102B" w:rsidRPr="009159DE" w:rsidRDefault="00E7102B" w:rsidP="006B4A91">
            <w:pPr>
              <w:rPr>
                <w:spacing w:val="-2"/>
              </w:rPr>
            </w:pPr>
            <w:r w:rsidRPr="009159DE">
              <w:rPr>
                <w:spacing w:val="-2"/>
              </w:rPr>
              <w:t>Attiecīgā ES tiesību akta datums, numurs un nosaukums</w:t>
            </w:r>
          </w:p>
        </w:tc>
        <w:tc>
          <w:tcPr>
            <w:tcW w:w="3713" w:type="pct"/>
            <w:gridSpan w:val="6"/>
            <w:hideMark/>
          </w:tcPr>
          <w:p w14:paraId="5B12629A" w14:textId="11AC0302" w:rsidR="00E7102B" w:rsidRPr="009159DE" w:rsidRDefault="00E7102B" w:rsidP="006B4A91">
            <w:pPr>
              <w:ind w:left="31" w:right="109"/>
              <w:jc w:val="both"/>
              <w:rPr>
                <w:spacing w:val="-2"/>
              </w:rPr>
            </w:pPr>
            <w:r w:rsidRPr="009159DE">
              <w:rPr>
                <w:spacing w:val="-2"/>
              </w:rPr>
              <w:t xml:space="preserve">Padomes 2020. gada  7. decembra direktīva (ES) </w:t>
            </w:r>
            <w:r w:rsidR="00715769" w:rsidRPr="009159DE">
              <w:rPr>
                <w:spacing w:val="-2"/>
              </w:rPr>
              <w:t>2020/2020</w:t>
            </w:r>
            <w:r w:rsidRPr="009159DE">
              <w:rPr>
                <w:spacing w:val="-2"/>
              </w:rPr>
              <w:t xml:space="preserve">, </w:t>
            </w:r>
            <w:r w:rsidR="00A64210" w:rsidRPr="009159DE">
              <w:rPr>
                <w:spacing w:val="-2"/>
              </w:rPr>
              <w:t xml:space="preserve">ar ko, reaģējot uz Covid-19 pandēmiju, groza Padomes Direktīvu 2006/112/EK attiecībā uz pagaidu pasākumiem saistībā ar pievienotās vērtības nodokli, kas piemērojams Covid-19 vakcīnām un </w:t>
            </w:r>
            <w:r w:rsidR="00A64210" w:rsidRPr="009159DE">
              <w:rPr>
                <w:i/>
                <w:spacing w:val="-2"/>
              </w:rPr>
              <w:t>in vitro</w:t>
            </w:r>
            <w:r w:rsidR="00A64210" w:rsidRPr="009159DE">
              <w:rPr>
                <w:spacing w:val="-2"/>
              </w:rPr>
              <w:t xml:space="preserve"> diagnostikas medicīniskajām ierīcēm</w:t>
            </w:r>
          </w:p>
        </w:tc>
      </w:tr>
      <w:tr w:rsidR="00E7102B" w:rsidRPr="009159DE" w14:paraId="4996B05F" w14:textId="77777777" w:rsidTr="00397656">
        <w:trPr>
          <w:cantSplit/>
        </w:trPr>
        <w:tc>
          <w:tcPr>
            <w:tcW w:w="1287" w:type="pct"/>
            <w:vAlign w:val="center"/>
            <w:hideMark/>
          </w:tcPr>
          <w:p w14:paraId="7DB08161" w14:textId="77777777" w:rsidR="00E7102B" w:rsidRPr="009159DE" w:rsidRDefault="00E7102B" w:rsidP="006B4A91">
            <w:pPr>
              <w:jc w:val="center"/>
              <w:rPr>
                <w:spacing w:val="-2"/>
              </w:rPr>
            </w:pPr>
            <w:r w:rsidRPr="009159DE">
              <w:rPr>
                <w:spacing w:val="-2"/>
              </w:rPr>
              <w:t>A</w:t>
            </w:r>
          </w:p>
        </w:tc>
        <w:tc>
          <w:tcPr>
            <w:tcW w:w="1214" w:type="pct"/>
            <w:gridSpan w:val="3"/>
            <w:vAlign w:val="center"/>
            <w:hideMark/>
          </w:tcPr>
          <w:p w14:paraId="77605BA6" w14:textId="77777777" w:rsidR="00E7102B" w:rsidRPr="009159DE" w:rsidRDefault="00E7102B" w:rsidP="006B4A91">
            <w:pPr>
              <w:jc w:val="center"/>
              <w:rPr>
                <w:spacing w:val="-2"/>
              </w:rPr>
            </w:pPr>
            <w:r w:rsidRPr="009159DE">
              <w:rPr>
                <w:spacing w:val="-2"/>
              </w:rPr>
              <w:t>B</w:t>
            </w:r>
          </w:p>
        </w:tc>
        <w:tc>
          <w:tcPr>
            <w:tcW w:w="1286" w:type="pct"/>
            <w:gridSpan w:val="2"/>
            <w:vAlign w:val="center"/>
            <w:hideMark/>
          </w:tcPr>
          <w:p w14:paraId="46A8E16C" w14:textId="77777777" w:rsidR="00E7102B" w:rsidRPr="009159DE" w:rsidRDefault="00E7102B" w:rsidP="006B4A91">
            <w:pPr>
              <w:jc w:val="center"/>
              <w:rPr>
                <w:spacing w:val="-2"/>
              </w:rPr>
            </w:pPr>
            <w:r w:rsidRPr="009159DE">
              <w:rPr>
                <w:spacing w:val="-2"/>
              </w:rPr>
              <w:t>C</w:t>
            </w:r>
          </w:p>
        </w:tc>
        <w:tc>
          <w:tcPr>
            <w:tcW w:w="1213" w:type="pct"/>
            <w:vAlign w:val="center"/>
            <w:hideMark/>
          </w:tcPr>
          <w:p w14:paraId="57DCB849" w14:textId="77777777" w:rsidR="00E7102B" w:rsidRPr="009159DE" w:rsidRDefault="00E7102B" w:rsidP="006B4A91">
            <w:pPr>
              <w:jc w:val="center"/>
              <w:rPr>
                <w:spacing w:val="-2"/>
              </w:rPr>
            </w:pPr>
            <w:r w:rsidRPr="009159DE">
              <w:rPr>
                <w:spacing w:val="-2"/>
              </w:rPr>
              <w:t>D</w:t>
            </w:r>
          </w:p>
        </w:tc>
      </w:tr>
      <w:tr w:rsidR="00E52463" w:rsidRPr="009159DE" w14:paraId="7DD12D56" w14:textId="77777777" w:rsidTr="00397656">
        <w:trPr>
          <w:cantSplit/>
        </w:trPr>
        <w:tc>
          <w:tcPr>
            <w:tcW w:w="1287" w:type="pct"/>
          </w:tcPr>
          <w:p w14:paraId="56AB1F5B" w14:textId="035A4CEA" w:rsidR="00E52463" w:rsidRPr="009159DE" w:rsidRDefault="00E52463" w:rsidP="00283C4A">
            <w:pPr>
              <w:jc w:val="center"/>
              <w:rPr>
                <w:spacing w:val="-2"/>
              </w:rPr>
            </w:pPr>
            <w:r w:rsidRPr="009159DE">
              <w:rPr>
                <w:spacing w:val="-2"/>
              </w:rPr>
              <w:t>Direktīvas</w:t>
            </w:r>
            <w:r w:rsidR="00283C4A" w:rsidRPr="009159DE">
              <w:rPr>
                <w:spacing w:val="-2"/>
              </w:rPr>
              <w:t xml:space="preserve"> 2020/2020 </w:t>
            </w:r>
            <w:r w:rsidRPr="009159DE">
              <w:rPr>
                <w:spacing w:val="-2"/>
              </w:rPr>
              <w:t xml:space="preserve">1.panta pirmā daļa (Direktīvas 2006/112 129.a panta </w:t>
            </w:r>
            <w:r w:rsidR="00C809FB" w:rsidRPr="009159DE">
              <w:rPr>
                <w:spacing w:val="-2"/>
              </w:rPr>
              <w:t>1</w:t>
            </w:r>
            <w:r w:rsidRPr="009159DE">
              <w:rPr>
                <w:spacing w:val="-2"/>
              </w:rPr>
              <w:t>.punkta “a” apakšpunkts</w:t>
            </w:r>
          </w:p>
        </w:tc>
        <w:tc>
          <w:tcPr>
            <w:tcW w:w="1214" w:type="pct"/>
            <w:gridSpan w:val="3"/>
          </w:tcPr>
          <w:p w14:paraId="7DDED878" w14:textId="0E6E4579" w:rsidR="00E52463" w:rsidRPr="009159DE" w:rsidRDefault="00E52463" w:rsidP="00E52463">
            <w:pPr>
              <w:jc w:val="center"/>
              <w:rPr>
                <w:spacing w:val="-2"/>
              </w:rPr>
            </w:pPr>
            <w:r w:rsidRPr="009159DE">
              <w:rPr>
                <w:spacing w:val="-2"/>
              </w:rPr>
              <w:t>-</w:t>
            </w:r>
          </w:p>
        </w:tc>
        <w:tc>
          <w:tcPr>
            <w:tcW w:w="1286" w:type="pct"/>
            <w:gridSpan w:val="2"/>
          </w:tcPr>
          <w:p w14:paraId="396B9303" w14:textId="09FF12FA" w:rsidR="00E52463" w:rsidRPr="009159DE" w:rsidRDefault="00E52463" w:rsidP="00E52463">
            <w:pPr>
              <w:jc w:val="center"/>
              <w:rPr>
                <w:spacing w:val="-2"/>
              </w:rPr>
            </w:pPr>
            <w:r w:rsidRPr="009159DE">
              <w:rPr>
                <w:spacing w:val="-2"/>
              </w:rPr>
              <w:t>Nav pār</w:t>
            </w:r>
            <w:r w:rsidR="001B1B31" w:rsidRPr="009159DE">
              <w:rPr>
                <w:spacing w:val="-2"/>
              </w:rPr>
              <w:t>ņemts</w:t>
            </w:r>
            <w:r w:rsidR="00A24479" w:rsidRPr="009159DE">
              <w:rPr>
                <w:spacing w:val="-2"/>
              </w:rPr>
              <w:t xml:space="preserve"> (</w:t>
            </w:r>
            <w:r w:rsidRPr="009159DE">
              <w:rPr>
                <w:spacing w:val="-2"/>
              </w:rPr>
              <w:t>izmantot</w:t>
            </w:r>
            <w:r w:rsidR="00A24479" w:rsidRPr="009159DE">
              <w:rPr>
                <w:spacing w:val="-2"/>
              </w:rPr>
              <w:t>a</w:t>
            </w:r>
            <w:r w:rsidRPr="009159DE">
              <w:rPr>
                <w:spacing w:val="-2"/>
              </w:rPr>
              <w:t xml:space="preserve"> paredzētā rīcības brīvība ieviest </w:t>
            </w:r>
            <w:r w:rsidR="00A24479" w:rsidRPr="009159DE">
              <w:rPr>
                <w:spacing w:val="-2"/>
              </w:rPr>
              <w:t>129.a panta 2.punkta “b” apakšpunktu)</w:t>
            </w:r>
          </w:p>
          <w:p w14:paraId="692381CE" w14:textId="77777777" w:rsidR="00E52463" w:rsidRPr="009159DE" w:rsidRDefault="00E52463" w:rsidP="00E52463">
            <w:pPr>
              <w:jc w:val="center"/>
              <w:rPr>
                <w:spacing w:val="-2"/>
              </w:rPr>
            </w:pPr>
          </w:p>
        </w:tc>
        <w:tc>
          <w:tcPr>
            <w:tcW w:w="1213" w:type="pct"/>
            <w:vAlign w:val="center"/>
          </w:tcPr>
          <w:p w14:paraId="1237B2C0" w14:textId="254EAD10" w:rsidR="00E52463" w:rsidRPr="009159DE" w:rsidRDefault="001B1B31" w:rsidP="00E52463">
            <w:pPr>
              <w:jc w:val="center"/>
              <w:rPr>
                <w:spacing w:val="-2"/>
              </w:rPr>
            </w:pPr>
            <w:r w:rsidRPr="009159DE">
              <w:rPr>
                <w:spacing w:val="-2"/>
              </w:rPr>
              <w:t>Likumprojekts neparedz stingrākas prasības</w:t>
            </w:r>
          </w:p>
        </w:tc>
      </w:tr>
      <w:tr w:rsidR="00E52463" w:rsidRPr="009159DE" w14:paraId="24D4A641" w14:textId="77777777" w:rsidTr="00397656">
        <w:trPr>
          <w:cantSplit/>
          <w:trHeight w:val="135"/>
        </w:trPr>
        <w:tc>
          <w:tcPr>
            <w:tcW w:w="1290" w:type="pct"/>
            <w:gridSpan w:val="2"/>
            <w:tcBorders>
              <w:top w:val="outset" w:sz="6" w:space="0" w:color="auto"/>
              <w:left w:val="outset" w:sz="6" w:space="0" w:color="auto"/>
              <w:bottom w:val="outset" w:sz="6" w:space="0" w:color="auto"/>
              <w:right w:val="outset" w:sz="6" w:space="0" w:color="auto"/>
            </w:tcBorders>
          </w:tcPr>
          <w:p w14:paraId="2AEF8FE1" w14:textId="542256B4" w:rsidR="00E52463" w:rsidRPr="009159DE" w:rsidRDefault="00E52463" w:rsidP="00C809FB">
            <w:pPr>
              <w:jc w:val="center"/>
              <w:rPr>
                <w:spacing w:val="-2"/>
              </w:rPr>
            </w:pPr>
            <w:r w:rsidRPr="009159DE">
              <w:rPr>
                <w:spacing w:val="-2"/>
              </w:rPr>
              <w:t>Direktīvas</w:t>
            </w:r>
            <w:r w:rsidR="00283C4A" w:rsidRPr="009159DE">
              <w:rPr>
                <w:spacing w:val="-2"/>
              </w:rPr>
              <w:t xml:space="preserve"> 2020/2020 </w:t>
            </w:r>
            <w:r w:rsidRPr="009159DE">
              <w:rPr>
                <w:spacing w:val="-2"/>
              </w:rPr>
              <w:t xml:space="preserve">1.panta pirmā daļa (Direktīvas 2006/112 129.a panta </w:t>
            </w:r>
            <w:r w:rsidR="00C809FB" w:rsidRPr="009159DE">
              <w:rPr>
                <w:spacing w:val="-2"/>
              </w:rPr>
              <w:t>1</w:t>
            </w:r>
            <w:r w:rsidRPr="009159DE">
              <w:rPr>
                <w:spacing w:val="-2"/>
              </w:rPr>
              <w:t>.punkta “b” apakšpunkts</w:t>
            </w:r>
          </w:p>
        </w:tc>
        <w:tc>
          <w:tcPr>
            <w:tcW w:w="1176" w:type="pct"/>
            <w:tcBorders>
              <w:top w:val="outset" w:sz="6" w:space="0" w:color="auto"/>
              <w:left w:val="outset" w:sz="6" w:space="0" w:color="auto"/>
              <w:bottom w:val="outset" w:sz="6" w:space="0" w:color="auto"/>
              <w:right w:val="outset" w:sz="6" w:space="0" w:color="auto"/>
            </w:tcBorders>
          </w:tcPr>
          <w:p w14:paraId="436F6868" w14:textId="1D4F2956" w:rsidR="00E52463" w:rsidRPr="009159DE" w:rsidRDefault="00E52463" w:rsidP="006912A8">
            <w:pPr>
              <w:jc w:val="center"/>
              <w:rPr>
                <w:spacing w:val="-2"/>
              </w:rPr>
            </w:pPr>
            <w:r w:rsidRPr="009159DE">
              <w:rPr>
                <w:spacing w:val="-2"/>
              </w:rPr>
              <w:t xml:space="preserve">Likumprojekta </w:t>
            </w:r>
            <w:r w:rsidR="003615FE">
              <w:rPr>
                <w:spacing w:val="-2"/>
              </w:rPr>
              <w:t>2</w:t>
            </w:r>
            <w:r w:rsidRPr="009159DE">
              <w:rPr>
                <w:spacing w:val="-2"/>
              </w:rPr>
              <w:t xml:space="preserve">.pants (Pievienotās vērtības nodokļa likuma </w:t>
            </w:r>
            <w:r w:rsidR="00052F0E" w:rsidRPr="009159DE">
              <w:rPr>
                <w:spacing w:val="-2"/>
              </w:rPr>
              <w:t xml:space="preserve">42.panta </w:t>
            </w:r>
            <w:r w:rsidR="00052F0E" w:rsidRPr="009159DE">
              <w:rPr>
                <w:spacing w:val="-2"/>
                <w:sz w:val="25"/>
                <w:szCs w:val="25"/>
              </w:rPr>
              <w:t>astoņpadsmitā daļa)</w:t>
            </w:r>
          </w:p>
        </w:tc>
        <w:tc>
          <w:tcPr>
            <w:tcW w:w="1321" w:type="pct"/>
            <w:gridSpan w:val="3"/>
            <w:tcBorders>
              <w:top w:val="outset" w:sz="6" w:space="0" w:color="auto"/>
              <w:left w:val="outset" w:sz="6" w:space="0" w:color="auto"/>
              <w:bottom w:val="outset" w:sz="6" w:space="0" w:color="auto"/>
              <w:right w:val="outset" w:sz="6" w:space="0" w:color="auto"/>
            </w:tcBorders>
          </w:tcPr>
          <w:p w14:paraId="5B800573" w14:textId="77777777" w:rsidR="00E52463" w:rsidRPr="009159DE" w:rsidRDefault="00E52463" w:rsidP="00E52463">
            <w:pPr>
              <w:jc w:val="center"/>
              <w:rPr>
                <w:spacing w:val="-2"/>
              </w:rPr>
            </w:pPr>
            <w:r w:rsidRPr="009159DE">
              <w:rPr>
                <w:spacing w:val="-2"/>
              </w:rPr>
              <w:t xml:space="preserve">Pārņemts pilnībā </w:t>
            </w:r>
          </w:p>
          <w:p w14:paraId="24052411" w14:textId="7CBD7202" w:rsidR="00E52463" w:rsidRPr="009159DE" w:rsidRDefault="00E52463" w:rsidP="00E52463">
            <w:pPr>
              <w:jc w:val="center"/>
              <w:rPr>
                <w:spacing w:val="-2"/>
              </w:rPr>
            </w:pPr>
          </w:p>
        </w:tc>
        <w:tc>
          <w:tcPr>
            <w:tcW w:w="1213" w:type="pct"/>
            <w:tcBorders>
              <w:top w:val="outset" w:sz="6" w:space="0" w:color="auto"/>
              <w:left w:val="outset" w:sz="6" w:space="0" w:color="auto"/>
              <w:bottom w:val="outset" w:sz="6" w:space="0" w:color="auto"/>
              <w:right w:val="outset" w:sz="6" w:space="0" w:color="auto"/>
            </w:tcBorders>
          </w:tcPr>
          <w:p w14:paraId="7445622F" w14:textId="595DE74A" w:rsidR="00E52463" w:rsidRPr="009159DE" w:rsidRDefault="00E52463" w:rsidP="00E52463">
            <w:pPr>
              <w:jc w:val="center"/>
              <w:rPr>
                <w:spacing w:val="-2"/>
              </w:rPr>
            </w:pPr>
            <w:r w:rsidRPr="009159DE">
              <w:rPr>
                <w:spacing w:val="-2"/>
              </w:rPr>
              <w:t>Likumprojekts neparedz stingrākas prasības</w:t>
            </w:r>
          </w:p>
        </w:tc>
      </w:tr>
      <w:tr w:rsidR="00C809FB" w:rsidRPr="009159DE" w14:paraId="6229A6E0" w14:textId="77777777" w:rsidTr="00397656">
        <w:trPr>
          <w:cantSplit/>
          <w:trHeight w:val="135"/>
        </w:trPr>
        <w:tc>
          <w:tcPr>
            <w:tcW w:w="1290" w:type="pct"/>
            <w:gridSpan w:val="2"/>
            <w:tcBorders>
              <w:top w:val="outset" w:sz="6" w:space="0" w:color="auto"/>
              <w:left w:val="outset" w:sz="6" w:space="0" w:color="auto"/>
              <w:bottom w:val="outset" w:sz="6" w:space="0" w:color="auto"/>
              <w:right w:val="outset" w:sz="6" w:space="0" w:color="auto"/>
            </w:tcBorders>
          </w:tcPr>
          <w:p w14:paraId="26C162E1" w14:textId="32E8D9A2" w:rsidR="00C809FB" w:rsidRPr="009159DE" w:rsidRDefault="00C809FB" w:rsidP="00283C4A">
            <w:pPr>
              <w:jc w:val="center"/>
              <w:rPr>
                <w:spacing w:val="-2"/>
              </w:rPr>
            </w:pPr>
            <w:r w:rsidRPr="009159DE">
              <w:rPr>
                <w:spacing w:val="-2"/>
              </w:rPr>
              <w:t>Direktīvas 2020/</w:t>
            </w:r>
            <w:r w:rsidR="00283C4A" w:rsidRPr="009159DE">
              <w:rPr>
                <w:spacing w:val="-2"/>
              </w:rPr>
              <w:t xml:space="preserve">2020 </w:t>
            </w:r>
            <w:r w:rsidRPr="009159DE">
              <w:rPr>
                <w:spacing w:val="-2"/>
              </w:rPr>
              <w:t>1.panta pirmā daļa (Direktīvas 2006/112 129.a panta 1.punkta otrais ievilkums</w:t>
            </w:r>
          </w:p>
        </w:tc>
        <w:tc>
          <w:tcPr>
            <w:tcW w:w="1176" w:type="pct"/>
            <w:tcBorders>
              <w:top w:val="outset" w:sz="6" w:space="0" w:color="auto"/>
              <w:left w:val="outset" w:sz="6" w:space="0" w:color="auto"/>
              <w:bottom w:val="outset" w:sz="6" w:space="0" w:color="auto"/>
              <w:right w:val="outset" w:sz="6" w:space="0" w:color="auto"/>
            </w:tcBorders>
          </w:tcPr>
          <w:p w14:paraId="63FB0A75" w14:textId="37D76319" w:rsidR="00C809FB" w:rsidRPr="009159DE" w:rsidRDefault="00C809FB" w:rsidP="007D287E">
            <w:pPr>
              <w:jc w:val="center"/>
              <w:rPr>
                <w:spacing w:val="-2"/>
              </w:rPr>
            </w:pPr>
            <w:r w:rsidRPr="009159DE">
              <w:rPr>
                <w:spacing w:val="-2"/>
              </w:rPr>
              <w:t>Likumprojekta</w:t>
            </w:r>
            <w:r w:rsidR="003615FE">
              <w:rPr>
                <w:spacing w:val="-2"/>
              </w:rPr>
              <w:t xml:space="preserve"> 2</w:t>
            </w:r>
            <w:r w:rsidRPr="009159DE">
              <w:rPr>
                <w:spacing w:val="-2"/>
              </w:rPr>
              <w:t>.pants (Pievienotās vērtības nodokļa likuma 42.</w:t>
            </w:r>
            <w:r w:rsidRPr="009159DE">
              <w:rPr>
                <w:spacing w:val="-2"/>
                <w:vertAlign w:val="superscript"/>
              </w:rPr>
              <w:t xml:space="preserve"> </w:t>
            </w:r>
            <w:r w:rsidRPr="009159DE">
              <w:rPr>
                <w:spacing w:val="-2"/>
              </w:rPr>
              <w:t xml:space="preserve">panta </w:t>
            </w:r>
            <w:r w:rsidR="007D287E" w:rsidRPr="009159DE">
              <w:rPr>
                <w:spacing w:val="-2"/>
              </w:rPr>
              <w:t>astoņpadsmitā</w:t>
            </w:r>
            <w:r w:rsidRPr="009159DE">
              <w:rPr>
                <w:spacing w:val="-2"/>
              </w:rPr>
              <w:t xml:space="preserve"> daļa)</w:t>
            </w:r>
          </w:p>
        </w:tc>
        <w:tc>
          <w:tcPr>
            <w:tcW w:w="1321" w:type="pct"/>
            <w:gridSpan w:val="3"/>
            <w:tcBorders>
              <w:top w:val="outset" w:sz="6" w:space="0" w:color="auto"/>
              <w:left w:val="outset" w:sz="6" w:space="0" w:color="auto"/>
              <w:bottom w:val="outset" w:sz="6" w:space="0" w:color="auto"/>
              <w:right w:val="outset" w:sz="6" w:space="0" w:color="auto"/>
            </w:tcBorders>
          </w:tcPr>
          <w:p w14:paraId="44FA9851" w14:textId="77777777" w:rsidR="00C809FB" w:rsidRPr="009159DE" w:rsidRDefault="00C809FB" w:rsidP="00C809FB">
            <w:pPr>
              <w:jc w:val="center"/>
              <w:rPr>
                <w:spacing w:val="-2"/>
              </w:rPr>
            </w:pPr>
            <w:r w:rsidRPr="009159DE">
              <w:rPr>
                <w:spacing w:val="-2"/>
              </w:rPr>
              <w:t xml:space="preserve">Pārņemts pilnībā </w:t>
            </w:r>
          </w:p>
          <w:p w14:paraId="30CD25FD" w14:textId="77777777" w:rsidR="00C809FB" w:rsidRPr="009159DE" w:rsidRDefault="00C809FB" w:rsidP="00C809FB">
            <w:pPr>
              <w:jc w:val="center"/>
              <w:rPr>
                <w:spacing w:val="-2"/>
              </w:rPr>
            </w:pPr>
          </w:p>
        </w:tc>
        <w:tc>
          <w:tcPr>
            <w:tcW w:w="1213" w:type="pct"/>
            <w:tcBorders>
              <w:top w:val="outset" w:sz="6" w:space="0" w:color="auto"/>
              <w:left w:val="outset" w:sz="6" w:space="0" w:color="auto"/>
              <w:bottom w:val="outset" w:sz="6" w:space="0" w:color="auto"/>
              <w:right w:val="outset" w:sz="6" w:space="0" w:color="auto"/>
            </w:tcBorders>
          </w:tcPr>
          <w:p w14:paraId="49371B93" w14:textId="5CB235F0" w:rsidR="00C809FB" w:rsidRPr="009159DE" w:rsidRDefault="00C809FB" w:rsidP="00C809FB">
            <w:pPr>
              <w:jc w:val="center"/>
              <w:rPr>
                <w:spacing w:val="-2"/>
              </w:rPr>
            </w:pPr>
            <w:r w:rsidRPr="009159DE">
              <w:rPr>
                <w:spacing w:val="-2"/>
              </w:rPr>
              <w:t>Likumprojekts neparedz stingrākas prasības</w:t>
            </w:r>
          </w:p>
        </w:tc>
      </w:tr>
      <w:tr w:rsidR="00C809FB" w:rsidRPr="009159DE" w14:paraId="76C4507F" w14:textId="77777777" w:rsidTr="00397656">
        <w:trPr>
          <w:cantSplit/>
          <w:trHeight w:val="135"/>
        </w:trPr>
        <w:tc>
          <w:tcPr>
            <w:tcW w:w="1290" w:type="pct"/>
            <w:gridSpan w:val="2"/>
            <w:tcBorders>
              <w:top w:val="outset" w:sz="6" w:space="0" w:color="auto"/>
              <w:left w:val="outset" w:sz="6" w:space="0" w:color="auto"/>
              <w:bottom w:val="outset" w:sz="6" w:space="0" w:color="auto"/>
              <w:right w:val="outset" w:sz="6" w:space="0" w:color="auto"/>
            </w:tcBorders>
          </w:tcPr>
          <w:p w14:paraId="4EEADDD5" w14:textId="5BE31988" w:rsidR="00C809FB" w:rsidRPr="009159DE" w:rsidRDefault="0031698D" w:rsidP="0031698D">
            <w:pPr>
              <w:jc w:val="center"/>
              <w:rPr>
                <w:spacing w:val="-2"/>
              </w:rPr>
            </w:pPr>
            <w:r w:rsidRPr="009159DE">
              <w:rPr>
                <w:spacing w:val="-2"/>
              </w:rPr>
              <w:t xml:space="preserve">Direktīvas 2020/2020 </w:t>
            </w:r>
            <w:r w:rsidR="00C809FB" w:rsidRPr="009159DE">
              <w:rPr>
                <w:spacing w:val="-2"/>
              </w:rPr>
              <w:t>1.panta otrā daļa (Direktīvas 2006/112 129.a panta 2.punkts)</w:t>
            </w:r>
          </w:p>
        </w:tc>
        <w:tc>
          <w:tcPr>
            <w:tcW w:w="1176" w:type="pct"/>
            <w:tcBorders>
              <w:top w:val="outset" w:sz="6" w:space="0" w:color="auto"/>
              <w:left w:val="outset" w:sz="6" w:space="0" w:color="auto"/>
              <w:bottom w:val="outset" w:sz="6" w:space="0" w:color="auto"/>
              <w:right w:val="outset" w:sz="6" w:space="0" w:color="auto"/>
            </w:tcBorders>
          </w:tcPr>
          <w:p w14:paraId="234D193C" w14:textId="1D466194" w:rsidR="00C809FB" w:rsidRPr="009159DE" w:rsidRDefault="00C809FB" w:rsidP="00C809FB">
            <w:pPr>
              <w:jc w:val="center"/>
              <w:rPr>
                <w:spacing w:val="-2"/>
              </w:rPr>
            </w:pPr>
            <w:r w:rsidRPr="009159DE">
              <w:rPr>
                <w:spacing w:val="-2"/>
              </w:rPr>
              <w:t xml:space="preserve">Likumprojekta </w:t>
            </w:r>
            <w:r w:rsidR="003615FE">
              <w:rPr>
                <w:spacing w:val="-2"/>
              </w:rPr>
              <w:t>2</w:t>
            </w:r>
            <w:r w:rsidRPr="009159DE">
              <w:rPr>
                <w:spacing w:val="-2"/>
              </w:rPr>
              <w:t xml:space="preserve">.pants (Pievienotās vērtības nodokļa likuma 42.panta </w:t>
            </w:r>
            <w:r w:rsidR="001A7CEC" w:rsidRPr="009159DE">
              <w:rPr>
                <w:spacing w:val="-2"/>
              </w:rPr>
              <w:t>septiņpadsmitā</w:t>
            </w:r>
            <w:r w:rsidRPr="009159DE">
              <w:rPr>
                <w:spacing w:val="-2"/>
              </w:rPr>
              <w:t xml:space="preserve"> daļa)</w:t>
            </w:r>
          </w:p>
        </w:tc>
        <w:tc>
          <w:tcPr>
            <w:tcW w:w="1321" w:type="pct"/>
            <w:gridSpan w:val="3"/>
            <w:tcBorders>
              <w:top w:val="outset" w:sz="6" w:space="0" w:color="auto"/>
              <w:left w:val="outset" w:sz="6" w:space="0" w:color="auto"/>
              <w:bottom w:val="outset" w:sz="6" w:space="0" w:color="auto"/>
              <w:right w:val="outset" w:sz="6" w:space="0" w:color="auto"/>
            </w:tcBorders>
          </w:tcPr>
          <w:p w14:paraId="5FCDD901" w14:textId="5B4F08B0" w:rsidR="00C809FB" w:rsidRPr="009159DE" w:rsidRDefault="00C809FB" w:rsidP="00C809FB">
            <w:pPr>
              <w:jc w:val="center"/>
              <w:rPr>
                <w:spacing w:val="-2"/>
              </w:rPr>
            </w:pPr>
            <w:r w:rsidRPr="009159DE">
              <w:rPr>
                <w:spacing w:val="-2"/>
              </w:rPr>
              <w:t xml:space="preserve">Pārņemts pilnībā </w:t>
            </w:r>
          </w:p>
        </w:tc>
        <w:tc>
          <w:tcPr>
            <w:tcW w:w="1213" w:type="pct"/>
            <w:tcBorders>
              <w:top w:val="outset" w:sz="6" w:space="0" w:color="auto"/>
              <w:left w:val="outset" w:sz="6" w:space="0" w:color="auto"/>
              <w:bottom w:val="outset" w:sz="6" w:space="0" w:color="auto"/>
              <w:right w:val="outset" w:sz="6" w:space="0" w:color="auto"/>
            </w:tcBorders>
          </w:tcPr>
          <w:p w14:paraId="770ADCC4" w14:textId="020D3869" w:rsidR="00C809FB" w:rsidRPr="009159DE" w:rsidRDefault="00C809FB" w:rsidP="00C809FB">
            <w:pPr>
              <w:jc w:val="center"/>
              <w:rPr>
                <w:spacing w:val="-2"/>
              </w:rPr>
            </w:pPr>
            <w:r w:rsidRPr="009159DE">
              <w:rPr>
                <w:spacing w:val="-2"/>
              </w:rPr>
              <w:t>Likumprojekts neparedz stingrākas prasības</w:t>
            </w:r>
          </w:p>
        </w:tc>
      </w:tr>
      <w:tr w:rsidR="00C809FB" w:rsidRPr="009159DE" w14:paraId="34FD91F2" w14:textId="77777777" w:rsidTr="00397656">
        <w:trPr>
          <w:cantSplit/>
          <w:trHeight w:val="135"/>
        </w:trPr>
        <w:tc>
          <w:tcPr>
            <w:tcW w:w="1290" w:type="pct"/>
            <w:gridSpan w:val="2"/>
            <w:tcBorders>
              <w:top w:val="outset" w:sz="6" w:space="0" w:color="auto"/>
              <w:left w:val="outset" w:sz="6" w:space="0" w:color="auto"/>
              <w:bottom w:val="outset" w:sz="6" w:space="0" w:color="auto"/>
              <w:right w:val="outset" w:sz="6" w:space="0" w:color="auto"/>
            </w:tcBorders>
          </w:tcPr>
          <w:p w14:paraId="3181CA9F" w14:textId="77777777" w:rsidR="0031698D" w:rsidRPr="009159DE" w:rsidRDefault="0031698D" w:rsidP="00C809FB">
            <w:pPr>
              <w:jc w:val="center"/>
              <w:rPr>
                <w:spacing w:val="-2"/>
              </w:rPr>
            </w:pPr>
            <w:r w:rsidRPr="009159DE">
              <w:rPr>
                <w:spacing w:val="-2"/>
              </w:rPr>
              <w:lastRenderedPageBreak/>
              <w:t>Direktīvas 2020/2020</w:t>
            </w:r>
          </w:p>
          <w:p w14:paraId="78E8A10C" w14:textId="6F6FDD18" w:rsidR="00C809FB" w:rsidRPr="009159DE" w:rsidRDefault="00C809FB" w:rsidP="00C809FB">
            <w:pPr>
              <w:jc w:val="center"/>
              <w:rPr>
                <w:spacing w:val="-2"/>
              </w:rPr>
            </w:pPr>
            <w:r w:rsidRPr="009159DE">
              <w:rPr>
                <w:spacing w:val="-2"/>
              </w:rPr>
              <w:t>1.panta trešā daļa (Direktīvas 2006/112 129.a panta 3.punkts)</w:t>
            </w:r>
          </w:p>
        </w:tc>
        <w:tc>
          <w:tcPr>
            <w:tcW w:w="1176" w:type="pct"/>
            <w:tcBorders>
              <w:top w:val="outset" w:sz="6" w:space="0" w:color="auto"/>
              <w:left w:val="outset" w:sz="6" w:space="0" w:color="auto"/>
              <w:bottom w:val="outset" w:sz="6" w:space="0" w:color="auto"/>
              <w:right w:val="outset" w:sz="6" w:space="0" w:color="auto"/>
            </w:tcBorders>
          </w:tcPr>
          <w:p w14:paraId="0F773EB3" w14:textId="3AF96A1D" w:rsidR="00C809FB" w:rsidRPr="009159DE" w:rsidRDefault="00C809FB" w:rsidP="00E15E60">
            <w:pPr>
              <w:jc w:val="center"/>
              <w:rPr>
                <w:spacing w:val="-2"/>
              </w:rPr>
            </w:pPr>
            <w:r w:rsidRPr="009159DE">
              <w:rPr>
                <w:spacing w:val="-2"/>
              </w:rPr>
              <w:t xml:space="preserve">Likumprojekta </w:t>
            </w:r>
            <w:r w:rsidR="009733A2">
              <w:rPr>
                <w:spacing w:val="-2"/>
              </w:rPr>
              <w:t>3</w:t>
            </w:r>
            <w:r w:rsidRPr="009159DE">
              <w:rPr>
                <w:spacing w:val="-2"/>
              </w:rPr>
              <w:t>.pants (Pievienotās vērtības nodokļa likuma pārejas noteikumu</w:t>
            </w:r>
            <w:r w:rsidR="001B2356" w:rsidRPr="009159DE">
              <w:rPr>
                <w:spacing w:val="-2"/>
              </w:rPr>
              <w:t xml:space="preserve"> 3</w:t>
            </w:r>
            <w:r w:rsidR="00E15E60" w:rsidRPr="009159DE">
              <w:rPr>
                <w:spacing w:val="-2"/>
              </w:rPr>
              <w:t>5</w:t>
            </w:r>
            <w:r w:rsidRPr="009159DE">
              <w:rPr>
                <w:spacing w:val="-2"/>
              </w:rPr>
              <w:t>.</w:t>
            </w:r>
            <w:r w:rsidR="001B2356" w:rsidRPr="009159DE">
              <w:rPr>
                <w:spacing w:val="-2"/>
                <w:vertAlign w:val="superscript"/>
              </w:rPr>
              <w:t>1</w:t>
            </w:r>
            <w:r w:rsidRPr="009159DE">
              <w:rPr>
                <w:spacing w:val="-2"/>
              </w:rPr>
              <w:t xml:space="preserve"> punkts)</w:t>
            </w:r>
          </w:p>
        </w:tc>
        <w:tc>
          <w:tcPr>
            <w:tcW w:w="1321" w:type="pct"/>
            <w:gridSpan w:val="3"/>
            <w:tcBorders>
              <w:top w:val="outset" w:sz="6" w:space="0" w:color="auto"/>
              <w:left w:val="outset" w:sz="6" w:space="0" w:color="auto"/>
              <w:bottom w:val="outset" w:sz="6" w:space="0" w:color="auto"/>
              <w:right w:val="outset" w:sz="6" w:space="0" w:color="auto"/>
            </w:tcBorders>
          </w:tcPr>
          <w:p w14:paraId="6CAD1DE2" w14:textId="598BD166" w:rsidR="00C809FB" w:rsidRPr="009159DE" w:rsidRDefault="00C809FB" w:rsidP="00C809FB">
            <w:pPr>
              <w:jc w:val="center"/>
              <w:rPr>
                <w:spacing w:val="-2"/>
              </w:rPr>
            </w:pPr>
            <w:r w:rsidRPr="009159DE">
              <w:rPr>
                <w:spacing w:val="-2"/>
              </w:rPr>
              <w:t xml:space="preserve">Pārņemts pilnībā </w:t>
            </w:r>
          </w:p>
        </w:tc>
        <w:tc>
          <w:tcPr>
            <w:tcW w:w="1213" w:type="pct"/>
            <w:tcBorders>
              <w:top w:val="outset" w:sz="6" w:space="0" w:color="auto"/>
              <w:left w:val="outset" w:sz="6" w:space="0" w:color="auto"/>
              <w:bottom w:val="outset" w:sz="6" w:space="0" w:color="auto"/>
              <w:right w:val="outset" w:sz="6" w:space="0" w:color="auto"/>
            </w:tcBorders>
          </w:tcPr>
          <w:p w14:paraId="48606488" w14:textId="63ED0E78" w:rsidR="00C809FB" w:rsidRPr="009159DE" w:rsidRDefault="00C809FB" w:rsidP="00C809FB">
            <w:pPr>
              <w:jc w:val="center"/>
              <w:rPr>
                <w:spacing w:val="-2"/>
              </w:rPr>
            </w:pPr>
            <w:r w:rsidRPr="009159DE">
              <w:rPr>
                <w:spacing w:val="-2"/>
              </w:rPr>
              <w:t>Likumprojekts neparedz stingrākas prasības</w:t>
            </w:r>
          </w:p>
        </w:tc>
      </w:tr>
      <w:tr w:rsidR="00C809FB" w:rsidRPr="009159DE" w14:paraId="570D793C" w14:textId="77777777" w:rsidTr="00397656">
        <w:trPr>
          <w:cantSplit/>
          <w:trHeight w:val="135"/>
        </w:trPr>
        <w:tc>
          <w:tcPr>
            <w:tcW w:w="1290" w:type="pct"/>
            <w:gridSpan w:val="2"/>
            <w:tcBorders>
              <w:top w:val="outset" w:sz="6" w:space="0" w:color="auto"/>
              <w:left w:val="outset" w:sz="6" w:space="0" w:color="auto"/>
              <w:bottom w:val="outset" w:sz="6" w:space="0" w:color="auto"/>
              <w:right w:val="outset" w:sz="6" w:space="0" w:color="auto"/>
            </w:tcBorders>
          </w:tcPr>
          <w:p w14:paraId="3C480C56" w14:textId="77777777" w:rsidR="0031698D" w:rsidRPr="009159DE" w:rsidRDefault="0031698D" w:rsidP="00C809FB">
            <w:pPr>
              <w:jc w:val="center"/>
              <w:rPr>
                <w:spacing w:val="-2"/>
              </w:rPr>
            </w:pPr>
            <w:r w:rsidRPr="009159DE">
              <w:rPr>
                <w:spacing w:val="-2"/>
              </w:rPr>
              <w:t>Direktīvas 2020/2020</w:t>
            </w:r>
          </w:p>
          <w:p w14:paraId="3785AE1C" w14:textId="7F2EAA4B" w:rsidR="00C809FB" w:rsidRPr="009159DE" w:rsidRDefault="00C809FB" w:rsidP="00C809FB">
            <w:pPr>
              <w:jc w:val="center"/>
              <w:rPr>
                <w:spacing w:val="-2"/>
              </w:rPr>
            </w:pPr>
            <w:r w:rsidRPr="009159DE">
              <w:rPr>
                <w:spacing w:val="-2"/>
              </w:rPr>
              <w:t xml:space="preserve">2.panta 1.punkts </w:t>
            </w:r>
          </w:p>
        </w:tc>
        <w:tc>
          <w:tcPr>
            <w:tcW w:w="1176" w:type="pct"/>
            <w:tcBorders>
              <w:top w:val="outset" w:sz="6" w:space="0" w:color="auto"/>
              <w:left w:val="outset" w:sz="6" w:space="0" w:color="auto"/>
              <w:bottom w:val="outset" w:sz="6" w:space="0" w:color="auto"/>
              <w:right w:val="outset" w:sz="6" w:space="0" w:color="auto"/>
            </w:tcBorders>
          </w:tcPr>
          <w:p w14:paraId="1E754C34" w14:textId="02C8D07A" w:rsidR="00C809FB" w:rsidRPr="009159DE" w:rsidRDefault="00C809FB" w:rsidP="00E15E60">
            <w:pPr>
              <w:jc w:val="center"/>
              <w:rPr>
                <w:spacing w:val="-2"/>
              </w:rPr>
            </w:pPr>
            <w:r w:rsidRPr="009159DE">
              <w:rPr>
                <w:spacing w:val="-2"/>
              </w:rPr>
              <w:t xml:space="preserve">Likumprojekta </w:t>
            </w:r>
            <w:r w:rsidR="009733A2">
              <w:rPr>
                <w:spacing w:val="-2"/>
              </w:rPr>
              <w:t>4</w:t>
            </w:r>
            <w:bookmarkStart w:id="0" w:name="_GoBack"/>
            <w:bookmarkEnd w:id="0"/>
            <w:r w:rsidRPr="009159DE">
              <w:rPr>
                <w:spacing w:val="-2"/>
              </w:rPr>
              <w:t>.pants (Pievienotās vērtības nodokļa likuma informatīvās atsauces uz Eiropas Savienības direktīvām</w:t>
            </w:r>
            <w:r w:rsidR="00E15E60" w:rsidRPr="009159DE">
              <w:rPr>
                <w:spacing w:val="-2"/>
              </w:rPr>
              <w:t xml:space="preserve"> 20</w:t>
            </w:r>
            <w:r w:rsidRPr="009159DE">
              <w:rPr>
                <w:spacing w:val="-2"/>
              </w:rPr>
              <w:t>.</w:t>
            </w:r>
            <w:r w:rsidRPr="009159DE">
              <w:rPr>
                <w:spacing w:val="-2"/>
                <w:vertAlign w:val="superscript"/>
              </w:rPr>
              <w:t>1</w:t>
            </w:r>
            <w:r w:rsidRPr="009159DE">
              <w:rPr>
                <w:spacing w:val="-2"/>
              </w:rPr>
              <w:t xml:space="preserve"> punkts)</w:t>
            </w:r>
          </w:p>
        </w:tc>
        <w:tc>
          <w:tcPr>
            <w:tcW w:w="1321" w:type="pct"/>
            <w:gridSpan w:val="3"/>
            <w:tcBorders>
              <w:top w:val="outset" w:sz="6" w:space="0" w:color="auto"/>
              <w:left w:val="outset" w:sz="6" w:space="0" w:color="auto"/>
              <w:bottom w:val="outset" w:sz="6" w:space="0" w:color="auto"/>
              <w:right w:val="outset" w:sz="6" w:space="0" w:color="auto"/>
            </w:tcBorders>
          </w:tcPr>
          <w:p w14:paraId="14F92D2D" w14:textId="6442E637" w:rsidR="00C809FB" w:rsidRPr="009159DE" w:rsidRDefault="00C809FB" w:rsidP="00C809FB">
            <w:pPr>
              <w:jc w:val="center"/>
              <w:rPr>
                <w:spacing w:val="-2"/>
              </w:rPr>
            </w:pPr>
            <w:r w:rsidRPr="009159DE">
              <w:rPr>
                <w:spacing w:val="-2"/>
              </w:rPr>
              <w:t xml:space="preserve">Pārņemts pilnībā </w:t>
            </w:r>
          </w:p>
        </w:tc>
        <w:tc>
          <w:tcPr>
            <w:tcW w:w="1213" w:type="pct"/>
            <w:tcBorders>
              <w:top w:val="outset" w:sz="6" w:space="0" w:color="auto"/>
              <w:left w:val="outset" w:sz="6" w:space="0" w:color="auto"/>
              <w:bottom w:val="outset" w:sz="6" w:space="0" w:color="auto"/>
              <w:right w:val="outset" w:sz="6" w:space="0" w:color="auto"/>
            </w:tcBorders>
          </w:tcPr>
          <w:p w14:paraId="3646D95C" w14:textId="7586A6DE" w:rsidR="00C809FB" w:rsidRPr="009159DE" w:rsidRDefault="00C809FB" w:rsidP="00C809FB">
            <w:pPr>
              <w:jc w:val="center"/>
              <w:rPr>
                <w:spacing w:val="-2"/>
              </w:rPr>
            </w:pPr>
            <w:r w:rsidRPr="009159DE">
              <w:rPr>
                <w:spacing w:val="-2"/>
              </w:rPr>
              <w:t>Likumprojekts neparedz stingrākas prasības</w:t>
            </w:r>
          </w:p>
        </w:tc>
      </w:tr>
      <w:tr w:rsidR="00C809FB" w:rsidRPr="009159DE" w14:paraId="1C8B9287" w14:textId="77777777" w:rsidTr="00E7102B">
        <w:trPr>
          <w:cantSplit/>
        </w:trPr>
        <w:tc>
          <w:tcPr>
            <w:tcW w:w="1290" w:type="pct"/>
            <w:gridSpan w:val="2"/>
            <w:hideMark/>
          </w:tcPr>
          <w:p w14:paraId="50AE6D3B" w14:textId="77777777" w:rsidR="00C809FB" w:rsidRPr="009159DE" w:rsidRDefault="00C809FB" w:rsidP="00C809FB">
            <w:pPr>
              <w:rPr>
                <w:spacing w:val="-2"/>
              </w:rPr>
            </w:pPr>
            <w:r w:rsidRPr="009159DE">
              <w:rPr>
                <w:spacing w:val="-2"/>
              </w:rPr>
              <w:t>Kā ir izmantota ES tiesību aktā paredzētā rīcības brīvība dalībvalstij pārņemt vai ieviest noteiktas ES tiesību akta normas? Kādēļ?</w:t>
            </w:r>
          </w:p>
        </w:tc>
        <w:tc>
          <w:tcPr>
            <w:tcW w:w="3710" w:type="pct"/>
            <w:gridSpan w:val="5"/>
            <w:hideMark/>
          </w:tcPr>
          <w:p w14:paraId="4EA14973" w14:textId="54E5A3F2" w:rsidR="00C809FB" w:rsidRPr="009159DE" w:rsidRDefault="0031698D" w:rsidP="0031698D">
            <w:pPr>
              <w:jc w:val="both"/>
              <w:rPr>
                <w:spacing w:val="-2"/>
              </w:rPr>
            </w:pPr>
            <w:r w:rsidRPr="009159DE">
              <w:rPr>
                <w:spacing w:val="-2"/>
              </w:rPr>
              <w:t>Direktīva 2020/2020</w:t>
            </w:r>
            <w:r w:rsidR="003C3C7C" w:rsidRPr="009159DE">
              <w:rPr>
                <w:spacing w:val="-2"/>
              </w:rPr>
              <w:t xml:space="preserve"> paredz izvēles brīvību dalībvalstij ieviest atbilstošu PVN likmi: </w:t>
            </w:r>
            <w:r w:rsidR="00A562E1" w:rsidRPr="009159DE">
              <w:rPr>
                <w:spacing w:val="-2"/>
              </w:rPr>
              <w:t xml:space="preserve">PVN </w:t>
            </w:r>
            <w:r w:rsidR="003C3C7C" w:rsidRPr="009159DE">
              <w:rPr>
                <w:spacing w:val="-2"/>
              </w:rPr>
              <w:t xml:space="preserve">samazināto likmi vai </w:t>
            </w:r>
            <w:r w:rsidR="00A562E1" w:rsidRPr="009159DE">
              <w:rPr>
                <w:spacing w:val="-2"/>
              </w:rPr>
              <w:t xml:space="preserve">PVN </w:t>
            </w:r>
            <w:r w:rsidR="003C3C7C" w:rsidRPr="009159DE">
              <w:rPr>
                <w:spacing w:val="-2"/>
              </w:rPr>
              <w:t>0 procentu likmi ar t</w:t>
            </w:r>
            <w:r w:rsidR="00160B2B" w:rsidRPr="009159DE">
              <w:rPr>
                <w:spacing w:val="-2"/>
              </w:rPr>
              <w:t>iesībām atskaitīt priekšnodokli</w:t>
            </w:r>
            <w:r w:rsidRPr="009159DE">
              <w:rPr>
                <w:spacing w:val="-2"/>
              </w:rPr>
              <w:t xml:space="preserve"> Direktīvā 2020/2020</w:t>
            </w:r>
            <w:r w:rsidR="00A562E1" w:rsidRPr="009159DE">
              <w:rPr>
                <w:spacing w:val="-2"/>
              </w:rPr>
              <w:t xml:space="preserve"> noteiktajā</w:t>
            </w:r>
            <w:r w:rsidR="003C3C7C" w:rsidRPr="009159DE">
              <w:rPr>
                <w:spacing w:val="-2"/>
              </w:rPr>
              <w:t xml:space="preserve">m </w:t>
            </w:r>
            <w:r w:rsidR="00A562E1" w:rsidRPr="009159DE">
              <w:rPr>
                <w:spacing w:val="-2"/>
              </w:rPr>
              <w:t>precēm un ar tā</w:t>
            </w:r>
            <w:r w:rsidR="003C3C7C" w:rsidRPr="009159DE">
              <w:rPr>
                <w:spacing w:val="-2"/>
              </w:rPr>
              <w:t xml:space="preserve">m cieši saistītiem pakalpojumiem. Ar likumprojektu tiek paredzēts ieviest </w:t>
            </w:r>
            <w:r w:rsidR="00C85C9E" w:rsidRPr="009159DE">
              <w:rPr>
                <w:spacing w:val="-2"/>
              </w:rPr>
              <w:t>Latvijā</w:t>
            </w:r>
            <w:r w:rsidR="00C809FB" w:rsidRPr="009159DE">
              <w:rPr>
                <w:spacing w:val="-2"/>
              </w:rPr>
              <w:t xml:space="preserve"> PVN 0 procentu likmi noteiktajiem darījumiem, lai pilnībā sasniegtu izvirzīto mērķi </w:t>
            </w:r>
            <w:r w:rsidR="00C85C9E" w:rsidRPr="009159DE">
              <w:rPr>
                <w:spacing w:val="-2"/>
              </w:rPr>
              <w:t xml:space="preserve">- </w:t>
            </w:r>
            <w:r w:rsidR="00C809FB" w:rsidRPr="009159DE">
              <w:rPr>
                <w:spacing w:val="-2"/>
              </w:rPr>
              <w:t xml:space="preserve">samazināt galapatērētāja maksājamo gala cenu.    </w:t>
            </w:r>
          </w:p>
        </w:tc>
      </w:tr>
      <w:tr w:rsidR="00C809FB" w:rsidRPr="009159DE" w14:paraId="69BADAC9" w14:textId="77777777" w:rsidTr="00E7102B">
        <w:trPr>
          <w:cantSplit/>
        </w:trPr>
        <w:tc>
          <w:tcPr>
            <w:tcW w:w="1290" w:type="pct"/>
            <w:gridSpan w:val="2"/>
            <w:hideMark/>
          </w:tcPr>
          <w:p w14:paraId="3180FF0A" w14:textId="77777777" w:rsidR="00C809FB" w:rsidRPr="009159DE" w:rsidRDefault="00C809FB" w:rsidP="00C809FB">
            <w:pPr>
              <w:rPr>
                <w:spacing w:val="-2"/>
              </w:rPr>
            </w:pPr>
            <w:r w:rsidRPr="009159DE">
              <w:rPr>
                <w:spacing w:val="-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0" w:type="pct"/>
            <w:gridSpan w:val="5"/>
            <w:hideMark/>
          </w:tcPr>
          <w:p w14:paraId="3CC4ECBD" w14:textId="77777777" w:rsidR="00C809FB" w:rsidRPr="009159DE" w:rsidRDefault="00C809FB" w:rsidP="00C809FB">
            <w:pPr>
              <w:jc w:val="both"/>
              <w:rPr>
                <w:spacing w:val="-2"/>
              </w:rPr>
            </w:pPr>
            <w:r w:rsidRPr="009159DE">
              <w:rPr>
                <w:spacing w:val="-2"/>
              </w:rPr>
              <w:t>Projekts šo jomu neskar.</w:t>
            </w:r>
          </w:p>
        </w:tc>
      </w:tr>
      <w:tr w:rsidR="00C809FB" w:rsidRPr="009159DE" w14:paraId="7B2D1E88" w14:textId="77777777" w:rsidTr="00E7102B">
        <w:trPr>
          <w:cantSplit/>
        </w:trPr>
        <w:tc>
          <w:tcPr>
            <w:tcW w:w="1290" w:type="pct"/>
            <w:gridSpan w:val="2"/>
            <w:hideMark/>
          </w:tcPr>
          <w:p w14:paraId="53F8D8ED" w14:textId="77777777" w:rsidR="00C809FB" w:rsidRPr="009159DE" w:rsidRDefault="00C809FB" w:rsidP="00C809FB">
            <w:pPr>
              <w:rPr>
                <w:spacing w:val="-2"/>
              </w:rPr>
            </w:pPr>
            <w:r w:rsidRPr="009159DE">
              <w:rPr>
                <w:spacing w:val="-2"/>
              </w:rPr>
              <w:t>Cita informācija</w:t>
            </w:r>
          </w:p>
        </w:tc>
        <w:tc>
          <w:tcPr>
            <w:tcW w:w="3710" w:type="pct"/>
            <w:gridSpan w:val="5"/>
            <w:hideMark/>
          </w:tcPr>
          <w:p w14:paraId="0CA6EF0B" w14:textId="423F764F" w:rsidR="00C809FB" w:rsidRPr="009159DE" w:rsidRDefault="00C809FB" w:rsidP="003C3C7C">
            <w:pPr>
              <w:tabs>
                <w:tab w:val="left" w:pos="6628"/>
              </w:tabs>
              <w:ind w:left="-34" w:firstLine="34"/>
              <w:jc w:val="both"/>
              <w:rPr>
                <w:spacing w:val="-2"/>
              </w:rPr>
            </w:pPr>
            <w:r w:rsidRPr="009159DE">
              <w:rPr>
                <w:spacing w:val="-2"/>
              </w:rPr>
              <w:t>Nav</w:t>
            </w:r>
          </w:p>
        </w:tc>
      </w:tr>
      <w:tr w:rsidR="00C809FB" w:rsidRPr="009159DE" w14:paraId="523FDD37" w14:textId="77777777" w:rsidTr="00E7102B">
        <w:trPr>
          <w:cantSplit/>
        </w:trPr>
        <w:tc>
          <w:tcPr>
            <w:tcW w:w="5000" w:type="pct"/>
            <w:gridSpan w:val="7"/>
            <w:vAlign w:val="center"/>
            <w:hideMark/>
          </w:tcPr>
          <w:p w14:paraId="56457EE8" w14:textId="77777777" w:rsidR="00C809FB" w:rsidRPr="009159DE" w:rsidRDefault="00C809FB" w:rsidP="00C809FB">
            <w:pPr>
              <w:jc w:val="center"/>
              <w:rPr>
                <w:b/>
                <w:bCs/>
                <w:spacing w:val="-2"/>
              </w:rPr>
            </w:pPr>
            <w:r w:rsidRPr="009159DE">
              <w:rPr>
                <w:b/>
                <w:bCs/>
                <w:spacing w:val="-2"/>
              </w:rPr>
              <w:t>2. tabula</w:t>
            </w:r>
            <w:r w:rsidRPr="009159DE">
              <w:rPr>
                <w:b/>
                <w:bCs/>
                <w:spacing w:val="-2"/>
              </w:rPr>
              <w:br/>
              <w:t>Ar tiesību akta projektu izpildītās vai uzņemtās saistības, kas izriet no starptautiskajiem tiesību aktiem vai starptautiskas institūcijas vai organizācijas dokumentiem.</w:t>
            </w:r>
            <w:r w:rsidRPr="009159DE">
              <w:rPr>
                <w:b/>
                <w:bCs/>
                <w:spacing w:val="-2"/>
              </w:rPr>
              <w:br/>
              <w:t>Pasākumi šo saistību izpildei</w:t>
            </w:r>
          </w:p>
          <w:p w14:paraId="0CF947B0" w14:textId="6DCFC1AA" w:rsidR="00C809FB" w:rsidRPr="009159DE" w:rsidRDefault="00C809FB" w:rsidP="00C809FB">
            <w:pPr>
              <w:jc w:val="center"/>
              <w:rPr>
                <w:b/>
                <w:bCs/>
                <w:spacing w:val="-2"/>
              </w:rPr>
            </w:pPr>
          </w:p>
        </w:tc>
      </w:tr>
      <w:tr w:rsidR="00C809FB" w:rsidRPr="009159DE" w14:paraId="6BC86080" w14:textId="77777777" w:rsidTr="00E7102B">
        <w:trPr>
          <w:cantSplit/>
        </w:trPr>
        <w:tc>
          <w:tcPr>
            <w:tcW w:w="1290" w:type="pct"/>
            <w:gridSpan w:val="2"/>
            <w:hideMark/>
          </w:tcPr>
          <w:p w14:paraId="77165C3F" w14:textId="5A7685D0" w:rsidR="00C809FB" w:rsidRPr="009159DE" w:rsidRDefault="00C809FB" w:rsidP="00C809FB">
            <w:pPr>
              <w:rPr>
                <w:spacing w:val="-2"/>
              </w:rPr>
            </w:pPr>
            <w:r w:rsidRPr="009159DE">
              <w:rPr>
                <w:spacing w:val="-2"/>
              </w:rPr>
              <w:t>Attiecīgā starptautiskā tiesību akta vai starptautiskas institūcijas vai organizācijas dokumenta (turpmāk – starptautiskais dokuments) datums, numurs un nosaukums</w:t>
            </w:r>
          </w:p>
        </w:tc>
        <w:tc>
          <w:tcPr>
            <w:tcW w:w="3710" w:type="pct"/>
            <w:gridSpan w:val="5"/>
            <w:hideMark/>
          </w:tcPr>
          <w:p w14:paraId="2FDDD1DA" w14:textId="0E697C5D" w:rsidR="00C809FB" w:rsidRPr="009159DE" w:rsidRDefault="00C809FB" w:rsidP="00C809FB">
            <w:pPr>
              <w:rPr>
                <w:spacing w:val="-2"/>
              </w:rPr>
            </w:pPr>
            <w:r w:rsidRPr="009159DE">
              <w:rPr>
                <w:spacing w:val="-2"/>
              </w:rPr>
              <w:t>Projekts šo jomu neskar.</w:t>
            </w:r>
          </w:p>
        </w:tc>
      </w:tr>
      <w:tr w:rsidR="00C809FB" w:rsidRPr="009159DE" w14:paraId="5376362A" w14:textId="77777777" w:rsidTr="00397656">
        <w:trPr>
          <w:cantSplit/>
        </w:trPr>
        <w:tc>
          <w:tcPr>
            <w:tcW w:w="1290" w:type="pct"/>
            <w:gridSpan w:val="2"/>
            <w:vAlign w:val="center"/>
            <w:hideMark/>
          </w:tcPr>
          <w:p w14:paraId="012AF335" w14:textId="77777777" w:rsidR="00C809FB" w:rsidRPr="009159DE" w:rsidRDefault="00C809FB" w:rsidP="00C809FB">
            <w:pPr>
              <w:jc w:val="center"/>
              <w:rPr>
                <w:spacing w:val="-2"/>
              </w:rPr>
            </w:pPr>
            <w:r w:rsidRPr="009159DE">
              <w:rPr>
                <w:spacing w:val="-2"/>
              </w:rPr>
              <w:t>A</w:t>
            </w:r>
          </w:p>
        </w:tc>
        <w:tc>
          <w:tcPr>
            <w:tcW w:w="1663" w:type="pct"/>
            <w:gridSpan w:val="3"/>
            <w:vAlign w:val="center"/>
            <w:hideMark/>
          </w:tcPr>
          <w:p w14:paraId="67C0F086" w14:textId="77777777" w:rsidR="00C809FB" w:rsidRPr="009159DE" w:rsidRDefault="00C809FB" w:rsidP="00C809FB">
            <w:pPr>
              <w:jc w:val="center"/>
              <w:rPr>
                <w:spacing w:val="-2"/>
              </w:rPr>
            </w:pPr>
            <w:r w:rsidRPr="009159DE">
              <w:rPr>
                <w:spacing w:val="-2"/>
              </w:rPr>
              <w:t>B</w:t>
            </w:r>
          </w:p>
        </w:tc>
        <w:tc>
          <w:tcPr>
            <w:tcW w:w="2046" w:type="pct"/>
            <w:gridSpan w:val="2"/>
            <w:vAlign w:val="center"/>
            <w:hideMark/>
          </w:tcPr>
          <w:p w14:paraId="6FD82E54" w14:textId="77777777" w:rsidR="00C809FB" w:rsidRPr="009159DE" w:rsidRDefault="00C809FB" w:rsidP="00C809FB">
            <w:pPr>
              <w:jc w:val="center"/>
              <w:rPr>
                <w:spacing w:val="-2"/>
              </w:rPr>
            </w:pPr>
            <w:r w:rsidRPr="009159DE">
              <w:rPr>
                <w:spacing w:val="-2"/>
              </w:rPr>
              <w:t>C</w:t>
            </w:r>
          </w:p>
        </w:tc>
      </w:tr>
      <w:tr w:rsidR="00C809FB" w:rsidRPr="009159DE" w14:paraId="4B481EFF" w14:textId="77777777" w:rsidTr="00397656">
        <w:trPr>
          <w:cantSplit/>
        </w:trPr>
        <w:tc>
          <w:tcPr>
            <w:tcW w:w="1290" w:type="pct"/>
            <w:gridSpan w:val="2"/>
            <w:hideMark/>
          </w:tcPr>
          <w:p w14:paraId="588C594A" w14:textId="77777777" w:rsidR="00C809FB" w:rsidRPr="009159DE" w:rsidRDefault="00C809FB" w:rsidP="00C809FB">
            <w:pPr>
              <w:rPr>
                <w:spacing w:val="-2"/>
              </w:rPr>
            </w:pPr>
            <w:r w:rsidRPr="009159DE">
              <w:rPr>
                <w:spacing w:val="-2"/>
              </w:rPr>
              <w:lastRenderedPageBreak/>
              <w:t>Starptautiskās saistības (pēc būtības), kas izriet no norādītā starptautiskā dokumenta.</w:t>
            </w:r>
            <w:r w:rsidRPr="009159DE">
              <w:rPr>
                <w:spacing w:val="-2"/>
              </w:rPr>
              <w:br/>
              <w:t>Konkrēti veicamie pasākumi vai uzdevumi, kas nepieciešami šo starptautisko saistību izpildei</w:t>
            </w:r>
          </w:p>
          <w:p w14:paraId="7908C797" w14:textId="36222FB1" w:rsidR="00C809FB" w:rsidRPr="009159DE" w:rsidRDefault="00C809FB" w:rsidP="00C809FB">
            <w:pPr>
              <w:rPr>
                <w:spacing w:val="-2"/>
              </w:rPr>
            </w:pPr>
          </w:p>
        </w:tc>
        <w:tc>
          <w:tcPr>
            <w:tcW w:w="1663" w:type="pct"/>
            <w:gridSpan w:val="3"/>
            <w:hideMark/>
          </w:tcPr>
          <w:p w14:paraId="60DDDFFE" w14:textId="77777777" w:rsidR="00C809FB" w:rsidRPr="009159DE" w:rsidRDefault="00C809FB" w:rsidP="00C809FB">
            <w:pPr>
              <w:rPr>
                <w:spacing w:val="-2"/>
              </w:rPr>
            </w:pPr>
            <w:r w:rsidRPr="009159DE">
              <w:rPr>
                <w:spacing w:val="-2"/>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6" w:type="pct"/>
            <w:gridSpan w:val="2"/>
            <w:hideMark/>
          </w:tcPr>
          <w:p w14:paraId="3AE70218" w14:textId="77777777" w:rsidR="00C809FB" w:rsidRPr="009159DE" w:rsidRDefault="00C809FB" w:rsidP="00C809FB">
            <w:pPr>
              <w:rPr>
                <w:spacing w:val="-2"/>
              </w:rPr>
            </w:pPr>
            <w:r w:rsidRPr="009159DE">
              <w:rPr>
                <w:spacing w:val="-2"/>
              </w:rPr>
              <w:t>Informācija par to, vai starptautiskās saistības, kas minētas šīs tabulas A ailē, tiek izpildītas pilnībā vai daļēji.</w:t>
            </w:r>
            <w:r w:rsidRPr="009159DE">
              <w:rPr>
                <w:spacing w:val="-2"/>
              </w:rPr>
              <w:br/>
              <w:t>Ja attiecīgās starptautiskās saistības tiek izpildītas daļēji, sniedz skaidrojumu, kā arī precīzi norāda, kad un kādā veidā starptautiskās saistības tiks izpildītas pilnībā.</w:t>
            </w:r>
            <w:r w:rsidRPr="009159DE">
              <w:rPr>
                <w:spacing w:val="-2"/>
              </w:rPr>
              <w:br/>
              <w:t>Norāda institūciju, kas ir atbildīga par šo saistību izpildi pilnībā</w:t>
            </w:r>
          </w:p>
        </w:tc>
      </w:tr>
      <w:tr w:rsidR="00C809FB" w:rsidRPr="009159DE" w14:paraId="6906B30D" w14:textId="77777777" w:rsidTr="00E7102B">
        <w:trPr>
          <w:cantSplit/>
        </w:trPr>
        <w:tc>
          <w:tcPr>
            <w:tcW w:w="1290" w:type="pct"/>
            <w:gridSpan w:val="2"/>
            <w:hideMark/>
          </w:tcPr>
          <w:p w14:paraId="60B06225" w14:textId="77777777" w:rsidR="00C809FB" w:rsidRPr="009159DE" w:rsidRDefault="00C809FB" w:rsidP="00C809FB">
            <w:pPr>
              <w:rPr>
                <w:spacing w:val="-2"/>
              </w:rPr>
            </w:pPr>
            <w:r w:rsidRPr="009159DE">
              <w:rPr>
                <w:spacing w:val="-2"/>
              </w:rPr>
              <w:t>Vai starptautiskajā dokumentā paredzētās saistības nav pretrunā ar jau esošajām Latvijas Republikas starptautiskajām saistībām</w:t>
            </w:r>
          </w:p>
          <w:p w14:paraId="77CAEB53" w14:textId="0F984C36" w:rsidR="00C809FB" w:rsidRPr="009159DE" w:rsidRDefault="00C809FB" w:rsidP="00C809FB">
            <w:pPr>
              <w:rPr>
                <w:spacing w:val="-2"/>
              </w:rPr>
            </w:pPr>
          </w:p>
        </w:tc>
        <w:tc>
          <w:tcPr>
            <w:tcW w:w="3710" w:type="pct"/>
            <w:gridSpan w:val="5"/>
            <w:hideMark/>
          </w:tcPr>
          <w:p w14:paraId="3EB2B641" w14:textId="21F90B7B" w:rsidR="00C809FB" w:rsidRPr="009159DE" w:rsidRDefault="00C809FB" w:rsidP="00C809FB">
            <w:pPr>
              <w:rPr>
                <w:spacing w:val="-2"/>
              </w:rPr>
            </w:pPr>
            <w:r w:rsidRPr="009159DE">
              <w:rPr>
                <w:spacing w:val="-2"/>
              </w:rPr>
              <w:t>Nav</w:t>
            </w:r>
          </w:p>
        </w:tc>
      </w:tr>
      <w:tr w:rsidR="00C809FB" w:rsidRPr="009159DE" w14:paraId="36236061" w14:textId="77777777" w:rsidTr="00E7102B">
        <w:trPr>
          <w:cantSplit/>
        </w:trPr>
        <w:tc>
          <w:tcPr>
            <w:tcW w:w="1290" w:type="pct"/>
            <w:gridSpan w:val="2"/>
            <w:hideMark/>
          </w:tcPr>
          <w:p w14:paraId="71B38B89" w14:textId="77777777" w:rsidR="00C809FB" w:rsidRPr="009159DE" w:rsidRDefault="00C809FB" w:rsidP="00C809FB">
            <w:pPr>
              <w:rPr>
                <w:spacing w:val="-2"/>
              </w:rPr>
            </w:pPr>
            <w:r w:rsidRPr="009159DE">
              <w:rPr>
                <w:spacing w:val="-2"/>
              </w:rPr>
              <w:t>Cita informācija</w:t>
            </w:r>
          </w:p>
          <w:p w14:paraId="410FF8F3" w14:textId="6D585B4D" w:rsidR="00C809FB" w:rsidRPr="009159DE" w:rsidRDefault="00C809FB" w:rsidP="00C809FB">
            <w:pPr>
              <w:rPr>
                <w:spacing w:val="-2"/>
              </w:rPr>
            </w:pPr>
          </w:p>
        </w:tc>
        <w:tc>
          <w:tcPr>
            <w:tcW w:w="3710" w:type="pct"/>
            <w:gridSpan w:val="5"/>
            <w:hideMark/>
          </w:tcPr>
          <w:p w14:paraId="1CCE6C74" w14:textId="0333ACB8" w:rsidR="00C809FB" w:rsidRPr="009159DE" w:rsidRDefault="00C809FB" w:rsidP="00C809FB">
            <w:pPr>
              <w:jc w:val="both"/>
              <w:rPr>
                <w:spacing w:val="-2"/>
              </w:rPr>
            </w:pPr>
            <w:r w:rsidRPr="009159DE">
              <w:rPr>
                <w:spacing w:val="-2"/>
              </w:rPr>
              <w:t>Nav</w:t>
            </w:r>
          </w:p>
        </w:tc>
      </w:tr>
    </w:tbl>
    <w:p w14:paraId="49585193" w14:textId="34DD6710" w:rsidR="00706415" w:rsidRPr="009159DE" w:rsidRDefault="00706415">
      <w:pPr>
        <w:rPr>
          <w:spacing w:val="-2"/>
        </w:rPr>
      </w:pPr>
    </w:p>
    <w:p w14:paraId="43FBEEF9" w14:textId="77777777" w:rsidR="00706415" w:rsidRPr="009159DE" w:rsidRDefault="00706415" w:rsidP="00562A99">
      <w:pPr>
        <w:jc w:val="center"/>
        <w:rPr>
          <w:b/>
          <w:bCs/>
          <w:spacing w:val="-2"/>
        </w:rPr>
        <w:sectPr w:rsidR="00706415" w:rsidRPr="009159DE" w:rsidSect="004F211D">
          <w:type w:val="continuous"/>
          <w:pgSz w:w="11906" w:h="16838"/>
          <w:pgMar w:top="1077" w:right="1797" w:bottom="567" w:left="1797" w:header="709" w:footer="709" w:gutter="0"/>
          <w:cols w:space="708"/>
          <w:titlePg/>
          <w:docGrid w:linePitch="360"/>
        </w:sectPr>
      </w:pP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3"/>
        <w:gridCol w:w="2407"/>
        <w:gridCol w:w="6521"/>
      </w:tblGrid>
      <w:tr w:rsidR="000C4C70" w:rsidRPr="009159DE" w14:paraId="3394FBA2" w14:textId="77777777" w:rsidTr="0024766E">
        <w:trPr>
          <w:cantSplit/>
        </w:trPr>
        <w:tc>
          <w:tcPr>
            <w:tcW w:w="5000" w:type="pct"/>
            <w:gridSpan w:val="3"/>
            <w:vAlign w:val="center"/>
            <w:hideMark/>
          </w:tcPr>
          <w:p w14:paraId="41E2C464" w14:textId="67690BF0" w:rsidR="00562A99" w:rsidRPr="009159DE" w:rsidRDefault="00562A99" w:rsidP="00562A99">
            <w:pPr>
              <w:jc w:val="center"/>
              <w:rPr>
                <w:b/>
                <w:bCs/>
                <w:spacing w:val="-2"/>
              </w:rPr>
            </w:pPr>
            <w:r w:rsidRPr="009159DE">
              <w:rPr>
                <w:b/>
                <w:bCs/>
                <w:spacing w:val="-2"/>
              </w:rPr>
              <w:t>VI. Sabiedrības līdzdalība un komunikācijas aktivitātes</w:t>
            </w:r>
          </w:p>
        </w:tc>
      </w:tr>
      <w:tr w:rsidR="000C4C70" w:rsidRPr="009159DE" w14:paraId="178DA8B0" w14:textId="77777777" w:rsidTr="009159DE">
        <w:trPr>
          <w:cantSplit/>
        </w:trPr>
        <w:tc>
          <w:tcPr>
            <w:tcW w:w="226" w:type="pct"/>
            <w:hideMark/>
          </w:tcPr>
          <w:p w14:paraId="75863E61" w14:textId="77777777" w:rsidR="00562A99" w:rsidRPr="009159DE" w:rsidRDefault="00562A99" w:rsidP="00562A99">
            <w:pPr>
              <w:jc w:val="center"/>
              <w:rPr>
                <w:spacing w:val="-2"/>
              </w:rPr>
            </w:pPr>
            <w:r w:rsidRPr="009159DE">
              <w:rPr>
                <w:spacing w:val="-2"/>
              </w:rPr>
              <w:t>1.</w:t>
            </w:r>
          </w:p>
        </w:tc>
        <w:tc>
          <w:tcPr>
            <w:tcW w:w="1287" w:type="pct"/>
            <w:hideMark/>
          </w:tcPr>
          <w:p w14:paraId="3A1408D9" w14:textId="77777777" w:rsidR="00562A99" w:rsidRPr="009159DE" w:rsidRDefault="00562A99" w:rsidP="00562A99">
            <w:pPr>
              <w:rPr>
                <w:spacing w:val="-2"/>
              </w:rPr>
            </w:pPr>
            <w:r w:rsidRPr="009159DE">
              <w:rPr>
                <w:spacing w:val="-2"/>
              </w:rPr>
              <w:t>Plānotās sabiedrības līdzdalības un komunikācijas aktivitātes saistībā ar projektu</w:t>
            </w:r>
          </w:p>
        </w:tc>
        <w:tc>
          <w:tcPr>
            <w:tcW w:w="3487" w:type="pct"/>
            <w:hideMark/>
          </w:tcPr>
          <w:p w14:paraId="76CFA8DA" w14:textId="280CF69A" w:rsidR="00562A99" w:rsidRPr="009159DE" w:rsidRDefault="001B07FA" w:rsidP="008A4668">
            <w:pPr>
              <w:ind w:left="108" w:right="109"/>
              <w:jc w:val="both"/>
              <w:rPr>
                <w:spacing w:val="-2"/>
              </w:rPr>
            </w:pPr>
            <w:r w:rsidRPr="009159DE">
              <w:rPr>
                <w:spacing w:val="-2"/>
              </w:rPr>
              <w:t xml:space="preserve">Pēc likumprojekta iesniegšanas </w:t>
            </w:r>
            <w:r w:rsidR="00AE2FEE" w:rsidRPr="009159DE">
              <w:rPr>
                <w:spacing w:val="-2"/>
              </w:rPr>
              <w:t>izskatīšanai Ministru kabinetā</w:t>
            </w:r>
            <w:r w:rsidRPr="009159DE">
              <w:rPr>
                <w:spacing w:val="-2"/>
              </w:rPr>
              <w:t xml:space="preserve"> i</w:t>
            </w:r>
            <w:r w:rsidR="0098578D" w:rsidRPr="009159DE">
              <w:rPr>
                <w:spacing w:val="-2"/>
              </w:rPr>
              <w:t>nformācija p</w:t>
            </w:r>
            <w:r w:rsidR="00562A99" w:rsidRPr="009159DE">
              <w:rPr>
                <w:spacing w:val="-2"/>
              </w:rPr>
              <w:t>ar likumprojektu tik</w:t>
            </w:r>
            <w:r w:rsidR="00F923FF" w:rsidRPr="009159DE">
              <w:rPr>
                <w:spacing w:val="-2"/>
              </w:rPr>
              <w:t>s</w:t>
            </w:r>
            <w:r w:rsidR="00562A99" w:rsidRPr="009159DE">
              <w:rPr>
                <w:spacing w:val="-2"/>
              </w:rPr>
              <w:t xml:space="preserve"> </w:t>
            </w:r>
            <w:r w:rsidR="00AE2FEE" w:rsidRPr="009159DE">
              <w:rPr>
                <w:spacing w:val="-2"/>
              </w:rPr>
              <w:t xml:space="preserve">nosūtīta </w:t>
            </w:r>
            <w:r w:rsidR="00794C20" w:rsidRPr="009159DE">
              <w:rPr>
                <w:spacing w:val="-2"/>
              </w:rPr>
              <w:t>Latvijas Darba devēju konfederācijai, Latvijas Nodokļu konsultantu asociācijai, Latvijas Tirdzniecības un rūpniecības kamerai</w:t>
            </w:r>
            <w:r w:rsidR="0098578D" w:rsidRPr="009159DE">
              <w:rPr>
                <w:spacing w:val="-2"/>
              </w:rPr>
              <w:t>, Latvijas nodokļu maksātāju tiesību asociācijai</w:t>
            </w:r>
            <w:r w:rsidR="00562A99" w:rsidRPr="009159DE">
              <w:rPr>
                <w:spacing w:val="-2"/>
              </w:rPr>
              <w:t>.</w:t>
            </w:r>
            <w:r w:rsidR="0098578D" w:rsidRPr="009159DE">
              <w:rPr>
                <w:spacing w:val="-2"/>
              </w:rPr>
              <w:t xml:space="preserve"> </w:t>
            </w:r>
          </w:p>
        </w:tc>
      </w:tr>
      <w:tr w:rsidR="000C4C70" w:rsidRPr="009159DE" w14:paraId="55D3171E" w14:textId="77777777" w:rsidTr="009159DE">
        <w:trPr>
          <w:cantSplit/>
        </w:trPr>
        <w:tc>
          <w:tcPr>
            <w:tcW w:w="226" w:type="pct"/>
            <w:hideMark/>
          </w:tcPr>
          <w:p w14:paraId="308D1439" w14:textId="77777777" w:rsidR="00562A99" w:rsidRPr="009159DE" w:rsidRDefault="00562A99" w:rsidP="00562A99">
            <w:pPr>
              <w:jc w:val="center"/>
              <w:rPr>
                <w:spacing w:val="-2"/>
              </w:rPr>
            </w:pPr>
            <w:r w:rsidRPr="009159DE">
              <w:rPr>
                <w:spacing w:val="-2"/>
              </w:rPr>
              <w:t>2.</w:t>
            </w:r>
          </w:p>
        </w:tc>
        <w:tc>
          <w:tcPr>
            <w:tcW w:w="1287" w:type="pct"/>
            <w:hideMark/>
          </w:tcPr>
          <w:p w14:paraId="2F4D8F99" w14:textId="77777777" w:rsidR="00562A99" w:rsidRPr="009159DE" w:rsidRDefault="00562A99" w:rsidP="00562A99">
            <w:pPr>
              <w:rPr>
                <w:spacing w:val="-2"/>
              </w:rPr>
            </w:pPr>
            <w:r w:rsidRPr="009159DE">
              <w:rPr>
                <w:spacing w:val="-2"/>
              </w:rPr>
              <w:t>Sabiedrības līdzdalība projekta izstrādē</w:t>
            </w:r>
          </w:p>
        </w:tc>
        <w:tc>
          <w:tcPr>
            <w:tcW w:w="3487" w:type="pct"/>
            <w:hideMark/>
          </w:tcPr>
          <w:p w14:paraId="1F7E92D1" w14:textId="3D883454" w:rsidR="00AB5022" w:rsidRPr="009159DE" w:rsidRDefault="007E7490" w:rsidP="00DB4C10">
            <w:pPr>
              <w:ind w:left="108" w:right="109"/>
              <w:jc w:val="both"/>
              <w:rPr>
                <w:spacing w:val="-2"/>
              </w:rPr>
            </w:pPr>
            <w:r w:rsidRPr="009159DE">
              <w:rPr>
                <w:spacing w:val="-2"/>
              </w:rPr>
              <w:t>Ņemot vērā, ka regulējums ir steidzams</w:t>
            </w:r>
            <w:r w:rsidR="00DB4C10" w:rsidRPr="009159DE">
              <w:rPr>
                <w:spacing w:val="-2"/>
              </w:rPr>
              <w:t>, jo saistīts</w:t>
            </w:r>
            <w:r w:rsidRPr="009159DE">
              <w:rPr>
                <w:spacing w:val="-2"/>
              </w:rPr>
              <w:t xml:space="preserve"> ar Covid-19 pandēmiju, apspriešanās ar ieinteresētajām personām netika veikta.</w:t>
            </w:r>
          </w:p>
        </w:tc>
      </w:tr>
      <w:tr w:rsidR="000C4C70" w:rsidRPr="009159DE" w14:paraId="0FECF9CC" w14:textId="77777777" w:rsidTr="009159DE">
        <w:trPr>
          <w:cantSplit/>
        </w:trPr>
        <w:tc>
          <w:tcPr>
            <w:tcW w:w="226" w:type="pct"/>
            <w:hideMark/>
          </w:tcPr>
          <w:p w14:paraId="1E2AC6C6" w14:textId="77777777" w:rsidR="00562A99" w:rsidRPr="009159DE" w:rsidRDefault="00562A99" w:rsidP="00562A99">
            <w:pPr>
              <w:jc w:val="center"/>
              <w:rPr>
                <w:spacing w:val="-2"/>
              </w:rPr>
            </w:pPr>
            <w:r w:rsidRPr="009159DE">
              <w:rPr>
                <w:spacing w:val="-2"/>
              </w:rPr>
              <w:t>3.</w:t>
            </w:r>
          </w:p>
        </w:tc>
        <w:tc>
          <w:tcPr>
            <w:tcW w:w="1287" w:type="pct"/>
            <w:hideMark/>
          </w:tcPr>
          <w:p w14:paraId="6A184A7B" w14:textId="77777777" w:rsidR="00562A99" w:rsidRPr="009159DE" w:rsidRDefault="00562A99" w:rsidP="00562A99">
            <w:pPr>
              <w:rPr>
                <w:spacing w:val="-2"/>
              </w:rPr>
            </w:pPr>
            <w:r w:rsidRPr="009159DE">
              <w:rPr>
                <w:spacing w:val="-2"/>
              </w:rPr>
              <w:t>Sabiedrības līdzdalības rezultāti</w:t>
            </w:r>
          </w:p>
        </w:tc>
        <w:tc>
          <w:tcPr>
            <w:tcW w:w="3487" w:type="pct"/>
            <w:hideMark/>
          </w:tcPr>
          <w:p w14:paraId="33B56D63" w14:textId="2884654E" w:rsidR="009142AD" w:rsidRPr="009159DE" w:rsidRDefault="001B07FA" w:rsidP="00AE2FEE">
            <w:pPr>
              <w:ind w:left="108" w:right="109"/>
              <w:jc w:val="both"/>
              <w:rPr>
                <w:spacing w:val="-2"/>
              </w:rPr>
            </w:pPr>
            <w:r w:rsidRPr="009159DE">
              <w:rPr>
                <w:spacing w:val="-2"/>
              </w:rPr>
              <w:t xml:space="preserve">Šobrīd nav informācijas par sabiedrības viedokli. </w:t>
            </w:r>
          </w:p>
          <w:p w14:paraId="40EE457F" w14:textId="662222AC" w:rsidR="00984064" w:rsidRPr="009159DE" w:rsidRDefault="00984064" w:rsidP="00470EF0">
            <w:pPr>
              <w:ind w:left="108" w:right="109"/>
              <w:jc w:val="both"/>
              <w:rPr>
                <w:spacing w:val="-2"/>
              </w:rPr>
            </w:pPr>
          </w:p>
        </w:tc>
      </w:tr>
      <w:tr w:rsidR="00562A99" w:rsidRPr="009159DE" w14:paraId="1DF5D161" w14:textId="77777777" w:rsidTr="009159DE">
        <w:trPr>
          <w:cantSplit/>
        </w:trPr>
        <w:tc>
          <w:tcPr>
            <w:tcW w:w="226" w:type="pct"/>
            <w:hideMark/>
          </w:tcPr>
          <w:p w14:paraId="1137C6BA" w14:textId="77777777" w:rsidR="00562A99" w:rsidRPr="009159DE" w:rsidRDefault="00562A99" w:rsidP="00562A99">
            <w:pPr>
              <w:jc w:val="center"/>
              <w:rPr>
                <w:spacing w:val="-2"/>
              </w:rPr>
            </w:pPr>
            <w:r w:rsidRPr="009159DE">
              <w:rPr>
                <w:spacing w:val="-2"/>
              </w:rPr>
              <w:t>4.</w:t>
            </w:r>
          </w:p>
        </w:tc>
        <w:tc>
          <w:tcPr>
            <w:tcW w:w="1287" w:type="pct"/>
            <w:hideMark/>
          </w:tcPr>
          <w:p w14:paraId="23CF8937" w14:textId="77777777" w:rsidR="00562A99" w:rsidRPr="009159DE" w:rsidRDefault="00562A99" w:rsidP="00562A99">
            <w:pPr>
              <w:rPr>
                <w:spacing w:val="-2"/>
              </w:rPr>
            </w:pPr>
            <w:r w:rsidRPr="009159DE">
              <w:rPr>
                <w:spacing w:val="-2"/>
              </w:rPr>
              <w:t>Cita informācija</w:t>
            </w:r>
          </w:p>
        </w:tc>
        <w:tc>
          <w:tcPr>
            <w:tcW w:w="3487" w:type="pct"/>
            <w:hideMark/>
          </w:tcPr>
          <w:p w14:paraId="6BCFCCEF" w14:textId="4E4BAEF5" w:rsidR="00562A99" w:rsidRPr="009159DE" w:rsidRDefault="00562A99" w:rsidP="00562A99">
            <w:pPr>
              <w:rPr>
                <w:spacing w:val="-2"/>
              </w:rPr>
            </w:pPr>
            <w:r w:rsidRPr="009159DE">
              <w:rPr>
                <w:spacing w:val="-2"/>
              </w:rPr>
              <w:t>Nav.</w:t>
            </w:r>
          </w:p>
        </w:tc>
      </w:tr>
    </w:tbl>
    <w:p w14:paraId="2BEDD512" w14:textId="77777777" w:rsidR="005028DD" w:rsidRPr="009159DE" w:rsidRDefault="005028DD">
      <w:pPr>
        <w:rPr>
          <w:spacing w:val="-2"/>
        </w:rPr>
      </w:pPr>
    </w:p>
    <w:tbl>
      <w:tblPr>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40"/>
        <w:gridCol w:w="4376"/>
        <w:gridCol w:w="4535"/>
      </w:tblGrid>
      <w:tr w:rsidR="000C4C70" w:rsidRPr="009159DE" w14:paraId="597A8DD9" w14:textId="77777777" w:rsidTr="0024766E">
        <w:trPr>
          <w:cantSplit/>
        </w:trPr>
        <w:tc>
          <w:tcPr>
            <w:tcW w:w="5000" w:type="pct"/>
            <w:gridSpan w:val="3"/>
            <w:vAlign w:val="center"/>
            <w:hideMark/>
          </w:tcPr>
          <w:p w14:paraId="73A9F074" w14:textId="77777777" w:rsidR="00562A99" w:rsidRPr="009159DE" w:rsidRDefault="00562A99" w:rsidP="00562A99">
            <w:pPr>
              <w:jc w:val="center"/>
              <w:rPr>
                <w:b/>
                <w:bCs/>
                <w:spacing w:val="-2"/>
              </w:rPr>
            </w:pPr>
            <w:r w:rsidRPr="009159DE">
              <w:rPr>
                <w:b/>
                <w:bCs/>
                <w:spacing w:val="-2"/>
              </w:rPr>
              <w:t>VII. Tiesību akta projekta izpildes nodrošināšana un tās ietekme uz institūcijām</w:t>
            </w:r>
          </w:p>
        </w:tc>
      </w:tr>
      <w:tr w:rsidR="000C4C70" w:rsidRPr="009159DE" w14:paraId="16F40C7B" w14:textId="77777777" w:rsidTr="009159DE">
        <w:trPr>
          <w:cantSplit/>
        </w:trPr>
        <w:tc>
          <w:tcPr>
            <w:tcW w:w="235" w:type="pct"/>
            <w:hideMark/>
          </w:tcPr>
          <w:p w14:paraId="4DA09379" w14:textId="77777777" w:rsidR="00562A99" w:rsidRPr="009159DE" w:rsidRDefault="00562A99" w:rsidP="00562A99">
            <w:pPr>
              <w:jc w:val="center"/>
              <w:rPr>
                <w:spacing w:val="-2"/>
              </w:rPr>
            </w:pPr>
            <w:r w:rsidRPr="009159DE">
              <w:rPr>
                <w:spacing w:val="-2"/>
              </w:rPr>
              <w:t>1.</w:t>
            </w:r>
          </w:p>
        </w:tc>
        <w:tc>
          <w:tcPr>
            <w:tcW w:w="2340" w:type="pct"/>
            <w:hideMark/>
          </w:tcPr>
          <w:p w14:paraId="24467A67" w14:textId="77777777" w:rsidR="00562A99" w:rsidRPr="009159DE" w:rsidRDefault="00562A99" w:rsidP="00562A99">
            <w:pPr>
              <w:rPr>
                <w:spacing w:val="-2"/>
              </w:rPr>
            </w:pPr>
            <w:r w:rsidRPr="009159DE">
              <w:rPr>
                <w:spacing w:val="-2"/>
              </w:rPr>
              <w:t>Projekta izpildē iesaistītās institūcijas</w:t>
            </w:r>
          </w:p>
        </w:tc>
        <w:tc>
          <w:tcPr>
            <w:tcW w:w="2425" w:type="pct"/>
            <w:hideMark/>
          </w:tcPr>
          <w:p w14:paraId="15C73975" w14:textId="26CE22A8" w:rsidR="00562A99" w:rsidRPr="009159DE" w:rsidRDefault="00A862ED" w:rsidP="00562A99">
            <w:pPr>
              <w:rPr>
                <w:spacing w:val="-2"/>
              </w:rPr>
            </w:pPr>
            <w:r w:rsidRPr="009159DE">
              <w:rPr>
                <w:spacing w:val="-2"/>
              </w:rPr>
              <w:t>Veselības ministrija</w:t>
            </w:r>
          </w:p>
        </w:tc>
      </w:tr>
      <w:tr w:rsidR="000C4C70" w:rsidRPr="009159DE" w14:paraId="2BD6218F" w14:textId="77777777" w:rsidTr="009159DE">
        <w:trPr>
          <w:cantSplit/>
        </w:trPr>
        <w:tc>
          <w:tcPr>
            <w:tcW w:w="235" w:type="pct"/>
            <w:hideMark/>
          </w:tcPr>
          <w:p w14:paraId="2B8F8F65" w14:textId="77777777" w:rsidR="00562A99" w:rsidRPr="009159DE" w:rsidRDefault="00562A99" w:rsidP="00562A99">
            <w:pPr>
              <w:jc w:val="center"/>
              <w:rPr>
                <w:spacing w:val="-2"/>
              </w:rPr>
            </w:pPr>
            <w:r w:rsidRPr="009159DE">
              <w:rPr>
                <w:spacing w:val="-2"/>
              </w:rPr>
              <w:t>2.</w:t>
            </w:r>
          </w:p>
        </w:tc>
        <w:tc>
          <w:tcPr>
            <w:tcW w:w="2340" w:type="pct"/>
            <w:hideMark/>
          </w:tcPr>
          <w:p w14:paraId="3D7CDED2" w14:textId="77777777" w:rsidR="00562A99" w:rsidRPr="009159DE" w:rsidRDefault="00562A99" w:rsidP="00562A99">
            <w:pPr>
              <w:rPr>
                <w:spacing w:val="-2"/>
              </w:rPr>
            </w:pPr>
            <w:r w:rsidRPr="009159DE">
              <w:rPr>
                <w:spacing w:val="-2"/>
              </w:rPr>
              <w:t>Projekta izpildes ietekme uz pārvaldes funkcijām un institucionālo struktūru.</w:t>
            </w:r>
            <w:r w:rsidRPr="009159DE">
              <w:rPr>
                <w:spacing w:val="-2"/>
              </w:rPr>
              <w:br/>
              <w:t>Jaunu institūciju izveide, esošu institūciju likvidācija vai reorganizācija, to ietekme uz institūcijas cilvēkresursiem</w:t>
            </w:r>
          </w:p>
        </w:tc>
        <w:tc>
          <w:tcPr>
            <w:tcW w:w="2425" w:type="pct"/>
            <w:hideMark/>
          </w:tcPr>
          <w:p w14:paraId="469DB92F" w14:textId="48C995C2" w:rsidR="00562A99" w:rsidRPr="009159DE" w:rsidRDefault="00562A99" w:rsidP="00562A99">
            <w:pPr>
              <w:jc w:val="both"/>
              <w:rPr>
                <w:spacing w:val="-2"/>
              </w:rPr>
            </w:pPr>
            <w:r w:rsidRPr="009159DE">
              <w:rPr>
                <w:spacing w:val="-2"/>
              </w:rPr>
              <w:t>Likumprojekts nemainīs pārvaldes funkcijas un institucionālo struktūru, kā arī netiks veidotas jaunas institūcijas, savukārt esošās institūcijas netiks likvidētas vai reorganizētas.</w:t>
            </w:r>
          </w:p>
        </w:tc>
      </w:tr>
      <w:tr w:rsidR="00562A99" w:rsidRPr="009159DE" w14:paraId="54E26C60" w14:textId="77777777" w:rsidTr="009159DE">
        <w:trPr>
          <w:cantSplit/>
        </w:trPr>
        <w:tc>
          <w:tcPr>
            <w:tcW w:w="235" w:type="pct"/>
            <w:hideMark/>
          </w:tcPr>
          <w:p w14:paraId="50D22A7D" w14:textId="77777777" w:rsidR="00562A99" w:rsidRPr="009159DE" w:rsidRDefault="00562A99" w:rsidP="00562A99">
            <w:pPr>
              <w:jc w:val="center"/>
              <w:rPr>
                <w:spacing w:val="-2"/>
              </w:rPr>
            </w:pPr>
            <w:r w:rsidRPr="009159DE">
              <w:rPr>
                <w:spacing w:val="-2"/>
              </w:rPr>
              <w:t>3.</w:t>
            </w:r>
          </w:p>
        </w:tc>
        <w:tc>
          <w:tcPr>
            <w:tcW w:w="2340" w:type="pct"/>
            <w:hideMark/>
          </w:tcPr>
          <w:p w14:paraId="29B4D873" w14:textId="77777777" w:rsidR="00562A99" w:rsidRPr="009159DE" w:rsidRDefault="00562A99" w:rsidP="00562A99">
            <w:pPr>
              <w:rPr>
                <w:spacing w:val="-2"/>
              </w:rPr>
            </w:pPr>
            <w:r w:rsidRPr="009159DE">
              <w:rPr>
                <w:spacing w:val="-2"/>
              </w:rPr>
              <w:t>Cita informācija</w:t>
            </w:r>
          </w:p>
        </w:tc>
        <w:tc>
          <w:tcPr>
            <w:tcW w:w="2425" w:type="pct"/>
            <w:hideMark/>
          </w:tcPr>
          <w:p w14:paraId="19E081DB" w14:textId="2CE776E8" w:rsidR="00562A99" w:rsidRPr="009159DE" w:rsidRDefault="00562A99" w:rsidP="00562A99">
            <w:pPr>
              <w:rPr>
                <w:spacing w:val="-2"/>
              </w:rPr>
            </w:pPr>
            <w:r w:rsidRPr="009159DE">
              <w:rPr>
                <w:spacing w:val="-2"/>
              </w:rPr>
              <w:t>Nav</w:t>
            </w:r>
          </w:p>
        </w:tc>
      </w:tr>
    </w:tbl>
    <w:p w14:paraId="6DA2B0E0" w14:textId="6368CAF6" w:rsidR="00014193" w:rsidRDefault="00014193" w:rsidP="00DC2AA7">
      <w:pPr>
        <w:pStyle w:val="BodyTextIndent"/>
        <w:ind w:left="0" w:firstLine="0"/>
        <w:rPr>
          <w:szCs w:val="28"/>
        </w:rPr>
      </w:pPr>
    </w:p>
    <w:p w14:paraId="463F2FFC" w14:textId="77777777" w:rsidR="00014193" w:rsidRPr="00DC2AA7" w:rsidRDefault="00014193" w:rsidP="00DC2AA7">
      <w:pPr>
        <w:pStyle w:val="BodyTextIndent"/>
        <w:ind w:left="0" w:firstLine="0"/>
        <w:rPr>
          <w:szCs w:val="28"/>
        </w:rPr>
      </w:pPr>
    </w:p>
    <w:p w14:paraId="15687764" w14:textId="77777777" w:rsidR="00014193" w:rsidRPr="00DC2AA7" w:rsidRDefault="00014193"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24977133" w14:textId="2104D639" w:rsidR="001C2B45" w:rsidRPr="009159DE" w:rsidRDefault="001C2B45">
      <w:pPr>
        <w:rPr>
          <w:spacing w:val="-2"/>
        </w:rPr>
      </w:pPr>
    </w:p>
    <w:p w14:paraId="4A497C22" w14:textId="63C865EA" w:rsidR="001C2B45" w:rsidRPr="009159DE" w:rsidRDefault="001C2B45">
      <w:pPr>
        <w:rPr>
          <w:spacing w:val="-2"/>
        </w:rPr>
      </w:pPr>
    </w:p>
    <w:p w14:paraId="19B3E7ED" w14:textId="18A38853" w:rsidR="00800857" w:rsidRPr="009159DE" w:rsidRDefault="00800857" w:rsidP="00800857">
      <w:pPr>
        <w:rPr>
          <w:i/>
          <w:spacing w:val="-2"/>
          <w:sz w:val="20"/>
          <w:szCs w:val="20"/>
        </w:rPr>
      </w:pPr>
      <w:r w:rsidRPr="009159DE">
        <w:rPr>
          <w:i/>
          <w:spacing w:val="-2"/>
          <w:sz w:val="20"/>
          <w:szCs w:val="20"/>
        </w:rPr>
        <w:t>Jacuka 67095511</w:t>
      </w:r>
    </w:p>
    <w:p w14:paraId="19FAB8A0" w14:textId="0120B09D" w:rsidR="001C2B45" w:rsidRDefault="009733A2" w:rsidP="00800857">
      <w:pPr>
        <w:rPr>
          <w:i/>
          <w:spacing w:val="-2"/>
          <w:sz w:val="20"/>
          <w:szCs w:val="20"/>
        </w:rPr>
      </w:pPr>
      <w:hyperlink r:id="rId11" w:history="1">
        <w:r w:rsidR="00800857" w:rsidRPr="009159DE">
          <w:rPr>
            <w:rStyle w:val="Hyperlink"/>
            <w:i/>
            <w:spacing w:val="-2"/>
            <w:sz w:val="20"/>
            <w:szCs w:val="20"/>
          </w:rPr>
          <w:t>Tatjana.Jacuka@fm.gov.lv</w:t>
        </w:r>
      </w:hyperlink>
      <w:r w:rsidR="00800857" w:rsidRPr="009159DE">
        <w:rPr>
          <w:i/>
          <w:spacing w:val="-2"/>
          <w:sz w:val="20"/>
          <w:szCs w:val="20"/>
        </w:rPr>
        <w:t xml:space="preserve"> </w:t>
      </w:r>
    </w:p>
    <w:p w14:paraId="5E24373F" w14:textId="2E685F47" w:rsidR="00014193" w:rsidRDefault="00014193" w:rsidP="00800857">
      <w:pPr>
        <w:rPr>
          <w:i/>
          <w:spacing w:val="-2"/>
          <w:sz w:val="20"/>
          <w:szCs w:val="20"/>
        </w:rPr>
      </w:pPr>
    </w:p>
    <w:p w14:paraId="55448830" w14:textId="2E828A40" w:rsidR="00014193" w:rsidRDefault="00014193" w:rsidP="00014193">
      <w:pPr>
        <w:rPr>
          <w:sz w:val="16"/>
          <w:szCs w:val="16"/>
        </w:rPr>
      </w:pPr>
      <w:r w:rsidRPr="008709C1">
        <w:rPr>
          <w:sz w:val="16"/>
          <w:szCs w:val="16"/>
        </w:rPr>
        <w:t xml:space="preserve">v_sk. = </w:t>
      </w:r>
      <w:r>
        <w:rPr>
          <w:sz w:val="16"/>
          <w:szCs w:val="16"/>
        </w:rPr>
        <w:t>2520</w:t>
      </w:r>
    </w:p>
    <w:sectPr w:rsidR="00014193" w:rsidSect="001609A9">
      <w:type w:val="continuous"/>
      <w:pgSz w:w="11906" w:h="16838"/>
      <w:pgMar w:top="1077" w:right="1797" w:bottom="567" w:left="179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1F08" w14:textId="77777777" w:rsidR="003C07CB" w:rsidRDefault="003C07CB" w:rsidP="009C3335">
      <w:r>
        <w:separator/>
      </w:r>
    </w:p>
  </w:endnote>
  <w:endnote w:type="continuationSeparator" w:id="0">
    <w:p w14:paraId="25A671C5" w14:textId="77777777" w:rsidR="003C07CB" w:rsidRDefault="003C07CB" w:rsidP="009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1F88" w14:textId="0AA5B15A" w:rsidR="00014193" w:rsidRPr="00686B9F" w:rsidRDefault="00014193" w:rsidP="00014193">
    <w:pPr>
      <w:pStyle w:val="Footer"/>
    </w:pPr>
    <w:r>
      <w:rPr>
        <w:sz w:val="18"/>
        <w:szCs w:val="18"/>
      </w:rPr>
      <w:fldChar w:fldCharType="begin"/>
    </w:r>
    <w:r>
      <w:rPr>
        <w:sz w:val="18"/>
        <w:szCs w:val="18"/>
      </w:rPr>
      <w:instrText xml:space="preserve"> FILENAME   \* MERGEFORMAT </w:instrText>
    </w:r>
    <w:r>
      <w:rPr>
        <w:sz w:val="18"/>
        <w:szCs w:val="18"/>
      </w:rPr>
      <w:fldChar w:fldCharType="separate"/>
    </w:r>
    <w:r w:rsidR="009733A2">
      <w:rPr>
        <w:noProof/>
        <w:sz w:val="18"/>
        <w:szCs w:val="18"/>
      </w:rPr>
      <w:t>FMAnot_141220_PVNvakcinas</w:t>
    </w:r>
    <w:r>
      <w:rPr>
        <w:sz w:val="18"/>
        <w:szCs w:val="18"/>
      </w:rPr>
      <w:fldChar w:fldCharType="end"/>
    </w:r>
    <w:r>
      <w:rPr>
        <w:sz w:val="18"/>
        <w:szCs w:val="18"/>
      </w:rPr>
      <w:t>.docx  (TA-2559)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5631" w14:textId="1384C94B" w:rsidR="006B4A91" w:rsidRPr="00686B9F" w:rsidRDefault="006B4A91" w:rsidP="00686B9F">
    <w:pPr>
      <w:pStyle w:val="Footer"/>
    </w:pPr>
    <w:r>
      <w:rPr>
        <w:sz w:val="18"/>
        <w:szCs w:val="18"/>
      </w:rPr>
      <w:fldChar w:fldCharType="begin"/>
    </w:r>
    <w:r>
      <w:rPr>
        <w:sz w:val="18"/>
        <w:szCs w:val="18"/>
      </w:rPr>
      <w:instrText xml:space="preserve"> FILENAME   \* MERGEFORMAT </w:instrText>
    </w:r>
    <w:r>
      <w:rPr>
        <w:sz w:val="18"/>
        <w:szCs w:val="18"/>
      </w:rPr>
      <w:fldChar w:fldCharType="separate"/>
    </w:r>
    <w:r w:rsidR="009733A2">
      <w:rPr>
        <w:noProof/>
        <w:sz w:val="18"/>
        <w:szCs w:val="18"/>
      </w:rPr>
      <w:t>FMAnot_141220_PVNvakcinas</w:t>
    </w:r>
    <w:r>
      <w:rPr>
        <w:sz w:val="18"/>
        <w:szCs w:val="18"/>
      </w:rPr>
      <w:fldChar w:fldCharType="end"/>
    </w:r>
    <w:r w:rsidR="00466770">
      <w:rPr>
        <w:sz w:val="18"/>
        <w:szCs w:val="18"/>
      </w:rPr>
      <w:t>.docx</w:t>
    </w:r>
    <w:r w:rsidR="00014193">
      <w:rPr>
        <w:sz w:val="18"/>
        <w:szCs w:val="18"/>
      </w:rPr>
      <w:t xml:space="preserve">  (TA-2559)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4C84C" w14:textId="77777777" w:rsidR="003C07CB" w:rsidRDefault="003C07CB" w:rsidP="009C3335">
      <w:r>
        <w:separator/>
      </w:r>
    </w:p>
  </w:footnote>
  <w:footnote w:type="continuationSeparator" w:id="0">
    <w:p w14:paraId="45430889" w14:textId="77777777" w:rsidR="003C07CB" w:rsidRDefault="003C07CB" w:rsidP="009C3335">
      <w:r>
        <w:continuationSeparator/>
      </w:r>
    </w:p>
  </w:footnote>
  <w:footnote w:id="1">
    <w:p w14:paraId="6662315F" w14:textId="76ED9F87" w:rsidR="006B4A91" w:rsidRDefault="006B4A91">
      <w:pPr>
        <w:pStyle w:val="FootnoteText"/>
      </w:pPr>
      <w:r>
        <w:rPr>
          <w:rStyle w:val="FootnoteReference"/>
        </w:rPr>
        <w:footnoteRef/>
      </w:r>
      <w:r>
        <w:t xml:space="preserve"> Termiņš, kas ir atļauts saskaņā ar Direktīvu 2020/ </w:t>
      </w:r>
      <w:r w:rsidR="00D6284A">
        <w:t>2020</w:t>
      </w:r>
    </w:p>
  </w:footnote>
  <w:footnote w:id="2">
    <w:p w14:paraId="66A0B15F" w14:textId="77777777" w:rsidR="00542464" w:rsidRDefault="00542464" w:rsidP="00E97BC7">
      <w:pPr>
        <w:pStyle w:val="FootnoteText"/>
      </w:pPr>
      <w:r>
        <w:rPr>
          <w:rStyle w:val="FootnoteReference"/>
        </w:rPr>
        <w:footnoteRef/>
      </w:r>
      <w:r>
        <w:t xml:space="preserve"> Veselības ministrija. </w:t>
      </w:r>
      <w:r w:rsidRPr="00D0662F">
        <w:t>17.11.2020.</w:t>
      </w:r>
      <w:r w:rsidRPr="00751D97">
        <w:t xml:space="preserve"> </w:t>
      </w:r>
      <w:r w:rsidRPr="00D0662F">
        <w:rPr>
          <w:i/>
        </w:rPr>
        <w:t>Plānots vispirms pret Covid-19 vakcinēt medicīnas darbiniekus</w:t>
      </w:r>
      <w:r>
        <w:t xml:space="preserve">. </w:t>
      </w:r>
      <w:r w:rsidRPr="009F1509">
        <w:t>Iegūts no:</w:t>
      </w:r>
      <w:r>
        <w:t xml:space="preserve"> </w:t>
      </w:r>
      <w:hyperlink r:id="rId1" w:history="1">
        <w:r w:rsidRPr="00CA6B7B">
          <w:rPr>
            <w:rStyle w:val="Hyperlink"/>
          </w:rPr>
          <w:t>https://www.vm.gov.lv/lv/jaunums/planots-vispirms-pret-covid-19-vakcinet-medicinas-darbiniekus</w:t>
        </w:r>
      </w:hyperlink>
      <w:r>
        <w:t xml:space="preserve"> [s</w:t>
      </w:r>
      <w:r w:rsidRPr="00751D97">
        <w:t xml:space="preserve">k. </w:t>
      </w:r>
      <w:r>
        <w:t>26.11.2020</w:t>
      </w:r>
      <w:r w:rsidRPr="00751D97">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591854"/>
      <w:docPartObj>
        <w:docPartGallery w:val="Page Numbers (Top of Page)"/>
        <w:docPartUnique/>
      </w:docPartObj>
    </w:sdtPr>
    <w:sdtEndPr>
      <w:rPr>
        <w:noProof/>
      </w:rPr>
    </w:sdtEndPr>
    <w:sdtContent>
      <w:p w14:paraId="78A2FB03" w14:textId="1B035D9C" w:rsidR="006B4A91" w:rsidRDefault="006B4A91">
        <w:pPr>
          <w:pStyle w:val="Header"/>
          <w:jc w:val="center"/>
        </w:pPr>
        <w:r>
          <w:fldChar w:fldCharType="begin"/>
        </w:r>
        <w:r>
          <w:instrText xml:space="preserve"> PAGE   \* MERGEFORMAT </w:instrText>
        </w:r>
        <w:r>
          <w:fldChar w:fldCharType="separate"/>
        </w:r>
        <w:r w:rsidR="00B6493E">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D4"/>
    <w:multiLevelType w:val="hybridMultilevel"/>
    <w:tmpl w:val="08561A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C55D96"/>
    <w:multiLevelType w:val="hybridMultilevel"/>
    <w:tmpl w:val="007CEED6"/>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3A33CB9"/>
    <w:multiLevelType w:val="hybridMultilevel"/>
    <w:tmpl w:val="99C47246"/>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3" w15:restartNumberingAfterBreak="0">
    <w:nsid w:val="0518251B"/>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10193E19"/>
    <w:multiLevelType w:val="hybridMultilevel"/>
    <w:tmpl w:val="60CCF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A4956"/>
    <w:multiLevelType w:val="hybridMultilevel"/>
    <w:tmpl w:val="33E436E6"/>
    <w:lvl w:ilvl="0" w:tplc="04260001">
      <w:start w:val="1"/>
      <w:numFmt w:val="bullet"/>
      <w:lvlText w:val=""/>
      <w:lvlJc w:val="left"/>
      <w:pPr>
        <w:ind w:left="451" w:hanging="360"/>
      </w:pPr>
      <w:rPr>
        <w:rFonts w:ascii="Symbol" w:hAnsi="Symbol" w:hint="default"/>
      </w:rPr>
    </w:lvl>
    <w:lvl w:ilvl="1" w:tplc="04260003" w:tentative="1">
      <w:start w:val="1"/>
      <w:numFmt w:val="bullet"/>
      <w:lvlText w:val="o"/>
      <w:lvlJc w:val="left"/>
      <w:pPr>
        <w:ind w:left="1171" w:hanging="360"/>
      </w:pPr>
      <w:rPr>
        <w:rFonts w:ascii="Courier New" w:hAnsi="Courier New" w:cs="Courier New"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6" w15:restartNumberingAfterBreak="0">
    <w:nsid w:val="146A6726"/>
    <w:multiLevelType w:val="hybridMultilevel"/>
    <w:tmpl w:val="D904F092"/>
    <w:lvl w:ilvl="0" w:tplc="0426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6D81857"/>
    <w:multiLevelType w:val="hybridMultilevel"/>
    <w:tmpl w:val="10DC176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8" w15:restartNumberingAfterBreak="0">
    <w:nsid w:val="1C5358B2"/>
    <w:multiLevelType w:val="hybridMultilevel"/>
    <w:tmpl w:val="3F60C0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15CD8"/>
    <w:multiLevelType w:val="hybridMultilevel"/>
    <w:tmpl w:val="38801660"/>
    <w:lvl w:ilvl="0" w:tplc="C1BA91B6">
      <w:start w:val="2"/>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5BB3E3F"/>
    <w:multiLevelType w:val="hybridMultilevel"/>
    <w:tmpl w:val="DD86F62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2553366"/>
    <w:multiLevelType w:val="hybridMultilevel"/>
    <w:tmpl w:val="224C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6840FB"/>
    <w:multiLevelType w:val="hybridMultilevel"/>
    <w:tmpl w:val="E2905D54"/>
    <w:lvl w:ilvl="0" w:tplc="04260011">
      <w:start w:val="1"/>
      <w:numFmt w:val="decimal"/>
      <w:lvlText w:val="%1)"/>
      <w:lvlJc w:val="left"/>
      <w:pPr>
        <w:ind w:left="41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F6C96"/>
    <w:multiLevelType w:val="hybridMultilevel"/>
    <w:tmpl w:val="5DC240BC"/>
    <w:lvl w:ilvl="0" w:tplc="420060EA">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990ADC"/>
    <w:multiLevelType w:val="hybridMultilevel"/>
    <w:tmpl w:val="C5D4D258"/>
    <w:lvl w:ilvl="0" w:tplc="04260011">
      <w:start w:val="1"/>
      <w:numFmt w:val="decimal"/>
      <w:lvlText w:val="%1)"/>
      <w:lvlJc w:val="left"/>
      <w:pPr>
        <w:ind w:left="1301" w:hanging="360"/>
      </w:pPr>
    </w:lvl>
    <w:lvl w:ilvl="1" w:tplc="04260019" w:tentative="1">
      <w:start w:val="1"/>
      <w:numFmt w:val="lowerLetter"/>
      <w:lvlText w:val="%2."/>
      <w:lvlJc w:val="left"/>
      <w:pPr>
        <w:ind w:left="2021" w:hanging="360"/>
      </w:pPr>
    </w:lvl>
    <w:lvl w:ilvl="2" w:tplc="0426001B" w:tentative="1">
      <w:start w:val="1"/>
      <w:numFmt w:val="lowerRoman"/>
      <w:lvlText w:val="%3."/>
      <w:lvlJc w:val="right"/>
      <w:pPr>
        <w:ind w:left="2741" w:hanging="180"/>
      </w:pPr>
    </w:lvl>
    <w:lvl w:ilvl="3" w:tplc="0426000F" w:tentative="1">
      <w:start w:val="1"/>
      <w:numFmt w:val="decimal"/>
      <w:lvlText w:val="%4."/>
      <w:lvlJc w:val="left"/>
      <w:pPr>
        <w:ind w:left="3461" w:hanging="360"/>
      </w:pPr>
    </w:lvl>
    <w:lvl w:ilvl="4" w:tplc="04260019" w:tentative="1">
      <w:start w:val="1"/>
      <w:numFmt w:val="lowerLetter"/>
      <w:lvlText w:val="%5."/>
      <w:lvlJc w:val="left"/>
      <w:pPr>
        <w:ind w:left="4181" w:hanging="360"/>
      </w:pPr>
    </w:lvl>
    <w:lvl w:ilvl="5" w:tplc="0426001B" w:tentative="1">
      <w:start w:val="1"/>
      <w:numFmt w:val="lowerRoman"/>
      <w:lvlText w:val="%6."/>
      <w:lvlJc w:val="right"/>
      <w:pPr>
        <w:ind w:left="4901" w:hanging="180"/>
      </w:pPr>
    </w:lvl>
    <w:lvl w:ilvl="6" w:tplc="0426000F" w:tentative="1">
      <w:start w:val="1"/>
      <w:numFmt w:val="decimal"/>
      <w:lvlText w:val="%7."/>
      <w:lvlJc w:val="left"/>
      <w:pPr>
        <w:ind w:left="5621" w:hanging="360"/>
      </w:pPr>
    </w:lvl>
    <w:lvl w:ilvl="7" w:tplc="04260019" w:tentative="1">
      <w:start w:val="1"/>
      <w:numFmt w:val="lowerLetter"/>
      <w:lvlText w:val="%8."/>
      <w:lvlJc w:val="left"/>
      <w:pPr>
        <w:ind w:left="6341" w:hanging="360"/>
      </w:pPr>
    </w:lvl>
    <w:lvl w:ilvl="8" w:tplc="0426001B" w:tentative="1">
      <w:start w:val="1"/>
      <w:numFmt w:val="lowerRoman"/>
      <w:lvlText w:val="%9."/>
      <w:lvlJc w:val="right"/>
      <w:pPr>
        <w:ind w:left="7061" w:hanging="180"/>
      </w:pPr>
    </w:lvl>
  </w:abstractNum>
  <w:abstractNum w:abstractNumId="16" w15:restartNumberingAfterBreak="0">
    <w:nsid w:val="4B9D7E55"/>
    <w:multiLevelType w:val="hybridMultilevel"/>
    <w:tmpl w:val="E5F477D4"/>
    <w:lvl w:ilvl="0" w:tplc="1310A3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DE452D"/>
    <w:multiLevelType w:val="hybridMultilevel"/>
    <w:tmpl w:val="AE1ABF5E"/>
    <w:lvl w:ilvl="0" w:tplc="6CCAE5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225BBA"/>
    <w:multiLevelType w:val="hybridMultilevel"/>
    <w:tmpl w:val="F03E09F6"/>
    <w:lvl w:ilvl="0" w:tplc="F37A2668">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19" w15:restartNumberingAfterBreak="0">
    <w:nsid w:val="53D56A05"/>
    <w:multiLevelType w:val="hybridMultilevel"/>
    <w:tmpl w:val="9A7C2DDE"/>
    <w:lvl w:ilvl="0" w:tplc="5CD612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4660A86"/>
    <w:multiLevelType w:val="hybridMultilevel"/>
    <w:tmpl w:val="B366CA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5AD02DE2"/>
    <w:multiLevelType w:val="hybridMultilevel"/>
    <w:tmpl w:val="2050190E"/>
    <w:lvl w:ilvl="0" w:tplc="4E081DF6">
      <w:numFmt w:val="bullet"/>
      <w:lvlText w:val="-"/>
      <w:lvlJc w:val="left"/>
      <w:pPr>
        <w:ind w:left="435" w:hanging="360"/>
      </w:pPr>
      <w:rPr>
        <w:rFonts w:ascii="Verdana" w:eastAsia="Calibri" w:hAnsi="Verdana" w:cs="Calibri" w:hint="default"/>
        <w:color w:val="44546A"/>
      </w:rPr>
    </w:lvl>
    <w:lvl w:ilvl="1" w:tplc="BFE662A4">
      <w:start w:val="1"/>
      <w:numFmt w:val="bullet"/>
      <w:lvlText w:val="o"/>
      <w:lvlJc w:val="left"/>
      <w:pPr>
        <w:ind w:left="1155" w:hanging="360"/>
      </w:pPr>
      <w:rPr>
        <w:rFonts w:ascii="Courier New" w:hAnsi="Courier New" w:cs="Courier New" w:hint="default"/>
      </w:rPr>
    </w:lvl>
    <w:lvl w:ilvl="2" w:tplc="B0C287E8">
      <w:start w:val="1"/>
      <w:numFmt w:val="bullet"/>
      <w:lvlText w:val=""/>
      <w:lvlJc w:val="left"/>
      <w:pPr>
        <w:ind w:left="1875" w:hanging="360"/>
      </w:pPr>
      <w:rPr>
        <w:rFonts w:ascii="Wingdings" w:hAnsi="Wingdings" w:hint="default"/>
      </w:rPr>
    </w:lvl>
    <w:lvl w:ilvl="3" w:tplc="2E500A96">
      <w:start w:val="1"/>
      <w:numFmt w:val="bullet"/>
      <w:lvlText w:val=""/>
      <w:lvlJc w:val="left"/>
      <w:pPr>
        <w:ind w:left="2595" w:hanging="360"/>
      </w:pPr>
      <w:rPr>
        <w:rFonts w:ascii="Symbol" w:hAnsi="Symbol" w:hint="default"/>
      </w:rPr>
    </w:lvl>
    <w:lvl w:ilvl="4" w:tplc="78AE3D38">
      <w:start w:val="1"/>
      <w:numFmt w:val="bullet"/>
      <w:lvlText w:val="o"/>
      <w:lvlJc w:val="left"/>
      <w:pPr>
        <w:ind w:left="3315" w:hanging="360"/>
      </w:pPr>
      <w:rPr>
        <w:rFonts w:ascii="Courier New" w:hAnsi="Courier New" w:cs="Courier New" w:hint="default"/>
      </w:rPr>
    </w:lvl>
    <w:lvl w:ilvl="5" w:tplc="1EFADB66">
      <w:start w:val="1"/>
      <w:numFmt w:val="bullet"/>
      <w:lvlText w:val=""/>
      <w:lvlJc w:val="left"/>
      <w:pPr>
        <w:ind w:left="4035" w:hanging="360"/>
      </w:pPr>
      <w:rPr>
        <w:rFonts w:ascii="Wingdings" w:hAnsi="Wingdings" w:hint="default"/>
      </w:rPr>
    </w:lvl>
    <w:lvl w:ilvl="6" w:tplc="9BCA2044">
      <w:start w:val="1"/>
      <w:numFmt w:val="bullet"/>
      <w:lvlText w:val=""/>
      <w:lvlJc w:val="left"/>
      <w:pPr>
        <w:ind w:left="4755" w:hanging="360"/>
      </w:pPr>
      <w:rPr>
        <w:rFonts w:ascii="Symbol" w:hAnsi="Symbol" w:hint="default"/>
      </w:rPr>
    </w:lvl>
    <w:lvl w:ilvl="7" w:tplc="2C52BC5A">
      <w:start w:val="1"/>
      <w:numFmt w:val="bullet"/>
      <w:lvlText w:val="o"/>
      <w:lvlJc w:val="left"/>
      <w:pPr>
        <w:ind w:left="5475" w:hanging="360"/>
      </w:pPr>
      <w:rPr>
        <w:rFonts w:ascii="Courier New" w:hAnsi="Courier New" w:cs="Courier New" w:hint="default"/>
      </w:rPr>
    </w:lvl>
    <w:lvl w:ilvl="8" w:tplc="4FFAA112">
      <w:start w:val="1"/>
      <w:numFmt w:val="bullet"/>
      <w:lvlText w:val=""/>
      <w:lvlJc w:val="left"/>
      <w:pPr>
        <w:ind w:left="6195" w:hanging="360"/>
      </w:pPr>
      <w:rPr>
        <w:rFonts w:ascii="Wingdings" w:hAnsi="Wingdings" w:hint="default"/>
      </w:rPr>
    </w:lvl>
  </w:abstractNum>
  <w:abstractNum w:abstractNumId="22" w15:restartNumberingAfterBreak="0">
    <w:nsid w:val="659B2B74"/>
    <w:multiLevelType w:val="hybridMultilevel"/>
    <w:tmpl w:val="44781BE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D10B66"/>
    <w:multiLevelType w:val="hybridMultilevel"/>
    <w:tmpl w:val="2CBA4E3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23231E8"/>
    <w:multiLevelType w:val="hybridMultilevel"/>
    <w:tmpl w:val="19E82AE6"/>
    <w:lvl w:ilvl="0" w:tplc="9DE4DDA2">
      <w:start w:val="1"/>
      <w:numFmt w:val="bullet"/>
      <w:lvlText w:val="-"/>
      <w:lvlJc w:val="left"/>
      <w:pPr>
        <w:ind w:left="336" w:hanging="360"/>
      </w:pPr>
      <w:rPr>
        <w:rFonts w:ascii="Times New Roman" w:eastAsia="Times New Roman" w:hAnsi="Times New Roman" w:cs="Times New Roman" w:hint="default"/>
        <w:sz w:val="18"/>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num w:numId="1">
    <w:abstractNumId w:val="9"/>
  </w:num>
  <w:num w:numId="2">
    <w:abstractNumId w:val="24"/>
  </w:num>
  <w:num w:numId="3">
    <w:abstractNumId w:val="12"/>
  </w:num>
  <w:num w:numId="4">
    <w:abstractNumId w:val="13"/>
  </w:num>
  <w:num w:numId="5">
    <w:abstractNumId w:val="22"/>
  </w:num>
  <w:num w:numId="6">
    <w:abstractNumId w:val="8"/>
  </w:num>
  <w:num w:numId="7">
    <w:abstractNumId w:val="4"/>
  </w:num>
  <w:num w:numId="8">
    <w:abstractNumId w:val="2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0"/>
  </w:num>
  <w:num w:numId="13">
    <w:abstractNumId w:val="14"/>
  </w:num>
  <w:num w:numId="14">
    <w:abstractNumId w:val="18"/>
  </w:num>
  <w:num w:numId="15">
    <w:abstractNumId w:val="25"/>
  </w:num>
  <w:num w:numId="16">
    <w:abstractNumId w:val="15"/>
  </w:num>
  <w:num w:numId="17">
    <w:abstractNumId w:val="2"/>
  </w:num>
  <w:num w:numId="18">
    <w:abstractNumId w:val="7"/>
  </w:num>
  <w:num w:numId="19">
    <w:abstractNumId w:val="11"/>
  </w:num>
  <w:num w:numId="20">
    <w:abstractNumId w:val="16"/>
  </w:num>
  <w:num w:numId="21">
    <w:abstractNumId w:val="17"/>
  </w:num>
  <w:num w:numId="22">
    <w:abstractNumId w:val="19"/>
  </w:num>
  <w:num w:numId="23">
    <w:abstractNumId w:val="23"/>
  </w:num>
  <w:num w:numId="24">
    <w:abstractNumId w:val="10"/>
  </w:num>
  <w:num w:numId="25">
    <w:abstractNumId w:val="6"/>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5EE0"/>
    <w:rsid w:val="00006048"/>
    <w:rsid w:val="00007DAE"/>
    <w:rsid w:val="00011411"/>
    <w:rsid w:val="00013003"/>
    <w:rsid w:val="00014193"/>
    <w:rsid w:val="000155E9"/>
    <w:rsid w:val="00016677"/>
    <w:rsid w:val="000200F4"/>
    <w:rsid w:val="000202DF"/>
    <w:rsid w:val="00020308"/>
    <w:rsid w:val="00021F0B"/>
    <w:rsid w:val="00022CC2"/>
    <w:rsid w:val="0002409B"/>
    <w:rsid w:val="000248A4"/>
    <w:rsid w:val="00024A31"/>
    <w:rsid w:val="00025604"/>
    <w:rsid w:val="000313C7"/>
    <w:rsid w:val="00032750"/>
    <w:rsid w:val="00032B81"/>
    <w:rsid w:val="00032BD5"/>
    <w:rsid w:val="00033277"/>
    <w:rsid w:val="00033A9D"/>
    <w:rsid w:val="00034518"/>
    <w:rsid w:val="000345DF"/>
    <w:rsid w:val="0003532B"/>
    <w:rsid w:val="00037A27"/>
    <w:rsid w:val="00037E10"/>
    <w:rsid w:val="0004090D"/>
    <w:rsid w:val="00042DA4"/>
    <w:rsid w:val="0004563E"/>
    <w:rsid w:val="00045D58"/>
    <w:rsid w:val="0004691D"/>
    <w:rsid w:val="00047983"/>
    <w:rsid w:val="000509AE"/>
    <w:rsid w:val="000514FD"/>
    <w:rsid w:val="0005278D"/>
    <w:rsid w:val="00052AB4"/>
    <w:rsid w:val="00052F0E"/>
    <w:rsid w:val="000534A1"/>
    <w:rsid w:val="0005388A"/>
    <w:rsid w:val="00054063"/>
    <w:rsid w:val="0005410C"/>
    <w:rsid w:val="00056020"/>
    <w:rsid w:val="0006078E"/>
    <w:rsid w:val="00060B9A"/>
    <w:rsid w:val="00060D6E"/>
    <w:rsid w:val="000613B5"/>
    <w:rsid w:val="00061558"/>
    <w:rsid w:val="000619B9"/>
    <w:rsid w:val="00062A1B"/>
    <w:rsid w:val="00064076"/>
    <w:rsid w:val="0006648C"/>
    <w:rsid w:val="0006654C"/>
    <w:rsid w:val="00067375"/>
    <w:rsid w:val="000675F1"/>
    <w:rsid w:val="00070F98"/>
    <w:rsid w:val="000717CB"/>
    <w:rsid w:val="000733F4"/>
    <w:rsid w:val="0007727D"/>
    <w:rsid w:val="0007735B"/>
    <w:rsid w:val="0007784B"/>
    <w:rsid w:val="00077E24"/>
    <w:rsid w:val="00080C1E"/>
    <w:rsid w:val="0008116A"/>
    <w:rsid w:val="00083B07"/>
    <w:rsid w:val="00084C36"/>
    <w:rsid w:val="00090D31"/>
    <w:rsid w:val="0009200A"/>
    <w:rsid w:val="000928FD"/>
    <w:rsid w:val="0009693C"/>
    <w:rsid w:val="000A0490"/>
    <w:rsid w:val="000A3C74"/>
    <w:rsid w:val="000A3FBD"/>
    <w:rsid w:val="000A6BBC"/>
    <w:rsid w:val="000A7B13"/>
    <w:rsid w:val="000B2357"/>
    <w:rsid w:val="000B2D29"/>
    <w:rsid w:val="000B35BE"/>
    <w:rsid w:val="000B5661"/>
    <w:rsid w:val="000B7A96"/>
    <w:rsid w:val="000C01A9"/>
    <w:rsid w:val="000C01F9"/>
    <w:rsid w:val="000C16B6"/>
    <w:rsid w:val="000C4286"/>
    <w:rsid w:val="000C4C70"/>
    <w:rsid w:val="000C525D"/>
    <w:rsid w:val="000C5394"/>
    <w:rsid w:val="000D06F6"/>
    <w:rsid w:val="000D0BE7"/>
    <w:rsid w:val="000D21D7"/>
    <w:rsid w:val="000E4BFC"/>
    <w:rsid w:val="000E6150"/>
    <w:rsid w:val="000E62A2"/>
    <w:rsid w:val="000E6902"/>
    <w:rsid w:val="000E6D37"/>
    <w:rsid w:val="000E7761"/>
    <w:rsid w:val="000F02CC"/>
    <w:rsid w:val="000F3FE8"/>
    <w:rsid w:val="00101951"/>
    <w:rsid w:val="0010240C"/>
    <w:rsid w:val="00102A1B"/>
    <w:rsid w:val="00103FFF"/>
    <w:rsid w:val="001048D8"/>
    <w:rsid w:val="00107E61"/>
    <w:rsid w:val="0011002E"/>
    <w:rsid w:val="00110A95"/>
    <w:rsid w:val="00110C94"/>
    <w:rsid w:val="00111E95"/>
    <w:rsid w:val="001121D6"/>
    <w:rsid w:val="00113265"/>
    <w:rsid w:val="001134C3"/>
    <w:rsid w:val="001169A1"/>
    <w:rsid w:val="0012060E"/>
    <w:rsid w:val="00120C69"/>
    <w:rsid w:val="00122EEB"/>
    <w:rsid w:val="00124407"/>
    <w:rsid w:val="001245BB"/>
    <w:rsid w:val="00125686"/>
    <w:rsid w:val="00126737"/>
    <w:rsid w:val="0013157C"/>
    <w:rsid w:val="00131F3D"/>
    <w:rsid w:val="00136A83"/>
    <w:rsid w:val="00136F9D"/>
    <w:rsid w:val="00140A74"/>
    <w:rsid w:val="001411BA"/>
    <w:rsid w:val="00141578"/>
    <w:rsid w:val="0014204D"/>
    <w:rsid w:val="001441B5"/>
    <w:rsid w:val="00144291"/>
    <w:rsid w:val="001447CB"/>
    <w:rsid w:val="001451D7"/>
    <w:rsid w:val="001461DA"/>
    <w:rsid w:val="001471F6"/>
    <w:rsid w:val="001505BC"/>
    <w:rsid w:val="0015377A"/>
    <w:rsid w:val="00155043"/>
    <w:rsid w:val="0015587C"/>
    <w:rsid w:val="00155C06"/>
    <w:rsid w:val="0016021E"/>
    <w:rsid w:val="001609A9"/>
    <w:rsid w:val="00160B2B"/>
    <w:rsid w:val="0016477B"/>
    <w:rsid w:val="00164CCB"/>
    <w:rsid w:val="00167FC0"/>
    <w:rsid w:val="001703F6"/>
    <w:rsid w:val="00170835"/>
    <w:rsid w:val="00173C62"/>
    <w:rsid w:val="00176B5D"/>
    <w:rsid w:val="00181D11"/>
    <w:rsid w:val="00186C70"/>
    <w:rsid w:val="00192081"/>
    <w:rsid w:val="00192784"/>
    <w:rsid w:val="00193266"/>
    <w:rsid w:val="00194CD7"/>
    <w:rsid w:val="0019700D"/>
    <w:rsid w:val="0019719A"/>
    <w:rsid w:val="0019728A"/>
    <w:rsid w:val="001A0BFE"/>
    <w:rsid w:val="001A1078"/>
    <w:rsid w:val="001A2B8B"/>
    <w:rsid w:val="001A3395"/>
    <w:rsid w:val="001A3685"/>
    <w:rsid w:val="001A5B85"/>
    <w:rsid w:val="001A6A5B"/>
    <w:rsid w:val="001A71EB"/>
    <w:rsid w:val="001A7495"/>
    <w:rsid w:val="001A7CEC"/>
    <w:rsid w:val="001B07FA"/>
    <w:rsid w:val="001B1B31"/>
    <w:rsid w:val="001B1BAF"/>
    <w:rsid w:val="001B2356"/>
    <w:rsid w:val="001B49EC"/>
    <w:rsid w:val="001B6A20"/>
    <w:rsid w:val="001B705B"/>
    <w:rsid w:val="001B7392"/>
    <w:rsid w:val="001C00E1"/>
    <w:rsid w:val="001C2B45"/>
    <w:rsid w:val="001C2E69"/>
    <w:rsid w:val="001C4776"/>
    <w:rsid w:val="001C6D55"/>
    <w:rsid w:val="001C7679"/>
    <w:rsid w:val="001D1E3A"/>
    <w:rsid w:val="001D24A2"/>
    <w:rsid w:val="001D24F2"/>
    <w:rsid w:val="001D4AFC"/>
    <w:rsid w:val="001D5719"/>
    <w:rsid w:val="001D59CE"/>
    <w:rsid w:val="001D65A5"/>
    <w:rsid w:val="001E1A8C"/>
    <w:rsid w:val="001E2776"/>
    <w:rsid w:val="001E4F19"/>
    <w:rsid w:val="001E5156"/>
    <w:rsid w:val="001E5AC8"/>
    <w:rsid w:val="001E67C6"/>
    <w:rsid w:val="001F087F"/>
    <w:rsid w:val="001F0ADE"/>
    <w:rsid w:val="001F1905"/>
    <w:rsid w:val="001F1E2A"/>
    <w:rsid w:val="001F3416"/>
    <w:rsid w:val="001F53EA"/>
    <w:rsid w:val="001F5F1E"/>
    <w:rsid w:val="00201866"/>
    <w:rsid w:val="00201A82"/>
    <w:rsid w:val="00201F7F"/>
    <w:rsid w:val="00202A08"/>
    <w:rsid w:val="00202EA1"/>
    <w:rsid w:val="0020455A"/>
    <w:rsid w:val="00205209"/>
    <w:rsid w:val="00205F79"/>
    <w:rsid w:val="00207444"/>
    <w:rsid w:val="00210288"/>
    <w:rsid w:val="00212CF6"/>
    <w:rsid w:val="00212E8D"/>
    <w:rsid w:val="00213D19"/>
    <w:rsid w:val="002142B3"/>
    <w:rsid w:val="00222D48"/>
    <w:rsid w:val="00223F6E"/>
    <w:rsid w:val="0022457E"/>
    <w:rsid w:val="00224C68"/>
    <w:rsid w:val="0022550F"/>
    <w:rsid w:val="002257D6"/>
    <w:rsid w:val="002266AA"/>
    <w:rsid w:val="0022693E"/>
    <w:rsid w:val="00227499"/>
    <w:rsid w:val="00231947"/>
    <w:rsid w:val="00232A19"/>
    <w:rsid w:val="00232E05"/>
    <w:rsid w:val="002351BC"/>
    <w:rsid w:val="00235FA9"/>
    <w:rsid w:val="002405FA"/>
    <w:rsid w:val="002410AE"/>
    <w:rsid w:val="00241785"/>
    <w:rsid w:val="002461C4"/>
    <w:rsid w:val="00246CC6"/>
    <w:rsid w:val="0024766E"/>
    <w:rsid w:val="002478F2"/>
    <w:rsid w:val="002503A2"/>
    <w:rsid w:val="00251477"/>
    <w:rsid w:val="002524F3"/>
    <w:rsid w:val="00256BBE"/>
    <w:rsid w:val="002570A3"/>
    <w:rsid w:val="00262AD5"/>
    <w:rsid w:val="002631B9"/>
    <w:rsid w:val="0026357F"/>
    <w:rsid w:val="00267729"/>
    <w:rsid w:val="00267F31"/>
    <w:rsid w:val="00270D65"/>
    <w:rsid w:val="002718AA"/>
    <w:rsid w:val="002730B2"/>
    <w:rsid w:val="00275DAC"/>
    <w:rsid w:val="00281127"/>
    <w:rsid w:val="00282E13"/>
    <w:rsid w:val="00283C4A"/>
    <w:rsid w:val="00287082"/>
    <w:rsid w:val="0028789E"/>
    <w:rsid w:val="00287DD1"/>
    <w:rsid w:val="00287DDF"/>
    <w:rsid w:val="002935A3"/>
    <w:rsid w:val="00293C69"/>
    <w:rsid w:val="002946DB"/>
    <w:rsid w:val="002958FB"/>
    <w:rsid w:val="002A0C4E"/>
    <w:rsid w:val="002A0C8C"/>
    <w:rsid w:val="002A33B3"/>
    <w:rsid w:val="002A3FAE"/>
    <w:rsid w:val="002A440A"/>
    <w:rsid w:val="002A55DC"/>
    <w:rsid w:val="002A774F"/>
    <w:rsid w:val="002B00BA"/>
    <w:rsid w:val="002B0D68"/>
    <w:rsid w:val="002B0E56"/>
    <w:rsid w:val="002B1168"/>
    <w:rsid w:val="002B393D"/>
    <w:rsid w:val="002B71EB"/>
    <w:rsid w:val="002C1C7A"/>
    <w:rsid w:val="002C2564"/>
    <w:rsid w:val="002C33F5"/>
    <w:rsid w:val="002C3563"/>
    <w:rsid w:val="002C432D"/>
    <w:rsid w:val="002C6BCC"/>
    <w:rsid w:val="002C7221"/>
    <w:rsid w:val="002C79BB"/>
    <w:rsid w:val="002C7C93"/>
    <w:rsid w:val="002D0D83"/>
    <w:rsid w:val="002D0E63"/>
    <w:rsid w:val="002D1B9E"/>
    <w:rsid w:val="002D1F0A"/>
    <w:rsid w:val="002D4656"/>
    <w:rsid w:val="002D4FC8"/>
    <w:rsid w:val="002D7687"/>
    <w:rsid w:val="002E0E3E"/>
    <w:rsid w:val="002E266B"/>
    <w:rsid w:val="002E3AA7"/>
    <w:rsid w:val="002E3D19"/>
    <w:rsid w:val="002E62DC"/>
    <w:rsid w:val="002E7256"/>
    <w:rsid w:val="002E7393"/>
    <w:rsid w:val="002F0075"/>
    <w:rsid w:val="002F1692"/>
    <w:rsid w:val="002F1B0D"/>
    <w:rsid w:val="002F226F"/>
    <w:rsid w:val="002F2AC0"/>
    <w:rsid w:val="002F2FFB"/>
    <w:rsid w:val="00301EC6"/>
    <w:rsid w:val="003039AC"/>
    <w:rsid w:val="00303A1D"/>
    <w:rsid w:val="00304B0B"/>
    <w:rsid w:val="00306063"/>
    <w:rsid w:val="003067F0"/>
    <w:rsid w:val="00310D23"/>
    <w:rsid w:val="00310DDA"/>
    <w:rsid w:val="00313CD0"/>
    <w:rsid w:val="00314AE9"/>
    <w:rsid w:val="003154CD"/>
    <w:rsid w:val="0031698D"/>
    <w:rsid w:val="003178F0"/>
    <w:rsid w:val="003179F0"/>
    <w:rsid w:val="00321F4F"/>
    <w:rsid w:val="0032585A"/>
    <w:rsid w:val="00325BC4"/>
    <w:rsid w:val="003260FC"/>
    <w:rsid w:val="00331C69"/>
    <w:rsid w:val="00335DD7"/>
    <w:rsid w:val="003424CC"/>
    <w:rsid w:val="003424D7"/>
    <w:rsid w:val="00345DB4"/>
    <w:rsid w:val="0034731D"/>
    <w:rsid w:val="00351CC8"/>
    <w:rsid w:val="00351EBF"/>
    <w:rsid w:val="00354040"/>
    <w:rsid w:val="00356F03"/>
    <w:rsid w:val="00361099"/>
    <w:rsid w:val="003615FE"/>
    <w:rsid w:val="00361B15"/>
    <w:rsid w:val="003635AC"/>
    <w:rsid w:val="00363A83"/>
    <w:rsid w:val="00363C76"/>
    <w:rsid w:val="00365316"/>
    <w:rsid w:val="0036628E"/>
    <w:rsid w:val="00366A94"/>
    <w:rsid w:val="003706D1"/>
    <w:rsid w:val="00371976"/>
    <w:rsid w:val="00371F0A"/>
    <w:rsid w:val="003746B1"/>
    <w:rsid w:val="003746FE"/>
    <w:rsid w:val="00376A2C"/>
    <w:rsid w:val="00380000"/>
    <w:rsid w:val="00382D98"/>
    <w:rsid w:val="00384144"/>
    <w:rsid w:val="00384768"/>
    <w:rsid w:val="003859A8"/>
    <w:rsid w:val="00385BC3"/>
    <w:rsid w:val="003877D2"/>
    <w:rsid w:val="00387BE6"/>
    <w:rsid w:val="003916A3"/>
    <w:rsid w:val="00391C27"/>
    <w:rsid w:val="003937EE"/>
    <w:rsid w:val="00396F4A"/>
    <w:rsid w:val="00397656"/>
    <w:rsid w:val="003A1C41"/>
    <w:rsid w:val="003A3C53"/>
    <w:rsid w:val="003A5E7D"/>
    <w:rsid w:val="003A7B04"/>
    <w:rsid w:val="003A7CB8"/>
    <w:rsid w:val="003B0EC3"/>
    <w:rsid w:val="003B1931"/>
    <w:rsid w:val="003B260E"/>
    <w:rsid w:val="003B2704"/>
    <w:rsid w:val="003B3708"/>
    <w:rsid w:val="003B4207"/>
    <w:rsid w:val="003B5122"/>
    <w:rsid w:val="003C032D"/>
    <w:rsid w:val="003C0685"/>
    <w:rsid w:val="003C07CB"/>
    <w:rsid w:val="003C3C7C"/>
    <w:rsid w:val="003C5EDC"/>
    <w:rsid w:val="003C6C54"/>
    <w:rsid w:val="003D0C21"/>
    <w:rsid w:val="003D1F48"/>
    <w:rsid w:val="003D32D2"/>
    <w:rsid w:val="003D5111"/>
    <w:rsid w:val="003D53AB"/>
    <w:rsid w:val="003D5965"/>
    <w:rsid w:val="003E0248"/>
    <w:rsid w:val="003E5E54"/>
    <w:rsid w:val="003E6017"/>
    <w:rsid w:val="003F0723"/>
    <w:rsid w:val="003F0C50"/>
    <w:rsid w:val="003F149D"/>
    <w:rsid w:val="003F1AC1"/>
    <w:rsid w:val="003F202D"/>
    <w:rsid w:val="003F3EA8"/>
    <w:rsid w:val="003F7A86"/>
    <w:rsid w:val="003F7FF3"/>
    <w:rsid w:val="00400AEC"/>
    <w:rsid w:val="00402519"/>
    <w:rsid w:val="00403305"/>
    <w:rsid w:val="004047F6"/>
    <w:rsid w:val="004058D7"/>
    <w:rsid w:val="0040624C"/>
    <w:rsid w:val="00406F0E"/>
    <w:rsid w:val="0041023C"/>
    <w:rsid w:val="00411DCF"/>
    <w:rsid w:val="00412936"/>
    <w:rsid w:val="0041554A"/>
    <w:rsid w:val="00415FBD"/>
    <w:rsid w:val="00416E17"/>
    <w:rsid w:val="00417E53"/>
    <w:rsid w:val="00420170"/>
    <w:rsid w:val="004204BC"/>
    <w:rsid w:val="004214CE"/>
    <w:rsid w:val="004221AC"/>
    <w:rsid w:val="0042376D"/>
    <w:rsid w:val="00424264"/>
    <w:rsid w:val="00425C8B"/>
    <w:rsid w:val="00425FE8"/>
    <w:rsid w:val="0042603C"/>
    <w:rsid w:val="00426213"/>
    <w:rsid w:val="004270F6"/>
    <w:rsid w:val="00427390"/>
    <w:rsid w:val="0043110F"/>
    <w:rsid w:val="004325A4"/>
    <w:rsid w:val="0043355E"/>
    <w:rsid w:val="004341DB"/>
    <w:rsid w:val="00434AD6"/>
    <w:rsid w:val="00434DDA"/>
    <w:rsid w:val="00435837"/>
    <w:rsid w:val="0043657F"/>
    <w:rsid w:val="00440E1B"/>
    <w:rsid w:val="004411E0"/>
    <w:rsid w:val="0044288D"/>
    <w:rsid w:val="00445247"/>
    <w:rsid w:val="004460A6"/>
    <w:rsid w:val="004462FA"/>
    <w:rsid w:val="004469C8"/>
    <w:rsid w:val="00446CC3"/>
    <w:rsid w:val="00454AC7"/>
    <w:rsid w:val="00456E70"/>
    <w:rsid w:val="00457858"/>
    <w:rsid w:val="00464F3B"/>
    <w:rsid w:val="0046589A"/>
    <w:rsid w:val="00466770"/>
    <w:rsid w:val="00466AA2"/>
    <w:rsid w:val="00470EF0"/>
    <w:rsid w:val="00471863"/>
    <w:rsid w:val="00472551"/>
    <w:rsid w:val="004726D2"/>
    <w:rsid w:val="004759BB"/>
    <w:rsid w:val="00476421"/>
    <w:rsid w:val="00476715"/>
    <w:rsid w:val="004846F6"/>
    <w:rsid w:val="004858BA"/>
    <w:rsid w:val="00486373"/>
    <w:rsid w:val="00487249"/>
    <w:rsid w:val="004874D7"/>
    <w:rsid w:val="0049010C"/>
    <w:rsid w:val="004917A8"/>
    <w:rsid w:val="004938C9"/>
    <w:rsid w:val="00494B3A"/>
    <w:rsid w:val="00497A83"/>
    <w:rsid w:val="00497AEC"/>
    <w:rsid w:val="00497E5D"/>
    <w:rsid w:val="004A09A4"/>
    <w:rsid w:val="004A210E"/>
    <w:rsid w:val="004A2967"/>
    <w:rsid w:val="004A3873"/>
    <w:rsid w:val="004A3B43"/>
    <w:rsid w:val="004A3CE7"/>
    <w:rsid w:val="004A671E"/>
    <w:rsid w:val="004A7273"/>
    <w:rsid w:val="004A7411"/>
    <w:rsid w:val="004B0BCA"/>
    <w:rsid w:val="004B14A2"/>
    <w:rsid w:val="004B1E1D"/>
    <w:rsid w:val="004B2F73"/>
    <w:rsid w:val="004B6D4F"/>
    <w:rsid w:val="004C0CF4"/>
    <w:rsid w:val="004C2AC3"/>
    <w:rsid w:val="004C37B5"/>
    <w:rsid w:val="004C6A47"/>
    <w:rsid w:val="004C7217"/>
    <w:rsid w:val="004C7305"/>
    <w:rsid w:val="004C7FDD"/>
    <w:rsid w:val="004D042E"/>
    <w:rsid w:val="004D18CF"/>
    <w:rsid w:val="004D1DE7"/>
    <w:rsid w:val="004D28F0"/>
    <w:rsid w:val="004D2A34"/>
    <w:rsid w:val="004D682A"/>
    <w:rsid w:val="004E00B8"/>
    <w:rsid w:val="004E1CC4"/>
    <w:rsid w:val="004E2568"/>
    <w:rsid w:val="004E2838"/>
    <w:rsid w:val="004E36F7"/>
    <w:rsid w:val="004E3BA8"/>
    <w:rsid w:val="004E4E90"/>
    <w:rsid w:val="004E524F"/>
    <w:rsid w:val="004E698C"/>
    <w:rsid w:val="004E7E4B"/>
    <w:rsid w:val="004E7F5D"/>
    <w:rsid w:val="004F18E1"/>
    <w:rsid w:val="004F1F27"/>
    <w:rsid w:val="004F211D"/>
    <w:rsid w:val="004F58BA"/>
    <w:rsid w:val="004F5DC3"/>
    <w:rsid w:val="00500C5F"/>
    <w:rsid w:val="00501171"/>
    <w:rsid w:val="005028DD"/>
    <w:rsid w:val="005036DE"/>
    <w:rsid w:val="00503CAD"/>
    <w:rsid w:val="00503E21"/>
    <w:rsid w:val="005057C8"/>
    <w:rsid w:val="00506D0F"/>
    <w:rsid w:val="00507C73"/>
    <w:rsid w:val="005106CB"/>
    <w:rsid w:val="005143D8"/>
    <w:rsid w:val="00514F69"/>
    <w:rsid w:val="0051514A"/>
    <w:rsid w:val="00516384"/>
    <w:rsid w:val="00517D93"/>
    <w:rsid w:val="00520B03"/>
    <w:rsid w:val="00520F33"/>
    <w:rsid w:val="0052330B"/>
    <w:rsid w:val="005235DB"/>
    <w:rsid w:val="00524B6E"/>
    <w:rsid w:val="005264C6"/>
    <w:rsid w:val="00534194"/>
    <w:rsid w:val="00535B4E"/>
    <w:rsid w:val="00536B2C"/>
    <w:rsid w:val="005375C6"/>
    <w:rsid w:val="00540A30"/>
    <w:rsid w:val="00541016"/>
    <w:rsid w:val="00541E09"/>
    <w:rsid w:val="00542464"/>
    <w:rsid w:val="00544DB2"/>
    <w:rsid w:val="0055011A"/>
    <w:rsid w:val="00550E8B"/>
    <w:rsid w:val="00553F03"/>
    <w:rsid w:val="0055429A"/>
    <w:rsid w:val="00554AF4"/>
    <w:rsid w:val="005604C8"/>
    <w:rsid w:val="00562A99"/>
    <w:rsid w:val="00563157"/>
    <w:rsid w:val="0056382D"/>
    <w:rsid w:val="00563DD7"/>
    <w:rsid w:val="00564133"/>
    <w:rsid w:val="00565218"/>
    <w:rsid w:val="00565772"/>
    <w:rsid w:val="00565F69"/>
    <w:rsid w:val="00573942"/>
    <w:rsid w:val="00574CBA"/>
    <w:rsid w:val="00576870"/>
    <w:rsid w:val="00577670"/>
    <w:rsid w:val="00580E9D"/>
    <w:rsid w:val="005846FF"/>
    <w:rsid w:val="00585042"/>
    <w:rsid w:val="00587006"/>
    <w:rsid w:val="00591465"/>
    <w:rsid w:val="005935D8"/>
    <w:rsid w:val="005A00E0"/>
    <w:rsid w:val="005A2D40"/>
    <w:rsid w:val="005A63DA"/>
    <w:rsid w:val="005B3B39"/>
    <w:rsid w:val="005B5CD8"/>
    <w:rsid w:val="005B5DB1"/>
    <w:rsid w:val="005B5FD7"/>
    <w:rsid w:val="005B77BF"/>
    <w:rsid w:val="005C101C"/>
    <w:rsid w:val="005C1F8F"/>
    <w:rsid w:val="005C224C"/>
    <w:rsid w:val="005C24A0"/>
    <w:rsid w:val="005C2946"/>
    <w:rsid w:val="005C34B4"/>
    <w:rsid w:val="005C3D36"/>
    <w:rsid w:val="005C435D"/>
    <w:rsid w:val="005C612D"/>
    <w:rsid w:val="005D04D1"/>
    <w:rsid w:val="005D0BD1"/>
    <w:rsid w:val="005D25D2"/>
    <w:rsid w:val="005D2699"/>
    <w:rsid w:val="005D426C"/>
    <w:rsid w:val="005D610D"/>
    <w:rsid w:val="005D6227"/>
    <w:rsid w:val="005E109C"/>
    <w:rsid w:val="005E29E1"/>
    <w:rsid w:val="005E2E0D"/>
    <w:rsid w:val="005E3DC3"/>
    <w:rsid w:val="005E3E3A"/>
    <w:rsid w:val="005E6586"/>
    <w:rsid w:val="005E7C8B"/>
    <w:rsid w:val="005F1A12"/>
    <w:rsid w:val="005F3D92"/>
    <w:rsid w:val="005F756D"/>
    <w:rsid w:val="0060041D"/>
    <w:rsid w:val="00603F7D"/>
    <w:rsid w:val="0060468F"/>
    <w:rsid w:val="006047CD"/>
    <w:rsid w:val="006106CF"/>
    <w:rsid w:val="0061188B"/>
    <w:rsid w:val="00611F12"/>
    <w:rsid w:val="006136C9"/>
    <w:rsid w:val="00613771"/>
    <w:rsid w:val="00613D4D"/>
    <w:rsid w:val="00614D39"/>
    <w:rsid w:val="00616327"/>
    <w:rsid w:val="006175F4"/>
    <w:rsid w:val="006179E1"/>
    <w:rsid w:val="00617F01"/>
    <w:rsid w:val="006210B4"/>
    <w:rsid w:val="00622E97"/>
    <w:rsid w:val="0062705F"/>
    <w:rsid w:val="00627B78"/>
    <w:rsid w:val="00630FCF"/>
    <w:rsid w:val="0063135E"/>
    <w:rsid w:val="006318FB"/>
    <w:rsid w:val="00633115"/>
    <w:rsid w:val="00634440"/>
    <w:rsid w:val="006347A8"/>
    <w:rsid w:val="006354B9"/>
    <w:rsid w:val="0063563A"/>
    <w:rsid w:val="00636103"/>
    <w:rsid w:val="00636861"/>
    <w:rsid w:val="00641FC2"/>
    <w:rsid w:val="00643A67"/>
    <w:rsid w:val="00644A6C"/>
    <w:rsid w:val="00645520"/>
    <w:rsid w:val="0064596C"/>
    <w:rsid w:val="00650443"/>
    <w:rsid w:val="006507E9"/>
    <w:rsid w:val="00650ED6"/>
    <w:rsid w:val="00652A4C"/>
    <w:rsid w:val="00653300"/>
    <w:rsid w:val="0065343A"/>
    <w:rsid w:val="00656189"/>
    <w:rsid w:val="006612AC"/>
    <w:rsid w:val="00661354"/>
    <w:rsid w:val="00661435"/>
    <w:rsid w:val="00662A0F"/>
    <w:rsid w:val="00663337"/>
    <w:rsid w:val="0066494B"/>
    <w:rsid w:val="00664D9E"/>
    <w:rsid w:val="00665894"/>
    <w:rsid w:val="00665AA1"/>
    <w:rsid w:val="00665E03"/>
    <w:rsid w:val="0067025B"/>
    <w:rsid w:val="0067187B"/>
    <w:rsid w:val="006733EC"/>
    <w:rsid w:val="00673C92"/>
    <w:rsid w:val="00677B5A"/>
    <w:rsid w:val="006810D9"/>
    <w:rsid w:val="006814BB"/>
    <w:rsid w:val="00681DB1"/>
    <w:rsid w:val="006820B0"/>
    <w:rsid w:val="00683B1E"/>
    <w:rsid w:val="006841E5"/>
    <w:rsid w:val="006856C8"/>
    <w:rsid w:val="0068635C"/>
    <w:rsid w:val="006869E3"/>
    <w:rsid w:val="00686B9F"/>
    <w:rsid w:val="00686FBD"/>
    <w:rsid w:val="00687BDE"/>
    <w:rsid w:val="00687FA2"/>
    <w:rsid w:val="006912A8"/>
    <w:rsid w:val="006915DF"/>
    <w:rsid w:val="00694263"/>
    <w:rsid w:val="00695466"/>
    <w:rsid w:val="00697AA1"/>
    <w:rsid w:val="006A22AA"/>
    <w:rsid w:val="006A46C1"/>
    <w:rsid w:val="006A4E32"/>
    <w:rsid w:val="006A5755"/>
    <w:rsid w:val="006A5A30"/>
    <w:rsid w:val="006A60EF"/>
    <w:rsid w:val="006A618F"/>
    <w:rsid w:val="006A74D0"/>
    <w:rsid w:val="006A7A13"/>
    <w:rsid w:val="006A7E03"/>
    <w:rsid w:val="006B0774"/>
    <w:rsid w:val="006B1250"/>
    <w:rsid w:val="006B135A"/>
    <w:rsid w:val="006B147E"/>
    <w:rsid w:val="006B3DEF"/>
    <w:rsid w:val="006B4A91"/>
    <w:rsid w:val="006B51EF"/>
    <w:rsid w:val="006B58CD"/>
    <w:rsid w:val="006B59F3"/>
    <w:rsid w:val="006B6753"/>
    <w:rsid w:val="006B71D7"/>
    <w:rsid w:val="006C0FCB"/>
    <w:rsid w:val="006C128C"/>
    <w:rsid w:val="006C2113"/>
    <w:rsid w:val="006C22FC"/>
    <w:rsid w:val="006C32B1"/>
    <w:rsid w:val="006C337B"/>
    <w:rsid w:val="006C39C3"/>
    <w:rsid w:val="006C39F9"/>
    <w:rsid w:val="006C4203"/>
    <w:rsid w:val="006C5819"/>
    <w:rsid w:val="006D1896"/>
    <w:rsid w:val="006D2490"/>
    <w:rsid w:val="006D3657"/>
    <w:rsid w:val="006D4572"/>
    <w:rsid w:val="006E1E1C"/>
    <w:rsid w:val="006E20EC"/>
    <w:rsid w:val="006E4CBF"/>
    <w:rsid w:val="006E59D1"/>
    <w:rsid w:val="006F00B8"/>
    <w:rsid w:val="006F3845"/>
    <w:rsid w:val="006F3B44"/>
    <w:rsid w:val="006F5525"/>
    <w:rsid w:val="00700FD8"/>
    <w:rsid w:val="007010B1"/>
    <w:rsid w:val="007029E5"/>
    <w:rsid w:val="0070373A"/>
    <w:rsid w:val="00704574"/>
    <w:rsid w:val="007050EA"/>
    <w:rsid w:val="00705D81"/>
    <w:rsid w:val="00706415"/>
    <w:rsid w:val="0070692E"/>
    <w:rsid w:val="0070733B"/>
    <w:rsid w:val="007078D9"/>
    <w:rsid w:val="007117BD"/>
    <w:rsid w:val="00712153"/>
    <w:rsid w:val="00712411"/>
    <w:rsid w:val="00712C3A"/>
    <w:rsid w:val="00714AB5"/>
    <w:rsid w:val="0071533F"/>
    <w:rsid w:val="00715769"/>
    <w:rsid w:val="0072007B"/>
    <w:rsid w:val="00721EF5"/>
    <w:rsid w:val="00726538"/>
    <w:rsid w:val="0072740C"/>
    <w:rsid w:val="00730C5C"/>
    <w:rsid w:val="00732BE7"/>
    <w:rsid w:val="00734125"/>
    <w:rsid w:val="00734132"/>
    <w:rsid w:val="007410D8"/>
    <w:rsid w:val="007412EB"/>
    <w:rsid w:val="00741F14"/>
    <w:rsid w:val="00744A9F"/>
    <w:rsid w:val="00745599"/>
    <w:rsid w:val="007456ED"/>
    <w:rsid w:val="00746E52"/>
    <w:rsid w:val="00747909"/>
    <w:rsid w:val="007501F4"/>
    <w:rsid w:val="0075072F"/>
    <w:rsid w:val="00750D5B"/>
    <w:rsid w:val="00751171"/>
    <w:rsid w:val="00751AC6"/>
    <w:rsid w:val="00755969"/>
    <w:rsid w:val="00755DA1"/>
    <w:rsid w:val="00761108"/>
    <w:rsid w:val="00762ABF"/>
    <w:rsid w:val="00763209"/>
    <w:rsid w:val="00763453"/>
    <w:rsid w:val="007634FE"/>
    <w:rsid w:val="00763724"/>
    <w:rsid w:val="00765A1B"/>
    <w:rsid w:val="00766236"/>
    <w:rsid w:val="0076719E"/>
    <w:rsid w:val="007710A2"/>
    <w:rsid w:val="00771AC3"/>
    <w:rsid w:val="007724D7"/>
    <w:rsid w:val="0077592A"/>
    <w:rsid w:val="007779DE"/>
    <w:rsid w:val="0078009F"/>
    <w:rsid w:val="00780E61"/>
    <w:rsid w:val="007815CA"/>
    <w:rsid w:val="00783E8E"/>
    <w:rsid w:val="00785367"/>
    <w:rsid w:val="00790184"/>
    <w:rsid w:val="00790C61"/>
    <w:rsid w:val="007918ED"/>
    <w:rsid w:val="007921A9"/>
    <w:rsid w:val="00793855"/>
    <w:rsid w:val="00793869"/>
    <w:rsid w:val="00794981"/>
    <w:rsid w:val="00794C20"/>
    <w:rsid w:val="00795CB5"/>
    <w:rsid w:val="007A11B4"/>
    <w:rsid w:val="007A1485"/>
    <w:rsid w:val="007A3293"/>
    <w:rsid w:val="007A40E4"/>
    <w:rsid w:val="007A5A52"/>
    <w:rsid w:val="007B0950"/>
    <w:rsid w:val="007B0F97"/>
    <w:rsid w:val="007B1054"/>
    <w:rsid w:val="007B2631"/>
    <w:rsid w:val="007B2845"/>
    <w:rsid w:val="007B2AA1"/>
    <w:rsid w:val="007B7BE8"/>
    <w:rsid w:val="007C5BAD"/>
    <w:rsid w:val="007D1DAC"/>
    <w:rsid w:val="007D225E"/>
    <w:rsid w:val="007D287E"/>
    <w:rsid w:val="007D3188"/>
    <w:rsid w:val="007E0F79"/>
    <w:rsid w:val="007E1530"/>
    <w:rsid w:val="007E2B61"/>
    <w:rsid w:val="007E5D39"/>
    <w:rsid w:val="007E625B"/>
    <w:rsid w:val="007E661E"/>
    <w:rsid w:val="007E7490"/>
    <w:rsid w:val="007F2E15"/>
    <w:rsid w:val="00800857"/>
    <w:rsid w:val="0080131E"/>
    <w:rsid w:val="00804605"/>
    <w:rsid w:val="008048BD"/>
    <w:rsid w:val="008077D5"/>
    <w:rsid w:val="00807DFD"/>
    <w:rsid w:val="008106EB"/>
    <w:rsid w:val="00812105"/>
    <w:rsid w:val="00813106"/>
    <w:rsid w:val="00813B17"/>
    <w:rsid w:val="00814CB3"/>
    <w:rsid w:val="00816D2D"/>
    <w:rsid w:val="008216FA"/>
    <w:rsid w:val="00823674"/>
    <w:rsid w:val="008249E2"/>
    <w:rsid w:val="0082548A"/>
    <w:rsid w:val="0082627A"/>
    <w:rsid w:val="00826FFD"/>
    <w:rsid w:val="008278A1"/>
    <w:rsid w:val="00832A73"/>
    <w:rsid w:val="00834034"/>
    <w:rsid w:val="0083507A"/>
    <w:rsid w:val="00840687"/>
    <w:rsid w:val="00840BFE"/>
    <w:rsid w:val="0084300E"/>
    <w:rsid w:val="0084570C"/>
    <w:rsid w:val="008463E7"/>
    <w:rsid w:val="00846F93"/>
    <w:rsid w:val="00847385"/>
    <w:rsid w:val="00847AAC"/>
    <w:rsid w:val="00852957"/>
    <w:rsid w:val="00853CCB"/>
    <w:rsid w:val="00853D60"/>
    <w:rsid w:val="008559F3"/>
    <w:rsid w:val="0085694F"/>
    <w:rsid w:val="0086271D"/>
    <w:rsid w:val="0086425A"/>
    <w:rsid w:val="00864CFC"/>
    <w:rsid w:val="00864F6D"/>
    <w:rsid w:val="0086503D"/>
    <w:rsid w:val="00865988"/>
    <w:rsid w:val="00866FEF"/>
    <w:rsid w:val="0086704C"/>
    <w:rsid w:val="008670DE"/>
    <w:rsid w:val="00867A25"/>
    <w:rsid w:val="00870E47"/>
    <w:rsid w:val="00871529"/>
    <w:rsid w:val="00871DA5"/>
    <w:rsid w:val="00872EF8"/>
    <w:rsid w:val="00873344"/>
    <w:rsid w:val="00877771"/>
    <w:rsid w:val="0087799F"/>
    <w:rsid w:val="008802B7"/>
    <w:rsid w:val="00884DD8"/>
    <w:rsid w:val="008900D1"/>
    <w:rsid w:val="00892EE9"/>
    <w:rsid w:val="00895350"/>
    <w:rsid w:val="0089585D"/>
    <w:rsid w:val="008959C5"/>
    <w:rsid w:val="00896CC2"/>
    <w:rsid w:val="00896D55"/>
    <w:rsid w:val="008975B3"/>
    <w:rsid w:val="008979A7"/>
    <w:rsid w:val="008A0463"/>
    <w:rsid w:val="008A10E6"/>
    <w:rsid w:val="008A30C3"/>
    <w:rsid w:val="008A3A38"/>
    <w:rsid w:val="008A406C"/>
    <w:rsid w:val="008A4668"/>
    <w:rsid w:val="008A4A70"/>
    <w:rsid w:val="008A59DE"/>
    <w:rsid w:val="008B0628"/>
    <w:rsid w:val="008B1728"/>
    <w:rsid w:val="008B2D52"/>
    <w:rsid w:val="008B2EA9"/>
    <w:rsid w:val="008B7BD5"/>
    <w:rsid w:val="008C0464"/>
    <w:rsid w:val="008C122E"/>
    <w:rsid w:val="008C379F"/>
    <w:rsid w:val="008C3DFF"/>
    <w:rsid w:val="008C4298"/>
    <w:rsid w:val="008C4B79"/>
    <w:rsid w:val="008C617D"/>
    <w:rsid w:val="008C7F42"/>
    <w:rsid w:val="008D03C1"/>
    <w:rsid w:val="008D089A"/>
    <w:rsid w:val="008D47F0"/>
    <w:rsid w:val="008D5192"/>
    <w:rsid w:val="008D6AE7"/>
    <w:rsid w:val="008D79FB"/>
    <w:rsid w:val="008E4C4F"/>
    <w:rsid w:val="008E7E86"/>
    <w:rsid w:val="008F3B83"/>
    <w:rsid w:val="008F58F7"/>
    <w:rsid w:val="008F77C9"/>
    <w:rsid w:val="0090062F"/>
    <w:rsid w:val="0090153C"/>
    <w:rsid w:val="009016D3"/>
    <w:rsid w:val="00903596"/>
    <w:rsid w:val="00903FFA"/>
    <w:rsid w:val="009044F4"/>
    <w:rsid w:val="00905376"/>
    <w:rsid w:val="0091076C"/>
    <w:rsid w:val="00911D64"/>
    <w:rsid w:val="009124EE"/>
    <w:rsid w:val="009142AD"/>
    <w:rsid w:val="00914C0A"/>
    <w:rsid w:val="009159DE"/>
    <w:rsid w:val="00923816"/>
    <w:rsid w:val="009252A1"/>
    <w:rsid w:val="00930CA8"/>
    <w:rsid w:val="00931882"/>
    <w:rsid w:val="00935E90"/>
    <w:rsid w:val="0093642F"/>
    <w:rsid w:val="00937874"/>
    <w:rsid w:val="00940B32"/>
    <w:rsid w:val="009440E5"/>
    <w:rsid w:val="009444B2"/>
    <w:rsid w:val="00945414"/>
    <w:rsid w:val="00945856"/>
    <w:rsid w:val="00947070"/>
    <w:rsid w:val="0094773F"/>
    <w:rsid w:val="00947A95"/>
    <w:rsid w:val="009512E7"/>
    <w:rsid w:val="00953884"/>
    <w:rsid w:val="009541A3"/>
    <w:rsid w:val="00955A58"/>
    <w:rsid w:val="00955D6F"/>
    <w:rsid w:val="00961E18"/>
    <w:rsid w:val="00963182"/>
    <w:rsid w:val="009633AA"/>
    <w:rsid w:val="009648C3"/>
    <w:rsid w:val="009673EE"/>
    <w:rsid w:val="00967B8B"/>
    <w:rsid w:val="009700BE"/>
    <w:rsid w:val="009733A2"/>
    <w:rsid w:val="00977188"/>
    <w:rsid w:val="00977222"/>
    <w:rsid w:val="00977E35"/>
    <w:rsid w:val="00980180"/>
    <w:rsid w:val="00980CAF"/>
    <w:rsid w:val="00984064"/>
    <w:rsid w:val="009845FF"/>
    <w:rsid w:val="0098578D"/>
    <w:rsid w:val="0099072F"/>
    <w:rsid w:val="009926B3"/>
    <w:rsid w:val="00993E93"/>
    <w:rsid w:val="009951DA"/>
    <w:rsid w:val="009951FA"/>
    <w:rsid w:val="00996287"/>
    <w:rsid w:val="009A573E"/>
    <w:rsid w:val="009A6867"/>
    <w:rsid w:val="009A6897"/>
    <w:rsid w:val="009A6A09"/>
    <w:rsid w:val="009A6CAD"/>
    <w:rsid w:val="009B567B"/>
    <w:rsid w:val="009B6951"/>
    <w:rsid w:val="009C083C"/>
    <w:rsid w:val="009C097B"/>
    <w:rsid w:val="009C3335"/>
    <w:rsid w:val="009C3C05"/>
    <w:rsid w:val="009C446F"/>
    <w:rsid w:val="009C4EBE"/>
    <w:rsid w:val="009C7A12"/>
    <w:rsid w:val="009D1A32"/>
    <w:rsid w:val="009D266D"/>
    <w:rsid w:val="009D2E8C"/>
    <w:rsid w:val="009D32C9"/>
    <w:rsid w:val="009D469E"/>
    <w:rsid w:val="009D623C"/>
    <w:rsid w:val="009D757B"/>
    <w:rsid w:val="009E0065"/>
    <w:rsid w:val="009E0C4C"/>
    <w:rsid w:val="009E26A1"/>
    <w:rsid w:val="009E2D5B"/>
    <w:rsid w:val="009E4E3A"/>
    <w:rsid w:val="009E4FCE"/>
    <w:rsid w:val="009E5098"/>
    <w:rsid w:val="009E5B47"/>
    <w:rsid w:val="009F4DB7"/>
    <w:rsid w:val="009F644B"/>
    <w:rsid w:val="009F65EE"/>
    <w:rsid w:val="00A01133"/>
    <w:rsid w:val="00A01CE0"/>
    <w:rsid w:val="00A03FD1"/>
    <w:rsid w:val="00A076ED"/>
    <w:rsid w:val="00A1230F"/>
    <w:rsid w:val="00A12E53"/>
    <w:rsid w:val="00A14BFA"/>
    <w:rsid w:val="00A14CD9"/>
    <w:rsid w:val="00A16D4B"/>
    <w:rsid w:val="00A205B1"/>
    <w:rsid w:val="00A242EA"/>
    <w:rsid w:val="00A24479"/>
    <w:rsid w:val="00A25A69"/>
    <w:rsid w:val="00A27538"/>
    <w:rsid w:val="00A27700"/>
    <w:rsid w:val="00A308C4"/>
    <w:rsid w:val="00A317E7"/>
    <w:rsid w:val="00A33978"/>
    <w:rsid w:val="00A33B9E"/>
    <w:rsid w:val="00A34AEB"/>
    <w:rsid w:val="00A35A8C"/>
    <w:rsid w:val="00A35DA7"/>
    <w:rsid w:val="00A37041"/>
    <w:rsid w:val="00A409EE"/>
    <w:rsid w:val="00A40E89"/>
    <w:rsid w:val="00A452D6"/>
    <w:rsid w:val="00A46143"/>
    <w:rsid w:val="00A46D7D"/>
    <w:rsid w:val="00A52101"/>
    <w:rsid w:val="00A528E9"/>
    <w:rsid w:val="00A54079"/>
    <w:rsid w:val="00A562E1"/>
    <w:rsid w:val="00A62924"/>
    <w:rsid w:val="00A64210"/>
    <w:rsid w:val="00A666AF"/>
    <w:rsid w:val="00A710D3"/>
    <w:rsid w:val="00A71E96"/>
    <w:rsid w:val="00A7542B"/>
    <w:rsid w:val="00A765A3"/>
    <w:rsid w:val="00A76DC5"/>
    <w:rsid w:val="00A7725D"/>
    <w:rsid w:val="00A7758C"/>
    <w:rsid w:val="00A8433A"/>
    <w:rsid w:val="00A850DE"/>
    <w:rsid w:val="00A862ED"/>
    <w:rsid w:val="00A9098B"/>
    <w:rsid w:val="00A91ACB"/>
    <w:rsid w:val="00A93136"/>
    <w:rsid w:val="00A93218"/>
    <w:rsid w:val="00A9324F"/>
    <w:rsid w:val="00A953C4"/>
    <w:rsid w:val="00A95E85"/>
    <w:rsid w:val="00AA0419"/>
    <w:rsid w:val="00AA2ACC"/>
    <w:rsid w:val="00AA2B68"/>
    <w:rsid w:val="00AA45D5"/>
    <w:rsid w:val="00AA52FD"/>
    <w:rsid w:val="00AA6041"/>
    <w:rsid w:val="00AA7153"/>
    <w:rsid w:val="00AB2EC4"/>
    <w:rsid w:val="00AB5022"/>
    <w:rsid w:val="00AB78C7"/>
    <w:rsid w:val="00AC0947"/>
    <w:rsid w:val="00AC3BFD"/>
    <w:rsid w:val="00AC580E"/>
    <w:rsid w:val="00AC7EEB"/>
    <w:rsid w:val="00AD1D38"/>
    <w:rsid w:val="00AD20D8"/>
    <w:rsid w:val="00AD2A90"/>
    <w:rsid w:val="00AD2D59"/>
    <w:rsid w:val="00AD5539"/>
    <w:rsid w:val="00AD5EA8"/>
    <w:rsid w:val="00AE2FEE"/>
    <w:rsid w:val="00AE43C5"/>
    <w:rsid w:val="00AE47E0"/>
    <w:rsid w:val="00AE521A"/>
    <w:rsid w:val="00AE62FA"/>
    <w:rsid w:val="00AE7D22"/>
    <w:rsid w:val="00AF059F"/>
    <w:rsid w:val="00AF1537"/>
    <w:rsid w:val="00AF1AE8"/>
    <w:rsid w:val="00AF3553"/>
    <w:rsid w:val="00AF46AC"/>
    <w:rsid w:val="00AF7187"/>
    <w:rsid w:val="00B008E4"/>
    <w:rsid w:val="00B02B2A"/>
    <w:rsid w:val="00B032EC"/>
    <w:rsid w:val="00B0330D"/>
    <w:rsid w:val="00B047FA"/>
    <w:rsid w:val="00B0787F"/>
    <w:rsid w:val="00B10E1E"/>
    <w:rsid w:val="00B14C36"/>
    <w:rsid w:val="00B175BE"/>
    <w:rsid w:val="00B230F1"/>
    <w:rsid w:val="00B242EC"/>
    <w:rsid w:val="00B263D3"/>
    <w:rsid w:val="00B30E1C"/>
    <w:rsid w:val="00B341F9"/>
    <w:rsid w:val="00B34E61"/>
    <w:rsid w:val="00B3516D"/>
    <w:rsid w:val="00B35D2D"/>
    <w:rsid w:val="00B37B32"/>
    <w:rsid w:val="00B4058E"/>
    <w:rsid w:val="00B42593"/>
    <w:rsid w:val="00B426ED"/>
    <w:rsid w:val="00B42FA3"/>
    <w:rsid w:val="00B433E2"/>
    <w:rsid w:val="00B452AE"/>
    <w:rsid w:val="00B455A2"/>
    <w:rsid w:val="00B45D05"/>
    <w:rsid w:val="00B46249"/>
    <w:rsid w:val="00B4740D"/>
    <w:rsid w:val="00B47643"/>
    <w:rsid w:val="00B5026E"/>
    <w:rsid w:val="00B51979"/>
    <w:rsid w:val="00B51F97"/>
    <w:rsid w:val="00B528EF"/>
    <w:rsid w:val="00B579BA"/>
    <w:rsid w:val="00B60DEF"/>
    <w:rsid w:val="00B62A3D"/>
    <w:rsid w:val="00B63008"/>
    <w:rsid w:val="00B6493E"/>
    <w:rsid w:val="00B655F9"/>
    <w:rsid w:val="00B66210"/>
    <w:rsid w:val="00B67AD4"/>
    <w:rsid w:val="00B70747"/>
    <w:rsid w:val="00B733C4"/>
    <w:rsid w:val="00B7459F"/>
    <w:rsid w:val="00B7532F"/>
    <w:rsid w:val="00B76F53"/>
    <w:rsid w:val="00B80FC1"/>
    <w:rsid w:val="00B81640"/>
    <w:rsid w:val="00B858B3"/>
    <w:rsid w:val="00B85E96"/>
    <w:rsid w:val="00B862C8"/>
    <w:rsid w:val="00B87199"/>
    <w:rsid w:val="00B879CD"/>
    <w:rsid w:val="00B904C9"/>
    <w:rsid w:val="00B904F6"/>
    <w:rsid w:val="00B90C5E"/>
    <w:rsid w:val="00B91ED9"/>
    <w:rsid w:val="00B91FC1"/>
    <w:rsid w:val="00B922D5"/>
    <w:rsid w:val="00B9305E"/>
    <w:rsid w:val="00B94112"/>
    <w:rsid w:val="00B94CD7"/>
    <w:rsid w:val="00B95454"/>
    <w:rsid w:val="00BA2FB6"/>
    <w:rsid w:val="00BA3E49"/>
    <w:rsid w:val="00BA46AA"/>
    <w:rsid w:val="00BA54B9"/>
    <w:rsid w:val="00BA59B7"/>
    <w:rsid w:val="00BA654C"/>
    <w:rsid w:val="00BA6E6E"/>
    <w:rsid w:val="00BA7CAA"/>
    <w:rsid w:val="00BB1F11"/>
    <w:rsid w:val="00BB299B"/>
    <w:rsid w:val="00BB3148"/>
    <w:rsid w:val="00BB3556"/>
    <w:rsid w:val="00BB6ABC"/>
    <w:rsid w:val="00BB76AD"/>
    <w:rsid w:val="00BB7A05"/>
    <w:rsid w:val="00BB7C6E"/>
    <w:rsid w:val="00BC07D7"/>
    <w:rsid w:val="00BC0FFF"/>
    <w:rsid w:val="00BC2B07"/>
    <w:rsid w:val="00BC3079"/>
    <w:rsid w:val="00BC327E"/>
    <w:rsid w:val="00BC463C"/>
    <w:rsid w:val="00BC7C82"/>
    <w:rsid w:val="00BD0173"/>
    <w:rsid w:val="00BD0A9E"/>
    <w:rsid w:val="00BD3EB9"/>
    <w:rsid w:val="00BD460A"/>
    <w:rsid w:val="00BD5588"/>
    <w:rsid w:val="00BD5C45"/>
    <w:rsid w:val="00BD7DC8"/>
    <w:rsid w:val="00BE078D"/>
    <w:rsid w:val="00BE1CD8"/>
    <w:rsid w:val="00BE4366"/>
    <w:rsid w:val="00BE5546"/>
    <w:rsid w:val="00BE6130"/>
    <w:rsid w:val="00BF1572"/>
    <w:rsid w:val="00BF6131"/>
    <w:rsid w:val="00BF66D6"/>
    <w:rsid w:val="00BF72A4"/>
    <w:rsid w:val="00BF7711"/>
    <w:rsid w:val="00BF7A84"/>
    <w:rsid w:val="00C00F99"/>
    <w:rsid w:val="00C01C06"/>
    <w:rsid w:val="00C025C1"/>
    <w:rsid w:val="00C0549D"/>
    <w:rsid w:val="00C076AA"/>
    <w:rsid w:val="00C13505"/>
    <w:rsid w:val="00C13B04"/>
    <w:rsid w:val="00C14839"/>
    <w:rsid w:val="00C15E18"/>
    <w:rsid w:val="00C17891"/>
    <w:rsid w:val="00C20655"/>
    <w:rsid w:val="00C23BC3"/>
    <w:rsid w:val="00C250E2"/>
    <w:rsid w:val="00C251E1"/>
    <w:rsid w:val="00C25E4E"/>
    <w:rsid w:val="00C269F2"/>
    <w:rsid w:val="00C26F19"/>
    <w:rsid w:val="00C271D9"/>
    <w:rsid w:val="00C30659"/>
    <w:rsid w:val="00C308CF"/>
    <w:rsid w:val="00C30F55"/>
    <w:rsid w:val="00C35424"/>
    <w:rsid w:val="00C35970"/>
    <w:rsid w:val="00C36D00"/>
    <w:rsid w:val="00C37191"/>
    <w:rsid w:val="00C40CFF"/>
    <w:rsid w:val="00C41052"/>
    <w:rsid w:val="00C41A20"/>
    <w:rsid w:val="00C41FD7"/>
    <w:rsid w:val="00C42E7A"/>
    <w:rsid w:val="00C441C5"/>
    <w:rsid w:val="00C4494C"/>
    <w:rsid w:val="00C4741D"/>
    <w:rsid w:val="00C47B9D"/>
    <w:rsid w:val="00C51FDD"/>
    <w:rsid w:val="00C532F6"/>
    <w:rsid w:val="00C538F8"/>
    <w:rsid w:val="00C54826"/>
    <w:rsid w:val="00C54F0C"/>
    <w:rsid w:val="00C57176"/>
    <w:rsid w:val="00C62674"/>
    <w:rsid w:val="00C637DF"/>
    <w:rsid w:val="00C63D14"/>
    <w:rsid w:val="00C6419A"/>
    <w:rsid w:val="00C65587"/>
    <w:rsid w:val="00C67A90"/>
    <w:rsid w:val="00C7029E"/>
    <w:rsid w:val="00C70694"/>
    <w:rsid w:val="00C70B4D"/>
    <w:rsid w:val="00C70FC8"/>
    <w:rsid w:val="00C71778"/>
    <w:rsid w:val="00C72002"/>
    <w:rsid w:val="00C72726"/>
    <w:rsid w:val="00C7358B"/>
    <w:rsid w:val="00C73A59"/>
    <w:rsid w:val="00C76D33"/>
    <w:rsid w:val="00C772BD"/>
    <w:rsid w:val="00C800A9"/>
    <w:rsid w:val="00C809FB"/>
    <w:rsid w:val="00C80EE9"/>
    <w:rsid w:val="00C81077"/>
    <w:rsid w:val="00C81333"/>
    <w:rsid w:val="00C82116"/>
    <w:rsid w:val="00C828DE"/>
    <w:rsid w:val="00C84814"/>
    <w:rsid w:val="00C85C9E"/>
    <w:rsid w:val="00C8675D"/>
    <w:rsid w:val="00C86C62"/>
    <w:rsid w:val="00C872BF"/>
    <w:rsid w:val="00C912DA"/>
    <w:rsid w:val="00C95C47"/>
    <w:rsid w:val="00CA2161"/>
    <w:rsid w:val="00CA28FE"/>
    <w:rsid w:val="00CA43AD"/>
    <w:rsid w:val="00CA5378"/>
    <w:rsid w:val="00CA62AE"/>
    <w:rsid w:val="00CA7115"/>
    <w:rsid w:val="00CA7CEB"/>
    <w:rsid w:val="00CA7D51"/>
    <w:rsid w:val="00CB284F"/>
    <w:rsid w:val="00CB3472"/>
    <w:rsid w:val="00CB3C4B"/>
    <w:rsid w:val="00CB5340"/>
    <w:rsid w:val="00CB5C01"/>
    <w:rsid w:val="00CB5F2D"/>
    <w:rsid w:val="00CB7AAC"/>
    <w:rsid w:val="00CC3293"/>
    <w:rsid w:val="00CC4E94"/>
    <w:rsid w:val="00CC505C"/>
    <w:rsid w:val="00CC602E"/>
    <w:rsid w:val="00CC7612"/>
    <w:rsid w:val="00CC7D6A"/>
    <w:rsid w:val="00CD3A43"/>
    <w:rsid w:val="00CD44F0"/>
    <w:rsid w:val="00CD5093"/>
    <w:rsid w:val="00CD604D"/>
    <w:rsid w:val="00CD6C44"/>
    <w:rsid w:val="00CD76B6"/>
    <w:rsid w:val="00CE0181"/>
    <w:rsid w:val="00CE09FF"/>
    <w:rsid w:val="00CE0C47"/>
    <w:rsid w:val="00CE0C4F"/>
    <w:rsid w:val="00CE225A"/>
    <w:rsid w:val="00CE3669"/>
    <w:rsid w:val="00CE5A56"/>
    <w:rsid w:val="00CE5E7B"/>
    <w:rsid w:val="00CE6A3E"/>
    <w:rsid w:val="00CF27D0"/>
    <w:rsid w:val="00CF2E05"/>
    <w:rsid w:val="00CF36D0"/>
    <w:rsid w:val="00CF4A59"/>
    <w:rsid w:val="00CF6F36"/>
    <w:rsid w:val="00CF718B"/>
    <w:rsid w:val="00D00308"/>
    <w:rsid w:val="00D00A1F"/>
    <w:rsid w:val="00D02FA3"/>
    <w:rsid w:val="00D0571B"/>
    <w:rsid w:val="00D07AE2"/>
    <w:rsid w:val="00D10531"/>
    <w:rsid w:val="00D10C67"/>
    <w:rsid w:val="00D10EBD"/>
    <w:rsid w:val="00D1323A"/>
    <w:rsid w:val="00D163B4"/>
    <w:rsid w:val="00D20A65"/>
    <w:rsid w:val="00D20AA4"/>
    <w:rsid w:val="00D21572"/>
    <w:rsid w:val="00D21BDB"/>
    <w:rsid w:val="00D21C08"/>
    <w:rsid w:val="00D252D3"/>
    <w:rsid w:val="00D25637"/>
    <w:rsid w:val="00D25779"/>
    <w:rsid w:val="00D31065"/>
    <w:rsid w:val="00D31F31"/>
    <w:rsid w:val="00D32E22"/>
    <w:rsid w:val="00D34CB4"/>
    <w:rsid w:val="00D35F3F"/>
    <w:rsid w:val="00D36036"/>
    <w:rsid w:val="00D37A1B"/>
    <w:rsid w:val="00D40269"/>
    <w:rsid w:val="00D40E61"/>
    <w:rsid w:val="00D40F4F"/>
    <w:rsid w:val="00D420D2"/>
    <w:rsid w:val="00D4374B"/>
    <w:rsid w:val="00D44D2D"/>
    <w:rsid w:val="00D452F9"/>
    <w:rsid w:val="00D45368"/>
    <w:rsid w:val="00D47AF6"/>
    <w:rsid w:val="00D5425D"/>
    <w:rsid w:val="00D553AE"/>
    <w:rsid w:val="00D56C4F"/>
    <w:rsid w:val="00D56C5E"/>
    <w:rsid w:val="00D57B3F"/>
    <w:rsid w:val="00D626DD"/>
    <w:rsid w:val="00D6284A"/>
    <w:rsid w:val="00D628F3"/>
    <w:rsid w:val="00D63DD3"/>
    <w:rsid w:val="00D64124"/>
    <w:rsid w:val="00D64A72"/>
    <w:rsid w:val="00D65646"/>
    <w:rsid w:val="00D6628B"/>
    <w:rsid w:val="00D666C3"/>
    <w:rsid w:val="00D70A63"/>
    <w:rsid w:val="00D71392"/>
    <w:rsid w:val="00D719F3"/>
    <w:rsid w:val="00D73212"/>
    <w:rsid w:val="00D744D0"/>
    <w:rsid w:val="00D75295"/>
    <w:rsid w:val="00D772CA"/>
    <w:rsid w:val="00D77580"/>
    <w:rsid w:val="00D77687"/>
    <w:rsid w:val="00D81437"/>
    <w:rsid w:val="00D817CF"/>
    <w:rsid w:val="00D8191B"/>
    <w:rsid w:val="00D821C4"/>
    <w:rsid w:val="00D843C4"/>
    <w:rsid w:val="00D87632"/>
    <w:rsid w:val="00D87C75"/>
    <w:rsid w:val="00D91AC0"/>
    <w:rsid w:val="00D91C43"/>
    <w:rsid w:val="00D92D4E"/>
    <w:rsid w:val="00D93C29"/>
    <w:rsid w:val="00D96C0F"/>
    <w:rsid w:val="00D97032"/>
    <w:rsid w:val="00D9733E"/>
    <w:rsid w:val="00DA1447"/>
    <w:rsid w:val="00DA158A"/>
    <w:rsid w:val="00DA395D"/>
    <w:rsid w:val="00DA673C"/>
    <w:rsid w:val="00DA6B36"/>
    <w:rsid w:val="00DA7593"/>
    <w:rsid w:val="00DB2E20"/>
    <w:rsid w:val="00DB3D59"/>
    <w:rsid w:val="00DB4C10"/>
    <w:rsid w:val="00DB582A"/>
    <w:rsid w:val="00DC01CF"/>
    <w:rsid w:val="00DC0C87"/>
    <w:rsid w:val="00DC227A"/>
    <w:rsid w:val="00DC3D1C"/>
    <w:rsid w:val="00DC3F0F"/>
    <w:rsid w:val="00DC47B4"/>
    <w:rsid w:val="00DC6D19"/>
    <w:rsid w:val="00DC729C"/>
    <w:rsid w:val="00DD2EC2"/>
    <w:rsid w:val="00DD3B8F"/>
    <w:rsid w:val="00DD5FF5"/>
    <w:rsid w:val="00DE1997"/>
    <w:rsid w:val="00DE1E14"/>
    <w:rsid w:val="00DE2739"/>
    <w:rsid w:val="00DE42BF"/>
    <w:rsid w:val="00DE7EBF"/>
    <w:rsid w:val="00DE7F64"/>
    <w:rsid w:val="00DF0967"/>
    <w:rsid w:val="00DF1893"/>
    <w:rsid w:val="00DF22D1"/>
    <w:rsid w:val="00DF298C"/>
    <w:rsid w:val="00DF2FAB"/>
    <w:rsid w:val="00DF507E"/>
    <w:rsid w:val="00DF57F3"/>
    <w:rsid w:val="00DF62FB"/>
    <w:rsid w:val="00DF7A4C"/>
    <w:rsid w:val="00E00E03"/>
    <w:rsid w:val="00E03E65"/>
    <w:rsid w:val="00E0449F"/>
    <w:rsid w:val="00E052C5"/>
    <w:rsid w:val="00E05994"/>
    <w:rsid w:val="00E05A7D"/>
    <w:rsid w:val="00E11C1F"/>
    <w:rsid w:val="00E11E4B"/>
    <w:rsid w:val="00E11F6B"/>
    <w:rsid w:val="00E12D4C"/>
    <w:rsid w:val="00E12D5B"/>
    <w:rsid w:val="00E141CC"/>
    <w:rsid w:val="00E149A5"/>
    <w:rsid w:val="00E14E10"/>
    <w:rsid w:val="00E15192"/>
    <w:rsid w:val="00E1574B"/>
    <w:rsid w:val="00E15E60"/>
    <w:rsid w:val="00E16CB3"/>
    <w:rsid w:val="00E16F3B"/>
    <w:rsid w:val="00E2046C"/>
    <w:rsid w:val="00E20A73"/>
    <w:rsid w:val="00E216B5"/>
    <w:rsid w:val="00E22191"/>
    <w:rsid w:val="00E232D6"/>
    <w:rsid w:val="00E2367D"/>
    <w:rsid w:val="00E244DE"/>
    <w:rsid w:val="00E26461"/>
    <w:rsid w:val="00E27852"/>
    <w:rsid w:val="00E3103A"/>
    <w:rsid w:val="00E32D7B"/>
    <w:rsid w:val="00E35DE8"/>
    <w:rsid w:val="00E36D8C"/>
    <w:rsid w:val="00E36E4B"/>
    <w:rsid w:val="00E41B14"/>
    <w:rsid w:val="00E41D9F"/>
    <w:rsid w:val="00E422CA"/>
    <w:rsid w:val="00E44472"/>
    <w:rsid w:val="00E50057"/>
    <w:rsid w:val="00E5065A"/>
    <w:rsid w:val="00E5098C"/>
    <w:rsid w:val="00E52463"/>
    <w:rsid w:val="00E52F67"/>
    <w:rsid w:val="00E5608E"/>
    <w:rsid w:val="00E56B89"/>
    <w:rsid w:val="00E5724A"/>
    <w:rsid w:val="00E6009A"/>
    <w:rsid w:val="00E60A90"/>
    <w:rsid w:val="00E60F1F"/>
    <w:rsid w:val="00E620A4"/>
    <w:rsid w:val="00E62C6B"/>
    <w:rsid w:val="00E63C7C"/>
    <w:rsid w:val="00E63D24"/>
    <w:rsid w:val="00E63E59"/>
    <w:rsid w:val="00E6630F"/>
    <w:rsid w:val="00E670C3"/>
    <w:rsid w:val="00E674FD"/>
    <w:rsid w:val="00E703F7"/>
    <w:rsid w:val="00E7102B"/>
    <w:rsid w:val="00E71200"/>
    <w:rsid w:val="00E717AC"/>
    <w:rsid w:val="00E71E96"/>
    <w:rsid w:val="00E71EBB"/>
    <w:rsid w:val="00E721D6"/>
    <w:rsid w:val="00E730F5"/>
    <w:rsid w:val="00E74776"/>
    <w:rsid w:val="00E750C8"/>
    <w:rsid w:val="00E769E0"/>
    <w:rsid w:val="00E807DF"/>
    <w:rsid w:val="00E821A6"/>
    <w:rsid w:val="00E84438"/>
    <w:rsid w:val="00E87B2B"/>
    <w:rsid w:val="00E90581"/>
    <w:rsid w:val="00E91443"/>
    <w:rsid w:val="00E954A9"/>
    <w:rsid w:val="00E96BB5"/>
    <w:rsid w:val="00E96EB1"/>
    <w:rsid w:val="00E97629"/>
    <w:rsid w:val="00E979DA"/>
    <w:rsid w:val="00E97BC7"/>
    <w:rsid w:val="00EA4038"/>
    <w:rsid w:val="00EA4573"/>
    <w:rsid w:val="00EA45CC"/>
    <w:rsid w:val="00EA5AB9"/>
    <w:rsid w:val="00EA694A"/>
    <w:rsid w:val="00EB4CA7"/>
    <w:rsid w:val="00EB60FD"/>
    <w:rsid w:val="00EB7B7D"/>
    <w:rsid w:val="00EB7CD9"/>
    <w:rsid w:val="00EC02EC"/>
    <w:rsid w:val="00EC1B78"/>
    <w:rsid w:val="00EC4424"/>
    <w:rsid w:val="00EC57E1"/>
    <w:rsid w:val="00EC6CF8"/>
    <w:rsid w:val="00ED0BA2"/>
    <w:rsid w:val="00ED1021"/>
    <w:rsid w:val="00ED6147"/>
    <w:rsid w:val="00ED7D1E"/>
    <w:rsid w:val="00EE194E"/>
    <w:rsid w:val="00EE4242"/>
    <w:rsid w:val="00EE43AE"/>
    <w:rsid w:val="00EE45E2"/>
    <w:rsid w:val="00EE4E35"/>
    <w:rsid w:val="00EE7367"/>
    <w:rsid w:val="00EE73D4"/>
    <w:rsid w:val="00EE7976"/>
    <w:rsid w:val="00EF3395"/>
    <w:rsid w:val="00EF5015"/>
    <w:rsid w:val="00EF74DD"/>
    <w:rsid w:val="00F00085"/>
    <w:rsid w:val="00F026A1"/>
    <w:rsid w:val="00F041CD"/>
    <w:rsid w:val="00F05457"/>
    <w:rsid w:val="00F05862"/>
    <w:rsid w:val="00F06AA6"/>
    <w:rsid w:val="00F07D43"/>
    <w:rsid w:val="00F12207"/>
    <w:rsid w:val="00F1229C"/>
    <w:rsid w:val="00F12524"/>
    <w:rsid w:val="00F14BF5"/>
    <w:rsid w:val="00F14F70"/>
    <w:rsid w:val="00F1551D"/>
    <w:rsid w:val="00F16F72"/>
    <w:rsid w:val="00F21DFF"/>
    <w:rsid w:val="00F22AF6"/>
    <w:rsid w:val="00F244F2"/>
    <w:rsid w:val="00F25ADB"/>
    <w:rsid w:val="00F268B9"/>
    <w:rsid w:val="00F26E31"/>
    <w:rsid w:val="00F32489"/>
    <w:rsid w:val="00F33A55"/>
    <w:rsid w:val="00F34525"/>
    <w:rsid w:val="00F376CB"/>
    <w:rsid w:val="00F376DF"/>
    <w:rsid w:val="00F42765"/>
    <w:rsid w:val="00F43968"/>
    <w:rsid w:val="00F43BC2"/>
    <w:rsid w:val="00F45F7A"/>
    <w:rsid w:val="00F462F2"/>
    <w:rsid w:val="00F50C2F"/>
    <w:rsid w:val="00F510F0"/>
    <w:rsid w:val="00F54C58"/>
    <w:rsid w:val="00F55365"/>
    <w:rsid w:val="00F57E91"/>
    <w:rsid w:val="00F60140"/>
    <w:rsid w:val="00F62385"/>
    <w:rsid w:val="00F62AE1"/>
    <w:rsid w:val="00F63675"/>
    <w:rsid w:val="00F63CFE"/>
    <w:rsid w:val="00F647C7"/>
    <w:rsid w:val="00F6647A"/>
    <w:rsid w:val="00F673DE"/>
    <w:rsid w:val="00F71652"/>
    <w:rsid w:val="00F718F2"/>
    <w:rsid w:val="00F732F9"/>
    <w:rsid w:val="00F74810"/>
    <w:rsid w:val="00F749C6"/>
    <w:rsid w:val="00F829A0"/>
    <w:rsid w:val="00F83072"/>
    <w:rsid w:val="00F83B45"/>
    <w:rsid w:val="00F85ABF"/>
    <w:rsid w:val="00F86B6D"/>
    <w:rsid w:val="00F86E76"/>
    <w:rsid w:val="00F8722F"/>
    <w:rsid w:val="00F9014C"/>
    <w:rsid w:val="00F90377"/>
    <w:rsid w:val="00F923FF"/>
    <w:rsid w:val="00F93130"/>
    <w:rsid w:val="00F94C84"/>
    <w:rsid w:val="00F9519C"/>
    <w:rsid w:val="00F95758"/>
    <w:rsid w:val="00F95CB4"/>
    <w:rsid w:val="00F962CE"/>
    <w:rsid w:val="00F965D6"/>
    <w:rsid w:val="00F9689B"/>
    <w:rsid w:val="00F976F1"/>
    <w:rsid w:val="00FA009E"/>
    <w:rsid w:val="00FA0FC8"/>
    <w:rsid w:val="00FA1FB9"/>
    <w:rsid w:val="00FA2651"/>
    <w:rsid w:val="00FA4F0D"/>
    <w:rsid w:val="00FA5DC9"/>
    <w:rsid w:val="00FA685E"/>
    <w:rsid w:val="00FA75E6"/>
    <w:rsid w:val="00FB309E"/>
    <w:rsid w:val="00FB6AA7"/>
    <w:rsid w:val="00FC1BA2"/>
    <w:rsid w:val="00FC26A9"/>
    <w:rsid w:val="00FC440B"/>
    <w:rsid w:val="00FC46FA"/>
    <w:rsid w:val="00FC4D53"/>
    <w:rsid w:val="00FC5DE5"/>
    <w:rsid w:val="00FC7790"/>
    <w:rsid w:val="00FD1244"/>
    <w:rsid w:val="00FD31FE"/>
    <w:rsid w:val="00FD4BBE"/>
    <w:rsid w:val="00FD57A5"/>
    <w:rsid w:val="00FD5FE5"/>
    <w:rsid w:val="00FE0540"/>
    <w:rsid w:val="00FE138D"/>
    <w:rsid w:val="00FE2AFD"/>
    <w:rsid w:val="00FE4414"/>
    <w:rsid w:val="00FE7652"/>
    <w:rsid w:val="00FF08D3"/>
    <w:rsid w:val="00FF091A"/>
    <w:rsid w:val="00FF10F5"/>
    <w:rsid w:val="00FF2022"/>
    <w:rsid w:val="00FF2549"/>
    <w:rsid w:val="00FF257C"/>
    <w:rsid w:val="00FF469A"/>
    <w:rsid w:val="00FF4CCC"/>
    <w:rsid w:val="00FF529D"/>
    <w:rsid w:val="00FF560C"/>
    <w:rsid w:val="00FF7843"/>
    <w:rsid w:val="00FF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27D89"/>
  <w15:docId w15:val="{95CC3E5A-AA9F-4749-AED4-88A8F25D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4658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F33A55"/>
    <w:rPr>
      <w:sz w:val="16"/>
      <w:szCs w:val="16"/>
    </w:rPr>
  </w:style>
  <w:style w:type="paragraph" w:styleId="CommentText">
    <w:name w:val="annotation text"/>
    <w:basedOn w:val="Normal"/>
    <w:link w:val="CommentTextChar"/>
    <w:uiPriority w:val="99"/>
    <w:unhideWhenUsed/>
    <w:rsid w:val="00F33A55"/>
    <w:rPr>
      <w:sz w:val="20"/>
      <w:szCs w:val="20"/>
    </w:rPr>
  </w:style>
  <w:style w:type="character" w:customStyle="1" w:styleId="CommentTextChar">
    <w:name w:val="Comment Text Char"/>
    <w:basedOn w:val="DefaultParagraphFont"/>
    <w:link w:val="CommentText"/>
    <w:uiPriority w:val="99"/>
    <w:rsid w:val="00F33A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3A55"/>
    <w:rPr>
      <w:b/>
      <w:bCs/>
    </w:rPr>
  </w:style>
  <w:style w:type="character" w:customStyle="1" w:styleId="CommentSubjectChar">
    <w:name w:val="Comment Subject Char"/>
    <w:basedOn w:val="CommentTextChar"/>
    <w:link w:val="CommentSubject"/>
    <w:uiPriority w:val="99"/>
    <w:semiHidden/>
    <w:rsid w:val="00F33A5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55"/>
    <w:rPr>
      <w:rFonts w:ascii="Segoe UI" w:eastAsia="Times New Roman" w:hAnsi="Segoe UI" w:cs="Segoe UI"/>
      <w:sz w:val="18"/>
      <w:szCs w:val="18"/>
      <w:lang w:eastAsia="lv-LV"/>
    </w:rPr>
  </w:style>
  <w:style w:type="paragraph" w:customStyle="1" w:styleId="Default">
    <w:name w:val="Default"/>
    <w:rsid w:val="007B2631"/>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9C3335"/>
    <w:rPr>
      <w:sz w:val="20"/>
      <w:szCs w:val="20"/>
      <w:lang w:eastAsia="en-US"/>
    </w:rPr>
  </w:style>
  <w:style w:type="character" w:customStyle="1" w:styleId="FootnoteTextChar">
    <w:name w:val="Footnote Text Char"/>
    <w:basedOn w:val="DefaultParagraphFont"/>
    <w:link w:val="FootnoteText"/>
    <w:uiPriority w:val="99"/>
    <w:semiHidden/>
    <w:rsid w:val="009C3335"/>
    <w:rPr>
      <w:rFonts w:ascii="Times New Roman" w:eastAsia="Times New Roman" w:hAnsi="Times New Roman" w:cs="Times New Roman"/>
      <w:sz w:val="20"/>
      <w:szCs w:val="20"/>
    </w:rPr>
  </w:style>
  <w:style w:type="character" w:styleId="FootnoteReference">
    <w:name w:val="footnote reference"/>
    <w:aliases w:val="BVI fnr,Exposant 3 Point,Footnote Reference Number,Footnote Reference Superscript,Footnote Reference_LVL6,Footnote Reference_LVL61,Footnote Reference_LVL62,Footnote reference number,Footnote symbol,Ref,Stinking Styles22,Times 10 Point"/>
    <w:uiPriority w:val="99"/>
    <w:unhideWhenUsed/>
    <w:qFormat/>
    <w:rsid w:val="009C3335"/>
    <w:rPr>
      <w:shd w:val="clear" w:color="auto" w:fill="auto"/>
      <w:vertAlign w:val="superscript"/>
    </w:rPr>
  </w:style>
  <w:style w:type="paragraph" w:styleId="BodyText2">
    <w:name w:val="Body Text 2"/>
    <w:basedOn w:val="Normal"/>
    <w:link w:val="BodyText2Char"/>
    <w:rsid w:val="009C3335"/>
    <w:pPr>
      <w:jc w:val="both"/>
    </w:pPr>
    <w:rPr>
      <w:b/>
      <w:bCs/>
      <w:color w:val="000000"/>
    </w:rPr>
  </w:style>
  <w:style w:type="character" w:customStyle="1" w:styleId="BodyText2Char">
    <w:name w:val="Body Text 2 Char"/>
    <w:basedOn w:val="DefaultParagraphFont"/>
    <w:link w:val="BodyText2"/>
    <w:rsid w:val="009C3335"/>
    <w:rPr>
      <w:rFonts w:ascii="Times New Roman" w:eastAsia="Times New Roman" w:hAnsi="Times New Roman" w:cs="Times New Roman"/>
      <w:b/>
      <w:bCs/>
      <w:color w:val="000000"/>
      <w:sz w:val="24"/>
      <w:szCs w:val="24"/>
      <w:lang w:eastAsia="lv-LV"/>
    </w:rPr>
  </w:style>
  <w:style w:type="character" w:customStyle="1" w:styleId="Heading3Char">
    <w:name w:val="Heading 3 Char"/>
    <w:basedOn w:val="DefaultParagraphFont"/>
    <w:link w:val="Heading3"/>
    <w:uiPriority w:val="9"/>
    <w:rsid w:val="0046589A"/>
    <w:rPr>
      <w:rFonts w:ascii="Times New Roman" w:eastAsia="Times New Roman" w:hAnsi="Times New Roman" w:cs="Times New Roman"/>
      <w:b/>
      <w:bCs/>
      <w:sz w:val="27"/>
      <w:szCs w:val="27"/>
      <w:lang w:eastAsia="lv-LV"/>
    </w:rPr>
  </w:style>
  <w:style w:type="paragraph" w:styleId="ListParagraph">
    <w:name w:val="List Paragraph"/>
    <w:aliases w:val="Syle 1,2,List Paragraph1,Strip,virsraksts3,Numbered Para 1,Dot pt,No Spacing1,List Paragraph Char Char Char,Indicator Text,Bullet 1,Bullet Points,MAIN CONTENT,IFCL - List Paragraph,List Paragraph12,OBC Bullet,F5 List Paragraph,リスト段,LP1"/>
    <w:basedOn w:val="Normal"/>
    <w:link w:val="ListParagraphChar"/>
    <w:uiPriority w:val="34"/>
    <w:qFormat/>
    <w:rsid w:val="00903596"/>
    <w:pPr>
      <w:ind w:left="720"/>
      <w:contextualSpacing/>
    </w:pPr>
  </w:style>
  <w:style w:type="paragraph" w:styleId="Header">
    <w:name w:val="header"/>
    <w:basedOn w:val="Normal"/>
    <w:link w:val="HeaderChar"/>
    <w:uiPriority w:val="99"/>
    <w:unhideWhenUsed/>
    <w:rsid w:val="0056382D"/>
    <w:pPr>
      <w:tabs>
        <w:tab w:val="center" w:pos="4153"/>
        <w:tab w:val="right" w:pos="8306"/>
      </w:tabs>
    </w:pPr>
  </w:style>
  <w:style w:type="character" w:customStyle="1" w:styleId="HeaderChar">
    <w:name w:val="Header Char"/>
    <w:basedOn w:val="DefaultParagraphFont"/>
    <w:link w:val="Header"/>
    <w:uiPriority w:val="99"/>
    <w:rsid w:val="0056382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6382D"/>
    <w:pPr>
      <w:tabs>
        <w:tab w:val="center" w:pos="4153"/>
        <w:tab w:val="right" w:pos="8306"/>
      </w:tabs>
    </w:pPr>
  </w:style>
  <w:style w:type="character" w:customStyle="1" w:styleId="FooterChar">
    <w:name w:val="Footer Char"/>
    <w:basedOn w:val="DefaultParagraphFont"/>
    <w:link w:val="Footer"/>
    <w:uiPriority w:val="99"/>
    <w:rsid w:val="0056382D"/>
    <w:rPr>
      <w:rFonts w:ascii="Times New Roman" w:eastAsia="Times New Roman" w:hAnsi="Times New Roman" w:cs="Times New Roman"/>
      <w:sz w:val="24"/>
      <w:szCs w:val="24"/>
      <w:lang w:eastAsia="lv-LV"/>
    </w:rPr>
  </w:style>
  <w:style w:type="paragraph" w:styleId="Revision">
    <w:name w:val="Revision"/>
    <w:hidden/>
    <w:uiPriority w:val="99"/>
    <w:semiHidden/>
    <w:rsid w:val="003F7A86"/>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335DD7"/>
    <w:pPr>
      <w:spacing w:before="240" w:after="120" w:line="312" w:lineRule="atLeast"/>
      <w:jc w:val="center"/>
    </w:pPr>
    <w:rPr>
      <w:b/>
      <w:bCs/>
    </w:rPr>
  </w:style>
  <w:style w:type="character" w:styleId="FollowedHyperlink">
    <w:name w:val="FollowedHyperlink"/>
    <w:basedOn w:val="DefaultParagraphFont"/>
    <w:uiPriority w:val="99"/>
    <w:semiHidden/>
    <w:unhideWhenUsed/>
    <w:rsid w:val="003C5EDC"/>
    <w:rPr>
      <w:color w:val="800080" w:themeColor="followedHyperlink"/>
      <w:u w:val="single"/>
    </w:rPr>
  </w:style>
  <w:style w:type="table" w:styleId="TableGrid">
    <w:name w:val="Table Grid"/>
    <w:basedOn w:val="TableNormal"/>
    <w:uiPriority w:val="59"/>
    <w:rsid w:val="00FE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A27700"/>
    <w:pPr>
      <w:spacing w:line="360" w:lineRule="auto"/>
      <w:ind w:firstLine="300"/>
    </w:pPr>
    <w:rPr>
      <w:color w:val="414142"/>
      <w:sz w:val="20"/>
      <w:szCs w:val="20"/>
    </w:rPr>
  </w:style>
  <w:style w:type="character" w:customStyle="1" w:styleId="ListParagraphChar">
    <w:name w:val="List Paragraph Char"/>
    <w:aliases w:val="Syle 1 Char,2 Char,List Paragraph1 Char,Strip Char,virsraksts3 Char,Numbered Para 1 Char,Dot pt Char,No Spacing1 Char,List Paragraph Char Char Char Char,Indicator Text Char,Bullet 1 Char,Bullet Points Char,MAIN CONTENT Char,リスト段 Char"/>
    <w:link w:val="ListParagraph"/>
    <w:uiPriority w:val="1"/>
    <w:qFormat/>
    <w:locked/>
    <w:rsid w:val="000C4C70"/>
    <w:rPr>
      <w:rFonts w:ascii="Times New Roman" w:eastAsia="Times New Roman" w:hAnsi="Times New Roman" w:cs="Times New Roman"/>
      <w:sz w:val="24"/>
      <w:szCs w:val="24"/>
      <w:lang w:eastAsia="lv-LV"/>
    </w:rPr>
  </w:style>
  <w:style w:type="paragraph" w:styleId="NoSpacing">
    <w:name w:val="No Spacing"/>
    <w:uiPriority w:val="1"/>
    <w:qFormat/>
    <w:rsid w:val="00BA654C"/>
    <w:pPr>
      <w:widowControl w:val="0"/>
      <w:spacing w:after="0" w:line="240" w:lineRule="auto"/>
    </w:pPr>
    <w:rPr>
      <w:rFonts w:ascii="Calibri" w:eastAsia="MS Mincho" w:hAnsi="Calibri" w:cs="Times New Roman"/>
      <w:lang w:val="en-US"/>
    </w:rPr>
  </w:style>
  <w:style w:type="paragraph" w:styleId="BodyTextIndent">
    <w:name w:val="Body Text Indent"/>
    <w:basedOn w:val="Normal"/>
    <w:link w:val="BodyTextIndentChar"/>
    <w:rsid w:val="00014193"/>
    <w:pPr>
      <w:ind w:left="142" w:firstLine="578"/>
      <w:jc w:val="both"/>
    </w:pPr>
    <w:rPr>
      <w:sz w:val="28"/>
      <w:szCs w:val="20"/>
      <w:lang w:eastAsia="en-US"/>
    </w:rPr>
  </w:style>
  <w:style w:type="character" w:customStyle="1" w:styleId="BodyTextIndentChar">
    <w:name w:val="Body Text Indent Char"/>
    <w:basedOn w:val="DefaultParagraphFont"/>
    <w:link w:val="BodyTextIndent"/>
    <w:rsid w:val="0001419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009">
      <w:bodyDiv w:val="1"/>
      <w:marLeft w:val="0"/>
      <w:marRight w:val="0"/>
      <w:marTop w:val="0"/>
      <w:marBottom w:val="0"/>
      <w:divBdr>
        <w:top w:val="none" w:sz="0" w:space="0" w:color="auto"/>
        <w:left w:val="none" w:sz="0" w:space="0" w:color="auto"/>
        <w:bottom w:val="none" w:sz="0" w:space="0" w:color="auto"/>
        <w:right w:val="none" w:sz="0" w:space="0" w:color="auto"/>
      </w:divBdr>
      <w:divsChild>
        <w:div w:id="1814638458">
          <w:marLeft w:val="0"/>
          <w:marRight w:val="0"/>
          <w:marTop w:val="0"/>
          <w:marBottom w:val="0"/>
          <w:divBdr>
            <w:top w:val="none" w:sz="0" w:space="0" w:color="auto"/>
            <w:left w:val="none" w:sz="0" w:space="0" w:color="auto"/>
            <w:bottom w:val="none" w:sz="0" w:space="0" w:color="auto"/>
            <w:right w:val="none" w:sz="0" w:space="0" w:color="auto"/>
          </w:divBdr>
          <w:divsChild>
            <w:div w:id="871649829">
              <w:marLeft w:val="0"/>
              <w:marRight w:val="0"/>
              <w:marTop w:val="0"/>
              <w:marBottom w:val="0"/>
              <w:divBdr>
                <w:top w:val="none" w:sz="0" w:space="0" w:color="auto"/>
                <w:left w:val="none" w:sz="0" w:space="0" w:color="auto"/>
                <w:bottom w:val="none" w:sz="0" w:space="0" w:color="auto"/>
                <w:right w:val="none" w:sz="0" w:space="0" w:color="auto"/>
              </w:divBdr>
              <w:divsChild>
                <w:div w:id="605889700">
                  <w:marLeft w:val="0"/>
                  <w:marRight w:val="0"/>
                  <w:marTop w:val="0"/>
                  <w:marBottom w:val="0"/>
                  <w:divBdr>
                    <w:top w:val="none" w:sz="0" w:space="0" w:color="auto"/>
                    <w:left w:val="none" w:sz="0" w:space="0" w:color="auto"/>
                    <w:bottom w:val="none" w:sz="0" w:space="0" w:color="auto"/>
                    <w:right w:val="none" w:sz="0" w:space="0" w:color="auto"/>
                  </w:divBdr>
                  <w:divsChild>
                    <w:div w:id="1149398725">
                      <w:marLeft w:val="0"/>
                      <w:marRight w:val="0"/>
                      <w:marTop w:val="0"/>
                      <w:marBottom w:val="0"/>
                      <w:divBdr>
                        <w:top w:val="none" w:sz="0" w:space="0" w:color="auto"/>
                        <w:left w:val="none" w:sz="0" w:space="0" w:color="auto"/>
                        <w:bottom w:val="none" w:sz="0" w:space="0" w:color="auto"/>
                        <w:right w:val="none" w:sz="0" w:space="0" w:color="auto"/>
                      </w:divBdr>
                      <w:divsChild>
                        <w:div w:id="120541176">
                          <w:marLeft w:val="0"/>
                          <w:marRight w:val="0"/>
                          <w:marTop w:val="0"/>
                          <w:marBottom w:val="0"/>
                          <w:divBdr>
                            <w:top w:val="none" w:sz="0" w:space="0" w:color="auto"/>
                            <w:left w:val="none" w:sz="0" w:space="0" w:color="auto"/>
                            <w:bottom w:val="none" w:sz="0" w:space="0" w:color="auto"/>
                            <w:right w:val="none" w:sz="0" w:space="0" w:color="auto"/>
                          </w:divBdr>
                          <w:divsChild>
                            <w:div w:id="1890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665608">
      <w:bodyDiv w:val="1"/>
      <w:marLeft w:val="0"/>
      <w:marRight w:val="0"/>
      <w:marTop w:val="0"/>
      <w:marBottom w:val="0"/>
      <w:divBdr>
        <w:top w:val="none" w:sz="0" w:space="0" w:color="auto"/>
        <w:left w:val="none" w:sz="0" w:space="0" w:color="auto"/>
        <w:bottom w:val="none" w:sz="0" w:space="0" w:color="auto"/>
        <w:right w:val="none" w:sz="0" w:space="0" w:color="auto"/>
      </w:divBdr>
    </w:div>
    <w:div w:id="767195902">
      <w:bodyDiv w:val="1"/>
      <w:marLeft w:val="0"/>
      <w:marRight w:val="0"/>
      <w:marTop w:val="0"/>
      <w:marBottom w:val="0"/>
      <w:divBdr>
        <w:top w:val="none" w:sz="0" w:space="0" w:color="auto"/>
        <w:left w:val="none" w:sz="0" w:space="0" w:color="auto"/>
        <w:bottom w:val="none" w:sz="0" w:space="0" w:color="auto"/>
        <w:right w:val="none" w:sz="0" w:space="0" w:color="auto"/>
      </w:divBdr>
    </w:div>
    <w:div w:id="878249759">
      <w:bodyDiv w:val="1"/>
      <w:marLeft w:val="0"/>
      <w:marRight w:val="0"/>
      <w:marTop w:val="0"/>
      <w:marBottom w:val="0"/>
      <w:divBdr>
        <w:top w:val="none" w:sz="0" w:space="0" w:color="auto"/>
        <w:left w:val="none" w:sz="0" w:space="0" w:color="auto"/>
        <w:bottom w:val="none" w:sz="0" w:space="0" w:color="auto"/>
        <w:right w:val="none" w:sz="0" w:space="0" w:color="auto"/>
      </w:divBdr>
      <w:divsChild>
        <w:div w:id="1733967531">
          <w:marLeft w:val="547"/>
          <w:marRight w:val="0"/>
          <w:marTop w:val="86"/>
          <w:marBottom w:val="0"/>
          <w:divBdr>
            <w:top w:val="none" w:sz="0" w:space="0" w:color="auto"/>
            <w:left w:val="none" w:sz="0" w:space="0" w:color="auto"/>
            <w:bottom w:val="none" w:sz="0" w:space="0" w:color="auto"/>
            <w:right w:val="none" w:sz="0" w:space="0" w:color="auto"/>
          </w:divBdr>
        </w:div>
      </w:divsChild>
    </w:div>
    <w:div w:id="1153327487">
      <w:bodyDiv w:val="1"/>
      <w:marLeft w:val="0"/>
      <w:marRight w:val="0"/>
      <w:marTop w:val="0"/>
      <w:marBottom w:val="0"/>
      <w:divBdr>
        <w:top w:val="none" w:sz="0" w:space="0" w:color="auto"/>
        <w:left w:val="none" w:sz="0" w:space="0" w:color="auto"/>
        <w:bottom w:val="none" w:sz="0" w:space="0" w:color="auto"/>
        <w:right w:val="none" w:sz="0" w:space="0" w:color="auto"/>
      </w:divBdr>
    </w:div>
    <w:div w:id="1454978307">
      <w:bodyDiv w:val="1"/>
      <w:marLeft w:val="0"/>
      <w:marRight w:val="0"/>
      <w:marTop w:val="0"/>
      <w:marBottom w:val="0"/>
      <w:divBdr>
        <w:top w:val="none" w:sz="0" w:space="0" w:color="auto"/>
        <w:left w:val="none" w:sz="0" w:space="0" w:color="auto"/>
        <w:bottom w:val="none" w:sz="0" w:space="0" w:color="auto"/>
        <w:right w:val="none" w:sz="0" w:space="0" w:color="auto"/>
      </w:divBdr>
    </w:div>
    <w:div w:id="1492942701">
      <w:bodyDiv w:val="1"/>
      <w:marLeft w:val="0"/>
      <w:marRight w:val="0"/>
      <w:marTop w:val="0"/>
      <w:marBottom w:val="0"/>
      <w:divBdr>
        <w:top w:val="none" w:sz="0" w:space="0" w:color="auto"/>
        <w:left w:val="none" w:sz="0" w:space="0" w:color="auto"/>
        <w:bottom w:val="none" w:sz="0" w:space="0" w:color="auto"/>
        <w:right w:val="none" w:sz="0" w:space="0" w:color="auto"/>
      </w:divBdr>
      <w:divsChild>
        <w:div w:id="1312370106">
          <w:marLeft w:val="0"/>
          <w:marRight w:val="0"/>
          <w:marTop w:val="0"/>
          <w:marBottom w:val="0"/>
          <w:divBdr>
            <w:top w:val="none" w:sz="0" w:space="0" w:color="auto"/>
            <w:left w:val="none" w:sz="0" w:space="0" w:color="auto"/>
            <w:bottom w:val="none" w:sz="0" w:space="0" w:color="auto"/>
            <w:right w:val="none" w:sz="0" w:space="0" w:color="auto"/>
          </w:divBdr>
          <w:divsChild>
            <w:div w:id="1138835362">
              <w:marLeft w:val="0"/>
              <w:marRight w:val="0"/>
              <w:marTop w:val="0"/>
              <w:marBottom w:val="0"/>
              <w:divBdr>
                <w:top w:val="none" w:sz="0" w:space="0" w:color="auto"/>
                <w:left w:val="none" w:sz="0" w:space="0" w:color="auto"/>
                <w:bottom w:val="none" w:sz="0" w:space="0" w:color="auto"/>
                <w:right w:val="none" w:sz="0" w:space="0" w:color="auto"/>
              </w:divBdr>
              <w:divsChild>
                <w:div w:id="634214745">
                  <w:marLeft w:val="0"/>
                  <w:marRight w:val="0"/>
                  <w:marTop w:val="0"/>
                  <w:marBottom w:val="0"/>
                  <w:divBdr>
                    <w:top w:val="none" w:sz="0" w:space="0" w:color="auto"/>
                    <w:left w:val="none" w:sz="0" w:space="0" w:color="auto"/>
                    <w:bottom w:val="none" w:sz="0" w:space="0" w:color="auto"/>
                    <w:right w:val="none" w:sz="0" w:space="0" w:color="auto"/>
                  </w:divBdr>
                  <w:divsChild>
                    <w:div w:id="2063358656">
                      <w:marLeft w:val="-150"/>
                      <w:marRight w:val="-150"/>
                      <w:marTop w:val="0"/>
                      <w:marBottom w:val="0"/>
                      <w:divBdr>
                        <w:top w:val="none" w:sz="0" w:space="0" w:color="auto"/>
                        <w:left w:val="none" w:sz="0" w:space="0" w:color="auto"/>
                        <w:bottom w:val="none" w:sz="0" w:space="0" w:color="auto"/>
                        <w:right w:val="none" w:sz="0" w:space="0" w:color="auto"/>
                      </w:divBdr>
                      <w:divsChild>
                        <w:div w:id="1325545059">
                          <w:marLeft w:val="0"/>
                          <w:marRight w:val="0"/>
                          <w:marTop w:val="0"/>
                          <w:marBottom w:val="0"/>
                          <w:divBdr>
                            <w:top w:val="none" w:sz="0" w:space="0" w:color="auto"/>
                            <w:left w:val="none" w:sz="0" w:space="0" w:color="auto"/>
                            <w:bottom w:val="none" w:sz="0" w:space="0" w:color="auto"/>
                            <w:right w:val="none" w:sz="0" w:space="0" w:color="auto"/>
                          </w:divBdr>
                          <w:divsChild>
                            <w:div w:id="1240137840">
                              <w:marLeft w:val="0"/>
                              <w:marRight w:val="0"/>
                              <w:marTop w:val="0"/>
                              <w:marBottom w:val="0"/>
                              <w:divBdr>
                                <w:top w:val="none" w:sz="0" w:space="0" w:color="auto"/>
                                <w:left w:val="none" w:sz="0" w:space="0" w:color="auto"/>
                                <w:bottom w:val="none" w:sz="0" w:space="0" w:color="auto"/>
                                <w:right w:val="none" w:sz="0" w:space="0" w:color="auto"/>
                              </w:divBdr>
                              <w:divsChild>
                                <w:div w:id="1951813126">
                                  <w:marLeft w:val="0"/>
                                  <w:marRight w:val="0"/>
                                  <w:marTop w:val="0"/>
                                  <w:marBottom w:val="300"/>
                                  <w:divBdr>
                                    <w:top w:val="none" w:sz="0" w:space="0" w:color="auto"/>
                                    <w:left w:val="none" w:sz="0" w:space="0" w:color="auto"/>
                                    <w:bottom w:val="none" w:sz="0" w:space="0" w:color="auto"/>
                                    <w:right w:val="none" w:sz="0" w:space="0" w:color="auto"/>
                                  </w:divBdr>
                                  <w:divsChild>
                                    <w:div w:id="530537655">
                                      <w:marLeft w:val="0"/>
                                      <w:marRight w:val="0"/>
                                      <w:marTop w:val="0"/>
                                      <w:marBottom w:val="0"/>
                                      <w:divBdr>
                                        <w:top w:val="none" w:sz="0" w:space="0" w:color="auto"/>
                                        <w:left w:val="none" w:sz="0" w:space="0" w:color="auto"/>
                                        <w:bottom w:val="none" w:sz="0" w:space="0" w:color="auto"/>
                                        <w:right w:val="none" w:sz="0" w:space="0" w:color="auto"/>
                                      </w:divBdr>
                                      <w:divsChild>
                                        <w:div w:id="1418985736">
                                          <w:marLeft w:val="0"/>
                                          <w:marRight w:val="0"/>
                                          <w:marTop w:val="0"/>
                                          <w:marBottom w:val="0"/>
                                          <w:divBdr>
                                            <w:top w:val="none" w:sz="0" w:space="0" w:color="auto"/>
                                            <w:left w:val="none" w:sz="0" w:space="0" w:color="auto"/>
                                            <w:bottom w:val="none" w:sz="0" w:space="0" w:color="auto"/>
                                            <w:right w:val="none" w:sz="0" w:space="0" w:color="auto"/>
                                          </w:divBdr>
                                          <w:divsChild>
                                            <w:div w:id="1435436705">
                                              <w:marLeft w:val="0"/>
                                              <w:marRight w:val="0"/>
                                              <w:marTop w:val="0"/>
                                              <w:marBottom w:val="0"/>
                                              <w:divBdr>
                                                <w:top w:val="none" w:sz="0" w:space="0" w:color="auto"/>
                                                <w:left w:val="none" w:sz="0" w:space="0" w:color="auto"/>
                                                <w:bottom w:val="none" w:sz="0" w:space="0" w:color="auto"/>
                                                <w:right w:val="none" w:sz="0" w:space="0" w:color="auto"/>
                                              </w:divBdr>
                                              <w:divsChild>
                                                <w:div w:id="83846583">
                                                  <w:marLeft w:val="0"/>
                                                  <w:marRight w:val="0"/>
                                                  <w:marTop w:val="0"/>
                                                  <w:marBottom w:val="0"/>
                                                  <w:divBdr>
                                                    <w:top w:val="none" w:sz="0" w:space="0" w:color="auto"/>
                                                    <w:left w:val="none" w:sz="0" w:space="0" w:color="auto"/>
                                                    <w:bottom w:val="none" w:sz="0" w:space="0" w:color="auto"/>
                                                    <w:right w:val="none" w:sz="0" w:space="0" w:color="auto"/>
                                                  </w:divBdr>
                                                  <w:divsChild>
                                                    <w:div w:id="1815828019">
                                                      <w:marLeft w:val="0"/>
                                                      <w:marRight w:val="0"/>
                                                      <w:marTop w:val="0"/>
                                                      <w:marBottom w:val="0"/>
                                                      <w:divBdr>
                                                        <w:top w:val="none" w:sz="0" w:space="0" w:color="auto"/>
                                                        <w:left w:val="none" w:sz="0" w:space="0" w:color="auto"/>
                                                        <w:bottom w:val="none" w:sz="0" w:space="0" w:color="auto"/>
                                                        <w:right w:val="none" w:sz="0" w:space="0" w:color="auto"/>
                                                      </w:divBdr>
                                                      <w:divsChild>
                                                        <w:div w:id="434667168">
                                                          <w:marLeft w:val="0"/>
                                                          <w:marRight w:val="0"/>
                                                          <w:marTop w:val="0"/>
                                                          <w:marBottom w:val="0"/>
                                                          <w:divBdr>
                                                            <w:top w:val="none" w:sz="0" w:space="0" w:color="auto"/>
                                                            <w:left w:val="none" w:sz="0" w:space="0" w:color="auto"/>
                                                            <w:bottom w:val="none" w:sz="0" w:space="0" w:color="auto"/>
                                                            <w:right w:val="none" w:sz="0" w:space="0" w:color="auto"/>
                                                          </w:divBdr>
                                                          <w:divsChild>
                                                            <w:div w:id="233515025">
                                                              <w:marLeft w:val="0"/>
                                                              <w:marRight w:val="0"/>
                                                              <w:marTop w:val="0"/>
                                                              <w:marBottom w:val="0"/>
                                                              <w:divBdr>
                                                                <w:top w:val="none" w:sz="0" w:space="0" w:color="auto"/>
                                                                <w:left w:val="none" w:sz="0" w:space="0" w:color="auto"/>
                                                                <w:bottom w:val="none" w:sz="0" w:space="0" w:color="auto"/>
                                                                <w:right w:val="none" w:sz="0" w:space="0" w:color="auto"/>
                                                              </w:divBdr>
                                                              <w:divsChild>
                                                                <w:div w:id="1584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158632">
      <w:bodyDiv w:val="1"/>
      <w:marLeft w:val="0"/>
      <w:marRight w:val="0"/>
      <w:marTop w:val="0"/>
      <w:marBottom w:val="0"/>
      <w:divBdr>
        <w:top w:val="none" w:sz="0" w:space="0" w:color="auto"/>
        <w:left w:val="none" w:sz="0" w:space="0" w:color="auto"/>
        <w:bottom w:val="none" w:sz="0" w:space="0" w:color="auto"/>
        <w:right w:val="none" w:sz="0" w:space="0" w:color="auto"/>
      </w:divBdr>
      <w:divsChild>
        <w:div w:id="615258624">
          <w:marLeft w:val="0"/>
          <w:marRight w:val="0"/>
          <w:marTop w:val="0"/>
          <w:marBottom w:val="0"/>
          <w:divBdr>
            <w:top w:val="none" w:sz="0" w:space="0" w:color="auto"/>
            <w:left w:val="none" w:sz="0" w:space="0" w:color="auto"/>
            <w:bottom w:val="none" w:sz="0" w:space="0" w:color="auto"/>
            <w:right w:val="none" w:sz="0" w:space="0" w:color="auto"/>
          </w:divBdr>
          <w:divsChild>
            <w:div w:id="461657352">
              <w:marLeft w:val="0"/>
              <w:marRight w:val="0"/>
              <w:marTop w:val="0"/>
              <w:marBottom w:val="0"/>
              <w:divBdr>
                <w:top w:val="none" w:sz="0" w:space="0" w:color="auto"/>
                <w:left w:val="none" w:sz="0" w:space="0" w:color="auto"/>
                <w:bottom w:val="none" w:sz="0" w:space="0" w:color="auto"/>
                <w:right w:val="none" w:sz="0" w:space="0" w:color="auto"/>
              </w:divBdr>
              <w:divsChild>
                <w:div w:id="1761023822">
                  <w:marLeft w:val="0"/>
                  <w:marRight w:val="0"/>
                  <w:marTop w:val="0"/>
                  <w:marBottom w:val="0"/>
                  <w:divBdr>
                    <w:top w:val="none" w:sz="0" w:space="0" w:color="auto"/>
                    <w:left w:val="none" w:sz="0" w:space="0" w:color="auto"/>
                    <w:bottom w:val="none" w:sz="0" w:space="0" w:color="auto"/>
                    <w:right w:val="none" w:sz="0" w:space="0" w:color="auto"/>
                  </w:divBdr>
                  <w:divsChild>
                    <w:div w:id="826364132">
                      <w:marLeft w:val="-150"/>
                      <w:marRight w:val="-150"/>
                      <w:marTop w:val="0"/>
                      <w:marBottom w:val="0"/>
                      <w:divBdr>
                        <w:top w:val="none" w:sz="0" w:space="0" w:color="auto"/>
                        <w:left w:val="none" w:sz="0" w:space="0" w:color="auto"/>
                        <w:bottom w:val="none" w:sz="0" w:space="0" w:color="auto"/>
                        <w:right w:val="none" w:sz="0" w:space="0" w:color="auto"/>
                      </w:divBdr>
                      <w:divsChild>
                        <w:div w:id="1346978588">
                          <w:marLeft w:val="0"/>
                          <w:marRight w:val="0"/>
                          <w:marTop w:val="0"/>
                          <w:marBottom w:val="0"/>
                          <w:divBdr>
                            <w:top w:val="none" w:sz="0" w:space="0" w:color="auto"/>
                            <w:left w:val="none" w:sz="0" w:space="0" w:color="auto"/>
                            <w:bottom w:val="none" w:sz="0" w:space="0" w:color="auto"/>
                            <w:right w:val="none" w:sz="0" w:space="0" w:color="auto"/>
                          </w:divBdr>
                          <w:divsChild>
                            <w:div w:id="2127772395">
                              <w:marLeft w:val="0"/>
                              <w:marRight w:val="0"/>
                              <w:marTop w:val="0"/>
                              <w:marBottom w:val="0"/>
                              <w:divBdr>
                                <w:top w:val="none" w:sz="0" w:space="0" w:color="auto"/>
                                <w:left w:val="none" w:sz="0" w:space="0" w:color="auto"/>
                                <w:bottom w:val="none" w:sz="0" w:space="0" w:color="auto"/>
                                <w:right w:val="none" w:sz="0" w:space="0" w:color="auto"/>
                              </w:divBdr>
                              <w:divsChild>
                                <w:div w:id="139461749">
                                  <w:marLeft w:val="0"/>
                                  <w:marRight w:val="0"/>
                                  <w:marTop w:val="0"/>
                                  <w:marBottom w:val="300"/>
                                  <w:divBdr>
                                    <w:top w:val="none" w:sz="0" w:space="0" w:color="auto"/>
                                    <w:left w:val="none" w:sz="0" w:space="0" w:color="auto"/>
                                    <w:bottom w:val="none" w:sz="0" w:space="0" w:color="auto"/>
                                    <w:right w:val="none" w:sz="0" w:space="0" w:color="auto"/>
                                  </w:divBdr>
                                  <w:divsChild>
                                    <w:div w:id="2019772771">
                                      <w:marLeft w:val="0"/>
                                      <w:marRight w:val="0"/>
                                      <w:marTop w:val="0"/>
                                      <w:marBottom w:val="0"/>
                                      <w:divBdr>
                                        <w:top w:val="none" w:sz="0" w:space="0" w:color="auto"/>
                                        <w:left w:val="none" w:sz="0" w:space="0" w:color="auto"/>
                                        <w:bottom w:val="none" w:sz="0" w:space="0" w:color="auto"/>
                                        <w:right w:val="none" w:sz="0" w:space="0" w:color="auto"/>
                                      </w:divBdr>
                                      <w:divsChild>
                                        <w:div w:id="1249080455">
                                          <w:marLeft w:val="0"/>
                                          <w:marRight w:val="0"/>
                                          <w:marTop w:val="0"/>
                                          <w:marBottom w:val="0"/>
                                          <w:divBdr>
                                            <w:top w:val="none" w:sz="0" w:space="0" w:color="auto"/>
                                            <w:left w:val="none" w:sz="0" w:space="0" w:color="auto"/>
                                            <w:bottom w:val="none" w:sz="0" w:space="0" w:color="auto"/>
                                            <w:right w:val="none" w:sz="0" w:space="0" w:color="auto"/>
                                          </w:divBdr>
                                          <w:divsChild>
                                            <w:div w:id="879898262">
                                              <w:marLeft w:val="0"/>
                                              <w:marRight w:val="0"/>
                                              <w:marTop w:val="0"/>
                                              <w:marBottom w:val="0"/>
                                              <w:divBdr>
                                                <w:top w:val="none" w:sz="0" w:space="0" w:color="auto"/>
                                                <w:left w:val="none" w:sz="0" w:space="0" w:color="auto"/>
                                                <w:bottom w:val="none" w:sz="0" w:space="0" w:color="auto"/>
                                                <w:right w:val="none" w:sz="0" w:space="0" w:color="auto"/>
                                              </w:divBdr>
                                              <w:divsChild>
                                                <w:div w:id="412825091">
                                                  <w:marLeft w:val="0"/>
                                                  <w:marRight w:val="0"/>
                                                  <w:marTop w:val="0"/>
                                                  <w:marBottom w:val="0"/>
                                                  <w:divBdr>
                                                    <w:top w:val="none" w:sz="0" w:space="0" w:color="auto"/>
                                                    <w:left w:val="none" w:sz="0" w:space="0" w:color="auto"/>
                                                    <w:bottom w:val="none" w:sz="0" w:space="0" w:color="auto"/>
                                                    <w:right w:val="none" w:sz="0" w:space="0" w:color="auto"/>
                                                  </w:divBdr>
                                                  <w:divsChild>
                                                    <w:div w:id="398285134">
                                                      <w:marLeft w:val="0"/>
                                                      <w:marRight w:val="0"/>
                                                      <w:marTop w:val="0"/>
                                                      <w:marBottom w:val="0"/>
                                                      <w:divBdr>
                                                        <w:top w:val="none" w:sz="0" w:space="0" w:color="auto"/>
                                                        <w:left w:val="none" w:sz="0" w:space="0" w:color="auto"/>
                                                        <w:bottom w:val="none" w:sz="0" w:space="0" w:color="auto"/>
                                                        <w:right w:val="none" w:sz="0" w:space="0" w:color="auto"/>
                                                      </w:divBdr>
                                                      <w:divsChild>
                                                        <w:div w:id="2124566180">
                                                          <w:marLeft w:val="0"/>
                                                          <w:marRight w:val="0"/>
                                                          <w:marTop w:val="0"/>
                                                          <w:marBottom w:val="0"/>
                                                          <w:divBdr>
                                                            <w:top w:val="none" w:sz="0" w:space="0" w:color="auto"/>
                                                            <w:left w:val="none" w:sz="0" w:space="0" w:color="auto"/>
                                                            <w:bottom w:val="none" w:sz="0" w:space="0" w:color="auto"/>
                                                            <w:right w:val="none" w:sz="0" w:space="0" w:color="auto"/>
                                                          </w:divBdr>
                                                          <w:divsChild>
                                                            <w:div w:id="1114981601">
                                                              <w:marLeft w:val="0"/>
                                                              <w:marRight w:val="0"/>
                                                              <w:marTop w:val="0"/>
                                                              <w:marBottom w:val="0"/>
                                                              <w:divBdr>
                                                                <w:top w:val="none" w:sz="0" w:space="0" w:color="auto"/>
                                                                <w:left w:val="none" w:sz="0" w:space="0" w:color="auto"/>
                                                                <w:bottom w:val="none" w:sz="0" w:space="0" w:color="auto"/>
                                                                <w:right w:val="none" w:sz="0" w:space="0" w:color="auto"/>
                                                              </w:divBdr>
                                                              <w:divsChild>
                                                                <w:div w:id="19581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Jacuka@f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m.gov.lv/lv/jaunums/planots-vispirms-pret-covid-19-vakcinet-medicinas-darbinie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1CD4-D2D7-48D7-B8C7-B6A00B6B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11975</Words>
  <Characters>6827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Likumprojekta "Grozījumi Pievienotās vērtības nodokļa likumā" sākotnējās ietekmes novērtējuma ziņojums (anotācija)</vt:lpstr>
    </vt:vector>
  </TitlesOfParts>
  <Company>Finanšu ministrija</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Diāna Lukjanska</dc:creator>
  <cp:keywords/>
  <dc:description>67095514_x000d_
Diana.Lukjanska@fm.gov.lv</dc:description>
  <cp:lastModifiedBy>Sandra Rocena</cp:lastModifiedBy>
  <cp:revision>10</cp:revision>
  <cp:lastPrinted>2020-12-17T08:13:00Z</cp:lastPrinted>
  <dcterms:created xsi:type="dcterms:W3CDTF">2020-12-15T11:00:00Z</dcterms:created>
  <dcterms:modified xsi:type="dcterms:W3CDTF">2020-12-17T08:13:00Z</dcterms:modified>
</cp:coreProperties>
</file>