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3CD43" w14:textId="7EE4C117" w:rsidR="00BD5588" w:rsidRPr="00B652F2" w:rsidRDefault="00B652F2" w:rsidP="00B652F2">
      <w:pPr>
        <w:pStyle w:val="NoSpacing"/>
        <w:jc w:val="center"/>
        <w:rPr>
          <w:b/>
          <w:sz w:val="28"/>
          <w:szCs w:val="28"/>
        </w:rPr>
      </w:pPr>
      <w:r w:rsidRPr="00B652F2">
        <w:rPr>
          <w:b/>
        </w:rPr>
        <w:t>Ministru kabineta noteikumu projekta “Grozījumi Ministru kabineta 2003. gada 29. aprīļa noteikumos Nr. 239 “Finanšu ministrijas nolikums”</w:t>
      </w:r>
      <w:r w:rsidR="00BD5588" w:rsidRPr="00B652F2">
        <w:rPr>
          <w:b/>
        </w:rPr>
        <w:t xml:space="preserve"> sākotnējās ietekmes novērtējuma ziņojums (anotācija)</w:t>
      </w:r>
    </w:p>
    <w:p w14:paraId="2EF66952" w14:textId="77777777" w:rsidR="00BD5588" w:rsidRPr="0095667D" w:rsidRDefault="00BD5588"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52"/>
        <w:gridCol w:w="5992"/>
      </w:tblGrid>
      <w:tr w:rsidR="00BD5588" w:rsidRPr="0095667D" w14:paraId="4BEFAE47" w14:textId="77777777" w:rsidTr="009E0502">
        <w:trPr>
          <w:cantSplit/>
        </w:trPr>
        <w:tc>
          <w:tcPr>
            <w:tcW w:w="9581" w:type="dxa"/>
            <w:gridSpan w:val="2"/>
            <w:shd w:val="clear" w:color="auto" w:fill="FFFFFF"/>
            <w:vAlign w:val="center"/>
            <w:hideMark/>
          </w:tcPr>
          <w:p w14:paraId="3E332A6F" w14:textId="77777777" w:rsidR="00BD5588" w:rsidRPr="00B652F2" w:rsidRDefault="00BD5588" w:rsidP="00B652F2">
            <w:pPr>
              <w:pStyle w:val="NoSpacing"/>
              <w:jc w:val="center"/>
              <w:rPr>
                <w:b/>
              </w:rPr>
            </w:pPr>
            <w:r w:rsidRPr="00B652F2">
              <w:rPr>
                <w:b/>
              </w:rPr>
              <w:t>Tiesību akta projekta anotācijas kopsavilkums</w:t>
            </w:r>
          </w:p>
        </w:tc>
      </w:tr>
      <w:tr w:rsidR="00BD5588" w:rsidRPr="0095667D" w14:paraId="17D85770" w14:textId="77777777" w:rsidTr="009E0502">
        <w:trPr>
          <w:cantSplit/>
        </w:trPr>
        <w:tc>
          <w:tcPr>
            <w:tcW w:w="3430" w:type="dxa"/>
            <w:shd w:val="clear" w:color="auto" w:fill="FFFFFF"/>
            <w:hideMark/>
          </w:tcPr>
          <w:p w14:paraId="44FDBE59" w14:textId="77777777" w:rsidR="00BD5588" w:rsidRPr="0095667D" w:rsidRDefault="00BD5588" w:rsidP="0095667D">
            <w:pPr>
              <w:pStyle w:val="NoSpacing"/>
            </w:pPr>
            <w:r w:rsidRPr="0095667D">
              <w:t>Mērķis, risinājums un projekta spēkā stāšanās laiks (500 zīmes bez atstarpēm)</w:t>
            </w:r>
          </w:p>
        </w:tc>
        <w:tc>
          <w:tcPr>
            <w:tcW w:w="6151" w:type="dxa"/>
            <w:shd w:val="clear" w:color="auto" w:fill="FFFFFF"/>
            <w:hideMark/>
          </w:tcPr>
          <w:p w14:paraId="557C2D07" w14:textId="77777777" w:rsidR="00BD5588" w:rsidRPr="0095667D" w:rsidRDefault="00AB640F" w:rsidP="0095667D">
            <w:pPr>
              <w:pStyle w:val="NoSpacing"/>
            </w:pPr>
            <w:r w:rsidRPr="0095667D">
              <w:t>Ņemot vērā veiktos grozījumus normatīvajos aktos un no tiem izrietošās funkcionālās izmaiņas, ir nepieciešams precizēt Finanšu ministrijas nolikumu.</w:t>
            </w:r>
          </w:p>
        </w:tc>
      </w:tr>
    </w:tbl>
    <w:p w14:paraId="619F1AC2" w14:textId="77777777" w:rsidR="00BD5588" w:rsidRDefault="00BD5588" w:rsidP="0095667D">
      <w:pPr>
        <w:pStyle w:val="NoSpacing"/>
      </w:pPr>
    </w:p>
    <w:tbl>
      <w:tblPr>
        <w:tblStyle w:val="TableGrid"/>
        <w:tblW w:w="0" w:type="auto"/>
        <w:tblLook w:val="04A0" w:firstRow="1" w:lastRow="0" w:firstColumn="1" w:lastColumn="0" w:noHBand="0" w:noVBand="1"/>
      </w:tblPr>
      <w:tblGrid>
        <w:gridCol w:w="396"/>
        <w:gridCol w:w="3140"/>
        <w:gridCol w:w="5808"/>
      </w:tblGrid>
      <w:tr w:rsidR="0095667D" w14:paraId="3761999A" w14:textId="77777777" w:rsidTr="0095667D">
        <w:tc>
          <w:tcPr>
            <w:tcW w:w="0" w:type="auto"/>
            <w:gridSpan w:val="3"/>
          </w:tcPr>
          <w:p w14:paraId="2FD271B9" w14:textId="77777777" w:rsidR="0095667D" w:rsidRPr="00B652F2" w:rsidRDefault="0095667D" w:rsidP="00B652F2">
            <w:pPr>
              <w:pStyle w:val="NoSpacing"/>
              <w:jc w:val="center"/>
              <w:rPr>
                <w:b/>
              </w:rPr>
            </w:pPr>
            <w:r w:rsidRPr="00B652F2">
              <w:rPr>
                <w:b/>
              </w:rPr>
              <w:t>I. Tiesību akta projekta izstrādes nepieciešamība</w:t>
            </w:r>
          </w:p>
        </w:tc>
      </w:tr>
      <w:tr w:rsidR="0095667D" w14:paraId="0BE472EA" w14:textId="77777777" w:rsidTr="0095667D">
        <w:tc>
          <w:tcPr>
            <w:tcW w:w="0" w:type="auto"/>
          </w:tcPr>
          <w:p w14:paraId="364E8927" w14:textId="77777777" w:rsidR="0095667D" w:rsidRPr="0095667D" w:rsidRDefault="0095667D" w:rsidP="0095667D">
            <w:pPr>
              <w:pStyle w:val="NoSpacing"/>
            </w:pPr>
            <w:r w:rsidRPr="0095667D">
              <w:t>1.</w:t>
            </w:r>
          </w:p>
        </w:tc>
        <w:tc>
          <w:tcPr>
            <w:tcW w:w="0" w:type="auto"/>
          </w:tcPr>
          <w:p w14:paraId="7DF07FB2" w14:textId="77777777" w:rsidR="0095667D" w:rsidRPr="0095667D" w:rsidRDefault="0095667D" w:rsidP="0095667D">
            <w:pPr>
              <w:pStyle w:val="NoSpacing"/>
            </w:pPr>
            <w:r w:rsidRPr="0095667D">
              <w:t>Pamatojums</w:t>
            </w:r>
          </w:p>
        </w:tc>
        <w:tc>
          <w:tcPr>
            <w:tcW w:w="0" w:type="auto"/>
          </w:tcPr>
          <w:p w14:paraId="0E5FCA66" w14:textId="77777777" w:rsidR="0095667D" w:rsidRPr="0095667D" w:rsidRDefault="0095667D" w:rsidP="00815E47">
            <w:pPr>
              <w:pStyle w:val="NoSpacing"/>
              <w:jc w:val="both"/>
            </w:pPr>
            <w:r w:rsidRPr="0095667D">
              <w:t>Grozījumi Komerclikumā, Eiropas Birojam krāpšanas apkarošanai sniedzamā atbalsta likums, Grozījumi Revīzijas pakalpojumu likumā, Grozījumi Noziedzīgi iegūtu līdzekļu legalizācijas un terorisma finansēšanas novēršanas likumā, Grozījumi Valsts pārvaldes iestāžu radīto zaudējumu atlīdzināšanas likumā, ar kuriem ir precizētas, papildinātas un mainītas ministrijas funkcijas.</w:t>
            </w:r>
          </w:p>
        </w:tc>
      </w:tr>
      <w:tr w:rsidR="0095667D" w14:paraId="0257BA4B" w14:textId="77777777" w:rsidTr="0095667D">
        <w:tc>
          <w:tcPr>
            <w:tcW w:w="0" w:type="auto"/>
          </w:tcPr>
          <w:p w14:paraId="561935E7" w14:textId="77777777" w:rsidR="0095667D" w:rsidRPr="0095667D" w:rsidRDefault="0095667D" w:rsidP="0095667D">
            <w:pPr>
              <w:pStyle w:val="NoSpacing"/>
            </w:pPr>
            <w:r w:rsidRPr="0095667D">
              <w:t>2.</w:t>
            </w:r>
          </w:p>
        </w:tc>
        <w:tc>
          <w:tcPr>
            <w:tcW w:w="0" w:type="auto"/>
          </w:tcPr>
          <w:p w14:paraId="2035AFEB" w14:textId="77777777" w:rsidR="0095667D" w:rsidRPr="0095667D" w:rsidRDefault="0095667D" w:rsidP="0095667D">
            <w:pPr>
              <w:pStyle w:val="NoSpacing"/>
            </w:pPr>
            <w:r w:rsidRPr="0095667D">
              <w:t>Pašreizējā situācija un problēmas, kuru risināšanai tiesību akta projekts izstrādāts, tiesiskā regulējuma mērķis un būtība</w:t>
            </w:r>
          </w:p>
        </w:tc>
        <w:tc>
          <w:tcPr>
            <w:tcW w:w="0" w:type="auto"/>
          </w:tcPr>
          <w:p w14:paraId="16D87114" w14:textId="77777777" w:rsidR="00D210DF" w:rsidRDefault="00D210DF" w:rsidP="00D210DF">
            <w:pPr>
              <w:pStyle w:val="NoSpacing"/>
              <w:jc w:val="both"/>
            </w:pPr>
            <w:r w:rsidRPr="0095667D">
              <w:t>Ir nepieciešams precizēt nolikuma 1. punktu un 5.1. apakšpunktu,</w:t>
            </w:r>
            <w:r>
              <w:t xml:space="preserve"> lai nodrošinātu atbilstību virzāmajiem</w:t>
            </w:r>
            <w:r w:rsidRPr="0095667D">
              <w:t xml:space="preserve"> grozījumiem Komercdarbības atbalsta kontroles likuma 9. pantā</w:t>
            </w:r>
            <w:r>
              <w:t xml:space="preserve"> (izsludināts VSS 2020 gada 6. augustā (</w:t>
            </w:r>
            <w:proofErr w:type="spellStart"/>
            <w:r>
              <w:t>prot.Nr</w:t>
            </w:r>
            <w:proofErr w:type="spellEnd"/>
            <w:r>
              <w:t>. 31 5.§ VSS-655)), ar kuru</w:t>
            </w:r>
            <w:r w:rsidRPr="0095667D">
              <w:t xml:space="preserve"> precizētas Finanšu ministrijas un Zemkopības ministrijas kompetences.</w:t>
            </w:r>
          </w:p>
          <w:p w14:paraId="17B30819" w14:textId="67F510AE" w:rsidR="00815E47" w:rsidRDefault="00815E47" w:rsidP="0095667D">
            <w:pPr>
              <w:pStyle w:val="NoSpacing"/>
              <w:jc w:val="both"/>
            </w:pPr>
          </w:p>
          <w:p w14:paraId="0B14CD1F" w14:textId="77777777" w:rsidR="006B700B" w:rsidRDefault="006B700B" w:rsidP="006B700B">
            <w:pPr>
              <w:pStyle w:val="NoSpacing"/>
              <w:jc w:val="both"/>
            </w:pPr>
            <w:r>
              <w:t>Tāpat nepieciešams precizēt nolikuma 1.punktu un 2.5.apakšpunktu, jo a</w:t>
            </w:r>
            <w:r w:rsidRPr="00F52C8A">
              <w:t xml:space="preserve">tbilstoši </w:t>
            </w:r>
            <w:r>
              <w:t xml:space="preserve">Ministru kabineta </w:t>
            </w:r>
            <w:r w:rsidRPr="00F52C8A">
              <w:t xml:space="preserve">2020.gada 18.augusta protokola </w:t>
            </w:r>
            <w:r>
              <w:t xml:space="preserve">Nr. 49 </w:t>
            </w:r>
            <w:r w:rsidRPr="00C53DFC">
              <w:t>39.§</w:t>
            </w:r>
            <w:r w:rsidRPr="00F52C8A">
              <w:t xml:space="preserve"> </w:t>
            </w:r>
            <w:r>
              <w:t>2.punktam</w:t>
            </w:r>
            <w:r w:rsidRPr="00F52C8A">
              <w:t xml:space="preserve">  Finanšu ministrija ir noteikta kā koordinējošā institūcija Latvijas nacionālā Atveseļošanas un noturības mehānisma plāna izstrādei un iesniegšanai Eiropas Komisijā.</w:t>
            </w:r>
            <w:r>
              <w:t xml:space="preserve"> </w:t>
            </w:r>
          </w:p>
          <w:p w14:paraId="380DE6B8" w14:textId="3F41C3B2" w:rsidR="006B700B" w:rsidRDefault="00727E37" w:rsidP="006B700B">
            <w:pPr>
              <w:pStyle w:val="NoSpacing"/>
              <w:jc w:val="both"/>
            </w:pPr>
            <w:r>
              <w:t xml:space="preserve">Vienlaikus 1.puntā un 5.1.apakšpunktā tiek precizētas atsauces un vārdi </w:t>
            </w:r>
            <w:r w:rsidR="006B700B">
              <w:t>“struktūrfondu 1.mērķi un Kohēzijas fondu” aizstāti ar vārdiem “Kohēzijas politika”, jo jēdziens "Kohēzijas politika" apvieno šos divus struktūrfondus, t.i. Eiropas Reģionālās attīstības fondu (ERAF) un Eiropas Sociālā fondu (ESF), kā arī Kohēzijas fondu) vienā. Savukārt, kā noteikts Līguma par Eiropas Savienības darbību 174. pantā, ES Kohēzijas politikas uzdevums ir stiprināt ekonomisko un sociālo kohēziju, mazinot dažādu reģionu attīstības līmeņa atšķirības. Papildus tiek apvienoti 5.9., 5.10 un 5.11. apakšpunkti, izsakot tos jaunā 5.10.apakšpunktā, jo visas tajos minētās Finanšu ministrijas funkcijas ir saistītas ar Kohēzijas politikas un citas ārvalstu finanšu palīdzības vadību un uzraudzību.</w:t>
            </w:r>
          </w:p>
          <w:p w14:paraId="4D35FAD3" w14:textId="77777777" w:rsidR="006B700B" w:rsidRDefault="006B700B" w:rsidP="0095667D">
            <w:pPr>
              <w:pStyle w:val="NoSpacing"/>
              <w:jc w:val="both"/>
            </w:pPr>
          </w:p>
          <w:p w14:paraId="79DC7CD4" w14:textId="283AD9AF" w:rsidR="00605B9E" w:rsidRDefault="00605B9E" w:rsidP="00605B9E">
            <w:pPr>
              <w:pStyle w:val="NoSpacing"/>
              <w:jc w:val="both"/>
            </w:pPr>
            <w:r>
              <w:t xml:space="preserve">Nolikuma 5.6.apakšpunktā ir precizēts makroekonomisko rādītāju prognožu periods, svītrojot “ilgtermiņa” un “īstermiņa”, bet atstājot “vidēja termiņa”, ņemot vērā, ka Finanšu ministrija izstrādā makroekonomisko rādītāju prognozes </w:t>
            </w:r>
            <w:r w:rsidRPr="005D77E0">
              <w:t>Vidēja termiņa budžeta ietvara likuma projekt</w:t>
            </w:r>
            <w:r>
              <w:t xml:space="preserve">am atbilstoši Fiskālās disciplīnas likumā </w:t>
            </w:r>
            <w:r>
              <w:lastRenderedPageBreak/>
              <w:t xml:space="preserve">noteiktajam periodam, t.i., </w:t>
            </w:r>
            <w:r w:rsidRPr="005D77E0">
              <w:t>triju gadu periodam</w:t>
            </w:r>
            <w:r>
              <w:t>. Vienlaicīgi 5.6.apakšpunktā arī ir precizēta redakcija “valsts budžeta prognozes” uz “vispārējās valdības budžeta prognozes”, ņemot vērā, ka Finanšu ministrija izstrādā vispārējās valdības budžeta bilances atbilstoši Fiskālās disciplīnas likumā noteiktajam, prognozēs iekļaujot visu vispārējās valdības sektoru, tai skaitā valsts pamatbudžetu, valsts speciālo (sociālās apdrošināšanas) budžetu, pašvaldību budžetu, atvasināto publisko personu budžetu, kā arī centrālās un vietējās valdības komersantu darbības rezultātus.</w:t>
            </w:r>
          </w:p>
          <w:p w14:paraId="5BBDD771" w14:textId="77777777" w:rsidR="00605B9E" w:rsidRDefault="00605B9E" w:rsidP="0095667D">
            <w:pPr>
              <w:pStyle w:val="NoSpacing"/>
              <w:jc w:val="both"/>
            </w:pPr>
          </w:p>
          <w:p w14:paraId="4A4A6F76" w14:textId="77777777" w:rsidR="0095667D" w:rsidRPr="0095667D" w:rsidRDefault="0095667D" w:rsidP="0095667D">
            <w:pPr>
              <w:pStyle w:val="NoSpacing"/>
              <w:jc w:val="both"/>
            </w:pPr>
            <w:r w:rsidRPr="0095667D">
              <w:t>Atbilstoši Revīzijas pakalpojumu likuma 37.</w:t>
            </w:r>
            <w:r w:rsidRPr="0095667D">
              <w:rPr>
                <w:vertAlign w:val="superscript"/>
              </w:rPr>
              <w:t>5</w:t>
            </w:r>
            <w:r w:rsidRPr="0095667D">
              <w:t xml:space="preserve"> panta pirmajai daļai Finanšu ministrija saskaņā ar Eiropas Parlamenta un Padomes  2014.gada 16.aprīļa regulu (ES) Nr.537/2014 par īpašām prasībām attiecībā uz obligātajām revīzijām sabiedriskas nozīmes struktūrās un ar ko atceļ Komisijas Lēmumu 2005/909/EK ir kompetentā iestāde, kura ir atbildīga par minētajā regulā paredzēto uzdevumu izpildi un šīs regulas noteikumu piemērošanas nodrošināšanu, izņemot to minētajā regulā paredzēto uzdevumu izpildi un noteikumu piemērošanas nodrošināšanu, par kuru izpildi un piemērošanas nodrošināšanu par kompetento iestādi likuma 37.</w:t>
            </w:r>
            <w:r w:rsidRPr="00815E47">
              <w:rPr>
                <w:vertAlign w:val="superscript"/>
              </w:rPr>
              <w:t>5</w:t>
            </w:r>
            <w:r w:rsidRPr="0095667D">
              <w:t xml:space="preserve"> panta otrajā daļā ir noteikta Finanšu un kapitāla tirgus komisija.</w:t>
            </w:r>
            <w:r w:rsidR="00815E47">
              <w:t xml:space="preserve"> Lai fiksētu šo ministrijas kompetenci, ministrijas nolikums ir papildināts ar </w:t>
            </w:r>
            <w:r w:rsidRPr="0095667D">
              <w:t>5.7.</w:t>
            </w:r>
            <w:r w:rsidRPr="00815E47">
              <w:rPr>
                <w:vertAlign w:val="superscript"/>
              </w:rPr>
              <w:t>1</w:t>
            </w:r>
            <w:r w:rsidRPr="0095667D">
              <w:t xml:space="preserve">  </w:t>
            </w:r>
            <w:r w:rsidR="00815E47">
              <w:t>apakš</w:t>
            </w:r>
            <w:r w:rsidRPr="0095667D">
              <w:t>punktu.</w:t>
            </w:r>
          </w:p>
          <w:p w14:paraId="24A2ED8B" w14:textId="777F65FC" w:rsidR="0095667D" w:rsidRDefault="0095667D" w:rsidP="0095667D">
            <w:pPr>
              <w:pStyle w:val="NoSpacing"/>
              <w:jc w:val="both"/>
            </w:pPr>
          </w:p>
          <w:p w14:paraId="30F970B0" w14:textId="77777777" w:rsidR="00727E37" w:rsidRPr="007566B1" w:rsidRDefault="008E7339" w:rsidP="00727E37">
            <w:pPr>
              <w:pStyle w:val="NoSpacing"/>
              <w:jc w:val="both"/>
            </w:pPr>
            <w:r w:rsidRPr="007566B1">
              <w:t>Finanšu ministrija pilda revīzijas iestādes funkcijas</w:t>
            </w:r>
            <w:r>
              <w:t>, revidējot finanšu līdzekļus, kas tiek piešķirti no</w:t>
            </w:r>
            <w:r w:rsidRPr="007566B1">
              <w:t xml:space="preserve"> dažādu Eiropas Savienības politiku </w:t>
            </w:r>
            <w:r>
              <w:t>finansējuma avotiem</w:t>
            </w:r>
            <w:r w:rsidRPr="007566B1">
              <w:t xml:space="preserve"> (Eiropas Sociālais fonds, </w:t>
            </w:r>
            <w:r>
              <w:t xml:space="preserve">tai skaitā Jauniešu nodarbinātības iniciatīva, </w:t>
            </w:r>
            <w:r w:rsidRPr="007566B1">
              <w:t xml:space="preserve">Eiropas Reģionālās attīstības fonds, Kohēzijas fonds, Taisnīgas pārkārtošanās fonds, </w:t>
            </w:r>
            <w:r w:rsidR="00727E37" w:rsidRPr="007566B1">
              <w:t>Eiropas Atbalsta fond</w:t>
            </w:r>
            <w:r w:rsidR="00727E37">
              <w:t>s</w:t>
            </w:r>
            <w:r w:rsidR="00727E37" w:rsidRPr="007566B1">
              <w:t xml:space="preserve"> vistrūcīgākajām personām</w:t>
            </w:r>
            <w:r w:rsidR="00727E37">
              <w:t xml:space="preserve"> (</w:t>
            </w:r>
            <w:r w:rsidR="00727E37" w:rsidRPr="007566B1">
              <w:t>2021.-2027.</w:t>
            </w:r>
            <w:r w:rsidR="00727E37">
              <w:t xml:space="preserve">gada periodā: </w:t>
            </w:r>
            <w:r w:rsidR="00727E37" w:rsidRPr="007566B1">
              <w:t>Eiropas Sociālais fonds</w:t>
            </w:r>
            <w:r w:rsidR="00727E37">
              <w:t xml:space="preserve"> plus)</w:t>
            </w:r>
            <w:r w:rsidR="00727E37" w:rsidRPr="007566B1">
              <w:t xml:space="preserve">, </w:t>
            </w:r>
            <w:r w:rsidR="00727E37">
              <w:t xml:space="preserve">Iekšējās drošības fonds, </w:t>
            </w:r>
            <w:r w:rsidR="00727E37" w:rsidRPr="007566B1">
              <w:t xml:space="preserve"> Patvēruma, migrācijas un integrācijas fond</w:t>
            </w:r>
            <w:r w:rsidR="00727E37">
              <w:t>s</w:t>
            </w:r>
            <w:r w:rsidR="00727E37" w:rsidRPr="007566B1">
              <w:t xml:space="preserve"> (2021.-2027.</w:t>
            </w:r>
            <w:r w:rsidR="00727E37">
              <w:t>gada periodā:</w:t>
            </w:r>
            <w:r w:rsidR="00727E37" w:rsidRPr="007566B1">
              <w:t xml:space="preserve">  Patvēruma un migrācijas fondu, Iekšējās drošības fondu un Robežu pārvaldības un vīzu instrumentu) </w:t>
            </w:r>
            <w:r w:rsidR="00727E37">
              <w:t>un citā</w:t>
            </w:r>
            <w:r w:rsidR="00727E37" w:rsidRPr="007566B1">
              <w:t xml:space="preserve">m ārvalstu finanšu palīdzības programmām (Eiropas Ekonomiskās zonas un Norvēģijas finanšu instrumenta) saskaņā ar attiecīgo programmu funkciju dalījumu nacionālā līmenī. Līdz ar to ir nepieciešams precizēt nolikuma </w:t>
            </w:r>
            <w:r w:rsidR="00727E37" w:rsidRPr="00727E37">
              <w:t>5.14.apakšpunktu un 12.</w:t>
            </w:r>
            <w:r w:rsidR="00727E37" w:rsidRPr="00727E37">
              <w:rPr>
                <w:vertAlign w:val="superscript"/>
              </w:rPr>
              <w:t xml:space="preserve">1 </w:t>
            </w:r>
            <w:r w:rsidR="00727E37" w:rsidRPr="00727E37">
              <w:t>punktu.</w:t>
            </w:r>
          </w:p>
          <w:p w14:paraId="44E11C38" w14:textId="0223C2EB" w:rsidR="008E7339" w:rsidRPr="007566B1" w:rsidRDefault="008E7339" w:rsidP="008E7339">
            <w:pPr>
              <w:pStyle w:val="NoSpacing"/>
              <w:jc w:val="both"/>
            </w:pPr>
          </w:p>
          <w:p w14:paraId="765FDCB8" w14:textId="77777777" w:rsidR="008E7339" w:rsidRPr="0095667D" w:rsidRDefault="008E7339" w:rsidP="0095667D">
            <w:pPr>
              <w:pStyle w:val="NoSpacing"/>
              <w:jc w:val="both"/>
            </w:pPr>
          </w:p>
          <w:p w14:paraId="197FA1A6" w14:textId="77777777" w:rsidR="0095667D" w:rsidRPr="0095667D" w:rsidRDefault="0095667D" w:rsidP="0095667D">
            <w:pPr>
              <w:pStyle w:val="NoSpacing"/>
              <w:jc w:val="both"/>
            </w:pPr>
            <w:r w:rsidRPr="0095667D">
              <w:t>Ar grozījumiem Noziedzīgi iegūtu līdzekļu legalizācijas un terorisma finansēšanas novēršanas likumā ir precizēta kompetence noziedzīgi iegūtu līdzekļu legalizācijas un terorisma finansēšanas novēršanas politikas izstrādes jomā</w:t>
            </w:r>
            <w:r w:rsidR="00815E47">
              <w:t xml:space="preserve">, šo funkciju daļēji nodot </w:t>
            </w:r>
            <w:proofErr w:type="spellStart"/>
            <w:r w:rsidR="00815E47">
              <w:t>Iekšlietu</w:t>
            </w:r>
            <w:proofErr w:type="spellEnd"/>
            <w:r w:rsidR="00815E47">
              <w:t xml:space="preserve"> ministrijai</w:t>
            </w:r>
            <w:r w:rsidRPr="0095667D">
              <w:t xml:space="preserve">, tāpēc </w:t>
            </w:r>
            <w:r w:rsidRPr="0095667D">
              <w:lastRenderedPageBreak/>
              <w:t>attiecīgi ir nepieciešams precizēt nolikuma 5.18.</w:t>
            </w:r>
            <w:r w:rsidRPr="00815E47">
              <w:rPr>
                <w:vertAlign w:val="superscript"/>
              </w:rPr>
              <w:t>1</w:t>
            </w:r>
            <w:r w:rsidRPr="0095667D">
              <w:t xml:space="preserve"> apakšpunktu.</w:t>
            </w:r>
          </w:p>
          <w:p w14:paraId="506920F7" w14:textId="2F7C27F6" w:rsidR="0095667D" w:rsidRPr="0095667D" w:rsidRDefault="008E7339" w:rsidP="0095667D">
            <w:pPr>
              <w:pStyle w:val="NoSpacing"/>
              <w:jc w:val="both"/>
            </w:pPr>
            <w:r w:rsidRPr="0095667D">
              <w:t>Eiropas Birojam krāpšanas apkar</w:t>
            </w:r>
            <w:r>
              <w:t xml:space="preserve">ošanai sniedzamā atbalsta likumā </w:t>
            </w:r>
            <w:r w:rsidR="0095667D" w:rsidRPr="0095667D">
              <w:t>ir paredzēts, ka Finanšu ministrija pilda kompetentās iestādes funkcijas, tāpēc nolikums tiek papildināts ar jaunu 5.21.</w:t>
            </w:r>
            <w:r w:rsidR="00815E47">
              <w:t xml:space="preserve"> </w:t>
            </w:r>
            <w:r w:rsidR="0095667D" w:rsidRPr="0095667D">
              <w:t>apakšpunktu.</w:t>
            </w:r>
          </w:p>
          <w:p w14:paraId="6C227E64" w14:textId="77777777" w:rsidR="0095667D" w:rsidRPr="0095667D" w:rsidRDefault="0095667D" w:rsidP="00815E47">
            <w:pPr>
              <w:pStyle w:val="NoSpacing"/>
              <w:jc w:val="both"/>
            </w:pPr>
            <w:r w:rsidRPr="0095667D">
              <w:t>Saskaņā ar likumu “Grozījumi Valsts pārvaldes iestāžu radīto zaudējumu atlīdzināšanas likumā” ir mainīta zaudējumu atlīdzināšanas kārtība</w:t>
            </w:r>
            <w:r w:rsidR="00815E47">
              <w:t xml:space="preserve">, to decentralizējot, tāpēc tiek </w:t>
            </w:r>
            <w:r w:rsidRPr="0095667D">
              <w:t>svītrot</w:t>
            </w:r>
            <w:r w:rsidR="00815E47">
              <w:t>s nolikuma</w:t>
            </w:r>
            <w:r w:rsidRPr="0095667D">
              <w:t xml:space="preserve"> 5.20.</w:t>
            </w:r>
            <w:r w:rsidR="00815E47">
              <w:t xml:space="preserve"> apakšpunkts.</w:t>
            </w:r>
          </w:p>
        </w:tc>
      </w:tr>
      <w:tr w:rsidR="0095667D" w14:paraId="5BE3F582" w14:textId="77777777" w:rsidTr="0095667D">
        <w:tc>
          <w:tcPr>
            <w:tcW w:w="0" w:type="auto"/>
          </w:tcPr>
          <w:p w14:paraId="7A927B60" w14:textId="77777777" w:rsidR="0095667D" w:rsidRPr="0095667D" w:rsidRDefault="0095667D" w:rsidP="0095667D">
            <w:pPr>
              <w:pStyle w:val="NoSpacing"/>
            </w:pPr>
            <w:r w:rsidRPr="0095667D">
              <w:lastRenderedPageBreak/>
              <w:t>3.</w:t>
            </w:r>
          </w:p>
        </w:tc>
        <w:tc>
          <w:tcPr>
            <w:tcW w:w="0" w:type="auto"/>
          </w:tcPr>
          <w:p w14:paraId="6094118E" w14:textId="77777777" w:rsidR="0095667D" w:rsidRPr="0095667D" w:rsidRDefault="0095667D" w:rsidP="0095667D">
            <w:pPr>
              <w:pStyle w:val="NoSpacing"/>
            </w:pPr>
            <w:r w:rsidRPr="0095667D">
              <w:t>Projekta izstrādē iesaistītās institūcijas un publiskas personas kapitālsabiedrības</w:t>
            </w:r>
          </w:p>
        </w:tc>
        <w:tc>
          <w:tcPr>
            <w:tcW w:w="0" w:type="auto"/>
          </w:tcPr>
          <w:p w14:paraId="2B7252EC" w14:textId="77777777" w:rsidR="0095667D" w:rsidRPr="0095667D" w:rsidRDefault="00815E47" w:rsidP="0095667D">
            <w:pPr>
              <w:pStyle w:val="NoSpacing"/>
            </w:pPr>
            <w:r w:rsidRPr="0095667D">
              <w:t>Projekts šo jomu neskar</w:t>
            </w:r>
            <w:r>
              <w:t>.</w:t>
            </w:r>
          </w:p>
        </w:tc>
      </w:tr>
      <w:tr w:rsidR="0095667D" w14:paraId="7AD44A4D" w14:textId="77777777" w:rsidTr="0095667D">
        <w:tc>
          <w:tcPr>
            <w:tcW w:w="0" w:type="auto"/>
          </w:tcPr>
          <w:p w14:paraId="534E6AE5" w14:textId="77777777" w:rsidR="0095667D" w:rsidRPr="0095667D" w:rsidRDefault="0095667D" w:rsidP="0095667D">
            <w:pPr>
              <w:pStyle w:val="NoSpacing"/>
            </w:pPr>
            <w:r w:rsidRPr="0095667D">
              <w:t>4.</w:t>
            </w:r>
          </w:p>
        </w:tc>
        <w:tc>
          <w:tcPr>
            <w:tcW w:w="0" w:type="auto"/>
          </w:tcPr>
          <w:p w14:paraId="0267B7E6" w14:textId="77777777" w:rsidR="0095667D" w:rsidRPr="0095667D" w:rsidRDefault="0095667D" w:rsidP="0095667D">
            <w:pPr>
              <w:pStyle w:val="NoSpacing"/>
            </w:pPr>
            <w:r w:rsidRPr="0095667D">
              <w:t>Cita informācija</w:t>
            </w:r>
          </w:p>
        </w:tc>
        <w:tc>
          <w:tcPr>
            <w:tcW w:w="0" w:type="auto"/>
          </w:tcPr>
          <w:p w14:paraId="6006AAD3" w14:textId="77777777" w:rsidR="0095667D" w:rsidRPr="0095667D" w:rsidRDefault="0095667D" w:rsidP="0095667D">
            <w:pPr>
              <w:pStyle w:val="NoSpacing"/>
            </w:pPr>
            <w:r w:rsidRPr="0095667D">
              <w:t>Nav</w:t>
            </w:r>
          </w:p>
        </w:tc>
      </w:tr>
    </w:tbl>
    <w:p w14:paraId="3D336129" w14:textId="77777777" w:rsidR="00BD5588" w:rsidRPr="0095667D" w:rsidRDefault="00BD5588"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95667D" w14:paraId="1E35E748" w14:textId="77777777" w:rsidTr="009E0502">
        <w:trPr>
          <w:cantSplit/>
        </w:trPr>
        <w:tc>
          <w:tcPr>
            <w:tcW w:w="5000" w:type="pct"/>
            <w:gridSpan w:val="3"/>
            <w:vAlign w:val="center"/>
            <w:hideMark/>
          </w:tcPr>
          <w:p w14:paraId="77233F07" w14:textId="77777777" w:rsidR="00BD5588" w:rsidRPr="00B652F2" w:rsidRDefault="00BD5588" w:rsidP="00B652F2">
            <w:pPr>
              <w:pStyle w:val="NoSpacing"/>
              <w:jc w:val="center"/>
              <w:rPr>
                <w:b/>
              </w:rPr>
            </w:pPr>
            <w:r w:rsidRPr="00B652F2">
              <w:rPr>
                <w:b/>
              </w:rPr>
              <w:t>II. Tiesību akta projekta ietekme uz sabiedrību, tautsaimniecības attīstību un administratīvo slogu</w:t>
            </w:r>
          </w:p>
        </w:tc>
      </w:tr>
      <w:tr w:rsidR="00BD5588" w:rsidRPr="0095667D" w14:paraId="56CC7257" w14:textId="77777777" w:rsidTr="009E0502">
        <w:trPr>
          <w:cantSplit/>
        </w:trPr>
        <w:tc>
          <w:tcPr>
            <w:tcW w:w="311" w:type="pct"/>
            <w:hideMark/>
          </w:tcPr>
          <w:p w14:paraId="14F672D3" w14:textId="77777777" w:rsidR="00BD5588" w:rsidRPr="0095667D" w:rsidRDefault="00BD5588" w:rsidP="0095667D">
            <w:pPr>
              <w:pStyle w:val="NoSpacing"/>
            </w:pPr>
            <w:r w:rsidRPr="0095667D">
              <w:t>1.</w:t>
            </w:r>
          </w:p>
        </w:tc>
        <w:tc>
          <w:tcPr>
            <w:tcW w:w="1479" w:type="pct"/>
            <w:hideMark/>
          </w:tcPr>
          <w:p w14:paraId="4D9FCEEF" w14:textId="77777777" w:rsidR="00BD5588" w:rsidRPr="0095667D" w:rsidRDefault="00BD5588" w:rsidP="0095667D">
            <w:pPr>
              <w:pStyle w:val="NoSpacing"/>
            </w:pPr>
            <w:r w:rsidRPr="0095667D">
              <w:t xml:space="preserve">Sabiedrības </w:t>
            </w:r>
            <w:proofErr w:type="spellStart"/>
            <w:r w:rsidRPr="0095667D">
              <w:t>mērķgrupas</w:t>
            </w:r>
            <w:proofErr w:type="spellEnd"/>
            <w:r w:rsidRPr="0095667D">
              <w:t>, kuras tiesiskais regulējums ietekmē vai varētu ietekmēt</w:t>
            </w:r>
          </w:p>
        </w:tc>
        <w:tc>
          <w:tcPr>
            <w:tcW w:w="3210" w:type="pct"/>
            <w:hideMark/>
          </w:tcPr>
          <w:p w14:paraId="06D28F34" w14:textId="77777777" w:rsidR="00BD5588" w:rsidRPr="0095667D" w:rsidRDefault="00815E47" w:rsidP="0095667D">
            <w:pPr>
              <w:pStyle w:val="NoSpacing"/>
            </w:pPr>
            <w:r>
              <w:t>Valsts un pašvaldību iestādes</w:t>
            </w:r>
          </w:p>
        </w:tc>
      </w:tr>
      <w:tr w:rsidR="00BD5588" w:rsidRPr="0095667D" w14:paraId="3FCA5E0E" w14:textId="77777777" w:rsidTr="009E0502">
        <w:trPr>
          <w:cantSplit/>
        </w:trPr>
        <w:tc>
          <w:tcPr>
            <w:tcW w:w="311" w:type="pct"/>
            <w:hideMark/>
          </w:tcPr>
          <w:p w14:paraId="7C4B5323" w14:textId="77777777" w:rsidR="00BD5588" w:rsidRPr="0095667D" w:rsidRDefault="00BD5588" w:rsidP="0095667D">
            <w:pPr>
              <w:pStyle w:val="NoSpacing"/>
            </w:pPr>
            <w:r w:rsidRPr="0095667D">
              <w:t>2.</w:t>
            </w:r>
          </w:p>
        </w:tc>
        <w:tc>
          <w:tcPr>
            <w:tcW w:w="1479" w:type="pct"/>
            <w:hideMark/>
          </w:tcPr>
          <w:p w14:paraId="70C15641" w14:textId="77777777" w:rsidR="00BD5588" w:rsidRPr="0095667D" w:rsidRDefault="00BD5588" w:rsidP="0095667D">
            <w:pPr>
              <w:pStyle w:val="NoSpacing"/>
            </w:pPr>
            <w:r w:rsidRPr="0095667D">
              <w:t>Tiesiskā regulējuma ietekme uz tautsaimniecību un administratīvo slogu</w:t>
            </w:r>
          </w:p>
        </w:tc>
        <w:tc>
          <w:tcPr>
            <w:tcW w:w="3210" w:type="pct"/>
            <w:hideMark/>
          </w:tcPr>
          <w:p w14:paraId="4416F539" w14:textId="77777777" w:rsidR="00BD5588" w:rsidRPr="0095667D" w:rsidRDefault="00815E47" w:rsidP="0095667D">
            <w:pPr>
              <w:pStyle w:val="NoSpacing"/>
            </w:pPr>
            <w:r>
              <w:t>Administratīvais slogs nemainās.</w:t>
            </w:r>
          </w:p>
        </w:tc>
      </w:tr>
      <w:tr w:rsidR="00BD5588" w:rsidRPr="0095667D" w14:paraId="24186919" w14:textId="77777777" w:rsidTr="009E0502">
        <w:trPr>
          <w:cantSplit/>
        </w:trPr>
        <w:tc>
          <w:tcPr>
            <w:tcW w:w="311" w:type="pct"/>
            <w:hideMark/>
          </w:tcPr>
          <w:p w14:paraId="51870A77" w14:textId="77777777" w:rsidR="00BD5588" w:rsidRPr="0095667D" w:rsidRDefault="00BD5588" w:rsidP="0095667D">
            <w:pPr>
              <w:pStyle w:val="NoSpacing"/>
            </w:pPr>
            <w:r w:rsidRPr="0095667D">
              <w:t>3.</w:t>
            </w:r>
          </w:p>
        </w:tc>
        <w:tc>
          <w:tcPr>
            <w:tcW w:w="1479" w:type="pct"/>
            <w:hideMark/>
          </w:tcPr>
          <w:p w14:paraId="44A946BB" w14:textId="77777777" w:rsidR="00BD5588" w:rsidRPr="0095667D" w:rsidRDefault="00BD5588" w:rsidP="0095667D">
            <w:pPr>
              <w:pStyle w:val="NoSpacing"/>
            </w:pPr>
            <w:r w:rsidRPr="0095667D">
              <w:t>Administratīvo izmaksu monetārs novērtējums</w:t>
            </w:r>
          </w:p>
        </w:tc>
        <w:tc>
          <w:tcPr>
            <w:tcW w:w="3210" w:type="pct"/>
            <w:hideMark/>
          </w:tcPr>
          <w:p w14:paraId="2D0B430F" w14:textId="77777777" w:rsidR="00BD5588" w:rsidRPr="0095667D" w:rsidRDefault="00815E47" w:rsidP="0095667D">
            <w:pPr>
              <w:pStyle w:val="NoSpacing"/>
            </w:pPr>
            <w:r w:rsidRPr="0095667D">
              <w:t>Projekts šo jomu neskar</w:t>
            </w:r>
            <w:r>
              <w:t>.</w:t>
            </w:r>
          </w:p>
        </w:tc>
      </w:tr>
      <w:tr w:rsidR="00BD5588" w:rsidRPr="0095667D" w14:paraId="0F64FDB1" w14:textId="77777777" w:rsidTr="009E0502">
        <w:trPr>
          <w:cantSplit/>
        </w:trPr>
        <w:tc>
          <w:tcPr>
            <w:tcW w:w="311" w:type="pct"/>
            <w:hideMark/>
          </w:tcPr>
          <w:p w14:paraId="5784A4F8" w14:textId="77777777" w:rsidR="00BD5588" w:rsidRPr="0095667D" w:rsidRDefault="00BD5588" w:rsidP="0095667D">
            <w:pPr>
              <w:pStyle w:val="NoSpacing"/>
            </w:pPr>
            <w:r w:rsidRPr="0095667D">
              <w:t>4.</w:t>
            </w:r>
          </w:p>
        </w:tc>
        <w:tc>
          <w:tcPr>
            <w:tcW w:w="1479" w:type="pct"/>
            <w:hideMark/>
          </w:tcPr>
          <w:p w14:paraId="16B9A379" w14:textId="77777777" w:rsidR="00BD5588" w:rsidRPr="0095667D" w:rsidRDefault="00BD5588" w:rsidP="0095667D">
            <w:pPr>
              <w:pStyle w:val="NoSpacing"/>
            </w:pPr>
            <w:r w:rsidRPr="0095667D">
              <w:t>Atbilstības izmaksu monetārs novērtējums</w:t>
            </w:r>
          </w:p>
        </w:tc>
        <w:tc>
          <w:tcPr>
            <w:tcW w:w="3210" w:type="pct"/>
            <w:hideMark/>
          </w:tcPr>
          <w:p w14:paraId="6AC12994" w14:textId="77777777" w:rsidR="00BD5588" w:rsidRPr="0095667D" w:rsidRDefault="00815E47" w:rsidP="0095667D">
            <w:pPr>
              <w:pStyle w:val="NoSpacing"/>
            </w:pPr>
            <w:r w:rsidRPr="0095667D">
              <w:t>Projekts šo jomu neskar</w:t>
            </w:r>
            <w:r>
              <w:t>.</w:t>
            </w:r>
          </w:p>
        </w:tc>
      </w:tr>
      <w:tr w:rsidR="00BD5588" w:rsidRPr="0095667D" w14:paraId="1D0BA660" w14:textId="77777777" w:rsidTr="009E0502">
        <w:trPr>
          <w:cantSplit/>
        </w:trPr>
        <w:tc>
          <w:tcPr>
            <w:tcW w:w="311" w:type="pct"/>
            <w:hideMark/>
          </w:tcPr>
          <w:p w14:paraId="30652A7F" w14:textId="77777777" w:rsidR="00BD5588" w:rsidRPr="0095667D" w:rsidRDefault="00BD5588" w:rsidP="0095667D">
            <w:pPr>
              <w:pStyle w:val="NoSpacing"/>
            </w:pPr>
            <w:r w:rsidRPr="0095667D">
              <w:t>5.</w:t>
            </w:r>
          </w:p>
        </w:tc>
        <w:tc>
          <w:tcPr>
            <w:tcW w:w="1479" w:type="pct"/>
            <w:hideMark/>
          </w:tcPr>
          <w:p w14:paraId="341C10A5" w14:textId="77777777" w:rsidR="00BD5588" w:rsidRPr="0095667D" w:rsidRDefault="00BD5588" w:rsidP="0095667D">
            <w:pPr>
              <w:pStyle w:val="NoSpacing"/>
            </w:pPr>
            <w:r w:rsidRPr="0095667D">
              <w:t>Cita informācija</w:t>
            </w:r>
          </w:p>
        </w:tc>
        <w:tc>
          <w:tcPr>
            <w:tcW w:w="3210" w:type="pct"/>
            <w:hideMark/>
          </w:tcPr>
          <w:p w14:paraId="33B760DC" w14:textId="77777777" w:rsidR="00BD5588" w:rsidRPr="0095667D" w:rsidRDefault="00D875DC" w:rsidP="0095667D">
            <w:pPr>
              <w:pStyle w:val="NoSpacing"/>
            </w:pPr>
            <w:r w:rsidRPr="0095667D">
              <w:t>Nav</w:t>
            </w:r>
          </w:p>
        </w:tc>
      </w:tr>
    </w:tbl>
    <w:p w14:paraId="62FA6B2B" w14:textId="77777777" w:rsidR="00BD5588" w:rsidRPr="0095667D" w:rsidRDefault="00BD5588"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344"/>
      </w:tblGrid>
      <w:tr w:rsidR="00BD5588" w:rsidRPr="0095667D" w14:paraId="3CB16D97" w14:textId="77777777" w:rsidTr="00815E47">
        <w:trPr>
          <w:cantSplit/>
        </w:trPr>
        <w:tc>
          <w:tcPr>
            <w:tcW w:w="5000" w:type="pct"/>
            <w:shd w:val="clear" w:color="auto" w:fill="auto"/>
            <w:vAlign w:val="center"/>
            <w:hideMark/>
          </w:tcPr>
          <w:p w14:paraId="3BEE3699" w14:textId="77777777" w:rsidR="00BD5588" w:rsidRPr="00B652F2" w:rsidRDefault="00BD5588" w:rsidP="00B652F2">
            <w:pPr>
              <w:pStyle w:val="NoSpacing"/>
              <w:jc w:val="center"/>
              <w:rPr>
                <w:b/>
              </w:rPr>
            </w:pPr>
            <w:r w:rsidRPr="0095667D">
              <w:br w:type="page"/>
            </w:r>
            <w:r w:rsidRPr="00B652F2">
              <w:rPr>
                <w:b/>
              </w:rPr>
              <w:t>III. Tiesību akta projekta ietekme uz valsts budžetu un pašvaldību budžetiem</w:t>
            </w:r>
          </w:p>
        </w:tc>
      </w:tr>
      <w:tr w:rsidR="00D875DC" w:rsidRPr="0095667D" w14:paraId="308D00C1" w14:textId="77777777" w:rsidTr="00815E47">
        <w:trPr>
          <w:cantSplit/>
          <w:trHeight w:val="648"/>
        </w:trPr>
        <w:tc>
          <w:tcPr>
            <w:tcW w:w="5000" w:type="pct"/>
            <w:shd w:val="clear" w:color="auto" w:fill="FFFFFF"/>
            <w:vAlign w:val="center"/>
          </w:tcPr>
          <w:p w14:paraId="7DC603CE" w14:textId="77777777" w:rsidR="00D875DC" w:rsidRPr="0095667D" w:rsidRDefault="00D875DC" w:rsidP="00815E47">
            <w:pPr>
              <w:pStyle w:val="NoSpacing"/>
              <w:jc w:val="center"/>
            </w:pPr>
            <w:r w:rsidRPr="0095667D">
              <w:t>Projekts šo jomu neskar</w:t>
            </w:r>
          </w:p>
        </w:tc>
      </w:tr>
    </w:tbl>
    <w:p w14:paraId="153AD1B2" w14:textId="6BD0BE53" w:rsidR="00BD5588" w:rsidRDefault="00BD5588" w:rsidP="0095667D">
      <w:pPr>
        <w:pStyle w:val="NoSpacing"/>
      </w:pPr>
    </w:p>
    <w:tbl>
      <w:tblPr>
        <w:tblW w:w="5006"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55"/>
      </w:tblGrid>
      <w:tr w:rsidR="00041335" w:rsidRPr="00041335" w14:paraId="2FE0A1BB" w14:textId="77777777" w:rsidTr="006F081B">
        <w:tc>
          <w:tcPr>
            <w:tcW w:w="5000" w:type="pct"/>
            <w:tcBorders>
              <w:top w:val="single" w:sz="4" w:space="0" w:color="auto"/>
              <w:left w:val="single" w:sz="4" w:space="0" w:color="auto"/>
              <w:bottom w:val="single" w:sz="4" w:space="0" w:color="auto"/>
              <w:right w:val="single" w:sz="4" w:space="0" w:color="auto"/>
            </w:tcBorders>
            <w:vAlign w:val="center"/>
          </w:tcPr>
          <w:p w14:paraId="23C74CF9" w14:textId="6AF8D6D6" w:rsidR="00041335" w:rsidRPr="00041335" w:rsidRDefault="00041335" w:rsidP="006F081B">
            <w:pPr>
              <w:pStyle w:val="NoSpacing"/>
              <w:jc w:val="center"/>
              <w:rPr>
                <w:b/>
                <w:bCs/>
              </w:rPr>
            </w:pPr>
            <w:r w:rsidRPr="00041335">
              <w:rPr>
                <w:b/>
                <w:bCs/>
              </w:rPr>
              <w:t>IV. Tiesību akta projekta ietekme uz spēkā esošo tiesību normu sistēmu</w:t>
            </w:r>
          </w:p>
        </w:tc>
      </w:tr>
      <w:tr w:rsidR="00041335" w:rsidRPr="00041335" w14:paraId="18307FE8" w14:textId="77777777" w:rsidTr="006F081B">
        <w:tc>
          <w:tcPr>
            <w:tcW w:w="5000" w:type="pct"/>
            <w:tcBorders>
              <w:top w:val="single" w:sz="4" w:space="0" w:color="auto"/>
              <w:left w:val="single" w:sz="4" w:space="0" w:color="auto"/>
              <w:bottom w:val="outset" w:sz="6" w:space="0" w:color="000000"/>
              <w:right w:val="single" w:sz="4" w:space="0" w:color="auto"/>
            </w:tcBorders>
            <w:vAlign w:val="center"/>
          </w:tcPr>
          <w:p w14:paraId="57A96264" w14:textId="77777777" w:rsidR="00041335" w:rsidRPr="00041335" w:rsidRDefault="00041335" w:rsidP="006F081B">
            <w:pPr>
              <w:pStyle w:val="NoSpacing"/>
              <w:jc w:val="center"/>
              <w:rPr>
                <w:bCs/>
              </w:rPr>
            </w:pPr>
            <w:r w:rsidRPr="00041335">
              <w:rPr>
                <w:bCs/>
              </w:rPr>
              <w:t>Projekts šo jomu neskar.</w:t>
            </w:r>
          </w:p>
        </w:tc>
      </w:tr>
    </w:tbl>
    <w:p w14:paraId="42225456" w14:textId="388B68E5" w:rsidR="00041335" w:rsidRDefault="00041335" w:rsidP="0095667D">
      <w:pPr>
        <w:pStyle w:val="NoSpacing"/>
      </w:pPr>
    </w:p>
    <w:p w14:paraId="5743DCDA" w14:textId="77777777" w:rsidR="00041335" w:rsidRPr="0095667D" w:rsidRDefault="00041335"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44"/>
      </w:tblGrid>
      <w:tr w:rsidR="00BD5588" w:rsidRPr="0095667D" w14:paraId="563AF9D6" w14:textId="77777777" w:rsidTr="009E0502">
        <w:trPr>
          <w:cantSplit/>
        </w:trPr>
        <w:tc>
          <w:tcPr>
            <w:tcW w:w="5000" w:type="pct"/>
            <w:vAlign w:val="center"/>
            <w:hideMark/>
          </w:tcPr>
          <w:p w14:paraId="0C8B474D" w14:textId="77777777" w:rsidR="00BD5588" w:rsidRPr="00B652F2" w:rsidRDefault="00BD5588" w:rsidP="00B652F2">
            <w:pPr>
              <w:pStyle w:val="NoSpacing"/>
              <w:jc w:val="center"/>
              <w:rPr>
                <w:b/>
              </w:rPr>
            </w:pPr>
            <w:r w:rsidRPr="00B652F2">
              <w:rPr>
                <w:b/>
              </w:rPr>
              <w:t>V. Tiesību akta projekta atbilstība Latvijas Republikas starptautiskajām saistībām</w:t>
            </w:r>
          </w:p>
        </w:tc>
      </w:tr>
      <w:tr w:rsidR="00041335" w:rsidRPr="0095667D" w14:paraId="69A5E010" w14:textId="77777777" w:rsidTr="009E0502">
        <w:trPr>
          <w:cantSplit/>
        </w:trPr>
        <w:tc>
          <w:tcPr>
            <w:tcW w:w="5000" w:type="pct"/>
            <w:vAlign w:val="center"/>
          </w:tcPr>
          <w:p w14:paraId="7D98CAB8" w14:textId="30760E62" w:rsidR="00041335" w:rsidRPr="00B652F2" w:rsidRDefault="00041335" w:rsidP="00B652F2">
            <w:pPr>
              <w:pStyle w:val="NoSpacing"/>
              <w:jc w:val="center"/>
              <w:rPr>
                <w:b/>
              </w:rPr>
            </w:pPr>
            <w:r w:rsidRPr="0095667D">
              <w:t>Projekts šo jomu neskar</w:t>
            </w:r>
          </w:p>
        </w:tc>
      </w:tr>
    </w:tbl>
    <w:p w14:paraId="15E02870" w14:textId="77777777" w:rsidR="00BD5588" w:rsidRPr="0095667D" w:rsidRDefault="00BD5588"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0"/>
        <w:gridCol w:w="1559"/>
        <w:gridCol w:w="7365"/>
      </w:tblGrid>
      <w:tr w:rsidR="00BD5588" w:rsidRPr="0095667D" w14:paraId="75B46EAA" w14:textId="77777777" w:rsidTr="006F081B">
        <w:trPr>
          <w:cantSplit/>
        </w:trPr>
        <w:tc>
          <w:tcPr>
            <w:tcW w:w="5000" w:type="pct"/>
            <w:gridSpan w:val="3"/>
            <w:vAlign w:val="center"/>
            <w:hideMark/>
          </w:tcPr>
          <w:p w14:paraId="378EA09D" w14:textId="77777777" w:rsidR="00BD5588" w:rsidRPr="00B652F2" w:rsidRDefault="00BD5588" w:rsidP="00B652F2">
            <w:pPr>
              <w:pStyle w:val="NoSpacing"/>
              <w:jc w:val="center"/>
              <w:rPr>
                <w:b/>
              </w:rPr>
            </w:pPr>
            <w:r w:rsidRPr="00B652F2">
              <w:rPr>
                <w:b/>
              </w:rPr>
              <w:t>VI. Sabiedrības līdzdalība un komunikācijas aktivitātes</w:t>
            </w:r>
          </w:p>
        </w:tc>
      </w:tr>
      <w:tr w:rsidR="00B652F2" w:rsidRPr="0095667D" w14:paraId="0825A0CD" w14:textId="77777777" w:rsidTr="006F081B">
        <w:trPr>
          <w:cantSplit/>
        </w:trPr>
        <w:tc>
          <w:tcPr>
            <w:tcW w:w="225" w:type="pct"/>
            <w:hideMark/>
          </w:tcPr>
          <w:p w14:paraId="2606627A" w14:textId="77777777" w:rsidR="00B652F2" w:rsidRPr="0095667D" w:rsidRDefault="00B652F2" w:rsidP="00B652F2">
            <w:pPr>
              <w:pStyle w:val="NoSpacing"/>
            </w:pPr>
            <w:r w:rsidRPr="0095667D">
              <w:t>1.</w:t>
            </w:r>
          </w:p>
        </w:tc>
        <w:tc>
          <w:tcPr>
            <w:tcW w:w="834" w:type="pct"/>
            <w:hideMark/>
          </w:tcPr>
          <w:p w14:paraId="5DFC9964" w14:textId="77777777" w:rsidR="00B652F2" w:rsidRPr="0095667D" w:rsidRDefault="00B652F2" w:rsidP="00B652F2">
            <w:pPr>
              <w:pStyle w:val="NoSpacing"/>
            </w:pPr>
            <w:r w:rsidRPr="0095667D">
              <w:t>Plānotās sabiedrības līdzdalības un komunikācijas aktivitātes saistībā ar projektu</w:t>
            </w:r>
          </w:p>
        </w:tc>
        <w:tc>
          <w:tcPr>
            <w:tcW w:w="3940" w:type="pct"/>
            <w:hideMark/>
          </w:tcPr>
          <w:p w14:paraId="3E957E93" w14:textId="13D83439" w:rsidR="00B652F2" w:rsidRPr="0095667D" w:rsidRDefault="00B652F2" w:rsidP="00B652F2">
            <w:pPr>
              <w:pStyle w:val="NoSpacing"/>
              <w:jc w:val="both"/>
            </w:pPr>
            <w:r>
              <w:t>Informācija par projekta izstrādi ir publicēta Finanšu ministrijas tīmekļvietnē sadaļā “Sabiedrības līdzdalība” – “Tiesību aktu projekti” – “</w:t>
            </w:r>
            <w:r w:rsidR="00D86FFC">
              <w:t>Valsts budžeta</w:t>
            </w:r>
            <w:r w:rsidR="00D86FFC">
              <w:t xml:space="preserve"> </w:t>
            </w:r>
            <w:r>
              <w:t>politika”. L</w:t>
            </w:r>
            <w:r>
              <w:rPr>
                <w:spacing w:val="-2"/>
              </w:rPr>
              <w:t xml:space="preserve">īdz ar to sabiedrības pārstāvji varēja līdzdarboties projekta izstrādē, </w:t>
            </w:r>
            <w:proofErr w:type="spellStart"/>
            <w:r>
              <w:rPr>
                <w:spacing w:val="-2"/>
              </w:rPr>
              <w:t>rakstveidā</w:t>
            </w:r>
            <w:proofErr w:type="spellEnd"/>
            <w:r>
              <w:rPr>
                <w:spacing w:val="-2"/>
              </w:rPr>
              <w:t xml:space="preserve"> sniedzot viedokļus par projektu.</w:t>
            </w:r>
            <w:r>
              <w:t xml:space="preserve"> </w:t>
            </w:r>
            <w:r>
              <w:rPr>
                <w:spacing w:val="-2"/>
              </w:rPr>
              <w:t>Tāpat sabiedrības pārstāvji varēs sniegt viedokļus par projektu pēc tā izsludināšanas Valsts sekretāru sanāksmē.</w:t>
            </w:r>
          </w:p>
        </w:tc>
      </w:tr>
      <w:tr w:rsidR="00B652F2" w:rsidRPr="0095667D" w14:paraId="0A1370BC" w14:textId="77777777" w:rsidTr="006F081B">
        <w:trPr>
          <w:cantSplit/>
        </w:trPr>
        <w:tc>
          <w:tcPr>
            <w:tcW w:w="225" w:type="pct"/>
            <w:hideMark/>
          </w:tcPr>
          <w:p w14:paraId="26969252" w14:textId="77777777" w:rsidR="00B652F2" w:rsidRPr="0095667D" w:rsidRDefault="00B652F2" w:rsidP="00B652F2">
            <w:pPr>
              <w:pStyle w:val="NoSpacing"/>
            </w:pPr>
            <w:r w:rsidRPr="0095667D">
              <w:lastRenderedPageBreak/>
              <w:t>2.</w:t>
            </w:r>
          </w:p>
        </w:tc>
        <w:tc>
          <w:tcPr>
            <w:tcW w:w="834" w:type="pct"/>
            <w:hideMark/>
          </w:tcPr>
          <w:p w14:paraId="79780FF4" w14:textId="77777777" w:rsidR="00B652F2" w:rsidRPr="0095667D" w:rsidRDefault="00B652F2" w:rsidP="00B652F2">
            <w:pPr>
              <w:pStyle w:val="NoSpacing"/>
            </w:pPr>
            <w:r w:rsidRPr="0095667D">
              <w:t>Sabiedrības līdzdalība projekta izstrādē</w:t>
            </w:r>
          </w:p>
        </w:tc>
        <w:tc>
          <w:tcPr>
            <w:tcW w:w="3940" w:type="pct"/>
            <w:hideMark/>
          </w:tcPr>
          <w:p w14:paraId="5F629ADB" w14:textId="69AF60B0" w:rsidR="00B652F2" w:rsidRDefault="00B652F2" w:rsidP="00B652F2">
            <w:pPr>
              <w:pStyle w:val="NormalWeb"/>
              <w:spacing w:line="252" w:lineRule="auto"/>
              <w:jc w:val="both"/>
              <w:rPr>
                <w:rFonts w:ascii="Calibri" w:hAnsi="Calibri" w:cs="Calibri"/>
                <w:sz w:val="22"/>
                <w:szCs w:val="22"/>
              </w:rPr>
            </w:pPr>
            <w:r>
              <w:rPr>
                <w:spacing w:val="-2"/>
              </w:rPr>
              <w:t xml:space="preserve">Sabiedrības pārstāvji varēja līdzdarboties projekta izstrādē, </w:t>
            </w:r>
            <w:proofErr w:type="spellStart"/>
            <w:r>
              <w:rPr>
                <w:spacing w:val="-2"/>
              </w:rPr>
              <w:t>rakstveidā</w:t>
            </w:r>
            <w:proofErr w:type="spellEnd"/>
            <w:r>
              <w:rPr>
                <w:spacing w:val="-2"/>
              </w:rPr>
              <w:t xml:space="preserve"> sniedzot viedokļus par projektu, kas </w:t>
            </w:r>
            <w:r w:rsidR="006F081B">
              <w:t>2020. gada 16. novembrī</w:t>
            </w:r>
            <w:r>
              <w:t xml:space="preserve"> publicēts Finanšu ministrijas tīmekļvietnē sadaļā “Sabiedrības līdzdalība” – “Tiesību aktu projekti” – “</w:t>
            </w:r>
            <w:r w:rsidR="006F081B">
              <w:t xml:space="preserve">Valsts budžeta </w:t>
            </w:r>
            <w:r>
              <w:t>politika”, adrese:</w:t>
            </w:r>
          </w:p>
          <w:p w14:paraId="0E08FE60" w14:textId="6D5BFCE5" w:rsidR="00B652F2" w:rsidRPr="0095667D" w:rsidRDefault="00957752" w:rsidP="00B652F2">
            <w:pPr>
              <w:pStyle w:val="NoSpacing"/>
              <w:jc w:val="both"/>
            </w:pPr>
            <w:hyperlink r:id="rId9" w:anchor="project688" w:history="1">
              <w:r w:rsidR="006F081B" w:rsidRPr="00704239">
                <w:rPr>
                  <w:rStyle w:val="Hyperlink"/>
                </w:rPr>
                <w:t>https://www.fm.gov.lv/lv/sabiedribas_lidzdaliba/tiesibu_aktu_projekti/valsts_budzeta_politika#project688</w:t>
              </w:r>
            </w:hyperlink>
            <w:r w:rsidR="006F081B">
              <w:t xml:space="preserve"> </w:t>
            </w:r>
            <w:r w:rsidR="00B652F2">
              <w:t xml:space="preserve">un Ministru kabineta tīmekļvietnē sadaļā “Valsts kanceleja” – “Sabiedrības līdzdalība”, adrese: </w:t>
            </w:r>
            <w:hyperlink r:id="rId10" w:history="1">
              <w:r w:rsidR="00B652F2">
                <w:rPr>
                  <w:rStyle w:val="Hyperlink"/>
                </w:rPr>
                <w:t>https://mk.gov.lv/content/ministru-kabineta-diskusiju-dokumenti</w:t>
              </w:r>
            </w:hyperlink>
            <w:r w:rsidR="00B652F2">
              <w:rPr>
                <w:color w:val="0070C0"/>
                <w:u w:val="single"/>
              </w:rPr>
              <w:t>.</w:t>
            </w:r>
          </w:p>
        </w:tc>
      </w:tr>
      <w:tr w:rsidR="00B652F2" w:rsidRPr="0095667D" w14:paraId="576FBE8A" w14:textId="77777777" w:rsidTr="006F081B">
        <w:trPr>
          <w:cantSplit/>
        </w:trPr>
        <w:tc>
          <w:tcPr>
            <w:tcW w:w="225" w:type="pct"/>
            <w:hideMark/>
          </w:tcPr>
          <w:p w14:paraId="26D89731" w14:textId="77777777" w:rsidR="00B652F2" w:rsidRPr="0095667D" w:rsidRDefault="00B652F2" w:rsidP="00B652F2">
            <w:pPr>
              <w:pStyle w:val="NoSpacing"/>
            </w:pPr>
            <w:r w:rsidRPr="0095667D">
              <w:t>3.</w:t>
            </w:r>
          </w:p>
        </w:tc>
        <w:tc>
          <w:tcPr>
            <w:tcW w:w="834" w:type="pct"/>
            <w:hideMark/>
          </w:tcPr>
          <w:p w14:paraId="5E2D03CC" w14:textId="77777777" w:rsidR="00B652F2" w:rsidRPr="0095667D" w:rsidRDefault="00B652F2" w:rsidP="00B652F2">
            <w:pPr>
              <w:pStyle w:val="NoSpacing"/>
            </w:pPr>
            <w:r w:rsidRPr="0095667D">
              <w:t>Sabiedrības līdzdalības rezultāti</w:t>
            </w:r>
          </w:p>
        </w:tc>
        <w:tc>
          <w:tcPr>
            <w:tcW w:w="3940" w:type="pct"/>
            <w:hideMark/>
          </w:tcPr>
          <w:p w14:paraId="7FF79082" w14:textId="691C0AD0" w:rsidR="00B652F2" w:rsidRPr="0095667D" w:rsidRDefault="00B652F2" w:rsidP="00B652F2">
            <w:pPr>
              <w:pStyle w:val="NoSpacing"/>
            </w:pPr>
            <w:r>
              <w:t xml:space="preserve">Sabiedrības pārstāvju iebildumi un priekšlikumi nav saņemti. </w:t>
            </w:r>
          </w:p>
        </w:tc>
      </w:tr>
      <w:tr w:rsidR="00BD5588" w:rsidRPr="0095667D" w14:paraId="017401FC" w14:textId="77777777" w:rsidTr="006F081B">
        <w:trPr>
          <w:cantSplit/>
        </w:trPr>
        <w:tc>
          <w:tcPr>
            <w:tcW w:w="225" w:type="pct"/>
            <w:hideMark/>
          </w:tcPr>
          <w:p w14:paraId="74EDA2F3" w14:textId="77777777" w:rsidR="00BD5588" w:rsidRPr="0095667D" w:rsidRDefault="00BD5588" w:rsidP="0095667D">
            <w:pPr>
              <w:pStyle w:val="NoSpacing"/>
            </w:pPr>
            <w:r w:rsidRPr="0095667D">
              <w:t>4.</w:t>
            </w:r>
          </w:p>
        </w:tc>
        <w:tc>
          <w:tcPr>
            <w:tcW w:w="834" w:type="pct"/>
            <w:hideMark/>
          </w:tcPr>
          <w:p w14:paraId="5B9136EB" w14:textId="77777777" w:rsidR="00BD5588" w:rsidRPr="0095667D" w:rsidRDefault="00BD5588" w:rsidP="0095667D">
            <w:pPr>
              <w:pStyle w:val="NoSpacing"/>
            </w:pPr>
            <w:r w:rsidRPr="0095667D">
              <w:t>Cita informācija</w:t>
            </w:r>
          </w:p>
        </w:tc>
        <w:tc>
          <w:tcPr>
            <w:tcW w:w="3940" w:type="pct"/>
            <w:hideMark/>
          </w:tcPr>
          <w:p w14:paraId="6CF4ABE9" w14:textId="77777777" w:rsidR="00BD5588" w:rsidRPr="0095667D" w:rsidRDefault="00D875DC" w:rsidP="0095667D">
            <w:pPr>
              <w:pStyle w:val="NoSpacing"/>
            </w:pPr>
            <w:r w:rsidRPr="0095667D">
              <w:t>Nav</w:t>
            </w:r>
          </w:p>
        </w:tc>
      </w:tr>
    </w:tbl>
    <w:p w14:paraId="5A7CC93B" w14:textId="77777777" w:rsidR="00BD5588" w:rsidRPr="0095667D" w:rsidRDefault="00BD5588" w:rsidP="0095667D">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95667D" w14:paraId="513DEECB" w14:textId="77777777" w:rsidTr="009E0502">
        <w:trPr>
          <w:cantSplit/>
        </w:trPr>
        <w:tc>
          <w:tcPr>
            <w:tcW w:w="5000" w:type="pct"/>
            <w:gridSpan w:val="3"/>
            <w:vAlign w:val="center"/>
            <w:hideMark/>
          </w:tcPr>
          <w:p w14:paraId="0040CE7B" w14:textId="77777777" w:rsidR="00BD5588" w:rsidRPr="00B652F2" w:rsidRDefault="00BD5588" w:rsidP="00B652F2">
            <w:pPr>
              <w:pStyle w:val="NoSpacing"/>
              <w:jc w:val="center"/>
              <w:rPr>
                <w:b/>
              </w:rPr>
            </w:pPr>
            <w:r w:rsidRPr="00B652F2">
              <w:rPr>
                <w:b/>
              </w:rPr>
              <w:t>VII. Tiesību akta projekta izpildes nodrošināšana un tās ietekme uz institūcijām</w:t>
            </w:r>
          </w:p>
        </w:tc>
      </w:tr>
      <w:tr w:rsidR="00BD5588" w:rsidRPr="0095667D" w14:paraId="4CAAA921" w14:textId="77777777" w:rsidTr="009E0502">
        <w:trPr>
          <w:cantSplit/>
        </w:trPr>
        <w:tc>
          <w:tcPr>
            <w:tcW w:w="311" w:type="pct"/>
            <w:hideMark/>
          </w:tcPr>
          <w:p w14:paraId="4FFEBEBC" w14:textId="77777777" w:rsidR="00BD5588" w:rsidRPr="0095667D" w:rsidRDefault="00BD5588" w:rsidP="0095667D">
            <w:pPr>
              <w:pStyle w:val="NoSpacing"/>
            </w:pPr>
            <w:r w:rsidRPr="0095667D">
              <w:t>1.</w:t>
            </w:r>
          </w:p>
        </w:tc>
        <w:tc>
          <w:tcPr>
            <w:tcW w:w="1479" w:type="pct"/>
            <w:hideMark/>
          </w:tcPr>
          <w:p w14:paraId="7AE8041E" w14:textId="77777777" w:rsidR="00BD5588" w:rsidRPr="0095667D" w:rsidRDefault="00BD5588" w:rsidP="0095667D">
            <w:pPr>
              <w:pStyle w:val="NoSpacing"/>
            </w:pPr>
            <w:r w:rsidRPr="0095667D">
              <w:t>Projekta izpildē iesaistītās institūcijas</w:t>
            </w:r>
          </w:p>
        </w:tc>
        <w:tc>
          <w:tcPr>
            <w:tcW w:w="3210" w:type="pct"/>
            <w:hideMark/>
          </w:tcPr>
          <w:p w14:paraId="31F2DA3A" w14:textId="77777777" w:rsidR="00BD5588" w:rsidRPr="0095667D" w:rsidRDefault="00F244DC" w:rsidP="0095667D">
            <w:pPr>
              <w:pStyle w:val="NoSpacing"/>
            </w:pPr>
            <w:r>
              <w:t>Finanšu ministrija</w:t>
            </w:r>
          </w:p>
        </w:tc>
      </w:tr>
      <w:tr w:rsidR="00BD5588" w:rsidRPr="0095667D" w14:paraId="7D7C2E81" w14:textId="77777777" w:rsidTr="009E0502">
        <w:trPr>
          <w:cantSplit/>
        </w:trPr>
        <w:tc>
          <w:tcPr>
            <w:tcW w:w="311" w:type="pct"/>
            <w:hideMark/>
          </w:tcPr>
          <w:p w14:paraId="4A272A75" w14:textId="77777777" w:rsidR="00BD5588" w:rsidRPr="0095667D" w:rsidRDefault="00BD5588" w:rsidP="0095667D">
            <w:pPr>
              <w:pStyle w:val="NoSpacing"/>
            </w:pPr>
            <w:r w:rsidRPr="0095667D">
              <w:t>2.</w:t>
            </w:r>
          </w:p>
        </w:tc>
        <w:tc>
          <w:tcPr>
            <w:tcW w:w="1479" w:type="pct"/>
            <w:hideMark/>
          </w:tcPr>
          <w:p w14:paraId="5B94B1AE" w14:textId="77777777" w:rsidR="00BD5588" w:rsidRPr="0095667D" w:rsidRDefault="00BD5588" w:rsidP="0095667D">
            <w:pPr>
              <w:pStyle w:val="NoSpacing"/>
            </w:pPr>
            <w:r w:rsidRPr="0095667D">
              <w:t>Projekta izpildes ietekme uz pārvaldes funkcijām un institucionālo struktūru.</w:t>
            </w:r>
            <w:r w:rsidRPr="0095667D">
              <w:br/>
              <w:t>Jaunu institūciju izveide, esošu institūciju likvidācija vai reorganizācija, to ietekme uz institūcijas cilvēkresursiem</w:t>
            </w:r>
          </w:p>
        </w:tc>
        <w:tc>
          <w:tcPr>
            <w:tcW w:w="3210" w:type="pct"/>
            <w:hideMark/>
          </w:tcPr>
          <w:p w14:paraId="72713E9E" w14:textId="77777777" w:rsidR="00BD5588" w:rsidRPr="0095667D" w:rsidRDefault="00F244DC" w:rsidP="00F244DC">
            <w:r w:rsidRPr="003D31EA">
              <w:rPr>
                <w:shd w:val="clear" w:color="auto" w:fill="FFFFFF"/>
              </w:rPr>
              <w:t>Projekta izpilde neietekmēs pārvaldes funkcijas vai institucionālo struktūru</w:t>
            </w:r>
            <w:r w:rsidRPr="003D31EA">
              <w:t>, papildus cilvēkresursi nav nepieciešami.</w:t>
            </w:r>
          </w:p>
        </w:tc>
      </w:tr>
      <w:tr w:rsidR="00BD5588" w:rsidRPr="0095667D" w14:paraId="6A96EA6D" w14:textId="77777777" w:rsidTr="009E0502">
        <w:trPr>
          <w:cantSplit/>
        </w:trPr>
        <w:tc>
          <w:tcPr>
            <w:tcW w:w="311" w:type="pct"/>
            <w:hideMark/>
          </w:tcPr>
          <w:p w14:paraId="2010F57D" w14:textId="77777777" w:rsidR="00BD5588" w:rsidRPr="0095667D" w:rsidRDefault="00BD5588" w:rsidP="0095667D">
            <w:pPr>
              <w:pStyle w:val="NoSpacing"/>
            </w:pPr>
            <w:r w:rsidRPr="0095667D">
              <w:t>3.</w:t>
            </w:r>
          </w:p>
        </w:tc>
        <w:tc>
          <w:tcPr>
            <w:tcW w:w="1479" w:type="pct"/>
            <w:hideMark/>
          </w:tcPr>
          <w:p w14:paraId="45A6822B" w14:textId="77777777" w:rsidR="00BD5588" w:rsidRPr="0095667D" w:rsidRDefault="00BD5588" w:rsidP="0095667D">
            <w:pPr>
              <w:pStyle w:val="NoSpacing"/>
            </w:pPr>
            <w:r w:rsidRPr="0095667D">
              <w:t>Cita informācija</w:t>
            </w:r>
          </w:p>
        </w:tc>
        <w:tc>
          <w:tcPr>
            <w:tcW w:w="3210" w:type="pct"/>
            <w:hideMark/>
          </w:tcPr>
          <w:p w14:paraId="1FDC8995" w14:textId="77777777" w:rsidR="00BD5588" w:rsidRPr="0095667D" w:rsidRDefault="00D875DC" w:rsidP="0095667D">
            <w:pPr>
              <w:pStyle w:val="NoSpacing"/>
            </w:pPr>
            <w:r w:rsidRPr="0095667D">
              <w:t>Nav</w:t>
            </w:r>
          </w:p>
        </w:tc>
      </w:tr>
    </w:tbl>
    <w:p w14:paraId="3AAC3482" w14:textId="77777777" w:rsidR="00E44472" w:rsidRDefault="00E44472" w:rsidP="0095667D">
      <w:pPr>
        <w:pStyle w:val="NoSpacing"/>
      </w:pPr>
    </w:p>
    <w:p w14:paraId="7B67420E" w14:textId="77777777" w:rsidR="00F244DC" w:rsidRDefault="00F244DC" w:rsidP="0095667D">
      <w:pPr>
        <w:pStyle w:val="NoSpacing"/>
      </w:pPr>
    </w:p>
    <w:p w14:paraId="435E0354" w14:textId="77777777" w:rsidR="00F244DC" w:rsidRPr="003D31EA" w:rsidRDefault="00F244DC" w:rsidP="00F244DC">
      <w:r w:rsidRPr="003D31EA">
        <w:t>Finanšu ministrs</w:t>
      </w:r>
      <w:r w:rsidRPr="003D31EA">
        <w:tab/>
        <w:t xml:space="preserve"> </w:t>
      </w:r>
      <w:r w:rsidRPr="003D31EA">
        <w:tab/>
      </w:r>
      <w:r w:rsidRPr="003D31EA">
        <w:tab/>
        <w:t xml:space="preserve"> </w:t>
      </w:r>
      <w:r w:rsidRPr="003D31EA">
        <w:tab/>
      </w:r>
      <w:r w:rsidRPr="003D31EA">
        <w:tab/>
      </w:r>
      <w:r w:rsidRPr="003D31EA">
        <w:tab/>
      </w:r>
      <w:r w:rsidRPr="003D31EA">
        <w:tab/>
        <w:t>Jānis Reirs</w:t>
      </w:r>
      <w:r w:rsidRPr="003D31EA">
        <w:tab/>
      </w:r>
    </w:p>
    <w:p w14:paraId="08B28B41" w14:textId="77777777" w:rsidR="00F244DC" w:rsidRDefault="00F244DC" w:rsidP="00F244DC"/>
    <w:p w14:paraId="4494F901" w14:textId="77777777" w:rsidR="00F244DC" w:rsidRDefault="00F244DC" w:rsidP="00F244DC"/>
    <w:p w14:paraId="222184A4" w14:textId="77777777" w:rsidR="00F244DC" w:rsidRPr="003D31EA" w:rsidRDefault="00F244DC" w:rsidP="00F244DC"/>
    <w:p w14:paraId="7AEA42EB" w14:textId="77777777" w:rsidR="00F244DC" w:rsidRPr="003D31EA" w:rsidRDefault="00F244DC" w:rsidP="00F244DC">
      <w:r w:rsidRPr="003D31EA">
        <w:t>Vīza: Valsts sekretārs</w:t>
      </w:r>
      <w:r w:rsidRPr="003D31EA">
        <w:tab/>
      </w:r>
      <w:r w:rsidRPr="003D31EA">
        <w:tab/>
      </w:r>
      <w:r w:rsidRPr="003D31EA">
        <w:tab/>
        <w:t xml:space="preserve"> </w:t>
      </w:r>
      <w:r w:rsidRPr="003D31EA">
        <w:tab/>
      </w:r>
      <w:r w:rsidRPr="003D31EA">
        <w:tab/>
      </w:r>
      <w:r w:rsidRPr="003D31EA">
        <w:tab/>
        <w:t xml:space="preserve">Baiba </w:t>
      </w:r>
      <w:proofErr w:type="spellStart"/>
      <w:r w:rsidRPr="003D31EA">
        <w:t>Bāne</w:t>
      </w:r>
      <w:proofErr w:type="spellEnd"/>
    </w:p>
    <w:p w14:paraId="08162C2F" w14:textId="77777777" w:rsidR="00F244DC" w:rsidRDefault="00F244DC" w:rsidP="0095667D">
      <w:pPr>
        <w:pStyle w:val="NoSpacing"/>
      </w:pPr>
    </w:p>
    <w:p w14:paraId="55A9AF76" w14:textId="77777777" w:rsidR="00F244DC" w:rsidRDefault="00F244DC" w:rsidP="0095667D">
      <w:pPr>
        <w:pStyle w:val="NoSpacing"/>
      </w:pPr>
    </w:p>
    <w:p w14:paraId="69BD1808" w14:textId="77777777" w:rsidR="00F244DC" w:rsidRDefault="00F244DC" w:rsidP="0095667D">
      <w:pPr>
        <w:pStyle w:val="NoSpacing"/>
      </w:pPr>
    </w:p>
    <w:p w14:paraId="164FE6C4" w14:textId="77777777" w:rsidR="00F244DC" w:rsidRPr="00F244DC" w:rsidRDefault="00F244DC" w:rsidP="0095667D">
      <w:pPr>
        <w:pStyle w:val="NoSpacing"/>
        <w:rPr>
          <w:sz w:val="16"/>
          <w:szCs w:val="16"/>
        </w:rPr>
      </w:pPr>
      <w:proofErr w:type="spellStart"/>
      <w:r w:rsidRPr="00F244DC">
        <w:rPr>
          <w:sz w:val="16"/>
          <w:szCs w:val="16"/>
        </w:rPr>
        <w:t>Vucēne</w:t>
      </w:r>
      <w:proofErr w:type="spellEnd"/>
      <w:r w:rsidRPr="00F244DC">
        <w:rPr>
          <w:sz w:val="16"/>
          <w:szCs w:val="16"/>
        </w:rPr>
        <w:t>, 67095608</w:t>
      </w:r>
    </w:p>
    <w:p w14:paraId="1254AA59" w14:textId="77777777" w:rsidR="00F244DC" w:rsidRPr="00F244DC" w:rsidRDefault="00F244DC" w:rsidP="0095667D">
      <w:pPr>
        <w:pStyle w:val="NoSpacing"/>
        <w:rPr>
          <w:sz w:val="16"/>
          <w:szCs w:val="16"/>
        </w:rPr>
      </w:pPr>
      <w:r w:rsidRPr="00F244DC">
        <w:rPr>
          <w:sz w:val="16"/>
          <w:szCs w:val="16"/>
        </w:rPr>
        <w:t>Liga.Vucene@fm.gov.lv</w:t>
      </w:r>
    </w:p>
    <w:sectPr w:rsidR="00F244DC" w:rsidRPr="00F244DC" w:rsidSect="00B652F2">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B6E89" w14:textId="77777777" w:rsidR="00957752" w:rsidRDefault="00957752" w:rsidP="00B652F2">
      <w:r>
        <w:separator/>
      </w:r>
    </w:p>
  </w:endnote>
  <w:endnote w:type="continuationSeparator" w:id="0">
    <w:p w14:paraId="64AEBB95" w14:textId="77777777" w:rsidR="00957752" w:rsidRDefault="00957752" w:rsidP="00B6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984655"/>
      <w:docPartObj>
        <w:docPartGallery w:val="Page Numbers (Bottom of Page)"/>
        <w:docPartUnique/>
      </w:docPartObj>
    </w:sdtPr>
    <w:sdtEndPr>
      <w:rPr>
        <w:noProof/>
      </w:rPr>
    </w:sdtEndPr>
    <w:sdtContent>
      <w:p w14:paraId="7F47BF18" w14:textId="1D4E005E" w:rsidR="00F15DE5" w:rsidRDefault="00F15DE5">
        <w:pPr>
          <w:pStyle w:val="Footer"/>
          <w:jc w:val="center"/>
        </w:pPr>
        <w:r>
          <w:fldChar w:fldCharType="begin"/>
        </w:r>
        <w:r>
          <w:instrText xml:space="preserve"> PAGE   \* MERGEFORMAT </w:instrText>
        </w:r>
        <w:r>
          <w:fldChar w:fldCharType="separate"/>
        </w:r>
        <w:r w:rsidR="002F6E49">
          <w:rPr>
            <w:noProof/>
          </w:rPr>
          <w:t>1</w:t>
        </w:r>
        <w:r>
          <w:rPr>
            <w:noProof/>
          </w:rPr>
          <w:fldChar w:fldCharType="end"/>
        </w:r>
      </w:p>
    </w:sdtContent>
  </w:sdt>
  <w:p w14:paraId="53E1C629" w14:textId="307FA5BE" w:rsidR="00B652F2" w:rsidRPr="006F081B" w:rsidRDefault="00013B36">
    <w:pPr>
      <w:pStyle w:val="Footer"/>
      <w:rPr>
        <w:sz w:val="20"/>
        <w:szCs w:val="20"/>
      </w:rPr>
    </w:pPr>
    <w:r w:rsidRPr="006F081B">
      <w:rPr>
        <w:sz w:val="20"/>
        <w:szCs w:val="20"/>
      </w:rPr>
      <w:t>FMAnot_</w:t>
    </w:r>
    <w:r w:rsidR="006F081B" w:rsidRPr="006F081B">
      <w:rPr>
        <w:sz w:val="20"/>
        <w:szCs w:val="20"/>
      </w:rPr>
      <w:t>2</w:t>
    </w:r>
    <w:r w:rsidR="006F081B">
      <w:rPr>
        <w:sz w:val="20"/>
        <w:szCs w:val="20"/>
      </w:rPr>
      <w:t>6</w:t>
    </w:r>
    <w:r w:rsidR="006F081B" w:rsidRPr="006F081B">
      <w:rPr>
        <w:sz w:val="20"/>
        <w:szCs w:val="20"/>
      </w:rPr>
      <w:t>112020</w:t>
    </w:r>
    <w:r w:rsidRPr="006F081B">
      <w:rPr>
        <w:sz w:val="20"/>
        <w:szCs w:val="20"/>
      </w:rPr>
      <w:t>_FMnolikums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EF479" w14:textId="77777777" w:rsidR="00957752" w:rsidRDefault="00957752" w:rsidP="00B652F2">
      <w:r>
        <w:separator/>
      </w:r>
    </w:p>
  </w:footnote>
  <w:footnote w:type="continuationSeparator" w:id="0">
    <w:p w14:paraId="7799DA1B" w14:textId="77777777" w:rsidR="00957752" w:rsidRDefault="00957752" w:rsidP="00B65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13B36"/>
    <w:rsid w:val="00041335"/>
    <w:rsid w:val="00195793"/>
    <w:rsid w:val="002040D8"/>
    <w:rsid w:val="00290413"/>
    <w:rsid w:val="00293301"/>
    <w:rsid w:val="002F6E49"/>
    <w:rsid w:val="003D6210"/>
    <w:rsid w:val="005717DF"/>
    <w:rsid w:val="00605B9E"/>
    <w:rsid w:val="006B700B"/>
    <w:rsid w:val="006F081B"/>
    <w:rsid w:val="00727E37"/>
    <w:rsid w:val="0078050A"/>
    <w:rsid w:val="00815E47"/>
    <w:rsid w:val="00836FF8"/>
    <w:rsid w:val="008E7339"/>
    <w:rsid w:val="0095667D"/>
    <w:rsid w:val="00957752"/>
    <w:rsid w:val="00A043B5"/>
    <w:rsid w:val="00AB640F"/>
    <w:rsid w:val="00B46E24"/>
    <w:rsid w:val="00B652F2"/>
    <w:rsid w:val="00B94112"/>
    <w:rsid w:val="00BB0706"/>
    <w:rsid w:val="00BD5588"/>
    <w:rsid w:val="00C84BE6"/>
    <w:rsid w:val="00D210DF"/>
    <w:rsid w:val="00D86FFC"/>
    <w:rsid w:val="00D875DC"/>
    <w:rsid w:val="00E44472"/>
    <w:rsid w:val="00F15DE5"/>
    <w:rsid w:val="00F24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D83B"/>
  <w15:docId w15:val="{4FE732A8-C4B4-48AB-AC7A-58F496D5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Spacing">
    <w:name w:val="No Spacing"/>
    <w:uiPriority w:val="1"/>
    <w:qFormat/>
    <w:rsid w:val="0095667D"/>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5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E47"/>
    <w:rPr>
      <w:sz w:val="16"/>
      <w:szCs w:val="16"/>
    </w:rPr>
  </w:style>
  <w:style w:type="paragraph" w:styleId="CommentText">
    <w:name w:val="annotation text"/>
    <w:basedOn w:val="Normal"/>
    <w:link w:val="CommentTextChar"/>
    <w:uiPriority w:val="99"/>
    <w:semiHidden/>
    <w:unhideWhenUsed/>
    <w:rsid w:val="00815E47"/>
    <w:rPr>
      <w:sz w:val="20"/>
      <w:szCs w:val="20"/>
    </w:rPr>
  </w:style>
  <w:style w:type="character" w:customStyle="1" w:styleId="CommentTextChar">
    <w:name w:val="Comment Text Char"/>
    <w:basedOn w:val="DefaultParagraphFont"/>
    <w:link w:val="CommentText"/>
    <w:uiPriority w:val="99"/>
    <w:semiHidden/>
    <w:rsid w:val="00815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5E47"/>
    <w:rPr>
      <w:b/>
      <w:bCs/>
    </w:rPr>
  </w:style>
  <w:style w:type="character" w:customStyle="1" w:styleId="CommentSubjectChar">
    <w:name w:val="Comment Subject Char"/>
    <w:basedOn w:val="CommentTextChar"/>
    <w:link w:val="CommentSubject"/>
    <w:uiPriority w:val="99"/>
    <w:semiHidden/>
    <w:rsid w:val="00815E4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5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47"/>
    <w:rPr>
      <w:rFonts w:ascii="Segoe UI" w:eastAsia="Times New Roman" w:hAnsi="Segoe UI" w:cs="Segoe UI"/>
      <w:sz w:val="18"/>
      <w:szCs w:val="18"/>
      <w:lang w:eastAsia="lv-LV"/>
    </w:rPr>
  </w:style>
  <w:style w:type="paragraph" w:styleId="NormalWeb">
    <w:name w:val="Normal (Web)"/>
    <w:basedOn w:val="Normal"/>
    <w:uiPriority w:val="99"/>
    <w:semiHidden/>
    <w:unhideWhenUsed/>
    <w:rsid w:val="00B652F2"/>
    <w:rPr>
      <w:rFonts w:eastAsiaTheme="minorHAnsi"/>
    </w:rPr>
  </w:style>
  <w:style w:type="paragraph" w:styleId="Header">
    <w:name w:val="header"/>
    <w:basedOn w:val="Normal"/>
    <w:link w:val="HeaderChar"/>
    <w:uiPriority w:val="99"/>
    <w:unhideWhenUsed/>
    <w:rsid w:val="00B652F2"/>
    <w:pPr>
      <w:tabs>
        <w:tab w:val="center" w:pos="4153"/>
        <w:tab w:val="right" w:pos="8306"/>
      </w:tabs>
    </w:pPr>
  </w:style>
  <w:style w:type="character" w:customStyle="1" w:styleId="HeaderChar">
    <w:name w:val="Header Char"/>
    <w:basedOn w:val="DefaultParagraphFont"/>
    <w:link w:val="Header"/>
    <w:uiPriority w:val="99"/>
    <w:rsid w:val="00B652F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652F2"/>
    <w:pPr>
      <w:tabs>
        <w:tab w:val="center" w:pos="4153"/>
        <w:tab w:val="right" w:pos="8306"/>
      </w:tabs>
    </w:pPr>
  </w:style>
  <w:style w:type="character" w:customStyle="1" w:styleId="FooterChar">
    <w:name w:val="Footer Char"/>
    <w:basedOn w:val="DefaultParagraphFont"/>
    <w:link w:val="Footer"/>
    <w:uiPriority w:val="99"/>
    <w:rsid w:val="00B652F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4325">
      <w:bodyDiv w:val="1"/>
      <w:marLeft w:val="0"/>
      <w:marRight w:val="0"/>
      <w:marTop w:val="0"/>
      <w:marBottom w:val="0"/>
      <w:divBdr>
        <w:top w:val="none" w:sz="0" w:space="0" w:color="auto"/>
        <w:left w:val="none" w:sz="0" w:space="0" w:color="auto"/>
        <w:bottom w:val="none" w:sz="0" w:space="0" w:color="auto"/>
        <w:right w:val="none" w:sz="0" w:space="0" w:color="auto"/>
      </w:divBdr>
    </w:div>
    <w:div w:id="603655866">
      <w:bodyDiv w:val="1"/>
      <w:marLeft w:val="0"/>
      <w:marRight w:val="0"/>
      <w:marTop w:val="0"/>
      <w:marBottom w:val="0"/>
      <w:divBdr>
        <w:top w:val="none" w:sz="0" w:space="0" w:color="auto"/>
        <w:left w:val="none" w:sz="0" w:space="0" w:color="auto"/>
        <w:bottom w:val="none" w:sz="0" w:space="0" w:color="auto"/>
        <w:right w:val="none" w:sz="0" w:space="0" w:color="auto"/>
      </w:divBdr>
    </w:div>
    <w:div w:id="15141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k.gov.lv/content/ministru-kabineta-diskusiju-dokumenti" TargetMode="External"/><Relationship Id="rId4" Type="http://schemas.openxmlformats.org/officeDocument/2006/relationships/styles" Target="styles.xml"/><Relationship Id="rId9" Type="http://schemas.openxmlformats.org/officeDocument/2006/relationships/hyperlink" Target="https://www.fm.gov.lv/lv/sabiedribas_lidzdaliba/tiesibu_aktu_projekti/valsts_budzeta_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Agija Leitāne-Šķēle</Vad_x012b_t_x0101_js>
    <TAP xmlns="8a8406e0-fd3e-4c97-9c6b-df4e1c510b77">133</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C07D0-7014-4367-8D01-0AE4931CECB9}">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7670F46E-3D1A-4952-A4C0-861AE3A91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A2E57-02D8-44C1-8152-90C5AD4A7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5581</Words>
  <Characters>3182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Anotācijai MK projektam "Grozījumi Ministru kabineta 2003. gada 29. aprīļa noteikumos Nr. 239 “Finanšu ministrijas nolikums”"</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Anotācijai MK projektam "Grozījumi Ministru kabineta 2003. gada 29. aprīļa noteikumos Nr. 239 “Finanšu ministrijas nolikums”"</dc:title>
  <dc:creator>FM</dc:creator>
  <cp:lastModifiedBy>Inguna Dancīte</cp:lastModifiedBy>
  <cp:revision>6</cp:revision>
  <dcterms:created xsi:type="dcterms:W3CDTF">2020-11-26T13:30:00Z</dcterms:created>
  <dcterms:modified xsi:type="dcterms:W3CDTF">2020-11-30T13:21:00Z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