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76E80F05" w:rsidR="009F1F3B" w:rsidRPr="000E729F" w:rsidRDefault="00EF767D" w:rsidP="00991406">
      <w:pPr>
        <w:pStyle w:val="naisc"/>
        <w:spacing w:before="0" w:after="0"/>
        <w:rPr>
          <w:b/>
          <w:sz w:val="26"/>
          <w:szCs w:val="26"/>
        </w:rPr>
      </w:pPr>
      <w:r w:rsidRPr="000E729F">
        <w:rPr>
          <w:b/>
          <w:sz w:val="26"/>
          <w:szCs w:val="26"/>
        </w:rPr>
        <w:t>Ministru kabineta rīkojums projekts “</w:t>
      </w:r>
      <w:r w:rsidR="002465C5" w:rsidRPr="002465C5">
        <w:rPr>
          <w:b/>
          <w:sz w:val="26"/>
          <w:szCs w:val="26"/>
        </w:rPr>
        <w:t>Par valsts nekustamā īpašuma Lielupes ielā 3, Rīgā, nodošanu Rīgas pilsētas pašvaldības īpašumā</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07EF8755" w:rsidR="00751C84" w:rsidRDefault="00A308BD" w:rsidP="00E165AE">
            <w:pPr>
              <w:pStyle w:val="naisf"/>
              <w:spacing w:before="0" w:after="0"/>
              <w:ind w:firstLine="0"/>
            </w:pPr>
            <w:r>
              <w:t>15.10.</w:t>
            </w:r>
            <w:r w:rsidR="002835B7" w:rsidRPr="00D40A7C">
              <w:t>20</w:t>
            </w:r>
            <w:r w:rsidR="008F3A50" w:rsidRPr="00D40A7C">
              <w:t>20</w:t>
            </w:r>
            <w:r w:rsidR="001E38A0" w:rsidRPr="00D40A7C">
              <w:t>.</w:t>
            </w:r>
            <w:r w:rsidR="00751C84" w:rsidRPr="00E165AE">
              <w:t xml:space="preserve"> (</w:t>
            </w:r>
            <w:r w:rsidR="00E165AE" w:rsidRPr="00E165AE">
              <w:rPr>
                <w:i/>
              </w:rPr>
              <w:t>elektroniskā saskaņošana</w:t>
            </w:r>
            <w:r w:rsidR="002835B7" w:rsidRPr="00E165AE">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61670F7B" w:rsidR="009F1F3B" w:rsidRPr="00250F2E" w:rsidRDefault="008D1395" w:rsidP="00297AF3">
            <w:pPr>
              <w:pStyle w:val="naisf"/>
              <w:spacing w:before="0" w:after="0"/>
              <w:ind w:firstLine="0"/>
            </w:pPr>
            <w:r>
              <w:t xml:space="preserve">Tieslietu ministrija, </w:t>
            </w:r>
            <w:r w:rsidR="002A3383">
              <w:t xml:space="preserve">Vides aizsardzības un reģionālās attīstības ministrija, </w:t>
            </w:r>
            <w:r w:rsidR="0072151D">
              <w:t>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4D5A4F0C" w:rsidR="009F1F3B" w:rsidRDefault="00A308BD" w:rsidP="00297AF3">
            <w:pPr>
              <w:pStyle w:val="naisf"/>
              <w:spacing w:before="0" w:after="0"/>
              <w:ind w:firstLine="0"/>
            </w:pPr>
            <w:r>
              <w:t>Vides aizsardzības un reģionālās attīstības</w:t>
            </w:r>
            <w:r w:rsidR="00033013">
              <w:t xml:space="preserve"> mini</w:t>
            </w:r>
            <w:r w:rsidR="00991406">
              <w:t>strija</w:t>
            </w:r>
            <w:r w:rsidR="001A7E3F">
              <w:t xml:space="preserve">s </w:t>
            </w:r>
            <w:r w:rsidR="00380CDB">
              <w:t>06.10.</w:t>
            </w:r>
            <w:r w:rsidR="001A7E3F">
              <w:t xml:space="preserve">2020. </w:t>
            </w:r>
            <w:r w:rsidR="00991406">
              <w:t>atzinums Nr.</w:t>
            </w:r>
            <w:r w:rsidR="00AE0F42" w:rsidRPr="00AE0F42">
              <w:t>1-22/8862</w:t>
            </w:r>
          </w:p>
          <w:p w14:paraId="2759F328" w14:textId="045F7EC4" w:rsidR="007F2387" w:rsidRPr="00087FF4" w:rsidRDefault="007F2387" w:rsidP="003265C7">
            <w:pPr>
              <w:pStyle w:val="naisf"/>
              <w:spacing w:before="0" w:after="0"/>
              <w:ind w:firstLine="0"/>
              <w:rPr>
                <w:b/>
                <w:bCs/>
              </w:rPr>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D135FF">
        <w:trPr>
          <w:jc w:val="center"/>
        </w:trPr>
        <w:tc>
          <w:tcPr>
            <w:tcW w:w="781" w:type="dxa"/>
          </w:tcPr>
          <w:p w14:paraId="42051B30" w14:textId="77777777" w:rsidR="001F7E75" w:rsidRPr="00250F2E" w:rsidRDefault="00DD10B2" w:rsidP="00574917">
            <w:pPr>
              <w:jc w:val="center"/>
              <w:rPr>
                <w:color w:val="000000" w:themeColor="text1"/>
              </w:rPr>
            </w:pPr>
            <w:r>
              <w:rPr>
                <w:color w:val="000000" w:themeColor="text1"/>
              </w:rPr>
              <w:lastRenderedPageBreak/>
              <w:t>1.</w:t>
            </w:r>
          </w:p>
        </w:tc>
        <w:tc>
          <w:tcPr>
            <w:tcW w:w="3183" w:type="dxa"/>
            <w:gridSpan w:val="2"/>
          </w:tcPr>
          <w:p w14:paraId="58F0E5AA" w14:textId="1E12DA2A" w:rsidR="00A60B69" w:rsidRDefault="002E5B85" w:rsidP="00CD0915">
            <w:pPr>
              <w:spacing w:after="120"/>
              <w:jc w:val="both"/>
              <w:rPr>
                <w:color w:val="000000"/>
              </w:rPr>
            </w:pPr>
            <w:bookmarkStart w:id="0" w:name="_GoBack"/>
            <w:r>
              <w:rPr>
                <w:color w:val="000000"/>
              </w:rPr>
              <w:t>Rīkojuma projekta 1.punkts</w:t>
            </w:r>
          </w:p>
          <w:p w14:paraId="544840EB" w14:textId="37D756F8" w:rsidR="002E5B85" w:rsidRPr="000E729F" w:rsidRDefault="002E5B85" w:rsidP="00CD0915">
            <w:pPr>
              <w:spacing w:after="120"/>
              <w:jc w:val="both"/>
              <w:rPr>
                <w:color w:val="000000"/>
              </w:rPr>
            </w:pPr>
            <w:r>
              <w:rPr>
                <w:color w:val="000000"/>
              </w:rPr>
              <w:t xml:space="preserve">“1. </w:t>
            </w:r>
            <w:r w:rsidRPr="002E5B85">
              <w:rPr>
                <w:color w:val="000000"/>
              </w:rPr>
              <w:t>Saskaņā ar Publiskas personas mantas atsavināšanas likuma 42. panta pirmo daļu un 43. pantu atļaut Finanšu ministrijai nodot bez atlīdzības Rīgas pilsētas pašvaldības īpašumā nekustamo īpašumu (nekustamā īpašuma kadastra Nr. 0100 103 0039) – zemes vienību  (zemes vienības kadastra apzīmējums 0100 103 0098) 1,8045 ha platībā, Lielupes ielā 3, Rīgā (turpmāk – nekustamais īpašums), kas ierakstīts zemesgrāmatā uz valsts vārda Finanšu ministrijas personā,  lai saskaņā ar likuma "Par pašvaldībām" 15. panta pirmo daļu to izmantotu pašvaldības autonomo funkciju īstenošanai.</w:t>
            </w:r>
            <w:r>
              <w:rPr>
                <w:color w:val="000000"/>
              </w:rPr>
              <w:t>”</w:t>
            </w:r>
          </w:p>
          <w:bookmarkEnd w:id="0"/>
          <w:p w14:paraId="2CA793CF" w14:textId="1E23FA3A" w:rsidR="001F7E75" w:rsidRPr="000E729F" w:rsidRDefault="001F7E75" w:rsidP="00A354D0">
            <w:pPr>
              <w:spacing w:after="60"/>
              <w:rPr>
                <w:color w:val="000000"/>
              </w:rPr>
            </w:pPr>
          </w:p>
        </w:tc>
        <w:tc>
          <w:tcPr>
            <w:tcW w:w="4395" w:type="dxa"/>
            <w:gridSpan w:val="2"/>
          </w:tcPr>
          <w:p w14:paraId="123C4366" w14:textId="638BA9C6" w:rsidR="009B4EAB" w:rsidRDefault="00AE0F42" w:rsidP="009B4EAB">
            <w:pPr>
              <w:jc w:val="both"/>
              <w:rPr>
                <w:b/>
                <w:bCs/>
              </w:rPr>
            </w:pPr>
            <w:r>
              <w:rPr>
                <w:b/>
                <w:bCs/>
              </w:rPr>
              <w:t xml:space="preserve">Vides aizsardzības un reģionālās attīstības </w:t>
            </w:r>
            <w:r w:rsidR="004034C5">
              <w:rPr>
                <w:b/>
                <w:bCs/>
              </w:rPr>
              <w:t>ministrijas</w:t>
            </w:r>
            <w:r w:rsidR="009B4EAB">
              <w:rPr>
                <w:b/>
                <w:bCs/>
              </w:rPr>
              <w:t xml:space="preserve"> </w:t>
            </w:r>
            <w:r>
              <w:rPr>
                <w:b/>
                <w:bCs/>
              </w:rPr>
              <w:t xml:space="preserve">atzinumā </w:t>
            </w:r>
            <w:r w:rsidR="009B4EAB">
              <w:rPr>
                <w:b/>
                <w:bCs/>
              </w:rPr>
              <w:t xml:space="preserve">izteiktais </w:t>
            </w:r>
            <w:r w:rsidR="004034C5">
              <w:rPr>
                <w:b/>
                <w:bCs/>
              </w:rPr>
              <w:t xml:space="preserve"> iebildums:</w:t>
            </w:r>
            <w:r w:rsidR="009B4EAB">
              <w:rPr>
                <w:b/>
                <w:bCs/>
              </w:rPr>
              <w:t xml:space="preserve"> </w:t>
            </w:r>
          </w:p>
          <w:p w14:paraId="2E573F6D" w14:textId="77777777" w:rsidR="0003409D" w:rsidRDefault="009B4EAB" w:rsidP="0003409D">
            <w:pPr>
              <w:jc w:val="both"/>
            </w:pPr>
            <w:r>
              <w:rPr>
                <w:b/>
                <w:bCs/>
              </w:rPr>
              <w:t>“</w:t>
            </w:r>
            <w:r w:rsidR="0003409D">
              <w:t>Ministru kabineta rīkojuma projekts 1. punkts paredz, ka nekustamie īpašumi nododami Rīgas pilsētas pašvaldības īpašumā saskaņā ar likuma “Par pašvaldībām” 15. panta pirmo daļu - pašvaldības autonomo funkciju īstenošanai. Lūdzam precizēt atsauci uz likuma “Par pašvaldībām” 15. panta pirmās daļas 2. punktu, lai no Ministru kabineta rīkojuma projekta būtu skaidrs, kādam mērķim konkrētais nekustamais īpašums tiek nodots pašvaldībai, ņemot vērā, ka likuma “Par pašvaldībām” 15. panta pirmajā daļā ir uzskaitītas 22 pašvaldības autonomās funkcijas.</w:t>
            </w:r>
          </w:p>
          <w:p w14:paraId="0BD9744B" w14:textId="25578583" w:rsidR="00241247" w:rsidRPr="000E729F" w:rsidRDefault="0003409D" w:rsidP="0003409D">
            <w:pPr>
              <w:jc w:val="both"/>
            </w:pPr>
            <w:r>
              <w:t>Vēršam uzmanību, ka ministrija ir izvērtējusi Ministru kabineta rīkojuma projektā minētā nekustamā īpašuma atsavināšanas tiesisko pamatu. Vienlaikus informējam, ka ministrija nav vērtējusi atsavināšanas raksturojošajos un pamatojošajos dokumentos minēto faktisko apstākļu atbilstību tiesiskajai situācijai. Informējam, ka par Ministru kabineta rīkojuma projekta atbilstību normatīvajiem aktiem, kā arī izpildīšanas iespējamību ir atbildīgs tā virzītājs.”</w:t>
            </w:r>
          </w:p>
        </w:tc>
        <w:tc>
          <w:tcPr>
            <w:tcW w:w="3543" w:type="dxa"/>
          </w:tcPr>
          <w:p w14:paraId="7358DF97" w14:textId="77777777" w:rsidR="00333AAB" w:rsidRDefault="00BD0DE0" w:rsidP="007660D7">
            <w:pPr>
              <w:spacing w:after="60"/>
              <w:jc w:val="both"/>
              <w:rPr>
                <w:b/>
              </w:rPr>
            </w:pPr>
            <w:r>
              <w:rPr>
                <w:b/>
              </w:rPr>
              <w:t>Iebildums izvērtēts</w:t>
            </w:r>
            <w:r w:rsidR="00BC1DD7">
              <w:rPr>
                <w:b/>
              </w:rPr>
              <w:t xml:space="preserve">, </w:t>
            </w:r>
            <w:r w:rsidR="0003409D">
              <w:rPr>
                <w:b/>
              </w:rPr>
              <w:t xml:space="preserve">netiek </w:t>
            </w:r>
            <w:r w:rsidR="007660D7">
              <w:rPr>
                <w:b/>
              </w:rPr>
              <w:t xml:space="preserve"> ņemts vērā, sniedzam šādu </w:t>
            </w:r>
            <w:r w:rsidR="00BA17E8">
              <w:rPr>
                <w:b/>
              </w:rPr>
              <w:t>skaidrojumu:</w:t>
            </w:r>
          </w:p>
          <w:p w14:paraId="38AC647C" w14:textId="2280AB34" w:rsidR="008C0C5F" w:rsidRDefault="008C0C5F" w:rsidP="007660D7">
            <w:pPr>
              <w:spacing w:after="60"/>
              <w:jc w:val="both"/>
              <w:rPr>
                <w:bCs/>
              </w:rPr>
            </w:pPr>
            <w:r w:rsidRPr="008C0C5F">
              <w:rPr>
                <w:bCs/>
              </w:rPr>
              <w:t>M</w:t>
            </w:r>
            <w:r>
              <w:rPr>
                <w:bCs/>
              </w:rPr>
              <w:t>inistru kabinet</w:t>
            </w:r>
            <w:r w:rsidR="001F45C7">
              <w:rPr>
                <w:bCs/>
              </w:rPr>
              <w:t>a</w:t>
            </w:r>
            <w:r w:rsidR="004B4927">
              <w:rPr>
                <w:bCs/>
              </w:rPr>
              <w:t xml:space="preserve"> 1</w:t>
            </w:r>
            <w:r w:rsidRPr="008C0C5F">
              <w:rPr>
                <w:bCs/>
              </w:rPr>
              <w:t>2.06.2018. sēd</w:t>
            </w:r>
            <w:r w:rsidR="004B4927">
              <w:rPr>
                <w:bCs/>
              </w:rPr>
              <w:t>ē</w:t>
            </w:r>
            <w:r w:rsidR="008E09B9">
              <w:rPr>
                <w:bCs/>
              </w:rPr>
              <w:t xml:space="preserve">, skatot jautājumu par </w:t>
            </w:r>
            <w:r w:rsidR="008E09B9" w:rsidRPr="008E09B9">
              <w:rPr>
                <w:bCs/>
              </w:rPr>
              <w:t>Informatīv</w:t>
            </w:r>
            <w:r w:rsidR="008E09B9">
              <w:rPr>
                <w:bCs/>
              </w:rPr>
              <w:t>o</w:t>
            </w:r>
            <w:r w:rsidR="008E09B9" w:rsidRPr="008E09B9">
              <w:rPr>
                <w:bCs/>
              </w:rPr>
              <w:t xml:space="preserve"> ziņojum</w:t>
            </w:r>
            <w:r w:rsidR="008E09B9">
              <w:rPr>
                <w:bCs/>
              </w:rPr>
              <w:t>u</w:t>
            </w:r>
            <w:r w:rsidR="008E09B9" w:rsidRPr="008E09B9">
              <w:rPr>
                <w:bCs/>
              </w:rPr>
              <w:t xml:space="preserve"> "Par Ministru kabineta 2018.gada 24.aprīļa sēdes protokola Nr.21 18.§ 2.punktā dotā uzdevuma izpildi"</w:t>
            </w:r>
            <w:r w:rsidR="0068394E">
              <w:rPr>
                <w:bCs/>
              </w:rPr>
              <w:t>,</w:t>
            </w:r>
            <w:r w:rsidRPr="008C0C5F">
              <w:rPr>
                <w:bCs/>
              </w:rPr>
              <w:t xml:space="preserve"> </w:t>
            </w:r>
            <w:r w:rsidR="001F45C7">
              <w:rPr>
                <w:bCs/>
              </w:rPr>
              <w:t xml:space="preserve">tika </w:t>
            </w:r>
            <w:r w:rsidR="008E09B9">
              <w:rPr>
                <w:bCs/>
              </w:rPr>
              <w:t>nol</w:t>
            </w:r>
            <w:r w:rsidR="0068394E">
              <w:rPr>
                <w:bCs/>
              </w:rPr>
              <w:t>e</w:t>
            </w:r>
            <w:r w:rsidR="008E09B9">
              <w:rPr>
                <w:bCs/>
              </w:rPr>
              <w:t>m</w:t>
            </w:r>
            <w:r w:rsidR="001F45C7">
              <w:rPr>
                <w:bCs/>
              </w:rPr>
              <w:t>ts</w:t>
            </w:r>
            <w:r w:rsidR="008E09B9">
              <w:rPr>
                <w:bCs/>
              </w:rPr>
              <w:t xml:space="preserve"> (</w:t>
            </w:r>
            <w:r w:rsidRPr="008C0C5F">
              <w:rPr>
                <w:bCs/>
              </w:rPr>
              <w:t>prot.Nr.28 31.§</w:t>
            </w:r>
            <w:r w:rsidR="00D537FB">
              <w:rPr>
                <w:bCs/>
              </w:rPr>
              <w:t xml:space="preserve">, </w:t>
            </w:r>
            <w:r w:rsidR="0062062C">
              <w:rPr>
                <w:bCs/>
              </w:rPr>
              <w:t xml:space="preserve">TA-1002, </w:t>
            </w:r>
            <w:r w:rsidR="00D537FB">
              <w:rPr>
                <w:bCs/>
              </w:rPr>
              <w:t>2.punkts</w:t>
            </w:r>
            <w:r w:rsidRPr="008C0C5F">
              <w:rPr>
                <w:bCs/>
              </w:rPr>
              <w:t>)</w:t>
            </w:r>
            <w:r w:rsidR="008E09B9">
              <w:rPr>
                <w:bCs/>
              </w:rPr>
              <w:t>:</w:t>
            </w:r>
          </w:p>
          <w:p w14:paraId="483E319D" w14:textId="5F84D531" w:rsidR="008E09B9" w:rsidRDefault="00D537FB" w:rsidP="00D537FB">
            <w:pPr>
              <w:spacing w:after="60"/>
              <w:jc w:val="both"/>
              <w:rPr>
                <w:bCs/>
                <w:iCs/>
              </w:rPr>
            </w:pPr>
            <w:r w:rsidRPr="00D537FB">
              <w:rPr>
                <w:bCs/>
                <w:iCs/>
              </w:rPr>
              <w:t xml:space="preserve">     </w:t>
            </w:r>
            <w:r>
              <w:rPr>
                <w:bCs/>
                <w:iCs/>
              </w:rPr>
              <w:t>“</w:t>
            </w:r>
            <w:r w:rsidRPr="00D537FB">
              <w:rPr>
                <w:bCs/>
                <w:iCs/>
              </w:rPr>
              <w:t xml:space="preserve">2. Ja valsts nekustamo īpašumu plānots nodot bez atlīdzības pašvaldības īpašumā kādai no likuma "Par pašvaldībām" 15.panta pirmajā daļā minētajām pašvaldību autonomajām funkcijām, Ministru kabineta rīkojumā ietvert vispārīgu atsauci uz likuma "Par pašvaldībām" 15.panta pirmo daļu, bet Ministru kabineta rīkojuma projekta sākotnējās ietekmes novērtējuma ziņojumā (anotācijā) iekļaut pamatojumu,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w:t>
            </w:r>
            <w:r w:rsidRPr="00D537FB">
              <w:rPr>
                <w:bCs/>
                <w:iCs/>
              </w:rPr>
              <w:lastRenderedPageBreak/>
              <w:t>risināšanā" noteiktajos gadījumos.</w:t>
            </w:r>
            <w:r w:rsidR="001F45C7">
              <w:rPr>
                <w:bCs/>
                <w:iCs/>
              </w:rPr>
              <w:t>”</w:t>
            </w:r>
          </w:p>
          <w:p w14:paraId="5B3D93F4" w14:textId="77777777" w:rsidR="00CC6D49" w:rsidRDefault="00CC6D49" w:rsidP="00CC6D49">
            <w:pPr>
              <w:spacing w:after="60"/>
              <w:jc w:val="both"/>
              <w:rPr>
                <w:bCs/>
                <w:iCs/>
              </w:rPr>
            </w:pPr>
            <w:r>
              <w:rPr>
                <w:bCs/>
                <w:iCs/>
              </w:rPr>
              <w:t xml:space="preserve">Vēršam uzmanību, ka Ministru kabineta 2018.gada 24.aprīļa sēdes </w:t>
            </w:r>
            <w:proofErr w:type="spellStart"/>
            <w:r>
              <w:rPr>
                <w:bCs/>
                <w:iCs/>
              </w:rPr>
              <w:t>protokollēmuma</w:t>
            </w:r>
            <w:proofErr w:type="spellEnd"/>
            <w:r>
              <w:rPr>
                <w:bCs/>
                <w:iCs/>
              </w:rPr>
              <w:t xml:space="preserve"> (prot.Nr.28 31.§) 2.punktā noteiktā kārtība nav atcelta!</w:t>
            </w:r>
          </w:p>
          <w:p w14:paraId="59D31000" w14:textId="38BFC8C3" w:rsidR="00D83CF9" w:rsidRDefault="001F45C7" w:rsidP="00AD0481">
            <w:pPr>
              <w:spacing w:after="60"/>
              <w:jc w:val="both"/>
              <w:rPr>
                <w:bCs/>
                <w:iCs/>
              </w:rPr>
            </w:pPr>
            <w:r>
              <w:rPr>
                <w:bCs/>
                <w:iCs/>
              </w:rPr>
              <w:t xml:space="preserve">Ievērojot minēto, tā kā </w:t>
            </w:r>
            <w:r w:rsidR="002E2F94">
              <w:rPr>
                <w:bCs/>
                <w:iCs/>
              </w:rPr>
              <w:t>valsts nekustamo īpašumu Lielupes ielā 3, Rīgā</w:t>
            </w:r>
            <w:r w:rsidR="0015470A">
              <w:rPr>
                <w:bCs/>
                <w:iCs/>
              </w:rPr>
              <w:t xml:space="preserve">, paredzēts nodot Rīgas pilsētas pašvaldības īpašumā </w:t>
            </w:r>
            <w:r w:rsidR="002E2F94">
              <w:rPr>
                <w:bCs/>
                <w:iCs/>
              </w:rPr>
              <w:t xml:space="preserve"> </w:t>
            </w:r>
            <w:r w:rsidR="002E2F94" w:rsidRPr="002E2F94">
              <w:rPr>
                <w:bCs/>
                <w:iCs/>
              </w:rPr>
              <w:t>likuma “Par pašvaldībām”  15. panta pirmās daļas 2.punktā noteiktās pašvaldības autonomās funkcijas – gādāt par savas administratīvās teritorijas labiekārtošanu un sanitāro tīrību, parku, skvēru un zaļo zonu ierīkošanu un uzturēšanu – izpildei</w:t>
            </w:r>
            <w:r w:rsidR="0015470A">
              <w:rPr>
                <w:bCs/>
                <w:iCs/>
              </w:rPr>
              <w:t xml:space="preserve">, rīkojuma projekta 1.punktā norādīta vispārīga atsauce uz </w:t>
            </w:r>
            <w:r w:rsidR="00CD283B">
              <w:rPr>
                <w:bCs/>
                <w:iCs/>
              </w:rPr>
              <w:t xml:space="preserve">minētā likuma 15.panta pirmo daļu, nevis konkrētu </w:t>
            </w:r>
            <w:r w:rsidR="00846EA6">
              <w:rPr>
                <w:bCs/>
                <w:iCs/>
              </w:rPr>
              <w:t>15.panta pirmās daļas punktu</w:t>
            </w:r>
            <w:r w:rsidR="005D0541">
              <w:rPr>
                <w:bCs/>
                <w:iCs/>
              </w:rPr>
              <w:t>, savukārt</w:t>
            </w:r>
            <w:r w:rsidR="0086295A">
              <w:rPr>
                <w:bCs/>
                <w:iCs/>
              </w:rPr>
              <w:t>,</w:t>
            </w:r>
            <w:r w:rsidR="005D0541">
              <w:rPr>
                <w:bCs/>
                <w:iCs/>
              </w:rPr>
              <w:t xml:space="preserve"> anotācijā  </w:t>
            </w:r>
            <w:r w:rsidR="0086295A" w:rsidRPr="0086295A">
              <w:rPr>
                <w:bCs/>
                <w:iCs/>
              </w:rPr>
              <w:t>iekļaut</w:t>
            </w:r>
            <w:r w:rsidR="00857D29">
              <w:rPr>
                <w:bCs/>
                <w:iCs/>
              </w:rPr>
              <w:t>s</w:t>
            </w:r>
            <w:r w:rsidR="0086295A" w:rsidRPr="0086295A">
              <w:rPr>
                <w:bCs/>
                <w:iCs/>
              </w:rPr>
              <w:t xml:space="preserve"> pamatojum</w:t>
            </w:r>
            <w:r w:rsidR="00857D29">
              <w:rPr>
                <w:bCs/>
                <w:iCs/>
              </w:rPr>
              <w:t>s</w:t>
            </w:r>
            <w:r w:rsidR="0086295A" w:rsidRPr="0086295A">
              <w:rPr>
                <w:bCs/>
                <w:iCs/>
              </w:rPr>
              <w:t>, kādai atvasinātas publiskas personas funkcijai nekustamais īpašums tiks izmantots.</w:t>
            </w:r>
            <w:r w:rsidR="00AD0481">
              <w:rPr>
                <w:bCs/>
                <w:iCs/>
              </w:rPr>
              <w:t xml:space="preserve"> </w:t>
            </w:r>
          </w:p>
          <w:p w14:paraId="4ED07411" w14:textId="08BD1B75" w:rsidR="001F45C7" w:rsidRPr="008C0C5F" w:rsidRDefault="00444272" w:rsidP="00190B08">
            <w:pPr>
              <w:spacing w:after="60"/>
              <w:jc w:val="both"/>
              <w:rPr>
                <w:bCs/>
                <w:iCs/>
              </w:rPr>
            </w:pPr>
            <w:r>
              <w:rPr>
                <w:bCs/>
                <w:iCs/>
              </w:rPr>
              <w:t xml:space="preserve">Rīkojuma projekts </w:t>
            </w:r>
            <w:r w:rsidR="001E3137">
              <w:rPr>
                <w:bCs/>
                <w:iCs/>
              </w:rPr>
              <w:t xml:space="preserve">neparedz nodot </w:t>
            </w:r>
            <w:r w:rsidR="007654C4">
              <w:rPr>
                <w:bCs/>
                <w:iCs/>
              </w:rPr>
              <w:t xml:space="preserve">valsts īpašumu </w:t>
            </w:r>
            <w:r w:rsidR="007A6C1F">
              <w:rPr>
                <w:bCs/>
                <w:iCs/>
              </w:rPr>
              <w:t xml:space="preserve">Lielupes ielā 3, Rīgā, </w:t>
            </w:r>
            <w:r w:rsidR="001E3137">
              <w:rPr>
                <w:bCs/>
                <w:iCs/>
              </w:rPr>
              <w:t xml:space="preserve">Rīgas pilsētas pašvaldības īpašumā </w:t>
            </w:r>
            <w:r w:rsidR="00BD52AD">
              <w:rPr>
                <w:bCs/>
                <w:iCs/>
              </w:rPr>
              <w:t xml:space="preserve">bez atlīdzības </w:t>
            </w:r>
            <w:r w:rsidR="001E3137" w:rsidRPr="00D537FB">
              <w:rPr>
                <w:bCs/>
                <w:iCs/>
              </w:rPr>
              <w:t xml:space="preserve">palīdzības sniegšanai dzīvokļa jautājumu </w:t>
            </w:r>
            <w:r w:rsidR="001E3137" w:rsidRPr="00D537FB">
              <w:rPr>
                <w:bCs/>
                <w:iCs/>
              </w:rPr>
              <w:lastRenderedPageBreak/>
              <w:t>risināšanā likumā "Par palīdzību dzīvokļa jautājumu risināšanā</w:t>
            </w:r>
            <w:r w:rsidR="005B7DEC">
              <w:rPr>
                <w:bCs/>
                <w:iCs/>
              </w:rPr>
              <w:t>”</w:t>
            </w:r>
            <w:r w:rsidR="005B7DEC">
              <w:t xml:space="preserve"> </w:t>
            </w:r>
            <w:r w:rsidR="005B7DEC">
              <w:rPr>
                <w:bCs/>
                <w:iCs/>
              </w:rPr>
              <w:t>noteiktajos gadījumos</w:t>
            </w:r>
            <w:r w:rsidR="005D0541">
              <w:rPr>
                <w:bCs/>
                <w:iCs/>
              </w:rPr>
              <w:t>.</w:t>
            </w:r>
          </w:p>
        </w:tc>
        <w:tc>
          <w:tcPr>
            <w:tcW w:w="2840" w:type="dxa"/>
          </w:tcPr>
          <w:p w14:paraId="3704FD74" w14:textId="77777777" w:rsidR="00731DD4" w:rsidRDefault="007660D7" w:rsidP="007F4ACA">
            <w:pPr>
              <w:jc w:val="both"/>
              <w:rPr>
                <w:color w:val="000000"/>
              </w:rPr>
            </w:pPr>
            <w:r>
              <w:rPr>
                <w:color w:val="000000"/>
              </w:rPr>
              <w:lastRenderedPageBreak/>
              <w:t>Rīkojuma projekta 1.punkts:</w:t>
            </w:r>
          </w:p>
          <w:p w14:paraId="2E017FAD" w14:textId="12B2ED8A" w:rsidR="007660D7" w:rsidRPr="00E165AE" w:rsidRDefault="007660D7" w:rsidP="007F4ACA">
            <w:pPr>
              <w:jc w:val="both"/>
              <w:rPr>
                <w:color w:val="000000"/>
              </w:rPr>
            </w:pPr>
            <w:r>
              <w:rPr>
                <w:color w:val="000000"/>
              </w:rPr>
              <w:t>“</w:t>
            </w:r>
            <w:r w:rsidRPr="007660D7">
              <w:rPr>
                <w:color w:val="000000"/>
              </w:rPr>
              <w:t>Saskaņā ar Publiskas personas mantas atsavināšanas likuma 42. panta pirmo daļu un 43. pantu atļaut Finanšu ministrijai nodot bez atlīdzības Rīgas pilsētas pašvaldības īpašumā nekustamo īpašumu (nekustamā īpašuma kadastra Nr. 0100 103 0039) – zemes vienību  (zemes vienības kadastra apzīmējums 0100 103 0098) 1,8045 ha platībā, Lielupes ielā 3, Rīgā (turpmāk – nekustamais īpašums), kas ierakstīts zemesgrāmatā uz valsts vārda Finanšu ministrijas personā,  lai saskaņā ar likuma "Par pašvaldībām" 15. panta pirmo daļu to izmantotu pašvaldības autonomo funkciju īstenošanai.</w:t>
            </w:r>
            <w:r>
              <w:rPr>
                <w:color w:val="000000"/>
              </w:rPr>
              <w:t>”</w:t>
            </w: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AB1E16B" w14:textId="77777777" w:rsidR="002E6434" w:rsidRPr="00250F2E" w:rsidRDefault="002E6434" w:rsidP="002E6434">
            <w:pPr>
              <w:pStyle w:val="naiskr"/>
              <w:spacing w:before="0" w:after="0"/>
              <w:jc w:val="center"/>
            </w:pPr>
            <w:r w:rsidRPr="00250F2E">
              <w:lastRenderedPageBreak/>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CD0915"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54E8B" w14:textId="77777777" w:rsidR="005878F0" w:rsidRDefault="005878F0">
      <w:r>
        <w:separator/>
      </w:r>
    </w:p>
  </w:endnote>
  <w:endnote w:type="continuationSeparator" w:id="0">
    <w:p w14:paraId="7F40AFD3" w14:textId="77777777" w:rsidR="005878F0" w:rsidRDefault="005878F0">
      <w:r>
        <w:continuationSeparator/>
      </w:r>
    </w:p>
  </w:endnote>
  <w:endnote w:type="continuationNotice" w:id="1">
    <w:p w14:paraId="540A64CB" w14:textId="77777777" w:rsidR="005878F0" w:rsidRDefault="0058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35526320" w:rsidR="00565635" w:rsidRDefault="006F5700" w:rsidP="00EF767D">
    <w:pPr>
      <w:pStyle w:val="Footer"/>
      <w:rPr>
        <w:sz w:val="20"/>
        <w:szCs w:val="20"/>
      </w:rPr>
    </w:pPr>
    <w:r>
      <w:rPr>
        <w:sz w:val="20"/>
        <w:szCs w:val="20"/>
      </w:rPr>
      <w:t>FMIzz_</w:t>
    </w:r>
    <w:r w:rsidR="008E025C">
      <w:rPr>
        <w:sz w:val="20"/>
        <w:szCs w:val="20"/>
      </w:rPr>
      <w:t>151020</w:t>
    </w:r>
    <w:r w:rsidR="006C28EC">
      <w:rPr>
        <w:sz w:val="20"/>
        <w:szCs w:val="20"/>
      </w:rPr>
      <w:t>_</w:t>
    </w:r>
    <w:r w:rsidR="008E025C">
      <w:rPr>
        <w:sz w:val="20"/>
        <w:szCs w:val="20"/>
      </w:rPr>
      <w:t>Lielupes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383FB2B2" w:rsidR="00565635" w:rsidRDefault="006F5700" w:rsidP="001E38A0">
    <w:pPr>
      <w:pStyle w:val="Footer"/>
      <w:rPr>
        <w:sz w:val="20"/>
        <w:szCs w:val="20"/>
      </w:rPr>
    </w:pPr>
    <w:r>
      <w:rPr>
        <w:sz w:val="20"/>
        <w:szCs w:val="20"/>
      </w:rPr>
      <w:t>FMIzz_</w:t>
    </w:r>
    <w:r w:rsidR="008E025C">
      <w:rPr>
        <w:sz w:val="20"/>
        <w:szCs w:val="20"/>
      </w:rPr>
      <w:t>151020_Lielupes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109B" w14:textId="77777777" w:rsidR="005878F0" w:rsidRDefault="005878F0">
      <w:r>
        <w:separator/>
      </w:r>
    </w:p>
  </w:footnote>
  <w:footnote w:type="continuationSeparator" w:id="0">
    <w:p w14:paraId="5279E045" w14:textId="77777777" w:rsidR="005878F0" w:rsidRDefault="005878F0">
      <w:r>
        <w:continuationSeparator/>
      </w:r>
    </w:p>
  </w:footnote>
  <w:footnote w:type="continuationNotice" w:id="1">
    <w:p w14:paraId="417C128E" w14:textId="77777777" w:rsidR="005878F0" w:rsidRDefault="00587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64C8"/>
    <w:rsid w:val="0000720D"/>
    <w:rsid w:val="000105B2"/>
    <w:rsid w:val="000135DC"/>
    <w:rsid w:val="00014691"/>
    <w:rsid w:val="00015D88"/>
    <w:rsid w:val="00021378"/>
    <w:rsid w:val="0002163F"/>
    <w:rsid w:val="000264BE"/>
    <w:rsid w:val="00031482"/>
    <w:rsid w:val="00033013"/>
    <w:rsid w:val="0003409D"/>
    <w:rsid w:val="00037AB3"/>
    <w:rsid w:val="0004610A"/>
    <w:rsid w:val="00050018"/>
    <w:rsid w:val="00051CC6"/>
    <w:rsid w:val="000534DE"/>
    <w:rsid w:val="00060B9D"/>
    <w:rsid w:val="000625F0"/>
    <w:rsid w:val="00062845"/>
    <w:rsid w:val="00070F69"/>
    <w:rsid w:val="0007538B"/>
    <w:rsid w:val="0007668E"/>
    <w:rsid w:val="000813C9"/>
    <w:rsid w:val="00081780"/>
    <w:rsid w:val="00082A73"/>
    <w:rsid w:val="00084571"/>
    <w:rsid w:val="00087FF4"/>
    <w:rsid w:val="00090793"/>
    <w:rsid w:val="00092D3A"/>
    <w:rsid w:val="00096939"/>
    <w:rsid w:val="000A101F"/>
    <w:rsid w:val="000B5DE2"/>
    <w:rsid w:val="000C2DBC"/>
    <w:rsid w:val="000C76E7"/>
    <w:rsid w:val="000D02B5"/>
    <w:rsid w:val="000D2F97"/>
    <w:rsid w:val="000D7BA6"/>
    <w:rsid w:val="000E1E39"/>
    <w:rsid w:val="000E2B82"/>
    <w:rsid w:val="000E5170"/>
    <w:rsid w:val="000E729F"/>
    <w:rsid w:val="000F26AE"/>
    <w:rsid w:val="000F46B9"/>
    <w:rsid w:val="00100F2C"/>
    <w:rsid w:val="00104C4F"/>
    <w:rsid w:val="001064FF"/>
    <w:rsid w:val="00106C2D"/>
    <w:rsid w:val="0010753F"/>
    <w:rsid w:val="001106AE"/>
    <w:rsid w:val="00115C1A"/>
    <w:rsid w:val="001168C6"/>
    <w:rsid w:val="001172FB"/>
    <w:rsid w:val="00117771"/>
    <w:rsid w:val="001214A3"/>
    <w:rsid w:val="00124FEE"/>
    <w:rsid w:val="00131C32"/>
    <w:rsid w:val="00137029"/>
    <w:rsid w:val="0013795D"/>
    <w:rsid w:val="00140157"/>
    <w:rsid w:val="00141154"/>
    <w:rsid w:val="00141682"/>
    <w:rsid w:val="001429FE"/>
    <w:rsid w:val="001438F7"/>
    <w:rsid w:val="00144801"/>
    <w:rsid w:val="00147A9A"/>
    <w:rsid w:val="001502C0"/>
    <w:rsid w:val="0015155A"/>
    <w:rsid w:val="0015470A"/>
    <w:rsid w:val="00156C89"/>
    <w:rsid w:val="00160040"/>
    <w:rsid w:val="00161F38"/>
    <w:rsid w:val="00162192"/>
    <w:rsid w:val="0016452D"/>
    <w:rsid w:val="0017091E"/>
    <w:rsid w:val="001731D4"/>
    <w:rsid w:val="001740DA"/>
    <w:rsid w:val="00175C06"/>
    <w:rsid w:val="0017717A"/>
    <w:rsid w:val="00184AA6"/>
    <w:rsid w:val="00185A3D"/>
    <w:rsid w:val="00190B08"/>
    <w:rsid w:val="00191181"/>
    <w:rsid w:val="00192159"/>
    <w:rsid w:val="00192507"/>
    <w:rsid w:val="00194F86"/>
    <w:rsid w:val="00195FC0"/>
    <w:rsid w:val="00196D76"/>
    <w:rsid w:val="001A1CC0"/>
    <w:rsid w:val="001A2DF9"/>
    <w:rsid w:val="001A2E9A"/>
    <w:rsid w:val="001A3DAA"/>
    <w:rsid w:val="001A4AD0"/>
    <w:rsid w:val="001A5CBE"/>
    <w:rsid w:val="001A7347"/>
    <w:rsid w:val="001A77C9"/>
    <w:rsid w:val="001A7E3F"/>
    <w:rsid w:val="001B18A5"/>
    <w:rsid w:val="001C44B3"/>
    <w:rsid w:val="001C4E31"/>
    <w:rsid w:val="001D20C9"/>
    <w:rsid w:val="001D71E2"/>
    <w:rsid w:val="001E09FA"/>
    <w:rsid w:val="001E28ED"/>
    <w:rsid w:val="001E3137"/>
    <w:rsid w:val="001E38A0"/>
    <w:rsid w:val="001E425F"/>
    <w:rsid w:val="001E477F"/>
    <w:rsid w:val="001E5EA7"/>
    <w:rsid w:val="001E658B"/>
    <w:rsid w:val="001F3778"/>
    <w:rsid w:val="001F45C7"/>
    <w:rsid w:val="001F4846"/>
    <w:rsid w:val="001F7E75"/>
    <w:rsid w:val="0020137D"/>
    <w:rsid w:val="002044F5"/>
    <w:rsid w:val="00206857"/>
    <w:rsid w:val="00211AD2"/>
    <w:rsid w:val="00217875"/>
    <w:rsid w:val="00220AA6"/>
    <w:rsid w:val="00222A26"/>
    <w:rsid w:val="002237A0"/>
    <w:rsid w:val="00226ACD"/>
    <w:rsid w:val="00227007"/>
    <w:rsid w:val="00235515"/>
    <w:rsid w:val="00235797"/>
    <w:rsid w:val="002364CE"/>
    <w:rsid w:val="0023742E"/>
    <w:rsid w:val="00241247"/>
    <w:rsid w:val="002465C5"/>
    <w:rsid w:val="002473DD"/>
    <w:rsid w:val="00250F2E"/>
    <w:rsid w:val="0025648D"/>
    <w:rsid w:val="00257B44"/>
    <w:rsid w:val="00261265"/>
    <w:rsid w:val="0026451C"/>
    <w:rsid w:val="00264A04"/>
    <w:rsid w:val="00267ABF"/>
    <w:rsid w:val="00271699"/>
    <w:rsid w:val="00271DE3"/>
    <w:rsid w:val="002735AF"/>
    <w:rsid w:val="0027721E"/>
    <w:rsid w:val="0028007D"/>
    <w:rsid w:val="002835B7"/>
    <w:rsid w:val="0028411D"/>
    <w:rsid w:val="0028601B"/>
    <w:rsid w:val="00296E8B"/>
    <w:rsid w:val="00297AF3"/>
    <w:rsid w:val="002A2CE5"/>
    <w:rsid w:val="002A3383"/>
    <w:rsid w:val="002A3B60"/>
    <w:rsid w:val="002A5804"/>
    <w:rsid w:val="002B2471"/>
    <w:rsid w:val="002B314F"/>
    <w:rsid w:val="002B428D"/>
    <w:rsid w:val="002B5D71"/>
    <w:rsid w:val="002B752F"/>
    <w:rsid w:val="002B7667"/>
    <w:rsid w:val="002C231C"/>
    <w:rsid w:val="002C2969"/>
    <w:rsid w:val="002D00D4"/>
    <w:rsid w:val="002D087C"/>
    <w:rsid w:val="002D5C46"/>
    <w:rsid w:val="002D7874"/>
    <w:rsid w:val="002E0F8F"/>
    <w:rsid w:val="002E2F94"/>
    <w:rsid w:val="002E5B85"/>
    <w:rsid w:val="002E6434"/>
    <w:rsid w:val="002E76A8"/>
    <w:rsid w:val="002F3CBC"/>
    <w:rsid w:val="002F4604"/>
    <w:rsid w:val="00302A2F"/>
    <w:rsid w:val="00303F8D"/>
    <w:rsid w:val="003043D8"/>
    <w:rsid w:val="00305282"/>
    <w:rsid w:val="00307767"/>
    <w:rsid w:val="003102A2"/>
    <w:rsid w:val="00311FE4"/>
    <w:rsid w:val="00313F39"/>
    <w:rsid w:val="0031571D"/>
    <w:rsid w:val="00317785"/>
    <w:rsid w:val="00321146"/>
    <w:rsid w:val="0032149A"/>
    <w:rsid w:val="00321DF9"/>
    <w:rsid w:val="00324525"/>
    <w:rsid w:val="003265C7"/>
    <w:rsid w:val="00327816"/>
    <w:rsid w:val="00331477"/>
    <w:rsid w:val="00332409"/>
    <w:rsid w:val="00333AAB"/>
    <w:rsid w:val="003351DA"/>
    <w:rsid w:val="00342F0C"/>
    <w:rsid w:val="00344A55"/>
    <w:rsid w:val="00344E7F"/>
    <w:rsid w:val="003563CD"/>
    <w:rsid w:val="00357430"/>
    <w:rsid w:val="00361B99"/>
    <w:rsid w:val="00362819"/>
    <w:rsid w:val="00367BEB"/>
    <w:rsid w:val="00375EDE"/>
    <w:rsid w:val="00380CDB"/>
    <w:rsid w:val="003831F9"/>
    <w:rsid w:val="0038504D"/>
    <w:rsid w:val="00396D7D"/>
    <w:rsid w:val="003A59C1"/>
    <w:rsid w:val="003B0739"/>
    <w:rsid w:val="003B0F47"/>
    <w:rsid w:val="003B1C27"/>
    <w:rsid w:val="003B27A7"/>
    <w:rsid w:val="003B2F39"/>
    <w:rsid w:val="003B4A4B"/>
    <w:rsid w:val="003B59B2"/>
    <w:rsid w:val="003C4A3C"/>
    <w:rsid w:val="003C574A"/>
    <w:rsid w:val="003D2429"/>
    <w:rsid w:val="003D24E5"/>
    <w:rsid w:val="003D4D8E"/>
    <w:rsid w:val="003D50F2"/>
    <w:rsid w:val="003D53C1"/>
    <w:rsid w:val="003D7260"/>
    <w:rsid w:val="003E02A0"/>
    <w:rsid w:val="003E312D"/>
    <w:rsid w:val="003E3B87"/>
    <w:rsid w:val="003E3C63"/>
    <w:rsid w:val="003E4225"/>
    <w:rsid w:val="003F2015"/>
    <w:rsid w:val="003F210B"/>
    <w:rsid w:val="003F31F6"/>
    <w:rsid w:val="004011CF"/>
    <w:rsid w:val="004011FB"/>
    <w:rsid w:val="00402981"/>
    <w:rsid w:val="00402E8B"/>
    <w:rsid w:val="004034C5"/>
    <w:rsid w:val="004112F0"/>
    <w:rsid w:val="00414B82"/>
    <w:rsid w:val="004245D1"/>
    <w:rsid w:val="00424A98"/>
    <w:rsid w:val="00424B60"/>
    <w:rsid w:val="00432B42"/>
    <w:rsid w:val="00432DAB"/>
    <w:rsid w:val="00433488"/>
    <w:rsid w:val="00435AA4"/>
    <w:rsid w:val="00440806"/>
    <w:rsid w:val="00444272"/>
    <w:rsid w:val="00447CDA"/>
    <w:rsid w:val="0045498C"/>
    <w:rsid w:val="00457AD4"/>
    <w:rsid w:val="004600CF"/>
    <w:rsid w:val="0046194F"/>
    <w:rsid w:val="00461A97"/>
    <w:rsid w:val="00463351"/>
    <w:rsid w:val="00464B8A"/>
    <w:rsid w:val="00464DA9"/>
    <w:rsid w:val="004656B6"/>
    <w:rsid w:val="00465AE3"/>
    <w:rsid w:val="00470581"/>
    <w:rsid w:val="00477D93"/>
    <w:rsid w:val="00483C24"/>
    <w:rsid w:val="004A58B6"/>
    <w:rsid w:val="004B4927"/>
    <w:rsid w:val="004C2167"/>
    <w:rsid w:val="004C244C"/>
    <w:rsid w:val="004C643E"/>
    <w:rsid w:val="004D00E9"/>
    <w:rsid w:val="004D1123"/>
    <w:rsid w:val="004D546C"/>
    <w:rsid w:val="004D55F4"/>
    <w:rsid w:val="004F69B4"/>
    <w:rsid w:val="00504140"/>
    <w:rsid w:val="005060BC"/>
    <w:rsid w:val="005105D9"/>
    <w:rsid w:val="00512E4E"/>
    <w:rsid w:val="005165CB"/>
    <w:rsid w:val="00521CA6"/>
    <w:rsid w:val="00525780"/>
    <w:rsid w:val="005300B7"/>
    <w:rsid w:val="00531D9C"/>
    <w:rsid w:val="0053212D"/>
    <w:rsid w:val="00532C1A"/>
    <w:rsid w:val="00534BE1"/>
    <w:rsid w:val="005352AB"/>
    <w:rsid w:val="00536FF0"/>
    <w:rsid w:val="0053796B"/>
    <w:rsid w:val="005450D0"/>
    <w:rsid w:val="00545423"/>
    <w:rsid w:val="00545D67"/>
    <w:rsid w:val="0055003B"/>
    <w:rsid w:val="00553F71"/>
    <w:rsid w:val="00554985"/>
    <w:rsid w:val="00560542"/>
    <w:rsid w:val="0056170C"/>
    <w:rsid w:val="00565635"/>
    <w:rsid w:val="00570CF0"/>
    <w:rsid w:val="00574917"/>
    <w:rsid w:val="00575459"/>
    <w:rsid w:val="005755A5"/>
    <w:rsid w:val="00576B17"/>
    <w:rsid w:val="005878F0"/>
    <w:rsid w:val="00587BC4"/>
    <w:rsid w:val="00587D07"/>
    <w:rsid w:val="005916F3"/>
    <w:rsid w:val="00591767"/>
    <w:rsid w:val="00591E06"/>
    <w:rsid w:val="00594A40"/>
    <w:rsid w:val="00597631"/>
    <w:rsid w:val="005A2210"/>
    <w:rsid w:val="005A38EE"/>
    <w:rsid w:val="005A3D1E"/>
    <w:rsid w:val="005A62CA"/>
    <w:rsid w:val="005A633F"/>
    <w:rsid w:val="005B1F9B"/>
    <w:rsid w:val="005B2EE8"/>
    <w:rsid w:val="005B394F"/>
    <w:rsid w:val="005B7DEC"/>
    <w:rsid w:val="005D0541"/>
    <w:rsid w:val="005D1EA7"/>
    <w:rsid w:val="005D31B1"/>
    <w:rsid w:val="005D3AD9"/>
    <w:rsid w:val="005D5433"/>
    <w:rsid w:val="005D65D0"/>
    <w:rsid w:val="005E066D"/>
    <w:rsid w:val="005E40F5"/>
    <w:rsid w:val="005E618A"/>
    <w:rsid w:val="005F2318"/>
    <w:rsid w:val="005F2C7F"/>
    <w:rsid w:val="005F47A1"/>
    <w:rsid w:val="005F6370"/>
    <w:rsid w:val="005F6733"/>
    <w:rsid w:val="006007A2"/>
    <w:rsid w:val="0060088A"/>
    <w:rsid w:val="0060210C"/>
    <w:rsid w:val="00602799"/>
    <w:rsid w:val="00605E3A"/>
    <w:rsid w:val="00613948"/>
    <w:rsid w:val="006164EB"/>
    <w:rsid w:val="006177B3"/>
    <w:rsid w:val="0062062C"/>
    <w:rsid w:val="00622B44"/>
    <w:rsid w:val="00623192"/>
    <w:rsid w:val="00625EF1"/>
    <w:rsid w:val="00630E37"/>
    <w:rsid w:val="0064027D"/>
    <w:rsid w:val="00642F9E"/>
    <w:rsid w:val="0064320C"/>
    <w:rsid w:val="00656ABD"/>
    <w:rsid w:val="0066388E"/>
    <w:rsid w:val="00671D5B"/>
    <w:rsid w:val="00674FAF"/>
    <w:rsid w:val="006756BE"/>
    <w:rsid w:val="006764D1"/>
    <w:rsid w:val="0068394E"/>
    <w:rsid w:val="00686F96"/>
    <w:rsid w:val="0069036D"/>
    <w:rsid w:val="00690B70"/>
    <w:rsid w:val="00692410"/>
    <w:rsid w:val="00694358"/>
    <w:rsid w:val="00696661"/>
    <w:rsid w:val="006966FB"/>
    <w:rsid w:val="006A232A"/>
    <w:rsid w:val="006A33FF"/>
    <w:rsid w:val="006A4044"/>
    <w:rsid w:val="006A7EB1"/>
    <w:rsid w:val="006B079D"/>
    <w:rsid w:val="006B2336"/>
    <w:rsid w:val="006B4DA9"/>
    <w:rsid w:val="006C28EC"/>
    <w:rsid w:val="006C7C66"/>
    <w:rsid w:val="006D0662"/>
    <w:rsid w:val="006D1A9D"/>
    <w:rsid w:val="006D6871"/>
    <w:rsid w:val="006D699F"/>
    <w:rsid w:val="006D7ECC"/>
    <w:rsid w:val="006E0E59"/>
    <w:rsid w:val="006E17DE"/>
    <w:rsid w:val="006E3639"/>
    <w:rsid w:val="006F031A"/>
    <w:rsid w:val="006F2B28"/>
    <w:rsid w:val="006F4D42"/>
    <w:rsid w:val="006F5700"/>
    <w:rsid w:val="00701B82"/>
    <w:rsid w:val="00704B08"/>
    <w:rsid w:val="00704C66"/>
    <w:rsid w:val="00706E9E"/>
    <w:rsid w:val="00707BF8"/>
    <w:rsid w:val="007101C9"/>
    <w:rsid w:val="00716264"/>
    <w:rsid w:val="00716484"/>
    <w:rsid w:val="0072151D"/>
    <w:rsid w:val="0072592D"/>
    <w:rsid w:val="00731DD4"/>
    <w:rsid w:val="0073225E"/>
    <w:rsid w:val="007426F4"/>
    <w:rsid w:val="00746240"/>
    <w:rsid w:val="00751C84"/>
    <w:rsid w:val="007527F4"/>
    <w:rsid w:val="00762615"/>
    <w:rsid w:val="007654C4"/>
    <w:rsid w:val="00765A82"/>
    <w:rsid w:val="007660D7"/>
    <w:rsid w:val="00766923"/>
    <w:rsid w:val="00767B31"/>
    <w:rsid w:val="007702C1"/>
    <w:rsid w:val="00780934"/>
    <w:rsid w:val="00792065"/>
    <w:rsid w:val="0079333E"/>
    <w:rsid w:val="00794C70"/>
    <w:rsid w:val="007965CF"/>
    <w:rsid w:val="00797731"/>
    <w:rsid w:val="007A13D2"/>
    <w:rsid w:val="007A1BCD"/>
    <w:rsid w:val="007A2494"/>
    <w:rsid w:val="007A3014"/>
    <w:rsid w:val="007A6C1F"/>
    <w:rsid w:val="007B07C9"/>
    <w:rsid w:val="007B1B0C"/>
    <w:rsid w:val="007B3933"/>
    <w:rsid w:val="007B71AB"/>
    <w:rsid w:val="007C0F18"/>
    <w:rsid w:val="007C0F55"/>
    <w:rsid w:val="007D32A1"/>
    <w:rsid w:val="007D42CA"/>
    <w:rsid w:val="007D58A4"/>
    <w:rsid w:val="007F1B21"/>
    <w:rsid w:val="007F1C2A"/>
    <w:rsid w:val="007F2387"/>
    <w:rsid w:val="007F2D78"/>
    <w:rsid w:val="007F4ACA"/>
    <w:rsid w:val="007F4B71"/>
    <w:rsid w:val="00800EDE"/>
    <w:rsid w:val="00805215"/>
    <w:rsid w:val="00811C1F"/>
    <w:rsid w:val="00812CF3"/>
    <w:rsid w:val="00816FC0"/>
    <w:rsid w:val="0082457B"/>
    <w:rsid w:val="00824E4C"/>
    <w:rsid w:val="00825F5C"/>
    <w:rsid w:val="00832EE5"/>
    <w:rsid w:val="0083618E"/>
    <w:rsid w:val="008365BB"/>
    <w:rsid w:val="0084680F"/>
    <w:rsid w:val="00846EA6"/>
    <w:rsid w:val="00847F60"/>
    <w:rsid w:val="0085495D"/>
    <w:rsid w:val="00854A83"/>
    <w:rsid w:val="008565D7"/>
    <w:rsid w:val="00856EAD"/>
    <w:rsid w:val="00857D29"/>
    <w:rsid w:val="008608B1"/>
    <w:rsid w:val="0086253B"/>
    <w:rsid w:val="0086295A"/>
    <w:rsid w:val="00863376"/>
    <w:rsid w:val="008655E8"/>
    <w:rsid w:val="00867A94"/>
    <w:rsid w:val="00875C2F"/>
    <w:rsid w:val="008767A0"/>
    <w:rsid w:val="008905EB"/>
    <w:rsid w:val="00890DC4"/>
    <w:rsid w:val="00893568"/>
    <w:rsid w:val="00894A9F"/>
    <w:rsid w:val="008A13F5"/>
    <w:rsid w:val="008A2C5E"/>
    <w:rsid w:val="008A33EA"/>
    <w:rsid w:val="008A4F46"/>
    <w:rsid w:val="008A58B2"/>
    <w:rsid w:val="008B0C11"/>
    <w:rsid w:val="008B1A68"/>
    <w:rsid w:val="008B2E18"/>
    <w:rsid w:val="008B3A0C"/>
    <w:rsid w:val="008B712E"/>
    <w:rsid w:val="008C0C5F"/>
    <w:rsid w:val="008C2BEA"/>
    <w:rsid w:val="008C36FF"/>
    <w:rsid w:val="008C4EFE"/>
    <w:rsid w:val="008D1395"/>
    <w:rsid w:val="008D175B"/>
    <w:rsid w:val="008D1F04"/>
    <w:rsid w:val="008D2054"/>
    <w:rsid w:val="008D7E18"/>
    <w:rsid w:val="008E025C"/>
    <w:rsid w:val="008E0837"/>
    <w:rsid w:val="008E09B9"/>
    <w:rsid w:val="008E75AB"/>
    <w:rsid w:val="008F0D1E"/>
    <w:rsid w:val="008F3A50"/>
    <w:rsid w:val="008F71C5"/>
    <w:rsid w:val="008F791A"/>
    <w:rsid w:val="00904AF1"/>
    <w:rsid w:val="00904E3A"/>
    <w:rsid w:val="00906B06"/>
    <w:rsid w:val="009140C6"/>
    <w:rsid w:val="00915EAC"/>
    <w:rsid w:val="00916A77"/>
    <w:rsid w:val="00917830"/>
    <w:rsid w:val="00925374"/>
    <w:rsid w:val="00926C35"/>
    <w:rsid w:val="00930727"/>
    <w:rsid w:val="00932B94"/>
    <w:rsid w:val="00932C7F"/>
    <w:rsid w:val="00933A9A"/>
    <w:rsid w:val="009355C1"/>
    <w:rsid w:val="009400B5"/>
    <w:rsid w:val="0094520E"/>
    <w:rsid w:val="00945A6A"/>
    <w:rsid w:val="0095544F"/>
    <w:rsid w:val="009574C8"/>
    <w:rsid w:val="00973038"/>
    <w:rsid w:val="00973A9C"/>
    <w:rsid w:val="009740C9"/>
    <w:rsid w:val="00974725"/>
    <w:rsid w:val="009870B8"/>
    <w:rsid w:val="00991406"/>
    <w:rsid w:val="00993447"/>
    <w:rsid w:val="009946B1"/>
    <w:rsid w:val="009A2A85"/>
    <w:rsid w:val="009A3061"/>
    <w:rsid w:val="009A4447"/>
    <w:rsid w:val="009B4EAB"/>
    <w:rsid w:val="009B6BDA"/>
    <w:rsid w:val="009B7751"/>
    <w:rsid w:val="009B7D32"/>
    <w:rsid w:val="009C5A3B"/>
    <w:rsid w:val="009D120E"/>
    <w:rsid w:val="009D2DA9"/>
    <w:rsid w:val="009D31DC"/>
    <w:rsid w:val="009D3AFA"/>
    <w:rsid w:val="009D7C9C"/>
    <w:rsid w:val="009E6BBA"/>
    <w:rsid w:val="009F0F84"/>
    <w:rsid w:val="009F1F3B"/>
    <w:rsid w:val="009F367E"/>
    <w:rsid w:val="009F663D"/>
    <w:rsid w:val="009F7382"/>
    <w:rsid w:val="009F793E"/>
    <w:rsid w:val="00A077C9"/>
    <w:rsid w:val="00A106A1"/>
    <w:rsid w:val="00A1155D"/>
    <w:rsid w:val="00A15143"/>
    <w:rsid w:val="00A1516D"/>
    <w:rsid w:val="00A15360"/>
    <w:rsid w:val="00A15718"/>
    <w:rsid w:val="00A15D67"/>
    <w:rsid w:val="00A20CEB"/>
    <w:rsid w:val="00A21B44"/>
    <w:rsid w:val="00A22C08"/>
    <w:rsid w:val="00A267DE"/>
    <w:rsid w:val="00A30527"/>
    <w:rsid w:val="00A308BD"/>
    <w:rsid w:val="00A354D0"/>
    <w:rsid w:val="00A4499C"/>
    <w:rsid w:val="00A450B8"/>
    <w:rsid w:val="00A46E06"/>
    <w:rsid w:val="00A5124E"/>
    <w:rsid w:val="00A60B69"/>
    <w:rsid w:val="00A64BCF"/>
    <w:rsid w:val="00A65489"/>
    <w:rsid w:val="00A66EBB"/>
    <w:rsid w:val="00A747EA"/>
    <w:rsid w:val="00A75F76"/>
    <w:rsid w:val="00A821A0"/>
    <w:rsid w:val="00A82A64"/>
    <w:rsid w:val="00A84640"/>
    <w:rsid w:val="00A90EC7"/>
    <w:rsid w:val="00A91754"/>
    <w:rsid w:val="00A95AAA"/>
    <w:rsid w:val="00A9695C"/>
    <w:rsid w:val="00AB5954"/>
    <w:rsid w:val="00AC359E"/>
    <w:rsid w:val="00AC3A5E"/>
    <w:rsid w:val="00AC60D6"/>
    <w:rsid w:val="00AD028D"/>
    <w:rsid w:val="00AD0481"/>
    <w:rsid w:val="00AD1644"/>
    <w:rsid w:val="00AD20FE"/>
    <w:rsid w:val="00AD6719"/>
    <w:rsid w:val="00AE0022"/>
    <w:rsid w:val="00AE0F42"/>
    <w:rsid w:val="00AE3D9E"/>
    <w:rsid w:val="00AF06D9"/>
    <w:rsid w:val="00AF22D5"/>
    <w:rsid w:val="00AF31E0"/>
    <w:rsid w:val="00AF3E2E"/>
    <w:rsid w:val="00AF59B2"/>
    <w:rsid w:val="00AF6145"/>
    <w:rsid w:val="00B014E4"/>
    <w:rsid w:val="00B04171"/>
    <w:rsid w:val="00B11696"/>
    <w:rsid w:val="00B11E2D"/>
    <w:rsid w:val="00B13AEC"/>
    <w:rsid w:val="00B226EC"/>
    <w:rsid w:val="00B25890"/>
    <w:rsid w:val="00B264A4"/>
    <w:rsid w:val="00B37BB0"/>
    <w:rsid w:val="00B41B06"/>
    <w:rsid w:val="00B5156C"/>
    <w:rsid w:val="00B5295B"/>
    <w:rsid w:val="00B53248"/>
    <w:rsid w:val="00B534E1"/>
    <w:rsid w:val="00B54ED8"/>
    <w:rsid w:val="00B610B7"/>
    <w:rsid w:val="00B65646"/>
    <w:rsid w:val="00B66CD9"/>
    <w:rsid w:val="00B734F2"/>
    <w:rsid w:val="00B74678"/>
    <w:rsid w:val="00B81B71"/>
    <w:rsid w:val="00B838F8"/>
    <w:rsid w:val="00B940AD"/>
    <w:rsid w:val="00B9661D"/>
    <w:rsid w:val="00BA0D51"/>
    <w:rsid w:val="00BA17E8"/>
    <w:rsid w:val="00BA23EB"/>
    <w:rsid w:val="00BA4278"/>
    <w:rsid w:val="00BA5438"/>
    <w:rsid w:val="00BB55BA"/>
    <w:rsid w:val="00BB5BAD"/>
    <w:rsid w:val="00BB5E0D"/>
    <w:rsid w:val="00BC1DD7"/>
    <w:rsid w:val="00BC1DF7"/>
    <w:rsid w:val="00BC29D5"/>
    <w:rsid w:val="00BC30BA"/>
    <w:rsid w:val="00BD0DE0"/>
    <w:rsid w:val="00BD13E4"/>
    <w:rsid w:val="00BD3BEF"/>
    <w:rsid w:val="00BD3CE6"/>
    <w:rsid w:val="00BD52AD"/>
    <w:rsid w:val="00BE1689"/>
    <w:rsid w:val="00BE2D6A"/>
    <w:rsid w:val="00BE65CD"/>
    <w:rsid w:val="00BE7F69"/>
    <w:rsid w:val="00BF1C97"/>
    <w:rsid w:val="00C02E4C"/>
    <w:rsid w:val="00C06925"/>
    <w:rsid w:val="00C10EBA"/>
    <w:rsid w:val="00C229A6"/>
    <w:rsid w:val="00C23BB0"/>
    <w:rsid w:val="00C24D3D"/>
    <w:rsid w:val="00C269D0"/>
    <w:rsid w:val="00C26ADC"/>
    <w:rsid w:val="00C32DB2"/>
    <w:rsid w:val="00C330F8"/>
    <w:rsid w:val="00C342EE"/>
    <w:rsid w:val="00C36B64"/>
    <w:rsid w:val="00C51EB8"/>
    <w:rsid w:val="00C6711E"/>
    <w:rsid w:val="00C67D12"/>
    <w:rsid w:val="00C71120"/>
    <w:rsid w:val="00C730FD"/>
    <w:rsid w:val="00C7401F"/>
    <w:rsid w:val="00C8126F"/>
    <w:rsid w:val="00C816F3"/>
    <w:rsid w:val="00C81F73"/>
    <w:rsid w:val="00C9438B"/>
    <w:rsid w:val="00C947C2"/>
    <w:rsid w:val="00CA0D4E"/>
    <w:rsid w:val="00CA6BA4"/>
    <w:rsid w:val="00CA7F53"/>
    <w:rsid w:val="00CB08E4"/>
    <w:rsid w:val="00CB0A1B"/>
    <w:rsid w:val="00CB3218"/>
    <w:rsid w:val="00CB3314"/>
    <w:rsid w:val="00CB5587"/>
    <w:rsid w:val="00CB7F8B"/>
    <w:rsid w:val="00CC0048"/>
    <w:rsid w:val="00CC0C9F"/>
    <w:rsid w:val="00CC328D"/>
    <w:rsid w:val="00CC383A"/>
    <w:rsid w:val="00CC6D49"/>
    <w:rsid w:val="00CC77F3"/>
    <w:rsid w:val="00CD0915"/>
    <w:rsid w:val="00CD283B"/>
    <w:rsid w:val="00CD2B58"/>
    <w:rsid w:val="00CD71AD"/>
    <w:rsid w:val="00CD72C4"/>
    <w:rsid w:val="00CD73ED"/>
    <w:rsid w:val="00CD7494"/>
    <w:rsid w:val="00CE7A34"/>
    <w:rsid w:val="00CF2D9D"/>
    <w:rsid w:val="00D031DE"/>
    <w:rsid w:val="00D040EB"/>
    <w:rsid w:val="00D05FF4"/>
    <w:rsid w:val="00D06039"/>
    <w:rsid w:val="00D06A8E"/>
    <w:rsid w:val="00D12CE8"/>
    <w:rsid w:val="00D135FF"/>
    <w:rsid w:val="00D16FA9"/>
    <w:rsid w:val="00D225BB"/>
    <w:rsid w:val="00D26C4E"/>
    <w:rsid w:val="00D3103B"/>
    <w:rsid w:val="00D31062"/>
    <w:rsid w:val="00D32AA9"/>
    <w:rsid w:val="00D345C9"/>
    <w:rsid w:val="00D40A7C"/>
    <w:rsid w:val="00D40B79"/>
    <w:rsid w:val="00D421E6"/>
    <w:rsid w:val="00D445BF"/>
    <w:rsid w:val="00D45AA8"/>
    <w:rsid w:val="00D45B5C"/>
    <w:rsid w:val="00D4732C"/>
    <w:rsid w:val="00D4775D"/>
    <w:rsid w:val="00D533A1"/>
    <w:rsid w:val="00D537FB"/>
    <w:rsid w:val="00D54E86"/>
    <w:rsid w:val="00D56E00"/>
    <w:rsid w:val="00D62C4F"/>
    <w:rsid w:val="00D675AF"/>
    <w:rsid w:val="00D704A3"/>
    <w:rsid w:val="00D71926"/>
    <w:rsid w:val="00D72975"/>
    <w:rsid w:val="00D8048A"/>
    <w:rsid w:val="00D828BB"/>
    <w:rsid w:val="00D83CF9"/>
    <w:rsid w:val="00D8431F"/>
    <w:rsid w:val="00D852C8"/>
    <w:rsid w:val="00D85519"/>
    <w:rsid w:val="00D9460D"/>
    <w:rsid w:val="00D95900"/>
    <w:rsid w:val="00DA0928"/>
    <w:rsid w:val="00DA2BD8"/>
    <w:rsid w:val="00DA734F"/>
    <w:rsid w:val="00DB0A48"/>
    <w:rsid w:val="00DB7297"/>
    <w:rsid w:val="00DC42BF"/>
    <w:rsid w:val="00DC4CE6"/>
    <w:rsid w:val="00DC59D0"/>
    <w:rsid w:val="00DD0688"/>
    <w:rsid w:val="00DD10B2"/>
    <w:rsid w:val="00DD15E2"/>
    <w:rsid w:val="00DD387B"/>
    <w:rsid w:val="00DD3CA1"/>
    <w:rsid w:val="00DD5007"/>
    <w:rsid w:val="00DD5E28"/>
    <w:rsid w:val="00DE3B48"/>
    <w:rsid w:val="00DF1551"/>
    <w:rsid w:val="00DF15EE"/>
    <w:rsid w:val="00DF1D52"/>
    <w:rsid w:val="00DF76A4"/>
    <w:rsid w:val="00DF782F"/>
    <w:rsid w:val="00E0079E"/>
    <w:rsid w:val="00E0149A"/>
    <w:rsid w:val="00E0224B"/>
    <w:rsid w:val="00E03324"/>
    <w:rsid w:val="00E05314"/>
    <w:rsid w:val="00E06BF6"/>
    <w:rsid w:val="00E06CEF"/>
    <w:rsid w:val="00E071B0"/>
    <w:rsid w:val="00E07CFE"/>
    <w:rsid w:val="00E104FA"/>
    <w:rsid w:val="00E108F6"/>
    <w:rsid w:val="00E11AC4"/>
    <w:rsid w:val="00E12810"/>
    <w:rsid w:val="00E12C21"/>
    <w:rsid w:val="00E12D30"/>
    <w:rsid w:val="00E130E5"/>
    <w:rsid w:val="00E1330E"/>
    <w:rsid w:val="00E156B9"/>
    <w:rsid w:val="00E165AE"/>
    <w:rsid w:val="00E21533"/>
    <w:rsid w:val="00E2184B"/>
    <w:rsid w:val="00E21BB8"/>
    <w:rsid w:val="00E228A2"/>
    <w:rsid w:val="00E25716"/>
    <w:rsid w:val="00E2620C"/>
    <w:rsid w:val="00E30F5D"/>
    <w:rsid w:val="00E413A6"/>
    <w:rsid w:val="00E47D99"/>
    <w:rsid w:val="00E5528A"/>
    <w:rsid w:val="00E561E9"/>
    <w:rsid w:val="00E612DE"/>
    <w:rsid w:val="00E6144B"/>
    <w:rsid w:val="00E616F7"/>
    <w:rsid w:val="00E62D47"/>
    <w:rsid w:val="00E65C65"/>
    <w:rsid w:val="00E66F22"/>
    <w:rsid w:val="00E73433"/>
    <w:rsid w:val="00E75ADC"/>
    <w:rsid w:val="00E83CE9"/>
    <w:rsid w:val="00E84191"/>
    <w:rsid w:val="00E8462E"/>
    <w:rsid w:val="00E8513B"/>
    <w:rsid w:val="00E927D9"/>
    <w:rsid w:val="00E9424E"/>
    <w:rsid w:val="00E9563F"/>
    <w:rsid w:val="00EA070C"/>
    <w:rsid w:val="00EA12FA"/>
    <w:rsid w:val="00EA49D9"/>
    <w:rsid w:val="00EA53A1"/>
    <w:rsid w:val="00EA6D79"/>
    <w:rsid w:val="00EB01EF"/>
    <w:rsid w:val="00EB0BAF"/>
    <w:rsid w:val="00EB3DFB"/>
    <w:rsid w:val="00EC24D8"/>
    <w:rsid w:val="00EC5767"/>
    <w:rsid w:val="00EC5C89"/>
    <w:rsid w:val="00ED6064"/>
    <w:rsid w:val="00EE0A78"/>
    <w:rsid w:val="00EE7598"/>
    <w:rsid w:val="00EF0DD3"/>
    <w:rsid w:val="00EF1425"/>
    <w:rsid w:val="00EF14E0"/>
    <w:rsid w:val="00EF2C88"/>
    <w:rsid w:val="00EF767D"/>
    <w:rsid w:val="00F0652B"/>
    <w:rsid w:val="00F11523"/>
    <w:rsid w:val="00F14283"/>
    <w:rsid w:val="00F14FAF"/>
    <w:rsid w:val="00F16065"/>
    <w:rsid w:val="00F174A7"/>
    <w:rsid w:val="00F225EF"/>
    <w:rsid w:val="00F22B65"/>
    <w:rsid w:val="00F25257"/>
    <w:rsid w:val="00F27B1C"/>
    <w:rsid w:val="00F30361"/>
    <w:rsid w:val="00F30557"/>
    <w:rsid w:val="00F33109"/>
    <w:rsid w:val="00F3737F"/>
    <w:rsid w:val="00F40037"/>
    <w:rsid w:val="00F4337B"/>
    <w:rsid w:val="00F43D29"/>
    <w:rsid w:val="00F46FF8"/>
    <w:rsid w:val="00F4763C"/>
    <w:rsid w:val="00F507CB"/>
    <w:rsid w:val="00F52B48"/>
    <w:rsid w:val="00F561EB"/>
    <w:rsid w:val="00F64FEB"/>
    <w:rsid w:val="00F702F4"/>
    <w:rsid w:val="00F730CF"/>
    <w:rsid w:val="00F81A21"/>
    <w:rsid w:val="00F81F2B"/>
    <w:rsid w:val="00F8302F"/>
    <w:rsid w:val="00F8468C"/>
    <w:rsid w:val="00F867BF"/>
    <w:rsid w:val="00F8724A"/>
    <w:rsid w:val="00F91118"/>
    <w:rsid w:val="00F92AFA"/>
    <w:rsid w:val="00F93479"/>
    <w:rsid w:val="00F935CA"/>
    <w:rsid w:val="00F950BF"/>
    <w:rsid w:val="00F95BA8"/>
    <w:rsid w:val="00FA5A7D"/>
    <w:rsid w:val="00FA66BD"/>
    <w:rsid w:val="00FB3D21"/>
    <w:rsid w:val="00FB40F0"/>
    <w:rsid w:val="00FD37AB"/>
    <w:rsid w:val="00FD619A"/>
    <w:rsid w:val="00FE0409"/>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27757904">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2.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71E69-3E97-4D65-8C01-01EEEA2010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b6b0de-984a-4a78-a39f-cb9c8b26df3b"/>
    <ds:schemaRef ds:uri="http://schemas.microsoft.com/sharepoint/v3"/>
    <ds:schemaRef ds:uri="30f27a67-e3d9-46c1-b96c-c174a62fd7b5"/>
    <ds:schemaRef ds:uri="http://www.w3.org/XML/1998/namespace"/>
    <ds:schemaRef ds:uri="http://purl.org/dc/dcmitype/"/>
  </ds:schemaRefs>
</ds:datastoreItem>
</file>

<file path=customXml/itemProps4.xml><?xml version="1.0" encoding="utf-8"?>
<ds:datastoreItem xmlns:ds="http://schemas.openxmlformats.org/officeDocument/2006/customXml" ds:itemID="{BC4851B3-2D6D-44D1-B002-E91FB2E1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4240</Words>
  <Characters>2418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Maskavas ielā 435, k-1, Rīgā, pārdošanu"</vt:lpstr>
    </vt:vector>
  </TitlesOfParts>
  <Company>Finanšu ministrija (VNĪ)</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Lielupes ielā 3, Rīgā, nodošanu Rīgas pilsētas pašvaldības īpašumā"</dc:title>
  <dc:subject>Izziņa par atzinumos sniegtajiem iebildumiem</dc:subject>
  <dc:creator>Liga.Rozenberga@vni.lv</dc:creator>
  <cp:keywords/>
  <dc:description>Liga.Rozenberga@vni.lv
22046774</dc:description>
  <cp:lastModifiedBy>Līga Rozenberga</cp:lastModifiedBy>
  <cp:revision>47</cp:revision>
  <cp:lastPrinted>2020-06-29T08:34:00Z</cp:lastPrinted>
  <dcterms:created xsi:type="dcterms:W3CDTF">2020-10-15T09:05:00Z</dcterms:created>
  <dcterms:modified xsi:type="dcterms:W3CDTF">2020-10-15T10:04:00Z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