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72FF8D2B" w:rsidR="00681E25" w:rsidRDefault="00920A52" w:rsidP="00DA68E7">
      <w:pPr>
        <w:jc w:val="center"/>
        <w:rPr>
          <w:b/>
          <w:sz w:val="26"/>
          <w:szCs w:val="26"/>
        </w:rPr>
      </w:pPr>
      <w:bookmarkStart w:id="0" w:name="OLE_LINK3"/>
      <w:bookmarkStart w:id="1" w:name="OLE_LINK4"/>
      <w:bookmarkStart w:id="2" w:name="OLE_LINK1"/>
      <w:r w:rsidRPr="00920A52">
        <w:rPr>
          <w:b/>
          <w:sz w:val="26"/>
          <w:szCs w:val="26"/>
        </w:rPr>
        <w:t>Minis</w:t>
      </w:r>
      <w:r w:rsidR="00113533">
        <w:rPr>
          <w:b/>
          <w:sz w:val="26"/>
          <w:szCs w:val="26"/>
        </w:rPr>
        <w:t>tru kabineta rīkojuma projekta „</w:t>
      </w:r>
      <w:r w:rsidR="00DA68E7" w:rsidRPr="00DA68E7">
        <w:rPr>
          <w:b/>
          <w:sz w:val="26"/>
          <w:szCs w:val="26"/>
        </w:rPr>
        <w:t xml:space="preserve">Par finanšu līdzekļu piešķiršanu no valsts budžeta programmas </w:t>
      </w:r>
      <w:r w:rsidR="00DA68E7">
        <w:rPr>
          <w:b/>
          <w:sz w:val="26"/>
          <w:szCs w:val="26"/>
        </w:rPr>
        <w:t>„</w:t>
      </w:r>
      <w:r w:rsidR="00DA68E7" w:rsidRPr="00DA68E7">
        <w:rPr>
          <w:b/>
          <w:sz w:val="26"/>
          <w:szCs w:val="26"/>
        </w:rPr>
        <w:t>Lī</w:t>
      </w:r>
      <w:r w:rsidR="00DA68E7">
        <w:rPr>
          <w:b/>
          <w:sz w:val="26"/>
          <w:szCs w:val="26"/>
        </w:rPr>
        <w:t>dzekļi neparedzētiem gadījumiem””</w:t>
      </w:r>
      <w:r w:rsidRPr="00920A52">
        <w:rPr>
          <w:b/>
          <w:sz w:val="26"/>
          <w:szCs w:val="26"/>
        </w:rPr>
        <w:t xml:space="preserve"> sākotnējās ietekmes 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77777777" w:rsidR="00717D4B" w:rsidRPr="00317B6A" w:rsidRDefault="00717D4B" w:rsidP="001B2A96">
            <w:pPr>
              <w:pStyle w:val="naisnod"/>
              <w:spacing w:before="0" w:after="0"/>
            </w:pPr>
            <w:r w:rsidRPr="00717D4B">
              <w:t>Tiesību akta 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387F3FA4" w:rsidR="00667437" w:rsidRPr="00317B6A" w:rsidRDefault="00A67C41" w:rsidP="00667437">
            <w:pPr>
              <w:pStyle w:val="naiskr"/>
              <w:spacing w:before="0" w:after="0"/>
              <w:ind w:left="141"/>
            </w:pPr>
            <w:r w:rsidRPr="00A67C41">
              <w:t>Mērķis, risinājums un projekta spēkā stāšanās laiks (500 zīmes bez atstarpēm)</w:t>
            </w:r>
          </w:p>
        </w:tc>
        <w:tc>
          <w:tcPr>
            <w:tcW w:w="7513" w:type="dxa"/>
            <w:tcBorders>
              <w:bottom w:val="single" w:sz="4" w:space="0" w:color="auto"/>
            </w:tcBorders>
          </w:tcPr>
          <w:p w14:paraId="1BD3971A" w14:textId="3EBE6C32" w:rsidR="00032A0F" w:rsidRPr="00317B6A" w:rsidRDefault="00032A0F" w:rsidP="00422D5B">
            <w:pPr>
              <w:ind w:left="82" w:right="141"/>
              <w:jc w:val="both"/>
            </w:pPr>
            <w:r>
              <w:t xml:space="preserve">Projekts paredz </w:t>
            </w:r>
            <w:r w:rsidR="000D0D39" w:rsidRPr="000D0D39">
              <w:t xml:space="preserve">no valsts budžeta programmas 02.00.00 „Līdzekļi neparedzētiem gadījumiem” piešķirt Izglītības un zinātnes ministrijai </w:t>
            </w:r>
            <w:r w:rsidR="00BD3F90">
              <w:br/>
            </w:r>
            <w:r w:rsidR="00422D5B">
              <w:t xml:space="preserve">1 500 000 </w:t>
            </w:r>
            <w:r w:rsidR="00BD3F90" w:rsidRPr="00BD3F90">
              <w:rPr>
                <w:i/>
              </w:rPr>
              <w:t>euro</w:t>
            </w:r>
            <w:r w:rsidR="00422D5B">
              <w:t xml:space="preserve">, tai skaitā (1)  900 000 euro biedrībai „Latvijas Olimpiskā komiteja” olimpisko centru projektu īstenošanai saņemto valsts galvoto aizdevumu 2021. gada maksājuma daļējai atmaksai, tādējādi nodrošinot saistību daļēju izpildi 2020. gadā, (2) 300 000 </w:t>
            </w:r>
            <w:r w:rsidR="00422D5B" w:rsidRPr="00422D5B">
              <w:rPr>
                <w:i/>
              </w:rPr>
              <w:t>euro</w:t>
            </w:r>
            <w:r w:rsidR="00422D5B">
              <w:t xml:space="preserve"> 2021. gada FIM pasaules čempionāta motokrosā MXGP klasē posma organizēšanas licences iegādei un (3) 300 000 </w:t>
            </w:r>
            <w:r w:rsidR="00422D5B" w:rsidRPr="00422D5B">
              <w:rPr>
                <w:i/>
              </w:rPr>
              <w:t>euro</w:t>
            </w:r>
            <w:r w:rsidR="00422D5B">
              <w:t xml:space="preserve"> 2021. gada FIA Eiropas rallija čempionāta posma organizēšanas licences iegādei.</w:t>
            </w:r>
          </w:p>
        </w:tc>
      </w:tr>
    </w:tbl>
    <w:p w14:paraId="1F80B51E" w14:textId="2D0735BB" w:rsidR="00717D4B" w:rsidRPr="00920A52"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755"/>
      </w:tblGrid>
      <w:tr w:rsidR="00585B7B" w:rsidRPr="00317B6A" w14:paraId="49F7013D" w14:textId="77777777" w:rsidTr="00DA1547">
        <w:tc>
          <w:tcPr>
            <w:tcW w:w="10201"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DA1547">
        <w:trPr>
          <w:trHeight w:val="630"/>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Default="00585B7B" w:rsidP="00B33243">
            <w:pPr>
              <w:pStyle w:val="naiskr"/>
              <w:tabs>
                <w:tab w:val="right" w:pos="2537"/>
              </w:tabs>
              <w:spacing w:before="0" w:after="0"/>
              <w:ind w:left="141" w:hanging="10"/>
            </w:pPr>
            <w:r w:rsidRPr="00B24229">
              <w:t>Pamatojums</w:t>
            </w:r>
            <w:r w:rsidR="00B33243">
              <w:tab/>
            </w:r>
          </w:p>
          <w:p w14:paraId="34EB22D4" w14:textId="77777777" w:rsidR="00ED01CB" w:rsidRPr="00ED01CB" w:rsidRDefault="00ED01CB" w:rsidP="00ED01CB"/>
          <w:p w14:paraId="1CA5BA33" w14:textId="77777777" w:rsidR="00ED01CB" w:rsidRPr="00ED01CB" w:rsidRDefault="00ED01CB" w:rsidP="00ED01CB"/>
          <w:p w14:paraId="15AFB181" w14:textId="77777777" w:rsidR="00ED01CB" w:rsidRPr="00ED01CB" w:rsidRDefault="00ED01CB" w:rsidP="00ED01CB"/>
          <w:p w14:paraId="3214E29D" w14:textId="10395172" w:rsidR="00ED01CB" w:rsidRDefault="00ED01CB" w:rsidP="00ED01CB"/>
          <w:p w14:paraId="01F64302" w14:textId="77777777" w:rsidR="00585B7B" w:rsidRPr="00ED01CB" w:rsidRDefault="00585B7B" w:rsidP="00ED01CB">
            <w:pPr>
              <w:jc w:val="center"/>
            </w:pPr>
          </w:p>
        </w:tc>
        <w:tc>
          <w:tcPr>
            <w:tcW w:w="7755" w:type="dxa"/>
          </w:tcPr>
          <w:p w14:paraId="36837214" w14:textId="49FCDD7B" w:rsidR="00CE4F40" w:rsidRDefault="00422D5B" w:rsidP="00CE4F40">
            <w:pPr>
              <w:pStyle w:val="ListParagraph"/>
              <w:numPr>
                <w:ilvl w:val="0"/>
                <w:numId w:val="26"/>
              </w:numPr>
              <w:ind w:left="461" w:right="142"/>
              <w:jc w:val="both"/>
            </w:pPr>
            <w:r w:rsidRPr="00422D5B">
              <w:t xml:space="preserve">Latvijas Nacionālās sporta padomes (turpmāk – Padome) 2020. gada 3. decembra sēdē Ministru kabinetam izteiktais </w:t>
            </w:r>
            <w:r>
              <w:t>aicinājums</w:t>
            </w:r>
            <w:r w:rsidRPr="00422D5B">
              <w:t xml:space="preserve"> (prot. Nr. 3 </w:t>
            </w:r>
            <w:r w:rsidR="00CE4F40">
              <w:t>5</w:t>
            </w:r>
            <w:r w:rsidRPr="00422D5B">
              <w:t xml:space="preserve">. §., </w:t>
            </w:r>
            <w:r w:rsidR="00CE4F40">
              <w:t>5.4.</w:t>
            </w:r>
            <w:r w:rsidRPr="00422D5B">
              <w:t xml:space="preserve"> </w:t>
            </w:r>
            <w:r w:rsidR="00BD4A5C">
              <w:t xml:space="preserve">un 5.5. </w:t>
            </w:r>
            <w:r w:rsidRPr="00422D5B">
              <w:t>apakšpunkts).</w:t>
            </w:r>
          </w:p>
          <w:p w14:paraId="27CBF092" w14:textId="06409F9C" w:rsidR="00CE4F40" w:rsidRDefault="00CE4F40" w:rsidP="00CE4F40">
            <w:pPr>
              <w:pStyle w:val="ListParagraph"/>
              <w:numPr>
                <w:ilvl w:val="0"/>
                <w:numId w:val="26"/>
              </w:numPr>
              <w:ind w:left="461" w:right="142"/>
              <w:jc w:val="both"/>
            </w:pPr>
            <w:r>
              <w:t xml:space="preserve">Nepieciešamība pieejamo valsts budžeta līdzekļu ietvaros nodrošināt līdzfinansējumu </w:t>
            </w:r>
            <w:r w:rsidR="000D7E91">
              <w:t xml:space="preserve">vismaz daļas no </w:t>
            </w:r>
            <w:r w:rsidRPr="00CE4F40">
              <w:t>2021. gadā Latvijā paredzēto nacionālas nozīmes starptautisku sporta sacensību organizēšanas izdevumu segšanai</w:t>
            </w:r>
            <w:r w:rsidR="000D7E91">
              <w:t>.</w:t>
            </w:r>
          </w:p>
          <w:p w14:paraId="2C78CCC9" w14:textId="77777777" w:rsidR="00CE4F40" w:rsidRDefault="00987B0B" w:rsidP="00CE4F40">
            <w:pPr>
              <w:pStyle w:val="ListParagraph"/>
              <w:numPr>
                <w:ilvl w:val="0"/>
                <w:numId w:val="26"/>
              </w:numPr>
              <w:ind w:left="461" w:right="142"/>
              <w:jc w:val="both"/>
            </w:pPr>
            <w:r w:rsidRPr="00987B0B">
              <w:t>Likuma par budžetu un finanšu vadību 12. panta pirmā daļa.</w:t>
            </w:r>
          </w:p>
          <w:p w14:paraId="689444FE" w14:textId="31551323" w:rsidR="002C76A3" w:rsidRPr="00B24229" w:rsidRDefault="00E251D1" w:rsidP="00CE4F40">
            <w:pPr>
              <w:pStyle w:val="ListParagraph"/>
              <w:numPr>
                <w:ilvl w:val="0"/>
                <w:numId w:val="26"/>
              </w:numPr>
              <w:ind w:left="461" w:right="142"/>
              <w:jc w:val="both"/>
            </w:pPr>
            <w:r w:rsidRPr="008E6979">
              <w:t>Ministru kabineta 2018.</w:t>
            </w:r>
            <w:r>
              <w:t xml:space="preserve"> </w:t>
            </w:r>
            <w:r w:rsidRPr="008E6979">
              <w:t>gada 17.</w:t>
            </w:r>
            <w:r>
              <w:t xml:space="preserve"> </w:t>
            </w:r>
            <w:r w:rsidRPr="008E6979">
              <w:t>jūlija noteikumu Nr.</w:t>
            </w:r>
            <w:r>
              <w:t xml:space="preserve"> </w:t>
            </w:r>
            <w:r w:rsidRPr="008E6979">
              <w:t xml:space="preserve">421 „Kārtība, kādā veic gadskārtējā valsts budžeta likumā noteiktās apropriācijas izmaiņas” </w:t>
            </w:r>
            <w:r w:rsidR="0018757E">
              <w:t xml:space="preserve">41. un </w:t>
            </w:r>
            <w:r w:rsidRPr="008E6979">
              <w:t>43.</w:t>
            </w:r>
            <w:r>
              <w:t xml:space="preserve"> </w:t>
            </w:r>
            <w:r w:rsidRPr="008E6979">
              <w:t>p</w:t>
            </w:r>
            <w:r>
              <w:t>unkts</w:t>
            </w:r>
            <w:r w:rsidR="0018757E">
              <w:t>.</w:t>
            </w:r>
          </w:p>
        </w:tc>
      </w:tr>
      <w:tr w:rsidR="00585B7B" w:rsidRPr="00317B6A" w14:paraId="4917C93B" w14:textId="77777777" w:rsidTr="00DA1547">
        <w:trPr>
          <w:trHeight w:val="562"/>
        </w:trPr>
        <w:tc>
          <w:tcPr>
            <w:tcW w:w="562" w:type="dxa"/>
          </w:tcPr>
          <w:p w14:paraId="5FDD0BAA" w14:textId="6A9AB84C"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755" w:type="dxa"/>
          </w:tcPr>
          <w:p w14:paraId="0507D802" w14:textId="2904474F" w:rsidR="0074431E" w:rsidRDefault="00B4131C" w:rsidP="0074431E">
            <w:pPr>
              <w:ind w:left="101" w:right="142"/>
              <w:jc w:val="both"/>
            </w:pPr>
            <w:r>
              <w:tab/>
              <w:t>Padomes</w:t>
            </w:r>
            <w:r w:rsidRPr="00422D5B">
              <w:t xml:space="preserve"> 2020. gada 3. decembra sēdē </w:t>
            </w:r>
            <w:r>
              <w:t xml:space="preserve">tika pieņemts zināšanai </w:t>
            </w:r>
            <w:r w:rsidRPr="00422D5B">
              <w:t xml:space="preserve">(prot. Nr. 3 </w:t>
            </w:r>
            <w:r>
              <w:t>5</w:t>
            </w:r>
            <w:r w:rsidRPr="00422D5B">
              <w:t xml:space="preserve">. §., </w:t>
            </w:r>
            <w:r>
              <w:t>5.2.</w:t>
            </w:r>
            <w:r w:rsidRPr="00422D5B">
              <w:t xml:space="preserve"> apakšpunkts</w:t>
            </w:r>
            <w:r>
              <w:t xml:space="preserve">) </w:t>
            </w:r>
            <w:r w:rsidRPr="000D7E91">
              <w:t>aktualizētais</w:t>
            </w:r>
            <w:r>
              <w:t xml:space="preserve"> </w:t>
            </w:r>
            <w:r w:rsidRPr="00B4131C">
              <w:t>2021.gadā Latvijā plānoto nacionālas nozīmes starptautisko</w:t>
            </w:r>
            <w:r>
              <w:t xml:space="preserve"> sporta sacensību kalendārs (turpmāk – Kalendārs), </w:t>
            </w:r>
            <w:r w:rsidR="000D7E91" w:rsidRPr="000D7E91">
              <w:t>saskaņā ar kuru 202</w:t>
            </w:r>
            <w:r>
              <w:t>1</w:t>
            </w:r>
            <w:r w:rsidR="000D7E91" w:rsidRPr="000D7E91">
              <w:t>.</w:t>
            </w:r>
            <w:r>
              <w:t xml:space="preserve"> </w:t>
            </w:r>
            <w:r w:rsidR="000D7E91" w:rsidRPr="000D7E91">
              <w:t xml:space="preserve">Latvijā </w:t>
            </w:r>
            <w:r>
              <w:t>plānot</w:t>
            </w:r>
            <w:r w:rsidR="00D01B3C">
              <w:t>as</w:t>
            </w:r>
            <w:r>
              <w:t xml:space="preserve"> 24 </w:t>
            </w:r>
            <w:r w:rsidRPr="000D7E91">
              <w:t>nacionālas nozīmes starptautiskas sporta sace</w:t>
            </w:r>
            <w:r>
              <w:t xml:space="preserve">nsības (piemēram, </w:t>
            </w:r>
            <w:r w:rsidRPr="000D7E91">
              <w:t>2021. gada pasaules č</w:t>
            </w:r>
            <w:r>
              <w:t xml:space="preserve">empionāts hokejā vīriešiem, </w:t>
            </w:r>
            <w:r w:rsidRPr="00B4131C">
              <w:t>2022. gada Ziemas Olimpisko spēļu  kvalifikācijas turnīr</w:t>
            </w:r>
            <w:r>
              <w:t xml:space="preserve">s hokejā, </w:t>
            </w:r>
            <w:r w:rsidRPr="000D7E91">
              <w:t xml:space="preserve">pasaules čempionāta posms </w:t>
            </w:r>
            <w:r>
              <w:t xml:space="preserve">motokrosā un </w:t>
            </w:r>
            <w:r w:rsidRPr="000D7E91">
              <w:t>rallijkrosā, Ei</w:t>
            </w:r>
            <w:r w:rsidR="002D611A">
              <w:t xml:space="preserve">ropas čempionāta posms rallijā, </w:t>
            </w:r>
            <w:r>
              <w:t>p</w:t>
            </w:r>
            <w:r w:rsidRPr="00B4131C">
              <w:t>asaules čempionāt</w:t>
            </w:r>
            <w:r>
              <w:t>s</w:t>
            </w:r>
            <w:r w:rsidRPr="00B4131C">
              <w:t xml:space="preserve"> basketbolā U-19 jauniešiem</w:t>
            </w:r>
            <w:r>
              <w:t xml:space="preserve"> [</w:t>
            </w:r>
            <w:r w:rsidR="00D66044">
              <w:t xml:space="preserve">rīkošanas tiesības vēl nav piešķirtas], Eiropas čempionāts </w:t>
            </w:r>
            <w:r w:rsidR="00D66044" w:rsidRPr="00D66044">
              <w:t>kadetiem džudo</w:t>
            </w:r>
            <w:r w:rsidR="00D01B3C">
              <w:t xml:space="preserve">, </w:t>
            </w:r>
            <w:r w:rsidR="002D611A">
              <w:t xml:space="preserve">Eiropas čempionāta basketbolā kvalifikācijas spēles vīriešu un sieviešu izlasēm, </w:t>
            </w:r>
            <w:r w:rsidR="00D01B3C">
              <w:t>Latvijas sieviešu tenisa izlases spēles</w:t>
            </w:r>
            <w:r w:rsidR="00D66044">
              <w:t xml:space="preserve"> </w:t>
            </w:r>
            <w:r w:rsidRPr="000D7E91">
              <w:t>u.c.</w:t>
            </w:r>
            <w:r w:rsidR="00F13B24">
              <w:t>)</w:t>
            </w:r>
            <w:r w:rsidR="00D66044">
              <w:t xml:space="preserve">, kuru līdzfinansēšanai no valsts budžeta Sporta likumā noteiktā kārtībā atzītās sporta federācijas ir lūgušas valsts līdzfinansējumu 3 736 900 </w:t>
            </w:r>
            <w:r w:rsidR="00D66044" w:rsidRPr="00D66044">
              <w:rPr>
                <w:i/>
              </w:rPr>
              <w:t>euro</w:t>
            </w:r>
            <w:r w:rsidR="00D66044">
              <w:t xml:space="preserve"> apmērā.</w:t>
            </w:r>
            <w:r w:rsidR="00D01B3C">
              <w:t xml:space="preserve"> Ņemot vērā 2020. gadā šim mērķim jau piešķirtos (275 000 </w:t>
            </w:r>
            <w:r w:rsidR="00D01B3C" w:rsidRPr="00D01B3C">
              <w:rPr>
                <w:i/>
              </w:rPr>
              <w:t>euro</w:t>
            </w:r>
            <w:r w:rsidR="00D01B3C">
              <w:t xml:space="preserve">) un </w:t>
            </w:r>
            <w:r w:rsidR="002D611A">
              <w:t xml:space="preserve">2021. gadā </w:t>
            </w:r>
            <w:r w:rsidR="002D611A" w:rsidRPr="002D611A">
              <w:t xml:space="preserve">Izglītības un zinātnes ministrijas (turpmāk – </w:t>
            </w:r>
            <w:r w:rsidR="0074431E">
              <w:t>IZM</w:t>
            </w:r>
            <w:r w:rsidR="002D611A" w:rsidRPr="002D611A">
              <w:t xml:space="preserve">) valsts budžeta programmas 09.00.00 „Sports” apakšprogrammā 09.16.00 „Dotācija nacionālas nozīmes starptautisku sporta pasākumu organizēšanai Latvijā” šim mērķim </w:t>
            </w:r>
            <w:r w:rsidR="002D611A">
              <w:t xml:space="preserve">paredzēto </w:t>
            </w:r>
            <w:r w:rsidR="002D611A" w:rsidRPr="002D611A">
              <w:t>valsts budžeta līdzekļu apmēru</w:t>
            </w:r>
            <w:r w:rsidR="002D611A">
              <w:t xml:space="preserve"> (242 415 </w:t>
            </w:r>
            <w:r w:rsidR="002D611A" w:rsidRPr="00D01B3C">
              <w:rPr>
                <w:i/>
              </w:rPr>
              <w:t>euro</w:t>
            </w:r>
            <w:r w:rsidR="002D611A">
              <w:t xml:space="preserve">), </w:t>
            </w:r>
            <w:r w:rsidR="00D01B3C">
              <w:t xml:space="preserve">faktiskais </w:t>
            </w:r>
            <w:r w:rsidR="007246BF">
              <w:t xml:space="preserve">prognozējamais </w:t>
            </w:r>
            <w:r w:rsidR="00D01B3C">
              <w:t xml:space="preserve">deficīts ir 3 219 485 </w:t>
            </w:r>
            <w:r w:rsidR="00D01B3C" w:rsidRPr="00D01B3C">
              <w:rPr>
                <w:i/>
              </w:rPr>
              <w:t>euro</w:t>
            </w:r>
            <w:r w:rsidR="00D01B3C">
              <w:t>.</w:t>
            </w:r>
            <w:r w:rsidR="002D611A">
              <w:t xml:space="preserve"> </w:t>
            </w:r>
            <w:r w:rsidR="002D611A" w:rsidRPr="002D611A">
              <w:t>Ņemot vērā, ka papildus finansējuma piešķiršana 202</w:t>
            </w:r>
            <w:r w:rsidR="002D611A">
              <w:t>1</w:t>
            </w:r>
            <w:r w:rsidR="002D611A" w:rsidRPr="002D611A">
              <w:t>. gadā nav iespējama (jo likums „Par valsts budžetu 202</w:t>
            </w:r>
            <w:r w:rsidR="002D611A">
              <w:t>1</w:t>
            </w:r>
            <w:r w:rsidR="002D611A" w:rsidRPr="002D611A">
              <w:t xml:space="preserve">. gadam” jau ir pieņemts), viens no risinājumiem ir daļēja valsts līdzfinansējuma piešķiršana vēl </w:t>
            </w:r>
            <w:r w:rsidR="002D611A">
              <w:t>2020</w:t>
            </w:r>
            <w:r w:rsidR="002D611A" w:rsidRPr="002D611A">
              <w:t>. gadā, turklāt atbalstot tādu 202</w:t>
            </w:r>
            <w:r w:rsidR="00C20F7F">
              <w:t>1</w:t>
            </w:r>
            <w:r w:rsidR="002D611A" w:rsidRPr="002D611A">
              <w:t xml:space="preserve">. gadā paredzēto sporta </w:t>
            </w:r>
            <w:r w:rsidR="0037170A">
              <w:t>sacensību</w:t>
            </w:r>
            <w:r w:rsidR="002D611A" w:rsidRPr="002D611A">
              <w:t xml:space="preserve"> finansēšan</w:t>
            </w:r>
            <w:r w:rsidR="007246BF">
              <w:t>u</w:t>
            </w:r>
            <w:r w:rsidR="002D611A" w:rsidRPr="002D611A">
              <w:t>, kur</w:t>
            </w:r>
            <w:r w:rsidR="00C20F7F">
              <w:t>as (1) ir tikušas atbalstītas arī 2020. gadā, (2) 2020. gadā notika paaugstinātos e</w:t>
            </w:r>
            <w:r w:rsidR="00C20F7F" w:rsidRPr="00C20F7F">
              <w:t xml:space="preserve">pidemioloģiskās drošības </w:t>
            </w:r>
            <w:r w:rsidR="00C20F7F">
              <w:t xml:space="preserve">apstākļos, kas ieviesti </w:t>
            </w:r>
            <w:r w:rsidR="00C20F7F" w:rsidRPr="00C20F7F">
              <w:t>Covid-19 infekcijas izplatības ierobežošanai</w:t>
            </w:r>
            <w:r w:rsidR="00C20F7F">
              <w:t xml:space="preserve">, (3) </w:t>
            </w:r>
            <w:r w:rsidR="007246BF">
              <w:t>sacensību</w:t>
            </w:r>
            <w:r w:rsidR="002D611A" w:rsidRPr="002D611A">
              <w:t xml:space="preserve"> rīkošanas </w:t>
            </w:r>
            <w:r w:rsidR="00C20F7F">
              <w:t xml:space="preserve">tiesības 2021. gadā jau ir piešķirtas un to organizēšana </w:t>
            </w:r>
            <w:r w:rsidR="002D611A" w:rsidRPr="002D611A">
              <w:t xml:space="preserve">Latvijā ir saistīta ar sacensību licences iegādi (t.i., sacensību rīkošanas maksu, kas jāveic attiecīgo sacensību starptautiskajiem </w:t>
            </w:r>
            <w:r w:rsidR="002D611A" w:rsidRPr="002D611A">
              <w:lastRenderedPageBreak/>
              <w:t>organizatoriem (organizēšanas tiesību turētājiem)</w:t>
            </w:r>
            <w:r w:rsidR="00C20F7F">
              <w:t>)</w:t>
            </w:r>
            <w:r w:rsidR="002D611A" w:rsidRPr="002D611A">
              <w:t xml:space="preserve">, turklāt licences maksas samaksa ir priekšnosacījums, lai garantētu </w:t>
            </w:r>
            <w:r w:rsidR="00E52955">
              <w:t xml:space="preserve">Latvijas </w:t>
            </w:r>
            <w:r w:rsidR="002D611A" w:rsidRPr="002D611A">
              <w:t xml:space="preserve">sacensību </w:t>
            </w:r>
            <w:r w:rsidR="000B4435">
              <w:t>palikšanu</w:t>
            </w:r>
            <w:r w:rsidR="002D611A" w:rsidRPr="002D611A">
              <w:t xml:space="preserve"> attiecīgā sporta veida starptautiskā pasākumu kalendārā 202</w:t>
            </w:r>
            <w:r w:rsidR="002D611A">
              <w:t>1</w:t>
            </w:r>
            <w:r w:rsidR="002D611A" w:rsidRPr="002D611A">
              <w:t>. gadam un attiecīgi šīs sacensības Latvijā varētu notikt</w:t>
            </w:r>
            <w:r w:rsidR="0074431E">
              <w:t xml:space="preserve">; (4) </w:t>
            </w:r>
            <w:r w:rsidR="0074431E" w:rsidRPr="0074431E">
              <w:t xml:space="preserve">izdevumus, kas saistīti ar </w:t>
            </w:r>
            <w:r w:rsidR="0074431E">
              <w:t xml:space="preserve">sacensību </w:t>
            </w:r>
            <w:r w:rsidR="0074431E" w:rsidRPr="0074431E">
              <w:t>organizēšanas licences iegādi</w:t>
            </w:r>
            <w:r w:rsidR="0074431E">
              <w:t xml:space="preserve">, to organizatori var segt līdz 2020. gada 31. decembrim (nodrošinot to </w:t>
            </w:r>
            <w:r w:rsidR="0074431E" w:rsidRPr="0074431E">
              <w:t xml:space="preserve">pārskaitīšanu starptautiskajam </w:t>
            </w:r>
            <w:r w:rsidR="0074431E">
              <w:t>s</w:t>
            </w:r>
            <w:r w:rsidR="0074431E" w:rsidRPr="0074431E">
              <w:t>acensību organizatoram (organizēšanas tiesību turētājam)</w:t>
            </w:r>
            <w:r w:rsidR="0074431E">
              <w:t>)</w:t>
            </w:r>
            <w:r w:rsidR="00532E29">
              <w:t xml:space="preserve"> un netiek radītas </w:t>
            </w:r>
            <w:r w:rsidR="00532E29" w:rsidRPr="00736911">
              <w:t>saistības papildu valsts budžeta izdevumiem turpmākajiem gadiem</w:t>
            </w:r>
            <w:r w:rsidR="0074431E">
              <w:t xml:space="preserve">; (5) pārējās sacensību organizēšanas izmaksas sedz to organizators. </w:t>
            </w:r>
            <w:r w:rsidR="00C20F7F">
              <w:t xml:space="preserve">Izvērtējot Kalendārā iekļautās sacensības, minētajiem kritērijiem atbilst 2021. gada FIM pasaules čempionāta motokrosā MXGP </w:t>
            </w:r>
            <w:r w:rsidR="00176017">
              <w:t>klasē posms</w:t>
            </w:r>
            <w:r w:rsidR="00C20F7F">
              <w:t xml:space="preserve"> </w:t>
            </w:r>
            <w:r w:rsidR="000B4435">
              <w:t>(</w:t>
            </w:r>
            <w:r w:rsidR="00176017">
              <w:t xml:space="preserve">organizē SIA „Kristers Serģis moto”) </w:t>
            </w:r>
            <w:r w:rsidR="00DC43E8">
              <w:t>un 2021. gada FIA Eiropas rallija čempionāta posms (organizē SIA „</w:t>
            </w:r>
            <w:r w:rsidR="00DC43E8" w:rsidRPr="00B95DB0">
              <w:t xml:space="preserve">RA </w:t>
            </w:r>
            <w:proofErr w:type="spellStart"/>
            <w:r w:rsidR="00DC43E8" w:rsidRPr="00B95DB0">
              <w:t>Events</w:t>
            </w:r>
            <w:proofErr w:type="spellEnd"/>
            <w:r w:rsidR="00DC43E8" w:rsidRPr="00B95DB0">
              <w:t>”</w:t>
            </w:r>
            <w:r w:rsidR="00F13B24">
              <w:t>)</w:t>
            </w:r>
            <w:r w:rsidR="00DC43E8">
              <w:t xml:space="preserve">. Ievērojot </w:t>
            </w:r>
            <w:r w:rsidR="00DC43E8" w:rsidRPr="00DC43E8">
              <w:t>Sporta likuma 10.panta ceturtajā daļā un 13.panta ceturtajā daļā noteiktās atz</w:t>
            </w:r>
            <w:r w:rsidR="00DC43E8">
              <w:t xml:space="preserve">īto sporta federāciju tiesības, sacensību </w:t>
            </w:r>
            <w:r w:rsidR="00DC43E8" w:rsidRPr="00DC43E8">
              <w:t xml:space="preserve">rīkošanas licences segšanai valsts budžeta līdzekļi piešķirami </w:t>
            </w:r>
            <w:r w:rsidR="00DC43E8">
              <w:t xml:space="preserve">attiecīgajā sporta veidā atzītajām sporta federācijām – attiecīgi </w:t>
            </w:r>
            <w:r w:rsidR="000B4435">
              <w:t>biedrība</w:t>
            </w:r>
            <w:r w:rsidR="00DC43E8">
              <w:t>i</w:t>
            </w:r>
            <w:r w:rsidR="000B4435">
              <w:t xml:space="preserve"> „Latvijas Motosporta federācija” (turpmāk – LaMSF) </w:t>
            </w:r>
            <w:r w:rsidR="00DC43E8">
              <w:t xml:space="preserve">un </w:t>
            </w:r>
            <w:r w:rsidR="000B4435">
              <w:t>biedrība</w:t>
            </w:r>
            <w:r w:rsidR="00DC43E8">
              <w:t>i</w:t>
            </w:r>
            <w:r w:rsidR="000B4435">
              <w:t xml:space="preserve"> „Latvijas Automobiļu federācija” (turpmāk – LAF)</w:t>
            </w:r>
            <w:r w:rsidR="00C20F7F">
              <w:t xml:space="preserve">. Abu minēto sacensību organizēšanas licences kopsumma ir 600 000 </w:t>
            </w:r>
            <w:r w:rsidR="00C20F7F" w:rsidRPr="00C20F7F">
              <w:rPr>
                <w:i/>
              </w:rPr>
              <w:t>euro</w:t>
            </w:r>
            <w:r w:rsidR="00C20F7F">
              <w:t xml:space="preserve"> (katras licences cena ir 300 000 </w:t>
            </w:r>
            <w:r w:rsidR="00C20F7F" w:rsidRPr="00C20F7F">
              <w:rPr>
                <w:i/>
              </w:rPr>
              <w:t>euro</w:t>
            </w:r>
            <w:r w:rsidR="00C20F7F">
              <w:t>).</w:t>
            </w:r>
            <w:r w:rsidR="0074431E">
              <w:t xml:space="preserve"> </w:t>
            </w:r>
            <w:r w:rsidR="00276414">
              <w:t xml:space="preserve">Ņemot </w:t>
            </w:r>
            <w:r w:rsidR="0074431E">
              <w:t>vērā faktu, ka valsts atbalsts minēto s</w:t>
            </w:r>
            <w:r w:rsidR="00276414">
              <w:t>acensību organizēšanai ir ticis sniegts arī iepriekšējos gados, attiecīgu pamatojumu norādot arī attiecīgo tiesību aktu projektu sākotnējās ietekmes novērtējuma ziņojumā (anotācijā), tad papildus informācija un pamatojums šajā tiesību projekta sākotnējās ietekmes novērtējuma ziņojumā (anotācijā) netiks sniegts.</w:t>
            </w:r>
          </w:p>
          <w:p w14:paraId="713E7DB1" w14:textId="39473969" w:rsidR="0074431E" w:rsidRDefault="0074431E" w:rsidP="0074431E">
            <w:pPr>
              <w:ind w:left="101" w:right="142"/>
              <w:jc w:val="both"/>
            </w:pPr>
            <w:r>
              <w:tab/>
            </w:r>
            <w:r w:rsidRPr="00D01B3C">
              <w:t xml:space="preserve">Lai nodrošinātu valsts budžeta līdzekļu novirzīšanu </w:t>
            </w:r>
            <w:r>
              <w:t xml:space="preserve">citu </w:t>
            </w:r>
            <w:r w:rsidRPr="00CE4F40">
              <w:t>2021. gadā Latvijā paredzēto nacionālas nozīmes starptautisku sporta sacensību organizēšanas izdevumu segšanai</w:t>
            </w:r>
            <w:r>
              <w:t>,</w:t>
            </w:r>
            <w:r w:rsidR="00BD4A5C">
              <w:t xml:space="preserve"> kā arī citu IZM prioritāro vajadzību nodrošināšanai, </w:t>
            </w:r>
            <w:r>
              <w:t xml:space="preserve">papildus IZM rosina līdzekļus 900 000 </w:t>
            </w:r>
            <w:r w:rsidRPr="0074431E">
              <w:rPr>
                <w:i/>
              </w:rPr>
              <w:t>euro</w:t>
            </w:r>
            <w:r>
              <w:t xml:space="preserve"> apmērā </w:t>
            </w:r>
            <w:r w:rsidRPr="00D01B3C">
              <w:t xml:space="preserve">2020. gadā novirzīt pārskaitīšanai </w:t>
            </w:r>
            <w:r>
              <w:t>biedrībai „Latvijas Olimpiskā komiteja” (turpmāk – LOK)</w:t>
            </w:r>
            <w:r w:rsidRPr="00D01B3C">
              <w:t xml:space="preserve">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 2021. gada maksājuma daļējai atmaksai, tādējādi nodrošinot saistību daļēju izpildi 2020. gadā. Iepriekšminētā rezultātā, veicot ātrāku saistību izpildi, 2021. gada IZM valsts budžeta apakšprogrammā 09.23.00 „Valsts ilgtermiņa saistības sportā – dotācija Latvijas Olimpiskajai komitejai (LOK) – valsts galvoto aizdevumu atmaksai” tiek ietaupīti valsts budžeta līdzekļi </w:t>
            </w:r>
            <w:r>
              <w:t>900 000</w:t>
            </w:r>
            <w:r w:rsidRPr="00D01B3C">
              <w:t xml:space="preserve"> </w:t>
            </w:r>
            <w:r w:rsidRPr="0074431E">
              <w:rPr>
                <w:i/>
              </w:rPr>
              <w:t>euro</w:t>
            </w:r>
            <w:r w:rsidRPr="00D01B3C">
              <w:t xml:space="preserve"> apmērā, kurus</w:t>
            </w:r>
            <w:r>
              <w:t>, ievērojot Likuma par budžetu un finanšu vadību 9. panta 13. daļas 1. punkt</w:t>
            </w:r>
            <w:r w:rsidR="00BD4A5C">
              <w:t>ā</w:t>
            </w:r>
            <w:r>
              <w:t xml:space="preserve"> un 9. panta 13.</w:t>
            </w:r>
            <w:r w:rsidRPr="0074431E">
              <w:rPr>
                <w:vertAlign w:val="superscript"/>
              </w:rPr>
              <w:t>3</w:t>
            </w:r>
            <w:r w:rsidR="00BD4A5C">
              <w:t xml:space="preserve"> daļas 3. punktā noteikto, </w:t>
            </w:r>
            <w:r>
              <w:t xml:space="preserve"> apropriācijas kārtībā 2021. gadā </w:t>
            </w:r>
            <w:r w:rsidRPr="00D01B3C">
              <w:t>iespējams iekšēji pārdalīt uz citām 2021. gada IZM budžeta programmas 09.00.00 „Sports” apakšprogrammām (09.</w:t>
            </w:r>
            <w:r w:rsidR="00BD4A5C">
              <w:t xml:space="preserve">04. [valsts sporta infrastruktūras objektu vajadzībām un </w:t>
            </w:r>
            <w:r w:rsidRPr="00D01B3C">
              <w:t>09.1</w:t>
            </w:r>
            <w:r w:rsidR="00BD4A5C">
              <w:t>6</w:t>
            </w:r>
            <w:r w:rsidRPr="00D01B3C">
              <w:t>.</w:t>
            </w:r>
            <w:r w:rsidR="00BD4A5C">
              <w:t xml:space="preserve"> [nacionālas nozīmes starptautisku sporta sacensību organizēšanai]).</w:t>
            </w:r>
          </w:p>
          <w:p w14:paraId="2C9433BE" w14:textId="77777777" w:rsidR="004F5B5A" w:rsidRDefault="004F5B5A" w:rsidP="00BD4A5C">
            <w:pPr>
              <w:ind w:left="141" w:right="142" w:firstLine="567"/>
              <w:jc w:val="both"/>
            </w:pPr>
          </w:p>
          <w:p w14:paraId="7278C92D" w14:textId="1EAB58D1" w:rsidR="00BD4A5C" w:rsidRDefault="00BD4A5C" w:rsidP="00BD4A5C">
            <w:pPr>
              <w:ind w:left="141" w:right="142" w:firstLine="567"/>
              <w:jc w:val="both"/>
            </w:pPr>
            <w:r>
              <w:t xml:space="preserve">Minētais jautājums tika izskatīts Padomes 2020. gada 3. decembra sēdē, kā rezultātā tika nolemts </w:t>
            </w:r>
            <w:r w:rsidRPr="00422D5B">
              <w:t xml:space="preserve">(prot. Nr. 3 </w:t>
            </w:r>
            <w:r>
              <w:t>5</w:t>
            </w:r>
            <w:r w:rsidRPr="00422D5B">
              <w:t>. §.</w:t>
            </w:r>
            <w:r>
              <w:t>):</w:t>
            </w:r>
          </w:p>
          <w:p w14:paraId="2347352B" w14:textId="77777777" w:rsidR="00BD4A5C" w:rsidRPr="00BD4A5C" w:rsidRDefault="00BD4A5C" w:rsidP="00BD4A5C">
            <w:pPr>
              <w:ind w:left="141" w:right="142" w:firstLine="567"/>
              <w:jc w:val="both"/>
              <w:rPr>
                <w:i/>
              </w:rPr>
            </w:pPr>
            <w:r w:rsidRPr="00BD4A5C">
              <w:rPr>
                <w:i/>
              </w:rPr>
              <w:t>5.4. Aicināt Ministru kabinetu no valsts budžeta programmas 02.00.00 „Līdzekļi neparedzētiem gadījumiem” piešķirt Izglītības un zinātnes ministrijai 1 500 000 euro, tai skaitā:</w:t>
            </w:r>
          </w:p>
          <w:p w14:paraId="16B4CE89" w14:textId="77777777" w:rsidR="00BD4A5C" w:rsidRPr="00BD4A5C" w:rsidRDefault="00BD4A5C" w:rsidP="00BD4A5C">
            <w:pPr>
              <w:ind w:left="141" w:right="142" w:firstLine="567"/>
              <w:jc w:val="both"/>
              <w:rPr>
                <w:i/>
              </w:rPr>
            </w:pPr>
            <w:r w:rsidRPr="00BD4A5C">
              <w:rPr>
                <w:i/>
              </w:rPr>
              <w:lastRenderedPageBreak/>
              <w:t>5.4.1. 300 000 euro pārskaitīšanai biedrībai „Latvijas Motosporta federācija”, lai segtu izdevumus, kas saistīti ar 2021. gada FIM pasaules čempionāta motokrosā MXGP klasē posma organizēšanas licences iegādi;</w:t>
            </w:r>
          </w:p>
          <w:p w14:paraId="59DDD354" w14:textId="77777777" w:rsidR="00BD4A5C" w:rsidRPr="00BD4A5C" w:rsidRDefault="00BD4A5C" w:rsidP="00BD4A5C">
            <w:pPr>
              <w:ind w:left="141" w:right="142" w:firstLine="567"/>
              <w:jc w:val="both"/>
              <w:rPr>
                <w:i/>
              </w:rPr>
            </w:pPr>
            <w:r w:rsidRPr="00BD4A5C">
              <w:rPr>
                <w:i/>
              </w:rPr>
              <w:t>5.4.2. 300 000 euro pārskaitīšanai biedrībai „Latvijas Automobiļu federācija”, lai segtu izdevumus, kas saistīti ar 2021. gada FIA Eiropas rallija čempionāta posma organizēšanas licences iegādi;</w:t>
            </w:r>
          </w:p>
          <w:p w14:paraId="73054A31" w14:textId="77777777" w:rsidR="00BD4A5C" w:rsidRPr="00BD4A5C" w:rsidRDefault="00BD4A5C" w:rsidP="00BD4A5C">
            <w:pPr>
              <w:ind w:left="141" w:right="142" w:firstLine="567"/>
              <w:jc w:val="both"/>
              <w:rPr>
                <w:i/>
              </w:rPr>
            </w:pPr>
            <w:r w:rsidRPr="00BD4A5C">
              <w:rPr>
                <w:i/>
              </w:rPr>
              <w:t>5.4.3. 900 000 euro pārskaitīšanai biedrībai „Latvijas Olimpiskā komiteja”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 2021. gada maksājuma daļējai atmaksai, tādējādi nodrošinot saistību daļēju izpildi 2020. gadā.</w:t>
            </w:r>
          </w:p>
          <w:p w14:paraId="2440B1FB" w14:textId="5A1F2A7F" w:rsidR="00BD4A5C" w:rsidRPr="00BD4A5C" w:rsidRDefault="00BD4A5C" w:rsidP="00BD4A5C">
            <w:pPr>
              <w:ind w:left="141" w:right="142" w:firstLine="567"/>
              <w:jc w:val="both"/>
              <w:rPr>
                <w:i/>
              </w:rPr>
            </w:pPr>
            <w:r w:rsidRPr="00BD4A5C">
              <w:rPr>
                <w:i/>
              </w:rPr>
              <w:t>5.5. Aicināt Ministru kabinetu finanšu resursu 900 000 euro apmērā ietaupījumu, kas 2021.gada valsts budžeta apakšprogrammā 09.23.00 „Valsts ilgtermiņa saistības sportā – dotācija Latvijas Olimpiskajai komitejai (LOK) – valsts galvoto aizdevumu atmaksai” rodas pēc valsts budžeta līdzekļu piešķiršanas biedrībai „Latvijas Olimpiskā komiteja” valsts galvoto aizdevumu 2021. gada maksājumu daļējai atmaksai 2020. gadā, novirzīšanu Izglītības un zinātnes ministrijas pamatfunkciju sporta nozarē izpildes nodrošināšanai, veicot apropriācijas pārdali 2021. gadā no Izglītības un zinātnes ministrijas budžeta apakšprogrammas 09.23.00 „Valsts ilgtermiņa saistības sportā – dotācija Latvijas Olimpiskajai komitejai (LOK) – valsts galvoto aizdevumu atmaksai” 900 000 euro apmērā uz šādām budžeta apakšprogrammām:</w:t>
            </w:r>
          </w:p>
          <w:p w14:paraId="6D4AF861" w14:textId="77777777" w:rsidR="00BD4A5C" w:rsidRPr="00BD4A5C" w:rsidRDefault="00BD4A5C" w:rsidP="00BD4A5C">
            <w:pPr>
              <w:ind w:left="141" w:right="142" w:firstLine="567"/>
              <w:jc w:val="both"/>
              <w:rPr>
                <w:i/>
              </w:rPr>
            </w:pPr>
            <w:r w:rsidRPr="00BD4A5C">
              <w:rPr>
                <w:i/>
              </w:rPr>
              <w:t>5.5.1. 700 000 euro apmērā uz budžeta apakšprogrammu 09.16.00 „Dotācija nacionālās nozīmes starptautisku sporta pasākumu organizēšanai Latvijā” 2021. gadā Latvijā paredzēto nacionālas nozīmes starptautisku sporta sacensību organizēšanas izdevumu segšanai;</w:t>
            </w:r>
          </w:p>
          <w:p w14:paraId="5443A585" w14:textId="70278C29" w:rsidR="00BD4A5C" w:rsidRPr="00BD4A5C" w:rsidRDefault="00BD4A5C" w:rsidP="00BD4A5C">
            <w:pPr>
              <w:ind w:left="141" w:right="142" w:firstLine="567"/>
              <w:jc w:val="both"/>
              <w:rPr>
                <w:i/>
              </w:rPr>
            </w:pPr>
            <w:r w:rsidRPr="00BD4A5C">
              <w:rPr>
                <w:i/>
              </w:rPr>
              <w:t>5.5.2. 200 000 euro apmērā uz budžeta apakšprogrammu 09.04.00 „Sporta būves” Murjāņu sporta ģimnāzijas sporta bāzes – stadiona skrejceliņu seguma renovācijas pabeigšanai (100 000 euro) un VSIA „Kultūras un sporta centrs „Daugavas stadions”„ ledus halles aprīkojuma iegādei (100 000 euro).</w:t>
            </w:r>
          </w:p>
          <w:p w14:paraId="2A594342" w14:textId="77777777" w:rsidR="00BD4A5C" w:rsidRDefault="00BD4A5C" w:rsidP="0074431E">
            <w:pPr>
              <w:ind w:left="141" w:right="142" w:firstLine="567"/>
              <w:jc w:val="both"/>
            </w:pPr>
          </w:p>
          <w:p w14:paraId="3BFB5295" w14:textId="2A714E26" w:rsidR="000B4435" w:rsidRDefault="000B4435" w:rsidP="000B4435">
            <w:pPr>
              <w:autoSpaceDE w:val="0"/>
              <w:autoSpaceDN w:val="0"/>
              <w:adjustRightInd w:val="0"/>
              <w:ind w:left="198" w:right="171" w:firstLine="641"/>
              <w:jc w:val="both"/>
            </w:pPr>
            <w:r>
              <w:t xml:space="preserve">Arī šajā gadā </w:t>
            </w:r>
            <w:r w:rsidRPr="00F1697B">
              <w:t xml:space="preserve"> IZM ir veikusi sākotnējo izvērtējumu par finansējuma piešķiršanas </w:t>
            </w:r>
            <w:r>
              <w:t xml:space="preserve">minēto sporta sacensību organizēšanai </w:t>
            </w:r>
            <w:r w:rsidRPr="00F1697B">
              <w:t>atbilstību komercdarbības atbalsta kontroles regulējumam</w:t>
            </w:r>
            <w:r>
              <w:t>.</w:t>
            </w:r>
          </w:p>
          <w:p w14:paraId="339BF592" w14:textId="77777777" w:rsidR="000B4435" w:rsidRPr="00F1697B" w:rsidRDefault="000B4435" w:rsidP="000B4435">
            <w:pPr>
              <w:autoSpaceDE w:val="0"/>
              <w:autoSpaceDN w:val="0"/>
              <w:adjustRightInd w:val="0"/>
              <w:ind w:left="198" w:right="171" w:firstLine="641"/>
              <w:jc w:val="both"/>
              <w:rPr>
                <w:rFonts w:eastAsia="Times New Roman"/>
              </w:rPr>
            </w:pPr>
            <w:r>
              <w:t>L</w:t>
            </w:r>
            <w:r w:rsidRPr="00F1697B">
              <w:t>ai kādu pasākumu varētu klasificēt kā komercdarbības atbalstu, tam vienlaikus jāatbilst visām četrām kumulatīvām pazīmēm</w:t>
            </w:r>
            <w:r w:rsidRPr="00F1697B">
              <w:rPr>
                <w:rStyle w:val="FootnoteReference"/>
              </w:rPr>
              <w:footnoteReference w:id="1"/>
            </w:r>
            <w:r w:rsidRPr="00F1697B">
              <w:t xml:space="preserve">: </w:t>
            </w:r>
          </w:p>
          <w:p w14:paraId="0128BAE8" w14:textId="77777777" w:rsidR="000B4435" w:rsidRPr="00F1697B" w:rsidRDefault="000B4435" w:rsidP="000B4435">
            <w:pPr>
              <w:ind w:left="567"/>
              <w:jc w:val="both"/>
            </w:pPr>
            <w:r w:rsidRPr="00F1697B">
              <w:rPr>
                <w:i/>
                <w:u w:val="single"/>
              </w:rPr>
              <w:t>1. pazīme</w:t>
            </w:r>
            <w:r w:rsidRPr="00F1697B">
              <w:t>: Atbalsts tiek sniegts no publiskiem resursiem;</w:t>
            </w:r>
          </w:p>
          <w:p w14:paraId="12971A18" w14:textId="77777777" w:rsidR="000B4435" w:rsidRPr="00F1697B" w:rsidRDefault="000B4435" w:rsidP="000B4435">
            <w:pPr>
              <w:ind w:left="120" w:right="118" w:firstLine="426"/>
              <w:jc w:val="both"/>
            </w:pPr>
            <w:r w:rsidRPr="00F1697B">
              <w:rPr>
                <w:i/>
                <w:u w:val="single"/>
              </w:rPr>
              <w:t>2. pazīme</w:t>
            </w:r>
            <w:r w:rsidRPr="00F1697B">
              <w:t>: Atbalsta saņēmējs veic saimniecisku darbību un attiecībā uz to gūst ekonomiskas priekšrocības, kādas tas nevarētu gūt normālos komercdarbības veikšanas apstākļos;</w:t>
            </w:r>
          </w:p>
          <w:p w14:paraId="49D0CCF5" w14:textId="77777777" w:rsidR="000B4435" w:rsidRPr="00F1697B" w:rsidRDefault="000B4435" w:rsidP="000B4435">
            <w:pPr>
              <w:ind w:left="567"/>
              <w:jc w:val="both"/>
            </w:pPr>
            <w:r w:rsidRPr="00F1697B">
              <w:rPr>
                <w:i/>
                <w:u w:val="single"/>
              </w:rPr>
              <w:t>3. pazīme</w:t>
            </w:r>
            <w:r w:rsidRPr="00F1697B">
              <w:t>: Pasākums ir selektīvs pēc sava rakstura;</w:t>
            </w:r>
          </w:p>
          <w:p w14:paraId="6A53A7DC" w14:textId="77777777" w:rsidR="000B4435" w:rsidRPr="00F1697B" w:rsidRDefault="000B4435" w:rsidP="000B4435">
            <w:pPr>
              <w:ind w:left="120" w:right="118" w:firstLine="426"/>
              <w:jc w:val="both"/>
            </w:pPr>
            <w:r w:rsidRPr="00F1697B">
              <w:rPr>
                <w:i/>
                <w:u w:val="single"/>
              </w:rPr>
              <w:t>4. pazīme</w:t>
            </w:r>
            <w:r w:rsidRPr="00F1697B">
              <w:t>: Atbalsts ietekmē konkurenci un tirdzniecību Eiropas Savienības iekšējā tirgū.</w:t>
            </w:r>
          </w:p>
          <w:p w14:paraId="265B84C8" w14:textId="6545679D" w:rsidR="000B4435" w:rsidRDefault="000B4435" w:rsidP="000B4435">
            <w:pPr>
              <w:ind w:left="120" w:right="118" w:firstLine="709"/>
              <w:jc w:val="both"/>
            </w:pPr>
            <w:r>
              <w:t>K</w:t>
            </w:r>
            <w:r w:rsidRPr="00F1697B">
              <w:t xml:space="preserve">onstatējams, ka minētā atbalsta  sniegšana </w:t>
            </w:r>
            <w:r>
              <w:t xml:space="preserve">LaMSF un LAF ar sporta sacensību organizēšanu saistīto izdevumu segšanai </w:t>
            </w:r>
            <w:r w:rsidRPr="00F1697B">
              <w:t xml:space="preserve">nerada konkurences kropļojumu Eiropas Savienības līmenī, jo konkrēto sporta sacensību rīkošanas </w:t>
            </w:r>
            <w:r w:rsidRPr="00F1697B">
              <w:lastRenderedPageBreak/>
              <w:t>tiesības 20</w:t>
            </w:r>
            <w:r>
              <w:t>21</w:t>
            </w:r>
            <w:r w:rsidRPr="00F1697B">
              <w:t>.</w:t>
            </w:r>
            <w:r>
              <w:t xml:space="preserve"> </w:t>
            </w:r>
            <w:r w:rsidRPr="00F1697B">
              <w:t>gada sacensību sezonai jau ir piešķirtas (šo sporta sacensību rīkošana tieši Latvijā ir iekļauta attiecīgā sporta veida starptautiskās sporta federācijas (</w:t>
            </w:r>
            <w:r>
              <w:t>FIM un FIA</w:t>
            </w:r>
            <w:r w:rsidRPr="00F1697B">
              <w:t xml:space="preserve">) kalendārā), turklāt tās ir piešķīrusi neatkarīga trešā puse (attiecīgā sporta veida starptautiskā sporta federācija – </w:t>
            </w:r>
            <w:r>
              <w:t>FIM un FIA</w:t>
            </w:r>
            <w:r w:rsidRPr="00F1697B">
              <w:t>), kā rezultātā citas valstis un trases, kuras nav iekļautas attiecīgā sporta veida starptautisko sporta sacensību kalendārā 20</w:t>
            </w:r>
            <w:r>
              <w:t>21</w:t>
            </w:r>
            <w:r w:rsidRPr="00F1697B">
              <w:t>.</w:t>
            </w:r>
            <w:r>
              <w:t xml:space="preserve"> </w:t>
            </w:r>
            <w:r w:rsidRPr="00F1697B">
              <w:t>gada sacensību sezonai, nevar organizēt šāda veida sporta sacensības. Iepriekšminētā rezultātā secināms, ka papildus finansējuma piešķiršana</w:t>
            </w:r>
            <w:r>
              <w:t xml:space="preserve"> 2021. gada FIM pasaules čempionāta motokrosā MXGP klasē posma un 2021. gada FIA Eiropas rallija čempionāta posma organizēšanas licences iegādei</w:t>
            </w:r>
            <w:r>
              <w:rPr>
                <w:noProof/>
              </w:rPr>
              <w:t xml:space="preserve"> </w:t>
            </w:r>
            <w:r w:rsidRPr="00F1697B">
              <w:t>vienlaikus neatbilst visām Komercdarbības atbalsta kontroles likuma 5.</w:t>
            </w:r>
            <w:r>
              <w:t xml:space="preserve"> </w:t>
            </w:r>
            <w:r w:rsidRPr="00F1697B">
              <w:t>pantā noteiktajām pazīmēm un attiecīgi minētais atbalsts nav uzskatāms par komercdarbības atbalstu.</w:t>
            </w:r>
          </w:p>
          <w:p w14:paraId="2001A8AD" w14:textId="77777777" w:rsidR="000B4435" w:rsidRDefault="000B4435" w:rsidP="000B4435">
            <w:pPr>
              <w:ind w:left="120" w:right="118" w:firstLine="709"/>
              <w:jc w:val="both"/>
              <w:rPr>
                <w:noProof/>
              </w:rPr>
            </w:pPr>
            <w:r w:rsidRPr="00F1697B">
              <w:t>Papildus minētam uzsverams, ka šo sporta sacensību organizēšana tiešā veidā ir saistīta ar valsts politikas īstenošanu sporta nozarē.</w:t>
            </w:r>
          </w:p>
          <w:p w14:paraId="690D891A" w14:textId="77777777" w:rsidR="000B4435" w:rsidRDefault="000B4435" w:rsidP="00BD4A5C">
            <w:pPr>
              <w:autoSpaceDE w:val="0"/>
              <w:autoSpaceDN w:val="0"/>
              <w:adjustRightInd w:val="0"/>
              <w:ind w:left="198" w:right="171" w:firstLine="641"/>
              <w:jc w:val="both"/>
            </w:pPr>
          </w:p>
          <w:p w14:paraId="0889C007" w14:textId="171EB3C2" w:rsidR="00BE6EA9" w:rsidRDefault="001F558A" w:rsidP="001F558A">
            <w:pPr>
              <w:ind w:left="141" w:right="142"/>
              <w:jc w:val="both"/>
            </w:pPr>
            <w:r>
              <w:tab/>
            </w:r>
            <w:r w:rsidR="00374636">
              <w:t>Saskaņā ar  Ministru kabineta 2018.</w:t>
            </w:r>
            <w:r w:rsidR="00190FB4">
              <w:t xml:space="preserve"> </w:t>
            </w:r>
            <w:r w:rsidR="00374636">
              <w:t>gada 17.</w:t>
            </w:r>
            <w:r w:rsidR="00190FB4">
              <w:t xml:space="preserve"> </w:t>
            </w:r>
            <w:r w:rsidR="00374636">
              <w:t xml:space="preserve">jūlija noteikumu </w:t>
            </w:r>
            <w:r w:rsidR="00190FB4">
              <w:br/>
            </w:r>
            <w:r w:rsidR="00374636">
              <w:t>Nr.</w:t>
            </w:r>
            <w:r w:rsidR="00190FB4">
              <w:t xml:space="preserve"> </w:t>
            </w:r>
            <w:r w:rsidR="00374636">
              <w:t>421 „Kārtība, kādā veic gadskārtējā valsts budžeta likumā noteiktās apropriācijas izmaiņas” 41.</w:t>
            </w:r>
            <w:r w:rsidR="00190FB4">
              <w:t xml:space="preserve"> </w:t>
            </w:r>
            <w:r w:rsidR="00374636">
              <w:t>punktu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 Līdzekļu piešķiršanu valstiski īpaši nozīmīgiem pasākumiem paredz arī Likuma par budžetu un finanšu vadību 12.</w:t>
            </w:r>
            <w:r w:rsidR="00B92C2B">
              <w:t xml:space="preserve"> </w:t>
            </w:r>
            <w:r w:rsidR="00374636">
              <w:t>panta pirmā daļa.</w:t>
            </w:r>
            <w:r w:rsidR="00736911">
              <w:t xml:space="preserve"> </w:t>
            </w:r>
            <w:r>
              <w:t>Izvērtējot LaMSF un LAF finanšu pieprasījumu ar 2021</w:t>
            </w:r>
            <w:r w:rsidRPr="001F558A">
              <w:t xml:space="preserve">. gada </w:t>
            </w:r>
            <w:r>
              <w:t>s</w:t>
            </w:r>
            <w:r w:rsidRPr="001F558A">
              <w:t xml:space="preserve">acensību organizēšanas licences iegādi saistīto izdevumu segšanai </w:t>
            </w:r>
            <w:r>
              <w:t>2020</w:t>
            </w:r>
            <w:r w:rsidRPr="001F558A">
              <w:t xml:space="preserve">. gadā, </w:t>
            </w:r>
            <w:r w:rsidR="00BE6EA9">
              <w:t>IZM</w:t>
            </w:r>
            <w:r w:rsidRPr="001F558A">
              <w:t xml:space="preserve"> ieskatā to var klasificēt kā valstiski īpaši nozīmīgu pasākumu, ko apliecina (1) fakts, ka </w:t>
            </w:r>
            <w:r>
              <w:t>s</w:t>
            </w:r>
            <w:r w:rsidRPr="001F558A">
              <w:t xml:space="preserve">acensības ir augstākā līmeņa motokrosa </w:t>
            </w:r>
            <w:r>
              <w:t xml:space="preserve">un autosporta </w:t>
            </w:r>
            <w:r w:rsidRPr="001F558A">
              <w:t xml:space="preserve">sacensības, kas plaši tiek translētas lielākajos pasaules sporta televīzijas kanālos un aptver </w:t>
            </w:r>
            <w:r>
              <w:t>ļoti plašu</w:t>
            </w:r>
            <w:r w:rsidRPr="001F558A">
              <w:t xml:space="preserve"> </w:t>
            </w:r>
            <w:r w:rsidR="004F5B5A">
              <w:t xml:space="preserve">auditoriju </w:t>
            </w:r>
            <w:r w:rsidRPr="001F558A">
              <w:t xml:space="preserve">vairāk kā 70 pasaules valstīs; (2) fakts, ka arī iepriekšējos gados </w:t>
            </w:r>
            <w:r>
              <w:t>s</w:t>
            </w:r>
            <w:r w:rsidRPr="001F558A">
              <w:t>acensību organizēšanas licences iegādei ir piešķirti nepieciešamie valsts budžeta līdzekļi</w:t>
            </w:r>
            <w:r>
              <w:t xml:space="preserve"> [tai skaitā arī no  </w:t>
            </w:r>
            <w:r w:rsidRPr="001F558A">
              <w:t>valsts budžeta programmas 02.00.00 „Līdzekļi neparedzētiem gadījumiem”</w:t>
            </w:r>
            <w:r>
              <w:t>]</w:t>
            </w:r>
            <w:r w:rsidRPr="001F558A">
              <w:t xml:space="preserve">; (3) </w:t>
            </w:r>
            <w:r>
              <w:t xml:space="preserve">Padomes </w:t>
            </w:r>
            <w:r w:rsidRPr="00422D5B">
              <w:t xml:space="preserve">2020. gada 3. decembra sēdē </w:t>
            </w:r>
            <w:r w:rsidR="00325B6A">
              <w:t xml:space="preserve">Ministru kabinetam izteiktais aicinājums </w:t>
            </w:r>
            <w:r w:rsidRPr="00422D5B">
              <w:t xml:space="preserve">(prot. Nr. 3 </w:t>
            </w:r>
            <w:r>
              <w:t>5</w:t>
            </w:r>
            <w:r w:rsidRPr="00422D5B">
              <w:t xml:space="preserve">. §., </w:t>
            </w:r>
            <w:r>
              <w:t>5.4.</w:t>
            </w:r>
            <w:r w:rsidRPr="00422D5B">
              <w:t xml:space="preserve"> apakšpunkts).</w:t>
            </w:r>
            <w:r>
              <w:t xml:space="preserve"> </w:t>
            </w:r>
            <w:r w:rsidRPr="001F558A">
              <w:t xml:space="preserve">Tāpat ir norādāms, ka </w:t>
            </w:r>
            <w:r>
              <w:t>LaMSF un LAF</w:t>
            </w:r>
            <w:r w:rsidRPr="001F558A">
              <w:t xml:space="preserve"> ir valstiski nozīmīga</w:t>
            </w:r>
            <w:r>
              <w:t>s</w:t>
            </w:r>
            <w:r w:rsidRPr="001F558A">
              <w:t xml:space="preserve"> sporta organizācija</w:t>
            </w:r>
            <w:r>
              <w:t>s</w:t>
            </w:r>
            <w:r w:rsidRPr="001F558A">
              <w:t>, kura</w:t>
            </w:r>
            <w:r w:rsidR="00533F94">
              <w:t>s</w:t>
            </w:r>
            <w:r w:rsidRPr="001F558A">
              <w:t xml:space="preserve"> nodrošina </w:t>
            </w:r>
            <w:r>
              <w:t xml:space="preserve">tām kā atzītajām sporta federācijām </w:t>
            </w:r>
            <w:r w:rsidRPr="001F558A">
              <w:t>Sporta l</w:t>
            </w:r>
            <w:r>
              <w:t xml:space="preserve">ikumā noteikto uzdevumu izpildi. </w:t>
            </w:r>
            <w:r w:rsidR="00BE6EA9">
              <w:t>K</w:t>
            </w:r>
            <w:r w:rsidR="00BE6EA9" w:rsidRPr="001F558A">
              <w:t>ā valstiski īpaši nozīmīgu pasākumu</w:t>
            </w:r>
            <w:r w:rsidR="00BE6EA9">
              <w:t xml:space="preserve"> IZM ieskatā var klasificēt arī līdzekļu novirzīšanu LOK olimpisko centru</w:t>
            </w:r>
            <w:r w:rsidR="00BE6EA9" w:rsidRPr="00BE6EA9">
              <w:t xml:space="preserve"> valsts galvoto aizdevumu 2021.</w:t>
            </w:r>
            <w:r w:rsidR="00BE6EA9">
              <w:t xml:space="preserve"> gada maksājuma daļējai atmaksai, ko apliecina </w:t>
            </w:r>
            <w:r w:rsidR="00325B6A">
              <w:t xml:space="preserve">(1) fakts, ka olimpisko sporta centru projektu īstenošanai ir valstiska nozīme, turklāt ātrāka saistību izpilde ir valsts kā galvotāja interesēs; </w:t>
            </w:r>
            <w:r w:rsidR="00156CFC">
              <w:t>(</w:t>
            </w:r>
            <w:r w:rsidR="00325B6A">
              <w:t>2</w:t>
            </w:r>
            <w:r w:rsidR="00156CFC">
              <w:t xml:space="preserve">) </w:t>
            </w:r>
            <w:r w:rsidR="00BE6EA9">
              <w:t xml:space="preserve">Padomes </w:t>
            </w:r>
            <w:r w:rsidR="00BE6EA9" w:rsidRPr="00422D5B">
              <w:t xml:space="preserve">2020. gada 3. decembra sēdē </w:t>
            </w:r>
            <w:r w:rsidR="00325B6A">
              <w:t>Ministru kabinetam izteiktais aicinājums</w:t>
            </w:r>
            <w:r w:rsidR="00BE6EA9">
              <w:t xml:space="preserve"> </w:t>
            </w:r>
            <w:r w:rsidR="00BE6EA9" w:rsidRPr="00422D5B">
              <w:t xml:space="preserve">(prot. Nr. 3 </w:t>
            </w:r>
            <w:r w:rsidR="00BE6EA9">
              <w:t>5</w:t>
            </w:r>
            <w:r w:rsidR="00BE6EA9" w:rsidRPr="00422D5B">
              <w:t xml:space="preserve">. §., </w:t>
            </w:r>
            <w:r w:rsidR="00BE6EA9">
              <w:t>5.4.</w:t>
            </w:r>
            <w:r w:rsidR="00BE6EA9" w:rsidRPr="00422D5B">
              <w:t xml:space="preserve"> </w:t>
            </w:r>
            <w:r w:rsidR="00BE6EA9">
              <w:t xml:space="preserve">un 5.5. </w:t>
            </w:r>
            <w:r w:rsidR="00BE6EA9" w:rsidRPr="00422D5B">
              <w:t>apakšpunkts)</w:t>
            </w:r>
            <w:r w:rsidR="00156CFC">
              <w:t>.</w:t>
            </w:r>
          </w:p>
          <w:p w14:paraId="5C0966F2" w14:textId="7CB4525D" w:rsidR="00BD78BA" w:rsidRDefault="00374636" w:rsidP="001F558A">
            <w:pPr>
              <w:ind w:left="141" w:right="142"/>
              <w:jc w:val="both"/>
            </w:pPr>
            <w:r>
              <w:tab/>
              <w:t>Saskaņā ar  Ministru kabineta 2018. gada 17. jūlija noteikumu Nr.421 „Kārtība, kādā veic gadskārtējā valsts budžeta likumā noteiktās apropriācijas izmaiņas” 43. punktu ministrija pieprasījumu apropriācijas pārdalei no programmas „Līdzekļi neparedzētiem gadījumiem” sagatavo kā tiesību akta projektu, ko normatīvajos aktos noteiktajā kārtībā iesniedz izskatīšanai Ministru kabinetā.</w:t>
            </w:r>
          </w:p>
          <w:p w14:paraId="5531DB12" w14:textId="77777777" w:rsidR="00156CFC" w:rsidRDefault="00156CFC" w:rsidP="00E11A22">
            <w:pPr>
              <w:ind w:left="141" w:right="142" w:firstLine="567"/>
              <w:jc w:val="both"/>
            </w:pPr>
          </w:p>
          <w:p w14:paraId="369463A4" w14:textId="77777777" w:rsidR="00E50E9F" w:rsidRDefault="0065105A" w:rsidP="00156CFC">
            <w:pPr>
              <w:ind w:left="141" w:right="142" w:firstLine="567"/>
              <w:jc w:val="both"/>
            </w:pPr>
            <w:r>
              <w:t>Ievērojot minēto</w:t>
            </w:r>
            <w:r w:rsidR="003B38AA">
              <w:t xml:space="preserve">, </w:t>
            </w:r>
            <w:r w:rsidR="00190FB4">
              <w:t>IZM</w:t>
            </w:r>
            <w:r w:rsidR="00B33243" w:rsidRPr="00115792">
              <w:t xml:space="preserve"> ir izstrādājusi</w:t>
            </w:r>
            <w:r w:rsidR="00E50E9F">
              <w:t>:</w:t>
            </w:r>
          </w:p>
          <w:p w14:paraId="3431432E" w14:textId="799A5FC1" w:rsidR="00156CFC" w:rsidRDefault="00E50E9F" w:rsidP="00E50E9F">
            <w:pPr>
              <w:ind w:left="141" w:right="142" w:firstLine="567"/>
              <w:jc w:val="both"/>
            </w:pPr>
            <w:r>
              <w:t xml:space="preserve">(1) </w:t>
            </w:r>
            <w:r w:rsidR="00B33243" w:rsidRPr="00115792">
              <w:t>Ministru kabineta rīkojuma projektu</w:t>
            </w:r>
            <w:r w:rsidR="00B33243">
              <w:t xml:space="preserve"> </w:t>
            </w:r>
            <w:r w:rsidR="00113533">
              <w:t>„</w:t>
            </w:r>
            <w:r w:rsidR="00B911D8">
              <w:t>Par finanšu līdzekļu piešķiršanu no valsts budžeta programmas „Līdzekļi neparedzētiem gadījumiem””</w:t>
            </w:r>
            <w:r w:rsidR="000A1E9A">
              <w:t xml:space="preserve"> (turpmāk – Rīkojuma projekts)</w:t>
            </w:r>
            <w:r w:rsidR="00260175">
              <w:t xml:space="preserve">, </w:t>
            </w:r>
            <w:r w:rsidR="00B911D8">
              <w:t>kas</w:t>
            </w:r>
            <w:r w:rsidR="00260175">
              <w:t xml:space="preserve"> paredz</w:t>
            </w:r>
            <w:r w:rsidR="00374775">
              <w:t xml:space="preserve"> </w:t>
            </w:r>
            <w:r w:rsidR="00B911D8">
              <w:t xml:space="preserve">uzdevumu Finanšu ministrijai no valsts budžeta programmas 02.00.00 „Līdzekļi neparedzētiem </w:t>
            </w:r>
            <w:r w:rsidR="00B911D8">
              <w:lastRenderedPageBreak/>
              <w:t xml:space="preserve">gadījumiem” </w:t>
            </w:r>
            <w:r w:rsidR="00374775">
              <w:t xml:space="preserve">piešķirt </w:t>
            </w:r>
            <w:r w:rsidR="00BC0368">
              <w:t>IZM</w:t>
            </w:r>
            <w:r w:rsidR="00083F1F">
              <w:t xml:space="preserve"> </w:t>
            </w:r>
            <w:r w:rsidR="00156CFC">
              <w:t xml:space="preserve">1 500 000 </w:t>
            </w:r>
            <w:r w:rsidR="00156CFC" w:rsidRPr="00156CFC">
              <w:rPr>
                <w:i/>
              </w:rPr>
              <w:t>euro</w:t>
            </w:r>
            <w:r w:rsidR="00156CFC">
              <w:t>, tai skaitā:</w:t>
            </w:r>
            <w:r>
              <w:t xml:space="preserve"> (a) </w:t>
            </w:r>
            <w:r w:rsidR="00156CFC">
              <w:t xml:space="preserve">900 000 </w:t>
            </w:r>
            <w:r w:rsidR="00156CFC" w:rsidRPr="00156CFC">
              <w:rPr>
                <w:i/>
              </w:rPr>
              <w:t>euro</w:t>
            </w:r>
            <w:r w:rsidR="00156CFC">
              <w:t xml:space="preserve"> pārskaitīšanai LOK valsts galvoto aizdevumu 2021. gada maksājuma daļējai atmaksai, tādējādi nodrošinot saistību daļēju izpildi 2020. gadā;</w:t>
            </w:r>
            <w:r>
              <w:t xml:space="preserve"> (b) </w:t>
            </w:r>
            <w:r w:rsidR="00156CFC">
              <w:t xml:space="preserve">300 000 </w:t>
            </w:r>
            <w:r w:rsidR="00156CFC" w:rsidRPr="00E50E9F">
              <w:rPr>
                <w:i/>
              </w:rPr>
              <w:t>euro</w:t>
            </w:r>
            <w:r w:rsidR="00156CFC">
              <w:t xml:space="preserve"> pārskaitīšanai LaMSF, lai segtu izdevumus, kas saistīti ar 2021. gada FIM pasaules čempionāta motokrosā MXGP klasē posma organizēšanas licences iegādi;</w:t>
            </w:r>
            <w:r>
              <w:t xml:space="preserve"> (c) </w:t>
            </w:r>
            <w:r w:rsidR="00156CFC">
              <w:t xml:space="preserve">300 000 </w:t>
            </w:r>
            <w:r w:rsidR="00156CFC" w:rsidRPr="00E50E9F">
              <w:rPr>
                <w:i/>
              </w:rPr>
              <w:t>euro</w:t>
            </w:r>
            <w:r w:rsidR="00156CFC">
              <w:t xml:space="preserve"> pārskaitīšanai LAF, lai segtu izdevumus, kas saistīti ar 2021. gada FIA Eiropas rallija čempionāta posma organizēšanas licences iegādi.</w:t>
            </w:r>
            <w:r>
              <w:t xml:space="preserve"> Tāpat </w:t>
            </w:r>
            <w:r w:rsidR="00156CFC">
              <w:t>Rīkojuma projekts paredz uzdevumu IZM nodrošin</w:t>
            </w:r>
            <w:r>
              <w:t xml:space="preserve">āt, ka līdz 2020. gada 31. decembrim LOK  izlieto </w:t>
            </w:r>
            <w:r w:rsidR="00156CFC">
              <w:t>valsts budžeta līdzekļus valsts galvoto aizdevumu 2021. gada maksājumiem</w:t>
            </w:r>
            <w:r>
              <w:t xml:space="preserve">, kā arī līdz 2020. gada 31. decembrim </w:t>
            </w:r>
            <w:r w:rsidR="00156CFC">
              <w:t xml:space="preserve"> </w:t>
            </w:r>
            <w:r>
              <w:t xml:space="preserve">LaMSF un LAF </w:t>
            </w:r>
            <w:r w:rsidR="00156CFC">
              <w:t>izlieto valsts b</w:t>
            </w:r>
            <w:r>
              <w:t>udžeta līdzekļus licences iegādei.</w:t>
            </w:r>
          </w:p>
          <w:p w14:paraId="4A2A053D" w14:textId="00968F20" w:rsidR="00E61BB0" w:rsidRPr="00945164" w:rsidRDefault="00E50E9F" w:rsidP="001466FF">
            <w:pPr>
              <w:ind w:left="141" w:right="142" w:firstLine="567"/>
              <w:jc w:val="both"/>
            </w:pPr>
            <w:r>
              <w:t xml:space="preserve">(2) Ministru kabineta sēdes protokollēmuma projektu (turpmāk – Protokollēmuma projekts), kas paredz: (a) atbalstīt IZM priekšlikumu par finanšu resursu 900 000 </w:t>
            </w:r>
            <w:r w:rsidRPr="00E50E9F">
              <w:rPr>
                <w:i/>
              </w:rPr>
              <w:t>euro</w:t>
            </w:r>
            <w:r>
              <w:t xml:space="preserve"> apmērā ietaupījuma, kas 2021.gada valsts budžeta apakšprogrammā 09.23.00 „Valsts ilgtermiņa saistības sportā – dotācija Latvijas Olimpiskajai komitejai (LOK) – valsts galvoto aizdevumu atmaksai” rodas pēc valsts budžeta līdzekļu piešķiršanas LOK valsts galvoto aizdevumu 2021. gada maksājumu daļējai atmaksai 2020. gadā, novirzīšanu IZM pamatfunkciju sporta nozarē izpildes nodrošināšanai; (b) uzdevumu IZM sagatavot un līdz 2021. gada 29. janvārim noteiktā kārtībā izskatīšanai Ministru kabinetā iesniegt Ministru kabineta rīkojuma projektu „Par apropriācijas pārdali starp IZM budžeta programmām un apakšprogrammām”, paredzot apropriācijas pārdali 2021. gadā no IZM budžeta apakšprogrammas 09.23.00 „Valsts ilgtermiņa saistības sportā – dotācija Latvijas Olimpiskajai komitejai (LOK) – valsts galvoto aizdevumu atmaksai” 900 000 </w:t>
            </w:r>
            <w:r w:rsidRPr="00E50E9F">
              <w:rPr>
                <w:i/>
              </w:rPr>
              <w:t>euro</w:t>
            </w:r>
            <w:r>
              <w:t xml:space="preserve"> apmērā uz šādām budžeta apakšprogrammām: [i] 700 000 </w:t>
            </w:r>
            <w:r w:rsidRPr="00E50E9F">
              <w:rPr>
                <w:i/>
              </w:rPr>
              <w:t>euro</w:t>
            </w:r>
            <w:r>
              <w:t xml:space="preserve"> apmērā uz budžeta apakšprogrammu 09.16.00 „Dotācija nacionālās nozīmes starptautisku sporta pasākumu organizēšanai Latvijā” 2021. gadā Latvijā paredzēto nacionālas nozīmes starptautisku sporta sacensību organizēšanas izdevumu segšanai; [ii] 200 000 </w:t>
            </w:r>
            <w:r w:rsidRPr="00E50E9F">
              <w:rPr>
                <w:i/>
              </w:rPr>
              <w:t>euro</w:t>
            </w:r>
            <w:r>
              <w:t xml:space="preserve"> apmērā uz budžeta apakšprogrammu 09.04.00 „Sporta būves” Murjāņu sporta ģimnāzijas sporta bāzes – stadiona skrejceliņu seguma renovācijas pabeigšanai (100 000 </w:t>
            </w:r>
            <w:r w:rsidRPr="001466FF">
              <w:rPr>
                <w:i/>
              </w:rPr>
              <w:t>euro</w:t>
            </w:r>
            <w:r>
              <w:t xml:space="preserve">) un VSIA „Kultūras un sporta centrs „Daugavas stadions”” ledus halles aprīkojuma iegādei (100 000 </w:t>
            </w:r>
            <w:r w:rsidRPr="001466FF">
              <w:rPr>
                <w:i/>
              </w:rPr>
              <w:t>euro</w:t>
            </w:r>
            <w:r>
              <w:t>).</w:t>
            </w:r>
          </w:p>
        </w:tc>
      </w:tr>
      <w:tr w:rsidR="00585B7B" w:rsidRPr="00317B6A" w14:paraId="42AC8649" w14:textId="77777777" w:rsidTr="00DA1547">
        <w:trPr>
          <w:trHeight w:val="476"/>
        </w:trPr>
        <w:tc>
          <w:tcPr>
            <w:tcW w:w="562" w:type="dxa"/>
            <w:tcBorders>
              <w:bottom w:val="single" w:sz="4" w:space="0" w:color="auto"/>
            </w:tcBorders>
          </w:tcPr>
          <w:p w14:paraId="308FAEA2" w14:textId="71AE82FE" w:rsidR="00585B7B" w:rsidRPr="00317B6A" w:rsidRDefault="00005A9D" w:rsidP="00BD696A">
            <w:pPr>
              <w:pStyle w:val="naiskr"/>
              <w:spacing w:before="0" w:after="0"/>
              <w:jc w:val="center"/>
            </w:pPr>
            <w:r w:rsidRPr="00317B6A">
              <w:lastRenderedPageBreak/>
              <w:t>3.</w:t>
            </w:r>
          </w:p>
        </w:tc>
        <w:tc>
          <w:tcPr>
            <w:tcW w:w="1884" w:type="dxa"/>
            <w:tcBorders>
              <w:bottom w:val="single" w:sz="4" w:space="0" w:color="auto"/>
            </w:tcBorders>
          </w:tcPr>
          <w:p w14:paraId="132B3A4C"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7755" w:type="dxa"/>
            <w:tcBorders>
              <w:bottom w:val="single" w:sz="4" w:space="0" w:color="auto"/>
            </w:tcBorders>
          </w:tcPr>
          <w:p w14:paraId="7C6826FC" w14:textId="7EABA1D9" w:rsidR="00643E6C" w:rsidRPr="00317B6A" w:rsidRDefault="00BB3C51" w:rsidP="009B1913">
            <w:pPr>
              <w:ind w:left="101" w:right="142"/>
              <w:jc w:val="both"/>
            </w:pPr>
            <w:r>
              <w:t xml:space="preserve">Rīkojuma </w:t>
            </w:r>
            <w:r w:rsidR="00B73BB9">
              <w:t xml:space="preserve">projektu </w:t>
            </w:r>
            <w:r w:rsidR="001466FF">
              <w:t xml:space="preserve">un Protokollēmuma projektu </w:t>
            </w:r>
            <w:r w:rsidR="00DC332F" w:rsidRPr="00317B6A">
              <w:t>izstrādāja IZM.</w:t>
            </w:r>
            <w:r w:rsidR="00790CFC">
              <w:t xml:space="preserve"> </w:t>
            </w:r>
            <w:r>
              <w:t xml:space="preserve">Rīkojuma </w:t>
            </w:r>
            <w:r w:rsidR="00790CFC">
              <w:t>projekta izstrādes procesā notikušas konsu</w:t>
            </w:r>
            <w:r w:rsidR="0065105A">
              <w:t xml:space="preserve">ltācijas ar </w:t>
            </w:r>
            <w:r w:rsidR="009B1913">
              <w:t xml:space="preserve">LOK attiecībā uz līdzekļu piešķiršanu valsts galvoto aizdevumu </w:t>
            </w:r>
            <w:r w:rsidR="009B1913" w:rsidRPr="009B1913">
              <w:t>2021. gada maksājum</w:t>
            </w:r>
            <w:r w:rsidR="009B1913">
              <w:t>u</w:t>
            </w:r>
            <w:r w:rsidR="009B1913" w:rsidRPr="009B1913">
              <w:t xml:space="preserve"> daļējai </w:t>
            </w:r>
            <w:r w:rsidR="009B1913">
              <w:t>segšanai 2020. gadā.</w:t>
            </w:r>
          </w:p>
        </w:tc>
      </w:tr>
      <w:tr w:rsidR="00585B7B" w:rsidRPr="00317B6A" w14:paraId="26593524" w14:textId="77777777" w:rsidTr="00DA1547">
        <w:tc>
          <w:tcPr>
            <w:tcW w:w="562" w:type="dxa"/>
            <w:tcBorders>
              <w:top w:val="single" w:sz="4" w:space="0" w:color="auto"/>
              <w:left w:val="single" w:sz="4" w:space="0" w:color="auto"/>
              <w:bottom w:val="single" w:sz="4" w:space="0" w:color="auto"/>
              <w:right w:val="single" w:sz="4" w:space="0" w:color="auto"/>
            </w:tcBorders>
          </w:tcPr>
          <w:p w14:paraId="6FA8785B" w14:textId="41D390DE" w:rsidR="00585B7B" w:rsidRPr="00317B6A" w:rsidRDefault="00005A9D" w:rsidP="00BD696A">
            <w:pPr>
              <w:pStyle w:val="naiskr"/>
              <w:spacing w:before="0" w:after="0"/>
              <w:jc w:val="center"/>
            </w:pPr>
            <w:r w:rsidRPr="00317B6A">
              <w:t>4</w:t>
            </w:r>
            <w:r w:rsidR="00585B7B" w:rsidRPr="00317B6A">
              <w:t>.</w:t>
            </w:r>
          </w:p>
        </w:tc>
        <w:tc>
          <w:tcPr>
            <w:tcW w:w="1884" w:type="dxa"/>
            <w:tcBorders>
              <w:top w:val="single" w:sz="4" w:space="0" w:color="auto"/>
              <w:left w:val="single" w:sz="4" w:space="0" w:color="auto"/>
              <w:bottom w:val="single" w:sz="4" w:space="0" w:color="auto"/>
              <w:right w:val="single" w:sz="4" w:space="0" w:color="auto"/>
            </w:tcBorders>
          </w:tcPr>
          <w:p w14:paraId="2D1E3318" w14:textId="77777777" w:rsidR="00585B7B" w:rsidRPr="00317B6A" w:rsidRDefault="00585B7B" w:rsidP="00916055">
            <w:pPr>
              <w:pStyle w:val="naiskr"/>
              <w:spacing w:before="0" w:after="0"/>
              <w:ind w:left="141"/>
            </w:pPr>
            <w:r w:rsidRPr="00317B6A">
              <w:t>Cita informācija</w:t>
            </w:r>
          </w:p>
        </w:tc>
        <w:tc>
          <w:tcPr>
            <w:tcW w:w="7755" w:type="dxa"/>
            <w:tcBorders>
              <w:top w:val="single" w:sz="4" w:space="0" w:color="auto"/>
              <w:left w:val="single" w:sz="4" w:space="0" w:color="auto"/>
              <w:bottom w:val="single" w:sz="4" w:space="0" w:color="auto"/>
              <w:right w:val="single" w:sz="4" w:space="0" w:color="auto"/>
            </w:tcBorders>
          </w:tcPr>
          <w:p w14:paraId="7A9AF941" w14:textId="4F99CDC5" w:rsidR="00C20F7F" w:rsidRPr="00317B6A" w:rsidRDefault="00EB687E" w:rsidP="001466FF">
            <w:pPr>
              <w:ind w:left="114" w:right="127"/>
              <w:jc w:val="both"/>
            </w:pPr>
            <w:r w:rsidRPr="00EB687E">
              <w:t xml:space="preserve">Rīkojuma projekts </w:t>
            </w:r>
            <w:r w:rsidR="001466FF">
              <w:t xml:space="preserve">un  Protokollēmuma projekts </w:t>
            </w:r>
            <w:r w:rsidRPr="00EB687E">
              <w:t xml:space="preserve">tiešā veidā attiecas uz  budžeta un finanšu politiku. Pastarpināti Rīkojuma projekts </w:t>
            </w:r>
            <w:r w:rsidR="001466FF">
              <w:t xml:space="preserve"> Protokollēmuma projekts </w:t>
            </w:r>
            <w:r w:rsidRPr="00EB687E">
              <w:t>attiecas uz  tūrisma, sporta un brīvā laika politiku (sporta politiku).</w:t>
            </w:r>
          </w:p>
        </w:tc>
      </w:tr>
    </w:tbl>
    <w:p w14:paraId="0D78B04E" w14:textId="6A104C51" w:rsidR="007C4713" w:rsidRDefault="007C4713">
      <w:pPr>
        <w:rPr>
          <w:b/>
          <w:bCs/>
        </w:rPr>
      </w:pPr>
    </w:p>
    <w:p w14:paraId="4E895B22" w14:textId="77777777" w:rsidR="00BD4A5C" w:rsidRDefault="00BD4A5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317B6A" w14:paraId="014B972D" w14:textId="77777777" w:rsidTr="0053721C">
        <w:tc>
          <w:tcPr>
            <w:tcW w:w="10060" w:type="dxa"/>
            <w:vAlign w:val="center"/>
          </w:tcPr>
          <w:p w14:paraId="25DD5253" w14:textId="3458C077" w:rsidR="00C66A35" w:rsidRDefault="00C66A35" w:rsidP="001B2A96">
            <w:pPr>
              <w:pStyle w:val="naisnod"/>
              <w:spacing w:before="0" w:after="0"/>
            </w:pPr>
            <w:r w:rsidRPr="00C3572A">
              <w:t xml:space="preserve">II. Tiesību akta projekta ietekme uz sabiedrību, tautsaimniecības attīstību un </w:t>
            </w:r>
          </w:p>
          <w:p w14:paraId="36AC0BC0" w14:textId="77777777" w:rsidR="00C66A35" w:rsidRPr="00317B6A" w:rsidRDefault="00C66A35" w:rsidP="001B2A96">
            <w:pPr>
              <w:pStyle w:val="naisnod"/>
              <w:spacing w:before="0" w:after="0"/>
            </w:pPr>
            <w:r w:rsidRPr="00C3572A">
              <w:t>administratīvo slogu</w:t>
            </w:r>
          </w:p>
        </w:tc>
      </w:tr>
      <w:tr w:rsidR="00C66A35" w:rsidRPr="00B24229" w14:paraId="4EB79942" w14:textId="77777777" w:rsidTr="0053721C">
        <w:trPr>
          <w:trHeight w:val="273"/>
        </w:trPr>
        <w:tc>
          <w:tcPr>
            <w:tcW w:w="10060" w:type="dxa"/>
          </w:tcPr>
          <w:p w14:paraId="4BF34555" w14:textId="77777777" w:rsidR="00C66A35" w:rsidRPr="00B24229" w:rsidRDefault="00C66A35" w:rsidP="001B2A96">
            <w:pPr>
              <w:ind w:right="127"/>
              <w:jc w:val="center"/>
            </w:pPr>
            <w:r w:rsidRPr="00C3572A">
              <w:t>Projekts šo jomu neskar</w:t>
            </w:r>
          </w:p>
        </w:tc>
      </w:tr>
    </w:tbl>
    <w:p w14:paraId="747F53F0" w14:textId="77777777" w:rsidR="00C66A35" w:rsidRDefault="00C66A35"/>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32"/>
        <w:gridCol w:w="1448"/>
        <w:gridCol w:w="1130"/>
        <w:gridCol w:w="1216"/>
        <w:gridCol w:w="1130"/>
        <w:gridCol w:w="1197"/>
        <w:gridCol w:w="1197"/>
      </w:tblGrid>
      <w:tr w:rsidR="00DA708F" w:rsidRPr="0033617F" w14:paraId="23001469" w14:textId="77777777" w:rsidTr="00D442BA">
        <w:trPr>
          <w:trHeight w:val="361"/>
          <w:jc w:val="center"/>
        </w:trPr>
        <w:tc>
          <w:tcPr>
            <w:tcW w:w="10685" w:type="dxa"/>
            <w:gridSpan w:val="8"/>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DA708F" w:rsidRPr="0033617F" w14:paraId="4EF90857" w14:textId="77777777" w:rsidTr="00D442BA">
        <w:trPr>
          <w:jc w:val="center"/>
        </w:trPr>
        <w:tc>
          <w:tcPr>
            <w:tcW w:w="2235" w:type="dxa"/>
            <w:vMerge w:val="restart"/>
            <w:vAlign w:val="center"/>
          </w:tcPr>
          <w:p w14:paraId="551BB498" w14:textId="77777777" w:rsidR="00DA708F" w:rsidRPr="0033617F" w:rsidRDefault="00DA708F" w:rsidP="001B2A96">
            <w:pPr>
              <w:jc w:val="center"/>
              <w:rPr>
                <w:b/>
              </w:rPr>
            </w:pPr>
            <w:r w:rsidRPr="0033617F">
              <w:rPr>
                <w:b/>
              </w:rPr>
              <w:t>Rādītāji</w:t>
            </w:r>
          </w:p>
        </w:tc>
        <w:tc>
          <w:tcPr>
            <w:tcW w:w="2580" w:type="dxa"/>
            <w:gridSpan w:val="2"/>
            <w:vMerge w:val="restart"/>
            <w:vAlign w:val="center"/>
          </w:tcPr>
          <w:p w14:paraId="22EC0AC1" w14:textId="77777777" w:rsidR="00DA708F" w:rsidRPr="0033617F" w:rsidRDefault="008C2D86" w:rsidP="001B2A96">
            <w:pPr>
              <w:jc w:val="center"/>
              <w:rPr>
                <w:b/>
              </w:rPr>
            </w:pPr>
            <w:r>
              <w:rPr>
                <w:b/>
              </w:rPr>
              <w:t>2020</w:t>
            </w:r>
          </w:p>
        </w:tc>
        <w:tc>
          <w:tcPr>
            <w:tcW w:w="5870" w:type="dxa"/>
            <w:gridSpan w:val="5"/>
            <w:vAlign w:val="center"/>
          </w:tcPr>
          <w:p w14:paraId="5465584B" w14:textId="77777777" w:rsidR="00DA708F" w:rsidRPr="0033617F" w:rsidRDefault="00DA708F" w:rsidP="001B2A96">
            <w:pPr>
              <w:jc w:val="center"/>
            </w:pPr>
            <w:r w:rsidRPr="0033617F">
              <w:t>Turpmākie trīs gadi (</w:t>
            </w:r>
            <w:r w:rsidRPr="0033617F">
              <w:rPr>
                <w:i/>
              </w:rPr>
              <w:t>euro</w:t>
            </w:r>
            <w:r w:rsidRPr="0033617F">
              <w:t>)</w:t>
            </w:r>
          </w:p>
        </w:tc>
      </w:tr>
      <w:tr w:rsidR="00DA708F" w:rsidRPr="0033617F" w14:paraId="5789D37E" w14:textId="77777777" w:rsidTr="00D442BA">
        <w:trPr>
          <w:jc w:val="center"/>
        </w:trPr>
        <w:tc>
          <w:tcPr>
            <w:tcW w:w="2235" w:type="dxa"/>
            <w:vMerge/>
            <w:vAlign w:val="center"/>
          </w:tcPr>
          <w:p w14:paraId="42C1DC4E" w14:textId="77777777" w:rsidR="00DA708F" w:rsidRPr="0033617F" w:rsidRDefault="00DA708F" w:rsidP="001B2A96">
            <w:pPr>
              <w:jc w:val="center"/>
              <w:rPr>
                <w:b/>
                <w:i/>
              </w:rPr>
            </w:pPr>
          </w:p>
        </w:tc>
        <w:tc>
          <w:tcPr>
            <w:tcW w:w="2580" w:type="dxa"/>
            <w:gridSpan w:val="2"/>
            <w:vMerge/>
            <w:vAlign w:val="center"/>
          </w:tcPr>
          <w:p w14:paraId="222D68FD" w14:textId="77777777" w:rsidR="00DA708F" w:rsidRPr="0033617F" w:rsidRDefault="00DA708F" w:rsidP="001B2A96">
            <w:pPr>
              <w:jc w:val="center"/>
              <w:rPr>
                <w:b/>
                <w:i/>
              </w:rPr>
            </w:pPr>
          </w:p>
        </w:tc>
        <w:tc>
          <w:tcPr>
            <w:tcW w:w="2346" w:type="dxa"/>
            <w:gridSpan w:val="2"/>
            <w:vAlign w:val="center"/>
          </w:tcPr>
          <w:p w14:paraId="432184C8" w14:textId="77777777" w:rsidR="00DA708F" w:rsidRPr="0033617F" w:rsidRDefault="008C2D86" w:rsidP="001B2A96">
            <w:pPr>
              <w:jc w:val="center"/>
              <w:rPr>
                <w:b/>
                <w:i/>
              </w:rPr>
            </w:pPr>
            <w:r>
              <w:rPr>
                <w:b/>
                <w:bCs/>
              </w:rPr>
              <w:t>2021</w:t>
            </w:r>
          </w:p>
        </w:tc>
        <w:tc>
          <w:tcPr>
            <w:tcW w:w="2327" w:type="dxa"/>
            <w:gridSpan w:val="2"/>
            <w:vAlign w:val="center"/>
          </w:tcPr>
          <w:p w14:paraId="77EFC272" w14:textId="77777777" w:rsidR="00DA708F" w:rsidRDefault="008C2D86" w:rsidP="001B2A96">
            <w:pPr>
              <w:jc w:val="center"/>
              <w:rPr>
                <w:b/>
                <w:bCs/>
              </w:rPr>
            </w:pPr>
            <w:r>
              <w:rPr>
                <w:b/>
                <w:bCs/>
              </w:rPr>
              <w:t>2022</w:t>
            </w:r>
          </w:p>
        </w:tc>
        <w:tc>
          <w:tcPr>
            <w:tcW w:w="1197" w:type="dxa"/>
            <w:vAlign w:val="center"/>
          </w:tcPr>
          <w:p w14:paraId="44038ECB" w14:textId="77777777" w:rsidR="00DA708F" w:rsidRDefault="008C2D86" w:rsidP="001B2A96">
            <w:pPr>
              <w:jc w:val="center"/>
              <w:rPr>
                <w:b/>
                <w:bCs/>
              </w:rPr>
            </w:pPr>
            <w:r>
              <w:rPr>
                <w:b/>
                <w:bCs/>
              </w:rPr>
              <w:t>2023</w:t>
            </w:r>
          </w:p>
        </w:tc>
      </w:tr>
      <w:tr w:rsidR="00265934" w:rsidRPr="0033617F" w14:paraId="0B1D67EC" w14:textId="77777777" w:rsidTr="00D442BA">
        <w:trPr>
          <w:jc w:val="center"/>
        </w:trPr>
        <w:tc>
          <w:tcPr>
            <w:tcW w:w="2235" w:type="dxa"/>
            <w:vMerge/>
            <w:vAlign w:val="center"/>
          </w:tcPr>
          <w:p w14:paraId="5D836921" w14:textId="77777777" w:rsidR="00265934" w:rsidRPr="0033617F" w:rsidRDefault="00265934" w:rsidP="00265934">
            <w:pPr>
              <w:jc w:val="center"/>
              <w:rPr>
                <w:b/>
                <w:i/>
              </w:rPr>
            </w:pPr>
          </w:p>
        </w:tc>
        <w:tc>
          <w:tcPr>
            <w:tcW w:w="1132" w:type="dxa"/>
            <w:vAlign w:val="center"/>
          </w:tcPr>
          <w:p w14:paraId="15650775" w14:textId="001F54E2" w:rsidR="00265934" w:rsidRPr="0033617F" w:rsidRDefault="00265934" w:rsidP="00265934">
            <w:pPr>
              <w:jc w:val="center"/>
              <w:rPr>
                <w:b/>
                <w:i/>
              </w:rPr>
            </w:pPr>
            <w:r w:rsidRPr="003350F2">
              <w:t xml:space="preserve">saskaņā ar valsts budžetu </w:t>
            </w:r>
            <w:r w:rsidRPr="003350F2">
              <w:lastRenderedPageBreak/>
              <w:t>kārtējam gadam</w:t>
            </w:r>
          </w:p>
        </w:tc>
        <w:tc>
          <w:tcPr>
            <w:tcW w:w="1448" w:type="dxa"/>
            <w:vAlign w:val="center"/>
          </w:tcPr>
          <w:p w14:paraId="5FDBDFA1" w14:textId="4989E7F1" w:rsidR="00265934" w:rsidRPr="0033617F" w:rsidRDefault="00265934" w:rsidP="00265934">
            <w:pPr>
              <w:jc w:val="center"/>
              <w:rPr>
                <w:b/>
                <w:i/>
              </w:rPr>
            </w:pPr>
            <w:r w:rsidRPr="003350F2">
              <w:lastRenderedPageBreak/>
              <w:t xml:space="preserve">izmaiņas kārtējā gadā, salīdzinot ar </w:t>
            </w:r>
            <w:r w:rsidRPr="003350F2">
              <w:lastRenderedPageBreak/>
              <w:t>budžetu kārtējam gadam</w:t>
            </w:r>
          </w:p>
        </w:tc>
        <w:tc>
          <w:tcPr>
            <w:tcW w:w="1130" w:type="dxa"/>
            <w:vAlign w:val="center"/>
          </w:tcPr>
          <w:p w14:paraId="111F124F" w14:textId="240B02E7" w:rsidR="00265934" w:rsidRPr="00183338" w:rsidRDefault="00265934" w:rsidP="00265934">
            <w:pPr>
              <w:jc w:val="center"/>
            </w:pPr>
            <w:r w:rsidRPr="003350F2">
              <w:lastRenderedPageBreak/>
              <w:t xml:space="preserve">saskaņā ar vidēja termiņa </w:t>
            </w:r>
            <w:r w:rsidRPr="003350F2">
              <w:lastRenderedPageBreak/>
              <w:t>budžeta ietvaru</w:t>
            </w:r>
          </w:p>
        </w:tc>
        <w:tc>
          <w:tcPr>
            <w:tcW w:w="1216" w:type="dxa"/>
            <w:vAlign w:val="center"/>
          </w:tcPr>
          <w:p w14:paraId="6E599D60" w14:textId="77777777" w:rsidR="00265934" w:rsidRPr="003350F2" w:rsidRDefault="00265934" w:rsidP="00265934">
            <w:pPr>
              <w:jc w:val="center"/>
            </w:pPr>
            <w:r w:rsidRPr="003350F2">
              <w:lastRenderedPageBreak/>
              <w:t xml:space="preserve">izmaiņas, salīdzinot ar vidēja </w:t>
            </w:r>
            <w:r w:rsidRPr="003350F2">
              <w:lastRenderedPageBreak/>
              <w:t>termiņa budžeta ietvaru 202</w:t>
            </w:r>
            <w:r>
              <w:t>1</w:t>
            </w:r>
            <w:r w:rsidRPr="003350F2">
              <w:t>.</w:t>
            </w:r>
          </w:p>
          <w:p w14:paraId="6AE04936" w14:textId="7EF76195" w:rsidR="00265934" w:rsidRPr="00183338" w:rsidRDefault="00265934" w:rsidP="00265934">
            <w:pPr>
              <w:jc w:val="center"/>
            </w:pPr>
            <w:r w:rsidRPr="003350F2">
              <w:t>gadam</w:t>
            </w:r>
          </w:p>
        </w:tc>
        <w:tc>
          <w:tcPr>
            <w:tcW w:w="1130" w:type="dxa"/>
            <w:vAlign w:val="center"/>
          </w:tcPr>
          <w:p w14:paraId="39658717" w14:textId="695023D4" w:rsidR="00265934" w:rsidRPr="00183338" w:rsidRDefault="00265934" w:rsidP="00265934">
            <w:pPr>
              <w:jc w:val="center"/>
            </w:pPr>
            <w:r w:rsidRPr="003350F2">
              <w:lastRenderedPageBreak/>
              <w:t xml:space="preserve">saskaņā ar vidēja termiņa </w:t>
            </w:r>
            <w:r w:rsidRPr="003350F2">
              <w:lastRenderedPageBreak/>
              <w:t>budžeta ietvaru</w:t>
            </w:r>
          </w:p>
        </w:tc>
        <w:tc>
          <w:tcPr>
            <w:tcW w:w="1197" w:type="dxa"/>
            <w:vAlign w:val="center"/>
          </w:tcPr>
          <w:p w14:paraId="12EF6955" w14:textId="77777777" w:rsidR="00265934" w:rsidRPr="003350F2" w:rsidRDefault="00265934" w:rsidP="00265934">
            <w:pPr>
              <w:jc w:val="center"/>
            </w:pPr>
            <w:r w:rsidRPr="003350F2">
              <w:lastRenderedPageBreak/>
              <w:t xml:space="preserve">izmaiņas, salīdzinot ar vidēja </w:t>
            </w:r>
            <w:r w:rsidRPr="003350F2">
              <w:lastRenderedPageBreak/>
              <w:t xml:space="preserve">termiņa budžeta ietvaru </w:t>
            </w:r>
            <w:r>
              <w:t>2022</w:t>
            </w:r>
            <w:r w:rsidRPr="003350F2">
              <w:t>.</w:t>
            </w:r>
          </w:p>
          <w:p w14:paraId="1A50A356" w14:textId="05A8AE16" w:rsidR="00265934" w:rsidRPr="00183338" w:rsidRDefault="00265934" w:rsidP="00265934">
            <w:pPr>
              <w:jc w:val="center"/>
            </w:pPr>
            <w:r w:rsidRPr="003350F2">
              <w:t>gadam</w:t>
            </w:r>
          </w:p>
        </w:tc>
        <w:tc>
          <w:tcPr>
            <w:tcW w:w="1197" w:type="dxa"/>
            <w:vAlign w:val="center"/>
          </w:tcPr>
          <w:p w14:paraId="1A1F803F" w14:textId="77777777" w:rsidR="00265934" w:rsidRPr="003350F2" w:rsidRDefault="00265934" w:rsidP="00265934">
            <w:pPr>
              <w:jc w:val="center"/>
            </w:pPr>
            <w:r w:rsidRPr="003350F2">
              <w:lastRenderedPageBreak/>
              <w:t xml:space="preserve">izmaiņas, salīdzinot ar vidēja </w:t>
            </w:r>
            <w:r w:rsidRPr="003350F2">
              <w:lastRenderedPageBreak/>
              <w:t xml:space="preserve">termiņa budžeta ietvaru </w:t>
            </w:r>
            <w:r>
              <w:t>2022</w:t>
            </w:r>
            <w:r w:rsidRPr="003350F2">
              <w:t>.</w:t>
            </w:r>
          </w:p>
          <w:p w14:paraId="12BA2B57" w14:textId="4587A14A" w:rsidR="00265934" w:rsidRPr="00183338" w:rsidRDefault="00265934" w:rsidP="00265934">
            <w:pPr>
              <w:jc w:val="center"/>
            </w:pPr>
            <w:r w:rsidRPr="003350F2">
              <w:t>gadam</w:t>
            </w:r>
          </w:p>
        </w:tc>
      </w:tr>
      <w:tr w:rsidR="00DA708F" w:rsidRPr="0033617F" w14:paraId="30123253" w14:textId="77777777" w:rsidTr="00D442BA">
        <w:trPr>
          <w:jc w:val="center"/>
        </w:trPr>
        <w:tc>
          <w:tcPr>
            <w:tcW w:w="2235" w:type="dxa"/>
            <w:vAlign w:val="center"/>
          </w:tcPr>
          <w:p w14:paraId="02288EDF" w14:textId="77777777" w:rsidR="00DA708F" w:rsidRPr="0033617F" w:rsidRDefault="00DA708F" w:rsidP="001B2A96">
            <w:pPr>
              <w:jc w:val="center"/>
              <w:rPr>
                <w:bCs/>
              </w:rPr>
            </w:pPr>
            <w:r w:rsidRPr="0033617F">
              <w:rPr>
                <w:bCs/>
              </w:rPr>
              <w:lastRenderedPageBreak/>
              <w:t>1</w:t>
            </w:r>
          </w:p>
        </w:tc>
        <w:tc>
          <w:tcPr>
            <w:tcW w:w="1132" w:type="dxa"/>
            <w:vAlign w:val="center"/>
          </w:tcPr>
          <w:p w14:paraId="68FDB516" w14:textId="77777777" w:rsidR="00DA708F" w:rsidRPr="0033617F" w:rsidRDefault="00DA708F" w:rsidP="001B2A96">
            <w:pPr>
              <w:jc w:val="center"/>
              <w:rPr>
                <w:bCs/>
              </w:rPr>
            </w:pPr>
            <w:r w:rsidRPr="0033617F">
              <w:rPr>
                <w:bCs/>
              </w:rPr>
              <w:t>2</w:t>
            </w:r>
          </w:p>
        </w:tc>
        <w:tc>
          <w:tcPr>
            <w:tcW w:w="1448" w:type="dxa"/>
            <w:vAlign w:val="center"/>
          </w:tcPr>
          <w:p w14:paraId="6818F00C" w14:textId="77777777" w:rsidR="00DA708F" w:rsidRPr="0033617F" w:rsidRDefault="00DA708F" w:rsidP="001B2A96">
            <w:pPr>
              <w:jc w:val="center"/>
              <w:rPr>
                <w:bCs/>
              </w:rPr>
            </w:pPr>
            <w:r w:rsidRPr="0033617F">
              <w:rPr>
                <w:bCs/>
              </w:rPr>
              <w:t>3</w:t>
            </w:r>
          </w:p>
        </w:tc>
        <w:tc>
          <w:tcPr>
            <w:tcW w:w="1130" w:type="dxa"/>
            <w:vAlign w:val="center"/>
          </w:tcPr>
          <w:p w14:paraId="1FBDF226" w14:textId="77777777" w:rsidR="00DA708F" w:rsidRPr="0033617F" w:rsidRDefault="00DA708F" w:rsidP="001B2A96">
            <w:pPr>
              <w:jc w:val="center"/>
              <w:rPr>
                <w:bCs/>
              </w:rPr>
            </w:pPr>
            <w:r w:rsidRPr="0033617F">
              <w:rPr>
                <w:bCs/>
              </w:rPr>
              <w:t>4</w:t>
            </w:r>
          </w:p>
        </w:tc>
        <w:tc>
          <w:tcPr>
            <w:tcW w:w="1216" w:type="dxa"/>
            <w:vAlign w:val="center"/>
          </w:tcPr>
          <w:p w14:paraId="54FF63F6" w14:textId="77777777" w:rsidR="00DA708F" w:rsidRPr="0033617F" w:rsidRDefault="00DA708F" w:rsidP="001B2A96">
            <w:pPr>
              <w:jc w:val="center"/>
              <w:rPr>
                <w:bCs/>
              </w:rPr>
            </w:pPr>
            <w:r w:rsidRPr="0033617F">
              <w:rPr>
                <w:bCs/>
              </w:rPr>
              <w:t>5</w:t>
            </w:r>
          </w:p>
        </w:tc>
        <w:tc>
          <w:tcPr>
            <w:tcW w:w="1130" w:type="dxa"/>
            <w:vAlign w:val="center"/>
          </w:tcPr>
          <w:p w14:paraId="64AAAB22" w14:textId="77777777" w:rsidR="00DA708F" w:rsidRPr="0033617F" w:rsidRDefault="00DA708F" w:rsidP="001B2A96">
            <w:pPr>
              <w:jc w:val="center"/>
              <w:rPr>
                <w:bCs/>
              </w:rPr>
            </w:pPr>
            <w:r w:rsidRPr="0033617F">
              <w:rPr>
                <w:bCs/>
              </w:rPr>
              <w:t>6</w:t>
            </w:r>
          </w:p>
        </w:tc>
        <w:tc>
          <w:tcPr>
            <w:tcW w:w="1197" w:type="dxa"/>
          </w:tcPr>
          <w:p w14:paraId="02741E3B" w14:textId="77777777" w:rsidR="00DA708F" w:rsidRPr="0033617F" w:rsidRDefault="00DA708F" w:rsidP="001B2A96">
            <w:pPr>
              <w:jc w:val="center"/>
              <w:rPr>
                <w:bCs/>
              </w:rPr>
            </w:pPr>
            <w:r>
              <w:rPr>
                <w:bCs/>
              </w:rPr>
              <w:t>7</w:t>
            </w:r>
          </w:p>
        </w:tc>
        <w:tc>
          <w:tcPr>
            <w:tcW w:w="1197" w:type="dxa"/>
          </w:tcPr>
          <w:p w14:paraId="3BB87FF8" w14:textId="77777777" w:rsidR="00DA708F" w:rsidRPr="0033617F" w:rsidRDefault="00DA708F" w:rsidP="001B2A96">
            <w:pPr>
              <w:jc w:val="center"/>
              <w:rPr>
                <w:bCs/>
              </w:rPr>
            </w:pPr>
            <w:r>
              <w:rPr>
                <w:bCs/>
              </w:rPr>
              <w:t>8</w:t>
            </w:r>
          </w:p>
        </w:tc>
      </w:tr>
      <w:tr w:rsidR="00DA708F" w:rsidRPr="0033617F" w14:paraId="13C8EA50" w14:textId="77777777" w:rsidTr="00D442BA">
        <w:trPr>
          <w:jc w:val="center"/>
        </w:trPr>
        <w:tc>
          <w:tcPr>
            <w:tcW w:w="2235" w:type="dxa"/>
          </w:tcPr>
          <w:p w14:paraId="452173D7" w14:textId="77777777" w:rsidR="00DA708F" w:rsidRPr="0033617F" w:rsidRDefault="00DA708F" w:rsidP="001B2A96">
            <w:pPr>
              <w:rPr>
                <w:i/>
              </w:rPr>
            </w:pPr>
            <w:r w:rsidRPr="0033617F">
              <w:t>1. Budžeta ieņēmumi:</w:t>
            </w:r>
          </w:p>
        </w:tc>
        <w:tc>
          <w:tcPr>
            <w:tcW w:w="1132" w:type="dxa"/>
          </w:tcPr>
          <w:p w14:paraId="2F65E935" w14:textId="77777777" w:rsidR="00DA708F" w:rsidRPr="0033617F" w:rsidRDefault="00DA708F" w:rsidP="001B2A96">
            <w:pPr>
              <w:jc w:val="center"/>
              <w:rPr>
                <w:b/>
              </w:rPr>
            </w:pPr>
            <w:r w:rsidRPr="0033617F">
              <w:rPr>
                <w:b/>
              </w:rPr>
              <w:t>0</w:t>
            </w:r>
          </w:p>
        </w:tc>
        <w:tc>
          <w:tcPr>
            <w:tcW w:w="1448" w:type="dxa"/>
          </w:tcPr>
          <w:p w14:paraId="73B05185" w14:textId="77777777" w:rsidR="00DA708F" w:rsidRPr="0033617F" w:rsidRDefault="00DA708F" w:rsidP="001B2A96">
            <w:pPr>
              <w:jc w:val="center"/>
              <w:rPr>
                <w:b/>
              </w:rPr>
            </w:pPr>
            <w:r w:rsidRPr="0033617F">
              <w:rPr>
                <w:b/>
              </w:rPr>
              <w:t>0</w:t>
            </w:r>
          </w:p>
        </w:tc>
        <w:tc>
          <w:tcPr>
            <w:tcW w:w="1130" w:type="dxa"/>
          </w:tcPr>
          <w:p w14:paraId="4E344F28" w14:textId="77777777" w:rsidR="00DA708F" w:rsidRPr="0033617F" w:rsidRDefault="00DA708F" w:rsidP="001B2A96">
            <w:pPr>
              <w:jc w:val="center"/>
              <w:rPr>
                <w:b/>
              </w:rPr>
            </w:pPr>
            <w:r w:rsidRPr="0033617F">
              <w:rPr>
                <w:b/>
              </w:rPr>
              <w:t>0</w:t>
            </w:r>
          </w:p>
        </w:tc>
        <w:tc>
          <w:tcPr>
            <w:tcW w:w="1216" w:type="dxa"/>
          </w:tcPr>
          <w:p w14:paraId="47CD847A" w14:textId="77777777" w:rsidR="00DA708F" w:rsidRPr="0033617F" w:rsidRDefault="00DA708F" w:rsidP="001B2A96">
            <w:pPr>
              <w:jc w:val="center"/>
              <w:rPr>
                <w:b/>
              </w:rPr>
            </w:pPr>
            <w:r w:rsidRPr="0033617F">
              <w:rPr>
                <w:b/>
              </w:rPr>
              <w:t>0</w:t>
            </w:r>
          </w:p>
        </w:tc>
        <w:tc>
          <w:tcPr>
            <w:tcW w:w="1130" w:type="dxa"/>
          </w:tcPr>
          <w:p w14:paraId="32601915" w14:textId="77777777" w:rsidR="00DA708F" w:rsidRPr="0033617F" w:rsidRDefault="00DA708F" w:rsidP="001B2A96">
            <w:pPr>
              <w:jc w:val="center"/>
              <w:rPr>
                <w:b/>
              </w:rPr>
            </w:pPr>
            <w:r w:rsidRPr="0033617F">
              <w:rPr>
                <w:b/>
              </w:rPr>
              <w:t>0</w:t>
            </w:r>
          </w:p>
        </w:tc>
        <w:tc>
          <w:tcPr>
            <w:tcW w:w="1197" w:type="dxa"/>
          </w:tcPr>
          <w:p w14:paraId="2BAF0F86" w14:textId="77777777" w:rsidR="00DA708F" w:rsidRPr="0033617F" w:rsidRDefault="00DA708F" w:rsidP="001B2A96">
            <w:pPr>
              <w:jc w:val="center"/>
              <w:rPr>
                <w:b/>
              </w:rPr>
            </w:pPr>
            <w:r>
              <w:rPr>
                <w:b/>
              </w:rPr>
              <w:t>0</w:t>
            </w:r>
          </w:p>
        </w:tc>
        <w:tc>
          <w:tcPr>
            <w:tcW w:w="1197" w:type="dxa"/>
          </w:tcPr>
          <w:p w14:paraId="75F359CC" w14:textId="77777777" w:rsidR="00DA708F" w:rsidRPr="0033617F" w:rsidRDefault="00DA708F" w:rsidP="001B2A96">
            <w:pPr>
              <w:jc w:val="center"/>
              <w:rPr>
                <w:b/>
              </w:rPr>
            </w:pPr>
            <w:r>
              <w:rPr>
                <w:b/>
              </w:rPr>
              <w:t>0</w:t>
            </w:r>
          </w:p>
        </w:tc>
      </w:tr>
      <w:tr w:rsidR="001466FF" w:rsidRPr="0033617F" w14:paraId="0FB39F8E" w14:textId="77777777" w:rsidTr="00D442BA">
        <w:trPr>
          <w:jc w:val="center"/>
        </w:trPr>
        <w:tc>
          <w:tcPr>
            <w:tcW w:w="2235" w:type="dxa"/>
          </w:tcPr>
          <w:p w14:paraId="1DD1B4A3" w14:textId="77777777" w:rsidR="001466FF" w:rsidRPr="0033617F" w:rsidRDefault="001466FF" w:rsidP="001466FF">
            <w:pPr>
              <w:rPr>
                <w:i/>
              </w:rPr>
            </w:pPr>
            <w:r w:rsidRPr="0033617F">
              <w:t>1.1. valsts pamatbudžets, tai skaitā ieņēmumi no maksas pakalpojumiem un citi pašu ieņēmumi</w:t>
            </w:r>
          </w:p>
        </w:tc>
        <w:tc>
          <w:tcPr>
            <w:tcW w:w="1132" w:type="dxa"/>
          </w:tcPr>
          <w:p w14:paraId="110BA630" w14:textId="5429174A" w:rsidR="001466FF" w:rsidRPr="0033617F" w:rsidRDefault="001466FF" w:rsidP="001466FF">
            <w:pPr>
              <w:jc w:val="center"/>
              <w:rPr>
                <w:i/>
              </w:rPr>
            </w:pPr>
            <w:r w:rsidRPr="004B2478">
              <w:rPr>
                <w:i/>
              </w:rPr>
              <w:t>0</w:t>
            </w:r>
          </w:p>
        </w:tc>
        <w:tc>
          <w:tcPr>
            <w:tcW w:w="1448" w:type="dxa"/>
          </w:tcPr>
          <w:p w14:paraId="06F3322B" w14:textId="7771E0BB" w:rsidR="001466FF" w:rsidRPr="0033617F" w:rsidRDefault="001466FF" w:rsidP="001466FF">
            <w:pPr>
              <w:jc w:val="center"/>
              <w:rPr>
                <w:i/>
              </w:rPr>
            </w:pPr>
            <w:r>
              <w:rPr>
                <w:i/>
              </w:rPr>
              <w:t>0</w:t>
            </w:r>
          </w:p>
        </w:tc>
        <w:tc>
          <w:tcPr>
            <w:tcW w:w="1130" w:type="dxa"/>
          </w:tcPr>
          <w:p w14:paraId="3AD84DF9" w14:textId="12881797" w:rsidR="001466FF" w:rsidRPr="0033617F" w:rsidRDefault="001466FF" w:rsidP="001466FF">
            <w:pPr>
              <w:jc w:val="center"/>
              <w:rPr>
                <w:i/>
              </w:rPr>
            </w:pPr>
            <w:r w:rsidRPr="00317B6A">
              <w:rPr>
                <w:i/>
              </w:rPr>
              <w:t>0</w:t>
            </w:r>
          </w:p>
        </w:tc>
        <w:tc>
          <w:tcPr>
            <w:tcW w:w="1216" w:type="dxa"/>
          </w:tcPr>
          <w:p w14:paraId="173425B2" w14:textId="09FDBDB9" w:rsidR="001466FF" w:rsidRPr="0033617F" w:rsidRDefault="001466FF" w:rsidP="001466FF">
            <w:pPr>
              <w:jc w:val="center"/>
              <w:rPr>
                <w:i/>
              </w:rPr>
            </w:pPr>
            <w:r w:rsidRPr="00317B6A">
              <w:rPr>
                <w:i/>
              </w:rPr>
              <w:t>0</w:t>
            </w:r>
          </w:p>
        </w:tc>
        <w:tc>
          <w:tcPr>
            <w:tcW w:w="1130" w:type="dxa"/>
          </w:tcPr>
          <w:p w14:paraId="4696E825" w14:textId="666408B8" w:rsidR="001466FF" w:rsidRPr="0033617F" w:rsidRDefault="001466FF" w:rsidP="001466FF">
            <w:pPr>
              <w:jc w:val="center"/>
              <w:rPr>
                <w:i/>
              </w:rPr>
            </w:pPr>
            <w:r w:rsidRPr="00317B6A">
              <w:rPr>
                <w:i/>
              </w:rPr>
              <w:t>0</w:t>
            </w:r>
          </w:p>
        </w:tc>
        <w:tc>
          <w:tcPr>
            <w:tcW w:w="1197" w:type="dxa"/>
          </w:tcPr>
          <w:p w14:paraId="26549C0C" w14:textId="26AF629F" w:rsidR="001466FF" w:rsidRPr="0033617F" w:rsidRDefault="001466FF" w:rsidP="001466FF">
            <w:pPr>
              <w:jc w:val="center"/>
              <w:rPr>
                <w:i/>
              </w:rPr>
            </w:pPr>
            <w:r>
              <w:rPr>
                <w:i/>
              </w:rPr>
              <w:t>0</w:t>
            </w:r>
          </w:p>
        </w:tc>
        <w:tc>
          <w:tcPr>
            <w:tcW w:w="1197" w:type="dxa"/>
          </w:tcPr>
          <w:p w14:paraId="16F35293" w14:textId="31673731" w:rsidR="001466FF" w:rsidRPr="0033617F" w:rsidRDefault="001466FF" w:rsidP="001466FF">
            <w:pPr>
              <w:jc w:val="center"/>
              <w:rPr>
                <w:i/>
              </w:rPr>
            </w:pPr>
            <w:r>
              <w:rPr>
                <w:i/>
              </w:rPr>
              <w:t>0</w:t>
            </w:r>
          </w:p>
        </w:tc>
      </w:tr>
      <w:tr w:rsidR="001466FF" w:rsidRPr="0033617F" w14:paraId="3FD3E7F1" w14:textId="77777777" w:rsidTr="00D442BA">
        <w:trPr>
          <w:jc w:val="center"/>
        </w:trPr>
        <w:tc>
          <w:tcPr>
            <w:tcW w:w="2235" w:type="dxa"/>
          </w:tcPr>
          <w:p w14:paraId="78FCCF5E" w14:textId="77777777" w:rsidR="001466FF" w:rsidRPr="0033617F" w:rsidRDefault="001466FF" w:rsidP="001466FF">
            <w:pPr>
              <w:rPr>
                <w:i/>
              </w:rPr>
            </w:pPr>
            <w:r w:rsidRPr="0033617F">
              <w:t>1.2. valsts speciālais budžets</w:t>
            </w:r>
          </w:p>
        </w:tc>
        <w:tc>
          <w:tcPr>
            <w:tcW w:w="1132" w:type="dxa"/>
          </w:tcPr>
          <w:p w14:paraId="15AC3F9D" w14:textId="77777777" w:rsidR="001466FF" w:rsidRPr="0033617F" w:rsidRDefault="001466FF" w:rsidP="001466FF">
            <w:pPr>
              <w:jc w:val="center"/>
            </w:pPr>
          </w:p>
        </w:tc>
        <w:tc>
          <w:tcPr>
            <w:tcW w:w="1448" w:type="dxa"/>
          </w:tcPr>
          <w:p w14:paraId="0C112442" w14:textId="77777777" w:rsidR="001466FF" w:rsidRPr="0033617F" w:rsidRDefault="001466FF" w:rsidP="001466FF">
            <w:pPr>
              <w:jc w:val="center"/>
            </w:pPr>
          </w:p>
        </w:tc>
        <w:tc>
          <w:tcPr>
            <w:tcW w:w="1130" w:type="dxa"/>
          </w:tcPr>
          <w:p w14:paraId="08A8B0A0" w14:textId="77777777" w:rsidR="001466FF" w:rsidRPr="0033617F" w:rsidRDefault="001466FF" w:rsidP="001466FF">
            <w:pPr>
              <w:jc w:val="center"/>
            </w:pPr>
          </w:p>
        </w:tc>
        <w:tc>
          <w:tcPr>
            <w:tcW w:w="1216" w:type="dxa"/>
          </w:tcPr>
          <w:p w14:paraId="4A8CA9E3" w14:textId="77777777" w:rsidR="001466FF" w:rsidRPr="0033617F" w:rsidRDefault="001466FF" w:rsidP="001466FF">
            <w:pPr>
              <w:jc w:val="center"/>
            </w:pPr>
          </w:p>
        </w:tc>
        <w:tc>
          <w:tcPr>
            <w:tcW w:w="1130" w:type="dxa"/>
          </w:tcPr>
          <w:p w14:paraId="115E5969" w14:textId="77777777" w:rsidR="001466FF" w:rsidRPr="0033617F" w:rsidRDefault="001466FF" w:rsidP="001466FF">
            <w:pPr>
              <w:jc w:val="center"/>
            </w:pPr>
          </w:p>
        </w:tc>
        <w:tc>
          <w:tcPr>
            <w:tcW w:w="1197" w:type="dxa"/>
          </w:tcPr>
          <w:p w14:paraId="6B98D2DB" w14:textId="77777777" w:rsidR="001466FF" w:rsidRPr="0033617F" w:rsidRDefault="001466FF" w:rsidP="001466FF">
            <w:pPr>
              <w:jc w:val="center"/>
            </w:pPr>
          </w:p>
        </w:tc>
        <w:tc>
          <w:tcPr>
            <w:tcW w:w="1197" w:type="dxa"/>
          </w:tcPr>
          <w:p w14:paraId="60DE00DC" w14:textId="77777777" w:rsidR="001466FF" w:rsidRPr="0033617F" w:rsidRDefault="001466FF" w:rsidP="001466FF">
            <w:pPr>
              <w:jc w:val="center"/>
            </w:pPr>
          </w:p>
        </w:tc>
      </w:tr>
      <w:tr w:rsidR="001466FF" w:rsidRPr="0033617F" w14:paraId="3BF23EE2" w14:textId="77777777" w:rsidTr="00D442BA">
        <w:trPr>
          <w:jc w:val="center"/>
        </w:trPr>
        <w:tc>
          <w:tcPr>
            <w:tcW w:w="2235" w:type="dxa"/>
          </w:tcPr>
          <w:p w14:paraId="3F75D13B" w14:textId="77777777" w:rsidR="001466FF" w:rsidRPr="0033617F" w:rsidRDefault="001466FF" w:rsidP="001466FF">
            <w:pPr>
              <w:rPr>
                <w:i/>
              </w:rPr>
            </w:pPr>
            <w:r w:rsidRPr="0033617F">
              <w:t>1.3. pašvaldību budžets</w:t>
            </w:r>
          </w:p>
        </w:tc>
        <w:tc>
          <w:tcPr>
            <w:tcW w:w="1132" w:type="dxa"/>
          </w:tcPr>
          <w:p w14:paraId="25E8A59E" w14:textId="77777777" w:rsidR="001466FF" w:rsidRPr="0033617F" w:rsidRDefault="001466FF" w:rsidP="001466FF">
            <w:pPr>
              <w:jc w:val="center"/>
            </w:pPr>
          </w:p>
        </w:tc>
        <w:tc>
          <w:tcPr>
            <w:tcW w:w="1448" w:type="dxa"/>
          </w:tcPr>
          <w:p w14:paraId="6926686D" w14:textId="77777777" w:rsidR="001466FF" w:rsidRPr="0033617F" w:rsidRDefault="001466FF" w:rsidP="001466FF">
            <w:pPr>
              <w:jc w:val="center"/>
            </w:pPr>
          </w:p>
        </w:tc>
        <w:tc>
          <w:tcPr>
            <w:tcW w:w="1130" w:type="dxa"/>
          </w:tcPr>
          <w:p w14:paraId="01810920" w14:textId="77777777" w:rsidR="001466FF" w:rsidRPr="0033617F" w:rsidRDefault="001466FF" w:rsidP="001466FF">
            <w:pPr>
              <w:jc w:val="center"/>
            </w:pPr>
          </w:p>
        </w:tc>
        <w:tc>
          <w:tcPr>
            <w:tcW w:w="1216" w:type="dxa"/>
          </w:tcPr>
          <w:p w14:paraId="4E47B6D6" w14:textId="77777777" w:rsidR="001466FF" w:rsidRPr="0033617F" w:rsidRDefault="001466FF" w:rsidP="001466FF">
            <w:pPr>
              <w:jc w:val="center"/>
            </w:pPr>
          </w:p>
        </w:tc>
        <w:tc>
          <w:tcPr>
            <w:tcW w:w="1130" w:type="dxa"/>
          </w:tcPr>
          <w:p w14:paraId="303E2203" w14:textId="77777777" w:rsidR="001466FF" w:rsidRPr="0033617F" w:rsidRDefault="001466FF" w:rsidP="001466FF">
            <w:pPr>
              <w:jc w:val="center"/>
            </w:pPr>
          </w:p>
        </w:tc>
        <w:tc>
          <w:tcPr>
            <w:tcW w:w="1197" w:type="dxa"/>
          </w:tcPr>
          <w:p w14:paraId="5AAB8C1A" w14:textId="77777777" w:rsidR="001466FF" w:rsidRPr="0033617F" w:rsidRDefault="001466FF" w:rsidP="001466FF">
            <w:pPr>
              <w:jc w:val="center"/>
            </w:pPr>
          </w:p>
        </w:tc>
        <w:tc>
          <w:tcPr>
            <w:tcW w:w="1197" w:type="dxa"/>
          </w:tcPr>
          <w:p w14:paraId="022AB86F" w14:textId="77777777" w:rsidR="001466FF" w:rsidRPr="0033617F" w:rsidRDefault="001466FF" w:rsidP="001466FF">
            <w:pPr>
              <w:jc w:val="center"/>
            </w:pPr>
          </w:p>
        </w:tc>
      </w:tr>
      <w:tr w:rsidR="001466FF" w:rsidRPr="0033617F" w14:paraId="2BFA35C4" w14:textId="77777777" w:rsidTr="00D442BA">
        <w:trPr>
          <w:jc w:val="center"/>
        </w:trPr>
        <w:tc>
          <w:tcPr>
            <w:tcW w:w="2235" w:type="dxa"/>
          </w:tcPr>
          <w:p w14:paraId="576345A9" w14:textId="77777777" w:rsidR="001466FF" w:rsidRPr="0033617F" w:rsidRDefault="001466FF" w:rsidP="001466FF">
            <w:r w:rsidRPr="0033617F">
              <w:t>2. Budžeta izdevumi:</w:t>
            </w:r>
          </w:p>
        </w:tc>
        <w:tc>
          <w:tcPr>
            <w:tcW w:w="1132" w:type="dxa"/>
          </w:tcPr>
          <w:p w14:paraId="167441E8" w14:textId="77777777" w:rsidR="001466FF" w:rsidRPr="004B2478" w:rsidRDefault="001466FF" w:rsidP="001466FF">
            <w:pPr>
              <w:jc w:val="center"/>
              <w:rPr>
                <w:b/>
              </w:rPr>
            </w:pPr>
            <w:r w:rsidRPr="004B2478">
              <w:rPr>
                <w:b/>
              </w:rPr>
              <w:t>0</w:t>
            </w:r>
          </w:p>
        </w:tc>
        <w:tc>
          <w:tcPr>
            <w:tcW w:w="1448" w:type="dxa"/>
          </w:tcPr>
          <w:p w14:paraId="05112F23" w14:textId="43D171E6" w:rsidR="001466FF" w:rsidRPr="004B2478" w:rsidRDefault="001466FF" w:rsidP="001466FF">
            <w:pPr>
              <w:jc w:val="center"/>
              <w:rPr>
                <w:b/>
              </w:rPr>
            </w:pPr>
            <w:r>
              <w:rPr>
                <w:b/>
              </w:rPr>
              <w:t>1 500 000</w:t>
            </w:r>
          </w:p>
        </w:tc>
        <w:tc>
          <w:tcPr>
            <w:tcW w:w="1130" w:type="dxa"/>
          </w:tcPr>
          <w:p w14:paraId="7F49FA9F" w14:textId="77777777" w:rsidR="001466FF" w:rsidRPr="00317B6A" w:rsidRDefault="001466FF" w:rsidP="001466FF">
            <w:pPr>
              <w:jc w:val="center"/>
              <w:rPr>
                <w:b/>
              </w:rPr>
            </w:pPr>
            <w:r w:rsidRPr="00317B6A">
              <w:rPr>
                <w:b/>
              </w:rPr>
              <w:t>0</w:t>
            </w:r>
          </w:p>
        </w:tc>
        <w:tc>
          <w:tcPr>
            <w:tcW w:w="1216" w:type="dxa"/>
          </w:tcPr>
          <w:p w14:paraId="5420ACB5" w14:textId="77777777" w:rsidR="001466FF" w:rsidRPr="00317B6A" w:rsidRDefault="001466FF" w:rsidP="001466FF">
            <w:pPr>
              <w:jc w:val="center"/>
              <w:rPr>
                <w:b/>
              </w:rPr>
            </w:pPr>
            <w:r w:rsidRPr="00317B6A">
              <w:rPr>
                <w:b/>
              </w:rPr>
              <w:t>0</w:t>
            </w:r>
          </w:p>
        </w:tc>
        <w:tc>
          <w:tcPr>
            <w:tcW w:w="1130" w:type="dxa"/>
          </w:tcPr>
          <w:p w14:paraId="048E7AD8" w14:textId="77777777" w:rsidR="001466FF" w:rsidRPr="00317B6A" w:rsidRDefault="001466FF" w:rsidP="001466FF">
            <w:pPr>
              <w:jc w:val="center"/>
              <w:rPr>
                <w:b/>
              </w:rPr>
            </w:pPr>
            <w:r w:rsidRPr="00317B6A">
              <w:rPr>
                <w:b/>
              </w:rPr>
              <w:t>0</w:t>
            </w:r>
          </w:p>
        </w:tc>
        <w:tc>
          <w:tcPr>
            <w:tcW w:w="1197" w:type="dxa"/>
          </w:tcPr>
          <w:p w14:paraId="690B50D6" w14:textId="77777777" w:rsidR="001466FF" w:rsidRPr="00317B6A" w:rsidRDefault="001466FF" w:rsidP="001466FF">
            <w:pPr>
              <w:jc w:val="center"/>
              <w:rPr>
                <w:b/>
              </w:rPr>
            </w:pPr>
            <w:r>
              <w:rPr>
                <w:b/>
              </w:rPr>
              <w:t>0</w:t>
            </w:r>
          </w:p>
        </w:tc>
        <w:tc>
          <w:tcPr>
            <w:tcW w:w="1197" w:type="dxa"/>
          </w:tcPr>
          <w:p w14:paraId="72290D90" w14:textId="77777777" w:rsidR="001466FF" w:rsidRPr="00317B6A" w:rsidRDefault="001466FF" w:rsidP="001466FF">
            <w:pPr>
              <w:jc w:val="center"/>
              <w:rPr>
                <w:b/>
              </w:rPr>
            </w:pPr>
            <w:r>
              <w:rPr>
                <w:b/>
              </w:rPr>
              <w:t>0</w:t>
            </w:r>
          </w:p>
        </w:tc>
      </w:tr>
      <w:tr w:rsidR="001466FF" w:rsidRPr="0033617F" w14:paraId="4725DAAC" w14:textId="77777777" w:rsidTr="00D442BA">
        <w:trPr>
          <w:jc w:val="center"/>
        </w:trPr>
        <w:tc>
          <w:tcPr>
            <w:tcW w:w="2235" w:type="dxa"/>
          </w:tcPr>
          <w:p w14:paraId="38ED5BC6" w14:textId="77777777" w:rsidR="001466FF" w:rsidRPr="0033617F" w:rsidRDefault="001466FF" w:rsidP="001466FF">
            <w:r w:rsidRPr="0033617F">
              <w:t>2.1. valsts pamatbudžets</w:t>
            </w:r>
          </w:p>
        </w:tc>
        <w:tc>
          <w:tcPr>
            <w:tcW w:w="1132" w:type="dxa"/>
          </w:tcPr>
          <w:p w14:paraId="04E67DEB" w14:textId="77777777" w:rsidR="001466FF" w:rsidRPr="004B2478" w:rsidRDefault="001466FF" w:rsidP="001466FF">
            <w:pPr>
              <w:jc w:val="center"/>
              <w:rPr>
                <w:i/>
              </w:rPr>
            </w:pPr>
            <w:r w:rsidRPr="004B2478">
              <w:rPr>
                <w:i/>
              </w:rPr>
              <w:t>0</w:t>
            </w:r>
          </w:p>
        </w:tc>
        <w:tc>
          <w:tcPr>
            <w:tcW w:w="1448" w:type="dxa"/>
          </w:tcPr>
          <w:p w14:paraId="197962AF" w14:textId="111B4698" w:rsidR="001466FF" w:rsidRPr="004B2478" w:rsidRDefault="001466FF" w:rsidP="001466FF">
            <w:pPr>
              <w:jc w:val="center"/>
              <w:rPr>
                <w:i/>
              </w:rPr>
            </w:pPr>
            <w:r>
              <w:rPr>
                <w:i/>
              </w:rPr>
              <w:t>1 500 000</w:t>
            </w:r>
          </w:p>
        </w:tc>
        <w:tc>
          <w:tcPr>
            <w:tcW w:w="1130" w:type="dxa"/>
          </w:tcPr>
          <w:p w14:paraId="60CBA3E5" w14:textId="77777777" w:rsidR="001466FF" w:rsidRPr="00317B6A" w:rsidRDefault="001466FF" w:rsidP="001466FF">
            <w:pPr>
              <w:jc w:val="center"/>
              <w:rPr>
                <w:i/>
              </w:rPr>
            </w:pPr>
            <w:r w:rsidRPr="00317B6A">
              <w:rPr>
                <w:i/>
              </w:rPr>
              <w:t>0</w:t>
            </w:r>
          </w:p>
        </w:tc>
        <w:tc>
          <w:tcPr>
            <w:tcW w:w="1216" w:type="dxa"/>
          </w:tcPr>
          <w:p w14:paraId="7F5B7D9A" w14:textId="77777777" w:rsidR="001466FF" w:rsidRPr="00317B6A" w:rsidRDefault="001466FF" w:rsidP="001466FF">
            <w:pPr>
              <w:jc w:val="center"/>
              <w:rPr>
                <w:i/>
              </w:rPr>
            </w:pPr>
            <w:r w:rsidRPr="00317B6A">
              <w:rPr>
                <w:i/>
              </w:rPr>
              <w:t>0</w:t>
            </w:r>
          </w:p>
        </w:tc>
        <w:tc>
          <w:tcPr>
            <w:tcW w:w="1130" w:type="dxa"/>
          </w:tcPr>
          <w:p w14:paraId="73EE6EFC" w14:textId="77777777" w:rsidR="001466FF" w:rsidRPr="00317B6A" w:rsidRDefault="001466FF" w:rsidP="001466FF">
            <w:pPr>
              <w:jc w:val="center"/>
              <w:rPr>
                <w:i/>
              </w:rPr>
            </w:pPr>
            <w:r w:rsidRPr="00317B6A">
              <w:rPr>
                <w:i/>
              </w:rPr>
              <w:t>0</w:t>
            </w:r>
          </w:p>
        </w:tc>
        <w:tc>
          <w:tcPr>
            <w:tcW w:w="1197" w:type="dxa"/>
          </w:tcPr>
          <w:p w14:paraId="1D24A512" w14:textId="77777777" w:rsidR="001466FF" w:rsidRPr="00317B6A" w:rsidRDefault="001466FF" w:rsidP="001466FF">
            <w:pPr>
              <w:jc w:val="center"/>
              <w:rPr>
                <w:i/>
              </w:rPr>
            </w:pPr>
            <w:r>
              <w:rPr>
                <w:i/>
              </w:rPr>
              <w:t>0</w:t>
            </w:r>
          </w:p>
        </w:tc>
        <w:tc>
          <w:tcPr>
            <w:tcW w:w="1197" w:type="dxa"/>
          </w:tcPr>
          <w:p w14:paraId="21DD7031" w14:textId="77777777" w:rsidR="001466FF" w:rsidRPr="00317B6A" w:rsidRDefault="001466FF" w:rsidP="001466FF">
            <w:pPr>
              <w:jc w:val="center"/>
              <w:rPr>
                <w:i/>
              </w:rPr>
            </w:pPr>
            <w:r>
              <w:rPr>
                <w:i/>
              </w:rPr>
              <w:t>0</w:t>
            </w:r>
          </w:p>
        </w:tc>
      </w:tr>
      <w:tr w:rsidR="001466FF" w:rsidRPr="0033617F" w14:paraId="5715E9BE" w14:textId="77777777" w:rsidTr="00D442BA">
        <w:trPr>
          <w:jc w:val="center"/>
        </w:trPr>
        <w:tc>
          <w:tcPr>
            <w:tcW w:w="2235" w:type="dxa"/>
          </w:tcPr>
          <w:p w14:paraId="1242CE48" w14:textId="77777777" w:rsidR="001466FF" w:rsidRPr="0033617F" w:rsidRDefault="001466FF" w:rsidP="001466FF">
            <w:r w:rsidRPr="0033617F">
              <w:t>2.2. valsts speciālais budžets</w:t>
            </w:r>
          </w:p>
        </w:tc>
        <w:tc>
          <w:tcPr>
            <w:tcW w:w="1132" w:type="dxa"/>
          </w:tcPr>
          <w:p w14:paraId="27F052CF" w14:textId="77777777" w:rsidR="001466FF" w:rsidRPr="004B2478" w:rsidRDefault="001466FF" w:rsidP="001466FF">
            <w:pPr>
              <w:jc w:val="center"/>
            </w:pPr>
          </w:p>
        </w:tc>
        <w:tc>
          <w:tcPr>
            <w:tcW w:w="1448" w:type="dxa"/>
          </w:tcPr>
          <w:p w14:paraId="49A5A0F2" w14:textId="77777777" w:rsidR="001466FF" w:rsidRPr="004B2478" w:rsidRDefault="001466FF" w:rsidP="001466FF">
            <w:pPr>
              <w:jc w:val="center"/>
            </w:pPr>
          </w:p>
        </w:tc>
        <w:tc>
          <w:tcPr>
            <w:tcW w:w="1130" w:type="dxa"/>
          </w:tcPr>
          <w:p w14:paraId="721C4445" w14:textId="77777777" w:rsidR="001466FF" w:rsidRPr="00317B6A" w:rsidRDefault="001466FF" w:rsidP="001466FF">
            <w:pPr>
              <w:jc w:val="center"/>
            </w:pPr>
          </w:p>
        </w:tc>
        <w:tc>
          <w:tcPr>
            <w:tcW w:w="1216" w:type="dxa"/>
          </w:tcPr>
          <w:p w14:paraId="4173FB89" w14:textId="77777777" w:rsidR="001466FF" w:rsidRPr="00317B6A" w:rsidRDefault="001466FF" w:rsidP="001466FF">
            <w:pPr>
              <w:jc w:val="center"/>
            </w:pPr>
          </w:p>
        </w:tc>
        <w:tc>
          <w:tcPr>
            <w:tcW w:w="1130" w:type="dxa"/>
          </w:tcPr>
          <w:p w14:paraId="198582F9" w14:textId="77777777" w:rsidR="001466FF" w:rsidRPr="00317B6A" w:rsidRDefault="001466FF" w:rsidP="001466FF">
            <w:pPr>
              <w:jc w:val="center"/>
            </w:pPr>
          </w:p>
        </w:tc>
        <w:tc>
          <w:tcPr>
            <w:tcW w:w="1197" w:type="dxa"/>
          </w:tcPr>
          <w:p w14:paraId="31FE59E2" w14:textId="77777777" w:rsidR="001466FF" w:rsidRPr="00317B6A" w:rsidRDefault="001466FF" w:rsidP="001466FF">
            <w:pPr>
              <w:jc w:val="center"/>
            </w:pPr>
          </w:p>
        </w:tc>
        <w:tc>
          <w:tcPr>
            <w:tcW w:w="1197" w:type="dxa"/>
          </w:tcPr>
          <w:p w14:paraId="05CAFB43" w14:textId="77777777" w:rsidR="001466FF" w:rsidRPr="00317B6A" w:rsidRDefault="001466FF" w:rsidP="001466FF">
            <w:pPr>
              <w:jc w:val="center"/>
            </w:pPr>
          </w:p>
        </w:tc>
      </w:tr>
      <w:tr w:rsidR="001466FF" w:rsidRPr="0033617F" w14:paraId="4668E250" w14:textId="77777777" w:rsidTr="00D442BA">
        <w:trPr>
          <w:jc w:val="center"/>
        </w:trPr>
        <w:tc>
          <w:tcPr>
            <w:tcW w:w="2235" w:type="dxa"/>
          </w:tcPr>
          <w:p w14:paraId="7EB504E5" w14:textId="77777777" w:rsidR="001466FF" w:rsidRPr="0033617F" w:rsidRDefault="001466FF" w:rsidP="001466FF">
            <w:r w:rsidRPr="0033617F">
              <w:t xml:space="preserve">2.3. pašvaldību budžets </w:t>
            </w:r>
          </w:p>
        </w:tc>
        <w:tc>
          <w:tcPr>
            <w:tcW w:w="1132" w:type="dxa"/>
          </w:tcPr>
          <w:p w14:paraId="0189D475" w14:textId="77777777" w:rsidR="001466FF" w:rsidRPr="004B2478" w:rsidRDefault="001466FF" w:rsidP="001466FF">
            <w:pPr>
              <w:jc w:val="center"/>
            </w:pPr>
          </w:p>
        </w:tc>
        <w:tc>
          <w:tcPr>
            <w:tcW w:w="1448" w:type="dxa"/>
          </w:tcPr>
          <w:p w14:paraId="1FA84B5F" w14:textId="77777777" w:rsidR="001466FF" w:rsidRPr="004B2478" w:rsidRDefault="001466FF" w:rsidP="001466FF">
            <w:pPr>
              <w:jc w:val="center"/>
            </w:pPr>
          </w:p>
        </w:tc>
        <w:tc>
          <w:tcPr>
            <w:tcW w:w="1130" w:type="dxa"/>
          </w:tcPr>
          <w:p w14:paraId="16603E34" w14:textId="77777777" w:rsidR="001466FF" w:rsidRPr="00317B6A" w:rsidRDefault="001466FF" w:rsidP="001466FF">
            <w:pPr>
              <w:jc w:val="center"/>
            </w:pPr>
          </w:p>
        </w:tc>
        <w:tc>
          <w:tcPr>
            <w:tcW w:w="1216" w:type="dxa"/>
          </w:tcPr>
          <w:p w14:paraId="053F02D6" w14:textId="77777777" w:rsidR="001466FF" w:rsidRPr="00317B6A" w:rsidRDefault="001466FF" w:rsidP="001466FF">
            <w:pPr>
              <w:jc w:val="center"/>
            </w:pPr>
          </w:p>
        </w:tc>
        <w:tc>
          <w:tcPr>
            <w:tcW w:w="1130" w:type="dxa"/>
          </w:tcPr>
          <w:p w14:paraId="5D5C6E78" w14:textId="77777777" w:rsidR="001466FF" w:rsidRPr="00317B6A" w:rsidRDefault="001466FF" w:rsidP="001466FF">
            <w:pPr>
              <w:jc w:val="center"/>
            </w:pPr>
          </w:p>
        </w:tc>
        <w:tc>
          <w:tcPr>
            <w:tcW w:w="1197" w:type="dxa"/>
          </w:tcPr>
          <w:p w14:paraId="3E06E5EC" w14:textId="77777777" w:rsidR="001466FF" w:rsidRPr="00317B6A" w:rsidRDefault="001466FF" w:rsidP="001466FF">
            <w:pPr>
              <w:jc w:val="center"/>
            </w:pPr>
          </w:p>
        </w:tc>
        <w:tc>
          <w:tcPr>
            <w:tcW w:w="1197" w:type="dxa"/>
          </w:tcPr>
          <w:p w14:paraId="29AF5552" w14:textId="77777777" w:rsidR="001466FF" w:rsidRPr="00317B6A" w:rsidRDefault="001466FF" w:rsidP="001466FF">
            <w:pPr>
              <w:jc w:val="center"/>
            </w:pPr>
          </w:p>
        </w:tc>
      </w:tr>
      <w:tr w:rsidR="001466FF" w:rsidRPr="0033617F" w14:paraId="5EF983C5" w14:textId="77777777" w:rsidTr="00D442BA">
        <w:trPr>
          <w:jc w:val="center"/>
        </w:trPr>
        <w:tc>
          <w:tcPr>
            <w:tcW w:w="2235" w:type="dxa"/>
          </w:tcPr>
          <w:p w14:paraId="40BEE164" w14:textId="77777777" w:rsidR="001466FF" w:rsidRPr="0033617F" w:rsidRDefault="001466FF" w:rsidP="001466FF">
            <w:r w:rsidRPr="0033617F">
              <w:t>3. Finansiālā ietekme:</w:t>
            </w:r>
          </w:p>
        </w:tc>
        <w:tc>
          <w:tcPr>
            <w:tcW w:w="1132" w:type="dxa"/>
            <w:shd w:val="clear" w:color="auto" w:fill="auto"/>
          </w:tcPr>
          <w:p w14:paraId="75D99A5B" w14:textId="77777777" w:rsidR="001466FF" w:rsidRPr="004B2478" w:rsidRDefault="001466FF" w:rsidP="001466FF">
            <w:pPr>
              <w:jc w:val="center"/>
              <w:rPr>
                <w:b/>
              </w:rPr>
            </w:pPr>
            <w:r w:rsidRPr="004B2478">
              <w:rPr>
                <w:b/>
              </w:rPr>
              <w:t>0</w:t>
            </w:r>
          </w:p>
        </w:tc>
        <w:tc>
          <w:tcPr>
            <w:tcW w:w="1448" w:type="dxa"/>
          </w:tcPr>
          <w:p w14:paraId="38039DE1" w14:textId="6C0CA18F" w:rsidR="001466FF" w:rsidRPr="004B2478" w:rsidRDefault="001466FF" w:rsidP="001466FF">
            <w:pPr>
              <w:jc w:val="center"/>
              <w:rPr>
                <w:b/>
              </w:rPr>
            </w:pPr>
            <w:r>
              <w:rPr>
                <w:b/>
              </w:rPr>
              <w:t>- 1 500 000</w:t>
            </w:r>
          </w:p>
        </w:tc>
        <w:tc>
          <w:tcPr>
            <w:tcW w:w="1130" w:type="dxa"/>
          </w:tcPr>
          <w:p w14:paraId="7DCC8E49" w14:textId="77777777" w:rsidR="001466FF" w:rsidRPr="00317B6A" w:rsidRDefault="001466FF" w:rsidP="001466FF">
            <w:pPr>
              <w:jc w:val="center"/>
              <w:rPr>
                <w:b/>
              </w:rPr>
            </w:pPr>
            <w:r w:rsidRPr="00317B6A">
              <w:rPr>
                <w:b/>
              </w:rPr>
              <w:t>0</w:t>
            </w:r>
          </w:p>
        </w:tc>
        <w:tc>
          <w:tcPr>
            <w:tcW w:w="1216" w:type="dxa"/>
          </w:tcPr>
          <w:p w14:paraId="2B7B86A6" w14:textId="77777777" w:rsidR="001466FF" w:rsidRPr="00317B6A" w:rsidRDefault="001466FF" w:rsidP="001466FF">
            <w:pPr>
              <w:jc w:val="center"/>
              <w:rPr>
                <w:b/>
              </w:rPr>
            </w:pPr>
            <w:r w:rsidRPr="00317B6A">
              <w:rPr>
                <w:b/>
              </w:rPr>
              <w:t>0</w:t>
            </w:r>
          </w:p>
        </w:tc>
        <w:tc>
          <w:tcPr>
            <w:tcW w:w="1130" w:type="dxa"/>
          </w:tcPr>
          <w:p w14:paraId="3CE95929" w14:textId="77777777" w:rsidR="001466FF" w:rsidRPr="00317B6A" w:rsidRDefault="001466FF" w:rsidP="001466FF">
            <w:pPr>
              <w:jc w:val="center"/>
              <w:rPr>
                <w:b/>
              </w:rPr>
            </w:pPr>
            <w:r w:rsidRPr="00317B6A">
              <w:rPr>
                <w:b/>
              </w:rPr>
              <w:t>0</w:t>
            </w:r>
          </w:p>
        </w:tc>
        <w:tc>
          <w:tcPr>
            <w:tcW w:w="1197" w:type="dxa"/>
          </w:tcPr>
          <w:p w14:paraId="5F0E3EFA" w14:textId="77777777" w:rsidR="001466FF" w:rsidRPr="00317B6A" w:rsidRDefault="001466FF" w:rsidP="001466FF">
            <w:pPr>
              <w:jc w:val="center"/>
              <w:rPr>
                <w:b/>
              </w:rPr>
            </w:pPr>
            <w:r>
              <w:rPr>
                <w:b/>
              </w:rPr>
              <w:t>0</w:t>
            </w:r>
          </w:p>
        </w:tc>
        <w:tc>
          <w:tcPr>
            <w:tcW w:w="1197" w:type="dxa"/>
          </w:tcPr>
          <w:p w14:paraId="4092E8CB" w14:textId="77777777" w:rsidR="001466FF" w:rsidRPr="00317B6A" w:rsidRDefault="001466FF" w:rsidP="001466FF">
            <w:pPr>
              <w:jc w:val="center"/>
              <w:rPr>
                <w:b/>
              </w:rPr>
            </w:pPr>
            <w:r>
              <w:rPr>
                <w:b/>
              </w:rPr>
              <w:t>0</w:t>
            </w:r>
          </w:p>
        </w:tc>
      </w:tr>
      <w:tr w:rsidR="001466FF" w:rsidRPr="0033617F" w14:paraId="0C81E4A5" w14:textId="77777777" w:rsidTr="00D442BA">
        <w:trPr>
          <w:jc w:val="center"/>
        </w:trPr>
        <w:tc>
          <w:tcPr>
            <w:tcW w:w="2235" w:type="dxa"/>
          </w:tcPr>
          <w:p w14:paraId="2540F61C" w14:textId="77777777" w:rsidR="001466FF" w:rsidRPr="0033617F" w:rsidRDefault="001466FF" w:rsidP="001466FF">
            <w:r w:rsidRPr="0033617F">
              <w:t>3.1. valsts pamatbudžets</w:t>
            </w:r>
          </w:p>
        </w:tc>
        <w:tc>
          <w:tcPr>
            <w:tcW w:w="1132" w:type="dxa"/>
            <w:shd w:val="clear" w:color="auto" w:fill="auto"/>
          </w:tcPr>
          <w:p w14:paraId="482E45F8" w14:textId="77777777" w:rsidR="001466FF" w:rsidRPr="004B2478" w:rsidRDefault="001466FF" w:rsidP="001466FF">
            <w:pPr>
              <w:jc w:val="center"/>
              <w:rPr>
                <w:i/>
              </w:rPr>
            </w:pPr>
            <w:r w:rsidRPr="004B2478">
              <w:rPr>
                <w:i/>
              </w:rPr>
              <w:t>0</w:t>
            </w:r>
          </w:p>
        </w:tc>
        <w:tc>
          <w:tcPr>
            <w:tcW w:w="1448" w:type="dxa"/>
          </w:tcPr>
          <w:p w14:paraId="323F24F8" w14:textId="5C2C85D7" w:rsidR="001466FF" w:rsidRPr="004B2478" w:rsidRDefault="001466FF" w:rsidP="001466FF">
            <w:pPr>
              <w:jc w:val="center"/>
              <w:rPr>
                <w:i/>
              </w:rPr>
            </w:pPr>
            <w:r>
              <w:rPr>
                <w:i/>
              </w:rPr>
              <w:t>- 1 500 000</w:t>
            </w:r>
          </w:p>
        </w:tc>
        <w:tc>
          <w:tcPr>
            <w:tcW w:w="1130" w:type="dxa"/>
          </w:tcPr>
          <w:p w14:paraId="3B7A0AD2" w14:textId="77777777" w:rsidR="001466FF" w:rsidRPr="00317B6A" w:rsidRDefault="001466FF" w:rsidP="001466FF">
            <w:pPr>
              <w:jc w:val="center"/>
              <w:rPr>
                <w:i/>
              </w:rPr>
            </w:pPr>
            <w:r w:rsidRPr="00317B6A">
              <w:rPr>
                <w:i/>
              </w:rPr>
              <w:t>0</w:t>
            </w:r>
          </w:p>
        </w:tc>
        <w:tc>
          <w:tcPr>
            <w:tcW w:w="1216" w:type="dxa"/>
          </w:tcPr>
          <w:p w14:paraId="53FDF421" w14:textId="77777777" w:rsidR="001466FF" w:rsidRPr="00317B6A" w:rsidRDefault="001466FF" w:rsidP="001466FF">
            <w:pPr>
              <w:jc w:val="center"/>
              <w:rPr>
                <w:i/>
              </w:rPr>
            </w:pPr>
            <w:r w:rsidRPr="00317B6A">
              <w:rPr>
                <w:i/>
              </w:rPr>
              <w:t>0</w:t>
            </w:r>
          </w:p>
        </w:tc>
        <w:tc>
          <w:tcPr>
            <w:tcW w:w="1130" w:type="dxa"/>
          </w:tcPr>
          <w:p w14:paraId="508B67A9" w14:textId="77777777" w:rsidR="001466FF" w:rsidRPr="00317B6A" w:rsidRDefault="001466FF" w:rsidP="001466FF">
            <w:pPr>
              <w:jc w:val="center"/>
              <w:rPr>
                <w:i/>
              </w:rPr>
            </w:pPr>
            <w:r w:rsidRPr="00317B6A">
              <w:rPr>
                <w:i/>
              </w:rPr>
              <w:t>0</w:t>
            </w:r>
          </w:p>
        </w:tc>
        <w:tc>
          <w:tcPr>
            <w:tcW w:w="1197" w:type="dxa"/>
          </w:tcPr>
          <w:p w14:paraId="0F1497CA" w14:textId="77777777" w:rsidR="001466FF" w:rsidRPr="00317B6A" w:rsidRDefault="001466FF" w:rsidP="001466FF">
            <w:pPr>
              <w:jc w:val="center"/>
              <w:rPr>
                <w:i/>
              </w:rPr>
            </w:pPr>
            <w:r>
              <w:rPr>
                <w:i/>
              </w:rPr>
              <w:t>0</w:t>
            </w:r>
          </w:p>
        </w:tc>
        <w:tc>
          <w:tcPr>
            <w:tcW w:w="1197" w:type="dxa"/>
          </w:tcPr>
          <w:p w14:paraId="240FC83F" w14:textId="77777777" w:rsidR="001466FF" w:rsidRPr="00317B6A" w:rsidRDefault="001466FF" w:rsidP="001466FF">
            <w:pPr>
              <w:jc w:val="center"/>
              <w:rPr>
                <w:i/>
              </w:rPr>
            </w:pPr>
            <w:r>
              <w:rPr>
                <w:i/>
              </w:rPr>
              <w:t>0</w:t>
            </w:r>
          </w:p>
        </w:tc>
      </w:tr>
      <w:tr w:rsidR="001466FF" w:rsidRPr="0033617F" w14:paraId="7ADBC024" w14:textId="77777777" w:rsidTr="00D442BA">
        <w:trPr>
          <w:jc w:val="center"/>
        </w:trPr>
        <w:tc>
          <w:tcPr>
            <w:tcW w:w="2235" w:type="dxa"/>
          </w:tcPr>
          <w:p w14:paraId="6E2D338E" w14:textId="77777777" w:rsidR="001466FF" w:rsidRPr="0033617F" w:rsidRDefault="001466FF" w:rsidP="001466FF">
            <w:r w:rsidRPr="0033617F">
              <w:t>3.2. speciālais budžets</w:t>
            </w:r>
          </w:p>
        </w:tc>
        <w:tc>
          <w:tcPr>
            <w:tcW w:w="1132" w:type="dxa"/>
            <w:shd w:val="clear" w:color="auto" w:fill="auto"/>
          </w:tcPr>
          <w:p w14:paraId="571FAF78" w14:textId="77777777" w:rsidR="001466FF" w:rsidRPr="004B2478" w:rsidRDefault="001466FF" w:rsidP="001466FF">
            <w:pPr>
              <w:jc w:val="center"/>
            </w:pPr>
          </w:p>
        </w:tc>
        <w:tc>
          <w:tcPr>
            <w:tcW w:w="1448" w:type="dxa"/>
          </w:tcPr>
          <w:p w14:paraId="759B632F" w14:textId="77777777" w:rsidR="001466FF" w:rsidRPr="004B2478" w:rsidRDefault="001466FF" w:rsidP="001466FF">
            <w:pPr>
              <w:jc w:val="center"/>
            </w:pPr>
          </w:p>
        </w:tc>
        <w:tc>
          <w:tcPr>
            <w:tcW w:w="1130" w:type="dxa"/>
          </w:tcPr>
          <w:p w14:paraId="6539050C" w14:textId="77777777" w:rsidR="001466FF" w:rsidRPr="00317B6A" w:rsidRDefault="001466FF" w:rsidP="001466FF">
            <w:pPr>
              <w:jc w:val="center"/>
            </w:pPr>
          </w:p>
        </w:tc>
        <w:tc>
          <w:tcPr>
            <w:tcW w:w="1216" w:type="dxa"/>
          </w:tcPr>
          <w:p w14:paraId="57838AAE" w14:textId="77777777" w:rsidR="001466FF" w:rsidRPr="00317B6A" w:rsidRDefault="001466FF" w:rsidP="001466FF">
            <w:pPr>
              <w:jc w:val="center"/>
            </w:pPr>
          </w:p>
        </w:tc>
        <w:tc>
          <w:tcPr>
            <w:tcW w:w="1130" w:type="dxa"/>
          </w:tcPr>
          <w:p w14:paraId="6C6C0F92" w14:textId="77777777" w:rsidR="001466FF" w:rsidRPr="00317B6A" w:rsidRDefault="001466FF" w:rsidP="001466FF">
            <w:pPr>
              <w:jc w:val="center"/>
            </w:pPr>
          </w:p>
        </w:tc>
        <w:tc>
          <w:tcPr>
            <w:tcW w:w="1197" w:type="dxa"/>
          </w:tcPr>
          <w:p w14:paraId="089E567E" w14:textId="77777777" w:rsidR="001466FF" w:rsidRPr="00317B6A" w:rsidRDefault="001466FF" w:rsidP="001466FF">
            <w:pPr>
              <w:jc w:val="center"/>
            </w:pPr>
          </w:p>
        </w:tc>
        <w:tc>
          <w:tcPr>
            <w:tcW w:w="1197" w:type="dxa"/>
          </w:tcPr>
          <w:p w14:paraId="3D68DC64" w14:textId="77777777" w:rsidR="001466FF" w:rsidRPr="00317B6A" w:rsidRDefault="001466FF" w:rsidP="001466FF">
            <w:pPr>
              <w:jc w:val="center"/>
            </w:pPr>
          </w:p>
        </w:tc>
      </w:tr>
      <w:tr w:rsidR="001466FF" w:rsidRPr="0033617F" w14:paraId="34AFC7C3" w14:textId="77777777" w:rsidTr="00D442BA">
        <w:trPr>
          <w:jc w:val="center"/>
        </w:trPr>
        <w:tc>
          <w:tcPr>
            <w:tcW w:w="2235" w:type="dxa"/>
          </w:tcPr>
          <w:p w14:paraId="5B6720C9" w14:textId="77777777" w:rsidR="001466FF" w:rsidRPr="0033617F" w:rsidRDefault="001466FF" w:rsidP="001466FF">
            <w:r w:rsidRPr="0033617F">
              <w:t xml:space="preserve">3.3. pašvaldību budžets </w:t>
            </w:r>
          </w:p>
        </w:tc>
        <w:tc>
          <w:tcPr>
            <w:tcW w:w="1132" w:type="dxa"/>
            <w:shd w:val="clear" w:color="auto" w:fill="auto"/>
          </w:tcPr>
          <w:p w14:paraId="1E6194AA" w14:textId="77777777" w:rsidR="001466FF" w:rsidRPr="004B2478" w:rsidRDefault="001466FF" w:rsidP="001466FF">
            <w:pPr>
              <w:jc w:val="center"/>
            </w:pPr>
          </w:p>
        </w:tc>
        <w:tc>
          <w:tcPr>
            <w:tcW w:w="1448" w:type="dxa"/>
          </w:tcPr>
          <w:p w14:paraId="209108D7" w14:textId="77777777" w:rsidR="001466FF" w:rsidRPr="004B2478" w:rsidRDefault="001466FF" w:rsidP="001466FF">
            <w:pPr>
              <w:jc w:val="center"/>
            </w:pPr>
          </w:p>
        </w:tc>
        <w:tc>
          <w:tcPr>
            <w:tcW w:w="1130" w:type="dxa"/>
          </w:tcPr>
          <w:p w14:paraId="770CD3BA" w14:textId="77777777" w:rsidR="001466FF" w:rsidRPr="00317B6A" w:rsidRDefault="001466FF" w:rsidP="001466FF">
            <w:pPr>
              <w:jc w:val="center"/>
            </w:pPr>
          </w:p>
        </w:tc>
        <w:tc>
          <w:tcPr>
            <w:tcW w:w="1216" w:type="dxa"/>
          </w:tcPr>
          <w:p w14:paraId="42238C8B" w14:textId="77777777" w:rsidR="001466FF" w:rsidRPr="00317B6A" w:rsidRDefault="001466FF" w:rsidP="001466FF">
            <w:pPr>
              <w:jc w:val="center"/>
            </w:pPr>
          </w:p>
        </w:tc>
        <w:tc>
          <w:tcPr>
            <w:tcW w:w="1130" w:type="dxa"/>
          </w:tcPr>
          <w:p w14:paraId="68D381A4" w14:textId="77777777" w:rsidR="001466FF" w:rsidRPr="00317B6A" w:rsidRDefault="001466FF" w:rsidP="001466FF">
            <w:pPr>
              <w:jc w:val="center"/>
            </w:pPr>
          </w:p>
        </w:tc>
        <w:tc>
          <w:tcPr>
            <w:tcW w:w="1197" w:type="dxa"/>
          </w:tcPr>
          <w:p w14:paraId="152165EB" w14:textId="77777777" w:rsidR="001466FF" w:rsidRPr="00317B6A" w:rsidRDefault="001466FF" w:rsidP="001466FF">
            <w:pPr>
              <w:jc w:val="center"/>
            </w:pPr>
          </w:p>
        </w:tc>
        <w:tc>
          <w:tcPr>
            <w:tcW w:w="1197" w:type="dxa"/>
          </w:tcPr>
          <w:p w14:paraId="3D4FAD15" w14:textId="77777777" w:rsidR="001466FF" w:rsidRPr="00317B6A" w:rsidRDefault="001466FF" w:rsidP="001466FF">
            <w:pPr>
              <w:jc w:val="center"/>
            </w:pPr>
          </w:p>
        </w:tc>
      </w:tr>
      <w:tr w:rsidR="001466FF" w:rsidRPr="0033617F" w14:paraId="73332940" w14:textId="77777777" w:rsidTr="00D442BA">
        <w:trPr>
          <w:jc w:val="center"/>
        </w:trPr>
        <w:tc>
          <w:tcPr>
            <w:tcW w:w="2235" w:type="dxa"/>
            <w:vMerge w:val="restart"/>
          </w:tcPr>
          <w:p w14:paraId="568F421B" w14:textId="77777777" w:rsidR="001466FF" w:rsidRPr="0033617F" w:rsidRDefault="001466FF" w:rsidP="001466FF">
            <w:r w:rsidRPr="0033617F">
              <w:t xml:space="preserve">4. Finanšu līdzekļi papildu izdevumu finansēšanai (kompensējošu izdevumu samazinājumu norāda ar </w:t>
            </w:r>
            <w:r>
              <w:t>„</w:t>
            </w:r>
            <w:r w:rsidRPr="0033617F">
              <w:t>+” zīmi)</w:t>
            </w:r>
          </w:p>
        </w:tc>
        <w:tc>
          <w:tcPr>
            <w:tcW w:w="1132" w:type="dxa"/>
            <w:vMerge w:val="restart"/>
          </w:tcPr>
          <w:p w14:paraId="50E7DD79" w14:textId="77777777" w:rsidR="001466FF" w:rsidRPr="004B2478" w:rsidRDefault="001466FF" w:rsidP="001466FF">
            <w:pPr>
              <w:jc w:val="center"/>
              <w:rPr>
                <w:i/>
              </w:rPr>
            </w:pPr>
            <w:r w:rsidRPr="004B2478">
              <w:t>X</w:t>
            </w:r>
          </w:p>
        </w:tc>
        <w:tc>
          <w:tcPr>
            <w:tcW w:w="1448" w:type="dxa"/>
          </w:tcPr>
          <w:p w14:paraId="6A2858BA" w14:textId="7EE4957C" w:rsidR="001466FF" w:rsidRPr="004B2478" w:rsidRDefault="001466FF" w:rsidP="001466FF">
            <w:pPr>
              <w:jc w:val="center"/>
            </w:pPr>
            <w:r>
              <w:t>1 500 000</w:t>
            </w:r>
          </w:p>
        </w:tc>
        <w:tc>
          <w:tcPr>
            <w:tcW w:w="1130" w:type="dxa"/>
          </w:tcPr>
          <w:p w14:paraId="28E0B562" w14:textId="77777777" w:rsidR="001466FF" w:rsidRPr="00317B6A" w:rsidRDefault="001466FF" w:rsidP="001466FF">
            <w:pPr>
              <w:jc w:val="center"/>
            </w:pPr>
            <w:r w:rsidRPr="00317B6A">
              <w:t>0</w:t>
            </w:r>
          </w:p>
        </w:tc>
        <w:tc>
          <w:tcPr>
            <w:tcW w:w="1216" w:type="dxa"/>
          </w:tcPr>
          <w:p w14:paraId="4F9B33F6" w14:textId="77777777" w:rsidR="001466FF" w:rsidRPr="00317B6A" w:rsidRDefault="001466FF" w:rsidP="001466FF">
            <w:pPr>
              <w:jc w:val="center"/>
            </w:pPr>
            <w:r w:rsidRPr="00317B6A">
              <w:t>0</w:t>
            </w:r>
          </w:p>
        </w:tc>
        <w:tc>
          <w:tcPr>
            <w:tcW w:w="1130" w:type="dxa"/>
          </w:tcPr>
          <w:p w14:paraId="10254986" w14:textId="77777777" w:rsidR="001466FF" w:rsidRPr="00317B6A" w:rsidRDefault="001466FF" w:rsidP="001466FF">
            <w:pPr>
              <w:jc w:val="center"/>
            </w:pPr>
            <w:r w:rsidRPr="00317B6A">
              <w:t>0</w:t>
            </w:r>
          </w:p>
        </w:tc>
        <w:tc>
          <w:tcPr>
            <w:tcW w:w="1197" w:type="dxa"/>
          </w:tcPr>
          <w:p w14:paraId="01825567" w14:textId="77777777" w:rsidR="001466FF" w:rsidRPr="00317B6A" w:rsidRDefault="001466FF" w:rsidP="001466FF">
            <w:pPr>
              <w:jc w:val="center"/>
            </w:pPr>
            <w:r>
              <w:t>0</w:t>
            </w:r>
          </w:p>
        </w:tc>
        <w:tc>
          <w:tcPr>
            <w:tcW w:w="1197" w:type="dxa"/>
          </w:tcPr>
          <w:p w14:paraId="0012FAFB" w14:textId="77777777" w:rsidR="001466FF" w:rsidRPr="00317B6A" w:rsidRDefault="001466FF" w:rsidP="001466FF">
            <w:pPr>
              <w:jc w:val="center"/>
            </w:pPr>
            <w:r>
              <w:t>0</w:t>
            </w:r>
          </w:p>
        </w:tc>
      </w:tr>
      <w:tr w:rsidR="001466FF" w:rsidRPr="0033617F" w14:paraId="3971BAD6" w14:textId="77777777" w:rsidTr="00D442BA">
        <w:trPr>
          <w:jc w:val="center"/>
        </w:trPr>
        <w:tc>
          <w:tcPr>
            <w:tcW w:w="2235" w:type="dxa"/>
            <w:vMerge/>
          </w:tcPr>
          <w:p w14:paraId="0CC27F30" w14:textId="77777777" w:rsidR="001466FF" w:rsidRPr="0033617F" w:rsidRDefault="001466FF" w:rsidP="001466FF"/>
        </w:tc>
        <w:tc>
          <w:tcPr>
            <w:tcW w:w="1132" w:type="dxa"/>
            <w:vMerge/>
          </w:tcPr>
          <w:p w14:paraId="1C96164D" w14:textId="77777777" w:rsidR="001466FF" w:rsidRPr="004B2478" w:rsidRDefault="001466FF" w:rsidP="001466FF">
            <w:pPr>
              <w:jc w:val="center"/>
              <w:rPr>
                <w:i/>
              </w:rPr>
            </w:pPr>
          </w:p>
        </w:tc>
        <w:tc>
          <w:tcPr>
            <w:tcW w:w="1448" w:type="dxa"/>
          </w:tcPr>
          <w:p w14:paraId="44E254D9" w14:textId="77777777" w:rsidR="001466FF" w:rsidRPr="004B2478" w:rsidRDefault="001466FF" w:rsidP="001466FF">
            <w:pPr>
              <w:jc w:val="center"/>
            </w:pPr>
          </w:p>
        </w:tc>
        <w:tc>
          <w:tcPr>
            <w:tcW w:w="1130" w:type="dxa"/>
          </w:tcPr>
          <w:p w14:paraId="39DDF09C" w14:textId="77777777" w:rsidR="001466FF" w:rsidRPr="0033617F" w:rsidRDefault="001466FF" w:rsidP="001466FF">
            <w:pPr>
              <w:jc w:val="center"/>
            </w:pPr>
          </w:p>
        </w:tc>
        <w:tc>
          <w:tcPr>
            <w:tcW w:w="1216" w:type="dxa"/>
          </w:tcPr>
          <w:p w14:paraId="12645A1B" w14:textId="77777777" w:rsidR="001466FF" w:rsidRPr="0033617F" w:rsidRDefault="001466FF" w:rsidP="001466FF">
            <w:pPr>
              <w:jc w:val="center"/>
            </w:pPr>
          </w:p>
        </w:tc>
        <w:tc>
          <w:tcPr>
            <w:tcW w:w="1130" w:type="dxa"/>
          </w:tcPr>
          <w:p w14:paraId="2EE17196" w14:textId="77777777" w:rsidR="001466FF" w:rsidRPr="0033617F" w:rsidRDefault="001466FF" w:rsidP="001466FF">
            <w:pPr>
              <w:jc w:val="center"/>
            </w:pPr>
          </w:p>
        </w:tc>
        <w:tc>
          <w:tcPr>
            <w:tcW w:w="1197" w:type="dxa"/>
          </w:tcPr>
          <w:p w14:paraId="19CF4EAD" w14:textId="77777777" w:rsidR="001466FF" w:rsidRPr="0033617F" w:rsidRDefault="001466FF" w:rsidP="001466FF">
            <w:pPr>
              <w:jc w:val="center"/>
            </w:pPr>
          </w:p>
        </w:tc>
        <w:tc>
          <w:tcPr>
            <w:tcW w:w="1197" w:type="dxa"/>
          </w:tcPr>
          <w:p w14:paraId="410A0BC1" w14:textId="77777777" w:rsidR="001466FF" w:rsidRPr="0033617F" w:rsidRDefault="001466FF" w:rsidP="001466FF">
            <w:pPr>
              <w:jc w:val="center"/>
            </w:pPr>
          </w:p>
        </w:tc>
      </w:tr>
      <w:tr w:rsidR="001466FF" w:rsidRPr="0033617F" w14:paraId="17DABB5B" w14:textId="77777777" w:rsidTr="00D442BA">
        <w:trPr>
          <w:jc w:val="center"/>
        </w:trPr>
        <w:tc>
          <w:tcPr>
            <w:tcW w:w="2235" w:type="dxa"/>
            <w:vMerge/>
          </w:tcPr>
          <w:p w14:paraId="5B1987C5" w14:textId="77777777" w:rsidR="001466FF" w:rsidRPr="0033617F" w:rsidRDefault="001466FF" w:rsidP="001466FF"/>
        </w:tc>
        <w:tc>
          <w:tcPr>
            <w:tcW w:w="1132" w:type="dxa"/>
            <w:vMerge/>
          </w:tcPr>
          <w:p w14:paraId="7D7A7D36" w14:textId="77777777" w:rsidR="001466FF" w:rsidRPr="0033617F" w:rsidRDefault="001466FF" w:rsidP="001466FF">
            <w:pPr>
              <w:jc w:val="center"/>
              <w:rPr>
                <w:i/>
              </w:rPr>
            </w:pPr>
          </w:p>
        </w:tc>
        <w:tc>
          <w:tcPr>
            <w:tcW w:w="1448" w:type="dxa"/>
          </w:tcPr>
          <w:p w14:paraId="5F2268FE" w14:textId="77777777" w:rsidR="001466FF" w:rsidRDefault="001466FF" w:rsidP="001466FF">
            <w:pPr>
              <w:jc w:val="center"/>
            </w:pPr>
          </w:p>
          <w:p w14:paraId="4622B329" w14:textId="77777777" w:rsidR="001466FF" w:rsidRPr="002643AF" w:rsidRDefault="001466FF" w:rsidP="001466FF">
            <w:pPr>
              <w:jc w:val="center"/>
            </w:pPr>
          </w:p>
        </w:tc>
        <w:tc>
          <w:tcPr>
            <w:tcW w:w="1130" w:type="dxa"/>
          </w:tcPr>
          <w:p w14:paraId="3C401266" w14:textId="77777777" w:rsidR="001466FF" w:rsidRPr="0033617F" w:rsidRDefault="001466FF" w:rsidP="001466FF">
            <w:pPr>
              <w:jc w:val="center"/>
            </w:pPr>
          </w:p>
        </w:tc>
        <w:tc>
          <w:tcPr>
            <w:tcW w:w="1216" w:type="dxa"/>
          </w:tcPr>
          <w:p w14:paraId="010E991E" w14:textId="77777777" w:rsidR="001466FF" w:rsidRPr="0033617F" w:rsidRDefault="001466FF" w:rsidP="001466FF">
            <w:pPr>
              <w:jc w:val="center"/>
            </w:pPr>
          </w:p>
        </w:tc>
        <w:tc>
          <w:tcPr>
            <w:tcW w:w="1130" w:type="dxa"/>
          </w:tcPr>
          <w:p w14:paraId="2814C102" w14:textId="77777777" w:rsidR="001466FF" w:rsidRPr="0033617F" w:rsidRDefault="001466FF" w:rsidP="001466FF">
            <w:pPr>
              <w:jc w:val="center"/>
            </w:pPr>
          </w:p>
        </w:tc>
        <w:tc>
          <w:tcPr>
            <w:tcW w:w="1197" w:type="dxa"/>
          </w:tcPr>
          <w:p w14:paraId="3F3D2A8B" w14:textId="77777777" w:rsidR="001466FF" w:rsidRPr="0033617F" w:rsidRDefault="001466FF" w:rsidP="001466FF">
            <w:pPr>
              <w:jc w:val="center"/>
            </w:pPr>
          </w:p>
        </w:tc>
        <w:tc>
          <w:tcPr>
            <w:tcW w:w="1197" w:type="dxa"/>
          </w:tcPr>
          <w:p w14:paraId="2895DA0C" w14:textId="77777777" w:rsidR="001466FF" w:rsidRPr="0033617F" w:rsidRDefault="001466FF" w:rsidP="001466FF">
            <w:pPr>
              <w:jc w:val="center"/>
            </w:pPr>
          </w:p>
        </w:tc>
      </w:tr>
      <w:tr w:rsidR="001466FF" w:rsidRPr="0033617F" w14:paraId="3FAD8564" w14:textId="77777777" w:rsidTr="00D442BA">
        <w:trPr>
          <w:jc w:val="center"/>
        </w:trPr>
        <w:tc>
          <w:tcPr>
            <w:tcW w:w="2235" w:type="dxa"/>
          </w:tcPr>
          <w:p w14:paraId="3D523FFD" w14:textId="77777777" w:rsidR="001466FF" w:rsidRPr="0033617F" w:rsidRDefault="001466FF" w:rsidP="001466FF">
            <w:r w:rsidRPr="0033617F">
              <w:t>5. Precizēta finansiālā ietekme:</w:t>
            </w:r>
          </w:p>
        </w:tc>
        <w:tc>
          <w:tcPr>
            <w:tcW w:w="1132" w:type="dxa"/>
            <w:vMerge w:val="restart"/>
          </w:tcPr>
          <w:p w14:paraId="669FAE87" w14:textId="66C75533" w:rsidR="001466FF" w:rsidRPr="00317B6A" w:rsidRDefault="001466FF" w:rsidP="001466FF">
            <w:pPr>
              <w:jc w:val="center"/>
              <w:rPr>
                <w:i/>
              </w:rPr>
            </w:pPr>
            <w:r w:rsidRPr="00317B6A">
              <w:t>X</w:t>
            </w:r>
          </w:p>
        </w:tc>
        <w:tc>
          <w:tcPr>
            <w:tcW w:w="1448" w:type="dxa"/>
          </w:tcPr>
          <w:p w14:paraId="16F77046" w14:textId="77777777" w:rsidR="001466FF" w:rsidRPr="00317B6A" w:rsidRDefault="001466FF" w:rsidP="001466FF">
            <w:pPr>
              <w:jc w:val="center"/>
            </w:pPr>
            <w:r w:rsidRPr="00317B6A">
              <w:t>0</w:t>
            </w:r>
          </w:p>
        </w:tc>
        <w:tc>
          <w:tcPr>
            <w:tcW w:w="1130" w:type="dxa"/>
          </w:tcPr>
          <w:p w14:paraId="2D9AF13E" w14:textId="77777777" w:rsidR="001466FF" w:rsidRPr="00317B6A" w:rsidRDefault="001466FF" w:rsidP="001466FF">
            <w:pPr>
              <w:jc w:val="center"/>
            </w:pPr>
            <w:r w:rsidRPr="00317B6A">
              <w:t>0</w:t>
            </w:r>
          </w:p>
        </w:tc>
        <w:tc>
          <w:tcPr>
            <w:tcW w:w="1216" w:type="dxa"/>
          </w:tcPr>
          <w:p w14:paraId="2C2599C3" w14:textId="77777777" w:rsidR="001466FF" w:rsidRPr="00317B6A" w:rsidRDefault="001466FF" w:rsidP="001466FF">
            <w:pPr>
              <w:jc w:val="center"/>
            </w:pPr>
            <w:r w:rsidRPr="00317B6A">
              <w:t>0</w:t>
            </w:r>
          </w:p>
        </w:tc>
        <w:tc>
          <w:tcPr>
            <w:tcW w:w="1130" w:type="dxa"/>
          </w:tcPr>
          <w:p w14:paraId="39889732" w14:textId="77777777" w:rsidR="001466FF" w:rsidRPr="00317B6A" w:rsidRDefault="001466FF" w:rsidP="001466FF">
            <w:pPr>
              <w:jc w:val="center"/>
            </w:pPr>
            <w:r w:rsidRPr="00317B6A">
              <w:t>0</w:t>
            </w:r>
          </w:p>
        </w:tc>
        <w:tc>
          <w:tcPr>
            <w:tcW w:w="1197" w:type="dxa"/>
          </w:tcPr>
          <w:p w14:paraId="481D2C56" w14:textId="77777777" w:rsidR="001466FF" w:rsidRPr="00317B6A" w:rsidRDefault="001466FF" w:rsidP="001466FF">
            <w:pPr>
              <w:jc w:val="center"/>
            </w:pPr>
            <w:r>
              <w:t>0</w:t>
            </w:r>
          </w:p>
        </w:tc>
        <w:tc>
          <w:tcPr>
            <w:tcW w:w="1197" w:type="dxa"/>
          </w:tcPr>
          <w:p w14:paraId="223AAA8C" w14:textId="77777777" w:rsidR="001466FF" w:rsidRPr="00317B6A" w:rsidRDefault="001466FF" w:rsidP="001466FF">
            <w:pPr>
              <w:jc w:val="center"/>
            </w:pPr>
            <w:r>
              <w:t>0</w:t>
            </w:r>
          </w:p>
        </w:tc>
      </w:tr>
      <w:tr w:rsidR="001466FF" w:rsidRPr="0033617F" w14:paraId="506C80D8" w14:textId="77777777" w:rsidTr="00D442BA">
        <w:trPr>
          <w:jc w:val="center"/>
        </w:trPr>
        <w:tc>
          <w:tcPr>
            <w:tcW w:w="2235" w:type="dxa"/>
          </w:tcPr>
          <w:p w14:paraId="7EE32092" w14:textId="77777777" w:rsidR="001466FF" w:rsidRPr="0033617F" w:rsidRDefault="001466FF" w:rsidP="001466FF">
            <w:r w:rsidRPr="0033617F">
              <w:t>5.1. valsts pamatbudžets</w:t>
            </w:r>
          </w:p>
        </w:tc>
        <w:tc>
          <w:tcPr>
            <w:tcW w:w="1132" w:type="dxa"/>
            <w:vMerge/>
            <w:vAlign w:val="center"/>
          </w:tcPr>
          <w:p w14:paraId="6A6579AC" w14:textId="77777777" w:rsidR="001466FF" w:rsidRPr="0033617F" w:rsidRDefault="001466FF" w:rsidP="001466FF">
            <w:pPr>
              <w:jc w:val="center"/>
              <w:rPr>
                <w:i/>
              </w:rPr>
            </w:pPr>
          </w:p>
        </w:tc>
        <w:tc>
          <w:tcPr>
            <w:tcW w:w="1448" w:type="dxa"/>
          </w:tcPr>
          <w:p w14:paraId="51F9A668" w14:textId="77777777" w:rsidR="001466FF" w:rsidRPr="001466FF" w:rsidRDefault="001466FF" w:rsidP="001466FF">
            <w:pPr>
              <w:jc w:val="center"/>
              <w:rPr>
                <w:i/>
              </w:rPr>
            </w:pPr>
            <w:r w:rsidRPr="001466FF">
              <w:rPr>
                <w:i/>
              </w:rPr>
              <w:t>0</w:t>
            </w:r>
          </w:p>
        </w:tc>
        <w:tc>
          <w:tcPr>
            <w:tcW w:w="1130" w:type="dxa"/>
          </w:tcPr>
          <w:p w14:paraId="7171C556" w14:textId="77777777" w:rsidR="001466FF" w:rsidRPr="001466FF" w:rsidRDefault="001466FF" w:rsidP="001466FF">
            <w:pPr>
              <w:jc w:val="center"/>
              <w:rPr>
                <w:i/>
              </w:rPr>
            </w:pPr>
            <w:r w:rsidRPr="001466FF">
              <w:rPr>
                <w:i/>
              </w:rPr>
              <w:t>0</w:t>
            </w:r>
          </w:p>
        </w:tc>
        <w:tc>
          <w:tcPr>
            <w:tcW w:w="1216" w:type="dxa"/>
          </w:tcPr>
          <w:p w14:paraId="34AC611D" w14:textId="77777777" w:rsidR="001466FF" w:rsidRPr="001466FF" w:rsidRDefault="001466FF" w:rsidP="001466FF">
            <w:pPr>
              <w:jc w:val="center"/>
              <w:rPr>
                <w:i/>
              </w:rPr>
            </w:pPr>
            <w:r w:rsidRPr="001466FF">
              <w:rPr>
                <w:i/>
              </w:rPr>
              <w:t>0</w:t>
            </w:r>
          </w:p>
        </w:tc>
        <w:tc>
          <w:tcPr>
            <w:tcW w:w="1130" w:type="dxa"/>
          </w:tcPr>
          <w:p w14:paraId="54166C87" w14:textId="77777777" w:rsidR="001466FF" w:rsidRPr="001466FF" w:rsidRDefault="001466FF" w:rsidP="001466FF">
            <w:pPr>
              <w:jc w:val="center"/>
              <w:rPr>
                <w:i/>
              </w:rPr>
            </w:pPr>
            <w:r w:rsidRPr="001466FF">
              <w:rPr>
                <w:i/>
              </w:rPr>
              <w:t>0</w:t>
            </w:r>
          </w:p>
        </w:tc>
        <w:tc>
          <w:tcPr>
            <w:tcW w:w="1197" w:type="dxa"/>
          </w:tcPr>
          <w:p w14:paraId="7B4E4C75" w14:textId="081C7BB1" w:rsidR="001466FF" w:rsidRPr="001466FF" w:rsidRDefault="001466FF" w:rsidP="001466FF">
            <w:pPr>
              <w:jc w:val="center"/>
              <w:rPr>
                <w:i/>
              </w:rPr>
            </w:pPr>
            <w:r w:rsidRPr="001466FF">
              <w:rPr>
                <w:i/>
              </w:rPr>
              <w:t>0</w:t>
            </w:r>
          </w:p>
        </w:tc>
        <w:tc>
          <w:tcPr>
            <w:tcW w:w="1197" w:type="dxa"/>
          </w:tcPr>
          <w:p w14:paraId="05D82768" w14:textId="47C1F9EF" w:rsidR="001466FF" w:rsidRPr="001466FF" w:rsidRDefault="001466FF" w:rsidP="001466FF">
            <w:pPr>
              <w:jc w:val="center"/>
              <w:rPr>
                <w:i/>
              </w:rPr>
            </w:pPr>
            <w:r w:rsidRPr="001466FF">
              <w:rPr>
                <w:i/>
              </w:rPr>
              <w:t>0</w:t>
            </w:r>
          </w:p>
        </w:tc>
      </w:tr>
      <w:tr w:rsidR="001466FF" w:rsidRPr="0033617F" w14:paraId="06297BD6" w14:textId="77777777" w:rsidTr="00D442BA">
        <w:trPr>
          <w:jc w:val="center"/>
        </w:trPr>
        <w:tc>
          <w:tcPr>
            <w:tcW w:w="2235" w:type="dxa"/>
          </w:tcPr>
          <w:p w14:paraId="6D97C3EB" w14:textId="77777777" w:rsidR="001466FF" w:rsidRPr="0033617F" w:rsidRDefault="001466FF" w:rsidP="001466FF">
            <w:r w:rsidRPr="0033617F">
              <w:t>5.2. speciālais budžets</w:t>
            </w:r>
          </w:p>
        </w:tc>
        <w:tc>
          <w:tcPr>
            <w:tcW w:w="1132" w:type="dxa"/>
            <w:vMerge/>
            <w:vAlign w:val="center"/>
          </w:tcPr>
          <w:p w14:paraId="72440C53" w14:textId="77777777" w:rsidR="001466FF" w:rsidRPr="0033617F" w:rsidRDefault="001466FF" w:rsidP="001466FF">
            <w:pPr>
              <w:jc w:val="center"/>
              <w:rPr>
                <w:i/>
              </w:rPr>
            </w:pPr>
          </w:p>
        </w:tc>
        <w:tc>
          <w:tcPr>
            <w:tcW w:w="1448" w:type="dxa"/>
          </w:tcPr>
          <w:p w14:paraId="3799B308" w14:textId="77777777" w:rsidR="001466FF" w:rsidRPr="0033617F" w:rsidRDefault="001466FF" w:rsidP="001466FF">
            <w:pPr>
              <w:jc w:val="center"/>
            </w:pPr>
          </w:p>
        </w:tc>
        <w:tc>
          <w:tcPr>
            <w:tcW w:w="1130" w:type="dxa"/>
          </w:tcPr>
          <w:p w14:paraId="1E75FC85" w14:textId="77777777" w:rsidR="001466FF" w:rsidRPr="0033617F" w:rsidRDefault="001466FF" w:rsidP="001466FF">
            <w:pPr>
              <w:jc w:val="center"/>
            </w:pPr>
          </w:p>
        </w:tc>
        <w:tc>
          <w:tcPr>
            <w:tcW w:w="1216" w:type="dxa"/>
          </w:tcPr>
          <w:p w14:paraId="2F654027" w14:textId="77777777" w:rsidR="001466FF" w:rsidRPr="0033617F" w:rsidRDefault="001466FF" w:rsidP="001466FF">
            <w:pPr>
              <w:jc w:val="center"/>
            </w:pPr>
          </w:p>
        </w:tc>
        <w:tc>
          <w:tcPr>
            <w:tcW w:w="1130" w:type="dxa"/>
          </w:tcPr>
          <w:p w14:paraId="5A5AD6BB" w14:textId="77777777" w:rsidR="001466FF" w:rsidRPr="0033617F" w:rsidRDefault="001466FF" w:rsidP="001466FF">
            <w:pPr>
              <w:jc w:val="center"/>
            </w:pPr>
          </w:p>
        </w:tc>
        <w:tc>
          <w:tcPr>
            <w:tcW w:w="1197" w:type="dxa"/>
          </w:tcPr>
          <w:p w14:paraId="69ECB779" w14:textId="77777777" w:rsidR="001466FF" w:rsidRPr="0033617F" w:rsidRDefault="001466FF" w:rsidP="001466FF">
            <w:pPr>
              <w:jc w:val="center"/>
            </w:pPr>
          </w:p>
        </w:tc>
        <w:tc>
          <w:tcPr>
            <w:tcW w:w="1197" w:type="dxa"/>
          </w:tcPr>
          <w:p w14:paraId="39477A3E" w14:textId="77777777" w:rsidR="001466FF" w:rsidRPr="0033617F" w:rsidRDefault="001466FF" w:rsidP="001466FF">
            <w:pPr>
              <w:jc w:val="center"/>
            </w:pPr>
          </w:p>
        </w:tc>
      </w:tr>
      <w:tr w:rsidR="001466FF" w:rsidRPr="0033617F" w14:paraId="5E2EA37A" w14:textId="77777777" w:rsidTr="00D442BA">
        <w:trPr>
          <w:jc w:val="center"/>
        </w:trPr>
        <w:tc>
          <w:tcPr>
            <w:tcW w:w="2235" w:type="dxa"/>
          </w:tcPr>
          <w:p w14:paraId="00807605" w14:textId="77777777" w:rsidR="001466FF" w:rsidRPr="0033617F" w:rsidRDefault="001466FF" w:rsidP="001466FF">
            <w:r w:rsidRPr="0033617F">
              <w:t xml:space="preserve">5.3. pašvaldību budžets </w:t>
            </w:r>
          </w:p>
        </w:tc>
        <w:tc>
          <w:tcPr>
            <w:tcW w:w="1132" w:type="dxa"/>
            <w:vMerge/>
          </w:tcPr>
          <w:p w14:paraId="5B3C56E9" w14:textId="77777777" w:rsidR="001466FF" w:rsidRPr="0033617F" w:rsidRDefault="001466FF" w:rsidP="001466FF">
            <w:pPr>
              <w:jc w:val="center"/>
              <w:rPr>
                <w:i/>
              </w:rPr>
            </w:pPr>
          </w:p>
        </w:tc>
        <w:tc>
          <w:tcPr>
            <w:tcW w:w="1448" w:type="dxa"/>
          </w:tcPr>
          <w:p w14:paraId="34DF1238" w14:textId="77777777" w:rsidR="001466FF" w:rsidRPr="0033617F" w:rsidRDefault="001466FF" w:rsidP="001466FF">
            <w:pPr>
              <w:jc w:val="center"/>
            </w:pPr>
          </w:p>
        </w:tc>
        <w:tc>
          <w:tcPr>
            <w:tcW w:w="1130" w:type="dxa"/>
          </w:tcPr>
          <w:p w14:paraId="6CCAD106" w14:textId="77777777" w:rsidR="001466FF" w:rsidRPr="0033617F" w:rsidRDefault="001466FF" w:rsidP="001466FF">
            <w:pPr>
              <w:jc w:val="center"/>
            </w:pPr>
          </w:p>
        </w:tc>
        <w:tc>
          <w:tcPr>
            <w:tcW w:w="1216" w:type="dxa"/>
          </w:tcPr>
          <w:p w14:paraId="3BC1B57C" w14:textId="77777777" w:rsidR="001466FF" w:rsidRPr="0033617F" w:rsidRDefault="001466FF" w:rsidP="001466FF">
            <w:pPr>
              <w:jc w:val="center"/>
            </w:pPr>
          </w:p>
        </w:tc>
        <w:tc>
          <w:tcPr>
            <w:tcW w:w="1130" w:type="dxa"/>
          </w:tcPr>
          <w:p w14:paraId="115C3BE1" w14:textId="77777777" w:rsidR="001466FF" w:rsidRPr="0033617F" w:rsidRDefault="001466FF" w:rsidP="001466FF">
            <w:pPr>
              <w:jc w:val="center"/>
            </w:pPr>
          </w:p>
        </w:tc>
        <w:tc>
          <w:tcPr>
            <w:tcW w:w="1197" w:type="dxa"/>
          </w:tcPr>
          <w:p w14:paraId="1A71D472" w14:textId="77777777" w:rsidR="001466FF" w:rsidRPr="0033617F" w:rsidRDefault="001466FF" w:rsidP="001466FF">
            <w:pPr>
              <w:jc w:val="center"/>
            </w:pPr>
          </w:p>
        </w:tc>
        <w:tc>
          <w:tcPr>
            <w:tcW w:w="1197" w:type="dxa"/>
          </w:tcPr>
          <w:p w14:paraId="1BEFEB9D" w14:textId="77777777" w:rsidR="001466FF" w:rsidRPr="0033617F" w:rsidRDefault="001466FF" w:rsidP="001466FF">
            <w:pPr>
              <w:jc w:val="center"/>
            </w:pPr>
          </w:p>
        </w:tc>
      </w:tr>
      <w:tr w:rsidR="001466FF" w:rsidRPr="0033617F" w14:paraId="214D50F7" w14:textId="77777777" w:rsidTr="00D442BA">
        <w:trPr>
          <w:jc w:val="center"/>
        </w:trPr>
        <w:tc>
          <w:tcPr>
            <w:tcW w:w="2235" w:type="dxa"/>
          </w:tcPr>
          <w:p w14:paraId="3E425710" w14:textId="77777777" w:rsidR="001466FF" w:rsidRPr="00A45D44" w:rsidRDefault="001466FF" w:rsidP="001466FF">
            <w:r w:rsidRPr="00A45D44">
              <w:t>6. Detalizēts ieņēmumu un izdevumu aprēķins (ja nepie</w:t>
            </w:r>
            <w:r w:rsidRPr="00A45D44">
              <w:softHyphen/>
              <w:t xml:space="preserve">ciešams, detalizētu ieņēmumu </w:t>
            </w:r>
            <w:r w:rsidRPr="00A45D44">
              <w:lastRenderedPageBreak/>
              <w:t>un izdevumu aprēķinu var pievienot anotācijas pielikumā):</w:t>
            </w:r>
          </w:p>
        </w:tc>
        <w:tc>
          <w:tcPr>
            <w:tcW w:w="8450" w:type="dxa"/>
            <w:gridSpan w:val="7"/>
            <w:vMerge w:val="restart"/>
            <w:shd w:val="clear" w:color="auto" w:fill="auto"/>
          </w:tcPr>
          <w:p w14:paraId="358C57C1" w14:textId="354EE0C5" w:rsidR="00B95DB0" w:rsidRPr="00A45D44" w:rsidRDefault="00B95DB0" w:rsidP="00B95DB0">
            <w:pPr>
              <w:ind w:right="34"/>
              <w:jc w:val="both"/>
            </w:pPr>
            <w:r w:rsidRPr="00A45D44">
              <w:lastRenderedPageBreak/>
              <w:tab/>
            </w:r>
            <w:r w:rsidR="001466FF" w:rsidRPr="00A45D44">
              <w:t xml:space="preserve">Finansējums </w:t>
            </w:r>
            <w:r w:rsidRPr="00A45D44">
              <w:t xml:space="preserve">900 000 </w:t>
            </w:r>
            <w:r w:rsidRPr="00A45D44">
              <w:rPr>
                <w:i/>
              </w:rPr>
              <w:t>euro</w:t>
            </w:r>
            <w:r w:rsidRPr="00A45D44">
              <w:t xml:space="preserve"> apmērā tiks novirzīts LOK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w:t>
            </w:r>
            <w:r w:rsidRPr="00A45D44">
              <w:lastRenderedPageBreak/>
              <w:t>arī Olimpiskā centra „Ventspils” attīstības projekta „Ventspils peldbaseina rekonstrukcija” pabeigšanai saņemto valsts galvoto aizdevumu 2021. gada maksājuma daļējai atmaksai, tādējādi nodrošinot saistību daļēju izpildi 2020. gadā. Maksājumu kredītiestādei LOK veiks līdz 2020. gada 31. decembrim.</w:t>
            </w:r>
          </w:p>
          <w:p w14:paraId="35B71519" w14:textId="7855C1E3" w:rsidR="001466FF" w:rsidRPr="00A45D44" w:rsidRDefault="00B95DB0" w:rsidP="001466FF">
            <w:pPr>
              <w:ind w:right="34"/>
              <w:jc w:val="both"/>
            </w:pPr>
            <w:r w:rsidRPr="00A45D44">
              <w:tab/>
              <w:t xml:space="preserve">Finansējums 300 000 </w:t>
            </w:r>
            <w:r w:rsidRPr="00A45D44">
              <w:rPr>
                <w:i/>
              </w:rPr>
              <w:t>euro</w:t>
            </w:r>
            <w:r w:rsidRPr="00A45D44">
              <w:t xml:space="preserve"> apmērā tiks novirzīts LaMSF, lai segtu izdevumus, kas saistīti ar 2021. gada FIM pasaules čempionāta motokrosā MXGP klasē posma organizēšanas licences iegādi. LaMSF pēc </w:t>
            </w:r>
            <w:r w:rsidR="001466FF" w:rsidRPr="00A45D44">
              <w:t xml:space="preserve">finansējuma saņemšanas no </w:t>
            </w:r>
            <w:r w:rsidRPr="00A45D44">
              <w:t>IZM</w:t>
            </w:r>
            <w:r w:rsidR="001466FF" w:rsidRPr="00A45D44">
              <w:t xml:space="preserve"> tos pārskaitīs </w:t>
            </w:r>
            <w:r w:rsidRPr="00A45D44">
              <w:t>SIA „Kristers Serģis moto” (</w:t>
            </w:r>
            <w:proofErr w:type="spellStart"/>
            <w:r w:rsidRPr="00A45D44">
              <w:t>Reģ.Nr</w:t>
            </w:r>
            <w:proofErr w:type="spellEnd"/>
            <w:r w:rsidRPr="00A45D44">
              <w:t>. 44103018810)</w:t>
            </w:r>
            <w:r w:rsidR="001466FF" w:rsidRPr="00A45D44">
              <w:t xml:space="preserve">, </w:t>
            </w:r>
            <w:r w:rsidRPr="00A45D44">
              <w:t>kas</w:t>
            </w:r>
            <w:r w:rsidR="001466FF" w:rsidRPr="00A45D44">
              <w:t xml:space="preserve"> </w:t>
            </w:r>
            <w:r w:rsidRPr="00A45D44">
              <w:t xml:space="preserve">kā Latvijas posma organizators līdz 2020. gada 31. decembrim </w:t>
            </w:r>
            <w:r w:rsidR="001466FF" w:rsidRPr="00A45D44">
              <w:t xml:space="preserve">nodrošinās </w:t>
            </w:r>
            <w:r w:rsidRPr="00A45D44">
              <w:t xml:space="preserve">šo </w:t>
            </w:r>
            <w:r w:rsidR="001466FF" w:rsidRPr="00A45D44">
              <w:t xml:space="preserve">līdzekļu pārskaitīšanu starptautiskajam </w:t>
            </w:r>
            <w:r w:rsidRPr="00A45D44">
              <w:t>s</w:t>
            </w:r>
            <w:r w:rsidR="001466FF" w:rsidRPr="00A45D44">
              <w:t xml:space="preserve">acensību organizatoram (organizēšanas tiesību turētājam) – </w:t>
            </w:r>
            <w:r w:rsidRPr="00A45D44">
              <w:t xml:space="preserve">kompānijai </w:t>
            </w:r>
            <w:proofErr w:type="spellStart"/>
            <w:r w:rsidR="001466FF" w:rsidRPr="00A45D44">
              <w:rPr>
                <w:i/>
              </w:rPr>
              <w:t>Youthstream</w:t>
            </w:r>
            <w:proofErr w:type="spellEnd"/>
            <w:r w:rsidR="001466FF" w:rsidRPr="00A45D44">
              <w:rPr>
                <w:i/>
              </w:rPr>
              <w:t xml:space="preserve"> </w:t>
            </w:r>
            <w:proofErr w:type="spellStart"/>
            <w:r w:rsidR="001466FF" w:rsidRPr="00A45D44">
              <w:rPr>
                <w:i/>
              </w:rPr>
              <w:t>group</w:t>
            </w:r>
            <w:proofErr w:type="spellEnd"/>
            <w:r w:rsidR="001466FF" w:rsidRPr="00A45D44">
              <w:rPr>
                <w:i/>
              </w:rPr>
              <w:t xml:space="preserve"> SAM</w:t>
            </w:r>
            <w:r w:rsidR="001466FF" w:rsidRPr="00A45D44">
              <w:t>.</w:t>
            </w:r>
            <w:r w:rsidRPr="00A45D44">
              <w:t xml:space="preserve"> </w:t>
            </w:r>
          </w:p>
          <w:p w14:paraId="09D022CA" w14:textId="0CFC2830" w:rsidR="00B95DB0" w:rsidRPr="00A45D44" w:rsidRDefault="00B95DB0" w:rsidP="001466FF">
            <w:pPr>
              <w:ind w:right="34"/>
              <w:jc w:val="both"/>
            </w:pPr>
            <w:r w:rsidRPr="00A45D44">
              <w:tab/>
              <w:t xml:space="preserve">Finansējums 300 000 </w:t>
            </w:r>
            <w:r w:rsidRPr="00A45D44">
              <w:rPr>
                <w:i/>
              </w:rPr>
              <w:t>euro</w:t>
            </w:r>
            <w:r w:rsidRPr="00A45D44">
              <w:t xml:space="preserve"> apmērā tiks novirzīts LAF, lai segtu izdevumus, kas saistīti ar 2021. gada FIA Eiropas rallija čempionāta posma organizēšanas licences iegādi. LAF pēc finansējuma saņemšanas no IZM tos pārskaitīs SIA „RA </w:t>
            </w:r>
            <w:proofErr w:type="spellStart"/>
            <w:r w:rsidRPr="00A45D44">
              <w:t>Events</w:t>
            </w:r>
            <w:proofErr w:type="spellEnd"/>
            <w:r w:rsidRPr="00A45D44">
              <w:t>” (</w:t>
            </w:r>
            <w:proofErr w:type="spellStart"/>
            <w:r w:rsidRPr="00A45D44">
              <w:t>Reģ</w:t>
            </w:r>
            <w:proofErr w:type="spellEnd"/>
            <w:r w:rsidRPr="00A45D44">
              <w:t xml:space="preserve">. Nr. 41203049203), kas kā Latvijas posma organizators līdz 2020. gada 31. decembrim nodrošinās šo līdzekļu pārskaitīšanu starptautiskajam sacensību organizatoram (organizēšanas tiesību turētājam) – kompānijai </w:t>
            </w:r>
            <w:proofErr w:type="spellStart"/>
            <w:r w:rsidRPr="00A45D44">
              <w:rPr>
                <w:i/>
              </w:rPr>
              <w:t>Eurosport</w:t>
            </w:r>
            <w:proofErr w:type="spellEnd"/>
            <w:r w:rsidRPr="00A45D44">
              <w:rPr>
                <w:i/>
              </w:rPr>
              <w:t xml:space="preserve"> </w:t>
            </w:r>
            <w:proofErr w:type="spellStart"/>
            <w:r w:rsidRPr="00A45D44">
              <w:rPr>
                <w:i/>
              </w:rPr>
              <w:t>Events</w:t>
            </w:r>
            <w:proofErr w:type="spellEnd"/>
            <w:r w:rsidRPr="00A45D44">
              <w:rPr>
                <w:i/>
              </w:rPr>
              <w:t xml:space="preserve"> </w:t>
            </w:r>
            <w:proofErr w:type="spellStart"/>
            <w:r w:rsidRPr="00A45D44">
              <w:rPr>
                <w:i/>
              </w:rPr>
              <w:t>Limted</w:t>
            </w:r>
            <w:proofErr w:type="spellEnd"/>
            <w:r w:rsidRPr="00A45D44">
              <w:t>.</w:t>
            </w:r>
          </w:p>
          <w:p w14:paraId="1E8A2B68" w14:textId="77777777" w:rsidR="00B95DB0" w:rsidRPr="00A45D44" w:rsidRDefault="00B95DB0" w:rsidP="001466FF">
            <w:pPr>
              <w:ind w:right="34"/>
              <w:jc w:val="both"/>
            </w:pPr>
          </w:p>
          <w:p w14:paraId="3A36C386" w14:textId="39DFF7A4" w:rsidR="00532E29" w:rsidRPr="00A45D44" w:rsidRDefault="00B95DB0" w:rsidP="00532E29">
            <w:pPr>
              <w:ind w:right="34"/>
              <w:jc w:val="both"/>
            </w:pPr>
            <w:r w:rsidRPr="00A45D44">
              <w:tab/>
            </w:r>
            <w:r w:rsidR="001466FF" w:rsidRPr="00A45D44">
              <w:t xml:space="preserve">Tieša ietekme uz budžeta ieņēmumiem un izdevumiem nav arī Protokollēmuma projektam, jo 2021. gada valsts budžeta apakšprogrammā 09.23.00 „Valsts ilgtermiņa saistības sportā – dotācija Latvijas Olimpiskajai komitejai (LOK) – valsts galvoto aizdevumu atmaksai” finansējums par 900 000 </w:t>
            </w:r>
            <w:r w:rsidR="001466FF" w:rsidRPr="00A45D44">
              <w:rPr>
                <w:i/>
              </w:rPr>
              <w:t>euro</w:t>
            </w:r>
            <w:r w:rsidR="001466FF" w:rsidRPr="00A45D44">
              <w:t xml:space="preserve"> samazināsies, bet vienlaikus visi ietaupītie līdzekļi tiks pārdalīti uz citām uz citām 2021. gada IZM budžeta programmas 09.00.00 „Sports” apakšprogrammām, kā rezultātā (a) budžeta apakšprogrammā 09.16.00 „Dotācija nacionālās nozīmes starptautisku sporta pasākumu organizēšanai Latvijā” finansējums palielināsies par 700 000 </w:t>
            </w:r>
            <w:r w:rsidR="001466FF" w:rsidRPr="00A45D44">
              <w:rPr>
                <w:i/>
              </w:rPr>
              <w:t>euro</w:t>
            </w:r>
            <w:r w:rsidR="001466FF" w:rsidRPr="00A45D44">
              <w:t xml:space="preserve">, lai to novirzītu 2021. gadā Latvijā paredzēto nacionālas nozīmes starptautisku sporta sacensību organizēšanas izdevumu segšanai; (b) budžeta apakšprogrammā 09.04.00 „Sporta būves” finansējums palielināsies par 200 000 </w:t>
            </w:r>
            <w:r w:rsidR="001466FF" w:rsidRPr="00A45D44">
              <w:rPr>
                <w:i/>
              </w:rPr>
              <w:t>euro</w:t>
            </w:r>
            <w:r w:rsidR="001466FF" w:rsidRPr="00A45D44">
              <w:t xml:space="preserve">, lai to novirzītu Murjāņu sporta ģimnāzijas sporta bāzes – stadiona skrejceliņu seguma renovācijas pabeigšanai (100 000 </w:t>
            </w:r>
            <w:r w:rsidR="001466FF" w:rsidRPr="00A45D44">
              <w:rPr>
                <w:i/>
              </w:rPr>
              <w:t>euro</w:t>
            </w:r>
            <w:r w:rsidR="001466FF" w:rsidRPr="00A45D44">
              <w:t>) un VSIA „Kultūras un sporta centrs „Daugavas stadions”” ledus halles aprīkojuma iegādei</w:t>
            </w:r>
            <w:r w:rsidRPr="00A45D44">
              <w:t xml:space="preserve"> </w:t>
            </w:r>
            <w:r w:rsidR="001466FF" w:rsidRPr="00A45D44">
              <w:t xml:space="preserve">(100 000 </w:t>
            </w:r>
            <w:r w:rsidR="001466FF" w:rsidRPr="00A45D44">
              <w:rPr>
                <w:i/>
              </w:rPr>
              <w:t>euro</w:t>
            </w:r>
            <w:r w:rsidR="001466FF" w:rsidRPr="00A45D44">
              <w:t>). Būtiski ir atz</w:t>
            </w:r>
            <w:bookmarkStart w:id="3" w:name="_GoBack"/>
            <w:r w:rsidR="001466FF" w:rsidRPr="00A45D44">
              <w:t>ī</w:t>
            </w:r>
            <w:bookmarkEnd w:id="3"/>
            <w:r w:rsidR="001466FF" w:rsidRPr="00A45D44">
              <w:t xml:space="preserve">mēt, ka </w:t>
            </w:r>
            <w:r w:rsidR="001466FF" w:rsidRPr="00D4059E">
              <w:t xml:space="preserve">faktiska līdzekļu pārdale notiks 2021. gada </w:t>
            </w:r>
            <w:r w:rsidR="00102B8F" w:rsidRPr="00D4059E">
              <w:t>februārī</w:t>
            </w:r>
            <w:r w:rsidR="001466FF" w:rsidRPr="00D4059E">
              <w:t xml:space="preserve">, kad IZM atbilstoši Protokollēmuma projekta </w:t>
            </w:r>
            <w:r w:rsidR="00D4059E" w:rsidRPr="00D4059E">
              <w:t>3</w:t>
            </w:r>
            <w:r w:rsidR="001466FF" w:rsidRPr="00D4059E">
              <w:t>. punktā</w:t>
            </w:r>
            <w:r w:rsidR="00A45D44" w:rsidRPr="00D4059E">
              <w:t xml:space="preserve"> </w:t>
            </w:r>
            <w:r w:rsidR="001466FF" w:rsidRPr="00D4059E">
              <w:t>dotam uzdevumam</w:t>
            </w:r>
            <w:r w:rsidRPr="00D4059E">
              <w:t xml:space="preserve"> sagatavos un noteiktā kārtībā izskatīšanai</w:t>
            </w:r>
            <w:r w:rsidRPr="00A45D44">
              <w:t xml:space="preserve"> Ministru kabinetā iesniegs Ministru kabineta rīkojuma projektu „Par apropriācijas pārdali starp IZM budžeta programmām un apakšprogrammām”</w:t>
            </w:r>
            <w:r w:rsidR="00532E29" w:rsidRPr="00A45D44">
              <w:t>, turklāt minētā pārdale vēl būs jāskata arī Saeimas Budžeta un finanšu (nodokļu) komisijai.</w:t>
            </w:r>
          </w:p>
          <w:p w14:paraId="78E2D6AD" w14:textId="77777777" w:rsidR="00532E29" w:rsidRPr="00A45D44" w:rsidRDefault="00532E29" w:rsidP="00532E29">
            <w:pPr>
              <w:ind w:right="34"/>
              <w:jc w:val="both"/>
            </w:pPr>
          </w:p>
          <w:p w14:paraId="12AD66CC" w14:textId="0F4DE429" w:rsidR="001466FF" w:rsidRPr="00A45D44" w:rsidRDefault="001466FF" w:rsidP="00532E29">
            <w:pPr>
              <w:ind w:right="34"/>
              <w:jc w:val="both"/>
            </w:pPr>
            <w:r w:rsidRPr="00A45D44">
              <w:t>Papildus informāciju un dokumentus skatīt pievienotajos paskaidrojošajos materiālos.</w:t>
            </w:r>
          </w:p>
        </w:tc>
      </w:tr>
      <w:tr w:rsidR="001466FF" w:rsidRPr="0033617F" w14:paraId="5F30166E" w14:textId="77777777" w:rsidTr="00D442BA">
        <w:trPr>
          <w:jc w:val="center"/>
        </w:trPr>
        <w:tc>
          <w:tcPr>
            <w:tcW w:w="2235" w:type="dxa"/>
          </w:tcPr>
          <w:p w14:paraId="2E27D7B1" w14:textId="61F7C238" w:rsidR="001466FF" w:rsidRPr="00A45D44" w:rsidRDefault="001466FF" w:rsidP="001466FF">
            <w:r w:rsidRPr="00A45D44">
              <w:lastRenderedPageBreak/>
              <w:t>6.1. detalizēts ieņēmumu aprēķins</w:t>
            </w:r>
          </w:p>
        </w:tc>
        <w:tc>
          <w:tcPr>
            <w:tcW w:w="8450" w:type="dxa"/>
            <w:gridSpan w:val="7"/>
            <w:vMerge/>
            <w:shd w:val="clear" w:color="auto" w:fill="auto"/>
          </w:tcPr>
          <w:p w14:paraId="498A7179" w14:textId="77777777" w:rsidR="001466FF" w:rsidRPr="00A45D44" w:rsidRDefault="001466FF" w:rsidP="001466FF">
            <w:pPr>
              <w:rPr>
                <w:b/>
                <w:i/>
              </w:rPr>
            </w:pPr>
          </w:p>
        </w:tc>
      </w:tr>
      <w:tr w:rsidR="001466FF" w:rsidRPr="0033617F" w14:paraId="6161CC7C" w14:textId="77777777" w:rsidTr="00D442BA">
        <w:trPr>
          <w:jc w:val="center"/>
        </w:trPr>
        <w:tc>
          <w:tcPr>
            <w:tcW w:w="2235" w:type="dxa"/>
          </w:tcPr>
          <w:p w14:paraId="52D9743E" w14:textId="77777777" w:rsidR="001466FF" w:rsidRPr="00A45D44" w:rsidRDefault="001466FF" w:rsidP="001466FF">
            <w:r w:rsidRPr="00A45D44">
              <w:t>6.2. detalizēts izdevumu aprēķins</w:t>
            </w:r>
          </w:p>
        </w:tc>
        <w:tc>
          <w:tcPr>
            <w:tcW w:w="8450" w:type="dxa"/>
            <w:gridSpan w:val="7"/>
            <w:vMerge/>
            <w:shd w:val="clear" w:color="auto" w:fill="auto"/>
          </w:tcPr>
          <w:p w14:paraId="7B4D5925" w14:textId="77777777" w:rsidR="001466FF" w:rsidRPr="00A45D44" w:rsidRDefault="001466FF" w:rsidP="001466FF">
            <w:pPr>
              <w:rPr>
                <w:b/>
                <w:i/>
              </w:rPr>
            </w:pPr>
          </w:p>
        </w:tc>
      </w:tr>
      <w:tr w:rsidR="001466FF" w:rsidRPr="0033617F" w14:paraId="7DF31435" w14:textId="77777777" w:rsidTr="00D442BA">
        <w:trPr>
          <w:trHeight w:val="399"/>
          <w:jc w:val="center"/>
        </w:trPr>
        <w:tc>
          <w:tcPr>
            <w:tcW w:w="2235" w:type="dxa"/>
          </w:tcPr>
          <w:p w14:paraId="7FEEAE8C" w14:textId="77777777" w:rsidR="001466FF" w:rsidRPr="0033617F" w:rsidRDefault="001466FF" w:rsidP="001466FF">
            <w:r>
              <w:t>7. Amata vietu skaita izmaiņas</w:t>
            </w:r>
          </w:p>
        </w:tc>
        <w:tc>
          <w:tcPr>
            <w:tcW w:w="8450" w:type="dxa"/>
            <w:gridSpan w:val="7"/>
            <w:shd w:val="clear" w:color="auto" w:fill="auto"/>
          </w:tcPr>
          <w:p w14:paraId="02AB3A95" w14:textId="3BD74C74" w:rsidR="001466FF" w:rsidRDefault="001466FF" w:rsidP="001466FF">
            <w:pPr>
              <w:ind w:right="34"/>
              <w:jc w:val="both"/>
            </w:pPr>
            <w:r>
              <w:t>Rīkojuma projektam nav ietekme uz amata vietu skaita izmaiņām.</w:t>
            </w:r>
          </w:p>
        </w:tc>
      </w:tr>
      <w:tr w:rsidR="001466FF" w:rsidRPr="0033617F" w14:paraId="2CAD9D46" w14:textId="77777777" w:rsidTr="00D442BA">
        <w:trPr>
          <w:trHeight w:val="399"/>
          <w:jc w:val="center"/>
        </w:trPr>
        <w:tc>
          <w:tcPr>
            <w:tcW w:w="2235" w:type="dxa"/>
          </w:tcPr>
          <w:p w14:paraId="715B2A4B" w14:textId="77777777" w:rsidR="001466FF" w:rsidRPr="0033617F" w:rsidRDefault="001466FF" w:rsidP="001466FF">
            <w:r>
              <w:t>8</w:t>
            </w:r>
            <w:r w:rsidRPr="0033617F">
              <w:t>. Cita informācija</w:t>
            </w:r>
          </w:p>
        </w:tc>
        <w:tc>
          <w:tcPr>
            <w:tcW w:w="8450" w:type="dxa"/>
            <w:gridSpan w:val="7"/>
            <w:shd w:val="clear" w:color="auto" w:fill="auto"/>
          </w:tcPr>
          <w:p w14:paraId="7B5410B3" w14:textId="77777777" w:rsidR="0038163D" w:rsidRDefault="0038163D" w:rsidP="0038163D">
            <w:pPr>
              <w:ind w:right="34"/>
              <w:jc w:val="both"/>
            </w:pPr>
            <w:r>
              <w:tab/>
            </w:r>
            <w:r w:rsidRPr="00F86D7B">
              <w:t>Izdevumus sedz no valsts budžeta programmas 02.00.00 „Līdzekļi neparedzētiem gadījumiem” atbilstoši Ministru kabineta 2018.</w:t>
            </w:r>
            <w:r>
              <w:t xml:space="preserve"> </w:t>
            </w:r>
            <w:r w:rsidRPr="00F86D7B">
              <w:t>gada 17.</w:t>
            </w:r>
            <w:r>
              <w:t xml:space="preserve"> </w:t>
            </w:r>
            <w:r w:rsidRPr="00F86D7B">
              <w:t>jūlija noteikumiem Nr.</w:t>
            </w:r>
            <w:r>
              <w:t xml:space="preserve"> </w:t>
            </w:r>
            <w:r w:rsidRPr="00F86D7B">
              <w:t>421 „Kārtība, kādā veic gadskārtējā valsts budžeta likumā noteiktās apropriācijas izmaiņas”.</w:t>
            </w:r>
          </w:p>
          <w:p w14:paraId="51726586" w14:textId="0D505CDE" w:rsidR="001466FF" w:rsidRDefault="0038163D" w:rsidP="0038163D">
            <w:pPr>
              <w:ind w:right="34"/>
              <w:jc w:val="both"/>
            </w:pPr>
            <w:r>
              <w:tab/>
            </w:r>
            <w:r w:rsidRPr="00736911">
              <w:t xml:space="preserve">Piešķirot finansējumu </w:t>
            </w:r>
            <w:r>
              <w:t xml:space="preserve">LOK, LaMSF un LAF, līdzekļi tiks izlietoti </w:t>
            </w:r>
            <w:r w:rsidRPr="00736911">
              <w:t>2020. gadā, tiks sasniegts plānotais mērķis, kā arī netiks radītas saistības papildu valsts budžeta izdevumiem turpmākajiem gadiem.</w:t>
            </w:r>
            <w:r>
              <w:t xml:space="preserve"> IZM, slēdzot līgumu ar LaMSF un LAF, noteiks par pienākumu LaMSF un LAF noteiktā termiņā iesniegt IZM detalizētu apkopojumu par sacensību faktiskajiem ieņēmumiem un izdevumiem ar tam pievienotu zvērināta revidenta atzinumu.</w:t>
            </w:r>
            <w:r>
              <w:tab/>
            </w:r>
          </w:p>
        </w:tc>
      </w:tr>
    </w:tbl>
    <w:p w14:paraId="6E6C241D" w14:textId="3363193E" w:rsidR="004149A5" w:rsidRDefault="004149A5" w:rsidP="00464CD0">
      <w:pPr>
        <w:ind w:left="-567" w:right="-427"/>
        <w:jc w:val="both"/>
      </w:pPr>
    </w:p>
    <w:p w14:paraId="4EDB3838" w14:textId="77777777" w:rsidR="00C31690" w:rsidRDefault="00C31690"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lastRenderedPageBreak/>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08452015" w:rsidR="00C3572A" w:rsidRPr="00B24229" w:rsidRDefault="0038163D" w:rsidP="001B2A96">
            <w:pPr>
              <w:ind w:right="127"/>
              <w:jc w:val="center"/>
            </w:pPr>
            <w:r>
              <w:t>Rīkojuma projekts un Protokollēmuma projekts</w:t>
            </w:r>
            <w:r w:rsidR="00C3572A" w:rsidRPr="00C3572A">
              <w:t xml:space="preserve"> šo jomu neskar</w:t>
            </w:r>
          </w:p>
        </w:tc>
      </w:tr>
    </w:tbl>
    <w:p w14:paraId="104CF13E" w14:textId="72CF8168" w:rsidR="00C130F5"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111290E2"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4FE4ADE2" w:rsidR="00C3572A" w:rsidRPr="00B24229" w:rsidRDefault="0038163D" w:rsidP="001B2A96">
            <w:pPr>
              <w:ind w:right="127"/>
              <w:jc w:val="center"/>
            </w:pPr>
            <w:r>
              <w:t>Rīkojuma projekts un Protokollēmuma projekts</w:t>
            </w:r>
            <w:r w:rsidRPr="00C3572A">
              <w:t xml:space="preserve"> šo jomu neskar</w:t>
            </w:r>
          </w:p>
        </w:tc>
      </w:tr>
    </w:tbl>
    <w:p w14:paraId="44946324" w14:textId="0BAC248A" w:rsidR="00C573BE" w:rsidRDefault="00C573BE">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22F23" w:rsidRPr="00317B6A" w14:paraId="06EAA6D7" w14:textId="77777777" w:rsidTr="000566D5">
        <w:tc>
          <w:tcPr>
            <w:tcW w:w="10060" w:type="dxa"/>
            <w:vAlign w:val="center"/>
          </w:tcPr>
          <w:p w14:paraId="1AD560AE" w14:textId="6D2F2467" w:rsidR="00C22F23" w:rsidRPr="00317B6A" w:rsidRDefault="00C22F23" w:rsidP="000566D5">
            <w:pPr>
              <w:pStyle w:val="naisnod"/>
              <w:spacing w:before="0" w:after="0"/>
            </w:pPr>
            <w:r w:rsidRPr="00C3572A">
              <w:t>VI. Sabiedrības līdzdalība un komunikācijas aktivitātes</w:t>
            </w:r>
          </w:p>
        </w:tc>
      </w:tr>
      <w:tr w:rsidR="004149A5" w:rsidRPr="00317B6A" w14:paraId="436CC9A3" w14:textId="77777777" w:rsidTr="000566D5">
        <w:tc>
          <w:tcPr>
            <w:tcW w:w="10060" w:type="dxa"/>
            <w:vAlign w:val="center"/>
          </w:tcPr>
          <w:p w14:paraId="64704DFD" w14:textId="0C2DB880" w:rsidR="004149A5" w:rsidRPr="0038163D" w:rsidRDefault="0038163D" w:rsidP="000566D5">
            <w:pPr>
              <w:pStyle w:val="naisnod"/>
              <w:spacing w:before="0" w:after="0"/>
              <w:rPr>
                <w:b w:val="0"/>
              </w:rPr>
            </w:pPr>
            <w:r w:rsidRPr="0038163D">
              <w:rPr>
                <w:b w:val="0"/>
              </w:rPr>
              <w:t>Rīkojuma projekts un Protokollēmuma projekts šo jomu neskar</w:t>
            </w:r>
          </w:p>
        </w:tc>
      </w:tr>
    </w:tbl>
    <w:p w14:paraId="1B666679" w14:textId="77777777" w:rsidR="006C697C"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77777777" w:rsidR="00C22F23" w:rsidRPr="00317B6A" w:rsidRDefault="00C22F23" w:rsidP="000566D5">
            <w:pPr>
              <w:pStyle w:val="naisnod"/>
              <w:spacing w:before="0" w:after="0"/>
            </w:pPr>
            <w:r w:rsidRPr="00C3572A">
              <w:t>VII. Tiesību akta projekta izpildes nodrošināšana un tās ietekme uz institūcijām</w:t>
            </w:r>
          </w:p>
        </w:tc>
      </w:tr>
      <w:tr w:rsidR="00C22F23" w:rsidRPr="00B24229" w14:paraId="3C43D0CE" w14:textId="77777777" w:rsidTr="00C22F23">
        <w:trPr>
          <w:trHeight w:val="265"/>
        </w:trPr>
        <w:tc>
          <w:tcPr>
            <w:tcW w:w="684" w:type="dxa"/>
          </w:tcPr>
          <w:p w14:paraId="44EE9D72" w14:textId="77777777" w:rsidR="00C22F23" w:rsidRPr="00B24229" w:rsidRDefault="00C22F23" w:rsidP="00C22F23">
            <w:pPr>
              <w:pStyle w:val="naiskr"/>
              <w:spacing w:before="0" w:after="0"/>
              <w:jc w:val="center"/>
            </w:pPr>
            <w:r w:rsidRPr="00B24229">
              <w:t>1.</w:t>
            </w:r>
          </w:p>
        </w:tc>
        <w:tc>
          <w:tcPr>
            <w:tcW w:w="2515" w:type="dxa"/>
          </w:tcPr>
          <w:p w14:paraId="111B01EC" w14:textId="77777777" w:rsidR="00C22F23" w:rsidRPr="00C22F23" w:rsidRDefault="00C22F23" w:rsidP="00B806E1">
            <w:pPr>
              <w:ind w:left="109"/>
            </w:pPr>
            <w:r w:rsidRPr="00C22F23">
              <w:t>Projekta izpildē iesaistītās institūcijas</w:t>
            </w:r>
          </w:p>
        </w:tc>
        <w:tc>
          <w:tcPr>
            <w:tcW w:w="6861" w:type="dxa"/>
          </w:tcPr>
          <w:p w14:paraId="5425769A" w14:textId="26009BA5" w:rsidR="00C22F23" w:rsidRPr="00B24229" w:rsidRDefault="00E82C1D" w:rsidP="0038163D">
            <w:pPr>
              <w:ind w:left="128" w:right="142"/>
              <w:jc w:val="both"/>
            </w:pPr>
            <w:r w:rsidRPr="00776AC7">
              <w:t xml:space="preserve">Rīkojuma projekta </w:t>
            </w:r>
            <w:r w:rsidR="0038163D">
              <w:t xml:space="preserve">un Protokollēmuma projekta 2. punktā dotā uzdevuma </w:t>
            </w:r>
            <w:r w:rsidRPr="00776AC7">
              <w:t xml:space="preserve">izpildi nodrošinās </w:t>
            </w:r>
            <w:r w:rsidR="003D100D">
              <w:t>IZM</w:t>
            </w:r>
            <w:r w:rsidR="00E4473B" w:rsidRPr="00776AC7">
              <w:t>. Par finansējuma piešķiršanu tiks slēgts līgums ar</w:t>
            </w:r>
            <w:r w:rsidR="00F4684A" w:rsidRPr="00776AC7">
              <w:t xml:space="preserve"> </w:t>
            </w:r>
            <w:r w:rsidR="0038163D">
              <w:t>LOK, LaMSF un LOK</w:t>
            </w:r>
            <w:r w:rsidR="00776AC7" w:rsidRPr="00776AC7">
              <w:t>.</w:t>
            </w:r>
          </w:p>
        </w:tc>
      </w:tr>
      <w:tr w:rsidR="00C22F23" w:rsidRPr="00B24229" w14:paraId="0C63EA86" w14:textId="77777777" w:rsidTr="00C22F23">
        <w:trPr>
          <w:trHeight w:val="265"/>
        </w:trPr>
        <w:tc>
          <w:tcPr>
            <w:tcW w:w="684" w:type="dxa"/>
          </w:tcPr>
          <w:p w14:paraId="10AE4708" w14:textId="77777777" w:rsidR="00C22F23" w:rsidRPr="00B24229" w:rsidRDefault="00C22F23" w:rsidP="00C22F23">
            <w:pPr>
              <w:pStyle w:val="naiskr"/>
              <w:spacing w:before="0" w:after="0"/>
              <w:jc w:val="center"/>
            </w:pPr>
            <w:r>
              <w:t>2.</w:t>
            </w:r>
          </w:p>
        </w:tc>
        <w:tc>
          <w:tcPr>
            <w:tcW w:w="2515" w:type="dxa"/>
          </w:tcPr>
          <w:p w14:paraId="08E7A95E" w14:textId="77777777" w:rsidR="00C22F23" w:rsidRPr="00C22F23" w:rsidRDefault="00C22F23" w:rsidP="00B806E1">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6861" w:type="dxa"/>
          </w:tcPr>
          <w:p w14:paraId="3A593C1D" w14:textId="524AFC51" w:rsidR="00C22F23" w:rsidRDefault="0038163D" w:rsidP="00D47F6F">
            <w:pPr>
              <w:ind w:left="128" w:right="142"/>
              <w:jc w:val="both"/>
            </w:pPr>
            <w:r w:rsidRPr="0038163D">
              <w:t>Rīkojuma projekts un Protokollēmuma projekts šo jomu neskar</w:t>
            </w:r>
          </w:p>
        </w:tc>
      </w:tr>
      <w:tr w:rsidR="00C22F23" w:rsidRPr="00B24229" w14:paraId="18D0AA4B" w14:textId="77777777" w:rsidTr="00C22F23">
        <w:trPr>
          <w:trHeight w:val="265"/>
        </w:trPr>
        <w:tc>
          <w:tcPr>
            <w:tcW w:w="684" w:type="dxa"/>
          </w:tcPr>
          <w:p w14:paraId="7028BCD1" w14:textId="77777777" w:rsidR="00C22F23" w:rsidRPr="00B24229" w:rsidRDefault="00C22F23" w:rsidP="00C22F23">
            <w:pPr>
              <w:pStyle w:val="naiskr"/>
              <w:spacing w:before="0" w:after="0"/>
              <w:jc w:val="center"/>
            </w:pPr>
            <w:r>
              <w:t>3.</w:t>
            </w:r>
          </w:p>
        </w:tc>
        <w:tc>
          <w:tcPr>
            <w:tcW w:w="2515" w:type="dxa"/>
          </w:tcPr>
          <w:p w14:paraId="65E08939" w14:textId="77777777" w:rsidR="00C22F23" w:rsidRPr="00C22F23" w:rsidRDefault="00C22F23" w:rsidP="00B806E1">
            <w:pPr>
              <w:ind w:left="109"/>
            </w:pPr>
            <w:r w:rsidRPr="00C22F23">
              <w:t>Cita informācija</w:t>
            </w:r>
          </w:p>
        </w:tc>
        <w:tc>
          <w:tcPr>
            <w:tcW w:w="6861" w:type="dxa"/>
          </w:tcPr>
          <w:p w14:paraId="71FD2DBD" w14:textId="77777777" w:rsidR="00C22F23" w:rsidRDefault="00E4473B" w:rsidP="00B806E1">
            <w:pPr>
              <w:ind w:left="128" w:right="142"/>
              <w:jc w:val="both"/>
            </w:pPr>
            <w:r>
              <w:t>Nav</w:t>
            </w:r>
          </w:p>
        </w:tc>
      </w:tr>
    </w:tbl>
    <w:p w14:paraId="72F67E70" w14:textId="77777777" w:rsidR="00E4473B" w:rsidRDefault="00E4473B"/>
    <w:p w14:paraId="32AB0E84" w14:textId="77777777" w:rsidR="00776AC7" w:rsidRPr="005705F9" w:rsidRDefault="00776AC7"/>
    <w:p w14:paraId="755D7EC7" w14:textId="5FD88931"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8C2D86">
        <w:t>Ilga Šuplinska</w:t>
      </w:r>
    </w:p>
    <w:p w14:paraId="1ED58E4F" w14:textId="77777777" w:rsidR="00585B7B" w:rsidRPr="005705F9" w:rsidRDefault="00585B7B" w:rsidP="00D96FCD"/>
    <w:p w14:paraId="708FB085" w14:textId="77777777" w:rsidR="00776AC7" w:rsidRDefault="00776AC7" w:rsidP="009A6BFC">
      <w:pPr>
        <w:tabs>
          <w:tab w:val="left" w:pos="2450"/>
        </w:tabs>
        <w:ind w:left="720"/>
        <w:rPr>
          <w:sz w:val="20"/>
          <w:szCs w:val="20"/>
        </w:rPr>
      </w:pPr>
    </w:p>
    <w:p w14:paraId="5373C917" w14:textId="77777777" w:rsidR="00776AC7" w:rsidRDefault="00776AC7" w:rsidP="009A6BFC">
      <w:pPr>
        <w:tabs>
          <w:tab w:val="left" w:pos="2450"/>
        </w:tabs>
        <w:ind w:left="720"/>
        <w:rPr>
          <w:sz w:val="20"/>
          <w:szCs w:val="20"/>
        </w:rPr>
      </w:pPr>
    </w:p>
    <w:p w14:paraId="1BF64B0E" w14:textId="77777777" w:rsidR="00776AC7" w:rsidRDefault="00776AC7" w:rsidP="009A6BFC">
      <w:pPr>
        <w:tabs>
          <w:tab w:val="left" w:pos="2450"/>
        </w:tabs>
        <w:ind w:left="720"/>
        <w:rPr>
          <w:sz w:val="20"/>
          <w:szCs w:val="20"/>
        </w:rPr>
      </w:pPr>
    </w:p>
    <w:p w14:paraId="52AA0771" w14:textId="77777777" w:rsidR="00776AC7" w:rsidRDefault="00776AC7" w:rsidP="009A6BFC">
      <w:pPr>
        <w:tabs>
          <w:tab w:val="left" w:pos="2450"/>
        </w:tabs>
        <w:ind w:left="720"/>
        <w:rPr>
          <w:sz w:val="20"/>
          <w:szCs w:val="20"/>
        </w:rPr>
      </w:pPr>
    </w:p>
    <w:p w14:paraId="5FEC4C18" w14:textId="77777777" w:rsidR="00776AC7" w:rsidRDefault="00776AC7" w:rsidP="009A6BFC">
      <w:pPr>
        <w:tabs>
          <w:tab w:val="left" w:pos="2450"/>
        </w:tabs>
        <w:ind w:left="720"/>
        <w:rPr>
          <w:sz w:val="20"/>
          <w:szCs w:val="20"/>
        </w:rPr>
      </w:pPr>
    </w:p>
    <w:p w14:paraId="073030F4" w14:textId="77777777" w:rsidR="00776AC7" w:rsidRDefault="00776AC7" w:rsidP="009A6BFC">
      <w:pPr>
        <w:tabs>
          <w:tab w:val="left" w:pos="2450"/>
        </w:tabs>
        <w:ind w:left="720"/>
        <w:rPr>
          <w:sz w:val="20"/>
          <w:szCs w:val="20"/>
        </w:rPr>
      </w:pPr>
    </w:p>
    <w:p w14:paraId="5ED2BA42" w14:textId="77777777" w:rsidR="00776AC7" w:rsidRDefault="00776AC7" w:rsidP="009A6BFC">
      <w:pPr>
        <w:tabs>
          <w:tab w:val="left" w:pos="2450"/>
        </w:tabs>
        <w:ind w:left="720"/>
        <w:rPr>
          <w:sz w:val="20"/>
          <w:szCs w:val="20"/>
        </w:rPr>
      </w:pPr>
    </w:p>
    <w:p w14:paraId="554069F7" w14:textId="77777777" w:rsidR="00776AC7" w:rsidRDefault="00776AC7" w:rsidP="009A6BFC">
      <w:pPr>
        <w:tabs>
          <w:tab w:val="left" w:pos="2450"/>
        </w:tabs>
        <w:ind w:left="720"/>
        <w:rPr>
          <w:sz w:val="20"/>
          <w:szCs w:val="20"/>
        </w:rPr>
      </w:pPr>
    </w:p>
    <w:p w14:paraId="232E0977" w14:textId="77777777" w:rsidR="00776AC7" w:rsidRDefault="00776AC7" w:rsidP="009A6BFC">
      <w:pPr>
        <w:tabs>
          <w:tab w:val="left" w:pos="2450"/>
        </w:tabs>
        <w:ind w:left="720"/>
        <w:rPr>
          <w:sz w:val="20"/>
          <w:szCs w:val="20"/>
        </w:rPr>
      </w:pPr>
    </w:p>
    <w:p w14:paraId="39F8D21C" w14:textId="77777777" w:rsidR="00573E78" w:rsidRDefault="00573E78" w:rsidP="009A6BFC">
      <w:pPr>
        <w:tabs>
          <w:tab w:val="left" w:pos="2450"/>
        </w:tabs>
        <w:ind w:left="720"/>
        <w:rPr>
          <w:sz w:val="20"/>
          <w:szCs w:val="20"/>
        </w:rPr>
      </w:pPr>
    </w:p>
    <w:p w14:paraId="52053EDA" w14:textId="77777777" w:rsidR="00CB5A93" w:rsidRDefault="00CB5A93" w:rsidP="009A6BFC">
      <w:pPr>
        <w:tabs>
          <w:tab w:val="left" w:pos="2450"/>
        </w:tabs>
        <w:ind w:left="720"/>
        <w:rPr>
          <w:sz w:val="20"/>
          <w:szCs w:val="20"/>
        </w:rPr>
      </w:pPr>
    </w:p>
    <w:p w14:paraId="2E49087D" w14:textId="77777777" w:rsidR="00CB5A93" w:rsidRDefault="00CB5A93" w:rsidP="009A6BFC">
      <w:pPr>
        <w:tabs>
          <w:tab w:val="left" w:pos="2450"/>
        </w:tabs>
        <w:ind w:left="720"/>
        <w:rPr>
          <w:sz w:val="20"/>
          <w:szCs w:val="20"/>
        </w:rPr>
      </w:pPr>
    </w:p>
    <w:p w14:paraId="42D76E57" w14:textId="77777777" w:rsidR="00CB5A93" w:rsidRDefault="00CB5A93" w:rsidP="009A6BFC">
      <w:pPr>
        <w:tabs>
          <w:tab w:val="left" w:pos="2450"/>
        </w:tabs>
        <w:ind w:left="720"/>
        <w:rPr>
          <w:sz w:val="20"/>
          <w:szCs w:val="20"/>
        </w:rPr>
      </w:pPr>
    </w:p>
    <w:p w14:paraId="0CD1FE2A" w14:textId="77777777" w:rsidR="00573E78" w:rsidRDefault="00573E78" w:rsidP="009A6BFC">
      <w:pPr>
        <w:tabs>
          <w:tab w:val="left" w:pos="2450"/>
        </w:tabs>
        <w:ind w:left="720"/>
        <w:rPr>
          <w:sz w:val="20"/>
          <w:szCs w:val="20"/>
        </w:rPr>
      </w:pPr>
    </w:p>
    <w:p w14:paraId="5DB0CBA8" w14:textId="77777777" w:rsidR="00CB5A93" w:rsidRDefault="00CB5A93" w:rsidP="009A6BFC">
      <w:pPr>
        <w:tabs>
          <w:tab w:val="left" w:pos="2450"/>
        </w:tabs>
        <w:ind w:left="720"/>
        <w:rPr>
          <w:sz w:val="20"/>
          <w:szCs w:val="20"/>
        </w:rPr>
      </w:pPr>
    </w:p>
    <w:p w14:paraId="382DE0D0" w14:textId="77777777" w:rsidR="00776AC7" w:rsidRDefault="00776AC7" w:rsidP="009A6BFC">
      <w:pPr>
        <w:tabs>
          <w:tab w:val="left" w:pos="2450"/>
        </w:tabs>
        <w:ind w:left="720"/>
        <w:rPr>
          <w:sz w:val="20"/>
          <w:szCs w:val="20"/>
        </w:rPr>
      </w:pPr>
    </w:p>
    <w:p w14:paraId="24A98FAB" w14:textId="77777777" w:rsidR="009A6BFC" w:rsidRPr="009A6BFC" w:rsidRDefault="009A6BFC" w:rsidP="009A6BFC">
      <w:pPr>
        <w:tabs>
          <w:tab w:val="left" w:pos="2450"/>
        </w:tabs>
        <w:ind w:left="720"/>
        <w:rPr>
          <w:sz w:val="20"/>
          <w:szCs w:val="20"/>
        </w:rPr>
      </w:pPr>
      <w:r w:rsidRPr="009A6BFC">
        <w:rPr>
          <w:sz w:val="20"/>
          <w:szCs w:val="20"/>
        </w:rPr>
        <w:t>Severs 67047935</w:t>
      </w:r>
    </w:p>
    <w:p w14:paraId="5CFEBF6B" w14:textId="136B3DE6" w:rsidR="009A6BFC" w:rsidRPr="00573E78" w:rsidRDefault="009A6BFC" w:rsidP="00E62EFF">
      <w:pPr>
        <w:tabs>
          <w:tab w:val="left" w:pos="2450"/>
        </w:tabs>
        <w:ind w:left="720"/>
        <w:rPr>
          <w:sz w:val="20"/>
          <w:szCs w:val="20"/>
        </w:rPr>
      </w:pPr>
      <w:r w:rsidRPr="009A6BFC">
        <w:rPr>
          <w:sz w:val="20"/>
          <w:szCs w:val="20"/>
        </w:rPr>
        <w:t>edgars.severs@izm.gov.lv</w:t>
      </w:r>
    </w:p>
    <w:sectPr w:rsidR="009A6BFC" w:rsidRPr="00573E78" w:rsidSect="00C21D70">
      <w:headerReference w:type="default" r:id="rId8"/>
      <w:footerReference w:type="default" r:id="rId9"/>
      <w:footerReference w:type="first" r:id="rId10"/>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6816F" w14:textId="77777777" w:rsidR="00872D87" w:rsidRDefault="00872D87" w:rsidP="00123E9B">
      <w:r>
        <w:separator/>
      </w:r>
    </w:p>
  </w:endnote>
  <w:endnote w:type="continuationSeparator" w:id="0">
    <w:p w14:paraId="420CC9EE" w14:textId="77777777" w:rsidR="00872D87" w:rsidRDefault="00872D87"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55ED4FE0" w:rsidR="009F6524" w:rsidRPr="000B143C" w:rsidRDefault="009F6524" w:rsidP="000B143C">
    <w:pPr>
      <w:ind w:left="-567" w:right="-568"/>
      <w:jc w:val="both"/>
      <w:rPr>
        <w:sz w:val="22"/>
        <w:szCs w:val="22"/>
      </w:rPr>
    </w:pPr>
    <w:r>
      <w:rPr>
        <w:sz w:val="22"/>
        <w:szCs w:val="22"/>
      </w:rPr>
      <w:t>IZMAnot_</w:t>
    </w:r>
    <w:r w:rsidR="00532E29">
      <w:rPr>
        <w:sz w:val="22"/>
        <w:szCs w:val="22"/>
      </w:rPr>
      <w:t>071220_sports_LNG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62ED80D3" w:rsidR="009F6524" w:rsidRPr="00532E29" w:rsidRDefault="00532E29" w:rsidP="00532E29">
    <w:pPr>
      <w:ind w:left="-567" w:right="-568"/>
      <w:jc w:val="both"/>
      <w:rPr>
        <w:sz w:val="22"/>
        <w:szCs w:val="22"/>
      </w:rPr>
    </w:pPr>
    <w:r>
      <w:rPr>
        <w:sz w:val="22"/>
        <w:szCs w:val="22"/>
      </w:rPr>
      <w:t>IZMAnot_071220_sports_LNG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F96A8" w14:textId="77777777" w:rsidR="00872D87" w:rsidRDefault="00872D87" w:rsidP="00123E9B">
      <w:r>
        <w:separator/>
      </w:r>
    </w:p>
  </w:footnote>
  <w:footnote w:type="continuationSeparator" w:id="0">
    <w:p w14:paraId="54DACD31" w14:textId="77777777" w:rsidR="00872D87" w:rsidRDefault="00872D87" w:rsidP="00123E9B">
      <w:r>
        <w:continuationSeparator/>
      </w:r>
    </w:p>
  </w:footnote>
  <w:footnote w:id="1">
    <w:p w14:paraId="7AB0BB47" w14:textId="77777777" w:rsidR="000B4435" w:rsidRDefault="000B4435" w:rsidP="000B4435">
      <w:pPr>
        <w:pStyle w:val="FootnoteText"/>
      </w:pPr>
      <w:r>
        <w:rPr>
          <w:rStyle w:val="FootnoteReference"/>
        </w:rPr>
        <w:footnoteRef/>
      </w:r>
      <w:r>
        <w:t xml:space="preserve"> Skatīt </w:t>
      </w:r>
      <w:r w:rsidRPr="009007D9">
        <w:t xml:space="preserve">Līguma par </w:t>
      </w:r>
      <w:r>
        <w:t>Eiropas Savienības darbību 107.</w:t>
      </w:r>
      <w:r w:rsidRPr="009007D9">
        <w:t>pant</w:t>
      </w:r>
      <w:r>
        <w:t>u</w:t>
      </w:r>
      <w:r w:rsidRPr="009007D9">
        <w:t xml:space="preserve"> un Komercdarbīb</w:t>
      </w:r>
      <w:r>
        <w:t>as atbalsta kontroles likuma 5.</w:t>
      </w:r>
      <w:r w:rsidRPr="009007D9">
        <w:t>pant</w:t>
      </w:r>
      <w:r>
        <w: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2114D98C" w:rsidR="009F6524" w:rsidRDefault="009F6524">
    <w:pPr>
      <w:pStyle w:val="Header"/>
      <w:jc w:val="center"/>
    </w:pPr>
    <w:r>
      <w:fldChar w:fldCharType="begin"/>
    </w:r>
    <w:r>
      <w:instrText xml:space="preserve"> PAGE   \* MERGEFORMAT </w:instrText>
    </w:r>
    <w:r>
      <w:fldChar w:fldCharType="separate"/>
    </w:r>
    <w:r w:rsidR="00D4059E">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2F473BA"/>
    <w:multiLevelType w:val="hybridMultilevel"/>
    <w:tmpl w:val="0B0662CA"/>
    <w:lvl w:ilvl="0" w:tplc="250810A0">
      <w:start w:val="1"/>
      <w:numFmt w:val="decimal"/>
      <w:lvlText w:val="(%1)"/>
      <w:lvlJc w:val="left"/>
      <w:pPr>
        <w:ind w:left="1428" w:hanging="360"/>
      </w:pPr>
      <w:rPr>
        <w:rFonts w:hint="default"/>
      </w:r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2">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0D051E67"/>
    <w:multiLevelType w:val="hybridMultilevel"/>
    <w:tmpl w:val="767C0684"/>
    <w:lvl w:ilvl="0" w:tplc="F920FD5C">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5">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6">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7">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8">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1F35791F"/>
    <w:multiLevelType w:val="hybridMultilevel"/>
    <w:tmpl w:val="45621EBA"/>
    <w:lvl w:ilvl="0" w:tplc="F7DAF35A">
      <w:start w:val="1"/>
      <w:numFmt w:val="decimal"/>
      <w:lvlText w:val="(%1)"/>
      <w:lvlJc w:val="left"/>
      <w:pPr>
        <w:ind w:left="1203" w:hanging="49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4">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nsid w:val="2F0876BC"/>
    <w:multiLevelType w:val="multilevel"/>
    <w:tmpl w:val="AACCD900"/>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nsid w:val="325A57B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1">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nsid w:val="404C65F8"/>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6">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7">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8">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4E8D4D2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2">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4">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5">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9">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2">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3">
    <w:nsid w:val="73AE2624"/>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4">
    <w:nsid w:val="75DA7C1A"/>
    <w:multiLevelType w:val="multilevel"/>
    <w:tmpl w:val="6EF05BD6"/>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7">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8">
    <w:nsid w:val="7B2B678B"/>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num w:numId="1">
    <w:abstractNumId w:val="20"/>
  </w:num>
  <w:num w:numId="2">
    <w:abstractNumId w:val="35"/>
  </w:num>
  <w:num w:numId="3">
    <w:abstractNumId w:val="34"/>
  </w:num>
  <w:num w:numId="4">
    <w:abstractNumId w:val="40"/>
  </w:num>
  <w:num w:numId="5">
    <w:abstractNumId w:val="31"/>
  </w:num>
  <w:num w:numId="6">
    <w:abstractNumId w:val="33"/>
  </w:num>
  <w:num w:numId="7">
    <w:abstractNumId w:val="7"/>
  </w:num>
  <w:num w:numId="8">
    <w:abstractNumId w:val="3"/>
  </w:num>
  <w:num w:numId="9">
    <w:abstractNumId w:val="19"/>
  </w:num>
  <w:num w:numId="10">
    <w:abstractNumId w:val="46"/>
  </w:num>
  <w:num w:numId="11">
    <w:abstractNumId w:val="38"/>
  </w:num>
  <w:num w:numId="12">
    <w:abstractNumId w:val="12"/>
  </w:num>
  <w:num w:numId="13">
    <w:abstractNumId w:val="5"/>
  </w:num>
  <w:num w:numId="14">
    <w:abstractNumId w:val="6"/>
  </w:num>
  <w:num w:numId="15">
    <w:abstractNumId w:val="37"/>
  </w:num>
  <w:num w:numId="16">
    <w:abstractNumId w:val="47"/>
  </w:num>
  <w:num w:numId="17">
    <w:abstractNumId w:val="22"/>
  </w:num>
  <w:num w:numId="18">
    <w:abstractNumId w:val="23"/>
  </w:num>
  <w:num w:numId="19">
    <w:abstractNumId w:val="21"/>
  </w:num>
  <w:num w:numId="20">
    <w:abstractNumId w:val="13"/>
  </w:num>
  <w:num w:numId="21">
    <w:abstractNumId w:val="27"/>
  </w:num>
  <w:num w:numId="22">
    <w:abstractNumId w:val="41"/>
  </w:num>
  <w:num w:numId="23">
    <w:abstractNumId w:val="26"/>
  </w:num>
  <w:num w:numId="24">
    <w:abstractNumId w:val="0"/>
  </w:num>
  <w:num w:numId="25">
    <w:abstractNumId w:val="29"/>
  </w:num>
  <w:num w:numId="26">
    <w:abstractNumId w:val="17"/>
  </w:num>
  <w:num w:numId="27">
    <w:abstractNumId w:val="36"/>
  </w:num>
  <w:num w:numId="28">
    <w:abstractNumId w:val="25"/>
  </w:num>
  <w:num w:numId="29">
    <w:abstractNumId w:val="11"/>
  </w:num>
  <w:num w:numId="30">
    <w:abstractNumId w:val="39"/>
  </w:num>
  <w:num w:numId="31">
    <w:abstractNumId w:val="10"/>
  </w:num>
  <w:num w:numId="32">
    <w:abstractNumId w:val="15"/>
  </w:num>
  <w:num w:numId="33">
    <w:abstractNumId w:val="32"/>
  </w:num>
  <w:num w:numId="34">
    <w:abstractNumId w:val="8"/>
  </w:num>
  <w:num w:numId="35">
    <w:abstractNumId w:val="42"/>
  </w:num>
  <w:num w:numId="36">
    <w:abstractNumId w:val="14"/>
  </w:num>
  <w:num w:numId="37">
    <w:abstractNumId w:val="45"/>
  </w:num>
  <w:num w:numId="38">
    <w:abstractNumId w:val="28"/>
  </w:num>
  <w:num w:numId="39">
    <w:abstractNumId w:val="2"/>
  </w:num>
  <w:num w:numId="40">
    <w:abstractNumId w:val="44"/>
  </w:num>
  <w:num w:numId="41">
    <w:abstractNumId w:val="16"/>
  </w:num>
  <w:num w:numId="42">
    <w:abstractNumId w:val="9"/>
  </w:num>
  <w:num w:numId="43">
    <w:abstractNumId w:val="18"/>
  </w:num>
  <w:num w:numId="44">
    <w:abstractNumId w:val="43"/>
  </w:num>
  <w:num w:numId="45">
    <w:abstractNumId w:val="24"/>
  </w:num>
  <w:num w:numId="46">
    <w:abstractNumId w:val="30"/>
  </w:num>
  <w:num w:numId="47">
    <w:abstractNumId w:val="48"/>
  </w:num>
  <w:num w:numId="48">
    <w:abstractNumId w:val="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BD0"/>
    <w:rsid w:val="00020664"/>
    <w:rsid w:val="000206DA"/>
    <w:rsid w:val="000216EC"/>
    <w:rsid w:val="0002179F"/>
    <w:rsid w:val="000219F0"/>
    <w:rsid w:val="00024A0F"/>
    <w:rsid w:val="000251DA"/>
    <w:rsid w:val="00027332"/>
    <w:rsid w:val="00027346"/>
    <w:rsid w:val="0003036E"/>
    <w:rsid w:val="0003044F"/>
    <w:rsid w:val="00032A0F"/>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CDE"/>
    <w:rsid w:val="00047FE8"/>
    <w:rsid w:val="000505C1"/>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3F19"/>
    <w:rsid w:val="00083F1F"/>
    <w:rsid w:val="000849C2"/>
    <w:rsid w:val="00084C38"/>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4403"/>
    <w:rsid w:val="000A671B"/>
    <w:rsid w:val="000B0834"/>
    <w:rsid w:val="000B0DC4"/>
    <w:rsid w:val="000B1367"/>
    <w:rsid w:val="000B143C"/>
    <w:rsid w:val="000B3147"/>
    <w:rsid w:val="000B32F7"/>
    <w:rsid w:val="000B3B3C"/>
    <w:rsid w:val="000B3EC8"/>
    <w:rsid w:val="000B3FF6"/>
    <w:rsid w:val="000B4435"/>
    <w:rsid w:val="000B51C9"/>
    <w:rsid w:val="000B62CA"/>
    <w:rsid w:val="000B7C76"/>
    <w:rsid w:val="000C0ABC"/>
    <w:rsid w:val="000C0BAF"/>
    <w:rsid w:val="000C136C"/>
    <w:rsid w:val="000C147C"/>
    <w:rsid w:val="000C1819"/>
    <w:rsid w:val="000C1B3D"/>
    <w:rsid w:val="000C1D23"/>
    <w:rsid w:val="000C36BE"/>
    <w:rsid w:val="000C42BB"/>
    <w:rsid w:val="000C612B"/>
    <w:rsid w:val="000C63F4"/>
    <w:rsid w:val="000D003C"/>
    <w:rsid w:val="000D00F8"/>
    <w:rsid w:val="000D0D39"/>
    <w:rsid w:val="000D3619"/>
    <w:rsid w:val="000D6486"/>
    <w:rsid w:val="000D6878"/>
    <w:rsid w:val="000D7431"/>
    <w:rsid w:val="000D76D6"/>
    <w:rsid w:val="000D7E91"/>
    <w:rsid w:val="000E058D"/>
    <w:rsid w:val="000E0815"/>
    <w:rsid w:val="000E2489"/>
    <w:rsid w:val="000E3B94"/>
    <w:rsid w:val="000E4A2A"/>
    <w:rsid w:val="000E4A57"/>
    <w:rsid w:val="000E5FDF"/>
    <w:rsid w:val="000E6027"/>
    <w:rsid w:val="000E6F6D"/>
    <w:rsid w:val="000F0FBE"/>
    <w:rsid w:val="000F1AC0"/>
    <w:rsid w:val="000F1EEC"/>
    <w:rsid w:val="000F3777"/>
    <w:rsid w:val="000F3868"/>
    <w:rsid w:val="000F3894"/>
    <w:rsid w:val="0010198A"/>
    <w:rsid w:val="00101C45"/>
    <w:rsid w:val="00102B8F"/>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24B"/>
    <w:rsid w:val="00117C7E"/>
    <w:rsid w:val="00120303"/>
    <w:rsid w:val="0012123A"/>
    <w:rsid w:val="0012127B"/>
    <w:rsid w:val="00121DF2"/>
    <w:rsid w:val="0012249E"/>
    <w:rsid w:val="00122521"/>
    <w:rsid w:val="00123E9B"/>
    <w:rsid w:val="0012448A"/>
    <w:rsid w:val="0012704D"/>
    <w:rsid w:val="0012791B"/>
    <w:rsid w:val="00131850"/>
    <w:rsid w:val="001318F8"/>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66FF"/>
    <w:rsid w:val="00147CBF"/>
    <w:rsid w:val="00147D9A"/>
    <w:rsid w:val="00150ACB"/>
    <w:rsid w:val="00150D62"/>
    <w:rsid w:val="0015243B"/>
    <w:rsid w:val="00152C87"/>
    <w:rsid w:val="00154E6C"/>
    <w:rsid w:val="00156760"/>
    <w:rsid w:val="00156CFC"/>
    <w:rsid w:val="00156E36"/>
    <w:rsid w:val="00157E69"/>
    <w:rsid w:val="00157F12"/>
    <w:rsid w:val="0016104B"/>
    <w:rsid w:val="00161261"/>
    <w:rsid w:val="0016142A"/>
    <w:rsid w:val="00162670"/>
    <w:rsid w:val="00162EB5"/>
    <w:rsid w:val="0016692F"/>
    <w:rsid w:val="00166975"/>
    <w:rsid w:val="00166CBA"/>
    <w:rsid w:val="001673FC"/>
    <w:rsid w:val="00171458"/>
    <w:rsid w:val="001718C9"/>
    <w:rsid w:val="00171B42"/>
    <w:rsid w:val="00172A25"/>
    <w:rsid w:val="0017384A"/>
    <w:rsid w:val="001740F1"/>
    <w:rsid w:val="001742B2"/>
    <w:rsid w:val="00174AEB"/>
    <w:rsid w:val="00175071"/>
    <w:rsid w:val="00176017"/>
    <w:rsid w:val="00177EB6"/>
    <w:rsid w:val="00180E6B"/>
    <w:rsid w:val="00181D00"/>
    <w:rsid w:val="001824F8"/>
    <w:rsid w:val="001828B2"/>
    <w:rsid w:val="0018329D"/>
    <w:rsid w:val="001838EC"/>
    <w:rsid w:val="00183B44"/>
    <w:rsid w:val="00184814"/>
    <w:rsid w:val="00185946"/>
    <w:rsid w:val="00186DF5"/>
    <w:rsid w:val="0018701C"/>
    <w:rsid w:val="0018757E"/>
    <w:rsid w:val="001904B3"/>
    <w:rsid w:val="00190FB4"/>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64A4"/>
    <w:rsid w:val="001C74A8"/>
    <w:rsid w:val="001C77E5"/>
    <w:rsid w:val="001D03EA"/>
    <w:rsid w:val="001D057C"/>
    <w:rsid w:val="001D0913"/>
    <w:rsid w:val="001D0B33"/>
    <w:rsid w:val="001D0F7F"/>
    <w:rsid w:val="001D17EA"/>
    <w:rsid w:val="001D1F6A"/>
    <w:rsid w:val="001D2466"/>
    <w:rsid w:val="001D2E9F"/>
    <w:rsid w:val="001D3147"/>
    <w:rsid w:val="001D4A15"/>
    <w:rsid w:val="001D789D"/>
    <w:rsid w:val="001D7C74"/>
    <w:rsid w:val="001E0BD2"/>
    <w:rsid w:val="001E2A2D"/>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558A"/>
    <w:rsid w:val="001F60F4"/>
    <w:rsid w:val="001F6B50"/>
    <w:rsid w:val="001F6BF9"/>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23B6"/>
    <w:rsid w:val="00222917"/>
    <w:rsid w:val="002239AB"/>
    <w:rsid w:val="00224E27"/>
    <w:rsid w:val="00224F0F"/>
    <w:rsid w:val="00225615"/>
    <w:rsid w:val="00225D5E"/>
    <w:rsid w:val="0022719E"/>
    <w:rsid w:val="00227D34"/>
    <w:rsid w:val="00227FE8"/>
    <w:rsid w:val="00231984"/>
    <w:rsid w:val="0023199C"/>
    <w:rsid w:val="00232B87"/>
    <w:rsid w:val="002339F0"/>
    <w:rsid w:val="00233D27"/>
    <w:rsid w:val="00233FDE"/>
    <w:rsid w:val="00235CA0"/>
    <w:rsid w:val="00237289"/>
    <w:rsid w:val="00237D13"/>
    <w:rsid w:val="00241061"/>
    <w:rsid w:val="00241396"/>
    <w:rsid w:val="00241B4D"/>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3071"/>
    <w:rsid w:val="002637C0"/>
    <w:rsid w:val="002643AF"/>
    <w:rsid w:val="00265934"/>
    <w:rsid w:val="00265F33"/>
    <w:rsid w:val="00266356"/>
    <w:rsid w:val="00267302"/>
    <w:rsid w:val="00270408"/>
    <w:rsid w:val="00270E39"/>
    <w:rsid w:val="00272248"/>
    <w:rsid w:val="00272F12"/>
    <w:rsid w:val="00273D63"/>
    <w:rsid w:val="002744DD"/>
    <w:rsid w:val="00274B5E"/>
    <w:rsid w:val="00274E8A"/>
    <w:rsid w:val="002761F4"/>
    <w:rsid w:val="00276414"/>
    <w:rsid w:val="002819CC"/>
    <w:rsid w:val="00282171"/>
    <w:rsid w:val="00283DB6"/>
    <w:rsid w:val="00283EF3"/>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3E62"/>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11A"/>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76"/>
    <w:rsid w:val="003168C2"/>
    <w:rsid w:val="00317B29"/>
    <w:rsid w:val="00317B6A"/>
    <w:rsid w:val="003202C1"/>
    <w:rsid w:val="00320A59"/>
    <w:rsid w:val="00325826"/>
    <w:rsid w:val="00325B6A"/>
    <w:rsid w:val="00325DD9"/>
    <w:rsid w:val="00326649"/>
    <w:rsid w:val="003268E2"/>
    <w:rsid w:val="00326D04"/>
    <w:rsid w:val="00326FFD"/>
    <w:rsid w:val="0032713F"/>
    <w:rsid w:val="00331B78"/>
    <w:rsid w:val="00332AD8"/>
    <w:rsid w:val="00334502"/>
    <w:rsid w:val="00335F59"/>
    <w:rsid w:val="00337562"/>
    <w:rsid w:val="00337C76"/>
    <w:rsid w:val="00341757"/>
    <w:rsid w:val="003418C3"/>
    <w:rsid w:val="003435FA"/>
    <w:rsid w:val="003445A2"/>
    <w:rsid w:val="003445AC"/>
    <w:rsid w:val="00346BE0"/>
    <w:rsid w:val="003478B4"/>
    <w:rsid w:val="00350454"/>
    <w:rsid w:val="00350D8D"/>
    <w:rsid w:val="00351AA0"/>
    <w:rsid w:val="00352F47"/>
    <w:rsid w:val="00353516"/>
    <w:rsid w:val="00353B89"/>
    <w:rsid w:val="0035445A"/>
    <w:rsid w:val="0035463A"/>
    <w:rsid w:val="00356383"/>
    <w:rsid w:val="00357A2C"/>
    <w:rsid w:val="003608F0"/>
    <w:rsid w:val="00360B68"/>
    <w:rsid w:val="003620CD"/>
    <w:rsid w:val="00363F09"/>
    <w:rsid w:val="00364714"/>
    <w:rsid w:val="00364A83"/>
    <w:rsid w:val="00367957"/>
    <w:rsid w:val="00367D44"/>
    <w:rsid w:val="003705EF"/>
    <w:rsid w:val="003710C1"/>
    <w:rsid w:val="0037170A"/>
    <w:rsid w:val="003719EC"/>
    <w:rsid w:val="0037399A"/>
    <w:rsid w:val="00374636"/>
    <w:rsid w:val="00374775"/>
    <w:rsid w:val="00376CEF"/>
    <w:rsid w:val="003770AC"/>
    <w:rsid w:val="003770FA"/>
    <w:rsid w:val="003773F8"/>
    <w:rsid w:val="00377A66"/>
    <w:rsid w:val="00377A82"/>
    <w:rsid w:val="0038163D"/>
    <w:rsid w:val="00381A75"/>
    <w:rsid w:val="00383F46"/>
    <w:rsid w:val="00385BC8"/>
    <w:rsid w:val="00386F10"/>
    <w:rsid w:val="00387612"/>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100D"/>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A48"/>
    <w:rsid w:val="00403794"/>
    <w:rsid w:val="0040398B"/>
    <w:rsid w:val="0040414A"/>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276E"/>
    <w:rsid w:val="00422D5B"/>
    <w:rsid w:val="00423736"/>
    <w:rsid w:val="00424E6F"/>
    <w:rsid w:val="0042540D"/>
    <w:rsid w:val="00425AD7"/>
    <w:rsid w:val="004260DF"/>
    <w:rsid w:val="004309AD"/>
    <w:rsid w:val="004310C7"/>
    <w:rsid w:val="004331E9"/>
    <w:rsid w:val="004342B7"/>
    <w:rsid w:val="00435609"/>
    <w:rsid w:val="00435C24"/>
    <w:rsid w:val="004418F9"/>
    <w:rsid w:val="00443C32"/>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0E"/>
    <w:rsid w:val="00463D46"/>
    <w:rsid w:val="00463FD8"/>
    <w:rsid w:val="00464CD0"/>
    <w:rsid w:val="00466E6C"/>
    <w:rsid w:val="004677E0"/>
    <w:rsid w:val="00467FEB"/>
    <w:rsid w:val="00470647"/>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389"/>
    <w:rsid w:val="004B2478"/>
    <w:rsid w:val="004B2DAB"/>
    <w:rsid w:val="004B3DE6"/>
    <w:rsid w:val="004B550F"/>
    <w:rsid w:val="004B617C"/>
    <w:rsid w:val="004B7B5D"/>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B99"/>
    <w:rsid w:val="004E3F2E"/>
    <w:rsid w:val="004E4B60"/>
    <w:rsid w:val="004E607D"/>
    <w:rsid w:val="004E7195"/>
    <w:rsid w:val="004F04A1"/>
    <w:rsid w:val="004F1194"/>
    <w:rsid w:val="004F14C5"/>
    <w:rsid w:val="004F1F61"/>
    <w:rsid w:val="004F2099"/>
    <w:rsid w:val="004F21AE"/>
    <w:rsid w:val="004F2C8A"/>
    <w:rsid w:val="004F3806"/>
    <w:rsid w:val="004F3D0D"/>
    <w:rsid w:val="004F5B5A"/>
    <w:rsid w:val="004F5EB9"/>
    <w:rsid w:val="004F788C"/>
    <w:rsid w:val="00500FE2"/>
    <w:rsid w:val="005018A2"/>
    <w:rsid w:val="00503618"/>
    <w:rsid w:val="00503DC4"/>
    <w:rsid w:val="0050407E"/>
    <w:rsid w:val="00504531"/>
    <w:rsid w:val="00504DBC"/>
    <w:rsid w:val="00504DBF"/>
    <w:rsid w:val="00505965"/>
    <w:rsid w:val="00506A1E"/>
    <w:rsid w:val="00506F79"/>
    <w:rsid w:val="0051006A"/>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2E29"/>
    <w:rsid w:val="005333E2"/>
    <w:rsid w:val="00533BE9"/>
    <w:rsid w:val="00533F94"/>
    <w:rsid w:val="005344F2"/>
    <w:rsid w:val="00534712"/>
    <w:rsid w:val="00535B15"/>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4CAC"/>
    <w:rsid w:val="00554CE1"/>
    <w:rsid w:val="00554F7F"/>
    <w:rsid w:val="00555D35"/>
    <w:rsid w:val="005562DC"/>
    <w:rsid w:val="00556301"/>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C60"/>
    <w:rsid w:val="00573E78"/>
    <w:rsid w:val="0057494E"/>
    <w:rsid w:val="0057592D"/>
    <w:rsid w:val="005764B1"/>
    <w:rsid w:val="00576BE5"/>
    <w:rsid w:val="00576D34"/>
    <w:rsid w:val="00577F4A"/>
    <w:rsid w:val="00581213"/>
    <w:rsid w:val="00581302"/>
    <w:rsid w:val="00581805"/>
    <w:rsid w:val="00582BD7"/>
    <w:rsid w:val="00583630"/>
    <w:rsid w:val="00583A0A"/>
    <w:rsid w:val="00583CF6"/>
    <w:rsid w:val="005858CD"/>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2FED"/>
    <w:rsid w:val="005A518B"/>
    <w:rsid w:val="005A627E"/>
    <w:rsid w:val="005A6DC2"/>
    <w:rsid w:val="005A7083"/>
    <w:rsid w:val="005A7608"/>
    <w:rsid w:val="005A7644"/>
    <w:rsid w:val="005A7707"/>
    <w:rsid w:val="005B1318"/>
    <w:rsid w:val="005B1E9C"/>
    <w:rsid w:val="005B2307"/>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5A0C"/>
    <w:rsid w:val="005D61EA"/>
    <w:rsid w:val="005D64B0"/>
    <w:rsid w:val="005D66E2"/>
    <w:rsid w:val="005D6B61"/>
    <w:rsid w:val="005D6B8A"/>
    <w:rsid w:val="005E05BC"/>
    <w:rsid w:val="005E145B"/>
    <w:rsid w:val="005E389B"/>
    <w:rsid w:val="005E3ACC"/>
    <w:rsid w:val="005E40D9"/>
    <w:rsid w:val="005E4159"/>
    <w:rsid w:val="005E4DF4"/>
    <w:rsid w:val="005E7880"/>
    <w:rsid w:val="005F22A7"/>
    <w:rsid w:val="005F2BCF"/>
    <w:rsid w:val="005F2C6F"/>
    <w:rsid w:val="005F3204"/>
    <w:rsid w:val="005F3AA1"/>
    <w:rsid w:val="005F58A9"/>
    <w:rsid w:val="005F6981"/>
    <w:rsid w:val="005F6A42"/>
    <w:rsid w:val="00600DCE"/>
    <w:rsid w:val="00600E72"/>
    <w:rsid w:val="0060231D"/>
    <w:rsid w:val="0060246C"/>
    <w:rsid w:val="00602697"/>
    <w:rsid w:val="00603AB8"/>
    <w:rsid w:val="00603CD4"/>
    <w:rsid w:val="00604944"/>
    <w:rsid w:val="00605A33"/>
    <w:rsid w:val="00606918"/>
    <w:rsid w:val="006107D6"/>
    <w:rsid w:val="0061090E"/>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0FAD"/>
    <w:rsid w:val="0065105A"/>
    <w:rsid w:val="00653952"/>
    <w:rsid w:val="00653B95"/>
    <w:rsid w:val="00654274"/>
    <w:rsid w:val="006555D2"/>
    <w:rsid w:val="00655D23"/>
    <w:rsid w:val="0065692E"/>
    <w:rsid w:val="006606C8"/>
    <w:rsid w:val="006617A4"/>
    <w:rsid w:val="00662C4D"/>
    <w:rsid w:val="00662F76"/>
    <w:rsid w:val="0066443C"/>
    <w:rsid w:val="00664540"/>
    <w:rsid w:val="0066504D"/>
    <w:rsid w:val="00666844"/>
    <w:rsid w:val="00666B4E"/>
    <w:rsid w:val="00666BEA"/>
    <w:rsid w:val="00667079"/>
    <w:rsid w:val="00667437"/>
    <w:rsid w:val="00670B6E"/>
    <w:rsid w:val="00671666"/>
    <w:rsid w:val="006720CC"/>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C697C"/>
    <w:rsid w:val="006D03B1"/>
    <w:rsid w:val="006D0962"/>
    <w:rsid w:val="006D4278"/>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3E8F"/>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5EB"/>
    <w:rsid w:val="00717621"/>
    <w:rsid w:val="00717D4B"/>
    <w:rsid w:val="007207FC"/>
    <w:rsid w:val="007213F1"/>
    <w:rsid w:val="00721827"/>
    <w:rsid w:val="00722668"/>
    <w:rsid w:val="00723E8D"/>
    <w:rsid w:val="007246BF"/>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D65"/>
    <w:rsid w:val="007351BE"/>
    <w:rsid w:val="00736911"/>
    <w:rsid w:val="00737AC1"/>
    <w:rsid w:val="0074024D"/>
    <w:rsid w:val="00741B85"/>
    <w:rsid w:val="007442E2"/>
    <w:rsid w:val="0074431E"/>
    <w:rsid w:val="00746067"/>
    <w:rsid w:val="0075045D"/>
    <w:rsid w:val="007509C9"/>
    <w:rsid w:val="00752F55"/>
    <w:rsid w:val="00754101"/>
    <w:rsid w:val="0075490B"/>
    <w:rsid w:val="007558B7"/>
    <w:rsid w:val="00757A53"/>
    <w:rsid w:val="00760A85"/>
    <w:rsid w:val="00760EF9"/>
    <w:rsid w:val="00761B03"/>
    <w:rsid w:val="00761F25"/>
    <w:rsid w:val="00762F8F"/>
    <w:rsid w:val="00763103"/>
    <w:rsid w:val="00763461"/>
    <w:rsid w:val="00764C35"/>
    <w:rsid w:val="0076557F"/>
    <w:rsid w:val="00765AA8"/>
    <w:rsid w:val="007667AC"/>
    <w:rsid w:val="00767815"/>
    <w:rsid w:val="00770316"/>
    <w:rsid w:val="0077133D"/>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E64"/>
    <w:rsid w:val="0079247C"/>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713"/>
    <w:rsid w:val="007C4848"/>
    <w:rsid w:val="007C49C6"/>
    <w:rsid w:val="007C5877"/>
    <w:rsid w:val="007C590D"/>
    <w:rsid w:val="007C5E55"/>
    <w:rsid w:val="007C6110"/>
    <w:rsid w:val="007C6451"/>
    <w:rsid w:val="007C65B1"/>
    <w:rsid w:val="007C7F74"/>
    <w:rsid w:val="007D00AA"/>
    <w:rsid w:val="007E0148"/>
    <w:rsid w:val="007E0D5F"/>
    <w:rsid w:val="007E1E49"/>
    <w:rsid w:val="007E2464"/>
    <w:rsid w:val="007E36FC"/>
    <w:rsid w:val="007E5095"/>
    <w:rsid w:val="007E529F"/>
    <w:rsid w:val="007E5767"/>
    <w:rsid w:val="007E6314"/>
    <w:rsid w:val="007E71C1"/>
    <w:rsid w:val="007E7F9D"/>
    <w:rsid w:val="007F0A35"/>
    <w:rsid w:val="007F12ED"/>
    <w:rsid w:val="007F1F1C"/>
    <w:rsid w:val="007F323B"/>
    <w:rsid w:val="007F3911"/>
    <w:rsid w:val="007F3F77"/>
    <w:rsid w:val="007F4741"/>
    <w:rsid w:val="007F512C"/>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3C67"/>
    <w:rsid w:val="0086571F"/>
    <w:rsid w:val="00865F4A"/>
    <w:rsid w:val="0086671A"/>
    <w:rsid w:val="00870F25"/>
    <w:rsid w:val="00870F9F"/>
    <w:rsid w:val="0087128F"/>
    <w:rsid w:val="00871CB3"/>
    <w:rsid w:val="008723BF"/>
    <w:rsid w:val="00872D87"/>
    <w:rsid w:val="008736C0"/>
    <w:rsid w:val="00873AFB"/>
    <w:rsid w:val="00873DC6"/>
    <w:rsid w:val="00873ED2"/>
    <w:rsid w:val="00874652"/>
    <w:rsid w:val="00874CD6"/>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D16"/>
    <w:rsid w:val="008A7D51"/>
    <w:rsid w:val="008B1D70"/>
    <w:rsid w:val="008B2279"/>
    <w:rsid w:val="008B27BF"/>
    <w:rsid w:val="008B3C16"/>
    <w:rsid w:val="008B50AE"/>
    <w:rsid w:val="008B53EA"/>
    <w:rsid w:val="008B55F4"/>
    <w:rsid w:val="008B78B1"/>
    <w:rsid w:val="008C06F7"/>
    <w:rsid w:val="008C2295"/>
    <w:rsid w:val="008C28CD"/>
    <w:rsid w:val="008C2D86"/>
    <w:rsid w:val="008C5599"/>
    <w:rsid w:val="008C68D2"/>
    <w:rsid w:val="008C716F"/>
    <w:rsid w:val="008D0D98"/>
    <w:rsid w:val="008D192C"/>
    <w:rsid w:val="008D1C7C"/>
    <w:rsid w:val="008D28DE"/>
    <w:rsid w:val="008D2C97"/>
    <w:rsid w:val="008D4A23"/>
    <w:rsid w:val="008D563E"/>
    <w:rsid w:val="008D63FB"/>
    <w:rsid w:val="008D645D"/>
    <w:rsid w:val="008D72E6"/>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E6979"/>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855"/>
    <w:rsid w:val="00907E6F"/>
    <w:rsid w:val="00910FB5"/>
    <w:rsid w:val="0091172F"/>
    <w:rsid w:val="00911DC2"/>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2D65"/>
    <w:rsid w:val="00933A79"/>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F4"/>
    <w:rsid w:val="009736EB"/>
    <w:rsid w:val="009754A7"/>
    <w:rsid w:val="0097689E"/>
    <w:rsid w:val="00976CDB"/>
    <w:rsid w:val="00977F8A"/>
    <w:rsid w:val="00980006"/>
    <w:rsid w:val="009848C9"/>
    <w:rsid w:val="009849CF"/>
    <w:rsid w:val="009879C2"/>
    <w:rsid w:val="00987B0B"/>
    <w:rsid w:val="00987CF4"/>
    <w:rsid w:val="00990076"/>
    <w:rsid w:val="00991790"/>
    <w:rsid w:val="00991845"/>
    <w:rsid w:val="00992558"/>
    <w:rsid w:val="0099370A"/>
    <w:rsid w:val="009950B3"/>
    <w:rsid w:val="00995D97"/>
    <w:rsid w:val="00996AEB"/>
    <w:rsid w:val="009A41A2"/>
    <w:rsid w:val="009A6BFC"/>
    <w:rsid w:val="009A7960"/>
    <w:rsid w:val="009B09FE"/>
    <w:rsid w:val="009B1913"/>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24"/>
    <w:rsid w:val="009F65C9"/>
    <w:rsid w:val="009F6AC7"/>
    <w:rsid w:val="00A007D0"/>
    <w:rsid w:val="00A01AD1"/>
    <w:rsid w:val="00A02593"/>
    <w:rsid w:val="00A03798"/>
    <w:rsid w:val="00A0606B"/>
    <w:rsid w:val="00A07D34"/>
    <w:rsid w:val="00A10BB0"/>
    <w:rsid w:val="00A1231E"/>
    <w:rsid w:val="00A13034"/>
    <w:rsid w:val="00A13132"/>
    <w:rsid w:val="00A1339D"/>
    <w:rsid w:val="00A13445"/>
    <w:rsid w:val="00A13C5F"/>
    <w:rsid w:val="00A13CB9"/>
    <w:rsid w:val="00A15252"/>
    <w:rsid w:val="00A15B3C"/>
    <w:rsid w:val="00A16C78"/>
    <w:rsid w:val="00A16F67"/>
    <w:rsid w:val="00A17D77"/>
    <w:rsid w:val="00A2036F"/>
    <w:rsid w:val="00A208FB"/>
    <w:rsid w:val="00A21DDA"/>
    <w:rsid w:val="00A22550"/>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5D44"/>
    <w:rsid w:val="00A46C40"/>
    <w:rsid w:val="00A47C5F"/>
    <w:rsid w:val="00A511FF"/>
    <w:rsid w:val="00A51E4D"/>
    <w:rsid w:val="00A51F07"/>
    <w:rsid w:val="00A524B8"/>
    <w:rsid w:val="00A532EE"/>
    <w:rsid w:val="00A5402D"/>
    <w:rsid w:val="00A55DFD"/>
    <w:rsid w:val="00A562C5"/>
    <w:rsid w:val="00A5709C"/>
    <w:rsid w:val="00A57753"/>
    <w:rsid w:val="00A62569"/>
    <w:rsid w:val="00A62C57"/>
    <w:rsid w:val="00A631A3"/>
    <w:rsid w:val="00A63CA5"/>
    <w:rsid w:val="00A64217"/>
    <w:rsid w:val="00A65993"/>
    <w:rsid w:val="00A660A8"/>
    <w:rsid w:val="00A6630D"/>
    <w:rsid w:val="00A67C41"/>
    <w:rsid w:val="00A7205F"/>
    <w:rsid w:val="00A720FA"/>
    <w:rsid w:val="00A721D8"/>
    <w:rsid w:val="00A7341A"/>
    <w:rsid w:val="00A739AB"/>
    <w:rsid w:val="00A73A9C"/>
    <w:rsid w:val="00A73C69"/>
    <w:rsid w:val="00A75CB7"/>
    <w:rsid w:val="00A75FB6"/>
    <w:rsid w:val="00A80C19"/>
    <w:rsid w:val="00A81A75"/>
    <w:rsid w:val="00A820BD"/>
    <w:rsid w:val="00A826C2"/>
    <w:rsid w:val="00A83695"/>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54"/>
    <w:rsid w:val="00AA2CC8"/>
    <w:rsid w:val="00AA314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2A7F"/>
    <w:rsid w:val="00AC4230"/>
    <w:rsid w:val="00AC557B"/>
    <w:rsid w:val="00AC5F81"/>
    <w:rsid w:val="00AC60AC"/>
    <w:rsid w:val="00AC624B"/>
    <w:rsid w:val="00AC7A31"/>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69B5"/>
    <w:rsid w:val="00AF0996"/>
    <w:rsid w:val="00AF31BD"/>
    <w:rsid w:val="00AF3580"/>
    <w:rsid w:val="00AF3FB7"/>
    <w:rsid w:val="00AF54E9"/>
    <w:rsid w:val="00AF55F2"/>
    <w:rsid w:val="00AF657A"/>
    <w:rsid w:val="00AF76C1"/>
    <w:rsid w:val="00B002F8"/>
    <w:rsid w:val="00B0087D"/>
    <w:rsid w:val="00B010A9"/>
    <w:rsid w:val="00B030C7"/>
    <w:rsid w:val="00B039A9"/>
    <w:rsid w:val="00B0417C"/>
    <w:rsid w:val="00B0437E"/>
    <w:rsid w:val="00B0535C"/>
    <w:rsid w:val="00B05BC4"/>
    <w:rsid w:val="00B05D37"/>
    <w:rsid w:val="00B06326"/>
    <w:rsid w:val="00B072F4"/>
    <w:rsid w:val="00B106F1"/>
    <w:rsid w:val="00B109B1"/>
    <w:rsid w:val="00B10B0B"/>
    <w:rsid w:val="00B1173B"/>
    <w:rsid w:val="00B11C81"/>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40C78"/>
    <w:rsid w:val="00B411EC"/>
    <w:rsid w:val="00B4131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11D8"/>
    <w:rsid w:val="00B91715"/>
    <w:rsid w:val="00B92C2B"/>
    <w:rsid w:val="00B92E1A"/>
    <w:rsid w:val="00B93654"/>
    <w:rsid w:val="00B93D23"/>
    <w:rsid w:val="00B948E8"/>
    <w:rsid w:val="00B94951"/>
    <w:rsid w:val="00B95D33"/>
    <w:rsid w:val="00B95DB0"/>
    <w:rsid w:val="00B96B6E"/>
    <w:rsid w:val="00B96CA3"/>
    <w:rsid w:val="00B97591"/>
    <w:rsid w:val="00B97B6E"/>
    <w:rsid w:val="00BA006C"/>
    <w:rsid w:val="00BA20B0"/>
    <w:rsid w:val="00BA3159"/>
    <w:rsid w:val="00BA372F"/>
    <w:rsid w:val="00BA4E67"/>
    <w:rsid w:val="00BA5CA2"/>
    <w:rsid w:val="00BA6156"/>
    <w:rsid w:val="00BA6305"/>
    <w:rsid w:val="00BA66FC"/>
    <w:rsid w:val="00BA7180"/>
    <w:rsid w:val="00BA7940"/>
    <w:rsid w:val="00BB302C"/>
    <w:rsid w:val="00BB3C51"/>
    <w:rsid w:val="00BB447B"/>
    <w:rsid w:val="00BC0368"/>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3E66"/>
    <w:rsid w:val="00BD3F90"/>
    <w:rsid w:val="00BD41A8"/>
    <w:rsid w:val="00BD4A5C"/>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6EA9"/>
    <w:rsid w:val="00BE70E1"/>
    <w:rsid w:val="00BE7F64"/>
    <w:rsid w:val="00BF0939"/>
    <w:rsid w:val="00BF0A25"/>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0F5"/>
    <w:rsid w:val="00C13B05"/>
    <w:rsid w:val="00C1447B"/>
    <w:rsid w:val="00C16166"/>
    <w:rsid w:val="00C17CB6"/>
    <w:rsid w:val="00C20F7F"/>
    <w:rsid w:val="00C217A1"/>
    <w:rsid w:val="00C21D70"/>
    <w:rsid w:val="00C221FB"/>
    <w:rsid w:val="00C22F23"/>
    <w:rsid w:val="00C23CCC"/>
    <w:rsid w:val="00C24859"/>
    <w:rsid w:val="00C25CDA"/>
    <w:rsid w:val="00C27E98"/>
    <w:rsid w:val="00C301CF"/>
    <w:rsid w:val="00C303A5"/>
    <w:rsid w:val="00C309F0"/>
    <w:rsid w:val="00C30CED"/>
    <w:rsid w:val="00C31183"/>
    <w:rsid w:val="00C31690"/>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B3D"/>
    <w:rsid w:val="00C505D2"/>
    <w:rsid w:val="00C5264C"/>
    <w:rsid w:val="00C533B5"/>
    <w:rsid w:val="00C53695"/>
    <w:rsid w:val="00C54FEB"/>
    <w:rsid w:val="00C55762"/>
    <w:rsid w:val="00C562FD"/>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AF3"/>
    <w:rsid w:val="00C8314D"/>
    <w:rsid w:val="00C84C2B"/>
    <w:rsid w:val="00C85CD7"/>
    <w:rsid w:val="00C85EE2"/>
    <w:rsid w:val="00C86150"/>
    <w:rsid w:val="00C870F2"/>
    <w:rsid w:val="00C879A4"/>
    <w:rsid w:val="00C87AEC"/>
    <w:rsid w:val="00C92FD7"/>
    <w:rsid w:val="00C93F04"/>
    <w:rsid w:val="00C94CAC"/>
    <w:rsid w:val="00C9721C"/>
    <w:rsid w:val="00C979E0"/>
    <w:rsid w:val="00CA06C1"/>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A93"/>
    <w:rsid w:val="00CB5F57"/>
    <w:rsid w:val="00CB6605"/>
    <w:rsid w:val="00CB7A72"/>
    <w:rsid w:val="00CB7DFB"/>
    <w:rsid w:val="00CC06AB"/>
    <w:rsid w:val="00CC0D14"/>
    <w:rsid w:val="00CC1D18"/>
    <w:rsid w:val="00CC39F0"/>
    <w:rsid w:val="00CC3E80"/>
    <w:rsid w:val="00CC49D6"/>
    <w:rsid w:val="00CC4CFE"/>
    <w:rsid w:val="00CC5FD9"/>
    <w:rsid w:val="00CC68B2"/>
    <w:rsid w:val="00CC7F63"/>
    <w:rsid w:val="00CD224A"/>
    <w:rsid w:val="00CD2D84"/>
    <w:rsid w:val="00CD39F8"/>
    <w:rsid w:val="00CD5672"/>
    <w:rsid w:val="00CD6134"/>
    <w:rsid w:val="00CD6622"/>
    <w:rsid w:val="00CD6B68"/>
    <w:rsid w:val="00CD7C93"/>
    <w:rsid w:val="00CE01D7"/>
    <w:rsid w:val="00CE0B01"/>
    <w:rsid w:val="00CE0CD5"/>
    <w:rsid w:val="00CE133F"/>
    <w:rsid w:val="00CE2B81"/>
    <w:rsid w:val="00CE4DD4"/>
    <w:rsid w:val="00CE4F40"/>
    <w:rsid w:val="00CE5941"/>
    <w:rsid w:val="00CE7BB7"/>
    <w:rsid w:val="00CF04D1"/>
    <w:rsid w:val="00CF16AE"/>
    <w:rsid w:val="00CF1A1B"/>
    <w:rsid w:val="00CF3ED9"/>
    <w:rsid w:val="00CF4589"/>
    <w:rsid w:val="00CF465D"/>
    <w:rsid w:val="00CF5DF2"/>
    <w:rsid w:val="00CF60BA"/>
    <w:rsid w:val="00CF694A"/>
    <w:rsid w:val="00CF6E4E"/>
    <w:rsid w:val="00CF7601"/>
    <w:rsid w:val="00CF7C34"/>
    <w:rsid w:val="00D013B9"/>
    <w:rsid w:val="00D01A8E"/>
    <w:rsid w:val="00D01B3C"/>
    <w:rsid w:val="00D01D22"/>
    <w:rsid w:val="00D03946"/>
    <w:rsid w:val="00D03E58"/>
    <w:rsid w:val="00D048D2"/>
    <w:rsid w:val="00D0513F"/>
    <w:rsid w:val="00D06790"/>
    <w:rsid w:val="00D070E0"/>
    <w:rsid w:val="00D10407"/>
    <w:rsid w:val="00D12A34"/>
    <w:rsid w:val="00D142B6"/>
    <w:rsid w:val="00D152FB"/>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59E"/>
    <w:rsid w:val="00D4125D"/>
    <w:rsid w:val="00D43C39"/>
    <w:rsid w:val="00D442BA"/>
    <w:rsid w:val="00D45ADA"/>
    <w:rsid w:val="00D47F6F"/>
    <w:rsid w:val="00D5015E"/>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7C7"/>
    <w:rsid w:val="00D658DA"/>
    <w:rsid w:val="00D66044"/>
    <w:rsid w:val="00D66BC1"/>
    <w:rsid w:val="00D67A62"/>
    <w:rsid w:val="00D7067D"/>
    <w:rsid w:val="00D711A6"/>
    <w:rsid w:val="00D714BA"/>
    <w:rsid w:val="00D7505B"/>
    <w:rsid w:val="00D75260"/>
    <w:rsid w:val="00D75B70"/>
    <w:rsid w:val="00D761BC"/>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B003F"/>
    <w:rsid w:val="00DB16B2"/>
    <w:rsid w:val="00DB1F95"/>
    <w:rsid w:val="00DB21C4"/>
    <w:rsid w:val="00DB272C"/>
    <w:rsid w:val="00DB2BB1"/>
    <w:rsid w:val="00DB6BB3"/>
    <w:rsid w:val="00DB6D8A"/>
    <w:rsid w:val="00DB7AA7"/>
    <w:rsid w:val="00DC03E0"/>
    <w:rsid w:val="00DC11F3"/>
    <w:rsid w:val="00DC1C3E"/>
    <w:rsid w:val="00DC332F"/>
    <w:rsid w:val="00DC384C"/>
    <w:rsid w:val="00DC43E8"/>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E000FD"/>
    <w:rsid w:val="00E02B9E"/>
    <w:rsid w:val="00E03E05"/>
    <w:rsid w:val="00E0777F"/>
    <w:rsid w:val="00E10E2E"/>
    <w:rsid w:val="00E10EA9"/>
    <w:rsid w:val="00E110EE"/>
    <w:rsid w:val="00E1136E"/>
    <w:rsid w:val="00E1182B"/>
    <w:rsid w:val="00E11A22"/>
    <w:rsid w:val="00E14286"/>
    <w:rsid w:val="00E167E0"/>
    <w:rsid w:val="00E16A35"/>
    <w:rsid w:val="00E16D38"/>
    <w:rsid w:val="00E20CCE"/>
    <w:rsid w:val="00E216EA"/>
    <w:rsid w:val="00E21B4B"/>
    <w:rsid w:val="00E22365"/>
    <w:rsid w:val="00E229E6"/>
    <w:rsid w:val="00E244D0"/>
    <w:rsid w:val="00E251D1"/>
    <w:rsid w:val="00E25793"/>
    <w:rsid w:val="00E26BAB"/>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0E9F"/>
    <w:rsid w:val="00E51029"/>
    <w:rsid w:val="00E512C7"/>
    <w:rsid w:val="00E52399"/>
    <w:rsid w:val="00E52955"/>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1BB0"/>
    <w:rsid w:val="00E625CE"/>
    <w:rsid w:val="00E62EFF"/>
    <w:rsid w:val="00E63ADF"/>
    <w:rsid w:val="00E64579"/>
    <w:rsid w:val="00E64BB6"/>
    <w:rsid w:val="00E65245"/>
    <w:rsid w:val="00E65992"/>
    <w:rsid w:val="00E66017"/>
    <w:rsid w:val="00E71979"/>
    <w:rsid w:val="00E72113"/>
    <w:rsid w:val="00E724B9"/>
    <w:rsid w:val="00E73AE3"/>
    <w:rsid w:val="00E754E7"/>
    <w:rsid w:val="00E75C2F"/>
    <w:rsid w:val="00E80CDD"/>
    <w:rsid w:val="00E80F7A"/>
    <w:rsid w:val="00E81CA7"/>
    <w:rsid w:val="00E82C1D"/>
    <w:rsid w:val="00E82EFE"/>
    <w:rsid w:val="00E83297"/>
    <w:rsid w:val="00E83DCC"/>
    <w:rsid w:val="00E8432F"/>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CC3"/>
    <w:rsid w:val="00EC37B3"/>
    <w:rsid w:val="00EC44B4"/>
    <w:rsid w:val="00EC5826"/>
    <w:rsid w:val="00EC5AE4"/>
    <w:rsid w:val="00EC6941"/>
    <w:rsid w:val="00EC7BBC"/>
    <w:rsid w:val="00ED01CB"/>
    <w:rsid w:val="00ED1710"/>
    <w:rsid w:val="00ED196E"/>
    <w:rsid w:val="00ED29EB"/>
    <w:rsid w:val="00ED6681"/>
    <w:rsid w:val="00ED6E3A"/>
    <w:rsid w:val="00EE0F72"/>
    <w:rsid w:val="00EE21E4"/>
    <w:rsid w:val="00EE3881"/>
    <w:rsid w:val="00EE3C77"/>
    <w:rsid w:val="00EE4748"/>
    <w:rsid w:val="00EE47BE"/>
    <w:rsid w:val="00EE4FC1"/>
    <w:rsid w:val="00EE550E"/>
    <w:rsid w:val="00EE676B"/>
    <w:rsid w:val="00EE681B"/>
    <w:rsid w:val="00EE7D3E"/>
    <w:rsid w:val="00EF135A"/>
    <w:rsid w:val="00EF4498"/>
    <w:rsid w:val="00EF48F6"/>
    <w:rsid w:val="00EF5381"/>
    <w:rsid w:val="00EF58DD"/>
    <w:rsid w:val="00F00F9F"/>
    <w:rsid w:val="00F01660"/>
    <w:rsid w:val="00F03A50"/>
    <w:rsid w:val="00F04465"/>
    <w:rsid w:val="00F05C65"/>
    <w:rsid w:val="00F06077"/>
    <w:rsid w:val="00F06483"/>
    <w:rsid w:val="00F06528"/>
    <w:rsid w:val="00F0730F"/>
    <w:rsid w:val="00F07AC1"/>
    <w:rsid w:val="00F106E0"/>
    <w:rsid w:val="00F1205C"/>
    <w:rsid w:val="00F13091"/>
    <w:rsid w:val="00F13592"/>
    <w:rsid w:val="00F13B24"/>
    <w:rsid w:val="00F157DF"/>
    <w:rsid w:val="00F15CBA"/>
    <w:rsid w:val="00F1637D"/>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70A6B"/>
    <w:rsid w:val="00F71637"/>
    <w:rsid w:val="00F71E34"/>
    <w:rsid w:val="00F72CE7"/>
    <w:rsid w:val="00F73E58"/>
    <w:rsid w:val="00F755C7"/>
    <w:rsid w:val="00F75B4C"/>
    <w:rsid w:val="00F805D4"/>
    <w:rsid w:val="00F80CBA"/>
    <w:rsid w:val="00F81A9F"/>
    <w:rsid w:val="00F82221"/>
    <w:rsid w:val="00F83581"/>
    <w:rsid w:val="00F8549E"/>
    <w:rsid w:val="00F85AF0"/>
    <w:rsid w:val="00F85BE4"/>
    <w:rsid w:val="00F862B1"/>
    <w:rsid w:val="00F8643F"/>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380B"/>
    <w:rsid w:val="00FC6855"/>
    <w:rsid w:val="00FC6911"/>
    <w:rsid w:val="00FC6950"/>
    <w:rsid w:val="00FC73D9"/>
    <w:rsid w:val="00FC7A5E"/>
    <w:rsid w:val="00FD1F87"/>
    <w:rsid w:val="00FD35D0"/>
    <w:rsid w:val="00FD681B"/>
    <w:rsid w:val="00FD7331"/>
    <w:rsid w:val="00FD7FF0"/>
    <w:rsid w:val="00FE0E03"/>
    <w:rsid w:val="00FE3414"/>
    <w:rsid w:val="00FE3673"/>
    <w:rsid w:val="00FE5919"/>
    <w:rsid w:val="00FF049C"/>
    <w:rsid w:val="00FF166D"/>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73732-AA58-48C5-A7EC-981E92ED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15452</Words>
  <Characters>8808</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24212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
  <cp:lastModifiedBy>Edgars Severs</cp:lastModifiedBy>
  <cp:revision>7</cp:revision>
  <cp:lastPrinted>2018-03-22T14:28:00Z</cp:lastPrinted>
  <dcterms:created xsi:type="dcterms:W3CDTF">2020-12-06T09:59:00Z</dcterms:created>
  <dcterms:modified xsi:type="dcterms:W3CDTF">2020-12-07T07:07:00Z</dcterms:modified>
</cp:coreProperties>
</file>