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E73F5" w14:textId="77777777" w:rsidR="000375C6" w:rsidRDefault="000375C6" w:rsidP="00667AB2">
      <w:pPr>
        <w:jc w:val="center"/>
        <w:rPr>
          <w:b/>
        </w:rPr>
      </w:pPr>
      <w:bookmarkStart w:id="0" w:name="_Hlk514660510"/>
    </w:p>
    <w:p w14:paraId="4573488F" w14:textId="77777777" w:rsidR="00667AB2" w:rsidRPr="00E55B63" w:rsidRDefault="00667AB2" w:rsidP="00667AB2">
      <w:pPr>
        <w:jc w:val="center"/>
        <w:rPr>
          <w:b/>
        </w:rPr>
      </w:pPr>
      <w:r w:rsidRPr="00E55B63">
        <w:rPr>
          <w:b/>
        </w:rPr>
        <w:t>Ministru kabineta noteikumu projekta “Grozījumi Ministru kabineta 2019. gada 19.</w:t>
      </w:r>
      <w:r>
        <w:rPr>
          <w:b/>
        </w:rPr>
        <w:t> </w:t>
      </w:r>
      <w:r w:rsidRPr="00E55B63">
        <w:rPr>
          <w:b/>
        </w:rPr>
        <w:t>novembra noteikumos Nr. 537 “Eiropas Ekonomikas zonas finanšu instrumenta un Norvēģijas finanšu instrumenta 2014.–2021. gada perioda programmas “Pētniecība un izglītība” aktivitātes “Inovācijas centri” īstenošanas noteikumi””</w:t>
      </w:r>
    </w:p>
    <w:p w14:paraId="72B36585" w14:textId="77777777" w:rsidR="00667AB2" w:rsidRPr="00E55B63" w:rsidRDefault="00667AB2" w:rsidP="00667AB2">
      <w:pPr>
        <w:jc w:val="center"/>
        <w:outlineLvl w:val="2"/>
        <w:rPr>
          <w:b/>
          <w:bCs/>
          <w:lang w:eastAsia="zh-CN"/>
        </w:rPr>
      </w:pPr>
      <w:r w:rsidRPr="00E55B63">
        <w:rPr>
          <w:b/>
          <w:bCs/>
          <w:lang w:eastAsia="zh-CN"/>
        </w:rPr>
        <w:t>sākotnējās ietekmes novērtējuma ziņojums (anotācija)</w:t>
      </w:r>
    </w:p>
    <w:p w14:paraId="674A9BC5" w14:textId="77777777" w:rsidR="00667AB2" w:rsidRDefault="00667AB2" w:rsidP="00667AB2">
      <w:pPr>
        <w:ind w:right="-46"/>
        <w:rPr>
          <w:sz w:val="28"/>
          <w:szCs w:val="28"/>
        </w:rPr>
      </w:pPr>
    </w:p>
    <w:p w14:paraId="3446C988" w14:textId="77777777" w:rsidR="00667AB2" w:rsidRPr="00E55B63" w:rsidRDefault="00667AB2" w:rsidP="00667AB2">
      <w:pPr>
        <w:jc w:val="center"/>
        <w:outlineLvl w:val="2"/>
        <w:rPr>
          <w:b/>
          <w:bCs/>
          <w:lang w:eastAsia="zh-CN"/>
        </w:rPr>
      </w:pPr>
    </w:p>
    <w:tbl>
      <w:tblPr>
        <w:tblW w:w="5125"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81"/>
        <w:gridCol w:w="1933"/>
        <w:gridCol w:w="6974"/>
      </w:tblGrid>
      <w:tr w:rsidR="00667AB2" w:rsidRPr="00E55B63" w14:paraId="274000F4" w14:textId="77777777" w:rsidTr="00B716F3">
        <w:trPr>
          <w:cantSplit/>
        </w:trPr>
        <w:tc>
          <w:tcPr>
            <w:tcW w:w="9356" w:type="dxa"/>
            <w:gridSpan w:val="3"/>
            <w:shd w:val="clear" w:color="auto" w:fill="FFFFFF"/>
            <w:vAlign w:val="center"/>
            <w:hideMark/>
          </w:tcPr>
          <w:p w14:paraId="1AAE2EA4" w14:textId="77777777" w:rsidR="00667AB2" w:rsidRPr="00E55B63" w:rsidRDefault="00667AB2" w:rsidP="00B716F3">
            <w:pPr>
              <w:ind w:right="140"/>
              <w:jc w:val="center"/>
              <w:rPr>
                <w:b/>
                <w:iCs/>
                <w:lang w:eastAsia="en-US"/>
              </w:rPr>
            </w:pPr>
            <w:r w:rsidRPr="00E55B63">
              <w:rPr>
                <w:b/>
                <w:iCs/>
                <w:lang w:eastAsia="en-US"/>
              </w:rPr>
              <w:t>Tiesību akta projekta anotācijas kopsavilkums</w:t>
            </w:r>
          </w:p>
        </w:tc>
      </w:tr>
      <w:tr w:rsidR="00667AB2" w:rsidRPr="00E55B63" w14:paraId="73B91A2C" w14:textId="77777777" w:rsidTr="00B716F3">
        <w:trPr>
          <w:cantSplit/>
          <w:trHeight w:val="1068"/>
        </w:trPr>
        <w:tc>
          <w:tcPr>
            <w:tcW w:w="2314" w:type="dxa"/>
            <w:gridSpan w:val="2"/>
            <w:shd w:val="clear" w:color="auto" w:fill="FFFFFF"/>
            <w:hideMark/>
          </w:tcPr>
          <w:p w14:paraId="5D714D08" w14:textId="77777777" w:rsidR="00667AB2" w:rsidRPr="00E55B63" w:rsidRDefault="00667AB2" w:rsidP="00B716F3">
            <w:pPr>
              <w:ind w:right="140"/>
              <w:rPr>
                <w:iCs/>
                <w:lang w:eastAsia="en-US"/>
              </w:rPr>
            </w:pPr>
            <w:r w:rsidRPr="00E55B63">
              <w:rPr>
                <w:iCs/>
                <w:lang w:eastAsia="en-US"/>
              </w:rPr>
              <w:t>Mērķis, risinājums un projekta spēkā stāšanās laiks (500 zīmes bez atstarpēm)</w:t>
            </w:r>
          </w:p>
        </w:tc>
        <w:tc>
          <w:tcPr>
            <w:tcW w:w="7042" w:type="dxa"/>
            <w:shd w:val="clear" w:color="auto" w:fill="FFFFFF"/>
            <w:hideMark/>
          </w:tcPr>
          <w:p w14:paraId="5EA5152E" w14:textId="77777777" w:rsidR="00667AB2" w:rsidRPr="007719EA" w:rsidRDefault="00667AB2" w:rsidP="00B716F3">
            <w:pPr>
              <w:ind w:right="140"/>
              <w:jc w:val="both"/>
              <w:rPr>
                <w:lang w:eastAsia="en-US"/>
              </w:rPr>
            </w:pPr>
            <w:r w:rsidRPr="007719EA">
              <w:rPr>
                <w:lang w:eastAsia="en-US"/>
              </w:rPr>
              <w:t>Mērķis: noteikt Eiropas Ekonomikas zonas finanšu instrumenta un Norvēģijas finanšu instrumenta 2014.–2021.</w:t>
            </w:r>
            <w:r w:rsidRPr="00601D11">
              <w:rPr>
                <w:lang w:eastAsia="en-US"/>
              </w:rPr>
              <w:t xml:space="preserve"> gada perioda programmas </w:t>
            </w:r>
            <w:r w:rsidRPr="003A6BEF">
              <w:rPr>
                <w:lang w:eastAsia="en-US"/>
              </w:rPr>
              <w:t xml:space="preserve">“Pētniecība un izglītība” aktivitātes “Inovācijas centri” ietvaros iepriekš noteikto projektu īstenošanas nosacījumus attiecībā uz netiešo izmaksu vienotās likmes piemērošanu un </w:t>
            </w:r>
            <w:r w:rsidRPr="007719EA">
              <w:rPr>
                <w:lang w:eastAsia="en-US"/>
              </w:rPr>
              <w:t>komercdarbības atbalstu projekta aktivitātēm.</w:t>
            </w:r>
          </w:p>
          <w:p w14:paraId="7E2A676A" w14:textId="77777777" w:rsidR="00667AB2" w:rsidRPr="007719EA" w:rsidRDefault="00667AB2" w:rsidP="00B716F3">
            <w:pPr>
              <w:ind w:right="140"/>
              <w:jc w:val="both"/>
              <w:rPr>
                <w:lang w:eastAsia="en-US"/>
              </w:rPr>
            </w:pPr>
            <w:r w:rsidRPr="007719EA">
              <w:rPr>
                <w:lang w:eastAsia="en-US"/>
              </w:rPr>
              <w:t xml:space="preserve">Risinājums: </w:t>
            </w:r>
            <w:r w:rsidRPr="007719EA">
              <w:t xml:space="preserve">netiešo izmaksu vienotās likmes piemērošana projektu īstenotājiem un sekas, ja </w:t>
            </w:r>
            <w:r w:rsidRPr="007719EA">
              <w:rPr>
                <w:lang w:eastAsia="en-US"/>
              </w:rPr>
              <w:t>piešķirtais atbalsts tiks kvalificēts kā komercdarbības atbalsts.</w:t>
            </w:r>
          </w:p>
          <w:p w14:paraId="3BCE4851" w14:textId="77777777" w:rsidR="00667AB2" w:rsidRPr="00E55B63" w:rsidRDefault="00667AB2" w:rsidP="00B716F3">
            <w:pPr>
              <w:ind w:right="140"/>
              <w:jc w:val="both"/>
              <w:rPr>
                <w:lang w:eastAsia="en-US"/>
              </w:rPr>
            </w:pPr>
            <w:r w:rsidRPr="007719EA">
              <w:rPr>
                <w:lang w:eastAsia="en-US"/>
              </w:rPr>
              <w:t>Noteikumu projekts stāsies spēkā Oficiālo publikāciju un tiesiskās informācijas likumā noteiktajā kārtībā.</w:t>
            </w:r>
          </w:p>
        </w:tc>
      </w:tr>
      <w:tr w:rsidR="00667AB2" w:rsidRPr="00E55B63" w14:paraId="43BCCB99" w14:textId="77777777" w:rsidTr="00B716F3">
        <w:tblPrEx>
          <w:shd w:val="clear" w:color="auto" w:fill="auto"/>
          <w:tblCellMar>
            <w:top w:w="30" w:type="dxa"/>
            <w:left w:w="30" w:type="dxa"/>
            <w:bottom w:w="30" w:type="dxa"/>
            <w:right w:w="30" w:type="dxa"/>
          </w:tblCellMar>
        </w:tblPrEx>
        <w:trPr>
          <w:cantSplit/>
        </w:trPr>
        <w:tc>
          <w:tcPr>
            <w:tcW w:w="9356" w:type="dxa"/>
            <w:gridSpan w:val="3"/>
            <w:vAlign w:val="center"/>
            <w:hideMark/>
          </w:tcPr>
          <w:p w14:paraId="1F2E0684" w14:textId="77777777" w:rsidR="00667AB2" w:rsidRPr="00E55B63" w:rsidRDefault="00667AB2" w:rsidP="00B716F3">
            <w:pPr>
              <w:ind w:right="140"/>
              <w:jc w:val="center"/>
            </w:pPr>
            <w:r w:rsidRPr="00E55B63">
              <w:rPr>
                <w:b/>
                <w:bCs/>
              </w:rPr>
              <w:t>I. Tiesību akta projekta izstrādes nepieciešamība</w:t>
            </w:r>
          </w:p>
        </w:tc>
      </w:tr>
      <w:tr w:rsidR="00667AB2" w:rsidRPr="00E55B63" w14:paraId="555D766A" w14:textId="77777777" w:rsidTr="00B716F3">
        <w:tblPrEx>
          <w:shd w:val="clear" w:color="auto" w:fill="auto"/>
          <w:tblCellMar>
            <w:top w:w="30" w:type="dxa"/>
            <w:left w:w="30" w:type="dxa"/>
            <w:bottom w:w="30" w:type="dxa"/>
            <w:right w:w="30" w:type="dxa"/>
          </w:tblCellMar>
        </w:tblPrEx>
        <w:tc>
          <w:tcPr>
            <w:tcW w:w="381" w:type="dxa"/>
            <w:hideMark/>
          </w:tcPr>
          <w:p w14:paraId="3CDB77A9" w14:textId="77777777" w:rsidR="00667AB2" w:rsidRPr="00E55B63" w:rsidRDefault="00667AB2" w:rsidP="00B716F3">
            <w:pPr>
              <w:ind w:right="140"/>
              <w:jc w:val="center"/>
            </w:pPr>
            <w:r w:rsidRPr="00E55B63">
              <w:t>1.</w:t>
            </w:r>
          </w:p>
        </w:tc>
        <w:tc>
          <w:tcPr>
            <w:tcW w:w="1933" w:type="dxa"/>
            <w:hideMark/>
          </w:tcPr>
          <w:p w14:paraId="4A8A6862" w14:textId="77777777" w:rsidR="00667AB2" w:rsidRPr="00E55B63" w:rsidRDefault="00667AB2" w:rsidP="00B716F3">
            <w:pPr>
              <w:ind w:right="140"/>
            </w:pPr>
            <w:r w:rsidRPr="00E55B63">
              <w:t>Pamatojums</w:t>
            </w:r>
          </w:p>
          <w:p w14:paraId="3AD35736" w14:textId="77777777" w:rsidR="00667AB2" w:rsidRPr="00E55B63" w:rsidRDefault="00667AB2" w:rsidP="00B716F3"/>
        </w:tc>
        <w:tc>
          <w:tcPr>
            <w:tcW w:w="7042" w:type="dxa"/>
            <w:hideMark/>
          </w:tcPr>
          <w:p w14:paraId="58C583C3" w14:textId="77777777" w:rsidR="00667AB2" w:rsidRPr="00E55B63" w:rsidRDefault="00667AB2" w:rsidP="00B716F3">
            <w:pPr>
              <w:pStyle w:val="ListParagraph"/>
              <w:spacing w:after="0" w:line="240" w:lineRule="auto"/>
              <w:ind w:left="0"/>
              <w:contextualSpacing w:val="0"/>
              <w:jc w:val="both"/>
              <w:rPr>
                <w:rFonts w:ascii="Times New Roman" w:hAnsi="Times New Roman"/>
                <w:sz w:val="24"/>
                <w:szCs w:val="24"/>
              </w:rPr>
            </w:pPr>
            <w:r w:rsidRPr="00E55B63">
              <w:rPr>
                <w:rFonts w:ascii="Times New Roman" w:hAnsi="Times New Roman"/>
                <w:sz w:val="24"/>
                <w:szCs w:val="24"/>
              </w:rPr>
              <w:t xml:space="preserve">Izglītības uz zinātnes ministrija (turpmāk – </w:t>
            </w:r>
            <w:r>
              <w:rPr>
                <w:rFonts w:ascii="Times New Roman" w:hAnsi="Times New Roman"/>
                <w:sz w:val="24"/>
                <w:szCs w:val="24"/>
              </w:rPr>
              <w:t>M</w:t>
            </w:r>
            <w:r w:rsidRPr="00E55B63">
              <w:rPr>
                <w:rFonts w:ascii="Times New Roman" w:hAnsi="Times New Roman"/>
                <w:sz w:val="24"/>
                <w:szCs w:val="24"/>
              </w:rPr>
              <w:t>inistrija), ievērojot</w:t>
            </w:r>
            <w:r w:rsidR="00A96F84">
              <w:rPr>
                <w:rFonts w:ascii="Times New Roman" w:hAnsi="Times New Roman"/>
                <w:sz w:val="24"/>
                <w:szCs w:val="24"/>
              </w:rPr>
              <w:t xml:space="preserve"> </w:t>
            </w:r>
            <w:r w:rsidRPr="00E55B63">
              <w:rPr>
                <w:rFonts w:ascii="Times New Roman" w:hAnsi="Times New Roman"/>
                <w:sz w:val="24"/>
                <w:szCs w:val="24"/>
              </w:rPr>
              <w:t xml:space="preserve">Eiropas Ekonomikas zonas finanšu instrumenta un Norvēģijas </w:t>
            </w:r>
            <w:r>
              <w:rPr>
                <w:rFonts w:ascii="Times New Roman" w:hAnsi="Times New Roman"/>
                <w:sz w:val="24"/>
                <w:szCs w:val="24"/>
              </w:rPr>
              <w:t>finanšu instrumenta 2014.–2021. gada perioda vadības likuma 15. </w:t>
            </w:r>
            <w:r w:rsidRPr="00E55B63">
              <w:rPr>
                <w:rFonts w:ascii="Times New Roman" w:hAnsi="Times New Roman"/>
                <w:sz w:val="24"/>
                <w:szCs w:val="24"/>
              </w:rPr>
              <w:t>panta 12.</w:t>
            </w:r>
            <w:r>
              <w:rPr>
                <w:rFonts w:ascii="Times New Roman" w:hAnsi="Times New Roman"/>
                <w:sz w:val="24"/>
                <w:szCs w:val="24"/>
              </w:rPr>
              <w:t> </w:t>
            </w:r>
            <w:r w:rsidRPr="00E55B63">
              <w:rPr>
                <w:rFonts w:ascii="Times New Roman" w:hAnsi="Times New Roman"/>
                <w:sz w:val="24"/>
                <w:szCs w:val="24"/>
              </w:rPr>
              <w:t>punktā noteikto deleģējumu, ir izstrādājusi Ministru kabineta noteikumu projektu “Grozījumi Ministru kabineta 2019. gada 19.</w:t>
            </w:r>
            <w:r>
              <w:rPr>
                <w:rFonts w:ascii="Times New Roman" w:hAnsi="Times New Roman"/>
                <w:sz w:val="24"/>
                <w:szCs w:val="24"/>
              </w:rPr>
              <w:t> </w:t>
            </w:r>
            <w:r w:rsidRPr="00E55B63">
              <w:rPr>
                <w:rFonts w:ascii="Times New Roman" w:hAnsi="Times New Roman"/>
                <w:sz w:val="24"/>
                <w:szCs w:val="24"/>
              </w:rPr>
              <w:t>novembra noteikumos</w:t>
            </w:r>
            <w:r>
              <w:rPr>
                <w:rFonts w:ascii="Times New Roman" w:hAnsi="Times New Roman"/>
                <w:sz w:val="24"/>
                <w:szCs w:val="24"/>
              </w:rPr>
              <w:t xml:space="preserve"> Nr. </w:t>
            </w:r>
            <w:r w:rsidRPr="00E55B63">
              <w:rPr>
                <w:rFonts w:ascii="Times New Roman" w:hAnsi="Times New Roman"/>
                <w:sz w:val="24"/>
                <w:szCs w:val="24"/>
              </w:rPr>
              <w:t xml:space="preserve">537 </w:t>
            </w:r>
            <w:r>
              <w:rPr>
                <w:rFonts w:ascii="Times New Roman" w:hAnsi="Times New Roman"/>
                <w:sz w:val="24"/>
                <w:szCs w:val="24"/>
              </w:rPr>
              <w:t>“</w:t>
            </w:r>
            <w:r w:rsidRPr="00E55B63">
              <w:rPr>
                <w:rFonts w:ascii="Times New Roman" w:hAnsi="Times New Roman"/>
                <w:sz w:val="24"/>
                <w:szCs w:val="24"/>
              </w:rPr>
              <w:t xml:space="preserve">Eiropas Ekonomikas zonas finanšu instrumenta un Norvēģijas finanšu instrumenta 2014.–2021. gada perioda programmas </w:t>
            </w:r>
            <w:r>
              <w:rPr>
                <w:rFonts w:ascii="Times New Roman" w:hAnsi="Times New Roman"/>
                <w:sz w:val="24"/>
                <w:szCs w:val="24"/>
              </w:rPr>
              <w:t>“</w:t>
            </w:r>
            <w:r w:rsidRPr="00E55B63">
              <w:rPr>
                <w:rFonts w:ascii="Times New Roman" w:hAnsi="Times New Roman"/>
                <w:sz w:val="24"/>
                <w:szCs w:val="24"/>
              </w:rPr>
              <w:t>Pētniecība un izglītība</w:t>
            </w:r>
            <w:r>
              <w:rPr>
                <w:rFonts w:ascii="Times New Roman" w:hAnsi="Times New Roman"/>
                <w:sz w:val="24"/>
                <w:szCs w:val="24"/>
              </w:rPr>
              <w:t>”</w:t>
            </w:r>
            <w:r w:rsidRPr="00E55B63">
              <w:rPr>
                <w:rFonts w:ascii="Times New Roman" w:hAnsi="Times New Roman"/>
                <w:sz w:val="24"/>
                <w:szCs w:val="24"/>
              </w:rPr>
              <w:t xml:space="preserve"> aktivitātes </w:t>
            </w:r>
            <w:r>
              <w:rPr>
                <w:rFonts w:ascii="Times New Roman" w:hAnsi="Times New Roman"/>
                <w:sz w:val="24"/>
                <w:szCs w:val="24"/>
              </w:rPr>
              <w:t>“</w:t>
            </w:r>
            <w:r w:rsidRPr="00E55B63">
              <w:rPr>
                <w:rFonts w:ascii="Times New Roman" w:hAnsi="Times New Roman"/>
                <w:sz w:val="24"/>
                <w:szCs w:val="24"/>
              </w:rPr>
              <w:t>Inovācijas centri</w:t>
            </w:r>
            <w:r>
              <w:rPr>
                <w:rFonts w:ascii="Times New Roman" w:hAnsi="Times New Roman"/>
                <w:sz w:val="24"/>
                <w:szCs w:val="24"/>
              </w:rPr>
              <w:t>”</w:t>
            </w:r>
            <w:r w:rsidRPr="00E55B63">
              <w:rPr>
                <w:rFonts w:ascii="Times New Roman" w:hAnsi="Times New Roman"/>
                <w:sz w:val="24"/>
                <w:szCs w:val="24"/>
              </w:rPr>
              <w:t xml:space="preserve"> īstenošanas noteikumi”” (turpmāk – noteikumu projekts), lai nodrošinātu atbilstību:</w:t>
            </w:r>
          </w:p>
          <w:p w14:paraId="2C5CC52E" w14:textId="77777777" w:rsidR="00667AB2" w:rsidRPr="00E55B63" w:rsidRDefault="00667AB2" w:rsidP="00B716F3">
            <w:pPr>
              <w:numPr>
                <w:ilvl w:val="0"/>
                <w:numId w:val="22"/>
              </w:numPr>
              <w:ind w:left="-46" w:firstLine="349"/>
              <w:jc w:val="both"/>
            </w:pPr>
            <w:r w:rsidRPr="00E55B63">
              <w:t>Norvēģijas finanšu instrumenta 2014.–2021.</w:t>
            </w:r>
            <w:r>
              <w:t> </w:t>
            </w:r>
            <w:r w:rsidRPr="00E55B63">
              <w:t>gada periodam noteikumu</w:t>
            </w:r>
            <w:r w:rsidRPr="00E55B63">
              <w:rPr>
                <w:rStyle w:val="FootnoteReference"/>
              </w:rPr>
              <w:footnoteReference w:id="2"/>
            </w:r>
            <w:r w:rsidRPr="00E55B63">
              <w:t xml:space="preserve"> (turpmāk – Norvēģijas noteikumi) 8.5.</w:t>
            </w:r>
            <w:r>
              <w:t> </w:t>
            </w:r>
            <w:r w:rsidRPr="00E55B63">
              <w:t>pantam;</w:t>
            </w:r>
          </w:p>
          <w:p w14:paraId="7E053A6B" w14:textId="77777777" w:rsidR="00667AB2" w:rsidRPr="00E55B63" w:rsidRDefault="00667AB2" w:rsidP="00B716F3">
            <w:pPr>
              <w:numPr>
                <w:ilvl w:val="0"/>
                <w:numId w:val="22"/>
              </w:numPr>
              <w:ind w:left="-46" w:firstLine="349"/>
              <w:jc w:val="both"/>
            </w:pPr>
            <w:r w:rsidRPr="00E55B63">
              <w:t xml:space="preserve">Ministru kabineta </w:t>
            </w:r>
            <w:r>
              <w:t>2018. gada 13. </w:t>
            </w:r>
            <w:r w:rsidRPr="00E55B63">
              <w:t>novembra noteikumu Nr. 683 “</w:t>
            </w:r>
            <w:r w:rsidRPr="00E55B63">
              <w:rPr>
                <w:iCs/>
              </w:rPr>
              <w:t>Eiropas Ekonomikas zonas finanšu instrumenta un Norvēģijas finanšu instrumenta 2014.-2021.</w:t>
            </w:r>
            <w:r>
              <w:rPr>
                <w:iCs/>
              </w:rPr>
              <w:t> </w:t>
            </w:r>
            <w:r w:rsidRPr="00E55B63">
              <w:rPr>
                <w:iCs/>
              </w:rPr>
              <w:t>gada perioda vadības noteikumi</w:t>
            </w:r>
            <w:r w:rsidRPr="00E55B63">
              <w:t>” (turpmāk – Vadības noteikumi)</w:t>
            </w:r>
            <w:r>
              <w:t xml:space="preserve"> 83. </w:t>
            </w:r>
            <w:r w:rsidRPr="00E55B63">
              <w:t>punktam.</w:t>
            </w:r>
          </w:p>
          <w:p w14:paraId="299F0A5E" w14:textId="77777777" w:rsidR="00667AB2" w:rsidRPr="00E55B63" w:rsidRDefault="00667AB2" w:rsidP="00667AB2">
            <w:pPr>
              <w:ind w:left="-46"/>
              <w:jc w:val="both"/>
            </w:pPr>
            <w:r w:rsidRPr="00E55B63">
              <w:t>Vienlaikus noteikumu projekts izstrādāts, lai</w:t>
            </w:r>
            <w:r w:rsidR="00A96F84">
              <w:t xml:space="preserve"> </w:t>
            </w:r>
            <w:r>
              <w:t>nodrošinātu</w:t>
            </w:r>
            <w:r w:rsidRPr="00E55B63">
              <w:t xml:space="preserve"> Eiropas Ekonomikas zonas finanšu instrumenta un Norvēģijas finanšu instrumenta 2014.–2021. gada perioda programmas </w:t>
            </w:r>
            <w:r>
              <w:t>“</w:t>
            </w:r>
            <w:r w:rsidRPr="00E55B63">
              <w:t>Pētniecība un izglītība</w:t>
            </w:r>
            <w:r>
              <w:t>”</w:t>
            </w:r>
            <w:r w:rsidRPr="00E55B63">
              <w:t xml:space="preserve"> (turpmāk – Programma) </w:t>
            </w:r>
            <w:r>
              <w:t>četru</w:t>
            </w:r>
            <w:r w:rsidRPr="00E55B63">
              <w:rPr>
                <w:lang w:eastAsia="zh-CN"/>
              </w:rPr>
              <w:t xml:space="preserve"> </w:t>
            </w:r>
            <w:r w:rsidRPr="00E55B63">
              <w:t>iepriekš noteikto inovācijas centru projektu (turpmāk – inovācijas centru projekts) līdzfinansējuma saņēmējiem</w:t>
            </w:r>
            <w:r>
              <w:t xml:space="preserve"> </w:t>
            </w:r>
            <w:r w:rsidRPr="00E55B63">
              <w:t>(</w:t>
            </w:r>
            <w:r>
              <w:t xml:space="preserve">projekta iesniedzēji: </w:t>
            </w:r>
            <w:proofErr w:type="spellStart"/>
            <w:r w:rsidRPr="00E55B63">
              <w:rPr>
                <w:lang w:eastAsia="zh-CN"/>
              </w:rPr>
              <w:t>Cēsu</w:t>
            </w:r>
            <w:proofErr w:type="spellEnd"/>
            <w:r w:rsidRPr="00E55B63">
              <w:rPr>
                <w:lang w:eastAsia="zh-CN"/>
              </w:rPr>
              <w:t xml:space="preserve"> novada pašvaldība, Daugavpils pilsētas pašvaldība, Liepājas pilsētas pašvaldība, Ventspils pilsētas pašvaldība)</w:t>
            </w:r>
            <w:r w:rsidRPr="00E55B63">
              <w:t xml:space="preserve"> veikt saimniecisko darbību </w:t>
            </w:r>
            <w:r>
              <w:t xml:space="preserve">inovācijas centru </w:t>
            </w:r>
            <w:r w:rsidRPr="00E55B63">
              <w:t>projekta ieviešanas laikā – gūt ienākumus no ieejas biļešu pārdošanas, telpu nomas un citiem pasākumiem, vienlaikus nodrošinot pamatojumu, kādēļ</w:t>
            </w:r>
            <w:r w:rsidR="00A96F84">
              <w:t xml:space="preserve"> </w:t>
            </w:r>
            <w:r w:rsidRPr="00E55B63">
              <w:t>Ministru kabineta 2019. gada 19.</w:t>
            </w:r>
            <w:r>
              <w:t> </w:t>
            </w:r>
            <w:r w:rsidRPr="00E55B63">
              <w:t>novembra noteikum</w:t>
            </w:r>
            <w:r>
              <w:t>u Nr. </w:t>
            </w:r>
            <w:r w:rsidRPr="00E55B63">
              <w:t xml:space="preserve">537 </w:t>
            </w:r>
            <w:r>
              <w:t>“</w:t>
            </w:r>
            <w:r w:rsidRPr="00E55B63">
              <w:t xml:space="preserve">Eiropas </w:t>
            </w:r>
            <w:r w:rsidRPr="00E55B63">
              <w:lastRenderedPageBreak/>
              <w:t xml:space="preserve">Ekonomikas zonas finanšu instrumenta un Norvēģijas finanšu instrumenta 2014.–2021. gada perioda programmas </w:t>
            </w:r>
            <w:r>
              <w:t>“</w:t>
            </w:r>
            <w:r w:rsidRPr="00E55B63">
              <w:t>Pētniecība un izglītība</w:t>
            </w:r>
            <w:r>
              <w:t>”</w:t>
            </w:r>
            <w:r w:rsidRPr="00E55B63">
              <w:t xml:space="preserve"> aktivitātes </w:t>
            </w:r>
            <w:r>
              <w:t>“</w:t>
            </w:r>
            <w:r w:rsidRPr="00E55B63">
              <w:t>Inovācijas centri</w:t>
            </w:r>
            <w:r>
              <w:t>”</w:t>
            </w:r>
            <w:r w:rsidRPr="00E55B63">
              <w:t xml:space="preserve"> īstenošanas noteikumi”</w:t>
            </w:r>
            <w:r>
              <w:t xml:space="preserve"> </w:t>
            </w:r>
            <w:r w:rsidRPr="00E55B63">
              <w:t>ietvaros sniegtais atbalsts nav kvalificējams kā komercdarbības atbalsts.</w:t>
            </w:r>
          </w:p>
        </w:tc>
      </w:tr>
      <w:tr w:rsidR="00667AB2" w:rsidRPr="00E55B63" w14:paraId="2143E0E5" w14:textId="77777777" w:rsidTr="00B716F3">
        <w:tblPrEx>
          <w:shd w:val="clear" w:color="auto" w:fill="auto"/>
          <w:tblCellMar>
            <w:top w:w="30" w:type="dxa"/>
            <w:left w:w="30" w:type="dxa"/>
            <w:bottom w:w="30" w:type="dxa"/>
            <w:right w:w="30" w:type="dxa"/>
          </w:tblCellMar>
        </w:tblPrEx>
        <w:tc>
          <w:tcPr>
            <w:tcW w:w="381" w:type="dxa"/>
            <w:hideMark/>
          </w:tcPr>
          <w:p w14:paraId="7D94982C" w14:textId="77777777" w:rsidR="00667AB2" w:rsidRPr="00E55B63" w:rsidRDefault="00667AB2" w:rsidP="00B716F3">
            <w:pPr>
              <w:ind w:right="140"/>
              <w:jc w:val="center"/>
            </w:pPr>
            <w:r w:rsidRPr="00E55B63">
              <w:lastRenderedPageBreak/>
              <w:t>2.</w:t>
            </w:r>
          </w:p>
        </w:tc>
        <w:tc>
          <w:tcPr>
            <w:tcW w:w="1933" w:type="dxa"/>
            <w:hideMark/>
          </w:tcPr>
          <w:p w14:paraId="489EBDC1" w14:textId="77777777" w:rsidR="00667AB2" w:rsidRPr="00E55B63" w:rsidRDefault="00667AB2" w:rsidP="00B716F3">
            <w:pPr>
              <w:ind w:right="140"/>
            </w:pPr>
            <w:r w:rsidRPr="00E55B63">
              <w:t>Pašreizējā situācija un problēmas, kuru risināšanai tiesību akta projekts izstrādāts, tiesiskā regulējuma mērķis un būtība</w:t>
            </w:r>
          </w:p>
        </w:tc>
        <w:tc>
          <w:tcPr>
            <w:tcW w:w="7042" w:type="dxa"/>
            <w:hideMark/>
          </w:tcPr>
          <w:p w14:paraId="0CE27300" w14:textId="77777777" w:rsidR="00667AB2" w:rsidRPr="00E55B63" w:rsidRDefault="00667AB2" w:rsidP="00B716F3">
            <w:pPr>
              <w:jc w:val="both"/>
            </w:pPr>
            <w:r>
              <w:t>Ministru kabineta 2019. gada 19. </w:t>
            </w:r>
            <w:r w:rsidRPr="00E55B63">
              <w:t xml:space="preserve">novembra noteikumos Nr. 537 </w:t>
            </w:r>
            <w:r>
              <w:t>“</w:t>
            </w:r>
            <w:r w:rsidRPr="00E55B63">
              <w:t xml:space="preserve">Eiropas Ekonomikas zonas finanšu instrumenta un Norvēģijas finanšu instrumenta 2014.–2021. gada perioda programmas </w:t>
            </w:r>
            <w:r>
              <w:t>“</w:t>
            </w:r>
            <w:r w:rsidRPr="00E55B63">
              <w:t>Pētniecība un izglītība</w:t>
            </w:r>
            <w:r>
              <w:t>”</w:t>
            </w:r>
            <w:r w:rsidRPr="00E55B63">
              <w:t xml:space="preserve"> aktivitātes </w:t>
            </w:r>
            <w:r>
              <w:t>“</w:t>
            </w:r>
            <w:r w:rsidRPr="00E55B63">
              <w:t>Inovācijas centri</w:t>
            </w:r>
            <w:r>
              <w:t>”</w:t>
            </w:r>
            <w:r w:rsidRPr="00E55B63">
              <w:t xml:space="preserve"> īstenošanas noteikumi” (turpmāk </w:t>
            </w:r>
            <w:r>
              <w:t>–</w:t>
            </w:r>
            <w:r w:rsidRPr="00E55B63">
              <w:t xml:space="preserve"> noteikumi Nr.</w:t>
            </w:r>
            <w:r>
              <w:t> </w:t>
            </w:r>
            <w:r w:rsidRPr="00E55B63">
              <w:t>537) no</w:t>
            </w:r>
            <w:r>
              <w:t>saka</w:t>
            </w:r>
            <w:r w:rsidRPr="00E55B63">
              <w:t xml:space="preserve"> inovācijas centru projekt</w:t>
            </w:r>
            <w:r>
              <w:t>u</w:t>
            </w:r>
            <w:r w:rsidRPr="00E55B63">
              <w:t xml:space="preserve"> pieejam</w:t>
            </w:r>
            <w:r>
              <w:t>o</w:t>
            </w:r>
            <w:r w:rsidRPr="00E55B63">
              <w:t xml:space="preserve"> finansējum</w:t>
            </w:r>
            <w:r>
              <w:t>u</w:t>
            </w:r>
            <w:r w:rsidRPr="00E55B63">
              <w:t>, sasniedzam</w:t>
            </w:r>
            <w:r>
              <w:t>os</w:t>
            </w:r>
            <w:r w:rsidRPr="00E55B63">
              <w:t xml:space="preserve"> rezultāt</w:t>
            </w:r>
            <w:r>
              <w:t>us</w:t>
            </w:r>
            <w:r w:rsidRPr="00E55B63">
              <w:t>, atbalstām</w:t>
            </w:r>
            <w:r>
              <w:t>ās</w:t>
            </w:r>
            <w:r w:rsidRPr="00E55B63">
              <w:t xml:space="preserve"> darbīb</w:t>
            </w:r>
            <w:r>
              <w:t>as</w:t>
            </w:r>
            <w:r w:rsidRPr="00E55B63">
              <w:t xml:space="preserve"> </w:t>
            </w:r>
            <w:r>
              <w:t xml:space="preserve">un </w:t>
            </w:r>
            <w:r w:rsidRPr="00E55B63">
              <w:t xml:space="preserve">izmaksu </w:t>
            </w:r>
            <w:proofErr w:type="spellStart"/>
            <w:r w:rsidRPr="00E55B63">
              <w:t>attiecināmības</w:t>
            </w:r>
            <w:proofErr w:type="spellEnd"/>
            <w:r w:rsidRPr="00E55B63">
              <w:t xml:space="preserve"> </w:t>
            </w:r>
            <w:r>
              <w:t xml:space="preserve">nosacījumus </w:t>
            </w:r>
            <w:r w:rsidRPr="00E55B63">
              <w:t xml:space="preserve">un divpusējās sadarbības fonda </w:t>
            </w:r>
            <w:r>
              <w:t>pasākumu</w:t>
            </w:r>
            <w:r w:rsidRPr="00E55B63">
              <w:t xml:space="preserve"> ieviešanas kārtīb</w:t>
            </w:r>
            <w:r>
              <w:t>u</w:t>
            </w:r>
            <w:r w:rsidRPr="00E55B63">
              <w:t>.</w:t>
            </w:r>
          </w:p>
          <w:p w14:paraId="66629154" w14:textId="77777777" w:rsidR="00667AB2" w:rsidRPr="00E55B63" w:rsidRDefault="00667AB2" w:rsidP="00B716F3">
            <w:pPr>
              <w:jc w:val="both"/>
            </w:pPr>
            <w:r>
              <w:t>Pašreizējā situācijā problēma ir, ka n</w:t>
            </w:r>
            <w:r w:rsidRPr="00E55B63">
              <w:t>oteikumos Nr.</w:t>
            </w:r>
            <w:r>
              <w:t> </w:t>
            </w:r>
            <w:r w:rsidRPr="00E55B63">
              <w:t xml:space="preserve">537 noteiktais </w:t>
            </w:r>
            <w:r>
              <w:t>tiesiskais regulējums par to, kādas P</w:t>
            </w:r>
            <w:r w:rsidRPr="00E55B63">
              <w:t>rogrammas apsaimniekotāja</w:t>
            </w:r>
            <w:r>
              <w:t xml:space="preserve"> un</w:t>
            </w:r>
            <w:r w:rsidRPr="00E55B63">
              <w:t xml:space="preserve"> aģentūras administratīv</w:t>
            </w:r>
            <w:r>
              <w:t>ās</w:t>
            </w:r>
            <w:r w:rsidRPr="00E55B63">
              <w:t xml:space="preserve"> </w:t>
            </w:r>
            <w:r>
              <w:t xml:space="preserve">izmaksas uzskatāmas par </w:t>
            </w:r>
            <w:r w:rsidRPr="00E55B63">
              <w:t>netieš</w:t>
            </w:r>
            <w:r>
              <w:t>ajām</w:t>
            </w:r>
            <w:r w:rsidRPr="00E55B63">
              <w:t xml:space="preserve"> </w:t>
            </w:r>
            <w:r>
              <w:t xml:space="preserve">attiecināmajām </w:t>
            </w:r>
            <w:r w:rsidRPr="00E55B63">
              <w:t>izmaks</w:t>
            </w:r>
            <w:r>
              <w:t>ām un kādas izmaksas uzskatāmas par inovācijas centru projekta netiešajām attiecināmajām izmaksām (noteikumu Nr. </w:t>
            </w:r>
            <w:r w:rsidRPr="00E55B63">
              <w:t>537 17.1.2. un 17.3.</w:t>
            </w:r>
            <w:r>
              <w:t> </w:t>
            </w:r>
            <w:r w:rsidRPr="00E55B63">
              <w:t>apakšpunkt</w:t>
            </w:r>
            <w:r>
              <w:t>s</w:t>
            </w:r>
            <w:r w:rsidRPr="00E55B63">
              <w:t xml:space="preserve">) neatbilst nepieciešamajai tiesiski korektai situācijai, jo ir saņemti inovācijas centru projekti, noslēgti </w:t>
            </w:r>
            <w:r w:rsidRPr="00E55B63">
              <w:rPr>
                <w:lang w:eastAsia="zh-CN"/>
              </w:rPr>
              <w:t xml:space="preserve">inovācijas centru </w:t>
            </w:r>
            <w:r w:rsidRPr="00E55B63">
              <w:t xml:space="preserve">projekta līgumi (turpmāk – projekta līgums), kuros redzams, ka projektos plānotas </w:t>
            </w:r>
            <w:r>
              <w:t xml:space="preserve">dažādas </w:t>
            </w:r>
            <w:r w:rsidRPr="00E55B63">
              <w:t xml:space="preserve">netiešo izmaksu vienotās likmes. </w:t>
            </w:r>
          </w:p>
          <w:p w14:paraId="6E6E248C" w14:textId="77777777" w:rsidR="00667AB2" w:rsidRPr="00E55B63" w:rsidRDefault="00667AB2" w:rsidP="00B716F3">
            <w:pPr>
              <w:jc w:val="both"/>
            </w:pPr>
            <w:r>
              <w:t xml:space="preserve">Noteikumu projekts paredz </w:t>
            </w:r>
            <w:r w:rsidRPr="00E55B63">
              <w:t xml:space="preserve">Programmas </w:t>
            </w:r>
            <w:proofErr w:type="spellStart"/>
            <w:r w:rsidRPr="00E55B63">
              <w:t>apsaimniekotājam</w:t>
            </w:r>
            <w:proofErr w:type="spellEnd"/>
            <w:r w:rsidRPr="00E55B63">
              <w:t xml:space="preserve"> un aģentūrai, piemērojot netiešo izmaks</w:t>
            </w:r>
            <w:r>
              <w:t>u vienoto likmi, tiks samazināts</w:t>
            </w:r>
            <w:r w:rsidRPr="00E55B63">
              <w:t xml:space="preserve"> </w:t>
            </w:r>
            <w:r>
              <w:t>starpposma finanšu pārskatā iekļauto izdevumu</w:t>
            </w:r>
            <w:r w:rsidRPr="00E55B63">
              <w:t xml:space="preserve"> un </w:t>
            </w:r>
            <w:r>
              <w:t xml:space="preserve">sertifikācijas iestādes </w:t>
            </w:r>
            <w:r w:rsidRPr="00E55B63">
              <w:t xml:space="preserve">pārbaužu </w:t>
            </w:r>
            <w:r>
              <w:t>apjoms, tādējādi mazinot administratīvo slogu</w:t>
            </w:r>
            <w:r w:rsidRPr="00E55B63">
              <w:t xml:space="preserve">. </w:t>
            </w:r>
          </w:p>
          <w:p w14:paraId="127CF151" w14:textId="77777777" w:rsidR="00667AB2" w:rsidRPr="00E55B63" w:rsidRDefault="00667AB2" w:rsidP="00B716F3">
            <w:pPr>
              <w:jc w:val="both"/>
            </w:pPr>
          </w:p>
          <w:p w14:paraId="5E427DFA" w14:textId="77777777" w:rsidR="00667AB2" w:rsidRPr="00E55B63" w:rsidRDefault="00667AB2" w:rsidP="00B716F3">
            <w:pPr>
              <w:jc w:val="both"/>
            </w:pPr>
            <w:r w:rsidRPr="00E55B63">
              <w:t>Ievērojot minēto un atbilstoši Norvēģijas noteikumu 8.5.</w:t>
            </w:r>
            <w:r>
              <w:t> </w:t>
            </w:r>
            <w:r w:rsidRPr="00E55B63">
              <w:t xml:space="preserve">pantam, kas nosaka metodes, </w:t>
            </w:r>
            <w:r>
              <w:t xml:space="preserve">ar </w:t>
            </w:r>
            <w:r w:rsidRPr="00E55B63">
              <w:t>kādā</w:t>
            </w:r>
            <w:r>
              <w:t>m</w:t>
            </w:r>
            <w:r w:rsidRPr="00E55B63">
              <w:t xml:space="preserve"> identificē netiešās izmaksas, ar noteikumu projektu ir nepieciešams precizēt noteikumu Nr.</w:t>
            </w:r>
            <w:r>
              <w:t> </w:t>
            </w:r>
            <w:r w:rsidRPr="00E55B63">
              <w:t>537 17.1.2. un 17.3.</w:t>
            </w:r>
            <w:r>
              <w:t> </w:t>
            </w:r>
            <w:r w:rsidRPr="00E55B63">
              <w:t>apakšpunktu, nosakot, ka:</w:t>
            </w:r>
          </w:p>
          <w:p w14:paraId="37E7B996" w14:textId="77777777" w:rsidR="00667AB2" w:rsidRPr="00E55B63" w:rsidRDefault="00667AB2" w:rsidP="00B716F3">
            <w:pPr>
              <w:numPr>
                <w:ilvl w:val="0"/>
                <w:numId w:val="33"/>
              </w:numPr>
              <w:ind w:left="67" w:firstLine="293"/>
              <w:jc w:val="both"/>
            </w:pPr>
            <w:r>
              <w:t>P</w:t>
            </w:r>
            <w:r w:rsidRPr="00E55B63">
              <w:t>rogrammas apsaimniekotāja (</w:t>
            </w:r>
            <w:r>
              <w:t>M</w:t>
            </w:r>
            <w:r w:rsidRPr="00E55B63">
              <w:t>inistrijas) un aģentūras (Valsts izglītības attīstības aģentūras</w:t>
            </w:r>
            <w:r>
              <w:t xml:space="preserve"> (turpmāk – Aģentūra)</w:t>
            </w:r>
            <w:r w:rsidRPr="00E55B63">
              <w:t>) netiešās a</w:t>
            </w:r>
            <w:r>
              <w:t>ttiecināmās</w:t>
            </w:r>
            <w:r w:rsidRPr="00E55B63">
              <w:t xml:space="preserve"> izmaksas (tai skaitā izmaksas, kas saistītas ar telpu nomu, komunālo pakalpojumu izmaksām, kancelejas preču, aprīkojuma un programmatūras iegādes izmaksām, un citas izmaksas, kas netieši saistītas ar </w:t>
            </w:r>
            <w:r>
              <w:t>P</w:t>
            </w:r>
            <w:r w:rsidRPr="00E55B63">
              <w:t>rogrammas sagatavošanas un īstenošanas administrēšanu) aprēķinā</w:t>
            </w:r>
            <w:r>
              <w:t>m</w:t>
            </w:r>
            <w:r w:rsidRPr="00E55B63">
              <w:t xml:space="preserve">as kā </w:t>
            </w:r>
            <w:r w:rsidRPr="00E55B63">
              <w:rPr>
                <w:i/>
              </w:rPr>
              <w:t xml:space="preserve">vienota likme </w:t>
            </w:r>
            <w:r w:rsidRPr="00E55B63">
              <w:t>10 procentu apmērā no tiešajām attiecināmajām personāl</w:t>
            </w:r>
            <w:r w:rsidR="002E4B83">
              <w:t xml:space="preserve">a </w:t>
            </w:r>
            <w:r w:rsidR="005932F5">
              <w:t xml:space="preserve">atlīdzības </w:t>
            </w:r>
            <w:r w:rsidR="002E4B83">
              <w:t>izmaksām (noteikumu projekta 4</w:t>
            </w:r>
            <w:r w:rsidRPr="00E55B63">
              <w:t>.</w:t>
            </w:r>
            <w:r>
              <w:t> </w:t>
            </w:r>
            <w:r w:rsidRPr="00E55B63">
              <w:t>punkts). Tas atbilst Norvēģijas noteikumu 8.5.</w:t>
            </w:r>
            <w:r>
              <w:t> </w:t>
            </w:r>
            <w:r w:rsidRPr="00E55B63">
              <w:t xml:space="preserve">panta c) punktam, kas nosaka, ka </w:t>
            </w:r>
            <w:r>
              <w:t xml:space="preserve">Programmas </w:t>
            </w:r>
            <w:proofErr w:type="spellStart"/>
            <w:r>
              <w:t>apsaimniekotājam</w:t>
            </w:r>
            <w:proofErr w:type="spellEnd"/>
            <w:r>
              <w:t xml:space="preserve"> un A</w:t>
            </w:r>
            <w:r w:rsidRPr="00E55B63">
              <w:t>ģentūrai nav jāveic aprēķini, lai noteiktu piemērojamo likmi;</w:t>
            </w:r>
          </w:p>
          <w:p w14:paraId="4FC77A32" w14:textId="77777777" w:rsidR="00667AB2" w:rsidRPr="00E55B63" w:rsidRDefault="00667AB2" w:rsidP="00B716F3">
            <w:pPr>
              <w:numPr>
                <w:ilvl w:val="0"/>
                <w:numId w:val="33"/>
              </w:numPr>
              <w:ind w:left="67" w:firstLine="293"/>
              <w:jc w:val="both"/>
            </w:pPr>
            <w:r w:rsidRPr="00E55B63">
              <w:t xml:space="preserve">tā kā </w:t>
            </w:r>
            <w:r>
              <w:t xml:space="preserve">ir konstatēts, ka </w:t>
            </w:r>
            <w:r w:rsidRPr="00E55B63">
              <w:t>katrā no inovācijas centru projektiem</w:t>
            </w:r>
            <w:r w:rsidRPr="00E55B63">
              <w:rPr>
                <w:lang w:eastAsia="zh-CN"/>
              </w:rPr>
              <w:t xml:space="preserve"> </w:t>
            </w:r>
            <w:r w:rsidRPr="00E55B63">
              <w:t xml:space="preserve">ir plānota atšķirīga netiešo </w:t>
            </w:r>
            <w:r>
              <w:t xml:space="preserve">attiecināmo </w:t>
            </w:r>
            <w:r w:rsidRPr="00E55B63">
              <w:t xml:space="preserve">izmaksu vienotās likmes apmēra piemērošana, tad maksimālais atļautais </w:t>
            </w:r>
            <w:r>
              <w:t xml:space="preserve">inovācijas centru projekta </w:t>
            </w:r>
            <w:r w:rsidRPr="00E55B63">
              <w:t xml:space="preserve">netiešo </w:t>
            </w:r>
            <w:r>
              <w:t xml:space="preserve">attiecināmo </w:t>
            </w:r>
            <w:r w:rsidRPr="00E55B63">
              <w:t xml:space="preserve">izmaksu vienotās likmes apmērs </w:t>
            </w:r>
            <w:r>
              <w:t>ir</w:t>
            </w:r>
            <w:r w:rsidRPr="00E55B63">
              <w:t xml:space="preserve"> 15 procenti no projekta tiešajām attiecināmajām </w:t>
            </w:r>
            <w:r>
              <w:t>izmaksām – projekta administratīvā un īstenošanas p</w:t>
            </w:r>
            <w:r w:rsidRPr="00E55B63">
              <w:t xml:space="preserve">ersonāla </w:t>
            </w:r>
            <w:r>
              <w:t>darba</w:t>
            </w:r>
            <w:r w:rsidRPr="00E55B63">
              <w:t xml:space="preserve"> izmaksām (noteikumu </w:t>
            </w:r>
            <w:r w:rsidR="002E4B83">
              <w:t>projekta 6</w:t>
            </w:r>
            <w:r>
              <w:t>. punkts</w:t>
            </w:r>
            <w:r w:rsidRPr="00E55B63">
              <w:t>)</w:t>
            </w:r>
            <w:r>
              <w:t>.</w:t>
            </w:r>
            <w:r w:rsidRPr="00E55B63">
              <w:t xml:space="preserve"> </w:t>
            </w:r>
            <w:r>
              <w:t>V</w:t>
            </w:r>
            <w:r w:rsidRPr="00E55B63">
              <w:t>ienlaikus</w:t>
            </w:r>
            <w:r w:rsidR="006710F4">
              <w:t xml:space="preserve"> noteikumu projekta 6</w:t>
            </w:r>
            <w:r>
              <w:t>. punkts paredz, ka</w:t>
            </w:r>
            <w:r w:rsidRPr="00E55B63">
              <w:t xml:space="preserve"> </w:t>
            </w:r>
            <w:r w:rsidRPr="00E55B63">
              <w:rPr>
                <w:i/>
              </w:rPr>
              <w:t>katra</w:t>
            </w:r>
            <w:r w:rsidR="00A96F84">
              <w:rPr>
                <w:i/>
              </w:rPr>
              <w:t xml:space="preserve"> </w:t>
            </w:r>
            <w:r>
              <w:rPr>
                <w:i/>
              </w:rPr>
              <w:t>inovācijas centru</w:t>
            </w:r>
            <w:r w:rsidRPr="00E55B63">
              <w:rPr>
                <w:i/>
              </w:rPr>
              <w:t xml:space="preserve"> projekta</w:t>
            </w:r>
            <w:r>
              <w:rPr>
                <w:i/>
              </w:rPr>
              <w:t xml:space="preserve"> netiešo attiecināmo izmaksu</w:t>
            </w:r>
            <w:r w:rsidRPr="00E55B63">
              <w:rPr>
                <w:i/>
              </w:rPr>
              <w:t xml:space="preserve"> vienotās likmes apmēru nosaka projekta līgumā</w:t>
            </w:r>
            <w:r w:rsidRPr="00E55B63">
              <w:t xml:space="preserve">. </w:t>
            </w:r>
            <w:r>
              <w:t xml:space="preserve">Minētais </w:t>
            </w:r>
            <w:r w:rsidRPr="00E55B63">
              <w:t xml:space="preserve">atbilst Norvēģijas noteikumu </w:t>
            </w:r>
            <w:r w:rsidRPr="00E55B63">
              <w:lastRenderedPageBreak/>
              <w:t>8.5.</w:t>
            </w:r>
            <w:r>
              <w:t> </w:t>
            </w:r>
            <w:r w:rsidRPr="00E55B63">
              <w:t>panta c) punktam, līdz ar to līdzfinansējuma saņēmējam</w:t>
            </w:r>
            <w:r w:rsidR="00A96F84">
              <w:t xml:space="preserve"> </w:t>
            </w:r>
            <w:r w:rsidRPr="00E55B63">
              <w:t>nav jāveic aprēķini, lai noteiktu piemērojamo likmi.</w:t>
            </w:r>
          </w:p>
          <w:p w14:paraId="32A7ADAD" w14:textId="77777777" w:rsidR="00667AB2" w:rsidRPr="00E55B63" w:rsidRDefault="00667AB2" w:rsidP="00B716F3">
            <w:pPr>
              <w:ind w:firstLine="720"/>
              <w:jc w:val="both"/>
              <w:rPr>
                <w:lang w:eastAsia="zh-CN"/>
              </w:rPr>
            </w:pPr>
          </w:p>
          <w:p w14:paraId="65BE93B2" w14:textId="77777777" w:rsidR="00667AB2" w:rsidRPr="00E55B63" w:rsidRDefault="00667AB2" w:rsidP="00B716F3">
            <w:pPr>
              <w:pStyle w:val="tv2132"/>
              <w:spacing w:line="240" w:lineRule="auto"/>
              <w:ind w:firstLine="0"/>
              <w:jc w:val="both"/>
              <w:rPr>
                <w:color w:val="auto"/>
                <w:sz w:val="24"/>
                <w:szCs w:val="24"/>
              </w:rPr>
            </w:pPr>
            <w:r w:rsidRPr="00E55B63">
              <w:rPr>
                <w:color w:val="auto"/>
                <w:sz w:val="24"/>
                <w:szCs w:val="24"/>
              </w:rPr>
              <w:t xml:space="preserve">Noteikumu projekta </w:t>
            </w:r>
            <w:r w:rsidR="002A2289">
              <w:rPr>
                <w:color w:val="auto"/>
                <w:sz w:val="24"/>
                <w:szCs w:val="24"/>
              </w:rPr>
              <w:t>8</w:t>
            </w:r>
            <w:r w:rsidRPr="002B460E">
              <w:rPr>
                <w:color w:val="auto"/>
                <w:sz w:val="24"/>
                <w:szCs w:val="24"/>
              </w:rPr>
              <w:t>. punkts</w:t>
            </w:r>
            <w:r w:rsidRPr="00E55B63">
              <w:rPr>
                <w:color w:val="auto"/>
                <w:sz w:val="24"/>
                <w:szCs w:val="24"/>
              </w:rPr>
              <w:t xml:space="preserve"> paredz svītrot noteikumu Nr.</w:t>
            </w:r>
            <w:r>
              <w:rPr>
                <w:color w:val="auto"/>
                <w:sz w:val="24"/>
                <w:szCs w:val="24"/>
              </w:rPr>
              <w:t> </w:t>
            </w:r>
            <w:r w:rsidRPr="00E55B63">
              <w:rPr>
                <w:color w:val="auto"/>
                <w:sz w:val="24"/>
                <w:szCs w:val="24"/>
              </w:rPr>
              <w:t>537 23.</w:t>
            </w:r>
            <w:r>
              <w:rPr>
                <w:color w:val="auto"/>
                <w:sz w:val="24"/>
                <w:szCs w:val="24"/>
              </w:rPr>
              <w:t> </w:t>
            </w:r>
            <w:r w:rsidRPr="00E55B63">
              <w:rPr>
                <w:color w:val="auto"/>
                <w:sz w:val="24"/>
                <w:szCs w:val="24"/>
              </w:rPr>
              <w:t>punkta otro un trešo teikumu,</w:t>
            </w:r>
            <w:r>
              <w:rPr>
                <w:color w:val="auto"/>
                <w:sz w:val="24"/>
                <w:szCs w:val="24"/>
              </w:rPr>
              <w:t xml:space="preserve"> ievērojot, ka Vadības noteikumu 83. punktā ir noteikts, ka </w:t>
            </w:r>
            <w:r w:rsidRPr="00E55B63">
              <w:rPr>
                <w:color w:val="auto"/>
                <w:sz w:val="24"/>
                <w:szCs w:val="24"/>
              </w:rPr>
              <w:t>Programmas apsaimniekotājs</w:t>
            </w:r>
            <w:r>
              <w:rPr>
                <w:color w:val="auto"/>
                <w:sz w:val="24"/>
                <w:szCs w:val="24"/>
              </w:rPr>
              <w:t xml:space="preserve"> vai A</w:t>
            </w:r>
            <w:r w:rsidRPr="00E55B63">
              <w:rPr>
                <w:color w:val="auto"/>
                <w:sz w:val="24"/>
                <w:szCs w:val="24"/>
              </w:rPr>
              <w:t xml:space="preserve">ģentūra pārbauda līdzfinansējuma saņēmēja iesniegto projekta pārskatu un tajā iekļautos izdevumus pamatojošos dokumentus, apstiprina attiecināmo izdevumu summu un veic maksājumu </w:t>
            </w:r>
            <w:r>
              <w:rPr>
                <w:color w:val="auto"/>
                <w:sz w:val="24"/>
                <w:szCs w:val="24"/>
              </w:rPr>
              <w:t xml:space="preserve">līdzfinansējuma saņēmējam </w:t>
            </w:r>
            <w:r w:rsidRPr="00E55B63">
              <w:rPr>
                <w:color w:val="auto"/>
                <w:sz w:val="24"/>
                <w:szCs w:val="24"/>
              </w:rPr>
              <w:t>20 darbdienu laikā pēc projekta pārskata saņemšanas vai 60 darbdienu laikā pēc noslēguma pārskata saņemšanas. Papildus Vadības noteikumu 85.</w:t>
            </w:r>
            <w:r>
              <w:rPr>
                <w:color w:val="auto"/>
                <w:sz w:val="24"/>
                <w:szCs w:val="24"/>
              </w:rPr>
              <w:t> </w:t>
            </w:r>
            <w:r w:rsidRPr="00E55B63">
              <w:rPr>
                <w:color w:val="auto"/>
                <w:sz w:val="24"/>
                <w:szCs w:val="24"/>
              </w:rPr>
              <w:t>punkts nosaka, ka Vadības noteikumu 83.</w:t>
            </w:r>
            <w:r>
              <w:rPr>
                <w:color w:val="auto"/>
                <w:sz w:val="24"/>
                <w:szCs w:val="24"/>
              </w:rPr>
              <w:t> </w:t>
            </w:r>
            <w:r w:rsidRPr="00E55B63">
              <w:rPr>
                <w:color w:val="auto"/>
                <w:sz w:val="24"/>
                <w:szCs w:val="24"/>
              </w:rPr>
              <w:t>punktā minēto termiņu var pagarināt par precizējumu un pieprasītās papildu informācijas vai ekspertīžu un kompetento institūciju atzinumu izskatīšanai nepieciešamo laiku, bet ne ilgāk kā par 15 darbdienām pēc precizējumu, papildu informācijas vai atzinuma saņemšanas dienas. Minētā kārtība</w:t>
            </w:r>
            <w:r>
              <w:rPr>
                <w:color w:val="auto"/>
                <w:sz w:val="24"/>
                <w:szCs w:val="24"/>
              </w:rPr>
              <w:t xml:space="preserve"> Vadības noteikumos</w:t>
            </w:r>
            <w:r w:rsidRPr="00E55B63">
              <w:rPr>
                <w:color w:val="auto"/>
                <w:sz w:val="24"/>
                <w:szCs w:val="24"/>
              </w:rPr>
              <w:t xml:space="preserve"> ir noteikta arī 2019.</w:t>
            </w:r>
            <w:r>
              <w:rPr>
                <w:color w:val="auto"/>
                <w:sz w:val="24"/>
                <w:szCs w:val="24"/>
              </w:rPr>
              <w:t> </w:t>
            </w:r>
            <w:r w:rsidRPr="00E55B63">
              <w:rPr>
                <w:color w:val="auto"/>
                <w:sz w:val="24"/>
                <w:szCs w:val="24"/>
              </w:rPr>
              <w:t>gada 11.</w:t>
            </w:r>
            <w:r>
              <w:rPr>
                <w:color w:val="auto"/>
                <w:sz w:val="24"/>
                <w:szCs w:val="24"/>
              </w:rPr>
              <w:t> </w:t>
            </w:r>
            <w:r w:rsidRPr="00E55B63">
              <w:rPr>
                <w:color w:val="auto"/>
                <w:sz w:val="24"/>
                <w:szCs w:val="24"/>
              </w:rPr>
              <w:t xml:space="preserve">oktobrī </w:t>
            </w:r>
            <w:proofErr w:type="spellStart"/>
            <w:r w:rsidRPr="00E55B63">
              <w:rPr>
                <w:color w:val="auto"/>
                <w:sz w:val="24"/>
                <w:szCs w:val="24"/>
              </w:rPr>
              <w:t>Donorvalstu</w:t>
            </w:r>
            <w:proofErr w:type="spellEnd"/>
            <w:r w:rsidRPr="00E55B63">
              <w:rPr>
                <w:color w:val="auto"/>
                <w:sz w:val="24"/>
                <w:szCs w:val="24"/>
              </w:rPr>
              <w:t xml:space="preserve"> apstiprinātajā </w:t>
            </w:r>
            <w:r w:rsidRPr="00E55B63">
              <w:rPr>
                <w:iCs/>
                <w:color w:val="auto"/>
                <w:sz w:val="24"/>
                <w:szCs w:val="24"/>
              </w:rPr>
              <w:t>E</w:t>
            </w:r>
            <w:r>
              <w:rPr>
                <w:iCs/>
                <w:color w:val="auto"/>
                <w:sz w:val="24"/>
                <w:szCs w:val="24"/>
              </w:rPr>
              <w:t>iropas Ekonomikas zonas</w:t>
            </w:r>
            <w:r w:rsidRPr="00E55B63">
              <w:rPr>
                <w:iCs/>
                <w:color w:val="auto"/>
                <w:sz w:val="24"/>
                <w:szCs w:val="24"/>
              </w:rPr>
              <w:t xml:space="preserve"> un Norvēģijas finanšu instrument</w:t>
            </w:r>
            <w:r>
              <w:rPr>
                <w:iCs/>
                <w:color w:val="auto"/>
                <w:sz w:val="24"/>
                <w:szCs w:val="24"/>
              </w:rPr>
              <w:t>a</w:t>
            </w:r>
            <w:r w:rsidRPr="00E55B63">
              <w:rPr>
                <w:iCs/>
                <w:color w:val="auto"/>
                <w:sz w:val="24"/>
                <w:szCs w:val="24"/>
              </w:rPr>
              <w:t xml:space="preserve"> 2014.</w:t>
            </w:r>
            <w:r>
              <w:t>–</w:t>
            </w:r>
            <w:r>
              <w:rPr>
                <w:iCs/>
                <w:color w:val="auto"/>
                <w:sz w:val="24"/>
                <w:szCs w:val="24"/>
              </w:rPr>
              <w:t>2021. </w:t>
            </w:r>
            <w:r w:rsidRPr="00E55B63">
              <w:rPr>
                <w:iCs/>
                <w:color w:val="auto"/>
                <w:sz w:val="24"/>
                <w:szCs w:val="24"/>
              </w:rPr>
              <w:t>gada ieviešanas perioda vadības un kontroles sistēmas aprakstā</w:t>
            </w:r>
            <w:r>
              <w:rPr>
                <w:rStyle w:val="FootnoteReference"/>
                <w:iCs/>
                <w:color w:val="auto"/>
                <w:sz w:val="24"/>
                <w:szCs w:val="24"/>
              </w:rPr>
              <w:footnoteReference w:id="3"/>
            </w:r>
            <w:r>
              <w:rPr>
                <w:iCs/>
                <w:color w:val="auto"/>
                <w:sz w:val="24"/>
                <w:szCs w:val="24"/>
              </w:rPr>
              <w:t>.</w:t>
            </w:r>
          </w:p>
          <w:p w14:paraId="5B35094D" w14:textId="77777777" w:rsidR="00667AB2" w:rsidRPr="00E55B63" w:rsidRDefault="00667AB2" w:rsidP="00B716F3">
            <w:pPr>
              <w:jc w:val="both"/>
            </w:pPr>
            <w:r w:rsidRPr="00E55B63">
              <w:t xml:space="preserve">Līdz ar to, neskatoties uz </w:t>
            </w:r>
            <w:r>
              <w:t>P</w:t>
            </w:r>
            <w:r w:rsidRPr="00E55B63">
              <w:t xml:space="preserve">rogrammas līgumā </w:t>
            </w:r>
            <w:r>
              <w:t>norādīto</w:t>
            </w:r>
            <w:r w:rsidRPr="00E55B63">
              <w:t xml:space="preserve"> garāko </w:t>
            </w:r>
            <w:r>
              <w:t xml:space="preserve">projekta </w:t>
            </w:r>
            <w:r w:rsidRPr="00E55B63">
              <w:t xml:space="preserve">pārskatu apstiprināšanas un maksājumu </w:t>
            </w:r>
            <w:r>
              <w:t xml:space="preserve">līdzfinansējuma saņēmējam </w:t>
            </w:r>
            <w:r w:rsidRPr="00E55B63">
              <w:t xml:space="preserve">veikšanas termiņu, </w:t>
            </w:r>
            <w:r>
              <w:t>ar noteikumu projektu paredzēts noteikt, ka A</w:t>
            </w:r>
            <w:r w:rsidRPr="00E55B63">
              <w:t>ģentūra ievēros Vadības noteikumu 83. un 85.</w:t>
            </w:r>
            <w:r>
              <w:t> </w:t>
            </w:r>
            <w:r w:rsidRPr="00E55B63">
              <w:t>punktā noteiktos termiņus.</w:t>
            </w:r>
          </w:p>
          <w:p w14:paraId="1CB2AF8F" w14:textId="77777777" w:rsidR="00667AB2" w:rsidRDefault="00667AB2" w:rsidP="00B716F3">
            <w:pPr>
              <w:jc w:val="both"/>
            </w:pPr>
            <w:r w:rsidRPr="00E55B63">
              <w:t xml:space="preserve">Ar noteikumu projekta </w:t>
            </w:r>
            <w:r w:rsidR="002A2289">
              <w:t>5</w:t>
            </w:r>
            <w:r w:rsidRPr="00852672">
              <w:t>.</w:t>
            </w:r>
            <w:r>
              <w:t> </w:t>
            </w:r>
            <w:r w:rsidRPr="00E55B63">
              <w:t>punktu</w:t>
            </w:r>
            <w:r w:rsidR="00DB571B">
              <w:t xml:space="preserve"> </w:t>
            </w:r>
            <w:r w:rsidR="00DB571B" w:rsidRPr="00852672">
              <w:t xml:space="preserve">un </w:t>
            </w:r>
            <w:r w:rsidR="002A2289">
              <w:t>9</w:t>
            </w:r>
            <w:r w:rsidR="00DB571B" w:rsidRPr="00852672">
              <w:t>. punktu</w:t>
            </w:r>
            <w:r w:rsidRPr="00E55B63">
              <w:t xml:space="preserve"> paredzēts veikt tehnisku</w:t>
            </w:r>
            <w:r w:rsidR="00DB571B">
              <w:t>s</w:t>
            </w:r>
            <w:r w:rsidRPr="00E55B63">
              <w:t xml:space="preserve"> precizējumu</w:t>
            </w:r>
            <w:r w:rsidR="00DB571B">
              <w:t>s</w:t>
            </w:r>
            <w:r w:rsidRPr="00E55B63">
              <w:t xml:space="preserve"> noteikumu Nr.</w:t>
            </w:r>
            <w:r>
              <w:t> </w:t>
            </w:r>
            <w:r w:rsidRPr="00E55B63">
              <w:t>537 17.2.6.</w:t>
            </w:r>
            <w:r>
              <w:t> </w:t>
            </w:r>
            <w:r w:rsidRPr="00E55B63">
              <w:t>apakšpunktā</w:t>
            </w:r>
            <w:r w:rsidR="00DB571B">
              <w:t xml:space="preserve"> un 24. punktā</w:t>
            </w:r>
            <w:r>
              <w:t>.</w:t>
            </w:r>
          </w:p>
          <w:p w14:paraId="0E05B999" w14:textId="77777777" w:rsidR="004175CE" w:rsidRPr="00E55B63" w:rsidRDefault="004175CE" w:rsidP="00B716F3">
            <w:pPr>
              <w:jc w:val="both"/>
            </w:pPr>
          </w:p>
          <w:p w14:paraId="0CADE259" w14:textId="77777777" w:rsidR="00667AB2" w:rsidRDefault="00667AB2" w:rsidP="00B716F3">
            <w:pPr>
              <w:jc w:val="both"/>
            </w:pPr>
            <w:r w:rsidRPr="00E55B63">
              <w:t xml:space="preserve">Noteikumu projekta </w:t>
            </w:r>
            <w:r w:rsidR="004D46DE" w:rsidRPr="00852672">
              <w:t>2</w:t>
            </w:r>
            <w:r w:rsidRPr="00E55B63">
              <w:t>.</w:t>
            </w:r>
            <w:r>
              <w:t> </w:t>
            </w:r>
            <w:r w:rsidRPr="00E55B63">
              <w:t>punkts paredz noteikumus Nr.</w:t>
            </w:r>
            <w:r>
              <w:t> </w:t>
            </w:r>
            <w:r w:rsidRPr="00E55B63">
              <w:t>537 papildināt ar 16.</w:t>
            </w:r>
            <w:r>
              <w:rPr>
                <w:vertAlign w:val="superscript"/>
              </w:rPr>
              <w:t>1</w:t>
            </w:r>
            <w:r w:rsidRPr="00722C78">
              <w:t> </w:t>
            </w:r>
            <w:r w:rsidRPr="00E55B63">
              <w:t>punktu, nosakot, ka noteikumu Nr.</w:t>
            </w:r>
            <w:r>
              <w:t> </w:t>
            </w:r>
            <w:r w:rsidRPr="00E55B63">
              <w:t xml:space="preserve">537 ietvaros netiek atbalstītas projekta iesniedzēja vai projekta partnera aktivitātes, kurām sniegtais atbalsts ir kvalificējams kā komercdarbības atbalsts. </w:t>
            </w:r>
            <w:r>
              <w:t xml:space="preserve">Tādējādi </w:t>
            </w:r>
            <w:r w:rsidRPr="00E55B63">
              <w:t xml:space="preserve">noteikuma projekts neizslēdz iespēju līdzfinansējuma saņēmējiem veikt saimniecisko darbību </w:t>
            </w:r>
            <w:r>
              <w:t xml:space="preserve">inovācijas centru </w:t>
            </w:r>
            <w:r w:rsidRPr="00E55B63">
              <w:t>projekta laikā.</w:t>
            </w:r>
          </w:p>
          <w:p w14:paraId="05D139EA" w14:textId="04B6C5D8" w:rsidR="00051032" w:rsidRDefault="00051032" w:rsidP="00B716F3">
            <w:pPr>
              <w:jc w:val="both"/>
            </w:pPr>
            <w:r>
              <w:t>Nosakot noteikumu</w:t>
            </w:r>
            <w:r w:rsidR="006750E6">
              <w:t xml:space="preserve"> projekta </w:t>
            </w:r>
            <w:r w:rsidR="004D46DE" w:rsidRPr="00852672">
              <w:t>2.</w:t>
            </w:r>
            <w:r w:rsidR="004D46DE">
              <w:t> </w:t>
            </w:r>
            <w:r w:rsidR="006750E6">
              <w:t xml:space="preserve">punktā, ka </w:t>
            </w:r>
            <w:r w:rsidR="006750E6" w:rsidRPr="006750E6">
              <w:t>netiek atbalstītas projekta iesniedzēja vai projekta partnera aktivitātes, kurām sniegtais atbalsts ir kvalificējams kā komercdarbības atbalsts</w:t>
            </w:r>
            <w:r w:rsidR="006750E6">
              <w:t xml:space="preserve">, </w:t>
            </w:r>
            <w:r w:rsidR="00AD732A">
              <w:t xml:space="preserve">tādēļ </w:t>
            </w:r>
            <w:r w:rsidR="006750E6">
              <w:t xml:space="preserve">noteikumu projekta </w:t>
            </w:r>
            <w:r w:rsidR="004D46DE" w:rsidRPr="00852672">
              <w:t>3.</w:t>
            </w:r>
            <w:r w:rsidR="006750E6">
              <w:t xml:space="preserve"> punkts </w:t>
            </w:r>
            <w:r w:rsidR="00112CC8">
              <w:t>paredz</w:t>
            </w:r>
            <w:r w:rsidR="006750E6">
              <w:t xml:space="preserve"> rīcību gadījumos, ja sniegtais atbalsts </w:t>
            </w:r>
            <w:r w:rsidR="00A9208D">
              <w:t xml:space="preserve">projekta ieviešanas laikā un tā ieguldījumu </w:t>
            </w:r>
            <w:r w:rsidR="00557701">
              <w:t xml:space="preserve">amortizācijas periodā </w:t>
            </w:r>
            <w:r w:rsidR="00112CC8">
              <w:t xml:space="preserve">tomēr </w:t>
            </w:r>
            <w:r w:rsidR="006750E6">
              <w:t>ir kvalificējams kā komercdarbības atbalsts, nosakot saņemtā finansējuma atmaksas kārtību un apmēru.</w:t>
            </w:r>
            <w:r w:rsidR="00557701">
              <w:t xml:space="preserve"> Šādos gadījumos finansējuma saņēmējs atmaksā visu projekta ietvaros </w:t>
            </w:r>
            <w:r w:rsidR="00F91E22">
              <w:t xml:space="preserve">nelikumīgi </w:t>
            </w:r>
            <w:r w:rsidR="00557701">
              <w:t>iegūto finansējumu aģentūrai</w:t>
            </w:r>
            <w:r w:rsidR="000277FC">
              <w:t xml:space="preserve"> par nelikumīgo darbību veikšanas periodu</w:t>
            </w:r>
            <w:r w:rsidR="00557701">
              <w:t>.</w:t>
            </w:r>
          </w:p>
          <w:p w14:paraId="46A787B8" w14:textId="77777777" w:rsidR="004B2BBF" w:rsidRDefault="004B2BBF" w:rsidP="00B716F3">
            <w:pPr>
              <w:jc w:val="both"/>
            </w:pPr>
          </w:p>
          <w:p w14:paraId="240E8326" w14:textId="77777777" w:rsidR="004B2BBF" w:rsidRDefault="004B2BBF" w:rsidP="002B460E">
            <w:pPr>
              <w:jc w:val="both"/>
              <w:rPr>
                <w:b/>
              </w:rPr>
            </w:pPr>
            <w:r>
              <w:t xml:space="preserve">Ar noteikumu projekta 1. punktu tiek noteikts aģentūrai nodrošināt uzraudzību </w:t>
            </w:r>
            <w:r w:rsidR="00112CC8">
              <w:t xml:space="preserve">amortizācijas periodā. Līdz ar to tiek noteikts arī, ka aģentūra uzrauga </w:t>
            </w:r>
            <w:r>
              <w:t>noteikumu projekta 16.</w:t>
            </w:r>
            <w:r>
              <w:rPr>
                <w:vertAlign w:val="superscript"/>
              </w:rPr>
              <w:t xml:space="preserve">1 </w:t>
            </w:r>
            <w:r>
              <w:t>punktā noteikto</w:t>
            </w:r>
            <w:r w:rsidR="00112CC8">
              <w:t xml:space="preserve">, ka netiek </w:t>
            </w:r>
            <w:r w:rsidR="00112CC8" w:rsidRPr="00112CC8">
              <w:t>atbalstītas projekta iesniedzēja vai projekta partnera aktivitātes, kurām sniegtais atbalsts ir kvalificējams kā komercdarbības atbalsts.</w:t>
            </w:r>
          </w:p>
          <w:p w14:paraId="5BCA1275" w14:textId="77777777" w:rsidR="004B2BBF" w:rsidRPr="00E55B63" w:rsidRDefault="005812A7" w:rsidP="00B716F3">
            <w:pPr>
              <w:jc w:val="both"/>
              <w:rPr>
                <w:lang w:eastAsia="en-US"/>
              </w:rPr>
            </w:pPr>
            <w:r w:rsidRPr="002639F9">
              <w:rPr>
                <w:lang w:eastAsia="en-US"/>
              </w:rPr>
              <w:lastRenderedPageBreak/>
              <w:t>Programmas apsaimniekotājs nodrošina aģentūrai nepieciešamo finansējumu projekta veikto ieguldījumu uzraudzībai piecus gadus pēc projekta</w:t>
            </w:r>
            <w:r w:rsidR="00662AE7" w:rsidRPr="002639F9">
              <w:rPr>
                <w:lang w:eastAsia="en-US"/>
              </w:rPr>
              <w:t xml:space="preserve"> gala atskaites apstiprināšanas</w:t>
            </w:r>
            <w:r w:rsidR="002639F9" w:rsidRPr="002639F9">
              <w:rPr>
                <w:lang w:eastAsia="en-US"/>
              </w:rPr>
              <w:t xml:space="preserve"> un </w:t>
            </w:r>
            <w:r w:rsidR="002A236D" w:rsidRPr="002639F9">
              <w:rPr>
                <w:lang w:eastAsia="en-US"/>
              </w:rPr>
              <w:t xml:space="preserve">uzraudzībai </w:t>
            </w:r>
            <w:r w:rsidR="002639F9" w:rsidRPr="002639F9">
              <w:rPr>
                <w:lang w:eastAsia="en-US"/>
              </w:rPr>
              <w:t xml:space="preserve">projekta </w:t>
            </w:r>
            <w:r w:rsidR="002A236D">
              <w:rPr>
                <w:lang w:eastAsia="en-US"/>
              </w:rPr>
              <w:t xml:space="preserve">atbilstības </w:t>
            </w:r>
            <w:r w:rsidR="002639F9" w:rsidRPr="002639F9">
              <w:rPr>
                <w:lang w:eastAsia="en-US"/>
              </w:rPr>
              <w:t>2. punktā noteikt</w:t>
            </w:r>
            <w:r w:rsidR="002A236D">
              <w:rPr>
                <w:lang w:eastAsia="en-US"/>
              </w:rPr>
              <w:t>ajam</w:t>
            </w:r>
            <w:r w:rsidR="002639F9" w:rsidRPr="002639F9">
              <w:rPr>
                <w:lang w:eastAsia="en-US"/>
              </w:rPr>
              <w:t xml:space="preserve"> amortizācijas periodā.</w:t>
            </w:r>
          </w:p>
          <w:p w14:paraId="7233018B" w14:textId="77777777" w:rsidR="00667AB2" w:rsidRPr="00E55B63" w:rsidRDefault="00667AB2" w:rsidP="00B716F3">
            <w:pPr>
              <w:jc w:val="both"/>
            </w:pPr>
            <w:r>
              <w:rPr>
                <w:lang w:eastAsia="en-US"/>
              </w:rPr>
              <w:t xml:space="preserve">Tā kā noteikumu Nr. 537 </w:t>
            </w:r>
            <w:r w:rsidRPr="00E55B63">
              <w:rPr>
                <w:lang w:eastAsia="en-US"/>
              </w:rPr>
              <w:t>ietvaros piešķirtajam atbalstam</w:t>
            </w:r>
            <w:r w:rsidRPr="00E55B63">
              <w:rPr>
                <w:lang w:eastAsia="zh-CN"/>
              </w:rPr>
              <w:t xml:space="preserve"> inovācijas centru projekt</w:t>
            </w:r>
            <w:r>
              <w:rPr>
                <w:lang w:eastAsia="zh-CN"/>
              </w:rPr>
              <w:t>iem</w:t>
            </w:r>
            <w:r w:rsidRPr="00E55B63">
              <w:rPr>
                <w:lang w:eastAsia="zh-CN"/>
              </w:rPr>
              <w:t xml:space="preserve"> </w:t>
            </w:r>
            <w:r w:rsidRPr="00E55B63">
              <w:rPr>
                <w:lang w:eastAsia="en-US"/>
              </w:rPr>
              <w:t>nav ietekmes uz</w:t>
            </w:r>
            <w:r w:rsidR="00A96F84">
              <w:rPr>
                <w:lang w:eastAsia="en-US"/>
              </w:rPr>
              <w:t xml:space="preserve"> </w:t>
            </w:r>
            <w:r w:rsidRPr="00E55B63">
              <w:rPr>
                <w:lang w:eastAsia="en-US"/>
              </w:rPr>
              <w:t>konkurenci un tirdzniecību Eiropas Savienības iekšējā tirgū, neizpildās visas Komercdarbības atbalsta kontroles likuma 5. pantā minētās valsts atbalsta pazīmes.</w:t>
            </w:r>
          </w:p>
          <w:p w14:paraId="29CF390B" w14:textId="77777777" w:rsidR="00667AB2" w:rsidRPr="00E55B63" w:rsidRDefault="00667AB2" w:rsidP="00B716F3">
            <w:pPr>
              <w:jc w:val="both"/>
            </w:pPr>
          </w:p>
          <w:p w14:paraId="0DCC251B" w14:textId="77777777" w:rsidR="00667AB2" w:rsidRPr="00E55B63" w:rsidRDefault="00667AB2" w:rsidP="00B716F3">
            <w:pPr>
              <w:jc w:val="both"/>
              <w:rPr>
                <w:lang w:eastAsia="en-US"/>
              </w:rPr>
            </w:pPr>
            <w:r w:rsidRPr="00E55B63">
              <w:rPr>
                <w:lang w:eastAsia="zh-CN"/>
              </w:rPr>
              <w:t>Inovācijas centr</w:t>
            </w:r>
            <w:r>
              <w:rPr>
                <w:lang w:eastAsia="zh-CN"/>
              </w:rPr>
              <w:t>u</w:t>
            </w:r>
            <w:r w:rsidRPr="00E55B63">
              <w:rPr>
                <w:lang w:eastAsia="zh-CN"/>
              </w:rPr>
              <w:t xml:space="preserve"> projektu ietvaros piešķirtajam atbalstam </w:t>
            </w:r>
            <w:r w:rsidRPr="00E55B63">
              <w:rPr>
                <w:lang w:eastAsia="en-US"/>
              </w:rPr>
              <w:t>nav ietekmes uz</w:t>
            </w:r>
            <w:r w:rsidR="00A96F84">
              <w:rPr>
                <w:lang w:eastAsia="en-US"/>
              </w:rPr>
              <w:t xml:space="preserve"> </w:t>
            </w:r>
            <w:r w:rsidRPr="00E55B63">
              <w:rPr>
                <w:lang w:eastAsia="en-US"/>
              </w:rPr>
              <w:t>konkurenci un tirdzniecību Eiropas Savienības iekšējā tirgū, jo:</w:t>
            </w:r>
          </w:p>
          <w:p w14:paraId="6BB82292" w14:textId="77777777" w:rsidR="00667AB2" w:rsidRPr="00E55B63" w:rsidRDefault="00667AB2" w:rsidP="00B716F3">
            <w:pPr>
              <w:numPr>
                <w:ilvl w:val="0"/>
                <w:numId w:val="32"/>
              </w:numPr>
              <w:ind w:left="0" w:firstLine="360"/>
              <w:jc w:val="both"/>
              <w:rPr>
                <w:lang w:eastAsia="en-US"/>
              </w:rPr>
            </w:pPr>
            <w:r w:rsidRPr="00E55B63">
              <w:rPr>
                <w:lang w:eastAsia="en-US"/>
              </w:rPr>
              <w:t xml:space="preserve">inovācijas centru projektu mērķis ir veicināt zināšanu attīstību un pirmskolas vecuma bērnu, skolēnu, audzēkņu, studentu (turpmāk – izglītojamie) karjeras izvēli </w:t>
            </w:r>
            <w:r w:rsidRPr="00E55B63">
              <w:t>zinātnes, tehnoloģiju, inženierzinātņu un matemātikas (turpmāk – STEM)</w:t>
            </w:r>
            <w:r w:rsidRPr="00E55B63">
              <w:rPr>
                <w:lang w:eastAsia="en-US"/>
              </w:rPr>
              <w:t xml:space="preserve"> jomās, izstrādājot un īstenojot izglītojamiem un pedagogiem izglītojošas programmas, darbnīcas, </w:t>
            </w:r>
            <w:proofErr w:type="spellStart"/>
            <w:r w:rsidRPr="00E55B63">
              <w:rPr>
                <w:lang w:eastAsia="en-US"/>
              </w:rPr>
              <w:t>koprades</w:t>
            </w:r>
            <w:proofErr w:type="spellEnd"/>
            <w:r w:rsidRPr="00E55B63">
              <w:rPr>
                <w:lang w:eastAsia="en-US"/>
              </w:rPr>
              <w:t xml:space="preserve"> telpas, </w:t>
            </w:r>
            <w:proofErr w:type="spellStart"/>
            <w:r w:rsidRPr="00E55B63">
              <w:rPr>
                <w:lang w:eastAsia="en-US"/>
              </w:rPr>
              <w:t>koprades</w:t>
            </w:r>
            <w:proofErr w:type="spellEnd"/>
            <w:r w:rsidRPr="00E55B63">
              <w:rPr>
                <w:lang w:eastAsia="en-US"/>
              </w:rPr>
              <w:t xml:space="preserve"> laboratorijas un citus interaktīvus pasākumus STEM jomā;</w:t>
            </w:r>
          </w:p>
          <w:p w14:paraId="121329DC" w14:textId="77777777" w:rsidR="00667AB2" w:rsidRPr="00E55B63" w:rsidRDefault="00667AB2" w:rsidP="00B716F3">
            <w:pPr>
              <w:numPr>
                <w:ilvl w:val="0"/>
                <w:numId w:val="32"/>
              </w:numPr>
              <w:ind w:left="0" w:firstLine="360"/>
              <w:jc w:val="both"/>
            </w:pPr>
            <w:r w:rsidRPr="00E55B63">
              <w:t>inovācijas centr</w:t>
            </w:r>
            <w:r>
              <w:t>u</w:t>
            </w:r>
            <w:r w:rsidRPr="00E55B63">
              <w:t xml:space="preserve"> projektu ietvaros tiks izstrādātas vismaz 12</w:t>
            </w:r>
            <w:r>
              <w:t> </w:t>
            </w:r>
            <w:r w:rsidRPr="00E55B63">
              <w:t>izglītības programmas pedagogiem par to, kā mācību priekšmetus STEM jomās mācīt atraktīvāk, lai raisītu interesi izglītojamajos, un tie vēlāk izvēlētos karjeru STEM jomās.</w:t>
            </w:r>
            <w:r>
              <w:t xml:space="preserve"> Plānots, ka lielākā daļa no izglītības programmām</w:t>
            </w:r>
            <w:r w:rsidRPr="00E55B63">
              <w:t xml:space="preserve"> būs latviešu valodā. Inovāciju centros tiks izveidoti un nodrošināti pasākumi izglītojamajiem, kas vairākumā gadījumu būs neformālās interešu izglītības pasākumi atbilstoši pašvaldībā apstiprinātajām</w:t>
            </w:r>
            <w:r>
              <w:t xml:space="preserve"> izglītības</w:t>
            </w:r>
            <w:r w:rsidRPr="00E55B63">
              <w:t xml:space="preserve"> programmām. Var prognozēt, ka vairākumā gadījumu tajos piedalīsies Latvijas pedagogi un izglītojamie, atsevišķos gadījumos </w:t>
            </w:r>
            <w:r>
              <w:t xml:space="preserve">inovācijas centru </w:t>
            </w:r>
            <w:r w:rsidRPr="00E55B63">
              <w:t xml:space="preserve">projekta Norvēģijas partneri, nepiesaistot izglītojamos ārpus Latvijas </w:t>
            </w:r>
            <w:r>
              <w:t xml:space="preserve">latviešu </w:t>
            </w:r>
            <w:r w:rsidRPr="00E55B63">
              <w:t>valodas nezināšanas dēļ;</w:t>
            </w:r>
          </w:p>
          <w:p w14:paraId="0439A947" w14:textId="77777777" w:rsidR="00667AB2" w:rsidRPr="00E55B63" w:rsidRDefault="00667AB2" w:rsidP="00B716F3">
            <w:pPr>
              <w:numPr>
                <w:ilvl w:val="0"/>
                <w:numId w:val="32"/>
              </w:numPr>
              <w:ind w:left="0" w:right="140" w:firstLine="360"/>
              <w:jc w:val="both"/>
            </w:pPr>
            <w:r w:rsidRPr="00E55B63">
              <w:t xml:space="preserve">inovācijas centru projektos izstrādātās </w:t>
            </w:r>
            <w:r>
              <w:t xml:space="preserve">izglītības </w:t>
            </w:r>
            <w:r w:rsidRPr="00E55B63">
              <w:t xml:space="preserve">programmas būs brīvi pieejamas līdzfinansējuma saņēmēju </w:t>
            </w:r>
            <w:r>
              <w:t>tīmekļvietnēs</w:t>
            </w:r>
            <w:r w:rsidRPr="00E55B63">
              <w:t>, rezultāti tiks izplatīti bez ekskluzivitātes un diskriminēšanas;</w:t>
            </w:r>
          </w:p>
          <w:p w14:paraId="331FBFCB" w14:textId="77777777" w:rsidR="00667AB2" w:rsidRPr="00E55B63" w:rsidRDefault="00667AB2" w:rsidP="00B716F3">
            <w:pPr>
              <w:numPr>
                <w:ilvl w:val="0"/>
                <w:numId w:val="32"/>
              </w:numPr>
              <w:ind w:left="0" w:right="140" w:firstLine="360"/>
              <w:jc w:val="both"/>
            </w:pPr>
            <w:r w:rsidRPr="00E55B63">
              <w:rPr>
                <w:lang w:eastAsia="en-US"/>
              </w:rPr>
              <w:t xml:space="preserve">inovācijas centri (ārpus Latvijas bieži saukti par zinātnes centriem), kas veicina izglītojamo interesi par </w:t>
            </w:r>
            <w:r w:rsidRPr="00E55B63">
              <w:t xml:space="preserve">STEM jomām un šo jomu zināšanu attīstību, </w:t>
            </w:r>
            <w:r w:rsidRPr="00E55B63">
              <w:rPr>
                <w:lang w:eastAsia="en-US"/>
              </w:rPr>
              <w:t xml:space="preserve">ir plaši izplatīti Eiropā un Eiropas Ekonomikas zonā, tai skaitā arī Latvijas kaimiņvalstīs </w:t>
            </w:r>
            <w:r>
              <w:rPr>
                <w:lang w:eastAsia="en-US"/>
              </w:rPr>
              <w:t xml:space="preserve">– </w:t>
            </w:r>
            <w:r w:rsidRPr="00E55B63">
              <w:rPr>
                <w:lang w:eastAsia="en-US"/>
              </w:rPr>
              <w:t xml:space="preserve">Igaunijā un Lietuvā. Latvijas inovācijas centru sniegtajiem pakalpojumiem ir vietēja rakstura nozīme, jo </w:t>
            </w:r>
            <w:proofErr w:type="spellStart"/>
            <w:r w:rsidRPr="00E55B63">
              <w:rPr>
                <w:lang w:eastAsia="en-US"/>
              </w:rPr>
              <w:t>Cēsu</w:t>
            </w:r>
            <w:proofErr w:type="spellEnd"/>
            <w:r w:rsidRPr="00E55B63">
              <w:rPr>
                <w:lang w:eastAsia="en-US"/>
              </w:rPr>
              <w:t xml:space="preserve"> novada</w:t>
            </w:r>
            <w:r>
              <w:rPr>
                <w:lang w:eastAsia="en-US"/>
              </w:rPr>
              <w:t xml:space="preserve"> pašvaldība</w:t>
            </w:r>
            <w:r w:rsidRPr="00E55B63">
              <w:rPr>
                <w:lang w:eastAsia="en-US"/>
              </w:rPr>
              <w:t xml:space="preserve">, Daugavpils pilsētas </w:t>
            </w:r>
            <w:r>
              <w:rPr>
                <w:lang w:eastAsia="en-US"/>
              </w:rPr>
              <w:t>pašvaldība</w:t>
            </w:r>
            <w:r w:rsidRPr="00E55B63">
              <w:rPr>
                <w:lang w:eastAsia="en-US"/>
              </w:rPr>
              <w:t xml:space="preserve">, Liepājas pilsētas </w:t>
            </w:r>
            <w:r>
              <w:rPr>
                <w:lang w:eastAsia="en-US"/>
              </w:rPr>
              <w:t>pašvaldība</w:t>
            </w:r>
            <w:r w:rsidRPr="00E55B63">
              <w:rPr>
                <w:lang w:eastAsia="en-US"/>
              </w:rPr>
              <w:t xml:space="preserve"> un Ventspils pilsētas </w:t>
            </w:r>
            <w:r>
              <w:rPr>
                <w:lang w:eastAsia="en-US"/>
              </w:rPr>
              <w:t>pašvaldība</w:t>
            </w:r>
            <w:r w:rsidRPr="00E55B63">
              <w:rPr>
                <w:lang w:eastAsia="en-US"/>
              </w:rPr>
              <w:t xml:space="preserve"> prognozē, ka no visiem inovācijas centra apmeklētājiem vairāk kā 85</w:t>
            </w:r>
            <w:r>
              <w:rPr>
                <w:lang w:eastAsia="en-US"/>
              </w:rPr>
              <w:t> </w:t>
            </w:r>
            <w:r w:rsidRPr="00E55B63">
              <w:rPr>
                <w:lang w:eastAsia="en-US"/>
              </w:rPr>
              <w:t>% būs Latvijas iedzīvotāji. Turklāt, iepriekšējā pieredze</w:t>
            </w:r>
            <w:r>
              <w:rPr>
                <w:lang w:eastAsia="en-US"/>
              </w:rPr>
              <w:t xml:space="preserve"> ar </w:t>
            </w:r>
            <w:proofErr w:type="spellStart"/>
            <w:r>
              <w:rPr>
                <w:lang w:eastAsia="en-US"/>
              </w:rPr>
              <w:t>Zino</w:t>
            </w:r>
            <w:r w:rsidRPr="00E55B63">
              <w:rPr>
                <w:lang w:eastAsia="en-US"/>
              </w:rPr>
              <w:t>o</w:t>
            </w:r>
            <w:proofErr w:type="spellEnd"/>
            <w:r w:rsidRPr="00E55B63">
              <w:rPr>
                <w:lang w:eastAsia="en-US"/>
              </w:rPr>
              <w:t xml:space="preserve"> tipa centru</w:t>
            </w:r>
            <w:r>
              <w:rPr>
                <w:rStyle w:val="FootnoteReference"/>
                <w:lang w:eastAsia="en-US"/>
              </w:rPr>
              <w:footnoteReference w:id="4"/>
            </w:r>
            <w:r w:rsidRPr="00E55B63">
              <w:rPr>
                <w:lang w:eastAsia="en-US"/>
              </w:rPr>
              <w:t xml:space="preserve"> darbību rāda, ka apmeklētājiem no citām valstīm centra apmeklējums nav bijis galvenais Latvijas vai attiecīgās vizītes mērķis, līdz ar to secināms, ka atbalsts neietekmē konkurenci Eiropas Savienības līmenī. Līdzfinansējuma saņēmēji </w:t>
            </w:r>
            <w:r w:rsidRPr="00E55B63">
              <w:t xml:space="preserve">veiks apmeklētāju plūsmas uzkaiti, tādejādi nodrošinot pārliecību, ka arī </w:t>
            </w:r>
            <w:r>
              <w:t xml:space="preserve">inovācijas centru </w:t>
            </w:r>
            <w:r w:rsidRPr="00E55B63">
              <w:t>projekta īstenošanas gaitā pieņēmums par vietējo ietekmi ir atbilstošs faktiskajai situācijai;</w:t>
            </w:r>
          </w:p>
          <w:p w14:paraId="640D8EA8" w14:textId="77777777" w:rsidR="00667AB2" w:rsidRPr="00E55B63" w:rsidRDefault="00667AB2" w:rsidP="00B716F3">
            <w:pPr>
              <w:numPr>
                <w:ilvl w:val="0"/>
                <w:numId w:val="32"/>
              </w:numPr>
              <w:ind w:left="0" w:right="140" w:firstLine="360"/>
              <w:jc w:val="both"/>
            </w:pPr>
            <w:r w:rsidRPr="00E55B63">
              <w:lastRenderedPageBreak/>
              <w:t>līdzšinējā pašvaldību pieredze rāda, ka ārvalstu investori neizrāda interesi vai vēlmi ieguldīt izglītojamo interešu neformālās izglītības centros.</w:t>
            </w:r>
          </w:p>
          <w:p w14:paraId="7726C0E8" w14:textId="77777777" w:rsidR="00667AB2" w:rsidRPr="00E55B63" w:rsidRDefault="00667AB2" w:rsidP="00B716F3">
            <w:pPr>
              <w:jc w:val="both"/>
            </w:pPr>
          </w:p>
          <w:p w14:paraId="24C38A7B" w14:textId="77777777" w:rsidR="00667AB2" w:rsidRPr="00E55B63" w:rsidRDefault="00667AB2" w:rsidP="00B716F3">
            <w:pPr>
              <w:jc w:val="both"/>
            </w:pPr>
            <w:r w:rsidRPr="00E55B63">
              <w:t xml:space="preserve">Līdz ar to secināms, ka </w:t>
            </w:r>
            <w:proofErr w:type="spellStart"/>
            <w:r w:rsidRPr="00E55B63">
              <w:t>Cēsu</w:t>
            </w:r>
            <w:proofErr w:type="spellEnd"/>
            <w:r w:rsidRPr="00E55B63">
              <w:t xml:space="preserve"> novada</w:t>
            </w:r>
            <w:r>
              <w:rPr>
                <w:lang w:eastAsia="en-US"/>
              </w:rPr>
              <w:t xml:space="preserve"> pašvaldība</w:t>
            </w:r>
            <w:r w:rsidRPr="00E55B63">
              <w:t>, Daugavpils</w:t>
            </w:r>
            <w:r>
              <w:rPr>
                <w:lang w:eastAsia="en-US"/>
              </w:rPr>
              <w:t xml:space="preserve"> pilsētas pašvaldība</w:t>
            </w:r>
            <w:r w:rsidRPr="00E55B63">
              <w:t>,</w:t>
            </w:r>
            <w:r>
              <w:t xml:space="preserve"> </w:t>
            </w:r>
            <w:r w:rsidRPr="00E55B63">
              <w:t xml:space="preserve">Liepājas </w:t>
            </w:r>
            <w:r>
              <w:t xml:space="preserve">pilsētas </w:t>
            </w:r>
            <w:r>
              <w:rPr>
                <w:lang w:eastAsia="en-US"/>
              </w:rPr>
              <w:t>pašvaldība</w:t>
            </w:r>
            <w:r w:rsidRPr="00E55B63">
              <w:t xml:space="preserve"> un Ventspils pilsēt</w:t>
            </w:r>
            <w:r>
              <w:t>as</w:t>
            </w:r>
            <w:r w:rsidRPr="00E55B63">
              <w:t xml:space="preserve"> pašvaldība kā līdzfinansējuma saņēmēji projektu līgumu īstenošanas laikā var pārdot </w:t>
            </w:r>
            <w:r>
              <w:t xml:space="preserve">inovācijas </w:t>
            </w:r>
            <w:r w:rsidRPr="00E55B63">
              <w:t>centra ieejas biļetes iedzīvotājiem</w:t>
            </w:r>
            <w:r>
              <w:t xml:space="preserve"> un citiem apmeklētājiem</w:t>
            </w:r>
            <w:r w:rsidRPr="00E55B63">
              <w:t>, izņemot</w:t>
            </w:r>
            <w:r>
              <w:t xml:space="preserve"> </w:t>
            </w:r>
            <w:r w:rsidRPr="00E55B63">
              <w:t>to mērķa grupas daļu (izglītojamos un pedagogus), kas minēti projekta līgumā rezultātu rādītājos (800 izglītojamie un 200 pedagogi).</w:t>
            </w:r>
          </w:p>
          <w:p w14:paraId="7CA45072" w14:textId="77777777" w:rsidR="00667AB2" w:rsidRPr="00E55B63" w:rsidRDefault="00667AB2" w:rsidP="00B716F3">
            <w:pPr>
              <w:ind w:left="720"/>
              <w:jc w:val="both"/>
            </w:pPr>
          </w:p>
          <w:p w14:paraId="46AF155B" w14:textId="77777777" w:rsidR="00667AB2" w:rsidRPr="00E55B63" w:rsidRDefault="00667AB2" w:rsidP="00B716F3">
            <w:pPr>
              <w:jc w:val="both"/>
            </w:pPr>
            <w:r w:rsidRPr="00E55B63">
              <w:t>Pēc projekta līguma beigām inovācijas centr</w:t>
            </w:r>
            <w:r>
              <w:t>s</w:t>
            </w:r>
            <w:r w:rsidRPr="00E55B63">
              <w:t xml:space="preserve"> ir tiesīg</w:t>
            </w:r>
            <w:r>
              <w:t>s</w:t>
            </w:r>
            <w:r w:rsidRPr="00E55B63">
              <w:t xml:space="preserve"> prasīt samaksu par saviem pakalpojumiem no visiem </w:t>
            </w:r>
            <w:r>
              <w:t xml:space="preserve">inovācijas </w:t>
            </w:r>
            <w:r w:rsidRPr="00E55B63">
              <w:t xml:space="preserve">centra apmeklētājiem. </w:t>
            </w:r>
          </w:p>
          <w:p w14:paraId="45D32C49" w14:textId="77777777" w:rsidR="00667AB2" w:rsidRPr="00E55B63" w:rsidRDefault="00667AB2" w:rsidP="00B716F3">
            <w:pPr>
              <w:jc w:val="both"/>
            </w:pPr>
          </w:p>
          <w:p w14:paraId="5156B965" w14:textId="77777777" w:rsidR="00667AB2" w:rsidRPr="00E55B63" w:rsidRDefault="00667AB2" w:rsidP="00B716F3">
            <w:pPr>
              <w:jc w:val="both"/>
            </w:pPr>
          </w:p>
          <w:p w14:paraId="07133F79" w14:textId="77777777" w:rsidR="00667AB2" w:rsidRPr="00E55B63" w:rsidRDefault="00667AB2" w:rsidP="00B716F3">
            <w:pPr>
              <w:jc w:val="both"/>
            </w:pPr>
            <w:r w:rsidRPr="00E55B63">
              <w:t xml:space="preserve">Tā kā līdzfinansējuma saņēmēji plāno attiecināt inovācijas centru pārvietojamo iekārtu </w:t>
            </w:r>
            <w:r w:rsidRPr="002B460E">
              <w:t>izmaksas no inovācijas centru projekta pilnā apjomā, tad tie ir apņēmušies (atbilstoši noteikumu Nr. 537 21. punktam) vismaz piecus gadus pēc inovācijas centru projekta noslēguma pārskata apstiprināšanas paturēt attiecīgo iekārtu savā īpašumā un turpināt to izmantot, veicinot inovācijas centru projekta mērķu sasniegšanu, apdrošināt attiecīgo iekārtu pret zaudējumiem (piemēram, ugunsgrēku, zādzību, citiem parasti apdrošināmiem riskiem) un paredzēt atbilstošus resursus iekārtas tehniskajai apkopei.</w:t>
            </w:r>
          </w:p>
          <w:p w14:paraId="0876A807" w14:textId="77777777" w:rsidR="00667AB2" w:rsidRPr="00E55B63" w:rsidRDefault="00667AB2" w:rsidP="00B716F3">
            <w:pPr>
              <w:jc w:val="both"/>
            </w:pPr>
          </w:p>
          <w:p w14:paraId="4B18C851" w14:textId="77777777" w:rsidR="00667AB2" w:rsidRPr="00E55B63" w:rsidRDefault="00667AB2" w:rsidP="00B716F3">
            <w:pPr>
              <w:jc w:val="both"/>
            </w:pPr>
            <w:r>
              <w:t>Atbilstoši Aģentūrā i</w:t>
            </w:r>
            <w:r w:rsidRPr="00E55B63">
              <w:t xml:space="preserve">esniegtajai informācijai, līdzfinansējumu saņēmēju plānotie ieņēmumi </w:t>
            </w:r>
            <w:r>
              <w:t xml:space="preserve">inovācijas centru </w:t>
            </w:r>
            <w:r w:rsidRPr="00E55B63">
              <w:t xml:space="preserve">projekta laikā ir šādi: </w:t>
            </w:r>
            <w:proofErr w:type="spellStart"/>
            <w:r w:rsidRPr="00E55B63">
              <w:t>Cēsu</w:t>
            </w:r>
            <w:proofErr w:type="spellEnd"/>
            <w:r w:rsidRPr="00E55B63">
              <w:t xml:space="preserve"> inovācijas centra projektā </w:t>
            </w:r>
            <w:r>
              <w:t>–</w:t>
            </w:r>
            <w:r w:rsidRPr="00E55B63">
              <w:t xml:space="preserve"> </w:t>
            </w:r>
            <w:r>
              <w:t>867 585 </w:t>
            </w:r>
            <w:proofErr w:type="spellStart"/>
            <w:r w:rsidRPr="00E55B63">
              <w:rPr>
                <w:i/>
              </w:rPr>
              <w:t>euro</w:t>
            </w:r>
            <w:proofErr w:type="spellEnd"/>
            <w:r w:rsidRPr="00E55B63">
              <w:t>, Daugavpils inovācijas centra projektā – 53</w:t>
            </w:r>
            <w:r>
              <w:t> </w:t>
            </w:r>
            <w:r w:rsidRPr="00E55B63">
              <w:t>651</w:t>
            </w:r>
            <w:r>
              <w:t> </w:t>
            </w:r>
            <w:proofErr w:type="spellStart"/>
            <w:r w:rsidRPr="00E55B63">
              <w:rPr>
                <w:i/>
              </w:rPr>
              <w:t>euro</w:t>
            </w:r>
            <w:proofErr w:type="spellEnd"/>
            <w:r w:rsidRPr="00E55B63">
              <w:rPr>
                <w:i/>
              </w:rPr>
              <w:t>,</w:t>
            </w:r>
            <w:r w:rsidR="00A96F84">
              <w:t xml:space="preserve"> </w:t>
            </w:r>
            <w:r w:rsidRPr="00E55B63">
              <w:t xml:space="preserve">Liepājas inovācijas centra projektā </w:t>
            </w:r>
            <w:r>
              <w:t>– 15 </w:t>
            </w:r>
            <w:r w:rsidRPr="00E55B63">
              <w:t>720</w:t>
            </w:r>
            <w:r>
              <w:t> </w:t>
            </w:r>
            <w:proofErr w:type="spellStart"/>
            <w:r w:rsidRPr="00E55B63">
              <w:rPr>
                <w:i/>
              </w:rPr>
              <w:t>euro</w:t>
            </w:r>
            <w:proofErr w:type="spellEnd"/>
            <w:r w:rsidRPr="00E55B63">
              <w:t xml:space="preserve">, Ventspils inovācijas centra projektā </w:t>
            </w:r>
            <w:r>
              <w:t>– 761 231 </w:t>
            </w:r>
            <w:proofErr w:type="spellStart"/>
            <w:r w:rsidRPr="00E55B63">
              <w:rPr>
                <w:i/>
              </w:rPr>
              <w:t>euro</w:t>
            </w:r>
            <w:proofErr w:type="spellEnd"/>
            <w:r w:rsidRPr="00E55B63">
              <w:rPr>
                <w:i/>
              </w:rPr>
              <w:t>.</w:t>
            </w:r>
          </w:p>
          <w:p w14:paraId="10C9B8F9" w14:textId="77777777" w:rsidR="00667AB2" w:rsidRPr="00E55B63" w:rsidRDefault="00667AB2" w:rsidP="00B716F3">
            <w:pPr>
              <w:jc w:val="both"/>
            </w:pPr>
          </w:p>
          <w:p w14:paraId="25C9F15D" w14:textId="77777777" w:rsidR="0082101F" w:rsidRDefault="00667AB2" w:rsidP="00B716F3">
            <w:pPr>
              <w:tabs>
                <w:tab w:val="left" w:pos="993"/>
              </w:tabs>
              <w:jc w:val="both"/>
              <w:rPr>
                <w:rFonts w:eastAsia="Calibri"/>
              </w:rPr>
            </w:pPr>
            <w:r w:rsidRPr="00E55B63">
              <w:t>Gūtie ieņēmumi līdzfinansējumu saņēmējiem jāiegulda</w:t>
            </w:r>
            <w:r>
              <w:t xml:space="preserve"> inovācijas centru</w:t>
            </w:r>
            <w:r w:rsidRPr="00E55B63">
              <w:t xml:space="preserve"> projektā atbilstoši </w:t>
            </w:r>
            <w:r>
              <w:t>inovācijas centru</w:t>
            </w:r>
            <w:r w:rsidRPr="00E55B63">
              <w:t xml:space="preserve"> projekta mērķim. Līdzfinansējuma saņēmējam </w:t>
            </w:r>
            <w:r>
              <w:t>inovācijas centru</w:t>
            </w:r>
            <w:r w:rsidRPr="00E55B63">
              <w:t xml:space="preserve"> projektā gūtie ieņēmumi un to izlietojums ir jāuzskaita atsevišķi, lai jebkurai kontrolējošai institūcijai būtu </w:t>
            </w:r>
            <w:r w:rsidRPr="00E55B63">
              <w:rPr>
                <w:rFonts w:eastAsia="Calibri"/>
              </w:rPr>
              <w:t>iespējams tos identificēt, pārbaudīt un nodalīt no pārējām izmaksām, ieņēmumiem, izdevumiem, naudas plūsmām.</w:t>
            </w:r>
          </w:p>
          <w:p w14:paraId="4F3D4C82" w14:textId="77777777" w:rsidR="0082101F" w:rsidRDefault="0082101F" w:rsidP="00B716F3">
            <w:pPr>
              <w:tabs>
                <w:tab w:val="left" w:pos="993"/>
              </w:tabs>
              <w:jc w:val="both"/>
              <w:rPr>
                <w:rFonts w:eastAsia="Calibri"/>
              </w:rPr>
            </w:pPr>
          </w:p>
          <w:p w14:paraId="6F82CE59" w14:textId="77777777" w:rsidR="00E0413A" w:rsidRPr="00E55B63" w:rsidRDefault="00E0413A" w:rsidP="00E0413A">
            <w:pPr>
              <w:tabs>
                <w:tab w:val="left" w:pos="993"/>
              </w:tabs>
              <w:jc w:val="both"/>
            </w:pPr>
            <w:r w:rsidRPr="002B460E">
              <w:rPr>
                <w:rFonts w:eastAsia="Calibri"/>
              </w:rPr>
              <w:t>Pa</w:t>
            </w:r>
            <w:r>
              <w:rPr>
                <w:rFonts w:eastAsia="Calibri"/>
              </w:rPr>
              <w:t>pildinot noteikumu projektu ar 10</w:t>
            </w:r>
            <w:r w:rsidRPr="002B460E">
              <w:rPr>
                <w:rFonts w:eastAsia="Calibri"/>
              </w:rPr>
              <w:t>. punktu, noteikts, ka</w:t>
            </w:r>
            <w:r w:rsidRPr="002B460E">
              <w:t xml:space="preserve"> līdzfinansējuma saņēmējs nodrošina, ka attiecīgie grāmatvedības dokumenti ir pieejami pārbaudei </w:t>
            </w:r>
            <w:r>
              <w:t>visu amortizācijas periodu, taču, ja tas ir īsāks par pieciem gadiem, tad šie dokumenti pieejami</w:t>
            </w:r>
            <w:r w:rsidRPr="002B460E">
              <w:t xml:space="preserve"> vismaz piecus gadus pēc inovācijas centru projekta noslēguma ziņojuma apstiprināšanas Programmas un inovācijas centru projektu kontrolējošām institūcijām. Tādējādi</w:t>
            </w:r>
            <w:r>
              <w:t xml:space="preserve"> nodrošināta korekta</w:t>
            </w:r>
            <w:r w:rsidRPr="00D339C8">
              <w:t xml:space="preserve"> uzraudzību par 16.</w:t>
            </w:r>
            <w:r w:rsidRPr="00D339C8">
              <w:rPr>
                <w:vertAlign w:val="superscript"/>
              </w:rPr>
              <w:t>1</w:t>
            </w:r>
            <w:r w:rsidRPr="00D339C8">
              <w:t xml:space="preserve"> </w:t>
            </w:r>
            <w:r>
              <w:t xml:space="preserve">punktā </w:t>
            </w:r>
            <w:r w:rsidRPr="00D339C8">
              <w:t>noteikto pienākumu ievērošanu</w:t>
            </w:r>
            <w:r>
              <w:t>.</w:t>
            </w:r>
          </w:p>
          <w:p w14:paraId="702FD942" w14:textId="77777777" w:rsidR="00667AB2" w:rsidRPr="00E55B63" w:rsidRDefault="00667AB2" w:rsidP="00B716F3">
            <w:pPr>
              <w:jc w:val="both"/>
            </w:pPr>
            <w:r w:rsidRPr="00E55B63">
              <w:t xml:space="preserve">Līdzfinansējumu saņēmēju tiesības gūt ieņēmumus </w:t>
            </w:r>
            <w:r>
              <w:t>inovācijas centru</w:t>
            </w:r>
            <w:r w:rsidRPr="00E55B63">
              <w:t xml:space="preserve"> projektu īstenošanas laikā, to izlietošanas nosacījumi (jāiegulda </w:t>
            </w:r>
            <w:r>
              <w:t>inovācijas centru</w:t>
            </w:r>
            <w:r w:rsidRPr="00E55B63">
              <w:t xml:space="preserve"> projekt</w:t>
            </w:r>
            <w:r>
              <w:t>ā</w:t>
            </w:r>
            <w:r w:rsidRPr="00E55B63">
              <w:t xml:space="preserve"> atbilstoši </w:t>
            </w:r>
            <w:r>
              <w:t>inovācijas centru</w:t>
            </w:r>
            <w:r w:rsidRPr="00E55B63">
              <w:t xml:space="preserve"> projekta mērķim) un uzskaites nosacījumi 2020.</w:t>
            </w:r>
            <w:r>
              <w:t> </w:t>
            </w:r>
            <w:r w:rsidRPr="00E55B63">
              <w:t>gada 14.</w:t>
            </w:r>
            <w:r>
              <w:t> </w:t>
            </w:r>
            <w:r w:rsidRPr="00E55B63">
              <w:t xml:space="preserve">oktobrī ir saskaņoti ar Finanšu </w:t>
            </w:r>
            <w:r w:rsidRPr="00E55B63">
              <w:lastRenderedPageBreak/>
              <w:t xml:space="preserve">instrumentu biroju (Brisele), kurš pārstāv </w:t>
            </w:r>
            <w:r>
              <w:t>P</w:t>
            </w:r>
            <w:r w:rsidRPr="00E55B63">
              <w:t xml:space="preserve">rogrammas </w:t>
            </w:r>
            <w:proofErr w:type="spellStart"/>
            <w:r w:rsidRPr="00E55B63">
              <w:t>donorvalstu</w:t>
            </w:r>
            <w:proofErr w:type="spellEnd"/>
            <w:r w:rsidRPr="00E55B63">
              <w:t xml:space="preserve"> un </w:t>
            </w:r>
            <w:proofErr w:type="spellStart"/>
            <w:r w:rsidRPr="00E55B63">
              <w:t>donorvalstu</w:t>
            </w:r>
            <w:proofErr w:type="spellEnd"/>
            <w:r w:rsidRPr="00E55B63">
              <w:t xml:space="preserve"> partneru intereses.</w:t>
            </w:r>
          </w:p>
          <w:p w14:paraId="76AEA180" w14:textId="77777777" w:rsidR="00667AB2" w:rsidRPr="00E55B63" w:rsidRDefault="00667AB2" w:rsidP="00B716F3">
            <w:pPr>
              <w:jc w:val="both"/>
            </w:pPr>
          </w:p>
          <w:p w14:paraId="24769454" w14:textId="77777777" w:rsidR="00667AB2" w:rsidRPr="00E55B63" w:rsidRDefault="00667AB2" w:rsidP="00B716F3">
            <w:pPr>
              <w:jc w:val="both"/>
            </w:pPr>
            <w:r>
              <w:rPr>
                <w:lang w:eastAsia="zh-CN"/>
              </w:rPr>
              <w:t>P</w:t>
            </w:r>
            <w:r w:rsidRPr="00E55B63">
              <w:rPr>
                <w:lang w:eastAsia="zh-CN"/>
              </w:rPr>
              <w:t>rojektu līgumi ir noslēgti 2020.</w:t>
            </w:r>
            <w:r>
              <w:rPr>
                <w:lang w:eastAsia="zh-CN"/>
              </w:rPr>
              <w:t> </w:t>
            </w:r>
            <w:r w:rsidRPr="00E55B63">
              <w:rPr>
                <w:lang w:eastAsia="zh-CN"/>
              </w:rPr>
              <w:t>gada jūlijā un augustā. Noteikumu projektam nav negatīva</w:t>
            </w:r>
            <w:r>
              <w:rPr>
                <w:lang w:eastAsia="zh-CN"/>
              </w:rPr>
              <w:t>s</w:t>
            </w:r>
            <w:r w:rsidRPr="00E55B63">
              <w:rPr>
                <w:lang w:eastAsia="zh-CN"/>
              </w:rPr>
              <w:t xml:space="preserve"> ietekme</w:t>
            </w:r>
            <w:r>
              <w:rPr>
                <w:lang w:eastAsia="zh-CN"/>
              </w:rPr>
              <w:t>s</w:t>
            </w:r>
            <w:r w:rsidRPr="00E55B63">
              <w:rPr>
                <w:lang w:eastAsia="zh-CN"/>
              </w:rPr>
              <w:t xml:space="preserve"> uz </w:t>
            </w:r>
            <w:r>
              <w:t>inovācijas centru</w:t>
            </w:r>
            <w:r w:rsidRPr="00E55B63">
              <w:t xml:space="preserve"> projektiem vai uz</w:t>
            </w:r>
            <w:r>
              <w:t xml:space="preserve"> līdzfinansējuma saņēmēju</w:t>
            </w:r>
            <w:r w:rsidRPr="00E55B63">
              <w:t xml:space="preserve"> tiesisko paļāvību, jo noteikumu projektā norādītie risinājumi nav striktāki par noteikumu Nr.</w:t>
            </w:r>
            <w:r>
              <w:t> </w:t>
            </w:r>
            <w:r w:rsidRPr="00E55B63">
              <w:t xml:space="preserve">537 nosacījumiem, tieši otrādi </w:t>
            </w:r>
            <w:r>
              <w:t>–</w:t>
            </w:r>
            <w:r w:rsidRPr="00E55B63">
              <w:t xml:space="preserve"> </w:t>
            </w:r>
            <w:r>
              <w:t xml:space="preserve">noteikumu projekts paredz noteikt, ka </w:t>
            </w:r>
            <w:r w:rsidRPr="00E55B63">
              <w:t>līdzfinansējuma saņēmēji var veikt saimniecisko darbību.</w:t>
            </w:r>
          </w:p>
          <w:p w14:paraId="7425127C" w14:textId="77777777" w:rsidR="00051032" w:rsidRDefault="00667AB2" w:rsidP="00B716F3">
            <w:pPr>
              <w:pStyle w:val="ListParagraph"/>
              <w:spacing w:after="0" w:line="240" w:lineRule="auto"/>
              <w:ind w:left="0"/>
              <w:contextualSpacing w:val="0"/>
              <w:jc w:val="both"/>
              <w:rPr>
                <w:rFonts w:ascii="Times New Roman" w:hAnsi="Times New Roman"/>
                <w:sz w:val="24"/>
                <w:szCs w:val="24"/>
              </w:rPr>
            </w:pPr>
            <w:r w:rsidRPr="00E55B63">
              <w:rPr>
                <w:rFonts w:ascii="Times New Roman" w:hAnsi="Times New Roman"/>
                <w:sz w:val="24"/>
                <w:szCs w:val="24"/>
              </w:rPr>
              <w:t>Noteikumu projekts saskaņots ar līdzfinansējuma saņēmējiem.</w:t>
            </w:r>
          </w:p>
          <w:p w14:paraId="4D43132F" w14:textId="77777777" w:rsidR="00051032" w:rsidRPr="00E55B63" w:rsidRDefault="00051032" w:rsidP="00B716F3">
            <w:pPr>
              <w:pStyle w:val="ListParagraph"/>
              <w:spacing w:after="0" w:line="240" w:lineRule="auto"/>
              <w:ind w:left="0"/>
              <w:contextualSpacing w:val="0"/>
              <w:jc w:val="both"/>
              <w:rPr>
                <w:rFonts w:ascii="Times New Roman" w:hAnsi="Times New Roman"/>
                <w:sz w:val="24"/>
                <w:szCs w:val="24"/>
              </w:rPr>
            </w:pPr>
          </w:p>
        </w:tc>
      </w:tr>
      <w:tr w:rsidR="00667AB2" w:rsidRPr="00E55B63" w14:paraId="08643D59" w14:textId="77777777" w:rsidTr="00B716F3">
        <w:tblPrEx>
          <w:shd w:val="clear" w:color="auto" w:fill="auto"/>
          <w:tblCellMar>
            <w:top w:w="30" w:type="dxa"/>
            <w:left w:w="30" w:type="dxa"/>
            <w:bottom w:w="30" w:type="dxa"/>
            <w:right w:w="30" w:type="dxa"/>
          </w:tblCellMar>
        </w:tblPrEx>
        <w:trPr>
          <w:cantSplit/>
        </w:trPr>
        <w:tc>
          <w:tcPr>
            <w:tcW w:w="381" w:type="dxa"/>
            <w:hideMark/>
          </w:tcPr>
          <w:p w14:paraId="44177D78" w14:textId="77777777" w:rsidR="00667AB2" w:rsidRPr="00E55B63" w:rsidRDefault="00667AB2" w:rsidP="00B716F3">
            <w:pPr>
              <w:ind w:right="140"/>
              <w:jc w:val="center"/>
            </w:pPr>
            <w:r w:rsidRPr="00E55B63">
              <w:lastRenderedPageBreak/>
              <w:t>3.</w:t>
            </w:r>
          </w:p>
        </w:tc>
        <w:tc>
          <w:tcPr>
            <w:tcW w:w="1933" w:type="dxa"/>
            <w:hideMark/>
          </w:tcPr>
          <w:p w14:paraId="54353AFC" w14:textId="77777777" w:rsidR="00667AB2" w:rsidRPr="00E55B63" w:rsidRDefault="00667AB2" w:rsidP="00B716F3">
            <w:pPr>
              <w:ind w:right="140"/>
            </w:pPr>
            <w:r w:rsidRPr="00E55B63">
              <w:t>Projekta izstrādē iesaistītās institūcijas un publiskas personas kapitālsabiedrības</w:t>
            </w:r>
          </w:p>
        </w:tc>
        <w:tc>
          <w:tcPr>
            <w:tcW w:w="7042" w:type="dxa"/>
            <w:hideMark/>
          </w:tcPr>
          <w:p w14:paraId="1924BFF3" w14:textId="77777777" w:rsidR="00667AB2" w:rsidRPr="00E55B63" w:rsidRDefault="00667AB2" w:rsidP="00B716F3">
            <w:pPr>
              <w:ind w:right="140"/>
              <w:jc w:val="both"/>
            </w:pPr>
            <w:r>
              <w:t>M</w:t>
            </w:r>
            <w:r w:rsidRPr="00E55B63">
              <w:t xml:space="preserve">inistrija un </w:t>
            </w:r>
            <w:r>
              <w:t>A</w:t>
            </w:r>
            <w:r w:rsidRPr="00E55B63">
              <w:t>ģentūra.</w:t>
            </w:r>
          </w:p>
          <w:p w14:paraId="31E47E0F" w14:textId="77777777" w:rsidR="00667AB2" w:rsidRPr="00E55B63" w:rsidRDefault="00667AB2" w:rsidP="00B716F3">
            <w:pPr>
              <w:ind w:right="140"/>
              <w:jc w:val="both"/>
            </w:pPr>
          </w:p>
          <w:p w14:paraId="25C4C271" w14:textId="77777777" w:rsidR="00667AB2" w:rsidRPr="00E55B63" w:rsidRDefault="00667AB2" w:rsidP="00B716F3">
            <w:pPr>
              <w:ind w:right="140"/>
              <w:jc w:val="both"/>
            </w:pPr>
          </w:p>
        </w:tc>
      </w:tr>
      <w:tr w:rsidR="00667AB2" w:rsidRPr="00E55B63" w14:paraId="151A65B0" w14:textId="77777777" w:rsidTr="00B716F3">
        <w:tblPrEx>
          <w:shd w:val="clear" w:color="auto" w:fill="auto"/>
          <w:tblCellMar>
            <w:top w:w="30" w:type="dxa"/>
            <w:left w:w="30" w:type="dxa"/>
            <w:bottom w:w="30" w:type="dxa"/>
            <w:right w:w="30" w:type="dxa"/>
          </w:tblCellMar>
        </w:tblPrEx>
        <w:trPr>
          <w:cantSplit/>
        </w:trPr>
        <w:tc>
          <w:tcPr>
            <w:tcW w:w="381" w:type="dxa"/>
            <w:hideMark/>
          </w:tcPr>
          <w:p w14:paraId="08924013" w14:textId="77777777" w:rsidR="00667AB2" w:rsidRPr="00E55B63" w:rsidRDefault="00667AB2" w:rsidP="00B716F3">
            <w:pPr>
              <w:ind w:right="140"/>
              <w:jc w:val="center"/>
            </w:pPr>
            <w:r w:rsidRPr="00E55B63">
              <w:t>4.</w:t>
            </w:r>
          </w:p>
        </w:tc>
        <w:tc>
          <w:tcPr>
            <w:tcW w:w="1933" w:type="dxa"/>
            <w:hideMark/>
          </w:tcPr>
          <w:p w14:paraId="6DB0C9FA" w14:textId="77777777" w:rsidR="00667AB2" w:rsidRPr="00E55B63" w:rsidRDefault="00667AB2" w:rsidP="00B716F3">
            <w:pPr>
              <w:ind w:right="140"/>
            </w:pPr>
            <w:r w:rsidRPr="00E55B63">
              <w:t>Cita informācija</w:t>
            </w:r>
          </w:p>
        </w:tc>
        <w:tc>
          <w:tcPr>
            <w:tcW w:w="7042" w:type="dxa"/>
            <w:hideMark/>
          </w:tcPr>
          <w:p w14:paraId="32417B0D" w14:textId="77777777" w:rsidR="00667AB2" w:rsidRPr="00E55B63" w:rsidRDefault="00667AB2" w:rsidP="00B716F3">
            <w:pPr>
              <w:ind w:right="140"/>
              <w:jc w:val="both"/>
            </w:pPr>
            <w:r w:rsidRPr="00E55B63">
              <w:t xml:space="preserve">Nav. </w:t>
            </w:r>
          </w:p>
        </w:tc>
      </w:tr>
    </w:tbl>
    <w:p w14:paraId="30BBBAC0" w14:textId="77777777" w:rsidR="00667AB2" w:rsidRPr="00E55B63" w:rsidRDefault="00667AB2" w:rsidP="00667AB2">
      <w:pPr>
        <w:pStyle w:val="Title"/>
        <w:ind w:right="140" w:firstLine="539"/>
        <w:jc w:val="both"/>
        <w:rPr>
          <w:sz w:val="24"/>
          <w:szCs w:val="24"/>
        </w:rPr>
      </w:pPr>
    </w:p>
    <w:tbl>
      <w:tblPr>
        <w:tblW w:w="5123"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04"/>
        <w:gridCol w:w="2109"/>
        <w:gridCol w:w="6471"/>
      </w:tblGrid>
      <w:tr w:rsidR="00667AB2" w:rsidRPr="00E55B63" w14:paraId="44DEAA34" w14:textId="77777777" w:rsidTr="00B716F3">
        <w:trPr>
          <w:cantSplit/>
        </w:trPr>
        <w:tc>
          <w:tcPr>
            <w:tcW w:w="5000" w:type="pct"/>
            <w:gridSpan w:val="3"/>
            <w:vAlign w:val="center"/>
            <w:hideMark/>
          </w:tcPr>
          <w:p w14:paraId="2CF818DD" w14:textId="77777777" w:rsidR="00667AB2" w:rsidRPr="00E55B63" w:rsidRDefault="00667AB2" w:rsidP="00B716F3">
            <w:pPr>
              <w:ind w:right="140"/>
              <w:jc w:val="center"/>
            </w:pPr>
            <w:r w:rsidRPr="00E55B63">
              <w:rPr>
                <w:b/>
                <w:bCs/>
              </w:rPr>
              <w:t>II. Tiesību akta projekta ietekme uz sabiedrību, tautsaimniecības attīstību un administratīvo slogu</w:t>
            </w:r>
          </w:p>
        </w:tc>
      </w:tr>
      <w:tr w:rsidR="00667AB2" w:rsidRPr="00E55B63" w14:paraId="7B5C82AB" w14:textId="77777777" w:rsidTr="00667AB2">
        <w:trPr>
          <w:cantSplit/>
        </w:trPr>
        <w:tc>
          <w:tcPr>
            <w:tcW w:w="379" w:type="pct"/>
            <w:vAlign w:val="center"/>
          </w:tcPr>
          <w:p w14:paraId="2D347784" w14:textId="77777777" w:rsidR="00667AB2" w:rsidRPr="00BD4313" w:rsidRDefault="00667AB2" w:rsidP="00B716F3">
            <w:pPr>
              <w:ind w:right="140"/>
              <w:jc w:val="center"/>
              <w:rPr>
                <w:bCs/>
              </w:rPr>
            </w:pPr>
            <w:r w:rsidRPr="00BD4313">
              <w:rPr>
                <w:bCs/>
              </w:rPr>
              <w:t>1.</w:t>
            </w:r>
          </w:p>
        </w:tc>
        <w:tc>
          <w:tcPr>
            <w:tcW w:w="1136" w:type="pct"/>
            <w:vAlign w:val="center"/>
          </w:tcPr>
          <w:p w14:paraId="50D9C8A3" w14:textId="77777777" w:rsidR="00667AB2" w:rsidRPr="00BD4313" w:rsidRDefault="00667AB2" w:rsidP="00B716F3">
            <w:pPr>
              <w:ind w:right="140"/>
              <w:jc w:val="both"/>
              <w:rPr>
                <w:bCs/>
              </w:rPr>
            </w:pPr>
            <w:r w:rsidRPr="00BD4313">
              <w:rPr>
                <w:bCs/>
              </w:rPr>
              <w:t xml:space="preserve">Sabiedrības </w:t>
            </w:r>
            <w:proofErr w:type="spellStart"/>
            <w:r w:rsidRPr="00BD4313">
              <w:rPr>
                <w:bCs/>
              </w:rPr>
              <w:t>mērķgrupas</w:t>
            </w:r>
            <w:proofErr w:type="spellEnd"/>
            <w:r w:rsidRPr="00BD4313">
              <w:rPr>
                <w:bCs/>
              </w:rPr>
              <w:t>, kuras tiesiskais regulējums ietekmē, vai varētu ietekmēt</w:t>
            </w:r>
          </w:p>
        </w:tc>
        <w:tc>
          <w:tcPr>
            <w:tcW w:w="3484" w:type="pct"/>
            <w:vAlign w:val="center"/>
          </w:tcPr>
          <w:p w14:paraId="4DF2EC35" w14:textId="77777777" w:rsidR="00667AB2" w:rsidRPr="00BD4313" w:rsidRDefault="00667AB2" w:rsidP="00B716F3">
            <w:pPr>
              <w:ind w:right="140"/>
              <w:jc w:val="both"/>
              <w:rPr>
                <w:bCs/>
              </w:rPr>
            </w:pPr>
            <w:r>
              <w:rPr>
                <w:bCs/>
              </w:rPr>
              <w:t>Projekta tiesiskais regulējums ietekmē Programmas inovācijas centru projektu</w:t>
            </w:r>
            <w:r w:rsidRPr="00BD4313">
              <w:rPr>
                <w:bCs/>
              </w:rPr>
              <w:t xml:space="preserve"> līdzfinan</w:t>
            </w:r>
            <w:r>
              <w:rPr>
                <w:bCs/>
              </w:rPr>
              <w:t>sējuma saņēmējus –</w:t>
            </w:r>
            <w:r>
              <w:t xml:space="preserve"> </w:t>
            </w:r>
            <w:proofErr w:type="spellStart"/>
            <w:r>
              <w:rPr>
                <w:lang w:eastAsia="zh-CN"/>
              </w:rPr>
              <w:t>Cēsu</w:t>
            </w:r>
            <w:proofErr w:type="spellEnd"/>
            <w:r>
              <w:rPr>
                <w:lang w:eastAsia="zh-CN"/>
              </w:rPr>
              <w:t xml:space="preserve"> novada pašvaldību, Daugavpils pilsētas pašvaldību, Liepājas pilsētas pašvaldību, Ventspils pilsētas pašvaldību</w:t>
            </w:r>
            <w:r w:rsidRPr="00E55B63">
              <w:t xml:space="preserve"> –</w:t>
            </w:r>
            <w:r>
              <w:t xml:space="preserve"> ļaujot tiem </w:t>
            </w:r>
            <w:r w:rsidRPr="00BD4313">
              <w:rPr>
                <w:bCs/>
              </w:rPr>
              <w:t>veikt saimniecisko darbību inovācijas ce</w:t>
            </w:r>
            <w:r>
              <w:rPr>
                <w:bCs/>
              </w:rPr>
              <w:t>ntru projekta ieviešanas laikā un tādējādi</w:t>
            </w:r>
            <w:r w:rsidRPr="00BD4313">
              <w:rPr>
                <w:bCs/>
              </w:rPr>
              <w:t xml:space="preserve"> gūt ienākumus no ieejas biļešu pārdošanas, telpu nomas un citiem pasākumiem</w:t>
            </w:r>
            <w:r>
              <w:rPr>
                <w:bCs/>
              </w:rPr>
              <w:t>.</w:t>
            </w:r>
          </w:p>
        </w:tc>
      </w:tr>
      <w:tr w:rsidR="00667AB2" w:rsidRPr="00E55B63" w14:paraId="276E086A" w14:textId="77777777" w:rsidTr="00667AB2">
        <w:trPr>
          <w:cantSplit/>
        </w:trPr>
        <w:tc>
          <w:tcPr>
            <w:tcW w:w="379" w:type="pct"/>
            <w:vAlign w:val="center"/>
          </w:tcPr>
          <w:p w14:paraId="270DDD06" w14:textId="77777777" w:rsidR="00667AB2" w:rsidRPr="00BD4313" w:rsidRDefault="00667AB2" w:rsidP="00B716F3">
            <w:pPr>
              <w:ind w:right="140"/>
              <w:jc w:val="center"/>
              <w:rPr>
                <w:bCs/>
              </w:rPr>
            </w:pPr>
            <w:r w:rsidRPr="00BD4313">
              <w:rPr>
                <w:bCs/>
              </w:rPr>
              <w:t>2.</w:t>
            </w:r>
          </w:p>
        </w:tc>
        <w:tc>
          <w:tcPr>
            <w:tcW w:w="1136" w:type="pct"/>
            <w:vAlign w:val="center"/>
          </w:tcPr>
          <w:p w14:paraId="59E4EF3E" w14:textId="77777777" w:rsidR="00667AB2" w:rsidRPr="00BD4313" w:rsidRDefault="00667AB2" w:rsidP="00B716F3">
            <w:pPr>
              <w:ind w:right="140"/>
              <w:jc w:val="both"/>
              <w:rPr>
                <w:bCs/>
              </w:rPr>
            </w:pPr>
            <w:r w:rsidRPr="00BD4313">
              <w:rPr>
                <w:bCs/>
              </w:rPr>
              <w:t>Tiesiskā regulējuma ietekme uz tautsaimniecību un administratīvo slogu</w:t>
            </w:r>
          </w:p>
        </w:tc>
        <w:tc>
          <w:tcPr>
            <w:tcW w:w="3484" w:type="pct"/>
            <w:vAlign w:val="center"/>
          </w:tcPr>
          <w:p w14:paraId="3EBB02FA" w14:textId="77777777" w:rsidR="00667AB2" w:rsidRPr="00BD4313" w:rsidRDefault="00667AB2" w:rsidP="00B716F3">
            <w:pPr>
              <w:ind w:right="140"/>
              <w:jc w:val="both"/>
              <w:rPr>
                <w:bCs/>
              </w:rPr>
            </w:pPr>
            <w:r>
              <w:rPr>
                <w:bCs/>
              </w:rPr>
              <w:t xml:space="preserve">Projektam ir pozitīva ietekme uz Programmas </w:t>
            </w:r>
            <w:proofErr w:type="spellStart"/>
            <w:r>
              <w:rPr>
                <w:bCs/>
              </w:rPr>
              <w:t>apsaimniekotāju</w:t>
            </w:r>
            <w:proofErr w:type="spellEnd"/>
            <w:r>
              <w:rPr>
                <w:bCs/>
              </w:rPr>
              <w:t xml:space="preserve"> un aģentūru</w:t>
            </w:r>
            <w:r w:rsidRPr="00BD4313">
              <w:rPr>
                <w:bCs/>
              </w:rPr>
              <w:t>,</w:t>
            </w:r>
            <w:r>
              <w:rPr>
                <w:bCs/>
              </w:rPr>
              <w:t xml:space="preserve"> jo,</w:t>
            </w:r>
            <w:r w:rsidRPr="00BD4313">
              <w:rPr>
                <w:bCs/>
              </w:rPr>
              <w:t xml:space="preserve"> piemērojot net</w:t>
            </w:r>
            <w:r>
              <w:rPr>
                <w:bCs/>
              </w:rPr>
              <w:t>iešo izmaksu vienoto likmi, tiek</w:t>
            </w:r>
            <w:r w:rsidRPr="00BD4313">
              <w:rPr>
                <w:bCs/>
              </w:rPr>
              <w:t xml:space="preserve"> samazināts starpposma finanšu pārskatā iekļauto izdevumu un sertifikācijas iestādes pārbaužu apjoms, tādējādi mazinot administratīvo slogu.</w:t>
            </w:r>
          </w:p>
        </w:tc>
      </w:tr>
      <w:tr w:rsidR="00667AB2" w:rsidRPr="00E55B63" w14:paraId="523BC49A" w14:textId="77777777" w:rsidTr="00667AB2">
        <w:trPr>
          <w:cantSplit/>
        </w:trPr>
        <w:tc>
          <w:tcPr>
            <w:tcW w:w="379" w:type="pct"/>
            <w:vAlign w:val="center"/>
          </w:tcPr>
          <w:p w14:paraId="43458AF2" w14:textId="77777777" w:rsidR="00667AB2" w:rsidRPr="00BD4313" w:rsidRDefault="00667AB2" w:rsidP="00B716F3">
            <w:pPr>
              <w:ind w:right="140"/>
              <w:jc w:val="center"/>
              <w:rPr>
                <w:bCs/>
              </w:rPr>
            </w:pPr>
            <w:r w:rsidRPr="00BD4313">
              <w:rPr>
                <w:bCs/>
              </w:rPr>
              <w:t>3.</w:t>
            </w:r>
          </w:p>
        </w:tc>
        <w:tc>
          <w:tcPr>
            <w:tcW w:w="1136" w:type="pct"/>
            <w:vAlign w:val="center"/>
          </w:tcPr>
          <w:p w14:paraId="5DF047D8" w14:textId="77777777" w:rsidR="00667AB2" w:rsidRPr="00BD4313" w:rsidRDefault="00667AB2" w:rsidP="00B716F3">
            <w:pPr>
              <w:ind w:right="140"/>
              <w:jc w:val="both"/>
              <w:rPr>
                <w:bCs/>
              </w:rPr>
            </w:pPr>
            <w:r w:rsidRPr="00BD4313">
              <w:rPr>
                <w:bCs/>
              </w:rPr>
              <w:t>Administratīvo izmaksu monetārs novērtējums</w:t>
            </w:r>
          </w:p>
        </w:tc>
        <w:tc>
          <w:tcPr>
            <w:tcW w:w="3484" w:type="pct"/>
            <w:vAlign w:val="center"/>
          </w:tcPr>
          <w:p w14:paraId="660112D1" w14:textId="77777777" w:rsidR="00667AB2" w:rsidRPr="00BD4313" w:rsidRDefault="003710E7" w:rsidP="00B716F3">
            <w:pPr>
              <w:ind w:right="140"/>
              <w:jc w:val="both"/>
              <w:rPr>
                <w:bCs/>
              </w:rPr>
            </w:pPr>
            <w:r w:rsidRPr="005F64B9">
              <w:t>Noteikumu projekts šo jomu neskar</w:t>
            </w:r>
          </w:p>
        </w:tc>
      </w:tr>
      <w:tr w:rsidR="00667AB2" w:rsidRPr="00E55B63" w14:paraId="641C22C6" w14:textId="77777777" w:rsidTr="00667AB2">
        <w:trPr>
          <w:cantSplit/>
        </w:trPr>
        <w:tc>
          <w:tcPr>
            <w:tcW w:w="379" w:type="pct"/>
            <w:vAlign w:val="center"/>
          </w:tcPr>
          <w:p w14:paraId="59F21844" w14:textId="77777777" w:rsidR="00667AB2" w:rsidRPr="00BD4313" w:rsidRDefault="00667AB2" w:rsidP="00B716F3">
            <w:pPr>
              <w:ind w:right="140"/>
              <w:jc w:val="center"/>
              <w:rPr>
                <w:bCs/>
              </w:rPr>
            </w:pPr>
            <w:r w:rsidRPr="00BD4313">
              <w:rPr>
                <w:bCs/>
              </w:rPr>
              <w:t>4.</w:t>
            </w:r>
          </w:p>
        </w:tc>
        <w:tc>
          <w:tcPr>
            <w:tcW w:w="1136" w:type="pct"/>
            <w:vAlign w:val="center"/>
          </w:tcPr>
          <w:p w14:paraId="3799DE1E" w14:textId="77777777" w:rsidR="00667AB2" w:rsidRPr="00BD4313" w:rsidRDefault="00667AB2" w:rsidP="00B716F3">
            <w:pPr>
              <w:ind w:right="140"/>
              <w:jc w:val="both"/>
              <w:rPr>
                <w:bCs/>
              </w:rPr>
            </w:pPr>
            <w:r w:rsidRPr="00BD4313">
              <w:rPr>
                <w:bCs/>
              </w:rPr>
              <w:t>Atbilstības izmaksu monetārs novērtējums</w:t>
            </w:r>
          </w:p>
        </w:tc>
        <w:tc>
          <w:tcPr>
            <w:tcW w:w="3484" w:type="pct"/>
            <w:vAlign w:val="center"/>
          </w:tcPr>
          <w:p w14:paraId="24EAF094" w14:textId="77777777" w:rsidR="00667AB2" w:rsidRPr="00BD4313" w:rsidRDefault="00667AB2" w:rsidP="00B716F3">
            <w:pPr>
              <w:ind w:right="140"/>
              <w:jc w:val="both"/>
              <w:rPr>
                <w:bCs/>
              </w:rPr>
            </w:pPr>
            <w:r>
              <w:rPr>
                <w:bCs/>
              </w:rPr>
              <w:t>Projekts neparedz atbilstības izmaksas.</w:t>
            </w:r>
          </w:p>
        </w:tc>
      </w:tr>
      <w:tr w:rsidR="00667AB2" w:rsidRPr="00E55B63" w14:paraId="4BF330A9" w14:textId="77777777" w:rsidTr="00667AB2">
        <w:trPr>
          <w:cantSplit/>
        </w:trPr>
        <w:tc>
          <w:tcPr>
            <w:tcW w:w="379" w:type="pct"/>
            <w:vAlign w:val="center"/>
          </w:tcPr>
          <w:p w14:paraId="266EEAEF" w14:textId="77777777" w:rsidR="00667AB2" w:rsidRPr="00BD4313" w:rsidRDefault="00667AB2" w:rsidP="00B716F3">
            <w:pPr>
              <w:ind w:right="140"/>
              <w:jc w:val="center"/>
              <w:rPr>
                <w:bCs/>
              </w:rPr>
            </w:pPr>
            <w:r w:rsidRPr="00BD4313">
              <w:rPr>
                <w:bCs/>
              </w:rPr>
              <w:t>5.</w:t>
            </w:r>
          </w:p>
        </w:tc>
        <w:tc>
          <w:tcPr>
            <w:tcW w:w="1136" w:type="pct"/>
            <w:vAlign w:val="center"/>
          </w:tcPr>
          <w:p w14:paraId="0837A6F9" w14:textId="77777777" w:rsidR="00667AB2" w:rsidRPr="00BD4313" w:rsidRDefault="00667AB2" w:rsidP="00B716F3">
            <w:pPr>
              <w:ind w:right="140"/>
              <w:jc w:val="both"/>
              <w:rPr>
                <w:bCs/>
              </w:rPr>
            </w:pPr>
            <w:r w:rsidRPr="00BD4313">
              <w:rPr>
                <w:bCs/>
              </w:rPr>
              <w:t>Cita informācija</w:t>
            </w:r>
          </w:p>
        </w:tc>
        <w:tc>
          <w:tcPr>
            <w:tcW w:w="3484" w:type="pct"/>
            <w:vAlign w:val="center"/>
          </w:tcPr>
          <w:p w14:paraId="5A0D5142" w14:textId="77777777" w:rsidR="00667AB2" w:rsidRPr="00BD4313" w:rsidRDefault="00667AB2" w:rsidP="00B716F3">
            <w:pPr>
              <w:ind w:right="140"/>
              <w:jc w:val="both"/>
              <w:rPr>
                <w:bCs/>
              </w:rPr>
            </w:pPr>
            <w:r>
              <w:rPr>
                <w:bCs/>
              </w:rPr>
              <w:t>Nav.</w:t>
            </w:r>
          </w:p>
        </w:tc>
      </w:tr>
    </w:tbl>
    <w:p w14:paraId="4B9E9B83" w14:textId="77777777" w:rsidR="00667AB2" w:rsidRPr="00E55B63" w:rsidRDefault="00667AB2" w:rsidP="00667AB2">
      <w:pPr>
        <w:ind w:right="140"/>
      </w:pPr>
      <w:bookmarkStart w:id="1" w:name="_Hlk514177966"/>
    </w:p>
    <w:tbl>
      <w:tblPr>
        <w:tblW w:w="503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8"/>
      </w:tblGrid>
      <w:tr w:rsidR="00667AB2" w:rsidRPr="00E55B63" w14:paraId="62E3C97F" w14:textId="77777777" w:rsidTr="00B716F3">
        <w:tc>
          <w:tcPr>
            <w:tcW w:w="9356" w:type="dxa"/>
            <w:hideMark/>
          </w:tcPr>
          <w:p w14:paraId="1EC0BB72" w14:textId="77777777" w:rsidR="00667AB2" w:rsidRPr="00E55B63" w:rsidRDefault="00667AB2" w:rsidP="00B716F3">
            <w:pPr>
              <w:jc w:val="center"/>
              <w:rPr>
                <w:b/>
                <w:bCs/>
                <w:iCs/>
              </w:rPr>
            </w:pPr>
            <w:r w:rsidRPr="00E55B63">
              <w:rPr>
                <w:b/>
                <w:bCs/>
                <w:iCs/>
              </w:rPr>
              <w:t>III. Tiesību akta projekta ietekme uz valsts budžetu un pašvaldību budžetiem</w:t>
            </w:r>
          </w:p>
        </w:tc>
      </w:tr>
      <w:tr w:rsidR="00667AB2" w:rsidRPr="00E55B63" w14:paraId="7B227731" w14:textId="77777777" w:rsidTr="00B716F3">
        <w:tc>
          <w:tcPr>
            <w:tcW w:w="9356" w:type="dxa"/>
          </w:tcPr>
          <w:p w14:paraId="57B5F91B" w14:textId="77777777" w:rsidR="00667AB2" w:rsidRPr="00E55B63" w:rsidRDefault="00667AB2" w:rsidP="00B716F3">
            <w:pPr>
              <w:jc w:val="center"/>
              <w:rPr>
                <w:b/>
                <w:bCs/>
                <w:iCs/>
              </w:rPr>
            </w:pPr>
            <w:r w:rsidRPr="00E55B63">
              <w:rPr>
                <w:bCs/>
                <w:iCs/>
              </w:rPr>
              <w:t>Noteikumu projekts šo jomu neskar.</w:t>
            </w:r>
          </w:p>
        </w:tc>
      </w:tr>
    </w:tbl>
    <w:p w14:paraId="744392B3" w14:textId="77777777" w:rsidR="00667AB2" w:rsidRPr="00E55B63" w:rsidRDefault="00667AB2" w:rsidP="00667AB2">
      <w:pPr>
        <w:ind w:right="140"/>
      </w:pPr>
    </w:p>
    <w:tbl>
      <w:tblPr>
        <w:tblW w:w="5123"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84"/>
      </w:tblGrid>
      <w:tr w:rsidR="00667AB2" w:rsidRPr="00E55B63" w14:paraId="7C12EE0A" w14:textId="77777777" w:rsidTr="00B716F3">
        <w:trPr>
          <w:cantSplit/>
        </w:trPr>
        <w:tc>
          <w:tcPr>
            <w:tcW w:w="9356" w:type="dxa"/>
            <w:tcBorders>
              <w:top w:val="single" w:sz="4" w:space="0" w:color="auto"/>
              <w:left w:val="single" w:sz="4" w:space="0" w:color="auto"/>
              <w:bottom w:val="single" w:sz="4" w:space="0" w:color="auto"/>
              <w:right w:val="single" w:sz="4" w:space="0" w:color="auto"/>
            </w:tcBorders>
            <w:vAlign w:val="center"/>
            <w:hideMark/>
          </w:tcPr>
          <w:p w14:paraId="5F5FDFA0" w14:textId="77777777" w:rsidR="00667AB2" w:rsidRPr="00E55B63" w:rsidRDefault="00667AB2" w:rsidP="00B716F3">
            <w:pPr>
              <w:ind w:right="140"/>
              <w:jc w:val="center"/>
              <w:rPr>
                <w:b/>
                <w:bCs/>
              </w:rPr>
            </w:pPr>
            <w:r w:rsidRPr="00E55B63">
              <w:rPr>
                <w:b/>
                <w:bCs/>
              </w:rPr>
              <w:t>IV. Tiesību akta projekta ietekme uz spēkā esošo tiesību normu sistēmu</w:t>
            </w:r>
          </w:p>
        </w:tc>
      </w:tr>
      <w:tr w:rsidR="00667AB2" w:rsidRPr="00E55B63" w14:paraId="0B541649" w14:textId="77777777" w:rsidTr="00B716F3">
        <w:trPr>
          <w:cantSplit/>
        </w:trPr>
        <w:tc>
          <w:tcPr>
            <w:tcW w:w="9356" w:type="dxa"/>
            <w:tcBorders>
              <w:top w:val="single" w:sz="4" w:space="0" w:color="auto"/>
              <w:left w:val="single" w:sz="4" w:space="0" w:color="auto"/>
              <w:bottom w:val="single" w:sz="4" w:space="0" w:color="auto"/>
              <w:right w:val="single" w:sz="4" w:space="0" w:color="auto"/>
            </w:tcBorders>
            <w:vAlign w:val="center"/>
          </w:tcPr>
          <w:p w14:paraId="7D42EB91" w14:textId="77777777" w:rsidR="00667AB2" w:rsidRPr="00E55B63" w:rsidRDefault="00667AB2" w:rsidP="00B716F3">
            <w:pPr>
              <w:ind w:right="140"/>
              <w:jc w:val="center"/>
              <w:rPr>
                <w:b/>
                <w:bCs/>
              </w:rPr>
            </w:pPr>
            <w:r w:rsidRPr="00E55B63">
              <w:rPr>
                <w:bCs/>
                <w:iCs/>
              </w:rPr>
              <w:t>Noteikumu projekts šo jomu neskar.</w:t>
            </w:r>
          </w:p>
        </w:tc>
      </w:tr>
      <w:bookmarkEnd w:id="1"/>
    </w:tbl>
    <w:p w14:paraId="33E7A4B2" w14:textId="77777777" w:rsidR="00667AB2" w:rsidRDefault="00667AB2" w:rsidP="00667AB2">
      <w:pPr>
        <w:ind w:right="140"/>
      </w:pPr>
    </w:p>
    <w:p w14:paraId="58A600A7" w14:textId="77777777" w:rsidR="00667AB2" w:rsidRPr="002D3F53" w:rsidRDefault="00667AB2" w:rsidP="00667AB2">
      <w:pPr>
        <w:ind w:right="140"/>
      </w:pPr>
    </w:p>
    <w:tbl>
      <w:tblPr>
        <w:tblW w:w="5123"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689"/>
        <w:gridCol w:w="1676"/>
        <w:gridCol w:w="384"/>
        <w:gridCol w:w="2754"/>
        <w:gridCol w:w="3781"/>
      </w:tblGrid>
      <w:tr w:rsidR="00667AB2" w:rsidRPr="002D3F53" w14:paraId="402AE4E1" w14:textId="77777777" w:rsidTr="00B716F3">
        <w:trPr>
          <w:cantSplit/>
        </w:trPr>
        <w:tc>
          <w:tcPr>
            <w:tcW w:w="9356" w:type="dxa"/>
            <w:gridSpan w:val="5"/>
            <w:vAlign w:val="center"/>
            <w:hideMark/>
          </w:tcPr>
          <w:p w14:paraId="7373E526" w14:textId="77777777" w:rsidR="00667AB2" w:rsidRPr="002D3F53" w:rsidRDefault="00667AB2" w:rsidP="00B716F3">
            <w:pPr>
              <w:ind w:right="140"/>
              <w:jc w:val="center"/>
              <w:rPr>
                <w:b/>
                <w:bCs/>
              </w:rPr>
            </w:pPr>
            <w:r w:rsidRPr="002D3F53">
              <w:lastRenderedPageBreak/>
              <w:br w:type="page"/>
            </w:r>
            <w:r w:rsidRPr="002D3F53">
              <w:rPr>
                <w:b/>
                <w:bCs/>
              </w:rPr>
              <w:t>V. Tiesību akta projekta atbilstība Latvijas Republikas starptautiskajām saistībām</w:t>
            </w:r>
          </w:p>
        </w:tc>
      </w:tr>
      <w:tr w:rsidR="00667AB2" w:rsidRPr="002D3F53" w14:paraId="7BA2798D" w14:textId="77777777" w:rsidTr="00B716F3">
        <w:trPr>
          <w:cantSplit/>
        </w:trPr>
        <w:tc>
          <w:tcPr>
            <w:tcW w:w="693" w:type="dxa"/>
            <w:hideMark/>
          </w:tcPr>
          <w:p w14:paraId="489B722A" w14:textId="77777777" w:rsidR="00667AB2" w:rsidRPr="002D3F53" w:rsidRDefault="00667AB2" w:rsidP="00B716F3">
            <w:pPr>
              <w:ind w:right="140"/>
              <w:jc w:val="center"/>
            </w:pPr>
            <w:r w:rsidRPr="002D3F53">
              <w:t>1.</w:t>
            </w:r>
          </w:p>
        </w:tc>
        <w:tc>
          <w:tcPr>
            <w:tcW w:w="2076" w:type="dxa"/>
            <w:gridSpan w:val="2"/>
            <w:hideMark/>
          </w:tcPr>
          <w:p w14:paraId="0E779AB7" w14:textId="77777777" w:rsidR="00667AB2" w:rsidRPr="002D3F53" w:rsidRDefault="00667AB2" w:rsidP="00B716F3">
            <w:pPr>
              <w:ind w:right="140"/>
            </w:pPr>
            <w:r w:rsidRPr="002D3F53">
              <w:t>Saistības pret Eiropas Savienību</w:t>
            </w:r>
          </w:p>
        </w:tc>
        <w:tc>
          <w:tcPr>
            <w:tcW w:w="6587" w:type="dxa"/>
            <w:gridSpan w:val="2"/>
            <w:hideMark/>
          </w:tcPr>
          <w:p w14:paraId="1D770FB6" w14:textId="491AF51E" w:rsidR="00667AB2" w:rsidRPr="002D3F53" w:rsidRDefault="00EF491A" w:rsidP="00EF491A">
            <w:pPr>
              <w:ind w:right="140"/>
            </w:pPr>
            <w:r>
              <w:t xml:space="preserve">Ar projektu ir paredzēts ieviest </w:t>
            </w:r>
            <w:r w:rsidRPr="00B15067">
              <w:t>Komisijas 2004. gada 21. aprīļa Regulas (EK) Nr. 794/2004, ar ko īsteno Padomes Regulu (ES) 2015/1589, ar ko nosaka sīki izstrādātus noteikumus Līguma par Eiropas Savienības darbību 108.</w:t>
            </w:r>
            <w:r>
              <w:t xml:space="preserve"> panta piemērošanai, 10. un 11. </w:t>
            </w:r>
            <w:r>
              <w:t>panta prasības</w:t>
            </w:r>
            <w:r>
              <w:t>.</w:t>
            </w:r>
            <w:r>
              <w:t xml:space="preserve"> </w:t>
            </w:r>
          </w:p>
        </w:tc>
      </w:tr>
      <w:tr w:rsidR="00667AB2" w:rsidRPr="002D3F53" w14:paraId="71981384" w14:textId="77777777" w:rsidTr="00B716F3">
        <w:trPr>
          <w:cantSplit/>
        </w:trPr>
        <w:tc>
          <w:tcPr>
            <w:tcW w:w="693" w:type="dxa"/>
            <w:hideMark/>
          </w:tcPr>
          <w:p w14:paraId="231E1E85" w14:textId="77777777" w:rsidR="00667AB2" w:rsidRPr="002D3F53" w:rsidRDefault="00667AB2" w:rsidP="00B716F3">
            <w:pPr>
              <w:ind w:right="140"/>
              <w:jc w:val="center"/>
            </w:pPr>
            <w:r w:rsidRPr="002D3F53">
              <w:t>2.</w:t>
            </w:r>
          </w:p>
        </w:tc>
        <w:tc>
          <w:tcPr>
            <w:tcW w:w="2076" w:type="dxa"/>
            <w:gridSpan w:val="2"/>
            <w:hideMark/>
          </w:tcPr>
          <w:p w14:paraId="55859760" w14:textId="77777777" w:rsidR="00667AB2" w:rsidRPr="002D3F53" w:rsidRDefault="00667AB2" w:rsidP="00B716F3">
            <w:pPr>
              <w:ind w:right="140"/>
              <w:jc w:val="both"/>
            </w:pPr>
            <w:r w:rsidRPr="002D3F53">
              <w:t>Citas starptautiskās saistības</w:t>
            </w:r>
          </w:p>
        </w:tc>
        <w:tc>
          <w:tcPr>
            <w:tcW w:w="6587" w:type="dxa"/>
            <w:gridSpan w:val="2"/>
            <w:hideMark/>
          </w:tcPr>
          <w:p w14:paraId="010D2D86" w14:textId="77777777" w:rsidR="00667AB2" w:rsidRPr="002D3F53" w:rsidRDefault="00667AB2" w:rsidP="00B716F3">
            <w:pPr>
              <w:jc w:val="both"/>
            </w:pPr>
            <w:r>
              <w:t xml:space="preserve">Noteikumu projekts nodrošina </w:t>
            </w:r>
            <w:r w:rsidRPr="002B062E">
              <w:t xml:space="preserve">Latvijas Republikas un Norvēģijas </w:t>
            </w:r>
            <w:r>
              <w:t>Karalistes saprašanās memoranda</w:t>
            </w:r>
            <w:r w:rsidRPr="002B062E">
              <w:t xml:space="preserve"> par Norvēģijas finanšu instrumenta ieviešanu 2014.–2021. gadā (pieņemts un apstiprināts ar </w:t>
            </w:r>
            <w:r>
              <w:t>Ministru kabineta 2017. gada 5. </w:t>
            </w:r>
            <w:r w:rsidRPr="002B062E">
              <w:t xml:space="preserve">decembra noteikumiem Nr. 713 </w:t>
            </w:r>
            <w:r w:rsidRPr="002B062E">
              <w:rPr>
                <w:bCs/>
                <w:lang w:eastAsia="zh-CN"/>
              </w:rPr>
              <w:t>“</w:t>
            </w:r>
            <w:r w:rsidRPr="002B062E">
              <w:t>Par Latvijas Republikas un Norvēģijas Karalistes saprašanās memorandu par Norvēģijas finanšu in</w:t>
            </w:r>
            <w:r>
              <w:t>strumenta ieviešanu 2014.-2021. </w:t>
            </w:r>
            <w:r w:rsidRPr="002B062E">
              <w:t>gadā”) (t</w:t>
            </w:r>
            <w:r>
              <w:t>urpmāk – Saprašanās memorands)</w:t>
            </w:r>
            <w:r w:rsidRPr="002D3F53">
              <w:t xml:space="preserve"> B pielikuma 3. daļas B</w:t>
            </w:r>
            <w:r w:rsidRPr="002D3F53">
              <w:rPr>
                <w:bCs/>
              </w:rPr>
              <w:t> punktā</w:t>
            </w:r>
            <w:r>
              <w:rPr>
                <w:bCs/>
              </w:rPr>
              <w:t xml:space="preserve"> noteiktās programmas ieviešanu</w:t>
            </w:r>
            <w:r>
              <w:rPr>
                <w:rStyle w:val="FootnoteReference"/>
                <w:bCs/>
              </w:rPr>
              <w:footnoteReference w:id="5"/>
            </w:r>
            <w:r>
              <w:rPr>
                <w:bCs/>
              </w:rPr>
              <w:t>.</w:t>
            </w:r>
          </w:p>
        </w:tc>
      </w:tr>
      <w:tr w:rsidR="00667AB2" w:rsidRPr="002D3F53" w14:paraId="2BE3EE4E" w14:textId="77777777" w:rsidTr="00B716F3">
        <w:trPr>
          <w:cantSplit/>
        </w:trPr>
        <w:tc>
          <w:tcPr>
            <w:tcW w:w="693" w:type="dxa"/>
            <w:hideMark/>
          </w:tcPr>
          <w:p w14:paraId="7231A4BD" w14:textId="77777777" w:rsidR="00667AB2" w:rsidRPr="002D3F53" w:rsidRDefault="00667AB2" w:rsidP="00B716F3">
            <w:pPr>
              <w:ind w:right="140"/>
              <w:jc w:val="center"/>
            </w:pPr>
            <w:r w:rsidRPr="002D3F53">
              <w:t>3.</w:t>
            </w:r>
          </w:p>
        </w:tc>
        <w:tc>
          <w:tcPr>
            <w:tcW w:w="2076" w:type="dxa"/>
            <w:gridSpan w:val="2"/>
            <w:hideMark/>
          </w:tcPr>
          <w:p w14:paraId="7589E0B7" w14:textId="77777777" w:rsidR="00667AB2" w:rsidRPr="002D3F53" w:rsidRDefault="00667AB2" w:rsidP="00B716F3">
            <w:pPr>
              <w:ind w:right="140"/>
            </w:pPr>
            <w:r w:rsidRPr="002D3F53">
              <w:t>Cita informācija</w:t>
            </w:r>
          </w:p>
        </w:tc>
        <w:tc>
          <w:tcPr>
            <w:tcW w:w="6587" w:type="dxa"/>
            <w:gridSpan w:val="2"/>
            <w:hideMark/>
          </w:tcPr>
          <w:p w14:paraId="457EC8A3" w14:textId="77777777" w:rsidR="00667AB2" w:rsidRPr="002D3F53" w:rsidRDefault="00667AB2" w:rsidP="00B716F3">
            <w:pPr>
              <w:ind w:right="140"/>
            </w:pPr>
            <w:r w:rsidRPr="002D3F53">
              <w:t>Nav.</w:t>
            </w:r>
          </w:p>
        </w:tc>
      </w:tr>
      <w:tr w:rsidR="00667AB2" w:rsidRPr="002D3F53" w14:paraId="65FA71F5" w14:textId="77777777" w:rsidTr="00B716F3">
        <w:tc>
          <w:tcPr>
            <w:tcW w:w="9356" w:type="dxa"/>
            <w:gridSpan w:val="5"/>
            <w:vAlign w:val="center"/>
            <w:hideMark/>
          </w:tcPr>
          <w:p w14:paraId="6239FF0D" w14:textId="77777777" w:rsidR="00667AB2" w:rsidRPr="002D3F53" w:rsidRDefault="00667AB2" w:rsidP="00B716F3">
            <w:pPr>
              <w:ind w:right="140"/>
              <w:jc w:val="center"/>
              <w:rPr>
                <w:b/>
                <w:bCs/>
              </w:rPr>
            </w:pPr>
            <w:r w:rsidRPr="002D3F53">
              <w:rPr>
                <w:b/>
                <w:bCs/>
              </w:rPr>
              <w:t>1. tabula</w:t>
            </w:r>
            <w:r w:rsidRPr="002D3F53">
              <w:rPr>
                <w:b/>
                <w:bCs/>
              </w:rPr>
              <w:br/>
              <w:t>Tiesību akta projekta atbilstība ES tiesību aktiem</w:t>
            </w:r>
          </w:p>
        </w:tc>
      </w:tr>
      <w:tr w:rsidR="00667AB2" w:rsidRPr="002D3F53" w14:paraId="2110B171" w14:textId="77777777" w:rsidTr="00B716F3">
        <w:tc>
          <w:tcPr>
            <w:tcW w:w="9356" w:type="dxa"/>
            <w:gridSpan w:val="5"/>
          </w:tcPr>
          <w:p w14:paraId="53F2B4D8" w14:textId="68FBD42E" w:rsidR="00667AB2" w:rsidRPr="002D3F53" w:rsidRDefault="007E49CF" w:rsidP="007E49CF">
            <w:pPr>
              <w:ind w:right="140"/>
              <w:jc w:val="center"/>
            </w:pPr>
            <w:r w:rsidRPr="007E49CF">
              <w:t>Komisijas 2004. gada 21. aprīļa Regulas (EK) Nr. 794/2004, ar ko īsteno Padomes Regulu (ES) 2015/1589, ar ko nosaka sīki izstrādātus noteikumus Līguma par Eiropas Savienības darbību 108. panta piemērošanai</w:t>
            </w:r>
            <w:bookmarkStart w:id="2" w:name="_GoBack"/>
            <w:bookmarkEnd w:id="2"/>
          </w:p>
        </w:tc>
      </w:tr>
      <w:tr w:rsidR="00667AB2" w:rsidRPr="002D3F53" w14:paraId="32C73F12" w14:textId="77777777" w:rsidTr="00B716F3">
        <w:tc>
          <w:tcPr>
            <w:tcW w:w="9356" w:type="dxa"/>
            <w:gridSpan w:val="5"/>
            <w:vAlign w:val="center"/>
            <w:hideMark/>
          </w:tcPr>
          <w:p w14:paraId="1873EFE7" w14:textId="77777777" w:rsidR="00667AB2" w:rsidRPr="002D3F53" w:rsidRDefault="00667AB2" w:rsidP="00B716F3">
            <w:pPr>
              <w:ind w:right="140"/>
              <w:jc w:val="center"/>
              <w:rPr>
                <w:b/>
                <w:bCs/>
              </w:rPr>
            </w:pPr>
            <w:r w:rsidRPr="002D3F53">
              <w:rPr>
                <w:b/>
                <w:bCs/>
              </w:rPr>
              <w:t>2. tabula</w:t>
            </w:r>
            <w:r w:rsidRPr="002D3F53">
              <w:rPr>
                <w:b/>
                <w:bCs/>
              </w:rPr>
              <w:br/>
              <w:t>Ar tiesību akta projektu izpildītās vai uzņemtās saistības, kas izriet no starptautiskajiem tiesību aktiem vai starptautiskas institūcijas vai organizācijas dokumentiem.</w:t>
            </w:r>
            <w:r w:rsidRPr="002D3F53">
              <w:rPr>
                <w:b/>
                <w:bCs/>
              </w:rPr>
              <w:br/>
              <w:t>Pasākumi šo saistību izpildei</w:t>
            </w:r>
          </w:p>
        </w:tc>
      </w:tr>
      <w:tr w:rsidR="00667AB2" w:rsidRPr="002D3F53" w14:paraId="39DE61C2" w14:textId="77777777" w:rsidTr="00B716F3">
        <w:tc>
          <w:tcPr>
            <w:tcW w:w="2382" w:type="dxa"/>
            <w:gridSpan w:val="2"/>
            <w:hideMark/>
          </w:tcPr>
          <w:p w14:paraId="20CB5A53" w14:textId="77777777" w:rsidR="00667AB2" w:rsidRPr="002D3F53" w:rsidRDefault="00667AB2" w:rsidP="00B716F3">
            <w:pPr>
              <w:ind w:right="140"/>
            </w:pPr>
            <w:r w:rsidRPr="002D3F53">
              <w:t>Attiecīgā starptautiskā tiesību akta vai starptautiskas institūcijas vai organizācijas dokumenta (turpmāk – starptautiskais dokuments) datums, numurs un nosaukums</w:t>
            </w:r>
          </w:p>
        </w:tc>
        <w:tc>
          <w:tcPr>
            <w:tcW w:w="6974" w:type="dxa"/>
            <w:gridSpan w:val="3"/>
            <w:hideMark/>
          </w:tcPr>
          <w:p w14:paraId="3454F240" w14:textId="77777777" w:rsidR="00667AB2" w:rsidRPr="002D3F53" w:rsidRDefault="00667AB2" w:rsidP="00B716F3">
            <w:pPr>
              <w:ind w:right="140"/>
              <w:jc w:val="both"/>
            </w:pPr>
            <w:r w:rsidRPr="002D3F53">
              <w:t>Saprašanās memorands</w:t>
            </w:r>
          </w:p>
        </w:tc>
      </w:tr>
      <w:tr w:rsidR="00667AB2" w:rsidRPr="002D3F53" w14:paraId="39CDCD51" w14:textId="77777777" w:rsidTr="00B716F3">
        <w:tc>
          <w:tcPr>
            <w:tcW w:w="2382" w:type="dxa"/>
            <w:gridSpan w:val="2"/>
            <w:vAlign w:val="center"/>
            <w:hideMark/>
          </w:tcPr>
          <w:p w14:paraId="23592785" w14:textId="77777777" w:rsidR="00667AB2" w:rsidRPr="002D3F53" w:rsidRDefault="00667AB2" w:rsidP="00B716F3">
            <w:pPr>
              <w:ind w:right="140"/>
              <w:jc w:val="center"/>
            </w:pPr>
            <w:r w:rsidRPr="002D3F53">
              <w:t>A</w:t>
            </w:r>
          </w:p>
        </w:tc>
        <w:tc>
          <w:tcPr>
            <w:tcW w:w="3163" w:type="dxa"/>
            <w:gridSpan w:val="2"/>
            <w:vAlign w:val="center"/>
            <w:hideMark/>
          </w:tcPr>
          <w:p w14:paraId="2E4DDD34" w14:textId="77777777" w:rsidR="00667AB2" w:rsidRPr="002D3F53" w:rsidRDefault="00667AB2" w:rsidP="00B716F3">
            <w:pPr>
              <w:ind w:right="140"/>
              <w:jc w:val="center"/>
            </w:pPr>
            <w:r w:rsidRPr="002D3F53">
              <w:t>B</w:t>
            </w:r>
          </w:p>
        </w:tc>
        <w:tc>
          <w:tcPr>
            <w:tcW w:w="3811" w:type="dxa"/>
            <w:vAlign w:val="center"/>
            <w:hideMark/>
          </w:tcPr>
          <w:p w14:paraId="7C2BDD18" w14:textId="77777777" w:rsidR="00667AB2" w:rsidRPr="002D3F53" w:rsidRDefault="00667AB2" w:rsidP="00B716F3">
            <w:pPr>
              <w:ind w:right="140"/>
              <w:jc w:val="center"/>
            </w:pPr>
            <w:r w:rsidRPr="002D3F53">
              <w:t>C</w:t>
            </w:r>
          </w:p>
        </w:tc>
      </w:tr>
      <w:tr w:rsidR="00667AB2" w:rsidRPr="002D3F53" w14:paraId="5C0859F8" w14:textId="77777777" w:rsidTr="00B716F3">
        <w:tc>
          <w:tcPr>
            <w:tcW w:w="2382" w:type="dxa"/>
            <w:gridSpan w:val="2"/>
            <w:hideMark/>
          </w:tcPr>
          <w:p w14:paraId="274A6FF9" w14:textId="77777777" w:rsidR="00667AB2" w:rsidRPr="002D3F53" w:rsidRDefault="00667AB2" w:rsidP="00B716F3">
            <w:pPr>
              <w:ind w:right="140"/>
            </w:pPr>
            <w:r w:rsidRPr="002D3F53">
              <w:t>Starptautiskās saistības (pēc būtības), kas izriet no norādītā starptautiskā dokumenta.</w:t>
            </w:r>
            <w:r w:rsidRPr="002D3F53">
              <w:br/>
              <w:t>Konkrēti veicamie pasākumi vai uzdevumi, kas nepieciešami šo starptautisko saistību izpildei</w:t>
            </w:r>
          </w:p>
        </w:tc>
        <w:tc>
          <w:tcPr>
            <w:tcW w:w="3163" w:type="dxa"/>
            <w:gridSpan w:val="2"/>
            <w:hideMark/>
          </w:tcPr>
          <w:p w14:paraId="6DB66B3C" w14:textId="77777777" w:rsidR="00667AB2" w:rsidRPr="002D3F53" w:rsidRDefault="00667AB2" w:rsidP="00B716F3">
            <w:pPr>
              <w:ind w:right="140"/>
            </w:pPr>
            <w:r w:rsidRPr="002D3F53">
              <w:t>Ja pasākumi vai uzdevumi, ar ko tiks izpildītas starptautiskās saistības, tiek noteikti projektā, norāda attiecīgo projekta vienību vai dokumentu, kurā sniegts izvērsts skaidrojums, kādā veidā tiks nodrošināta starptautisko saistību izpilde</w:t>
            </w:r>
            <w:r>
              <w:t>.</w:t>
            </w:r>
          </w:p>
        </w:tc>
        <w:tc>
          <w:tcPr>
            <w:tcW w:w="3811" w:type="dxa"/>
            <w:hideMark/>
          </w:tcPr>
          <w:p w14:paraId="0A3CDD74" w14:textId="77777777" w:rsidR="00667AB2" w:rsidRPr="002D3F53" w:rsidRDefault="00667AB2" w:rsidP="00B716F3">
            <w:pPr>
              <w:ind w:right="140"/>
            </w:pPr>
            <w:r w:rsidRPr="002D3F53">
              <w:t>Informācija par to, vai starptautiskās saistības, kas minētas šīs tabulas A ailē, tiek izpildītas pilnībā vai daļēji.</w:t>
            </w:r>
            <w:r w:rsidRPr="002D3F53">
              <w:br/>
              <w:t>Ja attiecīgās starptautiskās saistības tiek izpildītas daļēji, sniedz skaidrojumu, kā arī precīzi norāda, kad un kādā veidā starptautiskās saistības tiks izpildītas pilnībā.</w:t>
            </w:r>
            <w:r w:rsidRPr="002D3F53">
              <w:br/>
              <w:t>Norāda institūciju, kas ir atbildīga par šo saistību izpildi pilnībā</w:t>
            </w:r>
            <w:r>
              <w:t>.</w:t>
            </w:r>
          </w:p>
        </w:tc>
      </w:tr>
      <w:tr w:rsidR="00667AB2" w:rsidRPr="002D3F53" w14:paraId="1B376115" w14:textId="77777777" w:rsidTr="00B716F3">
        <w:tc>
          <w:tcPr>
            <w:tcW w:w="2382" w:type="dxa"/>
            <w:gridSpan w:val="2"/>
            <w:hideMark/>
          </w:tcPr>
          <w:p w14:paraId="47706D17" w14:textId="77777777" w:rsidR="00667AB2" w:rsidRPr="002D3F53" w:rsidRDefault="00667AB2" w:rsidP="00B716F3">
            <w:pPr>
              <w:ind w:right="140"/>
            </w:pPr>
            <w:r w:rsidRPr="002D3F53">
              <w:lastRenderedPageBreak/>
              <w:t xml:space="preserve">Saprašanās memoranda B pielikuma 3. daļas B punkts. </w:t>
            </w:r>
          </w:p>
        </w:tc>
        <w:tc>
          <w:tcPr>
            <w:tcW w:w="3163" w:type="dxa"/>
            <w:gridSpan w:val="2"/>
            <w:hideMark/>
          </w:tcPr>
          <w:p w14:paraId="3F15D7B5" w14:textId="77777777" w:rsidR="00667AB2" w:rsidRPr="002D3F53" w:rsidRDefault="00667AB2" w:rsidP="00B716F3">
            <w:pPr>
              <w:ind w:right="140"/>
              <w:jc w:val="both"/>
              <w:rPr>
                <w:iCs/>
              </w:rPr>
            </w:pPr>
            <w:r w:rsidRPr="002D3F53">
              <w:rPr>
                <w:iCs/>
              </w:rPr>
              <w:t xml:space="preserve">Viss </w:t>
            </w:r>
            <w:r w:rsidRPr="002D3F53">
              <w:t xml:space="preserve">noteikumu projekts </w:t>
            </w:r>
            <w:r w:rsidRPr="002D3F53">
              <w:rPr>
                <w:iCs/>
              </w:rPr>
              <w:t>kopumā.</w:t>
            </w:r>
          </w:p>
          <w:p w14:paraId="4401181D" w14:textId="77777777" w:rsidR="00667AB2" w:rsidRPr="002D3F53" w:rsidRDefault="00667AB2" w:rsidP="00B716F3">
            <w:pPr>
              <w:ind w:right="140"/>
            </w:pPr>
          </w:p>
        </w:tc>
        <w:tc>
          <w:tcPr>
            <w:tcW w:w="3811" w:type="dxa"/>
            <w:hideMark/>
          </w:tcPr>
          <w:p w14:paraId="7906F6CF" w14:textId="77777777" w:rsidR="00667AB2" w:rsidRPr="002D3F53" w:rsidRDefault="00667AB2" w:rsidP="00B716F3">
            <w:pPr>
              <w:ind w:right="140"/>
              <w:jc w:val="both"/>
            </w:pPr>
            <w:r w:rsidRPr="002D3F53">
              <w:t>Starptautiskās saistības tiek izpildītas pilnībā.</w:t>
            </w:r>
          </w:p>
        </w:tc>
      </w:tr>
      <w:tr w:rsidR="00667AB2" w:rsidRPr="002D3F53" w14:paraId="7F91EE53" w14:textId="77777777" w:rsidTr="00B716F3">
        <w:tc>
          <w:tcPr>
            <w:tcW w:w="2382" w:type="dxa"/>
            <w:gridSpan w:val="2"/>
            <w:hideMark/>
          </w:tcPr>
          <w:p w14:paraId="36941C1A" w14:textId="77777777" w:rsidR="00667AB2" w:rsidRPr="002D3F53" w:rsidRDefault="00667AB2" w:rsidP="00B716F3">
            <w:pPr>
              <w:ind w:right="140"/>
            </w:pPr>
            <w:r w:rsidRPr="002D3F53">
              <w:t>Vai starptautiskajā dokumentā paredzētās saistības nav pretrunā ar jau esošajām Latvijas Republikas starptautiskajām saistībām</w:t>
            </w:r>
          </w:p>
        </w:tc>
        <w:tc>
          <w:tcPr>
            <w:tcW w:w="6974" w:type="dxa"/>
            <w:gridSpan w:val="3"/>
            <w:hideMark/>
          </w:tcPr>
          <w:p w14:paraId="6B06D122" w14:textId="77777777" w:rsidR="00667AB2" w:rsidRPr="002D3F53" w:rsidRDefault="00667AB2" w:rsidP="00B716F3">
            <w:pPr>
              <w:ind w:right="140"/>
              <w:jc w:val="both"/>
              <w:rPr>
                <w:b/>
              </w:rPr>
            </w:pPr>
            <w:r w:rsidRPr="002D3F53">
              <w:t>Saprašanās memorandā paredzētās saistības nav pretrunā ar jau esošajām Latvijas Republikas starptautiskajām saistībām.</w:t>
            </w:r>
          </w:p>
        </w:tc>
      </w:tr>
      <w:tr w:rsidR="00667AB2" w:rsidRPr="002D3F53" w14:paraId="14487248" w14:textId="77777777" w:rsidTr="00B716F3">
        <w:trPr>
          <w:trHeight w:val="355"/>
        </w:trPr>
        <w:tc>
          <w:tcPr>
            <w:tcW w:w="2382" w:type="dxa"/>
            <w:gridSpan w:val="2"/>
            <w:hideMark/>
          </w:tcPr>
          <w:p w14:paraId="1C70D26D" w14:textId="77777777" w:rsidR="00667AB2" w:rsidRPr="002D3F53" w:rsidRDefault="00667AB2" w:rsidP="00B716F3">
            <w:pPr>
              <w:ind w:right="140"/>
            </w:pPr>
            <w:r w:rsidRPr="002D3F53">
              <w:t>Cita informācija</w:t>
            </w:r>
          </w:p>
        </w:tc>
        <w:tc>
          <w:tcPr>
            <w:tcW w:w="6974" w:type="dxa"/>
            <w:gridSpan w:val="3"/>
            <w:hideMark/>
          </w:tcPr>
          <w:p w14:paraId="2F456535" w14:textId="77777777" w:rsidR="00667AB2" w:rsidRPr="002D3F53" w:rsidRDefault="00667AB2" w:rsidP="00B716F3">
            <w:pPr>
              <w:ind w:right="140"/>
            </w:pPr>
            <w:r w:rsidRPr="002D3F53">
              <w:t>Nav.</w:t>
            </w:r>
          </w:p>
        </w:tc>
      </w:tr>
    </w:tbl>
    <w:p w14:paraId="3A54E755" w14:textId="77777777" w:rsidR="00667AB2" w:rsidRDefault="00667AB2" w:rsidP="00667AB2">
      <w:pPr>
        <w:ind w:right="140"/>
      </w:pPr>
    </w:p>
    <w:p w14:paraId="663B840A" w14:textId="77777777" w:rsidR="00667AB2" w:rsidRDefault="00667AB2" w:rsidP="00667AB2">
      <w:pPr>
        <w:ind w:right="140"/>
      </w:pPr>
    </w:p>
    <w:tbl>
      <w:tblPr>
        <w:tblW w:w="5123"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284"/>
      </w:tblGrid>
      <w:tr w:rsidR="00667AB2" w:rsidRPr="00E55B63" w14:paraId="442110F4" w14:textId="77777777" w:rsidTr="00B716F3">
        <w:tc>
          <w:tcPr>
            <w:tcW w:w="9356" w:type="dxa"/>
            <w:vAlign w:val="center"/>
            <w:hideMark/>
          </w:tcPr>
          <w:p w14:paraId="14455D82" w14:textId="77777777" w:rsidR="00667AB2" w:rsidRPr="00E55B63" w:rsidRDefault="00667AB2" w:rsidP="00B716F3">
            <w:pPr>
              <w:ind w:right="140"/>
              <w:jc w:val="center"/>
              <w:rPr>
                <w:b/>
                <w:bCs/>
              </w:rPr>
            </w:pPr>
            <w:r w:rsidRPr="00E55B63">
              <w:rPr>
                <w:b/>
                <w:bCs/>
              </w:rPr>
              <w:t>VI. Sabiedrības līdzdalība un komunikācijas aktivitātes</w:t>
            </w:r>
          </w:p>
        </w:tc>
      </w:tr>
      <w:tr w:rsidR="00667AB2" w:rsidRPr="00E55B63" w14:paraId="2894525B" w14:textId="77777777" w:rsidTr="00B716F3">
        <w:tc>
          <w:tcPr>
            <w:tcW w:w="9356" w:type="dxa"/>
            <w:vAlign w:val="center"/>
          </w:tcPr>
          <w:p w14:paraId="43943A7B" w14:textId="77777777" w:rsidR="00667AB2" w:rsidRPr="00E55B63" w:rsidRDefault="00667AB2" w:rsidP="00B716F3">
            <w:pPr>
              <w:ind w:right="140"/>
              <w:jc w:val="center"/>
              <w:rPr>
                <w:b/>
                <w:bCs/>
              </w:rPr>
            </w:pPr>
            <w:r w:rsidRPr="00E55B63">
              <w:rPr>
                <w:bCs/>
                <w:iCs/>
              </w:rPr>
              <w:t>Noteikumu projekts šo jomu neskar.</w:t>
            </w:r>
          </w:p>
        </w:tc>
      </w:tr>
    </w:tbl>
    <w:p w14:paraId="5D284672" w14:textId="77777777" w:rsidR="00667AB2" w:rsidRPr="00E55B63" w:rsidRDefault="00667AB2" w:rsidP="00667AB2">
      <w:pPr>
        <w:pStyle w:val="Title"/>
        <w:ind w:right="140" w:firstLine="539"/>
        <w:jc w:val="both"/>
        <w:rPr>
          <w:sz w:val="24"/>
          <w:szCs w:val="24"/>
        </w:rPr>
      </w:pPr>
    </w:p>
    <w:tbl>
      <w:tblPr>
        <w:tblW w:w="5123" w:type="pct"/>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87"/>
        <w:gridCol w:w="2059"/>
        <w:gridCol w:w="6538"/>
      </w:tblGrid>
      <w:tr w:rsidR="00667AB2" w:rsidRPr="00E55B63" w14:paraId="04BF8A1F" w14:textId="77777777" w:rsidTr="00B716F3">
        <w:tc>
          <w:tcPr>
            <w:tcW w:w="5000" w:type="pct"/>
            <w:gridSpan w:val="3"/>
            <w:vAlign w:val="center"/>
            <w:hideMark/>
          </w:tcPr>
          <w:p w14:paraId="6D237800" w14:textId="77777777" w:rsidR="00667AB2" w:rsidRPr="00E55B63" w:rsidRDefault="00667AB2" w:rsidP="00B716F3">
            <w:pPr>
              <w:ind w:right="140"/>
              <w:jc w:val="center"/>
              <w:rPr>
                <w:b/>
                <w:bCs/>
              </w:rPr>
            </w:pPr>
            <w:r w:rsidRPr="00E55B63">
              <w:rPr>
                <w:b/>
                <w:bCs/>
              </w:rPr>
              <w:t>VII. Tiesību akta projekta izpildes nodrošināšana un tās ietekme uz institūcijām</w:t>
            </w:r>
          </w:p>
        </w:tc>
      </w:tr>
      <w:tr w:rsidR="00667AB2" w:rsidRPr="00E55B63" w14:paraId="2D03DAA1" w14:textId="77777777" w:rsidTr="00B716F3">
        <w:tc>
          <w:tcPr>
            <w:tcW w:w="370" w:type="pct"/>
            <w:hideMark/>
          </w:tcPr>
          <w:p w14:paraId="43226CF3" w14:textId="77777777" w:rsidR="00667AB2" w:rsidRPr="00E55B63" w:rsidRDefault="00667AB2" w:rsidP="00B716F3">
            <w:pPr>
              <w:ind w:right="140"/>
              <w:jc w:val="center"/>
            </w:pPr>
            <w:r w:rsidRPr="00E55B63">
              <w:t>1.</w:t>
            </w:r>
          </w:p>
        </w:tc>
        <w:tc>
          <w:tcPr>
            <w:tcW w:w="1109" w:type="pct"/>
            <w:hideMark/>
          </w:tcPr>
          <w:p w14:paraId="1ABA8E21" w14:textId="77777777" w:rsidR="00667AB2" w:rsidRPr="00E55B63" w:rsidRDefault="00667AB2" w:rsidP="00B716F3">
            <w:pPr>
              <w:ind w:right="140"/>
            </w:pPr>
            <w:r w:rsidRPr="00E55B63">
              <w:t>Projekta izpildē iesaistītās institūcijas</w:t>
            </w:r>
          </w:p>
        </w:tc>
        <w:tc>
          <w:tcPr>
            <w:tcW w:w="3521" w:type="pct"/>
            <w:hideMark/>
          </w:tcPr>
          <w:p w14:paraId="01EB5864" w14:textId="77777777" w:rsidR="00667AB2" w:rsidRPr="00E55B63" w:rsidRDefault="00667AB2" w:rsidP="00B716F3">
            <w:pPr>
              <w:ind w:right="140"/>
              <w:jc w:val="both"/>
              <w:rPr>
                <w:iCs/>
              </w:rPr>
            </w:pPr>
            <w:r w:rsidRPr="00E55B63">
              <w:t>Noteikumu p</w:t>
            </w:r>
            <w:r w:rsidRPr="00E55B63">
              <w:rPr>
                <w:iCs/>
              </w:rPr>
              <w:t>rojekta izpildi nodrošinās šādas institūcijas:</w:t>
            </w:r>
          </w:p>
          <w:p w14:paraId="3CAAA3FC" w14:textId="77777777" w:rsidR="00667AB2" w:rsidRPr="00E55B63" w:rsidRDefault="00667AB2" w:rsidP="00B716F3">
            <w:pPr>
              <w:ind w:right="140"/>
              <w:jc w:val="both"/>
            </w:pPr>
            <w:r w:rsidRPr="00E55B63">
              <w:t>1)</w:t>
            </w:r>
            <w:r>
              <w:t> M</w:t>
            </w:r>
            <w:r w:rsidRPr="00E55B63">
              <w:t>inistrija;</w:t>
            </w:r>
          </w:p>
          <w:p w14:paraId="7961C21A" w14:textId="77777777" w:rsidR="00667AB2" w:rsidRPr="00E55B63" w:rsidRDefault="00667AB2" w:rsidP="00B716F3">
            <w:pPr>
              <w:ind w:right="140"/>
              <w:jc w:val="both"/>
            </w:pPr>
            <w:r w:rsidRPr="00E55B63">
              <w:t>2)</w:t>
            </w:r>
            <w:r>
              <w:t> A</w:t>
            </w:r>
            <w:r w:rsidRPr="00E55B63">
              <w:t>ģentūra;</w:t>
            </w:r>
          </w:p>
          <w:p w14:paraId="36606232" w14:textId="77777777" w:rsidR="00667AB2" w:rsidRDefault="00667AB2" w:rsidP="00B716F3">
            <w:pPr>
              <w:ind w:right="140"/>
              <w:jc w:val="both"/>
            </w:pPr>
            <w:r w:rsidRPr="00E55B63">
              <w:t>3) Finanšu ministrija kā vadošā iestāde;</w:t>
            </w:r>
          </w:p>
          <w:p w14:paraId="2AA3F0A8" w14:textId="77777777" w:rsidR="00667AB2" w:rsidRPr="00E55B63" w:rsidRDefault="00667AB2" w:rsidP="00B716F3">
            <w:pPr>
              <w:ind w:right="140"/>
              <w:jc w:val="both"/>
            </w:pPr>
            <w:r>
              <w:t>4) Valsts kase kā sertifikācijas iestāde;</w:t>
            </w:r>
          </w:p>
          <w:p w14:paraId="6E54245C" w14:textId="77777777" w:rsidR="00667AB2" w:rsidRPr="00E55B63" w:rsidRDefault="00667AB2" w:rsidP="00B716F3">
            <w:pPr>
              <w:ind w:right="140"/>
              <w:jc w:val="both"/>
            </w:pPr>
            <w:r>
              <w:t>5) </w:t>
            </w:r>
            <w:proofErr w:type="spellStart"/>
            <w:r w:rsidRPr="00E55B63">
              <w:t>Cēsu</w:t>
            </w:r>
            <w:proofErr w:type="spellEnd"/>
            <w:r w:rsidRPr="00E55B63">
              <w:t xml:space="preserve"> novada pašvaldība, Daugavpils pilsētas pašvaldība,</w:t>
            </w:r>
            <w:r w:rsidR="00A96F84">
              <w:t xml:space="preserve"> </w:t>
            </w:r>
            <w:r w:rsidRPr="00E55B63">
              <w:t>Liepājas pilsētas pašvaldība un Ventspils pilsētas pašvaldība kā</w:t>
            </w:r>
            <w:r>
              <w:t xml:space="preserve"> inovācijas centru </w:t>
            </w:r>
            <w:r w:rsidRPr="00E55B63">
              <w:t>projektu iesniedzēji un līdzfinansējuma saņēmēji.</w:t>
            </w:r>
          </w:p>
        </w:tc>
      </w:tr>
      <w:tr w:rsidR="00667AB2" w:rsidRPr="00E55B63" w14:paraId="5A18053D" w14:textId="77777777" w:rsidTr="00B716F3">
        <w:tc>
          <w:tcPr>
            <w:tcW w:w="370" w:type="pct"/>
            <w:hideMark/>
          </w:tcPr>
          <w:p w14:paraId="07E71A0C" w14:textId="77777777" w:rsidR="00667AB2" w:rsidRPr="00E55B63" w:rsidRDefault="00667AB2" w:rsidP="00B716F3">
            <w:pPr>
              <w:ind w:right="140"/>
              <w:jc w:val="center"/>
            </w:pPr>
            <w:r w:rsidRPr="00E55B63">
              <w:t>2.</w:t>
            </w:r>
          </w:p>
        </w:tc>
        <w:tc>
          <w:tcPr>
            <w:tcW w:w="1109" w:type="pct"/>
            <w:hideMark/>
          </w:tcPr>
          <w:p w14:paraId="47DF03BE" w14:textId="77777777" w:rsidR="00667AB2" w:rsidRPr="00E55B63" w:rsidRDefault="00667AB2" w:rsidP="00B716F3">
            <w:pPr>
              <w:ind w:right="140"/>
            </w:pPr>
            <w:r w:rsidRPr="00E55B63">
              <w:t>Projekta izpildes ietekme uz pārvaldes funkcijām un institucionālo struktūru.</w:t>
            </w:r>
            <w:r w:rsidRPr="00E55B63">
              <w:br/>
              <w:t>Jaunu institūciju izveide, esošu institūciju likvidācija vai reorganizācija, to ietekme uz institūcijas cilvēkresursiem</w:t>
            </w:r>
          </w:p>
        </w:tc>
        <w:tc>
          <w:tcPr>
            <w:tcW w:w="3521" w:type="pct"/>
            <w:hideMark/>
          </w:tcPr>
          <w:p w14:paraId="519F7181" w14:textId="77777777" w:rsidR="00667AB2" w:rsidRPr="00E55B63" w:rsidRDefault="00667AB2" w:rsidP="00B716F3">
            <w:pPr>
              <w:jc w:val="both"/>
            </w:pPr>
            <w:r w:rsidRPr="00E55B63">
              <w:t>Noteikumu projekts neietekmē pārvaldes funkcija</w:t>
            </w:r>
            <w:r>
              <w:t>s un institucionālo struktūru.</w:t>
            </w:r>
          </w:p>
          <w:p w14:paraId="6CD247C3" w14:textId="77777777" w:rsidR="00667AB2" w:rsidRPr="00E55B63" w:rsidRDefault="00667AB2" w:rsidP="00B716F3">
            <w:pPr>
              <w:ind w:right="140"/>
              <w:jc w:val="both"/>
            </w:pPr>
            <w:r w:rsidRPr="00E55B63">
              <w:t>Noteikumu projekta izpilde neprasa jaunu institūciju izveidi, esošu institūciju likvidāciju vai reorganizāciju, neietekmē cilvēkresursus.</w:t>
            </w:r>
          </w:p>
        </w:tc>
      </w:tr>
      <w:tr w:rsidR="00667AB2" w:rsidRPr="00E55B63" w14:paraId="53C9CEDC" w14:textId="77777777" w:rsidTr="00B716F3">
        <w:trPr>
          <w:cantSplit/>
        </w:trPr>
        <w:tc>
          <w:tcPr>
            <w:tcW w:w="370" w:type="pct"/>
            <w:hideMark/>
          </w:tcPr>
          <w:p w14:paraId="668DE9AC" w14:textId="77777777" w:rsidR="00667AB2" w:rsidRPr="00E55B63" w:rsidRDefault="00667AB2" w:rsidP="00B716F3">
            <w:pPr>
              <w:ind w:right="140"/>
              <w:jc w:val="center"/>
            </w:pPr>
            <w:r w:rsidRPr="00E55B63">
              <w:t>3.</w:t>
            </w:r>
          </w:p>
        </w:tc>
        <w:tc>
          <w:tcPr>
            <w:tcW w:w="1109" w:type="pct"/>
            <w:hideMark/>
          </w:tcPr>
          <w:p w14:paraId="6D4A56A1" w14:textId="77777777" w:rsidR="00667AB2" w:rsidRPr="00E55B63" w:rsidRDefault="00667AB2" w:rsidP="00B716F3">
            <w:pPr>
              <w:ind w:right="140"/>
            </w:pPr>
            <w:r w:rsidRPr="00E55B63">
              <w:t>Cita informācija</w:t>
            </w:r>
          </w:p>
        </w:tc>
        <w:tc>
          <w:tcPr>
            <w:tcW w:w="3521" w:type="pct"/>
            <w:hideMark/>
          </w:tcPr>
          <w:p w14:paraId="57EA54F3" w14:textId="77777777" w:rsidR="00667AB2" w:rsidRPr="00E55B63" w:rsidRDefault="00667AB2" w:rsidP="00B716F3">
            <w:pPr>
              <w:ind w:right="140"/>
              <w:jc w:val="both"/>
            </w:pPr>
            <w:r w:rsidRPr="00E55B63">
              <w:t xml:space="preserve">Nav. </w:t>
            </w:r>
          </w:p>
        </w:tc>
      </w:tr>
    </w:tbl>
    <w:p w14:paraId="0011ACEF" w14:textId="77777777" w:rsidR="00667AB2" w:rsidRPr="00E55B63" w:rsidRDefault="00667AB2" w:rsidP="00667AB2">
      <w:pPr>
        <w:ind w:right="140"/>
      </w:pPr>
    </w:p>
    <w:p w14:paraId="41240C97" w14:textId="77777777" w:rsidR="00667AB2" w:rsidRPr="00E55B63" w:rsidRDefault="00667AB2" w:rsidP="00667AB2">
      <w:pPr>
        <w:pStyle w:val="StyleRight"/>
        <w:spacing w:after="0"/>
        <w:ind w:right="140"/>
        <w:jc w:val="both"/>
        <w:rPr>
          <w:sz w:val="24"/>
          <w:szCs w:val="24"/>
        </w:rPr>
      </w:pPr>
      <w:r w:rsidRPr="00E55B63">
        <w:rPr>
          <w:sz w:val="24"/>
          <w:szCs w:val="24"/>
        </w:rPr>
        <w:t>Izglītības un zinātnes ministre</w:t>
      </w:r>
      <w:r w:rsidRPr="00E55B63">
        <w:rPr>
          <w:sz w:val="24"/>
          <w:szCs w:val="24"/>
        </w:rPr>
        <w:tab/>
      </w:r>
      <w:r w:rsidRPr="00E55B63">
        <w:rPr>
          <w:sz w:val="24"/>
          <w:szCs w:val="24"/>
        </w:rPr>
        <w:tab/>
      </w:r>
      <w:r w:rsidRPr="00E55B63">
        <w:rPr>
          <w:sz w:val="24"/>
          <w:szCs w:val="24"/>
        </w:rPr>
        <w:tab/>
      </w:r>
      <w:r w:rsidRPr="00E55B63">
        <w:rPr>
          <w:sz w:val="24"/>
          <w:szCs w:val="24"/>
        </w:rPr>
        <w:tab/>
      </w:r>
      <w:r w:rsidRPr="00E55B63">
        <w:rPr>
          <w:sz w:val="24"/>
          <w:szCs w:val="24"/>
        </w:rPr>
        <w:tab/>
        <w:t>I. </w:t>
      </w:r>
      <w:proofErr w:type="spellStart"/>
      <w:r w:rsidRPr="00E55B63">
        <w:rPr>
          <w:sz w:val="24"/>
          <w:szCs w:val="24"/>
        </w:rPr>
        <w:t>Šuplinska</w:t>
      </w:r>
      <w:proofErr w:type="spellEnd"/>
    </w:p>
    <w:p w14:paraId="1F03C670" w14:textId="77777777" w:rsidR="00667AB2" w:rsidRPr="00E55B63" w:rsidRDefault="00667AB2" w:rsidP="00667AB2">
      <w:pPr>
        <w:pStyle w:val="StyleRight"/>
        <w:spacing w:after="0"/>
        <w:ind w:right="140"/>
        <w:jc w:val="both"/>
        <w:rPr>
          <w:sz w:val="24"/>
          <w:szCs w:val="24"/>
        </w:rPr>
      </w:pPr>
    </w:p>
    <w:p w14:paraId="6EE08609" w14:textId="77777777" w:rsidR="00667AB2" w:rsidRPr="00E55B63" w:rsidRDefault="00667AB2" w:rsidP="00667AB2">
      <w:pPr>
        <w:pStyle w:val="StyleRight"/>
        <w:spacing w:after="0"/>
        <w:ind w:right="140"/>
        <w:jc w:val="both"/>
        <w:rPr>
          <w:sz w:val="24"/>
          <w:szCs w:val="24"/>
        </w:rPr>
      </w:pPr>
      <w:r w:rsidRPr="00E55B63">
        <w:rPr>
          <w:sz w:val="24"/>
          <w:szCs w:val="24"/>
        </w:rPr>
        <w:t>Vizē:</w:t>
      </w:r>
    </w:p>
    <w:p w14:paraId="3682EED2" w14:textId="77777777" w:rsidR="00667AB2" w:rsidRPr="00E55B63" w:rsidRDefault="00956682" w:rsidP="00667AB2">
      <w:pPr>
        <w:pStyle w:val="StyleRight"/>
        <w:spacing w:after="0"/>
        <w:ind w:right="140"/>
        <w:jc w:val="both"/>
        <w:rPr>
          <w:sz w:val="24"/>
          <w:szCs w:val="24"/>
        </w:rPr>
      </w:pPr>
      <w:r>
        <w:rPr>
          <w:sz w:val="24"/>
          <w:szCs w:val="24"/>
        </w:rPr>
        <w:t xml:space="preserve">Valsts sekretāra pienākumu </w:t>
      </w:r>
      <w:proofErr w:type="spellStart"/>
      <w:r>
        <w:rPr>
          <w:sz w:val="24"/>
          <w:szCs w:val="24"/>
        </w:rPr>
        <w:t>izpildītajs</w:t>
      </w:r>
      <w:proofErr w:type="spellEnd"/>
      <w:r w:rsidR="00667AB2" w:rsidRPr="00E55B63">
        <w:rPr>
          <w:sz w:val="24"/>
          <w:szCs w:val="24"/>
        </w:rPr>
        <w:tab/>
      </w:r>
      <w:r w:rsidR="00667AB2" w:rsidRPr="00E55B63">
        <w:rPr>
          <w:sz w:val="24"/>
          <w:szCs w:val="24"/>
        </w:rPr>
        <w:tab/>
      </w:r>
      <w:r w:rsidR="00667AB2" w:rsidRPr="00E55B63">
        <w:rPr>
          <w:sz w:val="24"/>
          <w:szCs w:val="24"/>
        </w:rPr>
        <w:tab/>
      </w:r>
      <w:r w:rsidR="00667AB2" w:rsidRPr="00E55B63">
        <w:rPr>
          <w:sz w:val="24"/>
          <w:szCs w:val="24"/>
        </w:rPr>
        <w:tab/>
      </w:r>
      <w:r w:rsidR="00667AB2">
        <w:rPr>
          <w:sz w:val="24"/>
          <w:szCs w:val="24"/>
        </w:rPr>
        <w:t>J. Volberts</w:t>
      </w:r>
    </w:p>
    <w:p w14:paraId="5810C953" w14:textId="77777777" w:rsidR="00667AB2" w:rsidRDefault="00667AB2" w:rsidP="00667AB2">
      <w:pPr>
        <w:ind w:right="140"/>
      </w:pPr>
    </w:p>
    <w:p w14:paraId="17086998" w14:textId="77777777" w:rsidR="00667AB2" w:rsidRPr="00E55B63" w:rsidRDefault="00667AB2" w:rsidP="00667AB2">
      <w:pPr>
        <w:ind w:right="140"/>
      </w:pPr>
    </w:p>
    <w:p w14:paraId="38C7AA09" w14:textId="77777777" w:rsidR="00667AB2" w:rsidRPr="00E55B63" w:rsidRDefault="00667AB2" w:rsidP="00667AB2">
      <w:pPr>
        <w:ind w:right="140"/>
      </w:pPr>
    </w:p>
    <w:p w14:paraId="5ED2EF7D" w14:textId="77777777" w:rsidR="00667AB2" w:rsidRPr="00E55B63" w:rsidRDefault="00667AB2" w:rsidP="00667AB2">
      <w:pPr>
        <w:ind w:right="140"/>
        <w:rPr>
          <w:sz w:val="20"/>
          <w:szCs w:val="20"/>
        </w:rPr>
      </w:pPr>
      <w:r w:rsidRPr="00E55B63">
        <w:rPr>
          <w:sz w:val="20"/>
          <w:szCs w:val="20"/>
        </w:rPr>
        <w:t>Jansone 67047877</w:t>
      </w:r>
    </w:p>
    <w:p w14:paraId="5D3A6E8B" w14:textId="77777777" w:rsidR="00667AB2" w:rsidRDefault="007E49CF" w:rsidP="00667AB2">
      <w:pPr>
        <w:ind w:right="140"/>
        <w:rPr>
          <w:rStyle w:val="Hyperlink"/>
          <w:color w:val="auto"/>
          <w:sz w:val="20"/>
          <w:szCs w:val="20"/>
          <w:u w:val="none"/>
        </w:rPr>
      </w:pPr>
      <w:hyperlink r:id="rId11" w:history="1">
        <w:r w:rsidR="00667AB2" w:rsidRPr="00E55B63">
          <w:rPr>
            <w:rStyle w:val="Hyperlink"/>
            <w:color w:val="auto"/>
            <w:sz w:val="20"/>
            <w:szCs w:val="20"/>
            <w:u w:val="none"/>
          </w:rPr>
          <w:t>Antra.Jansone@izm.gov.lv</w:t>
        </w:r>
      </w:hyperlink>
      <w:bookmarkEnd w:id="0"/>
    </w:p>
    <w:p w14:paraId="25AFA60F" w14:textId="77777777" w:rsidR="00667AB2" w:rsidRDefault="00667AB2" w:rsidP="00667AB2">
      <w:pPr>
        <w:ind w:right="140"/>
        <w:rPr>
          <w:rStyle w:val="Hyperlink"/>
          <w:color w:val="auto"/>
          <w:sz w:val="20"/>
          <w:szCs w:val="20"/>
          <w:u w:val="none"/>
        </w:rPr>
      </w:pPr>
      <w:r>
        <w:rPr>
          <w:rStyle w:val="Hyperlink"/>
          <w:color w:val="auto"/>
          <w:sz w:val="20"/>
          <w:szCs w:val="20"/>
          <w:u w:val="none"/>
        </w:rPr>
        <w:t>Leiškalne 67047909</w:t>
      </w:r>
    </w:p>
    <w:p w14:paraId="5E8265F0" w14:textId="77777777" w:rsidR="00916771" w:rsidRPr="00F85097" w:rsidRDefault="00667AB2" w:rsidP="00F85097">
      <w:pPr>
        <w:ind w:right="140"/>
        <w:rPr>
          <w:sz w:val="20"/>
          <w:szCs w:val="20"/>
        </w:rPr>
      </w:pPr>
      <w:r>
        <w:rPr>
          <w:rStyle w:val="Hyperlink"/>
          <w:color w:val="auto"/>
          <w:sz w:val="20"/>
          <w:szCs w:val="20"/>
          <w:u w:val="none"/>
        </w:rPr>
        <w:t>Anna.Leiskalne@izm.gov.lv</w:t>
      </w:r>
    </w:p>
    <w:sectPr w:rsidR="00916771" w:rsidRPr="00F85097" w:rsidSect="00E55B63">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75833" w14:textId="77777777" w:rsidR="00880D24" w:rsidRDefault="00880D24" w:rsidP="00D4137B">
      <w:r>
        <w:separator/>
      </w:r>
    </w:p>
  </w:endnote>
  <w:endnote w:type="continuationSeparator" w:id="0">
    <w:p w14:paraId="62E0136A" w14:textId="77777777" w:rsidR="00880D24" w:rsidRDefault="00880D24" w:rsidP="00D4137B">
      <w:r>
        <w:continuationSeparator/>
      </w:r>
    </w:p>
  </w:endnote>
  <w:endnote w:type="continuationNotice" w:id="1">
    <w:p w14:paraId="77F201C6" w14:textId="77777777" w:rsidR="00880D24" w:rsidRDefault="00880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9A37" w14:textId="77777777" w:rsidR="00991421" w:rsidRPr="00BA12B9" w:rsidRDefault="00991421" w:rsidP="00BA12B9">
    <w:pPr>
      <w:pStyle w:val="Footer"/>
    </w:pPr>
    <w:r w:rsidRPr="002B460E">
      <w:rPr>
        <w:sz w:val="20"/>
        <w:szCs w:val="22"/>
      </w:rPr>
      <w:t>IZManot_</w:t>
    </w:r>
    <w:r w:rsidR="00E372CC" w:rsidRPr="002B460E">
      <w:rPr>
        <w:sz w:val="20"/>
        <w:szCs w:val="22"/>
      </w:rPr>
      <w:t>04</w:t>
    </w:r>
    <w:r w:rsidR="001169E3" w:rsidRPr="002B460E">
      <w:rPr>
        <w:sz w:val="20"/>
        <w:szCs w:val="22"/>
      </w:rPr>
      <w:t>1</w:t>
    </w:r>
    <w:r w:rsidR="00E372CC" w:rsidRPr="002B460E">
      <w:rPr>
        <w:sz w:val="20"/>
        <w:szCs w:val="22"/>
      </w:rPr>
      <w:t>2</w:t>
    </w:r>
    <w:r w:rsidRPr="002B460E">
      <w:rPr>
        <w:sz w:val="20"/>
        <w:szCs w:val="22"/>
      </w:rPr>
      <w:t>20_ICgroz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BACE9" w14:textId="77777777" w:rsidR="00991421" w:rsidRPr="00032119" w:rsidRDefault="00991421" w:rsidP="00032119">
    <w:pPr>
      <w:pStyle w:val="Footer"/>
    </w:pPr>
    <w:r>
      <w:rPr>
        <w:sz w:val="20"/>
        <w:szCs w:val="22"/>
      </w:rPr>
      <w:t>IZMa</w:t>
    </w:r>
    <w:r w:rsidRPr="00BA12B9">
      <w:rPr>
        <w:sz w:val="20"/>
        <w:szCs w:val="22"/>
      </w:rPr>
      <w:t>not_</w:t>
    </w:r>
    <w:r w:rsidR="00311143">
      <w:rPr>
        <w:sz w:val="20"/>
        <w:szCs w:val="22"/>
      </w:rPr>
      <w:t>0412</w:t>
    </w:r>
    <w:r>
      <w:rPr>
        <w:sz w:val="20"/>
        <w:szCs w:val="22"/>
      </w:rPr>
      <w:t>20</w:t>
    </w:r>
    <w:r w:rsidRPr="00BA12B9">
      <w:rPr>
        <w:sz w:val="20"/>
        <w:szCs w:val="22"/>
      </w:rPr>
      <w:t>_</w:t>
    </w:r>
    <w:r>
      <w:rPr>
        <w:sz w:val="20"/>
        <w:szCs w:val="22"/>
      </w:rPr>
      <w:t>ICgroz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96BC2" w14:textId="77777777" w:rsidR="00880D24" w:rsidRDefault="00880D24" w:rsidP="00D4137B">
      <w:r>
        <w:separator/>
      </w:r>
    </w:p>
  </w:footnote>
  <w:footnote w:type="continuationSeparator" w:id="0">
    <w:p w14:paraId="68C8329A" w14:textId="77777777" w:rsidR="00880D24" w:rsidRDefault="00880D24" w:rsidP="00D4137B">
      <w:r>
        <w:continuationSeparator/>
      </w:r>
    </w:p>
  </w:footnote>
  <w:footnote w:type="continuationNotice" w:id="1">
    <w:p w14:paraId="2D73B7B4" w14:textId="77777777" w:rsidR="00880D24" w:rsidRDefault="00880D24"/>
  </w:footnote>
  <w:footnote w:id="2">
    <w:p w14:paraId="7E1FD777" w14:textId="77777777" w:rsidR="00667AB2" w:rsidRPr="005876F8" w:rsidRDefault="00667AB2" w:rsidP="00667AB2">
      <w:pPr>
        <w:pStyle w:val="FootnoteText"/>
        <w:rPr>
          <w:rFonts w:ascii="Times New Roman" w:hAnsi="Times New Roman"/>
          <w:lang w:val="lv-LV"/>
        </w:rPr>
      </w:pPr>
      <w:r w:rsidRPr="005876F8">
        <w:rPr>
          <w:rStyle w:val="FootnoteReference"/>
          <w:rFonts w:ascii="Times New Roman" w:hAnsi="Times New Roman"/>
        </w:rPr>
        <w:footnoteRef/>
      </w:r>
      <w:r w:rsidRPr="005876F8">
        <w:rPr>
          <w:rFonts w:ascii="Times New Roman" w:hAnsi="Times New Roman"/>
        </w:rPr>
        <w:t xml:space="preserve"> </w:t>
      </w:r>
      <w:hyperlink r:id="rId1" w:history="1">
        <w:r w:rsidRPr="005876F8">
          <w:rPr>
            <w:rStyle w:val="Hyperlink"/>
            <w:rFonts w:ascii="Times New Roman" w:hAnsi="Times New Roman"/>
            <w:color w:val="0D0D0D"/>
          </w:rPr>
          <w:t>https://eeagrants.org/resources/regulation-implementation-norway-grants-2014-2021</w:t>
        </w:r>
      </w:hyperlink>
    </w:p>
  </w:footnote>
  <w:footnote w:id="3">
    <w:p w14:paraId="2699F41B" w14:textId="77777777" w:rsidR="00667AB2" w:rsidRPr="009C05F5" w:rsidRDefault="00667AB2" w:rsidP="00667AB2">
      <w:pPr>
        <w:pStyle w:val="FootnoteText"/>
        <w:rPr>
          <w:lang w:val="en-US"/>
        </w:rPr>
      </w:pPr>
      <w:r>
        <w:rPr>
          <w:rStyle w:val="FootnoteReference"/>
        </w:rPr>
        <w:footnoteRef/>
      </w:r>
      <w:r>
        <w:t xml:space="preserve"> </w:t>
      </w:r>
      <w:r>
        <w:rPr>
          <w:rFonts w:ascii="Times New Roman" w:hAnsi="Times New Roman"/>
          <w:color w:val="0D0D0D"/>
        </w:rPr>
        <w:t>S</w:t>
      </w:r>
      <w:r w:rsidRPr="00EE5CF6">
        <w:rPr>
          <w:rFonts w:ascii="Times New Roman" w:hAnsi="Times New Roman"/>
          <w:color w:val="0D0D0D"/>
        </w:rPr>
        <w:t xml:space="preserve">kat. </w:t>
      </w:r>
      <w:proofErr w:type="spellStart"/>
      <w:r>
        <w:rPr>
          <w:rFonts w:ascii="Times New Roman" w:hAnsi="Times New Roman"/>
          <w:color w:val="0D0D0D"/>
        </w:rPr>
        <w:t>Vadības</w:t>
      </w:r>
      <w:proofErr w:type="spellEnd"/>
      <w:r>
        <w:rPr>
          <w:rFonts w:ascii="Times New Roman" w:hAnsi="Times New Roman"/>
          <w:color w:val="0D0D0D"/>
        </w:rPr>
        <w:t xml:space="preserve"> </w:t>
      </w:r>
      <w:proofErr w:type="spellStart"/>
      <w:r>
        <w:rPr>
          <w:rFonts w:ascii="Times New Roman" w:hAnsi="Times New Roman"/>
          <w:color w:val="0D0D0D"/>
        </w:rPr>
        <w:t>un</w:t>
      </w:r>
      <w:proofErr w:type="spellEnd"/>
      <w:r>
        <w:rPr>
          <w:rFonts w:ascii="Times New Roman" w:hAnsi="Times New Roman"/>
          <w:color w:val="0D0D0D"/>
        </w:rPr>
        <w:t xml:space="preserve"> </w:t>
      </w:r>
      <w:proofErr w:type="spellStart"/>
      <w:r>
        <w:rPr>
          <w:rFonts w:ascii="Times New Roman" w:hAnsi="Times New Roman"/>
          <w:color w:val="0D0D0D"/>
        </w:rPr>
        <w:t>kontroles</w:t>
      </w:r>
      <w:proofErr w:type="spellEnd"/>
      <w:r>
        <w:rPr>
          <w:rFonts w:ascii="Times New Roman" w:hAnsi="Times New Roman"/>
          <w:color w:val="0D0D0D"/>
        </w:rPr>
        <w:t xml:space="preserve"> </w:t>
      </w:r>
      <w:proofErr w:type="spellStart"/>
      <w:r>
        <w:rPr>
          <w:rFonts w:ascii="Times New Roman" w:hAnsi="Times New Roman"/>
          <w:color w:val="0D0D0D"/>
        </w:rPr>
        <w:t>sistēmas</w:t>
      </w:r>
      <w:proofErr w:type="spellEnd"/>
      <w:r>
        <w:rPr>
          <w:rFonts w:ascii="Times New Roman" w:hAnsi="Times New Roman"/>
          <w:color w:val="0D0D0D"/>
        </w:rPr>
        <w:t xml:space="preserve"> </w:t>
      </w:r>
      <w:proofErr w:type="spellStart"/>
      <w:r>
        <w:rPr>
          <w:rFonts w:ascii="Times New Roman" w:hAnsi="Times New Roman"/>
          <w:color w:val="0D0D0D"/>
        </w:rPr>
        <w:t>apraksta</w:t>
      </w:r>
      <w:proofErr w:type="spellEnd"/>
      <w:r>
        <w:rPr>
          <w:rFonts w:ascii="Times New Roman" w:hAnsi="Times New Roman"/>
          <w:color w:val="0D0D0D"/>
        </w:rPr>
        <w:t xml:space="preserve"> </w:t>
      </w:r>
      <w:r w:rsidRPr="00EE5CF6">
        <w:rPr>
          <w:rFonts w:ascii="Times New Roman" w:hAnsi="Times New Roman"/>
          <w:color w:val="0D0D0D"/>
        </w:rPr>
        <w:t>60.</w:t>
      </w:r>
      <w:r>
        <w:rPr>
          <w:rFonts w:ascii="Times New Roman" w:hAnsi="Times New Roman"/>
          <w:color w:val="0D0D0D"/>
        </w:rPr>
        <w:t> </w:t>
      </w:r>
      <w:proofErr w:type="spellStart"/>
      <w:proofErr w:type="gramStart"/>
      <w:r w:rsidRPr="00EE5CF6">
        <w:rPr>
          <w:rFonts w:ascii="Times New Roman" w:hAnsi="Times New Roman"/>
          <w:color w:val="0D0D0D"/>
        </w:rPr>
        <w:t>lpp</w:t>
      </w:r>
      <w:proofErr w:type="spellEnd"/>
      <w:r>
        <w:rPr>
          <w:rFonts w:ascii="Times New Roman" w:hAnsi="Times New Roman"/>
          <w:color w:val="0D0D0D"/>
        </w:rPr>
        <w:t>.,</w:t>
      </w:r>
      <w:proofErr w:type="gramEnd"/>
      <w:r>
        <w:rPr>
          <w:rFonts w:ascii="Times New Roman" w:hAnsi="Times New Roman"/>
          <w:color w:val="0D0D0D"/>
        </w:rPr>
        <w:t xml:space="preserve"> </w:t>
      </w:r>
      <w:proofErr w:type="spellStart"/>
      <w:r>
        <w:rPr>
          <w:rFonts w:ascii="Times New Roman" w:hAnsi="Times New Roman"/>
          <w:color w:val="0D0D0D"/>
        </w:rPr>
        <w:t>zem</w:t>
      </w:r>
      <w:proofErr w:type="spellEnd"/>
      <w:r w:rsidRPr="00EE5CF6">
        <w:rPr>
          <w:rFonts w:ascii="Times New Roman" w:hAnsi="Times New Roman"/>
          <w:iCs/>
          <w:color w:val="0D0D0D"/>
        </w:rPr>
        <w:t xml:space="preserve"> </w:t>
      </w:r>
      <w:proofErr w:type="spellStart"/>
      <w:r w:rsidRPr="00EE5CF6">
        <w:rPr>
          <w:rFonts w:ascii="Times New Roman" w:hAnsi="Times New Roman"/>
          <w:iCs/>
          <w:color w:val="0D0D0D"/>
        </w:rPr>
        <w:t>Maksājumu</w:t>
      </w:r>
      <w:proofErr w:type="spellEnd"/>
      <w:r w:rsidRPr="00EE5CF6">
        <w:rPr>
          <w:rFonts w:ascii="Times New Roman" w:hAnsi="Times New Roman"/>
          <w:iCs/>
          <w:color w:val="0D0D0D"/>
        </w:rPr>
        <w:t xml:space="preserve"> </w:t>
      </w:r>
      <w:proofErr w:type="spellStart"/>
      <w:r w:rsidRPr="00EE5CF6">
        <w:rPr>
          <w:rFonts w:ascii="Times New Roman" w:hAnsi="Times New Roman"/>
          <w:iCs/>
          <w:color w:val="0D0D0D"/>
        </w:rPr>
        <w:t>plūsmas</w:t>
      </w:r>
      <w:proofErr w:type="spellEnd"/>
      <w:r w:rsidRPr="00EE5CF6">
        <w:rPr>
          <w:rFonts w:ascii="Times New Roman" w:hAnsi="Times New Roman"/>
          <w:iCs/>
          <w:color w:val="0D0D0D"/>
        </w:rPr>
        <w:t xml:space="preserve"> </w:t>
      </w:r>
      <w:proofErr w:type="spellStart"/>
      <w:r w:rsidRPr="00EE5CF6">
        <w:rPr>
          <w:rFonts w:ascii="Times New Roman" w:hAnsi="Times New Roman"/>
          <w:iCs/>
          <w:color w:val="0D0D0D"/>
        </w:rPr>
        <w:t>shēmas</w:t>
      </w:r>
      <w:proofErr w:type="spellEnd"/>
      <w:r>
        <w:rPr>
          <w:rFonts w:ascii="Times New Roman" w:hAnsi="Times New Roman"/>
          <w:iCs/>
          <w:color w:val="0D0D0D"/>
        </w:rPr>
        <w:t xml:space="preserve"> </w:t>
      </w:r>
      <w:r w:rsidRPr="009C05F5">
        <w:rPr>
          <w:rFonts w:ascii="Times New Roman" w:hAnsi="Times New Roman"/>
          <w:iCs/>
          <w:color w:val="0D0D0D"/>
        </w:rPr>
        <w:t>https://eeagrants.lv/par-grantiem/juridiskais-ietvars/regulejosie-dokumenti/lr-normativie-akti/</w:t>
      </w:r>
    </w:p>
  </w:footnote>
  <w:footnote w:id="4">
    <w:p w14:paraId="7B367DA8" w14:textId="77777777" w:rsidR="00667AB2" w:rsidRPr="00222DC3" w:rsidRDefault="00667AB2" w:rsidP="00667AB2">
      <w:pPr>
        <w:pStyle w:val="FootnoteText"/>
        <w:rPr>
          <w:lang w:val="en-US"/>
        </w:rPr>
      </w:pPr>
      <w:r>
        <w:rPr>
          <w:rStyle w:val="FootnoteReference"/>
        </w:rPr>
        <w:footnoteRef/>
      </w:r>
      <w:r>
        <w:t xml:space="preserve"> </w:t>
      </w:r>
      <w:r w:rsidRPr="00222DC3">
        <w:t>https://www.zinoo.lv/</w:t>
      </w:r>
    </w:p>
  </w:footnote>
  <w:footnote w:id="5">
    <w:p w14:paraId="747F8BAA" w14:textId="77777777" w:rsidR="00667AB2" w:rsidRPr="00A96F84" w:rsidRDefault="00667AB2" w:rsidP="00667AB2">
      <w:pPr>
        <w:pStyle w:val="FootnoteText"/>
        <w:rPr>
          <w:rFonts w:ascii="Times New Roman" w:hAnsi="Times New Roman"/>
        </w:rPr>
      </w:pPr>
      <w:r w:rsidRPr="00A96F84">
        <w:rPr>
          <w:rStyle w:val="FootnoteReference"/>
          <w:rFonts w:ascii="Times New Roman" w:hAnsi="Times New Roman"/>
        </w:rPr>
        <w:footnoteRef/>
      </w:r>
      <w:r w:rsidRPr="00A96F84">
        <w:rPr>
          <w:rFonts w:ascii="Times New Roman" w:hAnsi="Times New Roman"/>
        </w:rPr>
        <w:t xml:space="preserve"> https://eeagrants.lv/par-grantiem/juridiskais-ietvars/regulejosie-dokumenti/saprasanas-memorandi-starp-latviju-un-donorvalstim/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A965F" w14:textId="77777777" w:rsidR="00991421" w:rsidRDefault="00991421">
    <w:pPr>
      <w:pStyle w:val="Header"/>
      <w:jc w:val="center"/>
    </w:pPr>
    <w:r>
      <w:fldChar w:fldCharType="begin"/>
    </w:r>
    <w:r>
      <w:instrText>PAGE   \* MERGEFORMAT</w:instrText>
    </w:r>
    <w:r>
      <w:fldChar w:fldCharType="separate"/>
    </w:r>
    <w:r w:rsidR="007E49CF">
      <w:rPr>
        <w:noProof/>
      </w:rPr>
      <w:t>9</w:t>
    </w:r>
    <w:r>
      <w:fldChar w:fldCharType="end"/>
    </w:r>
  </w:p>
  <w:p w14:paraId="4A57787A" w14:textId="77777777" w:rsidR="00991421" w:rsidRDefault="00991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664C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827ED"/>
    <w:multiLevelType w:val="hybridMultilevel"/>
    <w:tmpl w:val="04A44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32F71"/>
    <w:multiLevelType w:val="hybridMultilevel"/>
    <w:tmpl w:val="421EE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8723B"/>
    <w:multiLevelType w:val="hybridMultilevel"/>
    <w:tmpl w:val="3EFA5902"/>
    <w:lvl w:ilvl="0" w:tplc="ADD69F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8646395"/>
    <w:multiLevelType w:val="hybridMultilevel"/>
    <w:tmpl w:val="2562A966"/>
    <w:lvl w:ilvl="0" w:tplc="04090011">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30FE7"/>
    <w:multiLevelType w:val="multilevel"/>
    <w:tmpl w:val="A012534C"/>
    <w:lvl w:ilvl="0">
      <w:start w:val="1"/>
      <w:numFmt w:val="decimal"/>
      <w:lvlText w:val="%1."/>
      <w:lvlJc w:val="left"/>
      <w:pPr>
        <w:ind w:left="3763" w:hanging="360"/>
      </w:pPr>
      <w:rPr>
        <w:rFonts w:ascii="Times New Roman" w:eastAsia="Times New Roman" w:hAnsi="Times New Roman" w:cs="Times New Roman"/>
      </w:rPr>
    </w:lvl>
    <w:lvl w:ilvl="1">
      <w:start w:val="1"/>
      <w:numFmt w:val="bullet"/>
      <w:lvlText w:val=""/>
      <w:lvlJc w:val="left"/>
      <w:pPr>
        <w:ind w:left="1146" w:hanging="72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15:restartNumberingAfterBreak="0">
    <w:nsid w:val="26135872"/>
    <w:multiLevelType w:val="hybridMultilevel"/>
    <w:tmpl w:val="262831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E151F5"/>
    <w:multiLevelType w:val="hybridMultilevel"/>
    <w:tmpl w:val="4A8C49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E7DE6"/>
    <w:multiLevelType w:val="hybridMultilevel"/>
    <w:tmpl w:val="86B43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608D6"/>
    <w:multiLevelType w:val="hybridMultilevel"/>
    <w:tmpl w:val="29D2E7E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C446A"/>
    <w:multiLevelType w:val="hybridMultilevel"/>
    <w:tmpl w:val="594C3C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533C6"/>
    <w:multiLevelType w:val="hybridMultilevel"/>
    <w:tmpl w:val="7F824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73F8A"/>
    <w:multiLevelType w:val="hybridMultilevel"/>
    <w:tmpl w:val="8F1E0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4974F4"/>
    <w:multiLevelType w:val="hybridMultilevel"/>
    <w:tmpl w:val="F5D2F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228D6"/>
    <w:multiLevelType w:val="hybridMultilevel"/>
    <w:tmpl w:val="8F3097DA"/>
    <w:lvl w:ilvl="0" w:tplc="E324731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5" w15:restartNumberingAfterBreak="0">
    <w:nsid w:val="4BCE667F"/>
    <w:multiLevelType w:val="hybridMultilevel"/>
    <w:tmpl w:val="819CE0E2"/>
    <w:lvl w:ilvl="0" w:tplc="1EDC5C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F41355"/>
    <w:multiLevelType w:val="hybridMultilevel"/>
    <w:tmpl w:val="A2D6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E16A1"/>
    <w:multiLevelType w:val="hybridMultilevel"/>
    <w:tmpl w:val="2D3CD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1252A7"/>
    <w:multiLevelType w:val="hybridMultilevel"/>
    <w:tmpl w:val="4502B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3D5819"/>
    <w:multiLevelType w:val="hybridMultilevel"/>
    <w:tmpl w:val="F1226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393BB8"/>
    <w:multiLevelType w:val="hybridMultilevel"/>
    <w:tmpl w:val="9AF2B766"/>
    <w:lvl w:ilvl="0" w:tplc="A1385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7229DE"/>
    <w:multiLevelType w:val="hybridMultilevel"/>
    <w:tmpl w:val="2592C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B7C58"/>
    <w:multiLevelType w:val="hybridMultilevel"/>
    <w:tmpl w:val="EA22D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B76FCD"/>
    <w:multiLevelType w:val="hybridMultilevel"/>
    <w:tmpl w:val="A1BAF0DC"/>
    <w:lvl w:ilvl="0" w:tplc="F1BC412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B22C45"/>
    <w:multiLevelType w:val="hybridMultilevel"/>
    <w:tmpl w:val="9598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C5FCA"/>
    <w:multiLevelType w:val="hybridMultilevel"/>
    <w:tmpl w:val="A7B201BE"/>
    <w:lvl w:ilvl="0" w:tplc="B086943E">
      <w:start w:val="1"/>
      <w:numFmt w:val="decimal"/>
      <w:lvlText w:val="%1)"/>
      <w:lvlJc w:val="left"/>
      <w:pPr>
        <w:ind w:left="720" w:hanging="360"/>
      </w:pPr>
      <w:rPr>
        <w:rFonts w:hint="default"/>
        <w:color w:val="0D0D0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704C4A"/>
    <w:multiLevelType w:val="hybridMultilevel"/>
    <w:tmpl w:val="CE52BE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A3F3BEF"/>
    <w:multiLevelType w:val="hybridMultilevel"/>
    <w:tmpl w:val="9A2E8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522B0"/>
    <w:multiLevelType w:val="multilevel"/>
    <w:tmpl w:val="9AFA04DE"/>
    <w:lvl w:ilvl="0">
      <w:start w:val="1"/>
      <w:numFmt w:val="decimal"/>
      <w:lvlText w:val="%1."/>
      <w:lvlJc w:val="left"/>
      <w:pPr>
        <w:ind w:left="3763" w:hanging="360"/>
      </w:pPr>
      <w:rPr>
        <w:rFonts w:ascii="Times New Roman" w:eastAsia="Times New Roman" w:hAnsi="Times New Roman" w:cs="Times New Roman"/>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9" w15:restartNumberingAfterBreak="0">
    <w:nsid w:val="70B7676C"/>
    <w:multiLevelType w:val="hybridMultilevel"/>
    <w:tmpl w:val="D26AB4D6"/>
    <w:lvl w:ilvl="0" w:tplc="04090011">
      <w:start w:val="1"/>
      <w:numFmt w:val="decimal"/>
      <w:lvlText w:val="%1)"/>
      <w:lvlJc w:val="left"/>
      <w:pPr>
        <w:ind w:left="26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8662E"/>
    <w:multiLevelType w:val="hybridMultilevel"/>
    <w:tmpl w:val="13866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13752"/>
    <w:multiLevelType w:val="hybridMultilevel"/>
    <w:tmpl w:val="6464E05C"/>
    <w:lvl w:ilvl="0" w:tplc="2EA273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7"/>
  </w:num>
  <w:num w:numId="3">
    <w:abstractNumId w:val="6"/>
  </w:num>
  <w:num w:numId="4">
    <w:abstractNumId w:val="13"/>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28"/>
  </w:num>
  <w:num w:numId="9">
    <w:abstractNumId w:val="5"/>
  </w:num>
  <w:num w:numId="10">
    <w:abstractNumId w:val="0"/>
  </w:num>
  <w:num w:numId="11">
    <w:abstractNumId w:val="24"/>
  </w:num>
  <w:num w:numId="12">
    <w:abstractNumId w:val="20"/>
  </w:num>
  <w:num w:numId="13">
    <w:abstractNumId w:val="11"/>
  </w:num>
  <w:num w:numId="14">
    <w:abstractNumId w:val="30"/>
  </w:num>
  <w:num w:numId="15">
    <w:abstractNumId w:val="19"/>
  </w:num>
  <w:num w:numId="16">
    <w:abstractNumId w:val="18"/>
  </w:num>
  <w:num w:numId="17">
    <w:abstractNumId w:val="3"/>
  </w:num>
  <w:num w:numId="18">
    <w:abstractNumId w:val="12"/>
  </w:num>
  <w:num w:numId="19">
    <w:abstractNumId w:val="7"/>
  </w:num>
  <w:num w:numId="20">
    <w:abstractNumId w:val="1"/>
  </w:num>
  <w:num w:numId="21">
    <w:abstractNumId w:val="9"/>
  </w:num>
  <w:num w:numId="22">
    <w:abstractNumId w:val="25"/>
  </w:num>
  <w:num w:numId="23">
    <w:abstractNumId w:val="21"/>
  </w:num>
  <w:num w:numId="24">
    <w:abstractNumId w:val="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num>
  <w:num w:numId="28">
    <w:abstractNumId w:val="29"/>
  </w:num>
  <w:num w:numId="29">
    <w:abstractNumId w:val="15"/>
  </w:num>
  <w:num w:numId="30">
    <w:abstractNumId w:val="3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3NDQ3szAxNzY2NjJW0lEKTi0uzszPAykwqgUAFsSNqSwAAAA="/>
  </w:docVars>
  <w:rsids>
    <w:rsidRoot w:val="00BD5588"/>
    <w:rsid w:val="00001410"/>
    <w:rsid w:val="00002098"/>
    <w:rsid w:val="0000571E"/>
    <w:rsid w:val="00007749"/>
    <w:rsid w:val="00010BFE"/>
    <w:rsid w:val="000126F7"/>
    <w:rsid w:val="00013843"/>
    <w:rsid w:val="00013BB6"/>
    <w:rsid w:val="000151C7"/>
    <w:rsid w:val="00015BEF"/>
    <w:rsid w:val="00017E6E"/>
    <w:rsid w:val="00024E95"/>
    <w:rsid w:val="00025E04"/>
    <w:rsid w:val="000261F9"/>
    <w:rsid w:val="00027764"/>
    <w:rsid w:val="000277FC"/>
    <w:rsid w:val="00030C58"/>
    <w:rsid w:val="00031170"/>
    <w:rsid w:val="00032119"/>
    <w:rsid w:val="0003529F"/>
    <w:rsid w:val="000371A3"/>
    <w:rsid w:val="000372DF"/>
    <w:rsid w:val="000375C6"/>
    <w:rsid w:val="000410A4"/>
    <w:rsid w:val="00042E65"/>
    <w:rsid w:val="00042F05"/>
    <w:rsid w:val="00044F83"/>
    <w:rsid w:val="0004504B"/>
    <w:rsid w:val="00045270"/>
    <w:rsid w:val="00045B76"/>
    <w:rsid w:val="00046E43"/>
    <w:rsid w:val="00051032"/>
    <w:rsid w:val="000544F7"/>
    <w:rsid w:val="00056519"/>
    <w:rsid w:val="00056C99"/>
    <w:rsid w:val="00057890"/>
    <w:rsid w:val="0006159C"/>
    <w:rsid w:val="00062964"/>
    <w:rsid w:val="0006419C"/>
    <w:rsid w:val="00064EE5"/>
    <w:rsid w:val="0006584C"/>
    <w:rsid w:val="00066630"/>
    <w:rsid w:val="00070259"/>
    <w:rsid w:val="00070D7E"/>
    <w:rsid w:val="00076D93"/>
    <w:rsid w:val="000770B0"/>
    <w:rsid w:val="00080445"/>
    <w:rsid w:val="00080B0F"/>
    <w:rsid w:val="00082976"/>
    <w:rsid w:val="00084743"/>
    <w:rsid w:val="00085981"/>
    <w:rsid w:val="00085B47"/>
    <w:rsid w:val="00086012"/>
    <w:rsid w:val="00090D8D"/>
    <w:rsid w:val="00091329"/>
    <w:rsid w:val="00092995"/>
    <w:rsid w:val="000937E7"/>
    <w:rsid w:val="0009425D"/>
    <w:rsid w:val="0009507D"/>
    <w:rsid w:val="00097012"/>
    <w:rsid w:val="000975E1"/>
    <w:rsid w:val="000A0522"/>
    <w:rsid w:val="000A53DD"/>
    <w:rsid w:val="000A6089"/>
    <w:rsid w:val="000A71C7"/>
    <w:rsid w:val="000B18A4"/>
    <w:rsid w:val="000B2DD8"/>
    <w:rsid w:val="000B2F93"/>
    <w:rsid w:val="000B3262"/>
    <w:rsid w:val="000B50AF"/>
    <w:rsid w:val="000B7293"/>
    <w:rsid w:val="000C26CF"/>
    <w:rsid w:val="000C2716"/>
    <w:rsid w:val="000C6AEE"/>
    <w:rsid w:val="000C7F4F"/>
    <w:rsid w:val="000D05A7"/>
    <w:rsid w:val="000D0976"/>
    <w:rsid w:val="000D1B3A"/>
    <w:rsid w:val="000D2075"/>
    <w:rsid w:val="000D3461"/>
    <w:rsid w:val="000D63F3"/>
    <w:rsid w:val="000E13CB"/>
    <w:rsid w:val="000E1C0E"/>
    <w:rsid w:val="000E57D6"/>
    <w:rsid w:val="000E6360"/>
    <w:rsid w:val="000E747F"/>
    <w:rsid w:val="000E7A8E"/>
    <w:rsid w:val="000F1163"/>
    <w:rsid w:val="000F288E"/>
    <w:rsid w:val="000F4DA6"/>
    <w:rsid w:val="00102C0E"/>
    <w:rsid w:val="001052C2"/>
    <w:rsid w:val="00106D3A"/>
    <w:rsid w:val="00110171"/>
    <w:rsid w:val="0011038D"/>
    <w:rsid w:val="00110BE3"/>
    <w:rsid w:val="0011119A"/>
    <w:rsid w:val="00111708"/>
    <w:rsid w:val="00111E68"/>
    <w:rsid w:val="00112858"/>
    <w:rsid w:val="00112CC8"/>
    <w:rsid w:val="00113AEB"/>
    <w:rsid w:val="00115BCD"/>
    <w:rsid w:val="001169E3"/>
    <w:rsid w:val="00122124"/>
    <w:rsid w:val="00122DDC"/>
    <w:rsid w:val="00123138"/>
    <w:rsid w:val="00123600"/>
    <w:rsid w:val="001268D5"/>
    <w:rsid w:val="00127B12"/>
    <w:rsid w:val="00127C9F"/>
    <w:rsid w:val="001329DF"/>
    <w:rsid w:val="001352CB"/>
    <w:rsid w:val="001357D0"/>
    <w:rsid w:val="001362E4"/>
    <w:rsid w:val="00136EC7"/>
    <w:rsid w:val="001374C8"/>
    <w:rsid w:val="00141772"/>
    <w:rsid w:val="0014446B"/>
    <w:rsid w:val="00144AA1"/>
    <w:rsid w:val="001453E4"/>
    <w:rsid w:val="00145570"/>
    <w:rsid w:val="00145CEE"/>
    <w:rsid w:val="00146F34"/>
    <w:rsid w:val="00151717"/>
    <w:rsid w:val="0015260B"/>
    <w:rsid w:val="00153262"/>
    <w:rsid w:val="001540F4"/>
    <w:rsid w:val="00154160"/>
    <w:rsid w:val="00154FDA"/>
    <w:rsid w:val="001555DB"/>
    <w:rsid w:val="00155D1B"/>
    <w:rsid w:val="0015619A"/>
    <w:rsid w:val="00162A11"/>
    <w:rsid w:val="00164BA2"/>
    <w:rsid w:val="00165EFB"/>
    <w:rsid w:val="00166261"/>
    <w:rsid w:val="001665FF"/>
    <w:rsid w:val="0016722E"/>
    <w:rsid w:val="0016779B"/>
    <w:rsid w:val="0017035D"/>
    <w:rsid w:val="00170782"/>
    <w:rsid w:val="00171A34"/>
    <w:rsid w:val="00172B7E"/>
    <w:rsid w:val="00173C2E"/>
    <w:rsid w:val="00173D83"/>
    <w:rsid w:val="00173FAC"/>
    <w:rsid w:val="001769E0"/>
    <w:rsid w:val="00182940"/>
    <w:rsid w:val="00182A30"/>
    <w:rsid w:val="00184EEF"/>
    <w:rsid w:val="00185006"/>
    <w:rsid w:val="00185C26"/>
    <w:rsid w:val="00186725"/>
    <w:rsid w:val="001905CE"/>
    <w:rsid w:val="001909EE"/>
    <w:rsid w:val="001914E0"/>
    <w:rsid w:val="0019476F"/>
    <w:rsid w:val="0019627D"/>
    <w:rsid w:val="001965B3"/>
    <w:rsid w:val="001A0858"/>
    <w:rsid w:val="001A1E77"/>
    <w:rsid w:val="001A3EF7"/>
    <w:rsid w:val="001A5556"/>
    <w:rsid w:val="001A5932"/>
    <w:rsid w:val="001B0E94"/>
    <w:rsid w:val="001B1B87"/>
    <w:rsid w:val="001B473E"/>
    <w:rsid w:val="001B5313"/>
    <w:rsid w:val="001B6A8E"/>
    <w:rsid w:val="001C0E30"/>
    <w:rsid w:val="001C11A2"/>
    <w:rsid w:val="001C2776"/>
    <w:rsid w:val="001C2C52"/>
    <w:rsid w:val="001C401A"/>
    <w:rsid w:val="001C5B4E"/>
    <w:rsid w:val="001D03D2"/>
    <w:rsid w:val="001D0E0F"/>
    <w:rsid w:val="001D2E9D"/>
    <w:rsid w:val="001D37C9"/>
    <w:rsid w:val="001D7D88"/>
    <w:rsid w:val="001E1ABB"/>
    <w:rsid w:val="001E64FC"/>
    <w:rsid w:val="001E7270"/>
    <w:rsid w:val="001E7EF7"/>
    <w:rsid w:val="001F0D43"/>
    <w:rsid w:val="001F13DB"/>
    <w:rsid w:val="001F14FB"/>
    <w:rsid w:val="001F1857"/>
    <w:rsid w:val="001F3FBF"/>
    <w:rsid w:val="001F5BD9"/>
    <w:rsid w:val="0020009B"/>
    <w:rsid w:val="002018AB"/>
    <w:rsid w:val="00204B23"/>
    <w:rsid w:val="00204FAD"/>
    <w:rsid w:val="0020585B"/>
    <w:rsid w:val="00205C56"/>
    <w:rsid w:val="002066A4"/>
    <w:rsid w:val="00206EF0"/>
    <w:rsid w:val="00210C71"/>
    <w:rsid w:val="00217759"/>
    <w:rsid w:val="00221982"/>
    <w:rsid w:val="00222DC3"/>
    <w:rsid w:val="0022325C"/>
    <w:rsid w:val="0022473F"/>
    <w:rsid w:val="00227B6A"/>
    <w:rsid w:val="00233A9B"/>
    <w:rsid w:val="002409DE"/>
    <w:rsid w:val="00241D57"/>
    <w:rsid w:val="002438C9"/>
    <w:rsid w:val="002510DB"/>
    <w:rsid w:val="0025148A"/>
    <w:rsid w:val="0025238B"/>
    <w:rsid w:val="0025352F"/>
    <w:rsid w:val="0025485F"/>
    <w:rsid w:val="00256877"/>
    <w:rsid w:val="00256884"/>
    <w:rsid w:val="002579A6"/>
    <w:rsid w:val="00261C5F"/>
    <w:rsid w:val="00262690"/>
    <w:rsid w:val="002627C9"/>
    <w:rsid w:val="002639F9"/>
    <w:rsid w:val="00264877"/>
    <w:rsid w:val="0026566B"/>
    <w:rsid w:val="00266877"/>
    <w:rsid w:val="0026710A"/>
    <w:rsid w:val="00267A02"/>
    <w:rsid w:val="00267DE9"/>
    <w:rsid w:val="002709D9"/>
    <w:rsid w:val="00271D2C"/>
    <w:rsid w:val="002735D7"/>
    <w:rsid w:val="002752C5"/>
    <w:rsid w:val="00275D3A"/>
    <w:rsid w:val="002809AA"/>
    <w:rsid w:val="00281106"/>
    <w:rsid w:val="00281E72"/>
    <w:rsid w:val="002838BB"/>
    <w:rsid w:val="00284E15"/>
    <w:rsid w:val="002852FA"/>
    <w:rsid w:val="00285DF2"/>
    <w:rsid w:val="00286CA9"/>
    <w:rsid w:val="00291B7D"/>
    <w:rsid w:val="002954E2"/>
    <w:rsid w:val="002A055D"/>
    <w:rsid w:val="002A0DC1"/>
    <w:rsid w:val="002A2289"/>
    <w:rsid w:val="002A236D"/>
    <w:rsid w:val="002A23BF"/>
    <w:rsid w:val="002A2F60"/>
    <w:rsid w:val="002A39FF"/>
    <w:rsid w:val="002A649B"/>
    <w:rsid w:val="002B062E"/>
    <w:rsid w:val="002B460E"/>
    <w:rsid w:val="002B59FD"/>
    <w:rsid w:val="002B5FA4"/>
    <w:rsid w:val="002B6C8C"/>
    <w:rsid w:val="002B777F"/>
    <w:rsid w:val="002C0C92"/>
    <w:rsid w:val="002C1B83"/>
    <w:rsid w:val="002C47E4"/>
    <w:rsid w:val="002C4F2E"/>
    <w:rsid w:val="002C7687"/>
    <w:rsid w:val="002D0ADF"/>
    <w:rsid w:val="002D3F53"/>
    <w:rsid w:val="002D5E5A"/>
    <w:rsid w:val="002D6CC0"/>
    <w:rsid w:val="002E29CE"/>
    <w:rsid w:val="002E4813"/>
    <w:rsid w:val="002E4B83"/>
    <w:rsid w:val="002E4D6B"/>
    <w:rsid w:val="002E530C"/>
    <w:rsid w:val="002E6363"/>
    <w:rsid w:val="002E75E4"/>
    <w:rsid w:val="002F06AF"/>
    <w:rsid w:val="002F0865"/>
    <w:rsid w:val="002F2942"/>
    <w:rsid w:val="002F6CBC"/>
    <w:rsid w:val="002F7C3A"/>
    <w:rsid w:val="00300647"/>
    <w:rsid w:val="00300C78"/>
    <w:rsid w:val="00302480"/>
    <w:rsid w:val="00304AFE"/>
    <w:rsid w:val="003054CC"/>
    <w:rsid w:val="00307924"/>
    <w:rsid w:val="00307CC9"/>
    <w:rsid w:val="003100DB"/>
    <w:rsid w:val="00310D3A"/>
    <w:rsid w:val="00311143"/>
    <w:rsid w:val="00311EB1"/>
    <w:rsid w:val="00312ADC"/>
    <w:rsid w:val="0031345F"/>
    <w:rsid w:val="0032136B"/>
    <w:rsid w:val="00321411"/>
    <w:rsid w:val="00323753"/>
    <w:rsid w:val="003239A8"/>
    <w:rsid w:val="00323A3F"/>
    <w:rsid w:val="003241A9"/>
    <w:rsid w:val="00326682"/>
    <w:rsid w:val="00332550"/>
    <w:rsid w:val="003339AD"/>
    <w:rsid w:val="00333D6F"/>
    <w:rsid w:val="003366CA"/>
    <w:rsid w:val="003369D6"/>
    <w:rsid w:val="003470DD"/>
    <w:rsid w:val="00347824"/>
    <w:rsid w:val="00352B87"/>
    <w:rsid w:val="00352FA0"/>
    <w:rsid w:val="0035314E"/>
    <w:rsid w:val="00354686"/>
    <w:rsid w:val="0035662B"/>
    <w:rsid w:val="00357E86"/>
    <w:rsid w:val="003612F5"/>
    <w:rsid w:val="00362DA4"/>
    <w:rsid w:val="00363693"/>
    <w:rsid w:val="003665C4"/>
    <w:rsid w:val="00366BA2"/>
    <w:rsid w:val="0036708F"/>
    <w:rsid w:val="0037049C"/>
    <w:rsid w:val="003710E7"/>
    <w:rsid w:val="00371D9F"/>
    <w:rsid w:val="003735B3"/>
    <w:rsid w:val="00373BA6"/>
    <w:rsid w:val="003759E0"/>
    <w:rsid w:val="003808DF"/>
    <w:rsid w:val="003815A8"/>
    <w:rsid w:val="003830D5"/>
    <w:rsid w:val="003852B2"/>
    <w:rsid w:val="00393208"/>
    <w:rsid w:val="00396950"/>
    <w:rsid w:val="003A0606"/>
    <w:rsid w:val="003A07F7"/>
    <w:rsid w:val="003A24FA"/>
    <w:rsid w:val="003A6BEF"/>
    <w:rsid w:val="003A7A1A"/>
    <w:rsid w:val="003B0370"/>
    <w:rsid w:val="003B301D"/>
    <w:rsid w:val="003B52BA"/>
    <w:rsid w:val="003B6F02"/>
    <w:rsid w:val="003C0CA3"/>
    <w:rsid w:val="003C1690"/>
    <w:rsid w:val="003C231A"/>
    <w:rsid w:val="003C26B4"/>
    <w:rsid w:val="003C4A23"/>
    <w:rsid w:val="003C4B57"/>
    <w:rsid w:val="003D35D4"/>
    <w:rsid w:val="003D5D20"/>
    <w:rsid w:val="003D67A7"/>
    <w:rsid w:val="003D7447"/>
    <w:rsid w:val="003E01B8"/>
    <w:rsid w:val="003E1197"/>
    <w:rsid w:val="003E1A54"/>
    <w:rsid w:val="003E3FA9"/>
    <w:rsid w:val="003E5C4D"/>
    <w:rsid w:val="003E5D09"/>
    <w:rsid w:val="003F062A"/>
    <w:rsid w:val="003F4C00"/>
    <w:rsid w:val="003F4EB3"/>
    <w:rsid w:val="003F6C7B"/>
    <w:rsid w:val="004020C1"/>
    <w:rsid w:val="004050F0"/>
    <w:rsid w:val="004055A8"/>
    <w:rsid w:val="004067CF"/>
    <w:rsid w:val="004077AC"/>
    <w:rsid w:val="004132C8"/>
    <w:rsid w:val="004132E5"/>
    <w:rsid w:val="00414757"/>
    <w:rsid w:val="00414901"/>
    <w:rsid w:val="00414B2F"/>
    <w:rsid w:val="004175CE"/>
    <w:rsid w:val="004177A2"/>
    <w:rsid w:val="00417892"/>
    <w:rsid w:val="00417A8A"/>
    <w:rsid w:val="00421BBB"/>
    <w:rsid w:val="00423632"/>
    <w:rsid w:val="00423F81"/>
    <w:rsid w:val="00426DDD"/>
    <w:rsid w:val="004271E7"/>
    <w:rsid w:val="0042721C"/>
    <w:rsid w:val="00431739"/>
    <w:rsid w:val="0043539E"/>
    <w:rsid w:val="00435838"/>
    <w:rsid w:val="00436C5A"/>
    <w:rsid w:val="00437A2A"/>
    <w:rsid w:val="00441837"/>
    <w:rsid w:val="004433DB"/>
    <w:rsid w:val="00447AE0"/>
    <w:rsid w:val="00450326"/>
    <w:rsid w:val="00451695"/>
    <w:rsid w:val="00451B95"/>
    <w:rsid w:val="00453428"/>
    <w:rsid w:val="00455A0B"/>
    <w:rsid w:val="00456CFB"/>
    <w:rsid w:val="00461F7B"/>
    <w:rsid w:val="00462D71"/>
    <w:rsid w:val="004630F1"/>
    <w:rsid w:val="00463E52"/>
    <w:rsid w:val="00464669"/>
    <w:rsid w:val="004651EF"/>
    <w:rsid w:val="004672D9"/>
    <w:rsid w:val="00470342"/>
    <w:rsid w:val="00471BBB"/>
    <w:rsid w:val="0047762C"/>
    <w:rsid w:val="0048032B"/>
    <w:rsid w:val="00480DDA"/>
    <w:rsid w:val="00481337"/>
    <w:rsid w:val="00481ABF"/>
    <w:rsid w:val="00482E91"/>
    <w:rsid w:val="00482F32"/>
    <w:rsid w:val="00484948"/>
    <w:rsid w:val="0048549C"/>
    <w:rsid w:val="00486173"/>
    <w:rsid w:val="00486C28"/>
    <w:rsid w:val="0048704E"/>
    <w:rsid w:val="004909FB"/>
    <w:rsid w:val="00490F6E"/>
    <w:rsid w:val="00491C5F"/>
    <w:rsid w:val="004926A4"/>
    <w:rsid w:val="004933C5"/>
    <w:rsid w:val="00495400"/>
    <w:rsid w:val="00495B51"/>
    <w:rsid w:val="00497013"/>
    <w:rsid w:val="00497E0A"/>
    <w:rsid w:val="004A182C"/>
    <w:rsid w:val="004A2CEF"/>
    <w:rsid w:val="004A5771"/>
    <w:rsid w:val="004A63FB"/>
    <w:rsid w:val="004A7C8D"/>
    <w:rsid w:val="004B0AA3"/>
    <w:rsid w:val="004B2BBF"/>
    <w:rsid w:val="004B2CC7"/>
    <w:rsid w:val="004B4E32"/>
    <w:rsid w:val="004B6150"/>
    <w:rsid w:val="004C0B86"/>
    <w:rsid w:val="004C1A01"/>
    <w:rsid w:val="004C2969"/>
    <w:rsid w:val="004C7F4E"/>
    <w:rsid w:val="004D2F46"/>
    <w:rsid w:val="004D3232"/>
    <w:rsid w:val="004D42E7"/>
    <w:rsid w:val="004D46DE"/>
    <w:rsid w:val="004E2E7E"/>
    <w:rsid w:val="004E4003"/>
    <w:rsid w:val="004E6983"/>
    <w:rsid w:val="004E72AC"/>
    <w:rsid w:val="004F1724"/>
    <w:rsid w:val="004F2A66"/>
    <w:rsid w:val="004F2F88"/>
    <w:rsid w:val="004F6392"/>
    <w:rsid w:val="004F7E28"/>
    <w:rsid w:val="00500184"/>
    <w:rsid w:val="00500A30"/>
    <w:rsid w:val="00500C31"/>
    <w:rsid w:val="00501D2C"/>
    <w:rsid w:val="00502A33"/>
    <w:rsid w:val="0050583F"/>
    <w:rsid w:val="00506B8F"/>
    <w:rsid w:val="005109DA"/>
    <w:rsid w:val="00511466"/>
    <w:rsid w:val="00516370"/>
    <w:rsid w:val="00516664"/>
    <w:rsid w:val="00516E0C"/>
    <w:rsid w:val="0052081A"/>
    <w:rsid w:val="00522E4C"/>
    <w:rsid w:val="00522EEF"/>
    <w:rsid w:val="00527604"/>
    <w:rsid w:val="00531761"/>
    <w:rsid w:val="00532121"/>
    <w:rsid w:val="00536708"/>
    <w:rsid w:val="00537679"/>
    <w:rsid w:val="00542AE7"/>
    <w:rsid w:val="005447A6"/>
    <w:rsid w:val="00546930"/>
    <w:rsid w:val="00552533"/>
    <w:rsid w:val="00557701"/>
    <w:rsid w:val="005579C4"/>
    <w:rsid w:val="00562397"/>
    <w:rsid w:val="005623B8"/>
    <w:rsid w:val="0056273F"/>
    <w:rsid w:val="00565222"/>
    <w:rsid w:val="00565E19"/>
    <w:rsid w:val="00566913"/>
    <w:rsid w:val="005706A1"/>
    <w:rsid w:val="00571BD1"/>
    <w:rsid w:val="00572D5A"/>
    <w:rsid w:val="00573144"/>
    <w:rsid w:val="00576D74"/>
    <w:rsid w:val="00577178"/>
    <w:rsid w:val="00577F16"/>
    <w:rsid w:val="005812A7"/>
    <w:rsid w:val="00582694"/>
    <w:rsid w:val="0058281E"/>
    <w:rsid w:val="00583367"/>
    <w:rsid w:val="00583A9B"/>
    <w:rsid w:val="00583CEE"/>
    <w:rsid w:val="005848B6"/>
    <w:rsid w:val="00584C94"/>
    <w:rsid w:val="00584DF0"/>
    <w:rsid w:val="00585A17"/>
    <w:rsid w:val="005876F8"/>
    <w:rsid w:val="0058789C"/>
    <w:rsid w:val="0059116C"/>
    <w:rsid w:val="005932F5"/>
    <w:rsid w:val="00594AC8"/>
    <w:rsid w:val="005953B8"/>
    <w:rsid w:val="00597457"/>
    <w:rsid w:val="005A1400"/>
    <w:rsid w:val="005A4805"/>
    <w:rsid w:val="005A51E1"/>
    <w:rsid w:val="005A5E4E"/>
    <w:rsid w:val="005A64D0"/>
    <w:rsid w:val="005A7613"/>
    <w:rsid w:val="005B26BB"/>
    <w:rsid w:val="005B3B4F"/>
    <w:rsid w:val="005B7D0A"/>
    <w:rsid w:val="005C1D0F"/>
    <w:rsid w:val="005C1F20"/>
    <w:rsid w:val="005C24C7"/>
    <w:rsid w:val="005C2797"/>
    <w:rsid w:val="005C4396"/>
    <w:rsid w:val="005C71E2"/>
    <w:rsid w:val="005D0175"/>
    <w:rsid w:val="005D1793"/>
    <w:rsid w:val="005D23E2"/>
    <w:rsid w:val="005D6D06"/>
    <w:rsid w:val="005E2C7C"/>
    <w:rsid w:val="005E2FFC"/>
    <w:rsid w:val="005E3592"/>
    <w:rsid w:val="005E39C6"/>
    <w:rsid w:val="005E476B"/>
    <w:rsid w:val="005E5881"/>
    <w:rsid w:val="005E6B9F"/>
    <w:rsid w:val="005F03C6"/>
    <w:rsid w:val="005F3657"/>
    <w:rsid w:val="005F547E"/>
    <w:rsid w:val="005F5718"/>
    <w:rsid w:val="005F6E25"/>
    <w:rsid w:val="00600527"/>
    <w:rsid w:val="0060168A"/>
    <w:rsid w:val="00601D11"/>
    <w:rsid w:val="00603249"/>
    <w:rsid w:val="00605D03"/>
    <w:rsid w:val="00606A74"/>
    <w:rsid w:val="006073D5"/>
    <w:rsid w:val="00615A58"/>
    <w:rsid w:val="00621832"/>
    <w:rsid w:val="0062250F"/>
    <w:rsid w:val="00624279"/>
    <w:rsid w:val="00626256"/>
    <w:rsid w:val="006307AD"/>
    <w:rsid w:val="006326E6"/>
    <w:rsid w:val="006341A9"/>
    <w:rsid w:val="00634631"/>
    <w:rsid w:val="006346A1"/>
    <w:rsid w:val="006354F1"/>
    <w:rsid w:val="00636393"/>
    <w:rsid w:val="00637373"/>
    <w:rsid w:val="00640380"/>
    <w:rsid w:val="006409B3"/>
    <w:rsid w:val="00643539"/>
    <w:rsid w:val="00645259"/>
    <w:rsid w:val="00650B59"/>
    <w:rsid w:val="006511F4"/>
    <w:rsid w:val="006516A2"/>
    <w:rsid w:val="00651FC8"/>
    <w:rsid w:val="00653A9A"/>
    <w:rsid w:val="00653B07"/>
    <w:rsid w:val="00655BF1"/>
    <w:rsid w:val="0065643E"/>
    <w:rsid w:val="00660586"/>
    <w:rsid w:val="00660C63"/>
    <w:rsid w:val="00660EA3"/>
    <w:rsid w:val="00662AE7"/>
    <w:rsid w:val="00662D97"/>
    <w:rsid w:val="0066343D"/>
    <w:rsid w:val="006661C5"/>
    <w:rsid w:val="0066656E"/>
    <w:rsid w:val="006671BE"/>
    <w:rsid w:val="00667AB2"/>
    <w:rsid w:val="006710F4"/>
    <w:rsid w:val="00671A27"/>
    <w:rsid w:val="00673F82"/>
    <w:rsid w:val="006750E6"/>
    <w:rsid w:val="00676CA6"/>
    <w:rsid w:val="00680C03"/>
    <w:rsid w:val="00682F1F"/>
    <w:rsid w:val="006831B2"/>
    <w:rsid w:val="006831C8"/>
    <w:rsid w:val="00685362"/>
    <w:rsid w:val="006863BD"/>
    <w:rsid w:val="00691B40"/>
    <w:rsid w:val="00694C5B"/>
    <w:rsid w:val="00696980"/>
    <w:rsid w:val="006975FC"/>
    <w:rsid w:val="006A142A"/>
    <w:rsid w:val="006A2A40"/>
    <w:rsid w:val="006A456B"/>
    <w:rsid w:val="006A4ADF"/>
    <w:rsid w:val="006A55F8"/>
    <w:rsid w:val="006A7623"/>
    <w:rsid w:val="006B0276"/>
    <w:rsid w:val="006B1601"/>
    <w:rsid w:val="006B1A1B"/>
    <w:rsid w:val="006B27FB"/>
    <w:rsid w:val="006B40E0"/>
    <w:rsid w:val="006B4F8E"/>
    <w:rsid w:val="006B6DF8"/>
    <w:rsid w:val="006B7ECA"/>
    <w:rsid w:val="006C280C"/>
    <w:rsid w:val="006C3F78"/>
    <w:rsid w:val="006C4FE5"/>
    <w:rsid w:val="006C55CD"/>
    <w:rsid w:val="006C5B42"/>
    <w:rsid w:val="006C6A74"/>
    <w:rsid w:val="006D13C0"/>
    <w:rsid w:val="006D753A"/>
    <w:rsid w:val="006E4081"/>
    <w:rsid w:val="006E49FE"/>
    <w:rsid w:val="006E4AA5"/>
    <w:rsid w:val="006E5217"/>
    <w:rsid w:val="006E6DAE"/>
    <w:rsid w:val="006E6FE3"/>
    <w:rsid w:val="006F0C30"/>
    <w:rsid w:val="006F1751"/>
    <w:rsid w:val="006F6C6F"/>
    <w:rsid w:val="006F6E3B"/>
    <w:rsid w:val="006F71E9"/>
    <w:rsid w:val="007014E7"/>
    <w:rsid w:val="00703296"/>
    <w:rsid w:val="00703592"/>
    <w:rsid w:val="00704434"/>
    <w:rsid w:val="007047CE"/>
    <w:rsid w:val="0070494E"/>
    <w:rsid w:val="00705591"/>
    <w:rsid w:val="00706225"/>
    <w:rsid w:val="007073CA"/>
    <w:rsid w:val="00710608"/>
    <w:rsid w:val="00710C63"/>
    <w:rsid w:val="00710DE4"/>
    <w:rsid w:val="007114F6"/>
    <w:rsid w:val="00712B5A"/>
    <w:rsid w:val="0071488F"/>
    <w:rsid w:val="00715060"/>
    <w:rsid w:val="00717157"/>
    <w:rsid w:val="00717AD0"/>
    <w:rsid w:val="00721068"/>
    <w:rsid w:val="00721678"/>
    <w:rsid w:val="00722C78"/>
    <w:rsid w:val="00725360"/>
    <w:rsid w:val="00726E62"/>
    <w:rsid w:val="00730014"/>
    <w:rsid w:val="00730769"/>
    <w:rsid w:val="00732D0D"/>
    <w:rsid w:val="00734E6B"/>
    <w:rsid w:val="0073527A"/>
    <w:rsid w:val="00736D67"/>
    <w:rsid w:val="00737CB2"/>
    <w:rsid w:val="00740CD7"/>
    <w:rsid w:val="00740E28"/>
    <w:rsid w:val="00740F34"/>
    <w:rsid w:val="007418C8"/>
    <w:rsid w:val="00744396"/>
    <w:rsid w:val="00752909"/>
    <w:rsid w:val="00752C7F"/>
    <w:rsid w:val="00753154"/>
    <w:rsid w:val="00753FB3"/>
    <w:rsid w:val="0076101F"/>
    <w:rsid w:val="00762493"/>
    <w:rsid w:val="00763616"/>
    <w:rsid w:val="007643A6"/>
    <w:rsid w:val="007661C2"/>
    <w:rsid w:val="007719EA"/>
    <w:rsid w:val="007724C5"/>
    <w:rsid w:val="00776431"/>
    <w:rsid w:val="007802EB"/>
    <w:rsid w:val="00780B18"/>
    <w:rsid w:val="00780B7D"/>
    <w:rsid w:val="00780D8F"/>
    <w:rsid w:val="00781952"/>
    <w:rsid w:val="0078197B"/>
    <w:rsid w:val="007832F4"/>
    <w:rsid w:val="0078364F"/>
    <w:rsid w:val="00784219"/>
    <w:rsid w:val="007844ED"/>
    <w:rsid w:val="00791C35"/>
    <w:rsid w:val="00793918"/>
    <w:rsid w:val="00794E5B"/>
    <w:rsid w:val="007955BE"/>
    <w:rsid w:val="007A06AF"/>
    <w:rsid w:val="007A1810"/>
    <w:rsid w:val="007A4DD6"/>
    <w:rsid w:val="007A7724"/>
    <w:rsid w:val="007A7AF6"/>
    <w:rsid w:val="007B32EB"/>
    <w:rsid w:val="007B4720"/>
    <w:rsid w:val="007B7A54"/>
    <w:rsid w:val="007B7B43"/>
    <w:rsid w:val="007C0268"/>
    <w:rsid w:val="007C2D53"/>
    <w:rsid w:val="007C3D82"/>
    <w:rsid w:val="007C40A4"/>
    <w:rsid w:val="007C49D7"/>
    <w:rsid w:val="007D0B4D"/>
    <w:rsid w:val="007D0B90"/>
    <w:rsid w:val="007D201A"/>
    <w:rsid w:val="007D3B0D"/>
    <w:rsid w:val="007D6C5F"/>
    <w:rsid w:val="007E026F"/>
    <w:rsid w:val="007E0F96"/>
    <w:rsid w:val="007E1084"/>
    <w:rsid w:val="007E49CF"/>
    <w:rsid w:val="007E5066"/>
    <w:rsid w:val="007E5FF4"/>
    <w:rsid w:val="007E7799"/>
    <w:rsid w:val="007E7F2A"/>
    <w:rsid w:val="007F03CA"/>
    <w:rsid w:val="007F04C4"/>
    <w:rsid w:val="007F1179"/>
    <w:rsid w:val="007F29A6"/>
    <w:rsid w:val="007F2D55"/>
    <w:rsid w:val="007F51C9"/>
    <w:rsid w:val="007F56A8"/>
    <w:rsid w:val="007F60EC"/>
    <w:rsid w:val="007F74DA"/>
    <w:rsid w:val="007F7BE2"/>
    <w:rsid w:val="008002EF"/>
    <w:rsid w:val="0080068A"/>
    <w:rsid w:val="00801D21"/>
    <w:rsid w:val="008027A6"/>
    <w:rsid w:val="008029DE"/>
    <w:rsid w:val="0080492F"/>
    <w:rsid w:val="0080599C"/>
    <w:rsid w:val="0080642E"/>
    <w:rsid w:val="00806E99"/>
    <w:rsid w:val="008110DC"/>
    <w:rsid w:val="008111AB"/>
    <w:rsid w:val="00811B0D"/>
    <w:rsid w:val="00812297"/>
    <w:rsid w:val="00814358"/>
    <w:rsid w:val="0082028F"/>
    <w:rsid w:val="0082064A"/>
    <w:rsid w:val="0082101F"/>
    <w:rsid w:val="0082169A"/>
    <w:rsid w:val="00822440"/>
    <w:rsid w:val="00823702"/>
    <w:rsid w:val="00825D35"/>
    <w:rsid w:val="00832B20"/>
    <w:rsid w:val="00836040"/>
    <w:rsid w:val="00844494"/>
    <w:rsid w:val="00845A69"/>
    <w:rsid w:val="008474D5"/>
    <w:rsid w:val="0084768F"/>
    <w:rsid w:val="008517FD"/>
    <w:rsid w:val="00851E18"/>
    <w:rsid w:val="00851E4F"/>
    <w:rsid w:val="0085231A"/>
    <w:rsid w:val="00852672"/>
    <w:rsid w:val="00853EF7"/>
    <w:rsid w:val="00853F4F"/>
    <w:rsid w:val="008543CA"/>
    <w:rsid w:val="0085584F"/>
    <w:rsid w:val="00856D7C"/>
    <w:rsid w:val="00861379"/>
    <w:rsid w:val="00863657"/>
    <w:rsid w:val="0086414C"/>
    <w:rsid w:val="008659CD"/>
    <w:rsid w:val="00865BF1"/>
    <w:rsid w:val="008663AD"/>
    <w:rsid w:val="008679B3"/>
    <w:rsid w:val="0087092D"/>
    <w:rsid w:val="0087516B"/>
    <w:rsid w:val="00876DA7"/>
    <w:rsid w:val="008777E2"/>
    <w:rsid w:val="008807D5"/>
    <w:rsid w:val="00880D24"/>
    <w:rsid w:val="00881D06"/>
    <w:rsid w:val="00882E00"/>
    <w:rsid w:val="00883897"/>
    <w:rsid w:val="00883E7B"/>
    <w:rsid w:val="008850E4"/>
    <w:rsid w:val="00885993"/>
    <w:rsid w:val="008862BF"/>
    <w:rsid w:val="00891EB7"/>
    <w:rsid w:val="0089344E"/>
    <w:rsid w:val="0089508E"/>
    <w:rsid w:val="00897A22"/>
    <w:rsid w:val="008A5522"/>
    <w:rsid w:val="008B0026"/>
    <w:rsid w:val="008B2161"/>
    <w:rsid w:val="008B240F"/>
    <w:rsid w:val="008B2A8A"/>
    <w:rsid w:val="008B3AC5"/>
    <w:rsid w:val="008B3D23"/>
    <w:rsid w:val="008B41DC"/>
    <w:rsid w:val="008B4388"/>
    <w:rsid w:val="008B6184"/>
    <w:rsid w:val="008B72B4"/>
    <w:rsid w:val="008C3139"/>
    <w:rsid w:val="008C5BF2"/>
    <w:rsid w:val="008C608B"/>
    <w:rsid w:val="008C6640"/>
    <w:rsid w:val="008C71D8"/>
    <w:rsid w:val="008C7F1F"/>
    <w:rsid w:val="008D0A0E"/>
    <w:rsid w:val="008D2576"/>
    <w:rsid w:val="008D2EBE"/>
    <w:rsid w:val="008D4010"/>
    <w:rsid w:val="008D539E"/>
    <w:rsid w:val="008D67E9"/>
    <w:rsid w:val="008D7BA1"/>
    <w:rsid w:val="008E33CB"/>
    <w:rsid w:val="008E4572"/>
    <w:rsid w:val="008E4F2D"/>
    <w:rsid w:val="008E5EA8"/>
    <w:rsid w:val="008E7C64"/>
    <w:rsid w:val="008F013A"/>
    <w:rsid w:val="008F1211"/>
    <w:rsid w:val="008F2421"/>
    <w:rsid w:val="008F4F23"/>
    <w:rsid w:val="008F55FD"/>
    <w:rsid w:val="008F6BCE"/>
    <w:rsid w:val="008F7216"/>
    <w:rsid w:val="008F75F2"/>
    <w:rsid w:val="008F7893"/>
    <w:rsid w:val="00900D9B"/>
    <w:rsid w:val="00900F49"/>
    <w:rsid w:val="00901FA0"/>
    <w:rsid w:val="00903853"/>
    <w:rsid w:val="00906423"/>
    <w:rsid w:val="009078FB"/>
    <w:rsid w:val="00910CD2"/>
    <w:rsid w:val="00911A6D"/>
    <w:rsid w:val="00913780"/>
    <w:rsid w:val="00913D1A"/>
    <w:rsid w:val="00914DFD"/>
    <w:rsid w:val="009154C7"/>
    <w:rsid w:val="00916771"/>
    <w:rsid w:val="009211F9"/>
    <w:rsid w:val="00922B30"/>
    <w:rsid w:val="00922BDC"/>
    <w:rsid w:val="00922C91"/>
    <w:rsid w:val="009248E9"/>
    <w:rsid w:val="00924DA6"/>
    <w:rsid w:val="0092575E"/>
    <w:rsid w:val="00932001"/>
    <w:rsid w:val="00932179"/>
    <w:rsid w:val="0093338A"/>
    <w:rsid w:val="0093391A"/>
    <w:rsid w:val="00933E75"/>
    <w:rsid w:val="00934F7B"/>
    <w:rsid w:val="00935A59"/>
    <w:rsid w:val="0093668D"/>
    <w:rsid w:val="00940ED6"/>
    <w:rsid w:val="009421BC"/>
    <w:rsid w:val="00942B7C"/>
    <w:rsid w:val="00943441"/>
    <w:rsid w:val="00944039"/>
    <w:rsid w:val="00944906"/>
    <w:rsid w:val="00944C12"/>
    <w:rsid w:val="009458C5"/>
    <w:rsid w:val="00945A1D"/>
    <w:rsid w:val="00946673"/>
    <w:rsid w:val="009469E9"/>
    <w:rsid w:val="00946A6A"/>
    <w:rsid w:val="00946E5C"/>
    <w:rsid w:val="00946EC0"/>
    <w:rsid w:val="009509B7"/>
    <w:rsid w:val="0095195F"/>
    <w:rsid w:val="00953813"/>
    <w:rsid w:val="00956682"/>
    <w:rsid w:val="00956ED7"/>
    <w:rsid w:val="009617A2"/>
    <w:rsid w:val="0096223A"/>
    <w:rsid w:val="00964E5D"/>
    <w:rsid w:val="00965A92"/>
    <w:rsid w:val="0096630A"/>
    <w:rsid w:val="009665B9"/>
    <w:rsid w:val="00967B32"/>
    <w:rsid w:val="00971274"/>
    <w:rsid w:val="00974679"/>
    <w:rsid w:val="00974E36"/>
    <w:rsid w:val="00975058"/>
    <w:rsid w:val="00975326"/>
    <w:rsid w:val="009754FB"/>
    <w:rsid w:val="00984809"/>
    <w:rsid w:val="009872D8"/>
    <w:rsid w:val="00987FF6"/>
    <w:rsid w:val="009908CF"/>
    <w:rsid w:val="00991421"/>
    <w:rsid w:val="00991950"/>
    <w:rsid w:val="00991DFB"/>
    <w:rsid w:val="00992DE5"/>
    <w:rsid w:val="00993B97"/>
    <w:rsid w:val="00993F77"/>
    <w:rsid w:val="009943B5"/>
    <w:rsid w:val="0099762D"/>
    <w:rsid w:val="00997919"/>
    <w:rsid w:val="00997C6C"/>
    <w:rsid w:val="009A0E6E"/>
    <w:rsid w:val="009A333D"/>
    <w:rsid w:val="009A3C22"/>
    <w:rsid w:val="009A435B"/>
    <w:rsid w:val="009A4F3C"/>
    <w:rsid w:val="009A55AA"/>
    <w:rsid w:val="009A5F96"/>
    <w:rsid w:val="009A75D4"/>
    <w:rsid w:val="009A778C"/>
    <w:rsid w:val="009B206D"/>
    <w:rsid w:val="009B2BE5"/>
    <w:rsid w:val="009B3F2C"/>
    <w:rsid w:val="009B7223"/>
    <w:rsid w:val="009C05F5"/>
    <w:rsid w:val="009C290C"/>
    <w:rsid w:val="009C2D9F"/>
    <w:rsid w:val="009C3665"/>
    <w:rsid w:val="009C7C19"/>
    <w:rsid w:val="009C7D95"/>
    <w:rsid w:val="009C7E45"/>
    <w:rsid w:val="009D02D2"/>
    <w:rsid w:val="009D048C"/>
    <w:rsid w:val="009D33C6"/>
    <w:rsid w:val="009D5C50"/>
    <w:rsid w:val="009D7667"/>
    <w:rsid w:val="009E0022"/>
    <w:rsid w:val="009E3B6D"/>
    <w:rsid w:val="009E4140"/>
    <w:rsid w:val="009E6BE6"/>
    <w:rsid w:val="009E736D"/>
    <w:rsid w:val="009E7378"/>
    <w:rsid w:val="009F0D58"/>
    <w:rsid w:val="009F1D10"/>
    <w:rsid w:val="009F2635"/>
    <w:rsid w:val="009F318D"/>
    <w:rsid w:val="009F6A43"/>
    <w:rsid w:val="009F6FB7"/>
    <w:rsid w:val="00A01446"/>
    <w:rsid w:val="00A026AE"/>
    <w:rsid w:val="00A0311F"/>
    <w:rsid w:val="00A06D53"/>
    <w:rsid w:val="00A076A8"/>
    <w:rsid w:val="00A077A6"/>
    <w:rsid w:val="00A079C0"/>
    <w:rsid w:val="00A07FA7"/>
    <w:rsid w:val="00A10DB1"/>
    <w:rsid w:val="00A1274D"/>
    <w:rsid w:val="00A12DDA"/>
    <w:rsid w:val="00A24308"/>
    <w:rsid w:val="00A24C82"/>
    <w:rsid w:val="00A2517F"/>
    <w:rsid w:val="00A251A5"/>
    <w:rsid w:val="00A3082C"/>
    <w:rsid w:val="00A31587"/>
    <w:rsid w:val="00A316C5"/>
    <w:rsid w:val="00A31A65"/>
    <w:rsid w:val="00A32C2F"/>
    <w:rsid w:val="00A32F38"/>
    <w:rsid w:val="00A352AA"/>
    <w:rsid w:val="00A3775F"/>
    <w:rsid w:val="00A41876"/>
    <w:rsid w:val="00A4314B"/>
    <w:rsid w:val="00A43DBE"/>
    <w:rsid w:val="00A44DFB"/>
    <w:rsid w:val="00A45F4C"/>
    <w:rsid w:val="00A47869"/>
    <w:rsid w:val="00A5117A"/>
    <w:rsid w:val="00A51E41"/>
    <w:rsid w:val="00A53360"/>
    <w:rsid w:val="00A5366C"/>
    <w:rsid w:val="00A53839"/>
    <w:rsid w:val="00A53A47"/>
    <w:rsid w:val="00A55F95"/>
    <w:rsid w:val="00A561C8"/>
    <w:rsid w:val="00A56E12"/>
    <w:rsid w:val="00A5779E"/>
    <w:rsid w:val="00A57B8B"/>
    <w:rsid w:val="00A613D5"/>
    <w:rsid w:val="00A65956"/>
    <w:rsid w:val="00A71EA9"/>
    <w:rsid w:val="00A7470F"/>
    <w:rsid w:val="00A80418"/>
    <w:rsid w:val="00A80B9F"/>
    <w:rsid w:val="00A811E1"/>
    <w:rsid w:val="00A83297"/>
    <w:rsid w:val="00A841D2"/>
    <w:rsid w:val="00A866C0"/>
    <w:rsid w:val="00A87532"/>
    <w:rsid w:val="00A87C83"/>
    <w:rsid w:val="00A9208D"/>
    <w:rsid w:val="00A93210"/>
    <w:rsid w:val="00A936BC"/>
    <w:rsid w:val="00A96F84"/>
    <w:rsid w:val="00AA0289"/>
    <w:rsid w:val="00AA0590"/>
    <w:rsid w:val="00AA05DC"/>
    <w:rsid w:val="00AA0ABA"/>
    <w:rsid w:val="00AA0EE8"/>
    <w:rsid w:val="00AA0FC0"/>
    <w:rsid w:val="00AA1B07"/>
    <w:rsid w:val="00AA2216"/>
    <w:rsid w:val="00AA230B"/>
    <w:rsid w:val="00AA3D66"/>
    <w:rsid w:val="00AA3F26"/>
    <w:rsid w:val="00AA45D1"/>
    <w:rsid w:val="00AA461F"/>
    <w:rsid w:val="00AA53DD"/>
    <w:rsid w:val="00AA5B6D"/>
    <w:rsid w:val="00AA6021"/>
    <w:rsid w:val="00AB1A9C"/>
    <w:rsid w:val="00AB1C59"/>
    <w:rsid w:val="00AB29C1"/>
    <w:rsid w:val="00AB7082"/>
    <w:rsid w:val="00AB7086"/>
    <w:rsid w:val="00AC2E06"/>
    <w:rsid w:val="00AC2F2C"/>
    <w:rsid w:val="00AC37A9"/>
    <w:rsid w:val="00AC397F"/>
    <w:rsid w:val="00AC4E5D"/>
    <w:rsid w:val="00AC70C1"/>
    <w:rsid w:val="00AD02CE"/>
    <w:rsid w:val="00AD1A69"/>
    <w:rsid w:val="00AD36B9"/>
    <w:rsid w:val="00AD3BBE"/>
    <w:rsid w:val="00AD4460"/>
    <w:rsid w:val="00AD5F28"/>
    <w:rsid w:val="00AD63EC"/>
    <w:rsid w:val="00AD72D8"/>
    <w:rsid w:val="00AD732A"/>
    <w:rsid w:val="00AE136C"/>
    <w:rsid w:val="00AF0553"/>
    <w:rsid w:val="00AF0C47"/>
    <w:rsid w:val="00AF0DAE"/>
    <w:rsid w:val="00AF11E4"/>
    <w:rsid w:val="00AF1A5B"/>
    <w:rsid w:val="00AF3191"/>
    <w:rsid w:val="00AF3683"/>
    <w:rsid w:val="00AF6EBD"/>
    <w:rsid w:val="00AF7DAB"/>
    <w:rsid w:val="00B00433"/>
    <w:rsid w:val="00B037C1"/>
    <w:rsid w:val="00B06034"/>
    <w:rsid w:val="00B063AA"/>
    <w:rsid w:val="00B06594"/>
    <w:rsid w:val="00B068BE"/>
    <w:rsid w:val="00B06F79"/>
    <w:rsid w:val="00B07C24"/>
    <w:rsid w:val="00B16EBB"/>
    <w:rsid w:val="00B170E2"/>
    <w:rsid w:val="00B173C3"/>
    <w:rsid w:val="00B174B2"/>
    <w:rsid w:val="00B205EC"/>
    <w:rsid w:val="00B21813"/>
    <w:rsid w:val="00B23BA0"/>
    <w:rsid w:val="00B24B70"/>
    <w:rsid w:val="00B252C5"/>
    <w:rsid w:val="00B26AE4"/>
    <w:rsid w:val="00B345C4"/>
    <w:rsid w:val="00B35C83"/>
    <w:rsid w:val="00B37E66"/>
    <w:rsid w:val="00B407D2"/>
    <w:rsid w:val="00B42DD3"/>
    <w:rsid w:val="00B43FF3"/>
    <w:rsid w:val="00B45114"/>
    <w:rsid w:val="00B460D8"/>
    <w:rsid w:val="00B50503"/>
    <w:rsid w:val="00B50649"/>
    <w:rsid w:val="00B53B6A"/>
    <w:rsid w:val="00B5402A"/>
    <w:rsid w:val="00B54275"/>
    <w:rsid w:val="00B5622A"/>
    <w:rsid w:val="00B607BF"/>
    <w:rsid w:val="00B6107C"/>
    <w:rsid w:val="00B6348A"/>
    <w:rsid w:val="00B64FC2"/>
    <w:rsid w:val="00B6532E"/>
    <w:rsid w:val="00B70465"/>
    <w:rsid w:val="00B70992"/>
    <w:rsid w:val="00B70FC2"/>
    <w:rsid w:val="00B716F3"/>
    <w:rsid w:val="00B724FC"/>
    <w:rsid w:val="00B73AA6"/>
    <w:rsid w:val="00B8056F"/>
    <w:rsid w:val="00B8246E"/>
    <w:rsid w:val="00B83981"/>
    <w:rsid w:val="00B85EC8"/>
    <w:rsid w:val="00B87CBC"/>
    <w:rsid w:val="00B904BF"/>
    <w:rsid w:val="00B913AC"/>
    <w:rsid w:val="00B91500"/>
    <w:rsid w:val="00B92AD8"/>
    <w:rsid w:val="00B94112"/>
    <w:rsid w:val="00B947CA"/>
    <w:rsid w:val="00BA0B66"/>
    <w:rsid w:val="00BA12B9"/>
    <w:rsid w:val="00BA5526"/>
    <w:rsid w:val="00BA6E15"/>
    <w:rsid w:val="00BB2933"/>
    <w:rsid w:val="00BB7DD2"/>
    <w:rsid w:val="00BB7F1C"/>
    <w:rsid w:val="00BC08C7"/>
    <w:rsid w:val="00BC161A"/>
    <w:rsid w:val="00BC1998"/>
    <w:rsid w:val="00BC2AD9"/>
    <w:rsid w:val="00BC5750"/>
    <w:rsid w:val="00BC7294"/>
    <w:rsid w:val="00BD0D6F"/>
    <w:rsid w:val="00BD0E54"/>
    <w:rsid w:val="00BD3DA1"/>
    <w:rsid w:val="00BD524D"/>
    <w:rsid w:val="00BD5588"/>
    <w:rsid w:val="00BD6F38"/>
    <w:rsid w:val="00BD70D3"/>
    <w:rsid w:val="00BE3539"/>
    <w:rsid w:val="00BE450C"/>
    <w:rsid w:val="00BE55BA"/>
    <w:rsid w:val="00BE5E43"/>
    <w:rsid w:val="00BE5EAE"/>
    <w:rsid w:val="00BE6F37"/>
    <w:rsid w:val="00BE71B5"/>
    <w:rsid w:val="00BF460E"/>
    <w:rsid w:val="00BF5760"/>
    <w:rsid w:val="00BF5B85"/>
    <w:rsid w:val="00BF63E3"/>
    <w:rsid w:val="00BF6427"/>
    <w:rsid w:val="00BF6CBE"/>
    <w:rsid w:val="00BF7232"/>
    <w:rsid w:val="00BF72AB"/>
    <w:rsid w:val="00C013A3"/>
    <w:rsid w:val="00C05429"/>
    <w:rsid w:val="00C0582F"/>
    <w:rsid w:val="00C073F0"/>
    <w:rsid w:val="00C07656"/>
    <w:rsid w:val="00C11CCE"/>
    <w:rsid w:val="00C11CF7"/>
    <w:rsid w:val="00C127EF"/>
    <w:rsid w:val="00C13684"/>
    <w:rsid w:val="00C14092"/>
    <w:rsid w:val="00C145A1"/>
    <w:rsid w:val="00C14FEA"/>
    <w:rsid w:val="00C16634"/>
    <w:rsid w:val="00C17C96"/>
    <w:rsid w:val="00C237D9"/>
    <w:rsid w:val="00C24C30"/>
    <w:rsid w:val="00C262F1"/>
    <w:rsid w:val="00C27A7E"/>
    <w:rsid w:val="00C27B9A"/>
    <w:rsid w:val="00C3049C"/>
    <w:rsid w:val="00C3116A"/>
    <w:rsid w:val="00C31874"/>
    <w:rsid w:val="00C31FFE"/>
    <w:rsid w:val="00C32A3B"/>
    <w:rsid w:val="00C344B5"/>
    <w:rsid w:val="00C34935"/>
    <w:rsid w:val="00C351CD"/>
    <w:rsid w:val="00C358F2"/>
    <w:rsid w:val="00C35950"/>
    <w:rsid w:val="00C40E14"/>
    <w:rsid w:val="00C4448B"/>
    <w:rsid w:val="00C45190"/>
    <w:rsid w:val="00C45A72"/>
    <w:rsid w:val="00C5255F"/>
    <w:rsid w:val="00C525EB"/>
    <w:rsid w:val="00C53B9F"/>
    <w:rsid w:val="00C557CB"/>
    <w:rsid w:val="00C55F7A"/>
    <w:rsid w:val="00C56318"/>
    <w:rsid w:val="00C5667D"/>
    <w:rsid w:val="00C56CC6"/>
    <w:rsid w:val="00C60219"/>
    <w:rsid w:val="00C60D13"/>
    <w:rsid w:val="00C617C4"/>
    <w:rsid w:val="00C63575"/>
    <w:rsid w:val="00C65A88"/>
    <w:rsid w:val="00C704BD"/>
    <w:rsid w:val="00C7259D"/>
    <w:rsid w:val="00C73975"/>
    <w:rsid w:val="00C740D6"/>
    <w:rsid w:val="00C75578"/>
    <w:rsid w:val="00C76999"/>
    <w:rsid w:val="00C7790A"/>
    <w:rsid w:val="00C80AB4"/>
    <w:rsid w:val="00C814EB"/>
    <w:rsid w:val="00C82E48"/>
    <w:rsid w:val="00C841AA"/>
    <w:rsid w:val="00C87696"/>
    <w:rsid w:val="00C878A6"/>
    <w:rsid w:val="00C9049B"/>
    <w:rsid w:val="00C907AF"/>
    <w:rsid w:val="00C91265"/>
    <w:rsid w:val="00C91390"/>
    <w:rsid w:val="00CA01B1"/>
    <w:rsid w:val="00CA1C11"/>
    <w:rsid w:val="00CA3D58"/>
    <w:rsid w:val="00CA4372"/>
    <w:rsid w:val="00CA79D2"/>
    <w:rsid w:val="00CB03DD"/>
    <w:rsid w:val="00CB0B19"/>
    <w:rsid w:val="00CB0D5E"/>
    <w:rsid w:val="00CB2942"/>
    <w:rsid w:val="00CB45C5"/>
    <w:rsid w:val="00CB4D1B"/>
    <w:rsid w:val="00CB51CE"/>
    <w:rsid w:val="00CB5E11"/>
    <w:rsid w:val="00CB60CD"/>
    <w:rsid w:val="00CB6DBD"/>
    <w:rsid w:val="00CC12FA"/>
    <w:rsid w:val="00CC1A8A"/>
    <w:rsid w:val="00CC221A"/>
    <w:rsid w:val="00CC3DED"/>
    <w:rsid w:val="00CC5230"/>
    <w:rsid w:val="00CC5D89"/>
    <w:rsid w:val="00CC7B1A"/>
    <w:rsid w:val="00CD06A8"/>
    <w:rsid w:val="00CD14D7"/>
    <w:rsid w:val="00CD21C3"/>
    <w:rsid w:val="00CD2EC0"/>
    <w:rsid w:val="00CD511E"/>
    <w:rsid w:val="00CD6640"/>
    <w:rsid w:val="00CD67D0"/>
    <w:rsid w:val="00CE07C7"/>
    <w:rsid w:val="00CE3E51"/>
    <w:rsid w:val="00CE52E0"/>
    <w:rsid w:val="00CE5C9D"/>
    <w:rsid w:val="00CE704A"/>
    <w:rsid w:val="00CE74EB"/>
    <w:rsid w:val="00CE7EA5"/>
    <w:rsid w:val="00CF03F5"/>
    <w:rsid w:val="00CF2F6F"/>
    <w:rsid w:val="00CF42C5"/>
    <w:rsid w:val="00CF4B66"/>
    <w:rsid w:val="00CF5904"/>
    <w:rsid w:val="00D00F70"/>
    <w:rsid w:val="00D05DCB"/>
    <w:rsid w:val="00D10B8C"/>
    <w:rsid w:val="00D11988"/>
    <w:rsid w:val="00D12BB2"/>
    <w:rsid w:val="00D12DAE"/>
    <w:rsid w:val="00D135C0"/>
    <w:rsid w:val="00D14296"/>
    <w:rsid w:val="00D14748"/>
    <w:rsid w:val="00D20A17"/>
    <w:rsid w:val="00D22BBE"/>
    <w:rsid w:val="00D23E40"/>
    <w:rsid w:val="00D26E78"/>
    <w:rsid w:val="00D27770"/>
    <w:rsid w:val="00D279BD"/>
    <w:rsid w:val="00D30B18"/>
    <w:rsid w:val="00D317B7"/>
    <w:rsid w:val="00D31EE2"/>
    <w:rsid w:val="00D32333"/>
    <w:rsid w:val="00D3332E"/>
    <w:rsid w:val="00D3342D"/>
    <w:rsid w:val="00D33E27"/>
    <w:rsid w:val="00D357B9"/>
    <w:rsid w:val="00D365B6"/>
    <w:rsid w:val="00D368AA"/>
    <w:rsid w:val="00D3722F"/>
    <w:rsid w:val="00D40147"/>
    <w:rsid w:val="00D4137B"/>
    <w:rsid w:val="00D427D5"/>
    <w:rsid w:val="00D43FD6"/>
    <w:rsid w:val="00D442CC"/>
    <w:rsid w:val="00D45277"/>
    <w:rsid w:val="00D470C2"/>
    <w:rsid w:val="00D5010E"/>
    <w:rsid w:val="00D514C8"/>
    <w:rsid w:val="00D5293A"/>
    <w:rsid w:val="00D52A18"/>
    <w:rsid w:val="00D53FEC"/>
    <w:rsid w:val="00D550AB"/>
    <w:rsid w:val="00D55FA5"/>
    <w:rsid w:val="00D561EC"/>
    <w:rsid w:val="00D5664C"/>
    <w:rsid w:val="00D60D5D"/>
    <w:rsid w:val="00D61F6E"/>
    <w:rsid w:val="00D628B8"/>
    <w:rsid w:val="00D6346F"/>
    <w:rsid w:val="00D638EA"/>
    <w:rsid w:val="00D64B25"/>
    <w:rsid w:val="00D6598F"/>
    <w:rsid w:val="00D70DC7"/>
    <w:rsid w:val="00D70EF3"/>
    <w:rsid w:val="00D70F47"/>
    <w:rsid w:val="00D72232"/>
    <w:rsid w:val="00D72AA4"/>
    <w:rsid w:val="00D7489A"/>
    <w:rsid w:val="00D74C5A"/>
    <w:rsid w:val="00D75C54"/>
    <w:rsid w:val="00D76C1F"/>
    <w:rsid w:val="00D76EE0"/>
    <w:rsid w:val="00D77FCE"/>
    <w:rsid w:val="00D80380"/>
    <w:rsid w:val="00D87C0B"/>
    <w:rsid w:val="00D87DA7"/>
    <w:rsid w:val="00D9160B"/>
    <w:rsid w:val="00D91A35"/>
    <w:rsid w:val="00D91D06"/>
    <w:rsid w:val="00D92021"/>
    <w:rsid w:val="00D924F1"/>
    <w:rsid w:val="00D928C6"/>
    <w:rsid w:val="00D94AA4"/>
    <w:rsid w:val="00D94EBE"/>
    <w:rsid w:val="00D95067"/>
    <w:rsid w:val="00D96E97"/>
    <w:rsid w:val="00DA0EBA"/>
    <w:rsid w:val="00DA23F9"/>
    <w:rsid w:val="00DA4421"/>
    <w:rsid w:val="00DA47CE"/>
    <w:rsid w:val="00DA4F37"/>
    <w:rsid w:val="00DB2471"/>
    <w:rsid w:val="00DB2963"/>
    <w:rsid w:val="00DB571B"/>
    <w:rsid w:val="00DB6B92"/>
    <w:rsid w:val="00DB6F17"/>
    <w:rsid w:val="00DC2751"/>
    <w:rsid w:val="00DC4A80"/>
    <w:rsid w:val="00DC5242"/>
    <w:rsid w:val="00DD2103"/>
    <w:rsid w:val="00DD3C5B"/>
    <w:rsid w:val="00DD50BF"/>
    <w:rsid w:val="00DD531F"/>
    <w:rsid w:val="00DD7073"/>
    <w:rsid w:val="00DD76F2"/>
    <w:rsid w:val="00DD7B5B"/>
    <w:rsid w:val="00DE08E2"/>
    <w:rsid w:val="00DE09C0"/>
    <w:rsid w:val="00DE1343"/>
    <w:rsid w:val="00DE2861"/>
    <w:rsid w:val="00DE2CC3"/>
    <w:rsid w:val="00DE4275"/>
    <w:rsid w:val="00DE6DD1"/>
    <w:rsid w:val="00DE707D"/>
    <w:rsid w:val="00DE7A57"/>
    <w:rsid w:val="00DF13B7"/>
    <w:rsid w:val="00DF1E2F"/>
    <w:rsid w:val="00DF3E54"/>
    <w:rsid w:val="00DF58FB"/>
    <w:rsid w:val="00DF75EC"/>
    <w:rsid w:val="00DF7E0F"/>
    <w:rsid w:val="00E03B20"/>
    <w:rsid w:val="00E0413A"/>
    <w:rsid w:val="00E07795"/>
    <w:rsid w:val="00E11307"/>
    <w:rsid w:val="00E11A06"/>
    <w:rsid w:val="00E1228B"/>
    <w:rsid w:val="00E20EF3"/>
    <w:rsid w:val="00E214F0"/>
    <w:rsid w:val="00E229C2"/>
    <w:rsid w:val="00E249BA"/>
    <w:rsid w:val="00E25BA7"/>
    <w:rsid w:val="00E260BB"/>
    <w:rsid w:val="00E30C9A"/>
    <w:rsid w:val="00E30F3E"/>
    <w:rsid w:val="00E34B11"/>
    <w:rsid w:val="00E36B44"/>
    <w:rsid w:val="00E371F6"/>
    <w:rsid w:val="00E372CC"/>
    <w:rsid w:val="00E37755"/>
    <w:rsid w:val="00E41A75"/>
    <w:rsid w:val="00E42A28"/>
    <w:rsid w:val="00E44472"/>
    <w:rsid w:val="00E46C09"/>
    <w:rsid w:val="00E46FC2"/>
    <w:rsid w:val="00E47C18"/>
    <w:rsid w:val="00E5369B"/>
    <w:rsid w:val="00E54608"/>
    <w:rsid w:val="00E549AF"/>
    <w:rsid w:val="00E55B63"/>
    <w:rsid w:val="00E574C2"/>
    <w:rsid w:val="00E577B1"/>
    <w:rsid w:val="00E62EDE"/>
    <w:rsid w:val="00E6314A"/>
    <w:rsid w:val="00E6387F"/>
    <w:rsid w:val="00E63F62"/>
    <w:rsid w:val="00E64864"/>
    <w:rsid w:val="00E64B97"/>
    <w:rsid w:val="00E64FE3"/>
    <w:rsid w:val="00E66D4D"/>
    <w:rsid w:val="00E75A61"/>
    <w:rsid w:val="00E76889"/>
    <w:rsid w:val="00E77D6B"/>
    <w:rsid w:val="00E819F3"/>
    <w:rsid w:val="00E81EBA"/>
    <w:rsid w:val="00E822E5"/>
    <w:rsid w:val="00E82685"/>
    <w:rsid w:val="00E8299E"/>
    <w:rsid w:val="00E835A3"/>
    <w:rsid w:val="00E86108"/>
    <w:rsid w:val="00E874FB"/>
    <w:rsid w:val="00E87E27"/>
    <w:rsid w:val="00E90F4B"/>
    <w:rsid w:val="00E94075"/>
    <w:rsid w:val="00E94483"/>
    <w:rsid w:val="00E95EE3"/>
    <w:rsid w:val="00E97F65"/>
    <w:rsid w:val="00EA5064"/>
    <w:rsid w:val="00EB1CF6"/>
    <w:rsid w:val="00EB2472"/>
    <w:rsid w:val="00EB32BA"/>
    <w:rsid w:val="00EB642E"/>
    <w:rsid w:val="00EC08CF"/>
    <w:rsid w:val="00EC1352"/>
    <w:rsid w:val="00EC1C99"/>
    <w:rsid w:val="00EC2514"/>
    <w:rsid w:val="00EC2C1A"/>
    <w:rsid w:val="00EC3104"/>
    <w:rsid w:val="00EC4472"/>
    <w:rsid w:val="00EC6F35"/>
    <w:rsid w:val="00ED0A14"/>
    <w:rsid w:val="00ED1DBB"/>
    <w:rsid w:val="00ED36D7"/>
    <w:rsid w:val="00ED6C18"/>
    <w:rsid w:val="00EE0EF9"/>
    <w:rsid w:val="00EE524F"/>
    <w:rsid w:val="00EE5CF6"/>
    <w:rsid w:val="00EE6033"/>
    <w:rsid w:val="00EE6320"/>
    <w:rsid w:val="00EE726E"/>
    <w:rsid w:val="00EE762C"/>
    <w:rsid w:val="00EE7B4A"/>
    <w:rsid w:val="00EF0A4F"/>
    <w:rsid w:val="00EF205B"/>
    <w:rsid w:val="00EF2D23"/>
    <w:rsid w:val="00EF4727"/>
    <w:rsid w:val="00EF491A"/>
    <w:rsid w:val="00EF5002"/>
    <w:rsid w:val="00EF6388"/>
    <w:rsid w:val="00EF7B4B"/>
    <w:rsid w:val="00F10242"/>
    <w:rsid w:val="00F104C8"/>
    <w:rsid w:val="00F105B4"/>
    <w:rsid w:val="00F10D7A"/>
    <w:rsid w:val="00F15400"/>
    <w:rsid w:val="00F15823"/>
    <w:rsid w:val="00F171DF"/>
    <w:rsid w:val="00F20678"/>
    <w:rsid w:val="00F20E00"/>
    <w:rsid w:val="00F23EF1"/>
    <w:rsid w:val="00F25296"/>
    <w:rsid w:val="00F256E8"/>
    <w:rsid w:val="00F30829"/>
    <w:rsid w:val="00F32A02"/>
    <w:rsid w:val="00F32B57"/>
    <w:rsid w:val="00F32B91"/>
    <w:rsid w:val="00F32F66"/>
    <w:rsid w:val="00F34834"/>
    <w:rsid w:val="00F378DA"/>
    <w:rsid w:val="00F408C7"/>
    <w:rsid w:val="00F40A28"/>
    <w:rsid w:val="00F415AC"/>
    <w:rsid w:val="00F438B1"/>
    <w:rsid w:val="00F45147"/>
    <w:rsid w:val="00F45651"/>
    <w:rsid w:val="00F45978"/>
    <w:rsid w:val="00F464F4"/>
    <w:rsid w:val="00F46DE0"/>
    <w:rsid w:val="00F50223"/>
    <w:rsid w:val="00F51025"/>
    <w:rsid w:val="00F54338"/>
    <w:rsid w:val="00F5531A"/>
    <w:rsid w:val="00F5634A"/>
    <w:rsid w:val="00F565AA"/>
    <w:rsid w:val="00F572BA"/>
    <w:rsid w:val="00F577C7"/>
    <w:rsid w:val="00F57AD0"/>
    <w:rsid w:val="00F61967"/>
    <w:rsid w:val="00F6334B"/>
    <w:rsid w:val="00F65C84"/>
    <w:rsid w:val="00F73018"/>
    <w:rsid w:val="00F74368"/>
    <w:rsid w:val="00F75368"/>
    <w:rsid w:val="00F76C3D"/>
    <w:rsid w:val="00F772FC"/>
    <w:rsid w:val="00F779E1"/>
    <w:rsid w:val="00F77C74"/>
    <w:rsid w:val="00F77CFB"/>
    <w:rsid w:val="00F8112D"/>
    <w:rsid w:val="00F83AA7"/>
    <w:rsid w:val="00F840A0"/>
    <w:rsid w:val="00F846FC"/>
    <w:rsid w:val="00F85097"/>
    <w:rsid w:val="00F91D03"/>
    <w:rsid w:val="00F91E0E"/>
    <w:rsid w:val="00F91E22"/>
    <w:rsid w:val="00F92275"/>
    <w:rsid w:val="00F9309A"/>
    <w:rsid w:val="00F953C3"/>
    <w:rsid w:val="00F9550B"/>
    <w:rsid w:val="00F97A6E"/>
    <w:rsid w:val="00F97BFC"/>
    <w:rsid w:val="00FA25FA"/>
    <w:rsid w:val="00FA2FBB"/>
    <w:rsid w:val="00FA3E80"/>
    <w:rsid w:val="00FA536E"/>
    <w:rsid w:val="00FA58A7"/>
    <w:rsid w:val="00FA5ABD"/>
    <w:rsid w:val="00FA677C"/>
    <w:rsid w:val="00FA6E55"/>
    <w:rsid w:val="00FA7A22"/>
    <w:rsid w:val="00FB27C9"/>
    <w:rsid w:val="00FB3B2B"/>
    <w:rsid w:val="00FB4052"/>
    <w:rsid w:val="00FB5714"/>
    <w:rsid w:val="00FB613F"/>
    <w:rsid w:val="00FC1219"/>
    <w:rsid w:val="00FC2031"/>
    <w:rsid w:val="00FC4F0E"/>
    <w:rsid w:val="00FC4F14"/>
    <w:rsid w:val="00FC5118"/>
    <w:rsid w:val="00FC57B7"/>
    <w:rsid w:val="00FC7997"/>
    <w:rsid w:val="00FD1C27"/>
    <w:rsid w:val="00FD2B00"/>
    <w:rsid w:val="00FD2F77"/>
    <w:rsid w:val="00FD3BEA"/>
    <w:rsid w:val="00FD46B4"/>
    <w:rsid w:val="00FD4DCD"/>
    <w:rsid w:val="00FD4F48"/>
    <w:rsid w:val="00FD561F"/>
    <w:rsid w:val="00FE1E13"/>
    <w:rsid w:val="00FE30D9"/>
    <w:rsid w:val="00FE3BB1"/>
    <w:rsid w:val="00FE3F65"/>
    <w:rsid w:val="00FE5123"/>
    <w:rsid w:val="00FE5EF5"/>
    <w:rsid w:val="00FF0E7B"/>
    <w:rsid w:val="00FF2692"/>
    <w:rsid w:val="00FF4EA5"/>
    <w:rsid w:val="00FF64AD"/>
    <w:rsid w:val="00FF650F"/>
    <w:rsid w:val="00FF77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0591D5"/>
  <w15:chartTrackingRefBased/>
  <w15:docId w15:val="{0EC21F68-589C-4C8C-BE79-9237E481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6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link w:val="Title"/>
    <w:rsid w:val="00BD5588"/>
    <w:rPr>
      <w:rFonts w:ascii="Times New Roman" w:eastAsia="Times New Roman" w:hAnsi="Times New Roman" w:cs="Times New Roman"/>
      <w:sz w:val="28"/>
      <w:szCs w:val="20"/>
    </w:rPr>
  </w:style>
  <w:style w:type="character" w:styleId="Hyperlink">
    <w:name w:val="Hyperlink"/>
    <w:uiPriority w:val="99"/>
    <w:unhideWhenUsed/>
    <w:rsid w:val="00BD5588"/>
    <w:rPr>
      <w:color w:val="0000FF"/>
      <w:u w:val="single"/>
    </w:rPr>
  </w:style>
  <w:style w:type="paragraph" w:styleId="BalloonText">
    <w:name w:val="Balloon Text"/>
    <w:basedOn w:val="Normal"/>
    <w:link w:val="BalloonTextChar"/>
    <w:uiPriority w:val="99"/>
    <w:semiHidden/>
    <w:unhideWhenUsed/>
    <w:rsid w:val="0059116C"/>
    <w:rPr>
      <w:rFonts w:ascii="Segoe UI" w:hAnsi="Segoe UI" w:cs="Segoe UI"/>
      <w:sz w:val="18"/>
      <w:szCs w:val="18"/>
    </w:rPr>
  </w:style>
  <w:style w:type="character" w:customStyle="1" w:styleId="BalloonTextChar">
    <w:name w:val="Balloon Text Char"/>
    <w:link w:val="BalloonText"/>
    <w:uiPriority w:val="99"/>
    <w:semiHidden/>
    <w:rsid w:val="0059116C"/>
    <w:rPr>
      <w:rFonts w:ascii="Segoe UI" w:eastAsia="Times New Roman" w:hAnsi="Segoe UI" w:cs="Segoe UI"/>
      <w:sz w:val="18"/>
      <w:szCs w:val="18"/>
      <w:lang w:eastAsia="lv-LV"/>
    </w:rPr>
  </w:style>
  <w:style w:type="paragraph" w:customStyle="1" w:styleId="ColorfulList-Accent11">
    <w:name w:val="Colorful List - Accent 11"/>
    <w:aliases w:val="H&amp;P List Paragraph,2,Strip"/>
    <w:basedOn w:val="Normal"/>
    <w:link w:val="ColorfulList-Accent1Char"/>
    <w:uiPriority w:val="34"/>
    <w:qFormat/>
    <w:rsid w:val="00C13684"/>
    <w:pPr>
      <w:ind w:left="720"/>
      <w:contextualSpacing/>
    </w:pPr>
  </w:style>
  <w:style w:type="character" w:styleId="CommentReference">
    <w:name w:val="annotation reference"/>
    <w:unhideWhenUsed/>
    <w:rsid w:val="00204FAD"/>
    <w:rPr>
      <w:sz w:val="16"/>
      <w:szCs w:val="16"/>
    </w:rPr>
  </w:style>
  <w:style w:type="paragraph" w:styleId="CommentText">
    <w:name w:val="annotation text"/>
    <w:basedOn w:val="Normal"/>
    <w:link w:val="CommentTextChar"/>
    <w:uiPriority w:val="99"/>
    <w:unhideWhenUsed/>
    <w:rsid w:val="00204FAD"/>
    <w:rPr>
      <w:sz w:val="20"/>
      <w:szCs w:val="20"/>
    </w:rPr>
  </w:style>
  <w:style w:type="character" w:customStyle="1" w:styleId="CommentTextChar">
    <w:name w:val="Comment Text Char"/>
    <w:link w:val="CommentText"/>
    <w:uiPriority w:val="99"/>
    <w:rsid w:val="00204FA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04FAD"/>
    <w:rPr>
      <w:b/>
      <w:bCs/>
    </w:rPr>
  </w:style>
  <w:style w:type="character" w:customStyle="1" w:styleId="CommentSubjectChar">
    <w:name w:val="Comment Subject Char"/>
    <w:link w:val="CommentSubject"/>
    <w:uiPriority w:val="99"/>
    <w:semiHidden/>
    <w:rsid w:val="00204FAD"/>
    <w:rPr>
      <w:rFonts w:ascii="Times New Roman" w:eastAsia="Times New Roman" w:hAnsi="Times New Roman" w:cs="Times New Roman"/>
      <w:b/>
      <w:bCs/>
      <w:sz w:val="20"/>
      <w:szCs w:val="20"/>
      <w:lang w:eastAsia="lv-LV"/>
    </w:rPr>
  </w:style>
  <w:style w:type="paragraph" w:customStyle="1" w:styleId="StyleRight">
    <w:name w:val="Style Right"/>
    <w:basedOn w:val="Normal"/>
    <w:rsid w:val="00015BEF"/>
    <w:pPr>
      <w:spacing w:after="120"/>
      <w:ind w:firstLine="720"/>
      <w:jc w:val="right"/>
    </w:pPr>
    <w:rPr>
      <w:sz w:val="28"/>
      <w:szCs w:val="28"/>
      <w:lang w:eastAsia="en-US"/>
    </w:rPr>
  </w:style>
  <w:style w:type="paragraph" w:styleId="Header">
    <w:name w:val="header"/>
    <w:basedOn w:val="Normal"/>
    <w:link w:val="HeaderChar"/>
    <w:uiPriority w:val="99"/>
    <w:unhideWhenUsed/>
    <w:rsid w:val="00D4137B"/>
    <w:pPr>
      <w:tabs>
        <w:tab w:val="center" w:pos="4153"/>
        <w:tab w:val="right" w:pos="8306"/>
      </w:tabs>
    </w:pPr>
  </w:style>
  <w:style w:type="character" w:customStyle="1" w:styleId="HeaderChar">
    <w:name w:val="Header Char"/>
    <w:link w:val="Header"/>
    <w:uiPriority w:val="99"/>
    <w:rsid w:val="00D4137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4137B"/>
    <w:pPr>
      <w:tabs>
        <w:tab w:val="center" w:pos="4153"/>
        <w:tab w:val="right" w:pos="8306"/>
      </w:tabs>
    </w:pPr>
  </w:style>
  <w:style w:type="character" w:customStyle="1" w:styleId="FooterChar">
    <w:name w:val="Footer Char"/>
    <w:link w:val="Footer"/>
    <w:uiPriority w:val="99"/>
    <w:rsid w:val="00D4137B"/>
    <w:rPr>
      <w:rFonts w:ascii="Times New Roman" w:eastAsia="Times New Roman" w:hAnsi="Times New Roman" w:cs="Times New Roman"/>
      <w:sz w:val="24"/>
      <w:szCs w:val="24"/>
      <w:lang w:eastAsia="lv-LV"/>
    </w:rPr>
  </w:style>
  <w:style w:type="paragraph" w:customStyle="1" w:styleId="naisf">
    <w:name w:val="naisf"/>
    <w:basedOn w:val="Normal"/>
    <w:rsid w:val="00AD5F28"/>
    <w:pPr>
      <w:spacing w:before="100" w:beforeAutospacing="1" w:after="100" w:afterAutospacing="1"/>
    </w:pPr>
  </w:style>
  <w:style w:type="character" w:customStyle="1" w:styleId="Neatrisintapieminana">
    <w:name w:val="Neatrisināta pieminēšana"/>
    <w:uiPriority w:val="99"/>
    <w:semiHidden/>
    <w:unhideWhenUsed/>
    <w:rsid w:val="001B1B87"/>
    <w:rPr>
      <w:color w:val="808080"/>
      <w:shd w:val="clear" w:color="auto" w:fill="E6E6E6"/>
    </w:rPr>
  </w:style>
  <w:style w:type="paragraph" w:styleId="FootnoteText">
    <w:name w:val="footnote text"/>
    <w:aliases w:val="Char Char Char Char Char Char Rakstz. Rakstz. Char Char Rakstz. Rakstz.,Footnote,Fußnote, Char Char Char Char Char Char Rakstz. Rakstz. Char Char Rakstz. Rakstz.,Fußnote Char Char Char Char Char Char,Char, Char,Fußnote Char,Fußnote Ch,fn,f"/>
    <w:basedOn w:val="Normal"/>
    <w:link w:val="FootnoteTextChar"/>
    <w:uiPriority w:val="99"/>
    <w:qFormat/>
    <w:rsid w:val="006F1751"/>
    <w:pPr>
      <w:spacing w:after="120"/>
    </w:pPr>
    <w:rPr>
      <w:rFonts w:ascii="Calibri" w:hAnsi="Calibri"/>
      <w:sz w:val="20"/>
      <w:szCs w:val="20"/>
      <w:lang w:val="nb-NO" w:eastAsia="en-US"/>
    </w:rPr>
  </w:style>
  <w:style w:type="character" w:customStyle="1" w:styleId="FootnoteTextChar">
    <w:name w:val="Footnote Text Char"/>
    <w:aliases w:val="Char Char Char Char Char Char Rakstz. Rakstz. Char Char Rakstz. Rakstz. Char,Footnote Char,Fußnote Char1, Char Char Char Char Char Char Rakstz. Rakstz. Char Char Rakstz. Rakstz. Char,Fußnote Char Char Char Char Char Char Char,fn Char"/>
    <w:link w:val="FootnoteText"/>
    <w:uiPriority w:val="99"/>
    <w:rsid w:val="006F1751"/>
    <w:rPr>
      <w:rFonts w:ascii="Calibri" w:eastAsia="Times New Roman" w:hAnsi="Calibri" w:cs="Times New Roman"/>
      <w:sz w:val="20"/>
      <w:szCs w:val="20"/>
      <w:lang w:val="nb-NO"/>
    </w:rPr>
  </w:style>
  <w:style w:type="character" w:styleId="FootnoteReference">
    <w:name w:val="footnote reference"/>
    <w:aliases w:val="Footnote Reference Number,Footnote symbol,SUPERS,Footnote Reference Superscript,Footnote Refernece,ftref,Odwołanie przypisu,BVI fnr,Footnotes refss,Ref,de nota al pie,-E Fußnotenzeichen,Footnote reference number,Times 10 Point,E,E FNZ"/>
    <w:link w:val="Char2"/>
    <w:uiPriority w:val="99"/>
    <w:qFormat/>
    <w:rsid w:val="006F1751"/>
    <w:rPr>
      <w:vertAlign w:val="superscript"/>
    </w:rPr>
  </w:style>
  <w:style w:type="paragraph" w:styleId="PlainText">
    <w:name w:val="Plain Text"/>
    <w:basedOn w:val="Normal"/>
    <w:link w:val="PlainTextChar"/>
    <w:uiPriority w:val="99"/>
    <w:semiHidden/>
    <w:unhideWhenUsed/>
    <w:rsid w:val="00645259"/>
    <w:rPr>
      <w:rFonts w:ascii="Calibri" w:eastAsia="Calibri" w:hAnsi="Calibri"/>
      <w:sz w:val="22"/>
      <w:szCs w:val="21"/>
      <w:lang w:eastAsia="en-US"/>
    </w:rPr>
  </w:style>
  <w:style w:type="character" w:customStyle="1" w:styleId="PlainTextChar">
    <w:name w:val="Plain Text Char"/>
    <w:link w:val="PlainText"/>
    <w:uiPriority w:val="99"/>
    <w:semiHidden/>
    <w:rsid w:val="00645259"/>
    <w:rPr>
      <w:rFonts w:ascii="Calibri" w:hAnsi="Calibri"/>
      <w:szCs w:val="21"/>
    </w:rPr>
  </w:style>
  <w:style w:type="character" w:styleId="FollowedHyperlink">
    <w:name w:val="FollowedHyperlink"/>
    <w:uiPriority w:val="99"/>
    <w:semiHidden/>
    <w:unhideWhenUsed/>
    <w:rsid w:val="00FA7A22"/>
    <w:rPr>
      <w:color w:val="800080"/>
      <w:u w:val="single"/>
    </w:rPr>
  </w:style>
  <w:style w:type="character" w:styleId="Strong">
    <w:name w:val="Strong"/>
    <w:qFormat/>
    <w:rsid w:val="00217759"/>
    <w:rPr>
      <w:b/>
      <w:bCs/>
    </w:rPr>
  </w:style>
  <w:style w:type="paragraph" w:customStyle="1" w:styleId="tv2132">
    <w:name w:val="tv2132"/>
    <w:basedOn w:val="Normal"/>
    <w:rsid w:val="002C0C92"/>
    <w:pPr>
      <w:spacing w:line="360" w:lineRule="auto"/>
      <w:ind w:firstLine="300"/>
    </w:pPr>
    <w:rPr>
      <w:color w:val="414142"/>
      <w:sz w:val="20"/>
      <w:szCs w:val="20"/>
    </w:rPr>
  </w:style>
  <w:style w:type="paragraph" w:customStyle="1" w:styleId="Char2">
    <w:name w:val="Char2"/>
    <w:basedOn w:val="Normal"/>
    <w:link w:val="FootnoteReference"/>
    <w:uiPriority w:val="99"/>
    <w:rsid w:val="00CB0B19"/>
    <w:pPr>
      <w:spacing w:after="160" w:line="240" w:lineRule="exact"/>
    </w:pPr>
    <w:rPr>
      <w:rFonts w:ascii="Calibri" w:eastAsia="Calibri" w:hAnsi="Calibri"/>
      <w:sz w:val="20"/>
      <w:szCs w:val="20"/>
      <w:vertAlign w:val="superscript"/>
      <w:lang w:val="en-US" w:eastAsia="en-US"/>
    </w:rPr>
  </w:style>
  <w:style w:type="character" w:customStyle="1" w:styleId="ColorfulList-Accent1Char">
    <w:name w:val="Colorful List - Accent 1 Char"/>
    <w:aliases w:val="H&amp;P List Paragraph Char,2 Char,Strip Char"/>
    <w:link w:val="ColorfulList-Accent11"/>
    <w:uiPriority w:val="34"/>
    <w:qFormat/>
    <w:locked/>
    <w:rsid w:val="006F0C30"/>
    <w:rPr>
      <w:rFonts w:ascii="Times New Roman" w:eastAsia="Times New Roman" w:hAnsi="Times New Roman"/>
      <w:sz w:val="24"/>
      <w:szCs w:val="24"/>
      <w:lang w:val="lv-LV" w:eastAsia="lv-LV"/>
    </w:rPr>
  </w:style>
  <w:style w:type="paragraph" w:styleId="BodyText">
    <w:name w:val="Body Text"/>
    <w:basedOn w:val="Normal"/>
    <w:link w:val="BodyTextChar"/>
    <w:unhideWhenUsed/>
    <w:rsid w:val="008862BF"/>
    <w:pPr>
      <w:spacing w:after="120"/>
    </w:pPr>
    <w:rPr>
      <w:rFonts w:ascii="Calibri" w:hAnsi="Calibri"/>
      <w:sz w:val="22"/>
      <w:szCs w:val="22"/>
      <w:lang w:eastAsia="en-US"/>
    </w:rPr>
  </w:style>
  <w:style w:type="character" w:customStyle="1" w:styleId="BodyTextChar">
    <w:name w:val="Body Text Char"/>
    <w:link w:val="BodyText"/>
    <w:rsid w:val="008862BF"/>
    <w:rPr>
      <w:rFonts w:eastAsia="Times New Roman"/>
      <w:sz w:val="22"/>
      <w:szCs w:val="22"/>
      <w:lang w:val="lv-LV"/>
    </w:rPr>
  </w:style>
  <w:style w:type="paragraph" w:customStyle="1" w:styleId="tvhtml">
    <w:name w:val="tv_html"/>
    <w:basedOn w:val="Normal"/>
    <w:rsid w:val="00571BD1"/>
    <w:pPr>
      <w:spacing w:before="100" w:beforeAutospacing="1" w:after="100" w:afterAutospacing="1"/>
    </w:pPr>
    <w:rPr>
      <w:lang w:val="en-US" w:eastAsia="en-US"/>
    </w:rPr>
  </w:style>
  <w:style w:type="paragraph" w:customStyle="1" w:styleId="naisc">
    <w:name w:val="naisc"/>
    <w:basedOn w:val="Normal"/>
    <w:rsid w:val="006B40E0"/>
    <w:pPr>
      <w:spacing w:before="75" w:after="75"/>
      <w:jc w:val="center"/>
    </w:pPr>
  </w:style>
  <w:style w:type="paragraph" w:customStyle="1" w:styleId="tv213">
    <w:name w:val="tv213"/>
    <w:basedOn w:val="Normal"/>
    <w:rsid w:val="00F32B57"/>
    <w:pPr>
      <w:spacing w:before="100" w:beforeAutospacing="1" w:after="100" w:afterAutospacing="1"/>
    </w:pPr>
    <w:rPr>
      <w:lang w:val="en-US" w:eastAsia="en-US"/>
    </w:rPr>
  </w:style>
  <w:style w:type="paragraph" w:styleId="ListParagraph">
    <w:name w:val="List Paragraph"/>
    <w:basedOn w:val="Normal"/>
    <w:uiPriority w:val="34"/>
    <w:qFormat/>
    <w:rsid w:val="00D91A35"/>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rsid w:val="00204B23"/>
    <w:rPr>
      <w:rFonts w:eastAsia="Calibri"/>
      <w:lang w:val="en-US" w:eastAsia="en-US"/>
    </w:rPr>
  </w:style>
  <w:style w:type="paragraph" w:customStyle="1" w:styleId="tv2131">
    <w:name w:val="tv2131"/>
    <w:basedOn w:val="Normal"/>
    <w:rsid w:val="00A55F95"/>
    <w:pPr>
      <w:spacing w:line="360" w:lineRule="auto"/>
      <w:ind w:firstLine="300"/>
    </w:pPr>
    <w:rPr>
      <w:color w:val="414142"/>
      <w:sz w:val="20"/>
      <w:szCs w:val="20"/>
      <w:lang w:bidi="lo-LA"/>
    </w:rPr>
  </w:style>
  <w:style w:type="paragraph" w:styleId="Revision">
    <w:name w:val="Revision"/>
    <w:hidden/>
    <w:uiPriority w:val="99"/>
    <w:semiHidden/>
    <w:rsid w:val="00667A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135">
      <w:bodyDiv w:val="1"/>
      <w:marLeft w:val="0"/>
      <w:marRight w:val="0"/>
      <w:marTop w:val="0"/>
      <w:marBottom w:val="0"/>
      <w:divBdr>
        <w:top w:val="none" w:sz="0" w:space="0" w:color="auto"/>
        <w:left w:val="none" w:sz="0" w:space="0" w:color="auto"/>
        <w:bottom w:val="none" w:sz="0" w:space="0" w:color="auto"/>
        <w:right w:val="none" w:sz="0" w:space="0" w:color="auto"/>
      </w:divBdr>
    </w:div>
    <w:div w:id="395128848">
      <w:bodyDiv w:val="1"/>
      <w:marLeft w:val="0"/>
      <w:marRight w:val="0"/>
      <w:marTop w:val="0"/>
      <w:marBottom w:val="0"/>
      <w:divBdr>
        <w:top w:val="none" w:sz="0" w:space="0" w:color="auto"/>
        <w:left w:val="none" w:sz="0" w:space="0" w:color="auto"/>
        <w:bottom w:val="none" w:sz="0" w:space="0" w:color="auto"/>
        <w:right w:val="none" w:sz="0" w:space="0" w:color="auto"/>
      </w:divBdr>
      <w:divsChild>
        <w:div w:id="725877657">
          <w:marLeft w:val="0"/>
          <w:marRight w:val="0"/>
          <w:marTop w:val="0"/>
          <w:marBottom w:val="0"/>
          <w:divBdr>
            <w:top w:val="none" w:sz="0" w:space="0" w:color="auto"/>
            <w:left w:val="none" w:sz="0" w:space="0" w:color="auto"/>
            <w:bottom w:val="none" w:sz="0" w:space="0" w:color="auto"/>
            <w:right w:val="none" w:sz="0" w:space="0" w:color="auto"/>
          </w:divBdr>
          <w:divsChild>
            <w:div w:id="647855714">
              <w:marLeft w:val="0"/>
              <w:marRight w:val="0"/>
              <w:marTop w:val="0"/>
              <w:marBottom w:val="0"/>
              <w:divBdr>
                <w:top w:val="none" w:sz="0" w:space="0" w:color="auto"/>
                <w:left w:val="none" w:sz="0" w:space="0" w:color="auto"/>
                <w:bottom w:val="none" w:sz="0" w:space="0" w:color="auto"/>
                <w:right w:val="none" w:sz="0" w:space="0" w:color="auto"/>
              </w:divBdr>
              <w:divsChild>
                <w:div w:id="106386822">
                  <w:marLeft w:val="0"/>
                  <w:marRight w:val="0"/>
                  <w:marTop w:val="0"/>
                  <w:marBottom w:val="0"/>
                  <w:divBdr>
                    <w:top w:val="none" w:sz="0" w:space="0" w:color="auto"/>
                    <w:left w:val="none" w:sz="0" w:space="0" w:color="auto"/>
                    <w:bottom w:val="none" w:sz="0" w:space="0" w:color="auto"/>
                    <w:right w:val="none" w:sz="0" w:space="0" w:color="auto"/>
                  </w:divBdr>
                  <w:divsChild>
                    <w:div w:id="21105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139218">
      <w:bodyDiv w:val="1"/>
      <w:marLeft w:val="0"/>
      <w:marRight w:val="0"/>
      <w:marTop w:val="0"/>
      <w:marBottom w:val="0"/>
      <w:divBdr>
        <w:top w:val="none" w:sz="0" w:space="0" w:color="auto"/>
        <w:left w:val="none" w:sz="0" w:space="0" w:color="auto"/>
        <w:bottom w:val="none" w:sz="0" w:space="0" w:color="auto"/>
        <w:right w:val="none" w:sz="0" w:space="0" w:color="auto"/>
      </w:divBdr>
      <w:divsChild>
        <w:div w:id="232156619">
          <w:marLeft w:val="0"/>
          <w:marRight w:val="0"/>
          <w:marTop w:val="0"/>
          <w:marBottom w:val="0"/>
          <w:divBdr>
            <w:top w:val="none" w:sz="0" w:space="0" w:color="auto"/>
            <w:left w:val="none" w:sz="0" w:space="0" w:color="auto"/>
            <w:bottom w:val="none" w:sz="0" w:space="0" w:color="auto"/>
            <w:right w:val="none" w:sz="0" w:space="0" w:color="auto"/>
          </w:divBdr>
          <w:divsChild>
            <w:div w:id="671687769">
              <w:marLeft w:val="0"/>
              <w:marRight w:val="0"/>
              <w:marTop w:val="0"/>
              <w:marBottom w:val="0"/>
              <w:divBdr>
                <w:top w:val="none" w:sz="0" w:space="0" w:color="auto"/>
                <w:left w:val="none" w:sz="0" w:space="0" w:color="auto"/>
                <w:bottom w:val="none" w:sz="0" w:space="0" w:color="auto"/>
                <w:right w:val="none" w:sz="0" w:space="0" w:color="auto"/>
              </w:divBdr>
              <w:divsChild>
                <w:div w:id="565142689">
                  <w:marLeft w:val="0"/>
                  <w:marRight w:val="0"/>
                  <w:marTop w:val="0"/>
                  <w:marBottom w:val="0"/>
                  <w:divBdr>
                    <w:top w:val="none" w:sz="0" w:space="0" w:color="auto"/>
                    <w:left w:val="none" w:sz="0" w:space="0" w:color="auto"/>
                    <w:bottom w:val="none" w:sz="0" w:space="0" w:color="auto"/>
                    <w:right w:val="none" w:sz="0" w:space="0" w:color="auto"/>
                  </w:divBdr>
                  <w:divsChild>
                    <w:div w:id="1504778566">
                      <w:marLeft w:val="0"/>
                      <w:marRight w:val="0"/>
                      <w:marTop w:val="0"/>
                      <w:marBottom w:val="0"/>
                      <w:divBdr>
                        <w:top w:val="none" w:sz="0" w:space="0" w:color="auto"/>
                        <w:left w:val="none" w:sz="0" w:space="0" w:color="auto"/>
                        <w:bottom w:val="none" w:sz="0" w:space="0" w:color="auto"/>
                        <w:right w:val="none" w:sz="0" w:space="0" w:color="auto"/>
                      </w:divBdr>
                      <w:divsChild>
                        <w:div w:id="2118060695">
                          <w:marLeft w:val="0"/>
                          <w:marRight w:val="0"/>
                          <w:marTop w:val="0"/>
                          <w:marBottom w:val="0"/>
                          <w:divBdr>
                            <w:top w:val="none" w:sz="0" w:space="0" w:color="auto"/>
                            <w:left w:val="none" w:sz="0" w:space="0" w:color="auto"/>
                            <w:bottom w:val="none" w:sz="0" w:space="0" w:color="auto"/>
                            <w:right w:val="none" w:sz="0" w:space="0" w:color="auto"/>
                          </w:divBdr>
                          <w:divsChild>
                            <w:div w:id="12558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25140">
      <w:bodyDiv w:val="1"/>
      <w:marLeft w:val="0"/>
      <w:marRight w:val="0"/>
      <w:marTop w:val="0"/>
      <w:marBottom w:val="0"/>
      <w:divBdr>
        <w:top w:val="none" w:sz="0" w:space="0" w:color="auto"/>
        <w:left w:val="none" w:sz="0" w:space="0" w:color="auto"/>
        <w:bottom w:val="none" w:sz="0" w:space="0" w:color="auto"/>
        <w:right w:val="none" w:sz="0" w:space="0" w:color="auto"/>
      </w:divBdr>
      <w:divsChild>
        <w:div w:id="1126659134">
          <w:marLeft w:val="0"/>
          <w:marRight w:val="0"/>
          <w:marTop w:val="0"/>
          <w:marBottom w:val="0"/>
          <w:divBdr>
            <w:top w:val="none" w:sz="0" w:space="0" w:color="auto"/>
            <w:left w:val="none" w:sz="0" w:space="0" w:color="auto"/>
            <w:bottom w:val="none" w:sz="0" w:space="0" w:color="auto"/>
            <w:right w:val="none" w:sz="0" w:space="0" w:color="auto"/>
          </w:divBdr>
          <w:divsChild>
            <w:div w:id="1884245269">
              <w:marLeft w:val="0"/>
              <w:marRight w:val="0"/>
              <w:marTop w:val="0"/>
              <w:marBottom w:val="0"/>
              <w:divBdr>
                <w:top w:val="none" w:sz="0" w:space="0" w:color="auto"/>
                <w:left w:val="none" w:sz="0" w:space="0" w:color="auto"/>
                <w:bottom w:val="none" w:sz="0" w:space="0" w:color="auto"/>
                <w:right w:val="none" w:sz="0" w:space="0" w:color="auto"/>
              </w:divBdr>
              <w:divsChild>
                <w:div w:id="1512910464">
                  <w:marLeft w:val="0"/>
                  <w:marRight w:val="0"/>
                  <w:marTop w:val="0"/>
                  <w:marBottom w:val="0"/>
                  <w:divBdr>
                    <w:top w:val="none" w:sz="0" w:space="0" w:color="auto"/>
                    <w:left w:val="none" w:sz="0" w:space="0" w:color="auto"/>
                    <w:bottom w:val="none" w:sz="0" w:space="0" w:color="auto"/>
                    <w:right w:val="none" w:sz="0" w:space="0" w:color="auto"/>
                  </w:divBdr>
                  <w:divsChild>
                    <w:div w:id="1828521213">
                      <w:marLeft w:val="0"/>
                      <w:marRight w:val="0"/>
                      <w:marTop w:val="0"/>
                      <w:marBottom w:val="567"/>
                      <w:divBdr>
                        <w:top w:val="none" w:sz="0" w:space="0" w:color="auto"/>
                        <w:left w:val="none" w:sz="0" w:space="0" w:color="auto"/>
                        <w:bottom w:val="none" w:sz="0" w:space="0" w:color="auto"/>
                        <w:right w:val="none" w:sz="0" w:space="0" w:color="auto"/>
                      </w:divBdr>
                    </w:div>
                    <w:div w:id="184774872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47785494">
      <w:bodyDiv w:val="1"/>
      <w:marLeft w:val="0"/>
      <w:marRight w:val="0"/>
      <w:marTop w:val="0"/>
      <w:marBottom w:val="0"/>
      <w:divBdr>
        <w:top w:val="none" w:sz="0" w:space="0" w:color="auto"/>
        <w:left w:val="none" w:sz="0" w:space="0" w:color="auto"/>
        <w:bottom w:val="none" w:sz="0" w:space="0" w:color="auto"/>
        <w:right w:val="none" w:sz="0" w:space="0" w:color="auto"/>
      </w:divBdr>
      <w:divsChild>
        <w:div w:id="679821838">
          <w:marLeft w:val="0"/>
          <w:marRight w:val="0"/>
          <w:marTop w:val="0"/>
          <w:marBottom w:val="0"/>
          <w:divBdr>
            <w:top w:val="none" w:sz="0" w:space="0" w:color="auto"/>
            <w:left w:val="none" w:sz="0" w:space="0" w:color="auto"/>
            <w:bottom w:val="none" w:sz="0" w:space="0" w:color="auto"/>
            <w:right w:val="none" w:sz="0" w:space="0" w:color="auto"/>
          </w:divBdr>
          <w:divsChild>
            <w:div w:id="1509636378">
              <w:marLeft w:val="0"/>
              <w:marRight w:val="0"/>
              <w:marTop w:val="0"/>
              <w:marBottom w:val="0"/>
              <w:divBdr>
                <w:top w:val="none" w:sz="0" w:space="0" w:color="auto"/>
                <w:left w:val="none" w:sz="0" w:space="0" w:color="auto"/>
                <w:bottom w:val="none" w:sz="0" w:space="0" w:color="auto"/>
                <w:right w:val="none" w:sz="0" w:space="0" w:color="auto"/>
              </w:divBdr>
              <w:divsChild>
                <w:div w:id="1651786595">
                  <w:marLeft w:val="0"/>
                  <w:marRight w:val="0"/>
                  <w:marTop w:val="0"/>
                  <w:marBottom w:val="0"/>
                  <w:divBdr>
                    <w:top w:val="none" w:sz="0" w:space="0" w:color="auto"/>
                    <w:left w:val="none" w:sz="0" w:space="0" w:color="auto"/>
                    <w:bottom w:val="none" w:sz="0" w:space="0" w:color="auto"/>
                    <w:right w:val="none" w:sz="0" w:space="0" w:color="auto"/>
                  </w:divBdr>
                  <w:divsChild>
                    <w:div w:id="618071216">
                      <w:marLeft w:val="0"/>
                      <w:marRight w:val="0"/>
                      <w:marTop w:val="0"/>
                      <w:marBottom w:val="0"/>
                      <w:divBdr>
                        <w:top w:val="none" w:sz="0" w:space="0" w:color="auto"/>
                        <w:left w:val="none" w:sz="0" w:space="0" w:color="auto"/>
                        <w:bottom w:val="none" w:sz="0" w:space="0" w:color="auto"/>
                        <w:right w:val="none" w:sz="0" w:space="0" w:color="auto"/>
                      </w:divBdr>
                      <w:divsChild>
                        <w:div w:id="1200704634">
                          <w:marLeft w:val="0"/>
                          <w:marRight w:val="0"/>
                          <w:marTop w:val="0"/>
                          <w:marBottom w:val="0"/>
                          <w:divBdr>
                            <w:top w:val="none" w:sz="0" w:space="0" w:color="auto"/>
                            <w:left w:val="none" w:sz="0" w:space="0" w:color="auto"/>
                            <w:bottom w:val="none" w:sz="0" w:space="0" w:color="auto"/>
                            <w:right w:val="none" w:sz="0" w:space="0" w:color="auto"/>
                          </w:divBdr>
                          <w:divsChild>
                            <w:div w:id="4311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93724">
      <w:bodyDiv w:val="1"/>
      <w:marLeft w:val="0"/>
      <w:marRight w:val="0"/>
      <w:marTop w:val="0"/>
      <w:marBottom w:val="0"/>
      <w:divBdr>
        <w:top w:val="none" w:sz="0" w:space="0" w:color="auto"/>
        <w:left w:val="none" w:sz="0" w:space="0" w:color="auto"/>
        <w:bottom w:val="none" w:sz="0" w:space="0" w:color="auto"/>
        <w:right w:val="none" w:sz="0" w:space="0" w:color="auto"/>
      </w:divBdr>
    </w:div>
    <w:div w:id="737173548">
      <w:bodyDiv w:val="1"/>
      <w:marLeft w:val="0"/>
      <w:marRight w:val="0"/>
      <w:marTop w:val="0"/>
      <w:marBottom w:val="0"/>
      <w:divBdr>
        <w:top w:val="none" w:sz="0" w:space="0" w:color="auto"/>
        <w:left w:val="none" w:sz="0" w:space="0" w:color="auto"/>
        <w:bottom w:val="none" w:sz="0" w:space="0" w:color="auto"/>
        <w:right w:val="none" w:sz="0" w:space="0" w:color="auto"/>
      </w:divBdr>
    </w:div>
    <w:div w:id="795025998">
      <w:bodyDiv w:val="1"/>
      <w:marLeft w:val="0"/>
      <w:marRight w:val="0"/>
      <w:marTop w:val="0"/>
      <w:marBottom w:val="0"/>
      <w:divBdr>
        <w:top w:val="none" w:sz="0" w:space="0" w:color="auto"/>
        <w:left w:val="none" w:sz="0" w:space="0" w:color="auto"/>
        <w:bottom w:val="none" w:sz="0" w:space="0" w:color="auto"/>
        <w:right w:val="none" w:sz="0" w:space="0" w:color="auto"/>
      </w:divBdr>
    </w:div>
    <w:div w:id="977343605">
      <w:bodyDiv w:val="1"/>
      <w:marLeft w:val="0"/>
      <w:marRight w:val="0"/>
      <w:marTop w:val="0"/>
      <w:marBottom w:val="0"/>
      <w:divBdr>
        <w:top w:val="none" w:sz="0" w:space="0" w:color="auto"/>
        <w:left w:val="none" w:sz="0" w:space="0" w:color="auto"/>
        <w:bottom w:val="none" w:sz="0" w:space="0" w:color="auto"/>
        <w:right w:val="none" w:sz="0" w:space="0" w:color="auto"/>
      </w:divBdr>
      <w:divsChild>
        <w:div w:id="1674333261">
          <w:marLeft w:val="0"/>
          <w:marRight w:val="0"/>
          <w:marTop w:val="0"/>
          <w:marBottom w:val="0"/>
          <w:divBdr>
            <w:top w:val="none" w:sz="0" w:space="0" w:color="auto"/>
            <w:left w:val="none" w:sz="0" w:space="0" w:color="auto"/>
            <w:bottom w:val="none" w:sz="0" w:space="0" w:color="auto"/>
            <w:right w:val="none" w:sz="0" w:space="0" w:color="auto"/>
          </w:divBdr>
          <w:divsChild>
            <w:div w:id="1749381621">
              <w:marLeft w:val="0"/>
              <w:marRight w:val="0"/>
              <w:marTop w:val="0"/>
              <w:marBottom w:val="0"/>
              <w:divBdr>
                <w:top w:val="none" w:sz="0" w:space="0" w:color="auto"/>
                <w:left w:val="none" w:sz="0" w:space="0" w:color="auto"/>
                <w:bottom w:val="none" w:sz="0" w:space="0" w:color="auto"/>
                <w:right w:val="none" w:sz="0" w:space="0" w:color="auto"/>
              </w:divBdr>
              <w:divsChild>
                <w:div w:id="754547440">
                  <w:marLeft w:val="0"/>
                  <w:marRight w:val="0"/>
                  <w:marTop w:val="0"/>
                  <w:marBottom w:val="0"/>
                  <w:divBdr>
                    <w:top w:val="none" w:sz="0" w:space="0" w:color="auto"/>
                    <w:left w:val="none" w:sz="0" w:space="0" w:color="auto"/>
                    <w:bottom w:val="none" w:sz="0" w:space="0" w:color="auto"/>
                    <w:right w:val="none" w:sz="0" w:space="0" w:color="auto"/>
                  </w:divBdr>
                  <w:divsChild>
                    <w:div w:id="1619600468">
                      <w:marLeft w:val="0"/>
                      <w:marRight w:val="0"/>
                      <w:marTop w:val="0"/>
                      <w:marBottom w:val="0"/>
                      <w:divBdr>
                        <w:top w:val="none" w:sz="0" w:space="0" w:color="auto"/>
                        <w:left w:val="none" w:sz="0" w:space="0" w:color="auto"/>
                        <w:bottom w:val="none" w:sz="0" w:space="0" w:color="auto"/>
                        <w:right w:val="none" w:sz="0" w:space="0" w:color="auto"/>
                      </w:divBdr>
                      <w:divsChild>
                        <w:div w:id="1767189615">
                          <w:marLeft w:val="0"/>
                          <w:marRight w:val="0"/>
                          <w:marTop w:val="0"/>
                          <w:marBottom w:val="0"/>
                          <w:divBdr>
                            <w:top w:val="none" w:sz="0" w:space="0" w:color="auto"/>
                            <w:left w:val="none" w:sz="0" w:space="0" w:color="auto"/>
                            <w:bottom w:val="none" w:sz="0" w:space="0" w:color="auto"/>
                            <w:right w:val="none" w:sz="0" w:space="0" w:color="auto"/>
                          </w:divBdr>
                          <w:divsChild>
                            <w:div w:id="4638931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650495">
      <w:bodyDiv w:val="1"/>
      <w:marLeft w:val="0"/>
      <w:marRight w:val="0"/>
      <w:marTop w:val="0"/>
      <w:marBottom w:val="0"/>
      <w:divBdr>
        <w:top w:val="none" w:sz="0" w:space="0" w:color="auto"/>
        <w:left w:val="none" w:sz="0" w:space="0" w:color="auto"/>
        <w:bottom w:val="none" w:sz="0" w:space="0" w:color="auto"/>
        <w:right w:val="none" w:sz="0" w:space="0" w:color="auto"/>
      </w:divBdr>
    </w:div>
    <w:div w:id="1114207544">
      <w:bodyDiv w:val="1"/>
      <w:marLeft w:val="0"/>
      <w:marRight w:val="0"/>
      <w:marTop w:val="0"/>
      <w:marBottom w:val="0"/>
      <w:divBdr>
        <w:top w:val="none" w:sz="0" w:space="0" w:color="auto"/>
        <w:left w:val="none" w:sz="0" w:space="0" w:color="auto"/>
        <w:bottom w:val="none" w:sz="0" w:space="0" w:color="auto"/>
        <w:right w:val="none" w:sz="0" w:space="0" w:color="auto"/>
      </w:divBdr>
    </w:div>
    <w:div w:id="111478720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29">
          <w:marLeft w:val="0"/>
          <w:marRight w:val="0"/>
          <w:marTop w:val="0"/>
          <w:marBottom w:val="0"/>
          <w:divBdr>
            <w:top w:val="none" w:sz="0" w:space="0" w:color="auto"/>
            <w:left w:val="none" w:sz="0" w:space="0" w:color="auto"/>
            <w:bottom w:val="none" w:sz="0" w:space="0" w:color="auto"/>
            <w:right w:val="none" w:sz="0" w:space="0" w:color="auto"/>
          </w:divBdr>
          <w:divsChild>
            <w:div w:id="1046836367">
              <w:marLeft w:val="0"/>
              <w:marRight w:val="0"/>
              <w:marTop w:val="0"/>
              <w:marBottom w:val="0"/>
              <w:divBdr>
                <w:top w:val="none" w:sz="0" w:space="0" w:color="auto"/>
                <w:left w:val="none" w:sz="0" w:space="0" w:color="auto"/>
                <w:bottom w:val="none" w:sz="0" w:space="0" w:color="auto"/>
                <w:right w:val="none" w:sz="0" w:space="0" w:color="auto"/>
              </w:divBdr>
              <w:divsChild>
                <w:div w:id="1252816465">
                  <w:marLeft w:val="0"/>
                  <w:marRight w:val="0"/>
                  <w:marTop w:val="0"/>
                  <w:marBottom w:val="0"/>
                  <w:divBdr>
                    <w:top w:val="none" w:sz="0" w:space="0" w:color="auto"/>
                    <w:left w:val="none" w:sz="0" w:space="0" w:color="auto"/>
                    <w:bottom w:val="none" w:sz="0" w:space="0" w:color="auto"/>
                    <w:right w:val="none" w:sz="0" w:space="0" w:color="auto"/>
                  </w:divBdr>
                  <w:divsChild>
                    <w:div w:id="4691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438398">
      <w:bodyDiv w:val="1"/>
      <w:marLeft w:val="0"/>
      <w:marRight w:val="0"/>
      <w:marTop w:val="0"/>
      <w:marBottom w:val="0"/>
      <w:divBdr>
        <w:top w:val="none" w:sz="0" w:space="0" w:color="auto"/>
        <w:left w:val="none" w:sz="0" w:space="0" w:color="auto"/>
        <w:bottom w:val="none" w:sz="0" w:space="0" w:color="auto"/>
        <w:right w:val="none" w:sz="0" w:space="0" w:color="auto"/>
      </w:divBdr>
    </w:div>
    <w:div w:id="1150828130">
      <w:bodyDiv w:val="1"/>
      <w:marLeft w:val="0"/>
      <w:marRight w:val="0"/>
      <w:marTop w:val="0"/>
      <w:marBottom w:val="0"/>
      <w:divBdr>
        <w:top w:val="none" w:sz="0" w:space="0" w:color="auto"/>
        <w:left w:val="none" w:sz="0" w:space="0" w:color="auto"/>
        <w:bottom w:val="none" w:sz="0" w:space="0" w:color="auto"/>
        <w:right w:val="none" w:sz="0" w:space="0" w:color="auto"/>
      </w:divBdr>
    </w:div>
    <w:div w:id="1475610452">
      <w:bodyDiv w:val="1"/>
      <w:marLeft w:val="0"/>
      <w:marRight w:val="0"/>
      <w:marTop w:val="0"/>
      <w:marBottom w:val="0"/>
      <w:divBdr>
        <w:top w:val="none" w:sz="0" w:space="0" w:color="auto"/>
        <w:left w:val="none" w:sz="0" w:space="0" w:color="auto"/>
        <w:bottom w:val="none" w:sz="0" w:space="0" w:color="auto"/>
        <w:right w:val="none" w:sz="0" w:space="0" w:color="auto"/>
      </w:divBdr>
    </w:div>
    <w:div w:id="1650861587">
      <w:bodyDiv w:val="1"/>
      <w:marLeft w:val="0"/>
      <w:marRight w:val="0"/>
      <w:marTop w:val="0"/>
      <w:marBottom w:val="0"/>
      <w:divBdr>
        <w:top w:val="none" w:sz="0" w:space="0" w:color="auto"/>
        <w:left w:val="none" w:sz="0" w:space="0" w:color="auto"/>
        <w:bottom w:val="none" w:sz="0" w:space="0" w:color="auto"/>
        <w:right w:val="none" w:sz="0" w:space="0" w:color="auto"/>
      </w:divBdr>
    </w:div>
    <w:div w:id="1656375048">
      <w:bodyDiv w:val="1"/>
      <w:marLeft w:val="0"/>
      <w:marRight w:val="0"/>
      <w:marTop w:val="0"/>
      <w:marBottom w:val="0"/>
      <w:divBdr>
        <w:top w:val="none" w:sz="0" w:space="0" w:color="auto"/>
        <w:left w:val="none" w:sz="0" w:space="0" w:color="auto"/>
        <w:bottom w:val="none" w:sz="0" w:space="0" w:color="auto"/>
        <w:right w:val="none" w:sz="0" w:space="0" w:color="auto"/>
      </w:divBdr>
    </w:div>
    <w:div w:id="1778602657">
      <w:bodyDiv w:val="1"/>
      <w:marLeft w:val="0"/>
      <w:marRight w:val="0"/>
      <w:marTop w:val="0"/>
      <w:marBottom w:val="0"/>
      <w:divBdr>
        <w:top w:val="none" w:sz="0" w:space="0" w:color="auto"/>
        <w:left w:val="none" w:sz="0" w:space="0" w:color="auto"/>
        <w:bottom w:val="none" w:sz="0" w:space="0" w:color="auto"/>
        <w:right w:val="none" w:sz="0" w:space="0" w:color="auto"/>
      </w:divBdr>
      <w:divsChild>
        <w:div w:id="578945904">
          <w:marLeft w:val="0"/>
          <w:marRight w:val="0"/>
          <w:marTop w:val="0"/>
          <w:marBottom w:val="0"/>
          <w:divBdr>
            <w:top w:val="none" w:sz="0" w:space="0" w:color="auto"/>
            <w:left w:val="none" w:sz="0" w:space="0" w:color="auto"/>
            <w:bottom w:val="none" w:sz="0" w:space="0" w:color="auto"/>
            <w:right w:val="none" w:sz="0" w:space="0" w:color="auto"/>
          </w:divBdr>
          <w:divsChild>
            <w:div w:id="1600211404">
              <w:marLeft w:val="0"/>
              <w:marRight w:val="0"/>
              <w:marTop w:val="0"/>
              <w:marBottom w:val="0"/>
              <w:divBdr>
                <w:top w:val="none" w:sz="0" w:space="0" w:color="auto"/>
                <w:left w:val="none" w:sz="0" w:space="0" w:color="auto"/>
                <w:bottom w:val="none" w:sz="0" w:space="0" w:color="auto"/>
                <w:right w:val="none" w:sz="0" w:space="0" w:color="auto"/>
              </w:divBdr>
              <w:divsChild>
                <w:div w:id="697779110">
                  <w:marLeft w:val="0"/>
                  <w:marRight w:val="0"/>
                  <w:marTop w:val="0"/>
                  <w:marBottom w:val="0"/>
                  <w:divBdr>
                    <w:top w:val="none" w:sz="0" w:space="0" w:color="auto"/>
                    <w:left w:val="none" w:sz="0" w:space="0" w:color="auto"/>
                    <w:bottom w:val="none" w:sz="0" w:space="0" w:color="auto"/>
                    <w:right w:val="none" w:sz="0" w:space="0" w:color="auto"/>
                  </w:divBdr>
                  <w:divsChild>
                    <w:div w:id="2037265609">
                      <w:marLeft w:val="0"/>
                      <w:marRight w:val="0"/>
                      <w:marTop w:val="0"/>
                      <w:marBottom w:val="0"/>
                      <w:divBdr>
                        <w:top w:val="none" w:sz="0" w:space="0" w:color="auto"/>
                        <w:left w:val="none" w:sz="0" w:space="0" w:color="auto"/>
                        <w:bottom w:val="none" w:sz="0" w:space="0" w:color="auto"/>
                        <w:right w:val="none" w:sz="0" w:space="0" w:color="auto"/>
                      </w:divBdr>
                      <w:divsChild>
                        <w:div w:id="932317857">
                          <w:marLeft w:val="0"/>
                          <w:marRight w:val="0"/>
                          <w:marTop w:val="0"/>
                          <w:marBottom w:val="0"/>
                          <w:divBdr>
                            <w:top w:val="none" w:sz="0" w:space="0" w:color="auto"/>
                            <w:left w:val="none" w:sz="0" w:space="0" w:color="auto"/>
                            <w:bottom w:val="none" w:sz="0" w:space="0" w:color="auto"/>
                            <w:right w:val="none" w:sz="0" w:space="0" w:color="auto"/>
                          </w:divBdr>
                          <w:divsChild>
                            <w:div w:id="15460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681743">
      <w:bodyDiv w:val="1"/>
      <w:marLeft w:val="0"/>
      <w:marRight w:val="0"/>
      <w:marTop w:val="0"/>
      <w:marBottom w:val="0"/>
      <w:divBdr>
        <w:top w:val="none" w:sz="0" w:space="0" w:color="auto"/>
        <w:left w:val="none" w:sz="0" w:space="0" w:color="auto"/>
        <w:bottom w:val="none" w:sz="0" w:space="0" w:color="auto"/>
        <w:right w:val="none" w:sz="0" w:space="0" w:color="auto"/>
      </w:divBdr>
    </w:div>
    <w:div w:id="1841508796">
      <w:bodyDiv w:val="1"/>
      <w:marLeft w:val="0"/>
      <w:marRight w:val="0"/>
      <w:marTop w:val="0"/>
      <w:marBottom w:val="0"/>
      <w:divBdr>
        <w:top w:val="none" w:sz="0" w:space="0" w:color="auto"/>
        <w:left w:val="none" w:sz="0" w:space="0" w:color="auto"/>
        <w:bottom w:val="none" w:sz="0" w:space="0" w:color="auto"/>
        <w:right w:val="none" w:sz="0" w:space="0" w:color="auto"/>
      </w:divBdr>
    </w:div>
    <w:div w:id="1848397390">
      <w:bodyDiv w:val="1"/>
      <w:marLeft w:val="0"/>
      <w:marRight w:val="0"/>
      <w:marTop w:val="0"/>
      <w:marBottom w:val="0"/>
      <w:divBdr>
        <w:top w:val="none" w:sz="0" w:space="0" w:color="auto"/>
        <w:left w:val="none" w:sz="0" w:space="0" w:color="auto"/>
        <w:bottom w:val="none" w:sz="0" w:space="0" w:color="auto"/>
        <w:right w:val="none" w:sz="0" w:space="0" w:color="auto"/>
      </w:divBdr>
    </w:div>
    <w:div w:id="1876575789">
      <w:bodyDiv w:val="1"/>
      <w:marLeft w:val="0"/>
      <w:marRight w:val="0"/>
      <w:marTop w:val="0"/>
      <w:marBottom w:val="0"/>
      <w:divBdr>
        <w:top w:val="none" w:sz="0" w:space="0" w:color="auto"/>
        <w:left w:val="none" w:sz="0" w:space="0" w:color="auto"/>
        <w:bottom w:val="none" w:sz="0" w:space="0" w:color="auto"/>
        <w:right w:val="none" w:sz="0" w:space="0" w:color="auto"/>
      </w:divBdr>
    </w:div>
    <w:div w:id="1929117731">
      <w:bodyDiv w:val="1"/>
      <w:marLeft w:val="0"/>
      <w:marRight w:val="0"/>
      <w:marTop w:val="0"/>
      <w:marBottom w:val="0"/>
      <w:divBdr>
        <w:top w:val="none" w:sz="0" w:space="0" w:color="auto"/>
        <w:left w:val="none" w:sz="0" w:space="0" w:color="auto"/>
        <w:bottom w:val="none" w:sz="0" w:space="0" w:color="auto"/>
        <w:right w:val="none" w:sz="0" w:space="0" w:color="auto"/>
      </w:divBdr>
    </w:div>
    <w:div w:id="1957832484">
      <w:bodyDiv w:val="1"/>
      <w:marLeft w:val="0"/>
      <w:marRight w:val="0"/>
      <w:marTop w:val="0"/>
      <w:marBottom w:val="0"/>
      <w:divBdr>
        <w:top w:val="none" w:sz="0" w:space="0" w:color="auto"/>
        <w:left w:val="none" w:sz="0" w:space="0" w:color="auto"/>
        <w:bottom w:val="none" w:sz="0" w:space="0" w:color="auto"/>
        <w:right w:val="none" w:sz="0" w:space="0" w:color="auto"/>
      </w:divBdr>
    </w:div>
    <w:div w:id="20094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ra.Jansone@iz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eagrants.org/resources/regulation-implementation-norway-grants-2014-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D3F6B-3CFD-4295-896B-D107AB29C932}">
  <ds:schemaRefs>
    <ds:schemaRef ds:uri="http://schemas.microsoft.com/sharepoint/v3/contenttype/forms"/>
  </ds:schemaRefs>
</ds:datastoreItem>
</file>

<file path=customXml/itemProps2.xml><?xml version="1.0" encoding="utf-8"?>
<ds:datastoreItem xmlns:ds="http://schemas.openxmlformats.org/officeDocument/2006/customXml" ds:itemID="{2AE72542-19FB-442C-84E6-0091E917C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7719336-ADD4-41C7-86E3-A406FB5ACC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69CC59-7AE0-4EDE-815A-652A6594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13389</Words>
  <Characters>7633</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Ministru kabineta noteikumu projekta "Norvēģijas finanšu instrumenta 2014.–2021. gada perioda programmas "Korekcijas dienesti" īstenošanas noteikumi" sākotnējās ietekmes novērtējuma ziņojums (anotācija)</vt:lpstr>
    </vt:vector>
  </TitlesOfParts>
  <Company>Tieslietu ministrija</Company>
  <LinksUpToDate>false</LinksUpToDate>
  <CharactersWithSpaces>20981</CharactersWithSpaces>
  <SharedDoc>false</SharedDoc>
  <HLinks>
    <vt:vector size="12" baseType="variant">
      <vt:variant>
        <vt:i4>6357073</vt:i4>
      </vt:variant>
      <vt:variant>
        <vt:i4>0</vt:i4>
      </vt:variant>
      <vt:variant>
        <vt:i4>0</vt:i4>
      </vt:variant>
      <vt:variant>
        <vt:i4>5</vt:i4>
      </vt:variant>
      <vt:variant>
        <vt:lpwstr>mailto:Antra.Jansone@izm.gov.lv</vt:lpwstr>
      </vt:variant>
      <vt:variant>
        <vt:lpwstr/>
      </vt:variant>
      <vt:variant>
        <vt:i4>5242957</vt:i4>
      </vt:variant>
      <vt:variant>
        <vt:i4>0</vt:i4>
      </vt:variant>
      <vt:variant>
        <vt:i4>0</vt:i4>
      </vt:variant>
      <vt:variant>
        <vt:i4>5</vt:i4>
      </vt:variant>
      <vt:variant>
        <vt:lpwstr>https://eeagrants.org/resources/regulation-implementation-norway-grants-2014-2021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"Norvēģijas finanšu instrumenta 2014.–2021. gada perioda programmas "Korekcijas dienesti" īstenošanas noteikumi" sākotnējās ietekmes novērtējuma ziņojums (anotācija)</dc:title>
  <dc:subject>Anotācija</dc:subject>
  <dc:creator>Sanita Lāce</dc:creator>
  <cp:keywords/>
  <dc:description>67036913, Sanita.Lace@tm.gov.lv</dc:description>
  <cp:lastModifiedBy>Anna Leiškalne</cp:lastModifiedBy>
  <cp:revision>15</cp:revision>
  <cp:lastPrinted>2019-10-28T11:46:00Z</cp:lastPrinted>
  <dcterms:created xsi:type="dcterms:W3CDTF">2020-12-04T10:32:00Z</dcterms:created>
  <dcterms:modified xsi:type="dcterms:W3CDTF">2020-12-09T16:18:00Z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